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6D5D4" w14:textId="330EB31B" w:rsidR="00047452" w:rsidRPr="006049EF" w:rsidRDefault="00047452" w:rsidP="00047452">
      <w:pPr>
        <w:rPr>
          <w:rFonts w:asciiTheme="majorHAnsi" w:hAnsiTheme="majorHAnsi" w:cs="Arial"/>
        </w:rPr>
      </w:pPr>
      <w:r w:rsidRPr="006049EF">
        <w:rPr>
          <w:rFonts w:asciiTheme="majorHAnsi" w:hAnsiTheme="majorHAnsi"/>
          <w:b/>
          <w:bCs/>
        </w:rPr>
        <w:t>Penetrating head injuries in children</w:t>
      </w:r>
      <w:r w:rsidR="008658D5">
        <w:rPr>
          <w:rFonts w:asciiTheme="majorHAnsi" w:hAnsiTheme="majorHAnsi"/>
          <w:b/>
          <w:bCs/>
        </w:rPr>
        <w:t xml:space="preserve"> presenting to the emergency department</w:t>
      </w:r>
      <w:r w:rsidRPr="006049EF">
        <w:rPr>
          <w:rFonts w:asciiTheme="majorHAnsi" w:hAnsiTheme="majorHAnsi"/>
          <w:b/>
          <w:bCs/>
        </w:rPr>
        <w:t xml:space="preserve"> in Australia and New Zealand</w:t>
      </w:r>
      <w:r w:rsidR="003C2356">
        <w:rPr>
          <w:rFonts w:asciiTheme="majorHAnsi" w:hAnsiTheme="majorHAnsi"/>
          <w:b/>
          <w:bCs/>
        </w:rPr>
        <w:t>. A PREDICT</w:t>
      </w:r>
      <w:r w:rsidR="009A51BC">
        <w:rPr>
          <w:rFonts w:asciiTheme="majorHAnsi" w:hAnsiTheme="majorHAnsi"/>
          <w:b/>
          <w:bCs/>
        </w:rPr>
        <w:t xml:space="preserve"> prospective</w:t>
      </w:r>
      <w:r w:rsidR="003C2356">
        <w:rPr>
          <w:rFonts w:asciiTheme="majorHAnsi" w:hAnsiTheme="majorHAnsi"/>
          <w:b/>
          <w:bCs/>
        </w:rPr>
        <w:t xml:space="preserve"> study.</w:t>
      </w:r>
    </w:p>
    <w:p w14:paraId="2715E3E9" w14:textId="77777777" w:rsidR="00047452" w:rsidRDefault="00047452" w:rsidP="00047452">
      <w:pPr>
        <w:rPr>
          <w:rFonts w:asciiTheme="majorHAnsi" w:hAnsiTheme="majorHAnsi" w:cs="Arial"/>
          <w:bCs/>
        </w:rPr>
      </w:pPr>
    </w:p>
    <w:p w14:paraId="0DD51679" w14:textId="77777777" w:rsidR="00047452" w:rsidRPr="006049EF" w:rsidRDefault="00047452" w:rsidP="00047452">
      <w:pPr>
        <w:rPr>
          <w:rFonts w:asciiTheme="majorHAnsi" w:hAnsiTheme="majorHAnsi" w:cs="Arial"/>
          <w:bCs/>
        </w:rPr>
      </w:pPr>
    </w:p>
    <w:p w14:paraId="42CBD59B" w14:textId="77777777" w:rsidR="00047452" w:rsidRPr="006049EF" w:rsidRDefault="00047452" w:rsidP="00047452">
      <w:pPr>
        <w:rPr>
          <w:rFonts w:asciiTheme="majorHAnsi" w:eastAsia="Times New Roman" w:hAnsiTheme="majorHAnsi"/>
          <w:b/>
          <w:lang w:eastAsia="en-AU"/>
        </w:rPr>
      </w:pPr>
      <w:r w:rsidRPr="006049EF">
        <w:rPr>
          <w:rFonts w:asciiTheme="majorHAnsi" w:eastAsia="Times New Roman" w:hAnsiTheme="majorHAnsi"/>
          <w:b/>
          <w:lang w:eastAsia="en-AU"/>
        </w:rPr>
        <w:t xml:space="preserve">AUTHORS: </w:t>
      </w:r>
    </w:p>
    <w:p w14:paraId="3136B2AF" w14:textId="4D57A15D" w:rsidR="003F4B6C" w:rsidRPr="00982A5C" w:rsidRDefault="0074143A" w:rsidP="00982A5C">
      <w:pPr>
        <w:tabs>
          <w:tab w:val="left" w:pos="5590"/>
        </w:tabs>
        <w:spacing w:line="276" w:lineRule="auto"/>
        <w:rPr>
          <w:rFonts w:asciiTheme="majorHAnsi" w:eastAsia="Times New Roman" w:hAnsiTheme="majorHAnsi" w:cs="Arial"/>
          <w:lang w:eastAsia="en-AU"/>
        </w:rPr>
      </w:pPr>
      <w:r w:rsidRPr="006049EF">
        <w:rPr>
          <w:rFonts w:asciiTheme="majorHAnsi" w:eastAsia="Times New Roman" w:hAnsiTheme="majorHAnsi" w:cs="Arial"/>
          <w:lang w:val="de-DE" w:eastAsia="en-AU"/>
        </w:rPr>
        <w:t>Franz E Babl</w:t>
      </w:r>
      <w:r w:rsidR="00982A5C">
        <w:rPr>
          <w:rFonts w:asciiTheme="majorHAnsi" w:eastAsia="Times New Roman" w:hAnsiTheme="majorHAnsi" w:cs="Arial"/>
          <w:vertAlign w:val="superscript"/>
          <w:lang w:val="de-DE" w:eastAsia="en-AU"/>
        </w:rPr>
        <w:t>1-3</w:t>
      </w:r>
      <w:r w:rsidR="00982A5C">
        <w:rPr>
          <w:rFonts w:asciiTheme="majorHAnsi" w:eastAsia="Times New Roman" w:hAnsiTheme="majorHAnsi" w:cs="Arial"/>
          <w:lang w:eastAsia="en-AU"/>
        </w:rPr>
        <w:t xml:space="preserve">, </w:t>
      </w:r>
      <w:r w:rsidR="000659BD" w:rsidRPr="006049EF">
        <w:rPr>
          <w:rFonts w:asciiTheme="majorHAnsi" w:eastAsia="Times New Roman" w:hAnsiTheme="majorHAnsi" w:cs="Arial"/>
          <w:lang w:eastAsia="en-AU"/>
        </w:rPr>
        <w:t>Mark D Lyttle</w:t>
      </w:r>
      <w:r w:rsidR="000659BD" w:rsidRPr="006049EF">
        <w:rPr>
          <w:rFonts w:asciiTheme="majorHAnsi" w:eastAsia="Times New Roman" w:hAnsiTheme="majorHAnsi" w:cs="Arial"/>
          <w:vertAlign w:val="superscript"/>
          <w:lang w:eastAsia="en-AU"/>
        </w:rPr>
        <w:t>2,</w:t>
      </w:r>
      <w:r w:rsidR="00982A5C">
        <w:rPr>
          <w:rFonts w:asciiTheme="majorHAnsi" w:eastAsia="Times New Roman" w:hAnsiTheme="majorHAnsi" w:cs="Arial"/>
          <w:vertAlign w:val="superscript"/>
          <w:lang w:eastAsia="en-AU"/>
        </w:rPr>
        <w:t>,4,</w:t>
      </w:r>
      <w:r w:rsidR="00982A5C">
        <w:rPr>
          <w:rFonts w:asciiTheme="majorHAnsi" w:eastAsia="Times New Roman" w:hAnsiTheme="majorHAnsi" w:cs="Arial"/>
          <w:lang w:eastAsia="en-AU"/>
        </w:rPr>
        <w:t xml:space="preserve">, </w:t>
      </w:r>
      <w:r w:rsidR="000659BD" w:rsidRPr="006049EF">
        <w:rPr>
          <w:rFonts w:asciiTheme="majorHAnsi" w:eastAsia="Times New Roman" w:hAnsiTheme="majorHAnsi" w:cs="Arial"/>
          <w:lang w:eastAsia="en-AU"/>
        </w:rPr>
        <w:t>Silvia Bressan</w:t>
      </w:r>
      <w:r w:rsidR="000659BD" w:rsidRPr="006049EF">
        <w:rPr>
          <w:rFonts w:asciiTheme="majorHAnsi" w:eastAsia="Times New Roman" w:hAnsiTheme="majorHAnsi" w:cs="Arial"/>
          <w:vertAlign w:val="superscript"/>
          <w:lang w:eastAsia="en-AU"/>
        </w:rPr>
        <w:t>2,</w:t>
      </w:r>
      <w:r w:rsidR="00064401" w:rsidRPr="006049EF">
        <w:rPr>
          <w:rFonts w:asciiTheme="majorHAnsi" w:eastAsia="Times New Roman" w:hAnsiTheme="majorHAnsi" w:cs="Arial"/>
          <w:vertAlign w:val="superscript"/>
          <w:lang w:eastAsia="en-AU"/>
        </w:rPr>
        <w:t>6</w:t>
      </w:r>
      <w:r w:rsidR="00982A5C">
        <w:rPr>
          <w:rFonts w:asciiTheme="majorHAnsi" w:eastAsia="Times New Roman" w:hAnsiTheme="majorHAnsi" w:cs="Arial"/>
          <w:lang w:eastAsia="en-AU"/>
        </w:rPr>
        <w:t xml:space="preserve">, </w:t>
      </w:r>
      <w:r w:rsidRPr="006049EF">
        <w:rPr>
          <w:rFonts w:asciiTheme="majorHAnsi" w:eastAsia="Times New Roman" w:hAnsiTheme="majorHAnsi" w:cs="Arial"/>
          <w:lang w:eastAsia="en-AU"/>
        </w:rPr>
        <w:t xml:space="preserve">Meredith </w:t>
      </w:r>
      <w:r w:rsidR="003C2356">
        <w:rPr>
          <w:rFonts w:asciiTheme="majorHAnsi" w:eastAsia="Times New Roman" w:hAnsiTheme="majorHAnsi" w:cs="Arial"/>
          <w:lang w:eastAsia="en-AU"/>
        </w:rPr>
        <w:t xml:space="preserve">L </w:t>
      </w:r>
      <w:r w:rsidRPr="006049EF">
        <w:rPr>
          <w:rFonts w:asciiTheme="majorHAnsi" w:eastAsia="Times New Roman" w:hAnsiTheme="majorHAnsi" w:cs="Arial"/>
          <w:lang w:eastAsia="en-AU"/>
        </w:rPr>
        <w:t>Borland</w:t>
      </w:r>
      <w:r w:rsidR="00064401" w:rsidRPr="006049EF">
        <w:rPr>
          <w:rFonts w:asciiTheme="majorHAnsi" w:eastAsia="Times New Roman" w:hAnsiTheme="majorHAnsi" w:cs="Arial"/>
          <w:vertAlign w:val="superscript"/>
          <w:lang w:eastAsia="en-AU"/>
        </w:rPr>
        <w:t>7,8</w:t>
      </w:r>
      <w:r w:rsidR="00982A5C">
        <w:rPr>
          <w:rFonts w:asciiTheme="majorHAnsi" w:eastAsia="Times New Roman" w:hAnsiTheme="majorHAnsi" w:cs="Arial"/>
          <w:lang w:eastAsia="en-AU"/>
        </w:rPr>
        <w:t xml:space="preserve">, </w:t>
      </w:r>
      <w:r w:rsidRPr="006049EF">
        <w:rPr>
          <w:rFonts w:asciiTheme="majorHAnsi" w:eastAsia="Times New Roman" w:hAnsiTheme="majorHAnsi" w:cs="Arial"/>
          <w:lang w:eastAsia="en-AU"/>
        </w:rPr>
        <w:t>Natalie Phillips</w:t>
      </w:r>
      <w:r w:rsidR="00064401" w:rsidRPr="006049EF">
        <w:rPr>
          <w:rFonts w:asciiTheme="majorHAnsi" w:eastAsia="Times New Roman" w:hAnsiTheme="majorHAnsi" w:cs="Arial"/>
          <w:vertAlign w:val="superscript"/>
          <w:lang w:eastAsia="en-AU"/>
        </w:rPr>
        <w:t>9</w:t>
      </w:r>
      <w:r w:rsidR="00982A5C">
        <w:rPr>
          <w:rFonts w:asciiTheme="majorHAnsi" w:eastAsia="Times New Roman" w:hAnsiTheme="majorHAnsi" w:cs="Arial"/>
          <w:lang w:eastAsia="en-AU"/>
        </w:rPr>
        <w:t xml:space="preserve">, </w:t>
      </w:r>
      <w:r w:rsidRPr="006049EF">
        <w:rPr>
          <w:rFonts w:asciiTheme="majorHAnsi" w:eastAsia="Times New Roman" w:hAnsiTheme="majorHAnsi" w:cs="Arial"/>
          <w:lang w:eastAsia="en-AU"/>
        </w:rPr>
        <w:t>Amit Kochar</w:t>
      </w:r>
      <w:r w:rsidR="00064401" w:rsidRPr="006049EF">
        <w:rPr>
          <w:rFonts w:asciiTheme="majorHAnsi" w:eastAsia="Times New Roman" w:hAnsiTheme="majorHAnsi" w:cs="Arial"/>
          <w:vertAlign w:val="superscript"/>
          <w:lang w:eastAsia="en-AU"/>
        </w:rPr>
        <w:t>10</w:t>
      </w:r>
      <w:r w:rsidR="00982A5C">
        <w:rPr>
          <w:rFonts w:asciiTheme="majorHAnsi" w:eastAsia="Times New Roman" w:hAnsiTheme="majorHAnsi" w:cs="Arial"/>
          <w:lang w:eastAsia="en-AU"/>
        </w:rPr>
        <w:t xml:space="preserve">, </w:t>
      </w:r>
      <w:r w:rsidRPr="006049EF">
        <w:rPr>
          <w:rFonts w:asciiTheme="majorHAnsi" w:eastAsia="Times New Roman" w:hAnsiTheme="majorHAnsi" w:cs="Arial"/>
          <w:lang w:eastAsia="en-AU"/>
        </w:rPr>
        <w:t>Sarah Dalton</w:t>
      </w:r>
      <w:r w:rsidR="00064401" w:rsidRPr="006049EF">
        <w:rPr>
          <w:rFonts w:asciiTheme="majorHAnsi" w:eastAsia="Times New Roman" w:hAnsiTheme="majorHAnsi" w:cs="Arial"/>
          <w:vertAlign w:val="superscript"/>
          <w:lang w:eastAsia="en-AU"/>
        </w:rPr>
        <w:t>11</w:t>
      </w:r>
      <w:r w:rsidR="00982A5C">
        <w:rPr>
          <w:rFonts w:asciiTheme="majorHAnsi" w:eastAsia="Times New Roman" w:hAnsiTheme="majorHAnsi" w:cs="Arial"/>
          <w:lang w:eastAsia="en-AU"/>
        </w:rPr>
        <w:t xml:space="preserve">, </w:t>
      </w:r>
      <w:r w:rsidRPr="006049EF">
        <w:rPr>
          <w:rFonts w:asciiTheme="majorHAnsi" w:eastAsia="Times New Roman" w:hAnsiTheme="majorHAnsi" w:cs="Arial"/>
          <w:lang w:eastAsia="en-AU"/>
        </w:rPr>
        <w:t>John A Cheek</w:t>
      </w:r>
      <w:r w:rsidRPr="006049EF">
        <w:rPr>
          <w:rFonts w:asciiTheme="majorHAnsi" w:eastAsia="Times New Roman" w:hAnsiTheme="majorHAnsi" w:cs="Arial"/>
          <w:vertAlign w:val="superscript"/>
          <w:lang w:eastAsia="en-AU"/>
        </w:rPr>
        <w:t>1,2,</w:t>
      </w:r>
      <w:r w:rsidR="00064401" w:rsidRPr="006049EF">
        <w:rPr>
          <w:rFonts w:asciiTheme="majorHAnsi" w:eastAsia="Times New Roman" w:hAnsiTheme="majorHAnsi" w:cs="Arial"/>
          <w:vertAlign w:val="superscript"/>
          <w:lang w:eastAsia="en-AU"/>
        </w:rPr>
        <w:t>12</w:t>
      </w:r>
      <w:r w:rsidR="00982A5C">
        <w:rPr>
          <w:rFonts w:asciiTheme="majorHAnsi" w:eastAsia="Times New Roman" w:hAnsiTheme="majorHAnsi" w:cs="Arial"/>
          <w:lang w:eastAsia="en-AU"/>
        </w:rPr>
        <w:t xml:space="preserve">, </w:t>
      </w:r>
      <w:r w:rsidRPr="006049EF">
        <w:rPr>
          <w:rFonts w:asciiTheme="majorHAnsi" w:eastAsia="Times New Roman" w:hAnsiTheme="majorHAnsi" w:cs="Arial"/>
          <w:lang w:eastAsia="en-AU"/>
        </w:rPr>
        <w:t>Yuri Gilhotra</w:t>
      </w:r>
      <w:r w:rsidR="00064401" w:rsidRPr="006049EF">
        <w:rPr>
          <w:rFonts w:asciiTheme="majorHAnsi" w:eastAsia="Times New Roman" w:hAnsiTheme="majorHAnsi" w:cs="Arial"/>
          <w:vertAlign w:val="superscript"/>
          <w:lang w:eastAsia="en-AU"/>
        </w:rPr>
        <w:t>9</w:t>
      </w:r>
      <w:r w:rsidRPr="006049EF">
        <w:rPr>
          <w:rFonts w:asciiTheme="majorHAnsi" w:eastAsia="Times New Roman" w:hAnsiTheme="majorHAnsi" w:cs="Arial"/>
          <w:lang w:eastAsia="en-AU"/>
        </w:rPr>
        <w:t xml:space="preserve"> </w:t>
      </w:r>
      <w:r w:rsidR="00982A5C">
        <w:rPr>
          <w:rFonts w:asciiTheme="majorHAnsi" w:eastAsia="Times New Roman" w:hAnsiTheme="majorHAnsi" w:cs="Arial"/>
          <w:lang w:eastAsia="en-AU"/>
        </w:rPr>
        <w:t xml:space="preserve">, </w:t>
      </w:r>
      <w:r w:rsidRPr="006049EF">
        <w:rPr>
          <w:rFonts w:asciiTheme="majorHAnsi" w:eastAsia="Times New Roman" w:hAnsiTheme="majorHAnsi" w:cs="Arial"/>
          <w:lang w:eastAsia="en-AU"/>
        </w:rPr>
        <w:t>Jeremy Furyk</w:t>
      </w:r>
      <w:r w:rsidRPr="006049EF">
        <w:rPr>
          <w:rFonts w:asciiTheme="majorHAnsi" w:eastAsia="Times New Roman" w:hAnsiTheme="majorHAnsi" w:cs="Arial"/>
          <w:vertAlign w:val="superscript"/>
          <w:lang w:eastAsia="en-AU"/>
        </w:rPr>
        <w:t>1</w:t>
      </w:r>
      <w:r w:rsidR="00064401" w:rsidRPr="006049EF">
        <w:rPr>
          <w:rFonts w:asciiTheme="majorHAnsi" w:eastAsia="Times New Roman" w:hAnsiTheme="majorHAnsi" w:cs="Arial"/>
          <w:vertAlign w:val="superscript"/>
          <w:lang w:eastAsia="en-AU"/>
        </w:rPr>
        <w:t>3</w:t>
      </w:r>
      <w:r w:rsidR="00982A5C">
        <w:rPr>
          <w:rFonts w:asciiTheme="majorHAnsi" w:eastAsia="Times New Roman" w:hAnsiTheme="majorHAnsi" w:cs="Arial"/>
          <w:lang w:eastAsia="en-AU"/>
        </w:rPr>
        <w:t xml:space="preserve">, </w:t>
      </w:r>
      <w:r w:rsidRPr="006049EF">
        <w:rPr>
          <w:rFonts w:asciiTheme="majorHAnsi" w:eastAsia="Times New Roman" w:hAnsiTheme="majorHAnsi" w:cs="Arial"/>
          <w:lang w:eastAsia="en-AU"/>
        </w:rPr>
        <w:t>Jocelyn Neutze</w:t>
      </w:r>
      <w:r w:rsidRPr="006049EF">
        <w:rPr>
          <w:rFonts w:asciiTheme="majorHAnsi" w:eastAsia="Times New Roman" w:hAnsiTheme="majorHAnsi" w:cs="Arial"/>
          <w:vertAlign w:val="superscript"/>
          <w:lang w:eastAsia="en-AU"/>
        </w:rPr>
        <w:t>1</w:t>
      </w:r>
      <w:r w:rsidR="00064401" w:rsidRPr="006049EF">
        <w:rPr>
          <w:rFonts w:asciiTheme="majorHAnsi" w:eastAsia="Times New Roman" w:hAnsiTheme="majorHAnsi" w:cs="Arial"/>
          <w:vertAlign w:val="superscript"/>
          <w:lang w:eastAsia="en-AU"/>
        </w:rPr>
        <w:t>4</w:t>
      </w:r>
      <w:r w:rsidR="00982A5C">
        <w:rPr>
          <w:rFonts w:asciiTheme="majorHAnsi" w:eastAsia="Times New Roman" w:hAnsiTheme="majorHAnsi" w:cs="Arial"/>
          <w:lang w:eastAsia="en-AU"/>
        </w:rPr>
        <w:t xml:space="preserve">, </w:t>
      </w:r>
      <w:r w:rsidRPr="006049EF">
        <w:rPr>
          <w:rFonts w:asciiTheme="majorHAnsi" w:eastAsia="Times New Roman" w:hAnsiTheme="majorHAnsi" w:cs="Arial"/>
          <w:lang w:eastAsia="en-AU"/>
        </w:rPr>
        <w:t>Susan Donath</w:t>
      </w:r>
      <w:r w:rsidRPr="006049EF">
        <w:rPr>
          <w:rFonts w:asciiTheme="majorHAnsi" w:eastAsia="Times New Roman" w:hAnsiTheme="majorHAnsi" w:cs="Arial"/>
          <w:vertAlign w:val="superscript"/>
          <w:lang w:eastAsia="en-AU"/>
        </w:rPr>
        <w:t>2,3</w:t>
      </w:r>
      <w:r w:rsidR="00982A5C">
        <w:rPr>
          <w:rFonts w:asciiTheme="majorHAnsi" w:eastAsia="Times New Roman" w:hAnsiTheme="majorHAnsi" w:cs="Arial"/>
          <w:lang w:eastAsia="en-AU"/>
        </w:rPr>
        <w:t xml:space="preserve">, </w:t>
      </w:r>
      <w:r w:rsidRPr="006049EF">
        <w:rPr>
          <w:rFonts w:asciiTheme="majorHAnsi" w:eastAsia="Times New Roman" w:hAnsiTheme="majorHAnsi" w:cs="Arial"/>
          <w:lang w:eastAsia="en-AU"/>
        </w:rPr>
        <w:t>Stephen Hearps</w:t>
      </w:r>
      <w:r w:rsidR="00CC7302" w:rsidRPr="006049EF">
        <w:rPr>
          <w:rFonts w:asciiTheme="majorHAnsi" w:eastAsia="Times New Roman" w:hAnsiTheme="majorHAnsi" w:cs="Arial"/>
          <w:vertAlign w:val="superscript"/>
          <w:lang w:eastAsia="en-AU"/>
        </w:rPr>
        <w:t>2</w:t>
      </w:r>
      <w:r w:rsidR="00CC7302" w:rsidRPr="006049EF">
        <w:rPr>
          <w:rFonts w:asciiTheme="majorHAnsi" w:eastAsia="Times New Roman" w:hAnsiTheme="majorHAnsi" w:cs="Arial"/>
          <w:lang w:eastAsia="en-AU"/>
        </w:rPr>
        <w:t xml:space="preserve"> </w:t>
      </w:r>
      <w:r w:rsidR="00982A5C">
        <w:rPr>
          <w:rFonts w:asciiTheme="majorHAnsi" w:eastAsia="Times New Roman" w:hAnsiTheme="majorHAnsi" w:cs="Arial"/>
          <w:lang w:eastAsia="en-AU"/>
        </w:rPr>
        <w:t xml:space="preserve">, </w:t>
      </w:r>
      <w:r w:rsidRPr="006049EF">
        <w:rPr>
          <w:rFonts w:asciiTheme="majorHAnsi" w:eastAsia="Times New Roman" w:hAnsiTheme="majorHAnsi" w:cs="Arial"/>
          <w:lang w:eastAsia="en-AU"/>
        </w:rPr>
        <w:t>Marta Arpone</w:t>
      </w:r>
      <w:r w:rsidRPr="006049EF">
        <w:rPr>
          <w:rFonts w:asciiTheme="majorHAnsi" w:eastAsia="Times New Roman" w:hAnsiTheme="majorHAnsi" w:cs="Arial"/>
          <w:vertAlign w:val="superscript"/>
          <w:lang w:eastAsia="en-AU"/>
        </w:rPr>
        <w:t>2,3</w:t>
      </w:r>
      <w:r w:rsidR="00982A5C">
        <w:rPr>
          <w:rFonts w:asciiTheme="majorHAnsi" w:eastAsia="Times New Roman" w:hAnsiTheme="majorHAnsi" w:cs="Arial"/>
          <w:lang w:eastAsia="en-AU"/>
        </w:rPr>
        <w:t xml:space="preserve">, </w:t>
      </w:r>
      <w:r w:rsidR="000659BD" w:rsidRPr="006049EF">
        <w:rPr>
          <w:rFonts w:asciiTheme="majorHAnsi" w:eastAsia="Times New Roman" w:hAnsiTheme="majorHAnsi" w:cs="Arial"/>
          <w:lang w:eastAsia="en-AU"/>
        </w:rPr>
        <w:t>Louise Crowe</w:t>
      </w:r>
      <w:r w:rsidR="000659BD" w:rsidRPr="006049EF">
        <w:rPr>
          <w:rFonts w:asciiTheme="majorHAnsi" w:eastAsia="Times New Roman" w:hAnsiTheme="majorHAnsi" w:cs="Arial"/>
          <w:vertAlign w:val="superscript"/>
          <w:lang w:eastAsia="en-AU"/>
        </w:rPr>
        <w:t>2</w:t>
      </w:r>
      <w:r w:rsidR="00982A5C">
        <w:rPr>
          <w:rFonts w:asciiTheme="majorHAnsi" w:eastAsia="Times New Roman" w:hAnsiTheme="majorHAnsi" w:cs="Arial"/>
          <w:lang w:eastAsia="en-AU"/>
        </w:rPr>
        <w:t xml:space="preserve">, </w:t>
      </w:r>
      <w:r w:rsidR="00064401" w:rsidRPr="006049EF">
        <w:rPr>
          <w:rFonts w:asciiTheme="majorHAnsi" w:eastAsia="Times New Roman" w:hAnsiTheme="majorHAnsi" w:cs="Arial"/>
          <w:lang w:eastAsia="en-AU"/>
        </w:rPr>
        <w:t>Stuart R Dalziel</w:t>
      </w:r>
      <w:r w:rsidR="00AA4A05">
        <w:rPr>
          <w:rFonts w:asciiTheme="majorHAnsi" w:eastAsia="Times New Roman" w:hAnsiTheme="majorHAnsi" w:cs="Arial"/>
          <w:vertAlign w:val="superscript"/>
          <w:lang w:eastAsia="en-AU"/>
        </w:rPr>
        <w:t>15</w:t>
      </w:r>
      <w:r w:rsidR="00064401" w:rsidRPr="006049EF">
        <w:rPr>
          <w:rFonts w:asciiTheme="majorHAnsi" w:eastAsia="Times New Roman" w:hAnsiTheme="majorHAnsi" w:cs="Arial"/>
          <w:vertAlign w:val="superscript"/>
          <w:lang w:eastAsia="en-AU"/>
        </w:rPr>
        <w:t>, 16</w:t>
      </w:r>
      <w:r w:rsidR="00982A5C">
        <w:rPr>
          <w:rFonts w:asciiTheme="majorHAnsi" w:eastAsia="Times New Roman" w:hAnsiTheme="majorHAnsi" w:cs="Arial"/>
          <w:lang w:eastAsia="en-AU"/>
        </w:rPr>
        <w:t xml:space="preserve">, </w:t>
      </w:r>
      <w:r w:rsidR="00BE5276">
        <w:rPr>
          <w:rFonts w:asciiTheme="majorHAnsi" w:eastAsia="Times New Roman" w:hAnsiTheme="majorHAnsi" w:cs="Arial"/>
          <w:lang w:eastAsia="en-AU"/>
        </w:rPr>
        <w:t>Ruth Barker</w:t>
      </w:r>
      <w:r w:rsidR="00BE5276" w:rsidRPr="00BE5276">
        <w:rPr>
          <w:rFonts w:asciiTheme="majorHAnsi" w:eastAsia="Times New Roman" w:hAnsiTheme="majorHAnsi" w:cs="Arial"/>
          <w:vertAlign w:val="superscript"/>
          <w:lang w:eastAsia="en-AU"/>
        </w:rPr>
        <w:t>17</w:t>
      </w:r>
      <w:r w:rsidR="00982A5C">
        <w:rPr>
          <w:rFonts w:asciiTheme="majorHAnsi" w:eastAsia="Times New Roman" w:hAnsiTheme="majorHAnsi" w:cs="Arial"/>
          <w:lang w:eastAsia="en-AU"/>
        </w:rPr>
        <w:t xml:space="preserve">, </w:t>
      </w:r>
      <w:r w:rsidR="003F4B6C" w:rsidRPr="006049EF">
        <w:rPr>
          <w:rFonts w:asciiTheme="majorHAnsi" w:eastAsia="Times New Roman" w:hAnsiTheme="majorHAnsi" w:cs="Arial"/>
          <w:lang w:eastAsia="en-AU"/>
        </w:rPr>
        <w:t>Ed Oakley</w:t>
      </w:r>
      <w:r w:rsidR="003F4B6C" w:rsidRPr="006049EF">
        <w:rPr>
          <w:rFonts w:asciiTheme="majorHAnsi" w:eastAsia="Times New Roman" w:hAnsiTheme="majorHAnsi" w:cs="Arial"/>
          <w:vertAlign w:val="superscript"/>
          <w:lang w:eastAsia="en-AU"/>
        </w:rPr>
        <w:t>1-3</w:t>
      </w:r>
    </w:p>
    <w:p w14:paraId="69CD5896" w14:textId="77777777" w:rsidR="0074143A" w:rsidRPr="006049EF" w:rsidRDefault="0074143A" w:rsidP="000C4F55">
      <w:pPr>
        <w:spacing w:line="276" w:lineRule="auto"/>
        <w:rPr>
          <w:rFonts w:asciiTheme="majorHAnsi" w:eastAsia="Times New Roman" w:hAnsiTheme="majorHAnsi" w:cs="Arial"/>
          <w:vertAlign w:val="superscript"/>
          <w:lang w:eastAsia="en-AU"/>
        </w:rPr>
      </w:pPr>
    </w:p>
    <w:p w14:paraId="05CC5B2C" w14:textId="0DB2A78A" w:rsidR="000C4F55" w:rsidRPr="006049EF" w:rsidRDefault="000C4F55" w:rsidP="000C4F55">
      <w:pPr>
        <w:spacing w:line="276" w:lineRule="auto"/>
        <w:rPr>
          <w:rFonts w:asciiTheme="majorHAnsi" w:eastAsia="Times New Roman" w:hAnsiTheme="majorHAnsi" w:cs="Arial"/>
          <w:lang w:eastAsia="en-AU"/>
        </w:rPr>
      </w:pPr>
      <w:r w:rsidRPr="006049EF">
        <w:rPr>
          <w:rFonts w:asciiTheme="majorHAnsi" w:eastAsia="Times New Roman" w:hAnsiTheme="majorHAnsi" w:cs="Arial"/>
          <w:vertAlign w:val="superscript"/>
          <w:lang w:eastAsia="en-AU"/>
        </w:rPr>
        <w:t>1</w:t>
      </w:r>
      <w:r w:rsidRPr="006049EF">
        <w:rPr>
          <w:rFonts w:asciiTheme="majorHAnsi" w:eastAsia="Times New Roman" w:hAnsiTheme="majorHAnsi" w:cs="Arial"/>
          <w:lang w:eastAsia="en-AU"/>
        </w:rPr>
        <w:t xml:space="preserve"> Royal Children’s Hospital, Melb</w:t>
      </w:r>
      <w:r w:rsidR="00AA4A05">
        <w:rPr>
          <w:rFonts w:asciiTheme="majorHAnsi" w:eastAsia="Times New Roman" w:hAnsiTheme="majorHAnsi" w:cs="Arial"/>
          <w:lang w:eastAsia="en-AU"/>
        </w:rPr>
        <w:t>ourne</w:t>
      </w:r>
    </w:p>
    <w:p w14:paraId="01E2296A" w14:textId="28EFFD38" w:rsidR="000C4F55" w:rsidRPr="006049EF" w:rsidRDefault="000C4F55" w:rsidP="000C4F55">
      <w:pPr>
        <w:spacing w:line="276" w:lineRule="auto"/>
        <w:rPr>
          <w:rFonts w:asciiTheme="majorHAnsi" w:eastAsia="Times New Roman" w:hAnsiTheme="majorHAnsi" w:cs="Arial"/>
          <w:lang w:eastAsia="en-AU"/>
        </w:rPr>
      </w:pPr>
      <w:r w:rsidRPr="006049EF">
        <w:rPr>
          <w:rFonts w:asciiTheme="majorHAnsi" w:eastAsia="Times New Roman" w:hAnsiTheme="majorHAnsi" w:cs="Arial"/>
          <w:vertAlign w:val="superscript"/>
          <w:lang w:eastAsia="en-AU"/>
        </w:rPr>
        <w:t>2</w:t>
      </w:r>
      <w:r w:rsidRPr="006049EF">
        <w:rPr>
          <w:rFonts w:asciiTheme="majorHAnsi" w:eastAsia="Times New Roman" w:hAnsiTheme="majorHAnsi" w:cs="Arial"/>
          <w:lang w:eastAsia="en-AU"/>
        </w:rPr>
        <w:t xml:space="preserve"> Murdoch Children’</w:t>
      </w:r>
      <w:r w:rsidR="00AA4A05">
        <w:rPr>
          <w:rFonts w:asciiTheme="majorHAnsi" w:eastAsia="Times New Roman" w:hAnsiTheme="majorHAnsi" w:cs="Arial"/>
          <w:lang w:eastAsia="en-AU"/>
        </w:rPr>
        <w:t>s Research Institute, Melbourne</w:t>
      </w:r>
    </w:p>
    <w:p w14:paraId="51014222" w14:textId="2A6D5355" w:rsidR="000C4F55" w:rsidRPr="006049EF" w:rsidRDefault="000C4F55" w:rsidP="000C4F55">
      <w:pPr>
        <w:spacing w:line="276" w:lineRule="auto"/>
        <w:rPr>
          <w:rFonts w:asciiTheme="majorHAnsi" w:eastAsia="Times New Roman" w:hAnsiTheme="majorHAnsi" w:cs="Arial"/>
          <w:lang w:eastAsia="en-AU"/>
        </w:rPr>
      </w:pPr>
      <w:r w:rsidRPr="006049EF">
        <w:rPr>
          <w:rFonts w:asciiTheme="majorHAnsi" w:eastAsia="Times New Roman" w:hAnsiTheme="majorHAnsi" w:cs="Arial"/>
          <w:vertAlign w:val="superscript"/>
          <w:lang w:eastAsia="en-AU"/>
        </w:rPr>
        <w:t>3</w:t>
      </w:r>
      <w:r w:rsidRPr="006049EF">
        <w:rPr>
          <w:rFonts w:asciiTheme="majorHAnsi" w:eastAsia="Times New Roman" w:hAnsiTheme="majorHAnsi" w:cs="Arial"/>
          <w:lang w:eastAsia="en-AU"/>
        </w:rPr>
        <w:t xml:space="preserve"> Department of Paediatrics, Faculty of Medicine, University of </w:t>
      </w:r>
      <w:r w:rsidR="00982A5C">
        <w:rPr>
          <w:rFonts w:asciiTheme="majorHAnsi" w:eastAsia="Times New Roman" w:hAnsiTheme="majorHAnsi" w:cs="Arial"/>
          <w:lang w:eastAsia="en-AU"/>
        </w:rPr>
        <w:t>M</w:t>
      </w:r>
      <w:r w:rsidR="00AA4A05">
        <w:rPr>
          <w:rFonts w:asciiTheme="majorHAnsi" w:eastAsia="Times New Roman" w:hAnsiTheme="majorHAnsi" w:cs="Arial"/>
          <w:lang w:eastAsia="en-AU"/>
        </w:rPr>
        <w:t>elbourne</w:t>
      </w:r>
    </w:p>
    <w:p w14:paraId="751D668F" w14:textId="0C46805B" w:rsidR="00064401" w:rsidRPr="006049EF" w:rsidRDefault="00064401" w:rsidP="00064401">
      <w:pPr>
        <w:spacing w:line="276" w:lineRule="auto"/>
        <w:rPr>
          <w:rFonts w:asciiTheme="majorHAnsi" w:eastAsia="Times New Roman" w:hAnsiTheme="majorHAnsi" w:cs="Arial"/>
          <w:lang w:eastAsia="en-AU"/>
        </w:rPr>
      </w:pPr>
      <w:r w:rsidRPr="006049EF">
        <w:rPr>
          <w:rFonts w:asciiTheme="majorHAnsi" w:eastAsia="Times New Roman" w:hAnsiTheme="majorHAnsi" w:cs="Arial"/>
          <w:vertAlign w:val="superscript"/>
          <w:lang w:eastAsia="en-AU"/>
        </w:rPr>
        <w:t xml:space="preserve">4 </w:t>
      </w:r>
      <w:r w:rsidRPr="006049EF">
        <w:rPr>
          <w:rFonts w:asciiTheme="majorHAnsi" w:eastAsia="Times New Roman" w:hAnsiTheme="majorHAnsi" w:cs="Arial"/>
          <w:lang w:eastAsia="en-AU"/>
        </w:rPr>
        <w:t>Bristol Royal</w:t>
      </w:r>
      <w:r w:rsidR="00AA4A05">
        <w:rPr>
          <w:rFonts w:asciiTheme="majorHAnsi" w:eastAsia="Times New Roman" w:hAnsiTheme="majorHAnsi" w:cs="Arial"/>
          <w:lang w:eastAsia="en-AU"/>
        </w:rPr>
        <w:t xml:space="preserve"> Hospital for Children, Bristol</w:t>
      </w:r>
    </w:p>
    <w:p w14:paraId="1DFA6046" w14:textId="3F229EA0" w:rsidR="00064401" w:rsidRPr="006049EF" w:rsidRDefault="00064401" w:rsidP="00064401">
      <w:pPr>
        <w:spacing w:line="276" w:lineRule="auto"/>
        <w:rPr>
          <w:rFonts w:asciiTheme="majorHAnsi" w:eastAsia="Times New Roman" w:hAnsiTheme="majorHAnsi" w:cs="Arial"/>
          <w:lang w:eastAsia="en-AU"/>
        </w:rPr>
      </w:pPr>
      <w:r w:rsidRPr="006049EF">
        <w:rPr>
          <w:rFonts w:asciiTheme="majorHAnsi" w:eastAsia="Times New Roman" w:hAnsiTheme="majorHAnsi" w:cs="Arial"/>
          <w:vertAlign w:val="superscript"/>
          <w:lang w:eastAsia="en-AU"/>
        </w:rPr>
        <w:t xml:space="preserve">5 </w:t>
      </w:r>
      <w:r w:rsidRPr="006049EF">
        <w:rPr>
          <w:rFonts w:asciiTheme="majorHAnsi" w:eastAsia="Times New Roman" w:hAnsiTheme="majorHAnsi" w:cs="Arial"/>
          <w:lang w:eastAsia="en-AU"/>
        </w:rPr>
        <w:t>Academic Department of Emergency Care, University of the West of England, Bristol</w:t>
      </w:r>
    </w:p>
    <w:p w14:paraId="0B98A444" w14:textId="6E4EB1B7" w:rsidR="00064401" w:rsidRPr="006049EF" w:rsidRDefault="00064401" w:rsidP="00064401">
      <w:pPr>
        <w:spacing w:line="276" w:lineRule="auto"/>
        <w:rPr>
          <w:rFonts w:asciiTheme="majorHAnsi" w:eastAsia="Times New Roman" w:hAnsiTheme="majorHAnsi" w:cs="Arial"/>
          <w:lang w:eastAsia="en-AU"/>
        </w:rPr>
      </w:pPr>
      <w:r w:rsidRPr="006049EF">
        <w:rPr>
          <w:rFonts w:asciiTheme="majorHAnsi" w:eastAsia="Times New Roman" w:hAnsiTheme="majorHAnsi" w:cs="Arial"/>
          <w:vertAlign w:val="superscript"/>
          <w:lang w:eastAsia="en-AU"/>
        </w:rPr>
        <w:t xml:space="preserve">6 </w:t>
      </w:r>
      <w:r w:rsidRPr="006049EF">
        <w:rPr>
          <w:rFonts w:asciiTheme="majorHAnsi" w:eastAsia="Times New Roman" w:hAnsiTheme="majorHAnsi" w:cs="Arial"/>
          <w:lang w:eastAsia="en-AU"/>
        </w:rPr>
        <w:t>Department of Women’s and Child Heat</w:t>
      </w:r>
      <w:r w:rsidR="00AA4A05">
        <w:rPr>
          <w:rFonts w:asciiTheme="majorHAnsi" w:eastAsia="Times New Roman" w:hAnsiTheme="majorHAnsi" w:cs="Arial"/>
          <w:lang w:eastAsia="en-AU"/>
        </w:rPr>
        <w:t xml:space="preserve">h, University of </w:t>
      </w:r>
      <w:proofErr w:type="spellStart"/>
      <w:r w:rsidR="00AA4A05">
        <w:rPr>
          <w:rFonts w:asciiTheme="majorHAnsi" w:eastAsia="Times New Roman" w:hAnsiTheme="majorHAnsi" w:cs="Arial"/>
          <w:lang w:eastAsia="en-AU"/>
        </w:rPr>
        <w:t>Padova</w:t>
      </w:r>
      <w:proofErr w:type="spellEnd"/>
      <w:r w:rsidR="00AA4A05">
        <w:rPr>
          <w:rFonts w:asciiTheme="majorHAnsi" w:eastAsia="Times New Roman" w:hAnsiTheme="majorHAnsi" w:cs="Arial"/>
          <w:lang w:eastAsia="en-AU"/>
        </w:rPr>
        <w:t xml:space="preserve">, </w:t>
      </w:r>
      <w:proofErr w:type="spellStart"/>
      <w:r w:rsidR="00AA4A05">
        <w:rPr>
          <w:rFonts w:asciiTheme="majorHAnsi" w:eastAsia="Times New Roman" w:hAnsiTheme="majorHAnsi" w:cs="Arial"/>
          <w:lang w:eastAsia="en-AU"/>
        </w:rPr>
        <w:t>Padova</w:t>
      </w:r>
      <w:proofErr w:type="spellEnd"/>
    </w:p>
    <w:p w14:paraId="49E9181C" w14:textId="3A4917DC" w:rsidR="000C4F55" w:rsidRPr="006049EF" w:rsidRDefault="00064401" w:rsidP="000C4F55">
      <w:pPr>
        <w:spacing w:line="276" w:lineRule="auto"/>
        <w:rPr>
          <w:rFonts w:asciiTheme="majorHAnsi" w:eastAsia="Times New Roman" w:hAnsiTheme="majorHAnsi" w:cs="Arial"/>
          <w:lang w:eastAsia="en-AU"/>
        </w:rPr>
      </w:pPr>
      <w:r w:rsidRPr="006049EF">
        <w:rPr>
          <w:rFonts w:asciiTheme="majorHAnsi" w:eastAsia="Times New Roman" w:hAnsiTheme="majorHAnsi" w:cs="Arial"/>
          <w:vertAlign w:val="superscript"/>
          <w:lang w:eastAsia="en-AU"/>
        </w:rPr>
        <w:t>7</w:t>
      </w:r>
      <w:r w:rsidR="000C4F55" w:rsidRPr="006049EF">
        <w:rPr>
          <w:rFonts w:asciiTheme="majorHAnsi" w:eastAsia="Times New Roman" w:hAnsiTheme="majorHAnsi" w:cs="Arial"/>
          <w:vertAlign w:val="superscript"/>
          <w:lang w:eastAsia="en-AU"/>
        </w:rPr>
        <w:t xml:space="preserve"> </w:t>
      </w:r>
      <w:r w:rsidR="000C4F55" w:rsidRPr="006049EF">
        <w:rPr>
          <w:rFonts w:asciiTheme="majorHAnsi" w:eastAsia="Times New Roman" w:hAnsiTheme="majorHAnsi" w:cs="Arial"/>
          <w:lang w:eastAsia="en-AU"/>
        </w:rPr>
        <w:t>Princess Margar</w:t>
      </w:r>
      <w:r w:rsidR="00AA4A05">
        <w:rPr>
          <w:rFonts w:asciiTheme="majorHAnsi" w:eastAsia="Times New Roman" w:hAnsiTheme="majorHAnsi" w:cs="Arial"/>
          <w:lang w:eastAsia="en-AU"/>
        </w:rPr>
        <w:t>et Hospital for Children, Perth</w:t>
      </w:r>
    </w:p>
    <w:p w14:paraId="19A38293" w14:textId="2897F902" w:rsidR="003C2356" w:rsidRPr="003C2356" w:rsidRDefault="00064401" w:rsidP="003C2356">
      <w:pPr>
        <w:spacing w:line="276" w:lineRule="auto"/>
        <w:rPr>
          <w:rFonts w:asciiTheme="majorHAnsi" w:eastAsia="Times New Roman" w:hAnsiTheme="majorHAnsi" w:cs="Arial"/>
          <w:lang w:eastAsia="en-AU"/>
        </w:rPr>
      </w:pPr>
      <w:r w:rsidRPr="006049EF">
        <w:rPr>
          <w:rFonts w:asciiTheme="majorHAnsi" w:eastAsia="Times New Roman" w:hAnsiTheme="majorHAnsi" w:cs="Arial"/>
          <w:vertAlign w:val="superscript"/>
          <w:lang w:eastAsia="en-AU"/>
        </w:rPr>
        <w:t>8</w:t>
      </w:r>
      <w:r w:rsidR="000C4F55" w:rsidRPr="006049EF">
        <w:rPr>
          <w:rFonts w:asciiTheme="majorHAnsi" w:eastAsia="Times New Roman" w:hAnsiTheme="majorHAnsi" w:cs="Arial"/>
          <w:vertAlign w:val="superscript"/>
          <w:lang w:eastAsia="en-AU"/>
        </w:rPr>
        <w:t xml:space="preserve"> </w:t>
      </w:r>
      <w:r w:rsidR="003C2356" w:rsidRPr="003C2356">
        <w:rPr>
          <w:rFonts w:asciiTheme="majorHAnsi" w:eastAsia="Times New Roman" w:hAnsiTheme="majorHAnsi" w:cs="Arial"/>
          <w:lang w:eastAsia="en-AU"/>
        </w:rPr>
        <w:t xml:space="preserve">Schools of Medicine, </w:t>
      </w:r>
      <w:r w:rsidR="00AA4A05">
        <w:rPr>
          <w:rFonts w:asciiTheme="majorHAnsi" w:eastAsia="Times New Roman" w:hAnsiTheme="majorHAnsi" w:cs="Arial"/>
          <w:lang w:eastAsia="en-AU"/>
        </w:rPr>
        <w:t>University of Western Australia</w:t>
      </w:r>
    </w:p>
    <w:p w14:paraId="19F7ECBA" w14:textId="7AD96AA2" w:rsidR="000C4F55" w:rsidRPr="006049EF" w:rsidRDefault="00064401" w:rsidP="000C4F55">
      <w:pPr>
        <w:spacing w:line="276" w:lineRule="auto"/>
        <w:rPr>
          <w:rFonts w:asciiTheme="majorHAnsi" w:eastAsia="Times New Roman" w:hAnsiTheme="majorHAnsi" w:cs="Arial"/>
          <w:lang w:eastAsia="en-AU"/>
        </w:rPr>
      </w:pPr>
      <w:r w:rsidRPr="006049EF">
        <w:rPr>
          <w:rFonts w:asciiTheme="majorHAnsi" w:eastAsia="Times New Roman" w:hAnsiTheme="majorHAnsi" w:cs="Arial"/>
          <w:vertAlign w:val="superscript"/>
          <w:lang w:eastAsia="en-AU"/>
        </w:rPr>
        <w:t>9</w:t>
      </w:r>
      <w:r w:rsidR="000C4F55" w:rsidRPr="006049EF">
        <w:rPr>
          <w:rFonts w:asciiTheme="majorHAnsi" w:eastAsia="Times New Roman" w:hAnsiTheme="majorHAnsi" w:cs="Arial"/>
          <w:vertAlign w:val="superscript"/>
          <w:lang w:eastAsia="en-AU"/>
        </w:rPr>
        <w:t xml:space="preserve"> </w:t>
      </w:r>
      <w:r w:rsidR="000C4F55" w:rsidRPr="006049EF">
        <w:rPr>
          <w:rFonts w:asciiTheme="majorHAnsi" w:eastAsia="Times New Roman" w:hAnsiTheme="majorHAnsi" w:cs="Arial"/>
          <w:lang w:eastAsia="en-AU"/>
        </w:rPr>
        <w:t xml:space="preserve">Lady </w:t>
      </w:r>
      <w:proofErr w:type="spellStart"/>
      <w:r w:rsidR="000C4F55" w:rsidRPr="006049EF">
        <w:rPr>
          <w:rFonts w:asciiTheme="majorHAnsi" w:eastAsia="Times New Roman" w:hAnsiTheme="majorHAnsi" w:cs="Arial"/>
          <w:lang w:eastAsia="en-AU"/>
        </w:rPr>
        <w:t>Cilento</w:t>
      </w:r>
      <w:proofErr w:type="spellEnd"/>
      <w:r w:rsidR="000C4F55" w:rsidRPr="006049EF">
        <w:rPr>
          <w:rFonts w:asciiTheme="majorHAnsi" w:eastAsia="Times New Roman" w:hAnsiTheme="majorHAnsi" w:cs="Arial"/>
          <w:lang w:eastAsia="en-AU"/>
        </w:rPr>
        <w:t xml:space="preserve"> Children’s Hospital, Brisbane</w:t>
      </w:r>
    </w:p>
    <w:p w14:paraId="09CF5C23" w14:textId="01DCBD5F" w:rsidR="000C4F55" w:rsidRPr="006049EF" w:rsidRDefault="00064401" w:rsidP="000C4F55">
      <w:pPr>
        <w:spacing w:line="276" w:lineRule="auto"/>
        <w:rPr>
          <w:rFonts w:asciiTheme="majorHAnsi" w:eastAsia="Times New Roman" w:hAnsiTheme="majorHAnsi" w:cs="Arial"/>
          <w:lang w:eastAsia="en-AU"/>
        </w:rPr>
      </w:pPr>
      <w:r w:rsidRPr="006049EF">
        <w:rPr>
          <w:rFonts w:asciiTheme="majorHAnsi" w:eastAsia="Times New Roman" w:hAnsiTheme="majorHAnsi" w:cs="Arial"/>
          <w:vertAlign w:val="superscript"/>
          <w:lang w:eastAsia="en-AU"/>
        </w:rPr>
        <w:t>10</w:t>
      </w:r>
      <w:r w:rsidR="000C4F55" w:rsidRPr="006049EF">
        <w:rPr>
          <w:rFonts w:asciiTheme="majorHAnsi" w:eastAsia="Times New Roman" w:hAnsiTheme="majorHAnsi" w:cs="Arial"/>
          <w:vertAlign w:val="superscript"/>
          <w:lang w:eastAsia="en-AU"/>
        </w:rPr>
        <w:t xml:space="preserve"> </w:t>
      </w:r>
      <w:r w:rsidR="000C4F55" w:rsidRPr="006049EF">
        <w:rPr>
          <w:rFonts w:asciiTheme="majorHAnsi" w:eastAsia="Times New Roman" w:hAnsiTheme="majorHAnsi" w:cs="Arial"/>
          <w:lang w:eastAsia="en-AU"/>
        </w:rPr>
        <w:t>Women’s &amp; Children’s Hospital, Adelaide</w:t>
      </w:r>
    </w:p>
    <w:p w14:paraId="7E518BCE" w14:textId="0C598403" w:rsidR="000C4F55" w:rsidRPr="006049EF" w:rsidRDefault="00064401" w:rsidP="000C4F55">
      <w:pPr>
        <w:spacing w:line="276" w:lineRule="auto"/>
        <w:rPr>
          <w:rFonts w:asciiTheme="majorHAnsi" w:eastAsia="Times New Roman" w:hAnsiTheme="majorHAnsi" w:cs="Arial"/>
          <w:lang w:eastAsia="en-AU"/>
        </w:rPr>
      </w:pPr>
      <w:r w:rsidRPr="006049EF">
        <w:rPr>
          <w:rFonts w:asciiTheme="majorHAnsi" w:eastAsia="Times New Roman" w:hAnsiTheme="majorHAnsi" w:cs="Arial"/>
          <w:vertAlign w:val="superscript"/>
          <w:lang w:eastAsia="en-AU"/>
        </w:rPr>
        <w:t>11</w:t>
      </w:r>
      <w:r w:rsidR="000C4F55" w:rsidRPr="006049EF">
        <w:rPr>
          <w:rFonts w:asciiTheme="majorHAnsi" w:eastAsia="Times New Roman" w:hAnsiTheme="majorHAnsi" w:cs="Arial"/>
          <w:lang w:eastAsia="en-AU"/>
        </w:rPr>
        <w:t xml:space="preserve"> The Children’s Hospital at Westmead, Sydney</w:t>
      </w:r>
    </w:p>
    <w:p w14:paraId="1B8B0C95" w14:textId="26DFBA21" w:rsidR="000C4F55" w:rsidRPr="006049EF" w:rsidRDefault="00064401" w:rsidP="000C4F55">
      <w:pPr>
        <w:spacing w:line="276" w:lineRule="auto"/>
        <w:rPr>
          <w:rFonts w:asciiTheme="majorHAnsi" w:eastAsia="Times New Roman" w:hAnsiTheme="majorHAnsi" w:cs="Arial"/>
          <w:lang w:eastAsia="en-AU"/>
        </w:rPr>
      </w:pPr>
      <w:r w:rsidRPr="006049EF">
        <w:rPr>
          <w:rFonts w:asciiTheme="majorHAnsi" w:eastAsia="Times New Roman" w:hAnsiTheme="majorHAnsi" w:cs="Arial"/>
          <w:vertAlign w:val="superscript"/>
          <w:lang w:eastAsia="en-AU"/>
        </w:rPr>
        <w:t>12</w:t>
      </w:r>
      <w:r w:rsidR="000C4F55" w:rsidRPr="006049EF">
        <w:rPr>
          <w:rFonts w:asciiTheme="majorHAnsi" w:eastAsia="Times New Roman" w:hAnsiTheme="majorHAnsi" w:cs="Arial"/>
          <w:lang w:eastAsia="en-AU"/>
        </w:rPr>
        <w:t xml:space="preserve"> M</w:t>
      </w:r>
      <w:r w:rsidR="00AA4A05">
        <w:rPr>
          <w:rFonts w:asciiTheme="majorHAnsi" w:eastAsia="Times New Roman" w:hAnsiTheme="majorHAnsi" w:cs="Arial"/>
          <w:lang w:eastAsia="en-AU"/>
        </w:rPr>
        <w:t>onash Medical Centre, Melbourne</w:t>
      </w:r>
    </w:p>
    <w:p w14:paraId="25743C1F" w14:textId="08E38C2E" w:rsidR="000C4F55" w:rsidRPr="006049EF" w:rsidRDefault="000C4F55" w:rsidP="000C4F55">
      <w:pPr>
        <w:spacing w:line="276" w:lineRule="auto"/>
        <w:rPr>
          <w:rFonts w:asciiTheme="majorHAnsi" w:eastAsia="Times New Roman" w:hAnsiTheme="majorHAnsi" w:cs="Arial"/>
          <w:lang w:eastAsia="en-AU"/>
        </w:rPr>
      </w:pPr>
      <w:r w:rsidRPr="006049EF">
        <w:rPr>
          <w:rFonts w:asciiTheme="majorHAnsi" w:eastAsia="Times New Roman" w:hAnsiTheme="majorHAnsi" w:cs="Arial"/>
          <w:vertAlign w:val="superscript"/>
          <w:lang w:eastAsia="en-AU"/>
        </w:rPr>
        <w:t>1</w:t>
      </w:r>
      <w:r w:rsidR="00064401" w:rsidRPr="006049EF">
        <w:rPr>
          <w:rFonts w:asciiTheme="majorHAnsi" w:eastAsia="Times New Roman" w:hAnsiTheme="majorHAnsi" w:cs="Arial"/>
          <w:vertAlign w:val="superscript"/>
          <w:lang w:eastAsia="en-AU"/>
        </w:rPr>
        <w:t>3</w:t>
      </w:r>
      <w:r w:rsidRPr="006049EF">
        <w:rPr>
          <w:rFonts w:asciiTheme="majorHAnsi" w:eastAsia="Times New Roman" w:hAnsiTheme="majorHAnsi" w:cs="Arial"/>
          <w:lang w:eastAsia="en-AU"/>
        </w:rPr>
        <w:t xml:space="preserve"> The Townsville Hospital, Townsvi</w:t>
      </w:r>
      <w:r w:rsidR="00AA4A05">
        <w:rPr>
          <w:rFonts w:asciiTheme="majorHAnsi" w:eastAsia="Times New Roman" w:hAnsiTheme="majorHAnsi" w:cs="Arial"/>
          <w:lang w:eastAsia="en-AU"/>
        </w:rPr>
        <w:t>lle</w:t>
      </w:r>
    </w:p>
    <w:p w14:paraId="46DAB2F5" w14:textId="1C857217" w:rsidR="000C4F55" w:rsidRPr="006049EF" w:rsidRDefault="000C4F55" w:rsidP="000C4F55">
      <w:pPr>
        <w:spacing w:line="276" w:lineRule="auto"/>
        <w:rPr>
          <w:rFonts w:asciiTheme="majorHAnsi" w:eastAsia="Times New Roman" w:hAnsiTheme="majorHAnsi" w:cs="Arial"/>
          <w:lang w:eastAsia="en-AU"/>
        </w:rPr>
      </w:pPr>
      <w:r w:rsidRPr="006049EF">
        <w:rPr>
          <w:rFonts w:asciiTheme="majorHAnsi" w:eastAsia="Times New Roman" w:hAnsiTheme="majorHAnsi" w:cs="Arial"/>
          <w:vertAlign w:val="superscript"/>
          <w:lang w:eastAsia="en-AU"/>
        </w:rPr>
        <w:t>1</w:t>
      </w:r>
      <w:r w:rsidR="00064401" w:rsidRPr="006049EF">
        <w:rPr>
          <w:rFonts w:asciiTheme="majorHAnsi" w:eastAsia="Times New Roman" w:hAnsiTheme="majorHAnsi" w:cs="Arial"/>
          <w:vertAlign w:val="superscript"/>
          <w:lang w:eastAsia="en-AU"/>
        </w:rPr>
        <w:t>4</w:t>
      </w:r>
      <w:r w:rsidRPr="006049EF">
        <w:rPr>
          <w:rFonts w:asciiTheme="majorHAnsi" w:eastAsia="Times New Roman" w:hAnsiTheme="majorHAnsi" w:cs="Arial"/>
          <w:lang w:eastAsia="en-AU"/>
        </w:rPr>
        <w:t xml:space="preserve"> </w:t>
      </w:r>
      <w:proofErr w:type="spellStart"/>
      <w:r w:rsidRPr="006049EF">
        <w:rPr>
          <w:rFonts w:asciiTheme="majorHAnsi" w:eastAsia="Times New Roman" w:hAnsiTheme="majorHAnsi" w:cs="Arial"/>
          <w:lang w:eastAsia="en-AU"/>
        </w:rPr>
        <w:t>Kidzfirst</w:t>
      </w:r>
      <w:proofErr w:type="spellEnd"/>
      <w:r w:rsidRPr="006049EF">
        <w:rPr>
          <w:rFonts w:asciiTheme="majorHAnsi" w:eastAsia="Times New Roman" w:hAnsiTheme="majorHAnsi" w:cs="Arial"/>
          <w:lang w:eastAsia="en-AU"/>
        </w:rPr>
        <w:t xml:space="preserve"> Middlemore Hospital, Auckland</w:t>
      </w:r>
    </w:p>
    <w:p w14:paraId="3A681A9A" w14:textId="5180A19F" w:rsidR="000C4F55" w:rsidRPr="006049EF" w:rsidRDefault="000C4F55" w:rsidP="000C4F55">
      <w:pPr>
        <w:spacing w:line="276" w:lineRule="auto"/>
        <w:rPr>
          <w:rFonts w:asciiTheme="majorHAnsi" w:eastAsia="Times New Roman" w:hAnsiTheme="majorHAnsi" w:cs="Arial"/>
          <w:lang w:eastAsia="en-AU"/>
        </w:rPr>
      </w:pPr>
      <w:r w:rsidRPr="006049EF">
        <w:rPr>
          <w:rFonts w:asciiTheme="majorHAnsi" w:eastAsia="Times New Roman" w:hAnsiTheme="majorHAnsi" w:cs="Arial"/>
          <w:vertAlign w:val="superscript"/>
          <w:lang w:eastAsia="en-AU"/>
        </w:rPr>
        <w:t>15</w:t>
      </w:r>
      <w:r w:rsidRPr="006049EF">
        <w:rPr>
          <w:rFonts w:asciiTheme="majorHAnsi" w:eastAsia="Times New Roman" w:hAnsiTheme="majorHAnsi" w:cs="Arial"/>
          <w:lang w:eastAsia="en-AU"/>
        </w:rPr>
        <w:t xml:space="preserve"> Stars</w:t>
      </w:r>
      <w:r w:rsidR="00AA4A05">
        <w:rPr>
          <w:rFonts w:asciiTheme="majorHAnsi" w:eastAsia="Times New Roman" w:hAnsiTheme="majorHAnsi" w:cs="Arial"/>
          <w:lang w:eastAsia="en-AU"/>
        </w:rPr>
        <w:t>hip Children’s Health, Auckland</w:t>
      </w:r>
    </w:p>
    <w:p w14:paraId="44931794" w14:textId="0BA895B4" w:rsidR="000C4F55" w:rsidRPr="006049EF" w:rsidRDefault="000C4F55" w:rsidP="000C4F55">
      <w:pPr>
        <w:spacing w:line="276" w:lineRule="auto"/>
        <w:rPr>
          <w:rFonts w:asciiTheme="majorHAnsi" w:eastAsia="Times New Roman" w:hAnsiTheme="majorHAnsi" w:cs="Arial"/>
          <w:lang w:eastAsia="en-AU"/>
        </w:rPr>
      </w:pPr>
      <w:proofErr w:type="gramStart"/>
      <w:r w:rsidRPr="006049EF">
        <w:rPr>
          <w:rFonts w:asciiTheme="majorHAnsi" w:eastAsia="Times New Roman" w:hAnsiTheme="majorHAnsi" w:cs="Arial"/>
          <w:vertAlign w:val="superscript"/>
          <w:lang w:eastAsia="en-AU"/>
        </w:rPr>
        <w:t xml:space="preserve">16  </w:t>
      </w:r>
      <w:proofErr w:type="spellStart"/>
      <w:r w:rsidRPr="006049EF">
        <w:rPr>
          <w:rFonts w:asciiTheme="majorHAnsi" w:eastAsia="Times New Roman" w:hAnsiTheme="majorHAnsi" w:cs="Arial"/>
          <w:lang w:eastAsia="en-AU"/>
        </w:rPr>
        <w:t>Liggins</w:t>
      </w:r>
      <w:proofErr w:type="spellEnd"/>
      <w:proofErr w:type="gramEnd"/>
      <w:r w:rsidRPr="006049EF">
        <w:rPr>
          <w:rFonts w:asciiTheme="majorHAnsi" w:eastAsia="Times New Roman" w:hAnsiTheme="majorHAnsi" w:cs="Arial"/>
          <w:lang w:eastAsia="en-AU"/>
        </w:rPr>
        <w:t xml:space="preserve"> Institute, University of Auckland</w:t>
      </w:r>
    </w:p>
    <w:p w14:paraId="01FCC6FC" w14:textId="77777777" w:rsidR="002519BA" w:rsidRDefault="002519BA" w:rsidP="000C4F55">
      <w:pPr>
        <w:spacing w:line="276" w:lineRule="auto"/>
        <w:rPr>
          <w:rFonts w:asciiTheme="majorHAnsi" w:eastAsia="Times New Roman" w:hAnsiTheme="majorHAnsi" w:cs="Arial"/>
          <w:lang w:eastAsia="en-AU"/>
        </w:rPr>
      </w:pPr>
      <w:r w:rsidRPr="002519BA">
        <w:rPr>
          <w:rFonts w:asciiTheme="majorHAnsi" w:eastAsia="Times New Roman" w:hAnsiTheme="majorHAnsi" w:cs="Arial"/>
          <w:vertAlign w:val="superscript"/>
          <w:lang w:eastAsia="en-AU"/>
        </w:rPr>
        <w:t>17</w:t>
      </w:r>
      <w:r>
        <w:rPr>
          <w:rFonts w:asciiTheme="majorHAnsi" w:eastAsia="Times New Roman" w:hAnsiTheme="majorHAnsi" w:cs="Arial"/>
          <w:lang w:eastAsia="en-AU"/>
        </w:rPr>
        <w:t xml:space="preserve"> Queensland Injury Surveillance Unit</w:t>
      </w:r>
      <w:bookmarkStart w:id="0" w:name="_GoBack"/>
      <w:bookmarkEnd w:id="0"/>
    </w:p>
    <w:p w14:paraId="625081BD" w14:textId="7B76C8C8" w:rsidR="000C4F55" w:rsidRPr="006049EF" w:rsidRDefault="000C4F55" w:rsidP="000C4F55">
      <w:pPr>
        <w:spacing w:after="160" w:line="259" w:lineRule="auto"/>
        <w:rPr>
          <w:rFonts w:asciiTheme="majorHAnsi" w:hAnsiTheme="majorHAnsi"/>
        </w:rPr>
      </w:pPr>
    </w:p>
    <w:p w14:paraId="4D957453" w14:textId="77777777" w:rsidR="000C4F55" w:rsidRPr="006049EF" w:rsidRDefault="000C4F55" w:rsidP="000C4F55">
      <w:pPr>
        <w:rPr>
          <w:rFonts w:asciiTheme="majorHAnsi" w:hAnsiTheme="majorHAnsi" w:cs="Arial"/>
          <w:b/>
        </w:rPr>
      </w:pPr>
      <w:r w:rsidRPr="006049EF">
        <w:rPr>
          <w:rFonts w:asciiTheme="majorHAnsi" w:hAnsiTheme="majorHAnsi" w:cs="Arial"/>
          <w:b/>
        </w:rPr>
        <w:t>CORRESPONDING AUTHOR:</w:t>
      </w:r>
    </w:p>
    <w:p w14:paraId="799C71BC" w14:textId="77777777" w:rsidR="000C4F55" w:rsidRPr="006049EF" w:rsidRDefault="000C4F55" w:rsidP="000C4F55">
      <w:pPr>
        <w:rPr>
          <w:rFonts w:asciiTheme="majorHAnsi" w:hAnsiTheme="majorHAnsi" w:cs="Arial"/>
          <w:lang w:val="it-IT"/>
        </w:rPr>
      </w:pPr>
      <w:r w:rsidRPr="006049EF">
        <w:rPr>
          <w:rFonts w:asciiTheme="majorHAnsi" w:hAnsiTheme="majorHAnsi" w:cs="Arial"/>
        </w:rPr>
        <w:t xml:space="preserve">Franz E </w:t>
      </w:r>
      <w:proofErr w:type="spellStart"/>
      <w:r w:rsidRPr="006049EF">
        <w:rPr>
          <w:rFonts w:asciiTheme="majorHAnsi" w:hAnsiTheme="majorHAnsi" w:cs="Arial"/>
        </w:rPr>
        <w:t>Babl</w:t>
      </w:r>
      <w:proofErr w:type="spellEnd"/>
    </w:p>
    <w:p w14:paraId="01C4347C" w14:textId="77777777" w:rsidR="000C4F55" w:rsidRPr="006049EF" w:rsidRDefault="000C4F55" w:rsidP="000C4F55">
      <w:pPr>
        <w:rPr>
          <w:rFonts w:asciiTheme="majorHAnsi" w:hAnsiTheme="majorHAnsi"/>
          <w:lang w:eastAsia="en-AU"/>
        </w:rPr>
      </w:pPr>
      <w:r w:rsidRPr="006049EF">
        <w:rPr>
          <w:rFonts w:asciiTheme="majorHAnsi" w:hAnsiTheme="majorHAnsi"/>
          <w:lang w:eastAsia="en-AU"/>
        </w:rPr>
        <w:t>Emergency Research</w:t>
      </w:r>
    </w:p>
    <w:p w14:paraId="5F1E1DD6" w14:textId="38EE5A8B" w:rsidR="000C4F55" w:rsidRPr="006049EF" w:rsidRDefault="000C4F55" w:rsidP="000C4F55">
      <w:pPr>
        <w:rPr>
          <w:rFonts w:asciiTheme="majorHAnsi" w:hAnsiTheme="majorHAnsi" w:cs="Arial"/>
          <w:lang w:val="it-IT"/>
        </w:rPr>
      </w:pPr>
      <w:r w:rsidRPr="006049EF">
        <w:rPr>
          <w:rFonts w:asciiTheme="majorHAnsi" w:hAnsiTheme="majorHAnsi"/>
          <w:lang w:eastAsia="en-AU"/>
        </w:rPr>
        <w:t>Murdoch Children</w:t>
      </w:r>
      <w:r w:rsidR="0023714C">
        <w:rPr>
          <w:rFonts w:asciiTheme="majorHAnsi" w:hAnsiTheme="majorHAnsi"/>
          <w:lang w:eastAsia="en-AU"/>
        </w:rPr>
        <w:t>’</w:t>
      </w:r>
      <w:r w:rsidRPr="006049EF">
        <w:rPr>
          <w:rFonts w:asciiTheme="majorHAnsi" w:hAnsiTheme="majorHAnsi"/>
          <w:lang w:eastAsia="en-AU"/>
        </w:rPr>
        <w:t>s Research Institute</w:t>
      </w:r>
      <w:r w:rsidRPr="006049EF">
        <w:rPr>
          <w:rFonts w:asciiTheme="majorHAnsi" w:hAnsiTheme="majorHAnsi"/>
          <w:lang w:eastAsia="en-AU"/>
        </w:rPr>
        <w:br/>
        <w:t>Flemington Rd</w:t>
      </w:r>
      <w:r w:rsidRPr="006049EF">
        <w:rPr>
          <w:rFonts w:asciiTheme="majorHAnsi" w:hAnsiTheme="majorHAnsi"/>
          <w:lang w:eastAsia="en-AU"/>
        </w:rPr>
        <w:br/>
        <w:t>Parkville</w:t>
      </w:r>
      <w:r w:rsidRPr="006049EF">
        <w:rPr>
          <w:rFonts w:asciiTheme="majorHAnsi" w:hAnsiTheme="majorHAnsi"/>
          <w:lang w:eastAsia="en-AU"/>
        </w:rPr>
        <w:br/>
        <w:t>Victoria 3052</w:t>
      </w:r>
      <w:r w:rsidRPr="006049EF">
        <w:rPr>
          <w:rFonts w:asciiTheme="majorHAnsi" w:hAnsiTheme="majorHAnsi" w:cs="Arial"/>
          <w:lang w:val="it-IT"/>
        </w:rPr>
        <w:t xml:space="preserve"> </w:t>
      </w:r>
    </w:p>
    <w:p w14:paraId="216B7BB4" w14:textId="77777777" w:rsidR="000C4F55" w:rsidRPr="006049EF" w:rsidRDefault="000C4F55" w:rsidP="000C4F55">
      <w:pPr>
        <w:rPr>
          <w:rFonts w:asciiTheme="majorHAnsi" w:hAnsiTheme="majorHAnsi" w:cs="Arial"/>
          <w:lang w:val="it-IT"/>
        </w:rPr>
      </w:pPr>
      <w:r w:rsidRPr="006049EF">
        <w:rPr>
          <w:rFonts w:asciiTheme="majorHAnsi" w:hAnsiTheme="majorHAnsi" w:cs="Arial"/>
          <w:lang w:val="it-IT"/>
        </w:rPr>
        <w:t>Australia</w:t>
      </w:r>
    </w:p>
    <w:p w14:paraId="33757485" w14:textId="77777777" w:rsidR="000C4F55" w:rsidRPr="006049EF" w:rsidRDefault="000C4F55" w:rsidP="000C4F55">
      <w:pPr>
        <w:rPr>
          <w:rFonts w:asciiTheme="majorHAnsi" w:hAnsiTheme="majorHAnsi" w:cs="Arial"/>
          <w:lang w:val="it-IT"/>
        </w:rPr>
      </w:pPr>
      <w:r w:rsidRPr="006049EF">
        <w:rPr>
          <w:rFonts w:asciiTheme="majorHAnsi" w:hAnsiTheme="majorHAnsi" w:cs="Arial"/>
          <w:lang w:val="it-IT"/>
        </w:rPr>
        <w:t>Phone 61 3 9345 6153</w:t>
      </w:r>
    </w:p>
    <w:p w14:paraId="3C03DAC6" w14:textId="77777777" w:rsidR="000C4F55" w:rsidRPr="006049EF" w:rsidRDefault="000C4F55" w:rsidP="000C4F55">
      <w:pPr>
        <w:rPr>
          <w:rFonts w:asciiTheme="majorHAnsi" w:hAnsiTheme="majorHAnsi" w:cs="Arial"/>
          <w:lang w:val="it-IT"/>
        </w:rPr>
      </w:pPr>
      <w:r w:rsidRPr="006049EF">
        <w:rPr>
          <w:rFonts w:asciiTheme="majorHAnsi" w:hAnsiTheme="majorHAnsi" w:cs="Arial"/>
          <w:lang w:val="it-IT"/>
        </w:rPr>
        <w:t>Fax 61 3 9345 600</w:t>
      </w:r>
    </w:p>
    <w:p w14:paraId="7AECAA34" w14:textId="214ED276" w:rsidR="000C4F55" w:rsidRPr="006049EF" w:rsidRDefault="000C4F55" w:rsidP="000C4F55">
      <w:pPr>
        <w:rPr>
          <w:rFonts w:asciiTheme="majorHAnsi" w:hAnsiTheme="majorHAnsi" w:cs="Arial"/>
          <w:lang w:val="it-IT"/>
        </w:rPr>
      </w:pPr>
      <w:r w:rsidRPr="006049EF">
        <w:rPr>
          <w:rFonts w:asciiTheme="majorHAnsi" w:hAnsiTheme="majorHAnsi" w:cs="Arial"/>
          <w:lang w:val="it-IT"/>
        </w:rPr>
        <w:t xml:space="preserve">Email </w:t>
      </w:r>
      <w:hyperlink r:id="rId8" w:history="1">
        <w:r w:rsidR="00982A5C" w:rsidRPr="00172362">
          <w:rPr>
            <w:rStyle w:val="Hyperlink"/>
            <w:rFonts w:asciiTheme="majorHAnsi" w:hAnsiTheme="majorHAnsi" w:cs="Arial"/>
            <w:lang w:val="it-IT"/>
          </w:rPr>
          <w:t>franz.babl@rch.org.au</w:t>
        </w:r>
      </w:hyperlink>
    </w:p>
    <w:p w14:paraId="644A89A5" w14:textId="77777777" w:rsidR="000C4F55" w:rsidRPr="006049EF" w:rsidRDefault="000C4F55" w:rsidP="009D7561">
      <w:pPr>
        <w:spacing w:line="276" w:lineRule="auto"/>
        <w:rPr>
          <w:rFonts w:asciiTheme="majorHAnsi" w:eastAsia="Times New Roman" w:hAnsiTheme="majorHAnsi" w:cs="Arial"/>
          <w:vertAlign w:val="superscript"/>
          <w:lang w:eastAsia="en-AU"/>
        </w:rPr>
      </w:pPr>
    </w:p>
    <w:p w14:paraId="1A8F696B" w14:textId="2273E04F" w:rsidR="008D52BE" w:rsidRDefault="008D52BE">
      <w:pPr>
        <w:rPr>
          <w:rFonts w:asciiTheme="majorHAnsi" w:eastAsia="Times New Roman" w:hAnsiTheme="majorHAnsi" w:cs="Arial"/>
          <w:lang w:eastAsia="en-AU"/>
        </w:rPr>
      </w:pPr>
      <w:r>
        <w:rPr>
          <w:rFonts w:asciiTheme="majorHAnsi" w:eastAsia="Times New Roman" w:hAnsiTheme="majorHAnsi" w:cs="Arial"/>
          <w:lang w:eastAsia="en-AU"/>
        </w:rPr>
        <w:br w:type="page"/>
      </w:r>
    </w:p>
    <w:p w14:paraId="48426C16" w14:textId="5689D051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>
        <w:rPr>
          <w:rFonts w:eastAsiaTheme="minorEastAsia" w:cs="Calibri"/>
          <w:b/>
          <w:lang w:val="en-GB"/>
        </w:rPr>
        <w:lastRenderedPageBreak/>
        <w:t>ABSTRACT</w:t>
      </w:r>
    </w:p>
    <w:p w14:paraId="3479E28A" w14:textId="0AED2AD3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Aim: Penetrating head injuries (</w:t>
      </w:r>
      <w:proofErr w:type="spellStart"/>
      <w:r w:rsidRPr="008D52BE">
        <w:rPr>
          <w:rFonts w:eastAsiaTheme="minorEastAsia" w:cs="Calibri"/>
          <w:lang w:val="en-GB"/>
        </w:rPr>
        <w:t>pHIs</w:t>
      </w:r>
      <w:proofErr w:type="spellEnd"/>
      <w:r w:rsidRPr="008D52BE">
        <w:rPr>
          <w:rFonts w:eastAsiaTheme="minorEastAsia" w:cs="Calibri"/>
          <w:lang w:val="en-GB"/>
        </w:rPr>
        <w:t xml:space="preserve">) are associated with high morbidity and mortality. Data on </w:t>
      </w:r>
      <w:proofErr w:type="spellStart"/>
      <w:r w:rsidRPr="008D52BE">
        <w:rPr>
          <w:rFonts w:eastAsiaTheme="minorEastAsia" w:cs="Calibri"/>
          <w:lang w:val="en-GB"/>
        </w:rPr>
        <w:t>pHIs</w:t>
      </w:r>
      <w:proofErr w:type="spellEnd"/>
      <w:r w:rsidRPr="008D52BE">
        <w:rPr>
          <w:rFonts w:eastAsiaTheme="minorEastAsia" w:cs="Calibri"/>
          <w:lang w:val="en-GB"/>
        </w:rPr>
        <w:t xml:space="preserve"> in children outside North America are limited.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 xml:space="preserve">We describe the mechanism of injuries, neuroimaging findings, neurosurgery and mortality for </w:t>
      </w:r>
      <w:proofErr w:type="spellStart"/>
      <w:r w:rsidRPr="008D52BE">
        <w:rPr>
          <w:rFonts w:eastAsiaTheme="minorEastAsia" w:cs="Calibri"/>
          <w:lang w:val="en-GB"/>
        </w:rPr>
        <w:t>pHIs</w:t>
      </w:r>
      <w:proofErr w:type="spellEnd"/>
      <w:r w:rsidRPr="008D52BE">
        <w:rPr>
          <w:rFonts w:eastAsiaTheme="minorEastAsia" w:cs="Calibri"/>
          <w:lang w:val="en-GB"/>
        </w:rPr>
        <w:t xml:space="preserve"> in Australia and New Zealand.</w:t>
      </w:r>
    </w:p>
    <w:p w14:paraId="11EE458B" w14:textId="77777777" w:rsid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</w:p>
    <w:p w14:paraId="3EE17255" w14:textId="51F25A87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Methods: This was a planned secondary analysis of a prospective observational study of children &lt;18 years w</w:t>
      </w:r>
      <w:r>
        <w:rPr>
          <w:rFonts w:eastAsiaTheme="minorEastAsia" w:cs="Calibri"/>
          <w:lang w:val="en-GB"/>
        </w:rPr>
        <w:t xml:space="preserve">ho presented with a head injury </w:t>
      </w:r>
      <w:r w:rsidRPr="008D52BE">
        <w:rPr>
          <w:rFonts w:eastAsiaTheme="minorEastAsia" w:cs="Calibri"/>
          <w:lang w:val="en-GB"/>
        </w:rPr>
        <w:t xml:space="preserve">of any severity at any of 10 predominantly paediatric Australian/New Zealand emergency departments </w:t>
      </w:r>
      <w:r>
        <w:rPr>
          <w:rFonts w:eastAsiaTheme="minorEastAsia" w:cs="Calibri"/>
          <w:lang w:val="en-GB"/>
        </w:rPr>
        <w:t xml:space="preserve">(EDs) between 2011 and 2014. We </w:t>
      </w:r>
      <w:r w:rsidRPr="008D52BE">
        <w:rPr>
          <w:rFonts w:eastAsiaTheme="minorEastAsia" w:cs="Calibri"/>
          <w:lang w:val="en-GB"/>
        </w:rPr>
        <w:t xml:space="preserve">reviewed all cases where clinicians had clinically suspected </w:t>
      </w:r>
      <w:proofErr w:type="spellStart"/>
      <w:r w:rsidRPr="008D52BE">
        <w:rPr>
          <w:rFonts w:eastAsiaTheme="minorEastAsia" w:cs="Calibri"/>
          <w:lang w:val="en-GB"/>
        </w:rPr>
        <w:t>pHI</w:t>
      </w:r>
      <w:proofErr w:type="spellEnd"/>
      <w:r w:rsidRPr="008D52BE">
        <w:rPr>
          <w:rFonts w:eastAsiaTheme="minorEastAsia" w:cs="Calibri"/>
          <w:lang w:val="en-GB"/>
        </w:rPr>
        <w:t xml:space="preserve"> as well as all cases of clinically important traumatic brain injuries (death, neurosurgery,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intubation &gt;24 h, admission &gt;2 days and abnormal computed tomography).</w:t>
      </w:r>
    </w:p>
    <w:p w14:paraId="494A393F" w14:textId="77777777" w:rsid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</w:p>
    <w:p w14:paraId="3CF583FD" w14:textId="02F65129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 xml:space="preserve">Results: Of 20 137 evaluable patients with a head injury, 21 (0.1%) were identified to have sustained a </w:t>
      </w:r>
      <w:proofErr w:type="spellStart"/>
      <w:r w:rsidRPr="008D52BE">
        <w:rPr>
          <w:rFonts w:eastAsiaTheme="minorEastAsia" w:cs="Calibri"/>
          <w:lang w:val="en-GB"/>
        </w:rPr>
        <w:t>pHI</w:t>
      </w:r>
      <w:proofErr w:type="spellEnd"/>
      <w:r w:rsidRPr="008D52BE">
        <w:rPr>
          <w:rFonts w:eastAsiaTheme="minorEastAsia" w:cs="Calibri"/>
          <w:lang w:val="en-GB"/>
        </w:rPr>
        <w:t xml:space="preserve">. All injuries </w:t>
      </w:r>
      <w:r>
        <w:rPr>
          <w:rFonts w:eastAsiaTheme="minorEastAsia" w:cs="Calibri"/>
          <w:lang w:val="en-GB"/>
        </w:rPr>
        <w:t xml:space="preserve">were of non-intentional nature, </w:t>
      </w:r>
      <w:r w:rsidRPr="008D52BE">
        <w:rPr>
          <w:rFonts w:eastAsiaTheme="minorEastAsia" w:cs="Calibri"/>
          <w:lang w:val="en-GB"/>
        </w:rPr>
        <w:t>and there were no gunshot wounds. The mechanisms of injuries varied from falls, animal attack, motor vehicle c</w:t>
      </w:r>
      <w:r>
        <w:rPr>
          <w:rFonts w:eastAsiaTheme="minorEastAsia" w:cs="Calibri"/>
          <w:lang w:val="en-GB"/>
        </w:rPr>
        <w:t xml:space="preserve">rashes and impact with objects. </w:t>
      </w:r>
      <w:r w:rsidRPr="008D52BE">
        <w:rPr>
          <w:rFonts w:eastAsiaTheme="minorEastAsia" w:cs="Calibri"/>
          <w:lang w:val="en-GB"/>
        </w:rPr>
        <w:t>Mean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Glasgow Coma Scale on ED arrival was 10; 10 (48%) had a history of loss of consciousness, and 7 (33%) children were i</w:t>
      </w:r>
      <w:r>
        <w:rPr>
          <w:rFonts w:eastAsiaTheme="minorEastAsia" w:cs="Calibri"/>
          <w:lang w:val="en-GB"/>
        </w:rPr>
        <w:t xml:space="preserve">ntubated pre-hospital or in the </w:t>
      </w:r>
      <w:r w:rsidRPr="008D52BE">
        <w:rPr>
          <w:rFonts w:eastAsiaTheme="minorEastAsia" w:cs="Calibri"/>
          <w:lang w:val="en-GB"/>
        </w:rPr>
        <w:t>ED. Fourteen (67%) children underwent neurosurgery, two (10%) craniofacial surgery, and five (24%) were treated conservatively; four (19%) patients died.</w:t>
      </w:r>
    </w:p>
    <w:p w14:paraId="5AB7595A" w14:textId="77777777" w:rsid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</w:p>
    <w:p w14:paraId="52710A9E" w14:textId="4DCF3556" w:rsidR="00047452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 xml:space="preserve">Conclusions: Paediatric </w:t>
      </w:r>
      <w:proofErr w:type="spellStart"/>
      <w:r w:rsidRPr="008D52BE">
        <w:rPr>
          <w:rFonts w:eastAsiaTheme="minorEastAsia" w:cs="Calibri"/>
          <w:lang w:val="en-GB"/>
        </w:rPr>
        <w:t>pHIs</w:t>
      </w:r>
      <w:proofErr w:type="spellEnd"/>
      <w:r w:rsidRPr="008D52BE">
        <w:rPr>
          <w:rFonts w:eastAsiaTheme="minorEastAsia" w:cs="Calibri"/>
          <w:lang w:val="en-GB"/>
        </w:rPr>
        <w:t xml:space="preserve"> are very rare in EDs in Australia and New Zealand but are associated with hi</w:t>
      </w:r>
      <w:r>
        <w:rPr>
          <w:rFonts w:eastAsiaTheme="minorEastAsia" w:cs="Calibri"/>
          <w:lang w:val="en-GB"/>
        </w:rPr>
        <w:t xml:space="preserve">gh morbidity and mortality. The </w:t>
      </w:r>
      <w:r w:rsidRPr="008D52BE">
        <w:rPr>
          <w:rFonts w:eastAsiaTheme="minorEastAsia" w:cs="Calibri"/>
          <w:lang w:val="en-GB"/>
        </w:rPr>
        <w:t>absence of firearm-related injuries compared to North America is striking and may reflect Australian and New Zealand firearm regulations.</w:t>
      </w:r>
    </w:p>
    <w:p w14:paraId="3C946829" w14:textId="246CAFE2" w:rsidR="008D52BE" w:rsidRPr="008D52BE" w:rsidRDefault="008D52BE" w:rsidP="008D52BE">
      <w:pPr>
        <w:spacing w:line="360" w:lineRule="auto"/>
        <w:jc w:val="both"/>
        <w:rPr>
          <w:rFonts w:eastAsiaTheme="minorEastAsia" w:cs="Calibri"/>
          <w:lang w:val="en-GB"/>
        </w:rPr>
      </w:pPr>
    </w:p>
    <w:p w14:paraId="65A1D6C2" w14:textId="77777777" w:rsidR="008D52BE" w:rsidRDefault="008D52BE">
      <w:pPr>
        <w:rPr>
          <w:rFonts w:eastAsiaTheme="minorEastAsia" w:cs="Calibri"/>
          <w:lang w:val="en-GB"/>
        </w:rPr>
      </w:pPr>
      <w:r>
        <w:rPr>
          <w:rFonts w:eastAsiaTheme="minorEastAsia" w:cs="Calibri"/>
          <w:lang w:val="en-GB"/>
        </w:rPr>
        <w:br w:type="page"/>
      </w:r>
    </w:p>
    <w:p w14:paraId="679D83E1" w14:textId="77777777" w:rsid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b/>
          <w:lang w:val="en-GB"/>
        </w:rPr>
      </w:pPr>
      <w:r>
        <w:rPr>
          <w:rFonts w:eastAsiaTheme="minorEastAsia" w:cs="Calibri"/>
          <w:b/>
          <w:lang w:val="en-GB"/>
        </w:rPr>
        <w:lastRenderedPageBreak/>
        <w:t>INTRODUCTION</w:t>
      </w:r>
    </w:p>
    <w:p w14:paraId="6423A35D" w14:textId="2C73908C" w:rsid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Information on penetrating hea</w:t>
      </w:r>
      <w:r>
        <w:rPr>
          <w:rFonts w:eastAsiaTheme="minorEastAsia" w:cs="Calibri"/>
          <w:lang w:val="en-GB"/>
        </w:rPr>
        <w:t>d injuries (</w:t>
      </w:r>
      <w:proofErr w:type="spellStart"/>
      <w:r>
        <w:rPr>
          <w:rFonts w:eastAsiaTheme="minorEastAsia" w:cs="Calibri"/>
          <w:lang w:val="en-GB"/>
        </w:rPr>
        <w:t>pHI</w:t>
      </w:r>
      <w:proofErr w:type="spellEnd"/>
      <w:r>
        <w:rPr>
          <w:rFonts w:eastAsiaTheme="minorEastAsia" w:cs="Calibri"/>
          <w:lang w:val="en-GB"/>
        </w:rPr>
        <w:t xml:space="preserve">) in children is </w:t>
      </w:r>
      <w:r w:rsidRPr="008D52BE">
        <w:rPr>
          <w:rFonts w:eastAsiaTheme="minorEastAsia" w:cs="Calibri"/>
          <w:lang w:val="en-GB"/>
        </w:rPr>
        <w:t>limited. In several recent, large, observational studies deriving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clinical decision rules for imaging in children with a head injury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(HI) from North America, penetrating injuries were excluded a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priori, and case numbers were not listed.1–</w:t>
      </w:r>
      <w:r>
        <w:rPr>
          <w:rFonts w:eastAsiaTheme="minorEastAsia" w:cs="Calibri"/>
          <w:lang w:val="en-GB"/>
        </w:rPr>
        <w:t xml:space="preserve">3 </w:t>
      </w:r>
      <w:r w:rsidRPr="008D52BE">
        <w:rPr>
          <w:rFonts w:eastAsiaTheme="minorEastAsia" w:cs="Calibri"/>
          <w:lang w:val="en-GB"/>
        </w:rPr>
        <w:t>While not excluded a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priori in a dataset of 20 000 chi</w:t>
      </w:r>
      <w:r>
        <w:rPr>
          <w:rFonts w:eastAsiaTheme="minorEastAsia" w:cs="Calibri"/>
          <w:lang w:val="en-GB"/>
        </w:rPr>
        <w:t xml:space="preserve">ldren with HI from the UK, </w:t>
      </w:r>
      <w:proofErr w:type="spellStart"/>
      <w:r>
        <w:rPr>
          <w:rFonts w:eastAsiaTheme="minorEastAsia" w:cs="Calibri"/>
          <w:lang w:val="en-GB"/>
        </w:rPr>
        <w:t>pHIs</w:t>
      </w:r>
      <w:proofErr w:type="spellEnd"/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were not differentiated from blunt injuries caused by high-speed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 xml:space="preserve">objects.4 Reports of </w:t>
      </w:r>
      <w:proofErr w:type="spellStart"/>
      <w:r w:rsidRPr="008D52BE">
        <w:rPr>
          <w:rFonts w:eastAsiaTheme="minorEastAsia" w:cs="Calibri"/>
          <w:lang w:val="en-GB"/>
        </w:rPr>
        <w:t>pHI</w:t>
      </w:r>
      <w:proofErr w:type="spellEnd"/>
      <w:r w:rsidRPr="008D52BE">
        <w:rPr>
          <w:rFonts w:eastAsiaTheme="minorEastAsia" w:cs="Calibri"/>
          <w:lang w:val="en-GB"/>
        </w:rPr>
        <w:t xml:space="preserve"> in children usually come from settings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where interpersonal violence is hi</w:t>
      </w:r>
      <w:r>
        <w:rPr>
          <w:rFonts w:eastAsiaTheme="minorEastAsia" w:cs="Calibri"/>
          <w:lang w:val="en-GB"/>
        </w:rPr>
        <w:t xml:space="preserve">gh. Examples include paediatric </w:t>
      </w:r>
      <w:r w:rsidRPr="008D52BE">
        <w:rPr>
          <w:rFonts w:eastAsiaTheme="minorEastAsia" w:cs="Calibri"/>
          <w:lang w:val="en-GB"/>
        </w:rPr>
        <w:t xml:space="preserve">reports on </w:t>
      </w:r>
      <w:proofErr w:type="spellStart"/>
      <w:r w:rsidRPr="008D52BE">
        <w:rPr>
          <w:rFonts w:eastAsiaTheme="minorEastAsia" w:cs="Calibri"/>
          <w:lang w:val="en-GB"/>
        </w:rPr>
        <w:t>pHI</w:t>
      </w:r>
      <w:proofErr w:type="spellEnd"/>
      <w:r w:rsidRPr="008D52BE">
        <w:rPr>
          <w:rFonts w:eastAsiaTheme="minorEastAsia" w:cs="Calibri"/>
          <w:lang w:val="en-GB"/>
        </w:rPr>
        <w:t xml:space="preserve"> from the USA with a focus on gunshot wounds</w:t>
      </w:r>
      <w:proofErr w:type="gramStart"/>
      <w:r w:rsidRPr="008D52BE">
        <w:rPr>
          <w:rFonts w:eastAsiaTheme="minorEastAsia" w:cs="Calibri"/>
          <w:lang w:val="en-GB"/>
        </w:rPr>
        <w:t>,5</w:t>
      </w:r>
      <w:proofErr w:type="gramEnd"/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from South Africa where stab wounds predominate</w:t>
      </w:r>
      <w:r>
        <w:rPr>
          <w:rFonts w:eastAsiaTheme="minorEastAsia" w:cs="Calibri"/>
          <w:lang w:val="en-GB"/>
        </w:rPr>
        <w:t xml:space="preserve">6 </w:t>
      </w:r>
      <w:r w:rsidRPr="008D52BE">
        <w:rPr>
          <w:rFonts w:eastAsiaTheme="minorEastAsia" w:cs="Calibri"/>
          <w:lang w:val="en-GB"/>
        </w:rPr>
        <w:t>and from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battle zones in Iraq and Afghanistan</w:t>
      </w:r>
      <w:r>
        <w:rPr>
          <w:rFonts w:eastAsiaTheme="minorEastAsia" w:cs="Calibri"/>
          <w:lang w:val="en-GB"/>
        </w:rPr>
        <w:t xml:space="preserve"> where blast injuries dominate.</w:t>
      </w:r>
      <w:r w:rsidRPr="008D52BE">
        <w:rPr>
          <w:rFonts w:eastAsiaTheme="minorEastAsia" w:cs="Calibri"/>
          <w:lang w:val="en-GB"/>
        </w:rPr>
        <w:t xml:space="preserve">7 Most reports do not relate </w:t>
      </w:r>
      <w:proofErr w:type="spellStart"/>
      <w:r w:rsidRPr="008D52BE">
        <w:rPr>
          <w:rFonts w:eastAsiaTheme="minorEastAsia" w:cs="Calibri"/>
          <w:lang w:val="en-GB"/>
        </w:rPr>
        <w:t>pHIs</w:t>
      </w:r>
      <w:proofErr w:type="spellEnd"/>
      <w:r w:rsidRPr="008D52BE">
        <w:rPr>
          <w:rFonts w:eastAsiaTheme="minorEastAsia" w:cs="Calibri"/>
          <w:lang w:val="en-GB"/>
        </w:rPr>
        <w:t xml:space="preserve"> to HIs in general, and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often, the focus is on fata</w:t>
      </w:r>
      <w:r>
        <w:rPr>
          <w:rFonts w:eastAsiaTheme="minorEastAsia" w:cs="Calibri"/>
          <w:lang w:val="en-GB"/>
        </w:rPr>
        <w:t xml:space="preserve">lities not emergency department </w:t>
      </w:r>
      <w:r w:rsidRPr="008D52BE">
        <w:rPr>
          <w:rFonts w:eastAsiaTheme="minorEastAsia" w:cs="Calibri"/>
          <w:lang w:val="en-GB"/>
        </w:rPr>
        <w:t>(ED) presentations.</w:t>
      </w:r>
    </w:p>
    <w:p w14:paraId="687D1111" w14:textId="77777777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</w:p>
    <w:p w14:paraId="4A9E06C8" w14:textId="77777777" w:rsid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Based on single-centre reports</w:t>
      </w:r>
      <w:r>
        <w:rPr>
          <w:rFonts w:eastAsiaTheme="minorEastAsia" w:cs="Calibri"/>
          <w:lang w:val="en-GB"/>
        </w:rPr>
        <w:t xml:space="preserve">, </w:t>
      </w:r>
      <w:proofErr w:type="spellStart"/>
      <w:r>
        <w:rPr>
          <w:rFonts w:eastAsiaTheme="minorEastAsia" w:cs="Calibri"/>
          <w:lang w:val="en-GB"/>
        </w:rPr>
        <w:t>pHIs</w:t>
      </w:r>
      <w:proofErr w:type="spellEnd"/>
      <w:r>
        <w:rPr>
          <w:rFonts w:eastAsiaTheme="minorEastAsia" w:cs="Calibri"/>
          <w:lang w:val="en-GB"/>
        </w:rPr>
        <w:t xml:space="preserve"> in children in Australia </w:t>
      </w:r>
      <w:r w:rsidRPr="008D52BE">
        <w:rPr>
          <w:rFonts w:eastAsiaTheme="minorEastAsia" w:cs="Calibri"/>
          <w:lang w:val="en-GB"/>
        </w:rPr>
        <w:t>and New Zealand are infrequent.8</w:t>
      </w:r>
      <w:proofErr w:type="gramStart"/>
      <w:r w:rsidRPr="008D52BE">
        <w:rPr>
          <w:rFonts w:eastAsiaTheme="minorEastAsia" w:cs="Calibri"/>
          <w:lang w:val="en-GB"/>
        </w:rPr>
        <w:t>,9</w:t>
      </w:r>
      <w:proofErr w:type="gramEnd"/>
      <w:r w:rsidRPr="008D52BE">
        <w:rPr>
          <w:rFonts w:eastAsiaTheme="minorEastAsia" w:cs="Calibri"/>
          <w:lang w:val="en-GB"/>
        </w:rPr>
        <w:t xml:space="preserve"> A comparison of gun fatalities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in children, most of which we</w:t>
      </w:r>
      <w:r>
        <w:rPr>
          <w:rFonts w:eastAsiaTheme="minorEastAsia" w:cs="Calibri"/>
          <w:lang w:val="en-GB"/>
        </w:rPr>
        <w:t xml:space="preserve">re HIs, between South Australia </w:t>
      </w:r>
      <w:r w:rsidRPr="008D52BE">
        <w:rPr>
          <w:rFonts w:eastAsiaTheme="minorEastAsia" w:cs="Calibri"/>
          <w:lang w:val="en-GB"/>
        </w:rPr>
        <w:t>and San Diego County in the USA showed a much higher rate of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gun fatalities and a high rate of hand gun use in the USA,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whereas in Australia, long guns were</w:t>
      </w:r>
      <w:r>
        <w:rPr>
          <w:rFonts w:eastAsiaTheme="minorEastAsia" w:cs="Calibri"/>
          <w:lang w:val="en-GB"/>
        </w:rPr>
        <w:t xml:space="preserve"> more often used in fatalities. </w:t>
      </w:r>
      <w:r w:rsidRPr="008D52BE">
        <w:rPr>
          <w:rFonts w:eastAsiaTheme="minorEastAsia" w:cs="Calibri"/>
          <w:lang w:val="en-GB"/>
        </w:rPr>
        <w:t>9 In Australia, the reduction of gun violence has been a focus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of much regulatory and l</w:t>
      </w:r>
      <w:r>
        <w:rPr>
          <w:rFonts w:eastAsiaTheme="minorEastAsia" w:cs="Calibri"/>
          <w:lang w:val="en-GB"/>
        </w:rPr>
        <w:t xml:space="preserve">egislative change over the last </w:t>
      </w:r>
      <w:r w:rsidRPr="008D52BE">
        <w:rPr>
          <w:rFonts w:eastAsiaTheme="minorEastAsia" w:cs="Calibri"/>
          <w:lang w:val="en-GB"/>
        </w:rPr>
        <w:t>20 years</w:t>
      </w:r>
      <w:proofErr w:type="gramStart"/>
      <w:r w:rsidRPr="008D52BE">
        <w:rPr>
          <w:rFonts w:eastAsiaTheme="minorEastAsia" w:cs="Calibri"/>
          <w:lang w:val="en-GB"/>
        </w:rPr>
        <w:t>,10,11</w:t>
      </w:r>
      <w:proofErr w:type="gramEnd"/>
      <w:r w:rsidRPr="008D52BE">
        <w:rPr>
          <w:rFonts w:eastAsiaTheme="minorEastAsia" w:cs="Calibri"/>
          <w:lang w:val="en-GB"/>
        </w:rPr>
        <w:t xml:space="preserve"> with gun ownership and gun-related deaths in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Australia and New Zealand generally at low levels.12</w:t>
      </w:r>
      <w:r>
        <w:rPr>
          <w:rFonts w:eastAsiaTheme="minorEastAsia" w:cs="Calibri"/>
          <w:lang w:val="en-GB"/>
        </w:rPr>
        <w:t xml:space="preserve"> </w:t>
      </w:r>
    </w:p>
    <w:p w14:paraId="0F74B8A6" w14:textId="77777777" w:rsid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</w:p>
    <w:p w14:paraId="0B86BFE9" w14:textId="6B117A5C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Based on a lack of informat</w:t>
      </w:r>
      <w:r>
        <w:rPr>
          <w:rFonts w:eastAsiaTheme="minorEastAsia" w:cs="Calibri"/>
          <w:lang w:val="en-GB"/>
        </w:rPr>
        <w:t xml:space="preserve">ion on the cause and rate of ED </w:t>
      </w:r>
      <w:r w:rsidRPr="008D52BE">
        <w:rPr>
          <w:rFonts w:eastAsiaTheme="minorEastAsia" w:cs="Calibri"/>
          <w:lang w:val="en-GB"/>
        </w:rPr>
        <w:t xml:space="preserve">presentations of </w:t>
      </w:r>
      <w:proofErr w:type="spellStart"/>
      <w:r w:rsidRPr="008D52BE">
        <w:rPr>
          <w:rFonts w:eastAsiaTheme="minorEastAsia" w:cs="Calibri"/>
          <w:lang w:val="en-GB"/>
        </w:rPr>
        <w:t>pHI</w:t>
      </w:r>
      <w:proofErr w:type="spellEnd"/>
      <w:r w:rsidRPr="008D52BE">
        <w:rPr>
          <w:rFonts w:eastAsiaTheme="minorEastAsia" w:cs="Calibri"/>
          <w:lang w:val="en-GB"/>
        </w:rPr>
        <w:t xml:space="preserve"> in Australia and New Zealand, we set out to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 xml:space="preserve">identify and analyse cases of </w:t>
      </w:r>
      <w:proofErr w:type="spellStart"/>
      <w:r w:rsidRPr="008D52BE">
        <w:rPr>
          <w:rFonts w:eastAsiaTheme="minorEastAsia" w:cs="Calibri"/>
          <w:lang w:val="en-GB"/>
        </w:rPr>
        <w:t>pHI</w:t>
      </w:r>
      <w:proofErr w:type="spellEnd"/>
      <w:r w:rsidRPr="008D52BE">
        <w:rPr>
          <w:rFonts w:eastAsiaTheme="minorEastAsia" w:cs="Calibri"/>
          <w:lang w:val="en-GB"/>
        </w:rPr>
        <w:t xml:space="preserve"> </w:t>
      </w:r>
      <w:r>
        <w:rPr>
          <w:rFonts w:eastAsiaTheme="minorEastAsia" w:cs="Calibri"/>
          <w:lang w:val="en-GB"/>
        </w:rPr>
        <w:t xml:space="preserve">from within a large prospective </w:t>
      </w:r>
      <w:r w:rsidRPr="008D52BE">
        <w:rPr>
          <w:rFonts w:eastAsiaTheme="minorEastAsia" w:cs="Calibri"/>
          <w:lang w:val="en-GB"/>
        </w:rPr>
        <w:t>dataset of head-injured children to describe their frequency of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presentation to the ED, their characteristics, management and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outcome.</w:t>
      </w:r>
    </w:p>
    <w:p w14:paraId="6865CEAA" w14:textId="77777777" w:rsid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</w:p>
    <w:p w14:paraId="4B7D0B03" w14:textId="144C109B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>
        <w:rPr>
          <w:rFonts w:eastAsiaTheme="minorEastAsia" w:cs="Calibri"/>
          <w:b/>
          <w:lang w:val="en-GB"/>
        </w:rPr>
        <w:t>METHODS</w:t>
      </w:r>
    </w:p>
    <w:p w14:paraId="171C42DE" w14:textId="77777777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Study design, setting and patients</w:t>
      </w:r>
    </w:p>
    <w:p w14:paraId="6637E75C" w14:textId="6066B0DC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This was a planned secondary analys</w:t>
      </w:r>
      <w:r>
        <w:rPr>
          <w:rFonts w:eastAsiaTheme="minorEastAsia" w:cs="Calibri"/>
          <w:lang w:val="en-GB"/>
        </w:rPr>
        <w:t xml:space="preserve">is of a prospective multicentre </w:t>
      </w:r>
      <w:r w:rsidRPr="008D52BE">
        <w:rPr>
          <w:rFonts w:eastAsiaTheme="minorEastAsia" w:cs="Calibri"/>
          <w:lang w:val="en-GB"/>
        </w:rPr>
        <w:t>observational study, which enrolled children presenting with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 xml:space="preserve">HIs of any severity to 10 </w:t>
      </w:r>
      <w:r>
        <w:rPr>
          <w:rFonts w:eastAsiaTheme="minorEastAsia" w:cs="Calibri"/>
          <w:lang w:val="en-GB"/>
        </w:rPr>
        <w:t xml:space="preserve">paediatric EDs in Australia and </w:t>
      </w:r>
      <w:r w:rsidRPr="008D52BE">
        <w:rPr>
          <w:rFonts w:eastAsiaTheme="minorEastAsia" w:cs="Calibri"/>
          <w:lang w:val="en-GB"/>
        </w:rPr>
        <w:t>New Zealand over a 44-month period between April 2011 and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November 2014. All EDs are members of the Paediatric Research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in Emergency Departme</w:t>
      </w:r>
      <w:r>
        <w:rPr>
          <w:rFonts w:eastAsiaTheme="minorEastAsia" w:cs="Calibri"/>
          <w:lang w:val="en-GB"/>
        </w:rPr>
        <w:t xml:space="preserve">nts International Collaborative </w:t>
      </w:r>
      <w:r w:rsidRPr="008D52BE">
        <w:rPr>
          <w:rFonts w:eastAsiaTheme="minorEastAsia" w:cs="Calibri"/>
          <w:lang w:val="en-GB"/>
        </w:rPr>
        <w:t>(PREDICT) research network.13 Of the 10 study EDs, 8 were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located at tertiary children’s hospitals, and 7 of the 10 sites were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regional paediatric trauma centres.</w:t>
      </w:r>
      <w:r>
        <w:rPr>
          <w:rFonts w:eastAsiaTheme="minorEastAsia" w:cs="Calibri"/>
          <w:lang w:val="en-GB"/>
        </w:rPr>
        <w:t xml:space="preserve"> The parent study was conducted </w:t>
      </w:r>
      <w:r w:rsidRPr="008D52BE">
        <w:rPr>
          <w:rFonts w:eastAsiaTheme="minorEastAsia" w:cs="Calibri"/>
          <w:lang w:val="en-GB"/>
        </w:rPr>
        <w:t>to assess the accuracy of three HI clinical decision rules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with details described elsewhere.14</w:t>
      </w:r>
      <w:proofErr w:type="gramStart"/>
      <w:r w:rsidRPr="008D52BE">
        <w:rPr>
          <w:rFonts w:eastAsiaTheme="minorEastAsia" w:cs="Calibri"/>
          <w:lang w:val="en-GB"/>
        </w:rPr>
        <w:t>,15</w:t>
      </w:r>
      <w:proofErr w:type="gramEnd"/>
    </w:p>
    <w:p w14:paraId="19763B3A" w14:textId="77777777" w:rsid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</w:p>
    <w:p w14:paraId="48CA0D7C" w14:textId="01603EE2" w:rsid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In this study, we extracted patie</w:t>
      </w:r>
      <w:r>
        <w:rPr>
          <w:rFonts w:eastAsiaTheme="minorEastAsia" w:cs="Calibri"/>
          <w:lang w:val="en-GB"/>
        </w:rPr>
        <w:t xml:space="preserve">nts with possible </w:t>
      </w:r>
      <w:proofErr w:type="spellStart"/>
      <w:r>
        <w:rPr>
          <w:rFonts w:eastAsiaTheme="minorEastAsia" w:cs="Calibri"/>
          <w:lang w:val="en-GB"/>
        </w:rPr>
        <w:t>pHIs</w:t>
      </w:r>
      <w:proofErr w:type="spellEnd"/>
      <w:r>
        <w:rPr>
          <w:rFonts w:eastAsiaTheme="minorEastAsia" w:cs="Calibri"/>
          <w:lang w:val="en-GB"/>
        </w:rPr>
        <w:t xml:space="preserve"> in terms </w:t>
      </w:r>
      <w:r w:rsidRPr="008D52BE">
        <w:rPr>
          <w:rFonts w:eastAsiaTheme="minorEastAsia" w:cs="Calibri"/>
          <w:lang w:val="en-GB"/>
        </w:rPr>
        <w:t>of epidemiology and outcome.</w:t>
      </w:r>
    </w:p>
    <w:p w14:paraId="64590F42" w14:textId="77777777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</w:p>
    <w:p w14:paraId="2297A232" w14:textId="0A0B6869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The study was approved by the institutional ethics committees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at each participating site. We o</w:t>
      </w:r>
      <w:r>
        <w:rPr>
          <w:rFonts w:eastAsiaTheme="minorEastAsia" w:cs="Calibri"/>
          <w:lang w:val="en-GB"/>
        </w:rPr>
        <w:t xml:space="preserve">btained informed verbal consent </w:t>
      </w:r>
      <w:r w:rsidRPr="008D52BE">
        <w:rPr>
          <w:rFonts w:eastAsiaTheme="minorEastAsia" w:cs="Calibri"/>
          <w:lang w:val="en-GB"/>
        </w:rPr>
        <w:t>from parents/guardians apart from instances of significant life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threatening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 xml:space="preserve">or fatal injuries where </w:t>
      </w:r>
      <w:r>
        <w:rPr>
          <w:rFonts w:eastAsiaTheme="minorEastAsia" w:cs="Calibri"/>
          <w:lang w:val="en-GB"/>
        </w:rPr>
        <w:t xml:space="preserve">participating ethics committees </w:t>
      </w:r>
      <w:r w:rsidRPr="008D52BE">
        <w:rPr>
          <w:rFonts w:eastAsiaTheme="minorEastAsia" w:cs="Calibri"/>
          <w:lang w:val="en-GB"/>
        </w:rPr>
        <w:t>granted a waiver of consent.</w:t>
      </w:r>
    </w:p>
    <w:p w14:paraId="12D52A44" w14:textId="77777777" w:rsid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</w:p>
    <w:p w14:paraId="28708808" w14:textId="790649C5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 xml:space="preserve">The study was registered </w:t>
      </w:r>
      <w:r>
        <w:rPr>
          <w:rFonts w:eastAsiaTheme="minorEastAsia" w:cs="Calibri"/>
          <w:lang w:val="en-GB"/>
        </w:rPr>
        <w:t xml:space="preserve">with the Australian New Zealand </w:t>
      </w:r>
      <w:r w:rsidRPr="008D52BE">
        <w:rPr>
          <w:rFonts w:eastAsiaTheme="minorEastAsia" w:cs="Calibri"/>
          <w:lang w:val="en-GB"/>
        </w:rPr>
        <w:t>Clinical Trials Registry ACTRN12614000463673 and followed the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Standards for Reporting Diagnostic Accuracy Studies guidelines.16</w:t>
      </w:r>
    </w:p>
    <w:p w14:paraId="68492F3E" w14:textId="77777777" w:rsid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</w:p>
    <w:p w14:paraId="001F689C" w14:textId="0148FE1C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Study procedures</w:t>
      </w:r>
    </w:p>
    <w:p w14:paraId="44DE097C" w14:textId="2CB0866D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Patients were enrolled by the treating ED clini</w:t>
      </w:r>
      <w:r>
        <w:rPr>
          <w:rFonts w:eastAsiaTheme="minorEastAsia" w:cs="Calibri"/>
          <w:lang w:val="en-GB"/>
        </w:rPr>
        <w:t xml:space="preserve">cian who collected </w:t>
      </w:r>
      <w:r w:rsidRPr="008D52BE">
        <w:rPr>
          <w:rFonts w:eastAsiaTheme="minorEastAsia" w:cs="Calibri"/>
          <w:lang w:val="en-GB"/>
        </w:rPr>
        <w:t>clinical data, including positive, negative or unknown suspicion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of penetrating injury prior to</w:t>
      </w:r>
      <w:r>
        <w:rPr>
          <w:rFonts w:eastAsiaTheme="minorEastAsia" w:cs="Calibri"/>
          <w:lang w:val="en-GB"/>
        </w:rPr>
        <w:t xml:space="preserve"> any neuroimaging. The research </w:t>
      </w:r>
      <w:r w:rsidRPr="008D52BE">
        <w:rPr>
          <w:rFonts w:eastAsiaTheme="minorEastAsia" w:cs="Calibri"/>
          <w:lang w:val="en-GB"/>
        </w:rPr>
        <w:t>assistant recorded ED and hospital management data after the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visit and conducted a telephone follow-up for patients who had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not undergone neuroimaging. Site inv</w:t>
      </w:r>
      <w:r>
        <w:rPr>
          <w:rFonts w:eastAsiaTheme="minorEastAsia" w:cs="Calibri"/>
          <w:lang w:val="en-GB"/>
        </w:rPr>
        <w:t xml:space="preserve">estigators, research assistants </w:t>
      </w:r>
      <w:r w:rsidRPr="008D52BE">
        <w:rPr>
          <w:rFonts w:eastAsiaTheme="minorEastAsia" w:cs="Calibri"/>
          <w:lang w:val="en-GB"/>
        </w:rPr>
        <w:t>and participating ED clinicians received formal training prior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to and during the study.</w:t>
      </w:r>
    </w:p>
    <w:p w14:paraId="2AB50054" w14:textId="77777777" w:rsid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</w:p>
    <w:p w14:paraId="151EC2A7" w14:textId="0B21CCA8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Definitions</w:t>
      </w:r>
    </w:p>
    <w:p w14:paraId="581E3AA9" w14:textId="77777777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Clinically important traumatic brain injury</w:t>
      </w:r>
    </w:p>
    <w:p w14:paraId="2B6C0F9C" w14:textId="65D30FAA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We defined clinically important tr</w:t>
      </w:r>
      <w:r>
        <w:rPr>
          <w:rFonts w:eastAsiaTheme="minorEastAsia" w:cs="Calibri"/>
          <w:lang w:val="en-GB"/>
        </w:rPr>
        <w:t>aumatic brain injury (</w:t>
      </w:r>
      <w:proofErr w:type="spellStart"/>
      <w:r>
        <w:rPr>
          <w:rFonts w:eastAsiaTheme="minorEastAsia" w:cs="Calibri"/>
          <w:lang w:val="en-GB"/>
        </w:rPr>
        <w:t>ciTBI</w:t>
      </w:r>
      <w:proofErr w:type="spellEnd"/>
      <w:r>
        <w:rPr>
          <w:rFonts w:eastAsiaTheme="minorEastAsia" w:cs="Calibri"/>
          <w:lang w:val="en-GB"/>
        </w:rPr>
        <w:t xml:space="preserve">) as </w:t>
      </w:r>
      <w:r w:rsidRPr="008D52BE">
        <w:rPr>
          <w:rFonts w:eastAsiaTheme="minorEastAsia" w:cs="Calibri"/>
          <w:lang w:val="en-GB"/>
        </w:rPr>
        <w:t>death from traumatic brain injury, need for neurosurgery, intubation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 xml:space="preserve">&gt;24 h for traumatic brain </w:t>
      </w:r>
      <w:r>
        <w:rPr>
          <w:rFonts w:eastAsiaTheme="minorEastAsia" w:cs="Calibri"/>
          <w:lang w:val="en-GB"/>
        </w:rPr>
        <w:t xml:space="preserve">injury or hospital admission &gt;2 </w:t>
      </w:r>
      <w:r w:rsidRPr="008D52BE">
        <w:rPr>
          <w:rFonts w:eastAsiaTheme="minorEastAsia" w:cs="Calibri"/>
          <w:lang w:val="en-GB"/>
        </w:rPr>
        <w:t>nights for traumatic brain injury in association with traumatic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brain injury on computed tomography (CT).1 We used the Glasgow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Coma Scale (GCS) as assigned</w:t>
      </w:r>
      <w:r>
        <w:rPr>
          <w:rFonts w:eastAsiaTheme="minorEastAsia" w:cs="Calibri"/>
          <w:lang w:val="en-GB"/>
        </w:rPr>
        <w:t xml:space="preserve"> by the ED clinician on initial </w:t>
      </w:r>
      <w:r w:rsidRPr="008D52BE">
        <w:rPr>
          <w:rFonts w:eastAsiaTheme="minorEastAsia" w:cs="Calibri"/>
          <w:lang w:val="en-GB"/>
        </w:rPr>
        <w:t>assessment in the analysis. We used senior radiologist reports to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determine the results of CT</w:t>
      </w:r>
      <w:r>
        <w:rPr>
          <w:rFonts w:eastAsiaTheme="minorEastAsia" w:cs="Calibri"/>
          <w:lang w:val="en-GB"/>
        </w:rPr>
        <w:t xml:space="preserve"> and magnetic resonance imaging </w:t>
      </w:r>
      <w:r w:rsidRPr="008D52BE">
        <w:rPr>
          <w:rFonts w:eastAsiaTheme="minorEastAsia" w:cs="Calibri"/>
          <w:lang w:val="en-GB"/>
        </w:rPr>
        <w:t>scans and operative rep</w:t>
      </w:r>
      <w:r>
        <w:rPr>
          <w:rFonts w:eastAsiaTheme="minorEastAsia" w:cs="Calibri"/>
          <w:lang w:val="en-GB"/>
        </w:rPr>
        <w:t xml:space="preserve">orts for patients who underwent </w:t>
      </w:r>
      <w:r w:rsidRPr="008D52BE">
        <w:rPr>
          <w:rFonts w:eastAsiaTheme="minorEastAsia" w:cs="Calibri"/>
          <w:lang w:val="en-GB"/>
        </w:rPr>
        <w:t>neurosurgery.</w:t>
      </w:r>
    </w:p>
    <w:p w14:paraId="1FC3DAE4" w14:textId="77777777" w:rsid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</w:p>
    <w:p w14:paraId="6B9F9B60" w14:textId="6D0CD13C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Penetrating head injuries</w:t>
      </w:r>
    </w:p>
    <w:p w14:paraId="253C2B64" w14:textId="623A5265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Multiple strategies were undert</w:t>
      </w:r>
      <w:r>
        <w:rPr>
          <w:rFonts w:eastAsiaTheme="minorEastAsia" w:cs="Calibri"/>
          <w:lang w:val="en-GB"/>
        </w:rPr>
        <w:t xml:space="preserve">aken to identify </w:t>
      </w:r>
      <w:proofErr w:type="spellStart"/>
      <w:r>
        <w:rPr>
          <w:rFonts w:eastAsiaTheme="minorEastAsia" w:cs="Calibri"/>
          <w:lang w:val="en-GB"/>
        </w:rPr>
        <w:t>pHIs</w:t>
      </w:r>
      <w:proofErr w:type="spellEnd"/>
      <w:r>
        <w:rPr>
          <w:rFonts w:eastAsiaTheme="minorEastAsia" w:cs="Calibri"/>
          <w:lang w:val="en-GB"/>
        </w:rPr>
        <w:t xml:space="preserve"> among the </w:t>
      </w:r>
      <w:r w:rsidRPr="008D52BE">
        <w:rPr>
          <w:rFonts w:eastAsiaTheme="minorEastAsia" w:cs="Calibri"/>
          <w:lang w:val="en-GB"/>
        </w:rPr>
        <w:t>20 137 patients with HIs. We reviewed: (</w:t>
      </w:r>
      <w:proofErr w:type="spellStart"/>
      <w:r w:rsidRPr="008D52BE">
        <w:rPr>
          <w:rFonts w:eastAsiaTheme="minorEastAsia" w:cs="Calibri"/>
          <w:lang w:val="en-GB"/>
        </w:rPr>
        <w:t>i</w:t>
      </w:r>
      <w:proofErr w:type="spellEnd"/>
      <w:r w:rsidRPr="008D52BE">
        <w:rPr>
          <w:rFonts w:eastAsiaTheme="minorEastAsia" w:cs="Calibri"/>
          <w:lang w:val="en-GB"/>
        </w:rPr>
        <w:t>) all cases in which the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ED clinician at time of presentation indicated</w:t>
      </w:r>
      <w:r>
        <w:rPr>
          <w:rFonts w:eastAsiaTheme="minorEastAsia" w:cs="Calibri"/>
          <w:lang w:val="en-GB"/>
        </w:rPr>
        <w:t xml:space="preserve"> a clinical suspicion </w:t>
      </w:r>
      <w:r w:rsidRPr="008D52BE">
        <w:rPr>
          <w:rFonts w:eastAsiaTheme="minorEastAsia" w:cs="Calibri"/>
          <w:lang w:val="en-GB"/>
        </w:rPr>
        <w:t xml:space="preserve">of </w:t>
      </w:r>
      <w:proofErr w:type="spellStart"/>
      <w:r w:rsidRPr="008D52BE">
        <w:rPr>
          <w:rFonts w:eastAsiaTheme="minorEastAsia" w:cs="Calibri"/>
          <w:lang w:val="en-GB"/>
        </w:rPr>
        <w:t>pHIs</w:t>
      </w:r>
      <w:proofErr w:type="spellEnd"/>
      <w:r w:rsidRPr="008D52BE">
        <w:rPr>
          <w:rFonts w:eastAsiaTheme="minorEastAsia" w:cs="Calibri"/>
          <w:lang w:val="en-GB"/>
        </w:rPr>
        <w:t xml:space="preserve"> in the clinical report form; (ii) all </w:t>
      </w:r>
      <w:proofErr w:type="spellStart"/>
      <w:r w:rsidRPr="008D52BE">
        <w:rPr>
          <w:rFonts w:eastAsiaTheme="minorEastAsia" w:cs="Calibri"/>
          <w:lang w:val="en-GB"/>
        </w:rPr>
        <w:t>ciTBI</w:t>
      </w:r>
      <w:proofErr w:type="spellEnd"/>
      <w:r w:rsidRPr="008D52BE">
        <w:rPr>
          <w:rFonts w:eastAsiaTheme="minorEastAsia" w:cs="Calibri"/>
          <w:lang w:val="en-GB"/>
        </w:rPr>
        <w:t xml:space="preserve"> cases with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 xml:space="preserve">unknown and no suspicion of </w:t>
      </w:r>
      <w:proofErr w:type="spellStart"/>
      <w:r w:rsidRPr="008D52BE">
        <w:rPr>
          <w:rFonts w:eastAsiaTheme="minorEastAsia" w:cs="Calibri"/>
          <w:lang w:val="en-GB"/>
        </w:rPr>
        <w:t>pHIs</w:t>
      </w:r>
      <w:proofErr w:type="spellEnd"/>
      <w:r w:rsidRPr="008D52BE">
        <w:rPr>
          <w:rFonts w:eastAsiaTheme="minorEastAsia" w:cs="Calibri"/>
          <w:lang w:val="en-GB"/>
        </w:rPr>
        <w:t xml:space="preserve"> to ensure complete case identifi</w:t>
      </w:r>
      <w:r>
        <w:rPr>
          <w:rFonts w:eastAsiaTheme="minorEastAsia" w:cs="Calibri"/>
          <w:lang w:val="en-GB"/>
        </w:rPr>
        <w:t>cation; a</w:t>
      </w:r>
      <w:r w:rsidRPr="008D52BE">
        <w:rPr>
          <w:rFonts w:eastAsiaTheme="minorEastAsia" w:cs="Calibri"/>
          <w:lang w:val="en-GB"/>
        </w:rPr>
        <w:t xml:space="preserve">nd (iii) cases with no </w:t>
      </w:r>
      <w:proofErr w:type="spellStart"/>
      <w:r w:rsidRPr="008D52BE">
        <w:rPr>
          <w:rFonts w:eastAsiaTheme="minorEastAsia" w:cs="Calibri"/>
          <w:lang w:val="en-GB"/>
        </w:rPr>
        <w:t>c</w:t>
      </w:r>
      <w:r>
        <w:rPr>
          <w:rFonts w:eastAsiaTheme="minorEastAsia" w:cs="Calibri"/>
          <w:lang w:val="en-GB"/>
        </w:rPr>
        <w:t>iTBI</w:t>
      </w:r>
      <w:proofErr w:type="spellEnd"/>
      <w:r>
        <w:rPr>
          <w:rFonts w:eastAsiaTheme="minorEastAsia" w:cs="Calibri"/>
          <w:lang w:val="en-GB"/>
        </w:rPr>
        <w:t xml:space="preserve"> but with unknown suspicion </w:t>
      </w:r>
      <w:r w:rsidRPr="008D52BE">
        <w:rPr>
          <w:rFonts w:eastAsiaTheme="minorEastAsia" w:cs="Calibri"/>
          <w:lang w:val="en-GB"/>
        </w:rPr>
        <w:t xml:space="preserve">of </w:t>
      </w:r>
      <w:proofErr w:type="spellStart"/>
      <w:r w:rsidRPr="008D52BE">
        <w:rPr>
          <w:rFonts w:eastAsiaTheme="minorEastAsia" w:cs="Calibri"/>
          <w:lang w:val="en-GB"/>
        </w:rPr>
        <w:t>pHIs</w:t>
      </w:r>
      <w:proofErr w:type="spellEnd"/>
      <w:r w:rsidRPr="008D52BE">
        <w:rPr>
          <w:rFonts w:eastAsiaTheme="minorEastAsia" w:cs="Calibri"/>
          <w:lang w:val="en-GB"/>
        </w:rPr>
        <w:t xml:space="preserve"> and skull fracture findings on CT scan. Patients were classified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 xml:space="preserve">as having a true positive </w:t>
      </w:r>
      <w:proofErr w:type="spellStart"/>
      <w:r w:rsidRPr="008D52BE">
        <w:rPr>
          <w:rFonts w:eastAsiaTheme="minorEastAsia" w:cs="Calibri"/>
          <w:lang w:val="en-GB"/>
        </w:rPr>
        <w:t>pHI</w:t>
      </w:r>
      <w:proofErr w:type="spellEnd"/>
      <w:r w:rsidRPr="008D52BE">
        <w:rPr>
          <w:rFonts w:eastAsiaTheme="minorEastAsia" w:cs="Calibri"/>
          <w:lang w:val="en-GB"/>
        </w:rPr>
        <w:t xml:space="preserve"> if they had sustained </w:t>
      </w:r>
      <w:r w:rsidRPr="008D52BE">
        <w:rPr>
          <w:rFonts w:eastAsiaTheme="minorEastAsia" w:cs="Calibri"/>
          <w:lang w:val="en-GB"/>
        </w:rPr>
        <w:lastRenderedPageBreak/>
        <w:t>any traumatic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fracture of the skull where the dura mater was breached by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 xml:space="preserve">either a foreign object or by </w:t>
      </w:r>
      <w:proofErr w:type="spellStart"/>
      <w:r w:rsidRPr="008D52BE">
        <w:rPr>
          <w:rFonts w:eastAsiaTheme="minorEastAsia" w:cs="Calibri"/>
          <w:lang w:val="en-GB"/>
        </w:rPr>
        <w:t>comminuted</w:t>
      </w:r>
      <w:proofErr w:type="spellEnd"/>
      <w:r w:rsidRPr="008D52BE">
        <w:rPr>
          <w:rFonts w:eastAsiaTheme="minorEastAsia" w:cs="Calibri"/>
          <w:lang w:val="en-GB"/>
        </w:rPr>
        <w:t xml:space="preserve"> bone fragments.</w:t>
      </w:r>
    </w:p>
    <w:p w14:paraId="7BF913AE" w14:textId="77777777" w:rsid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</w:p>
    <w:p w14:paraId="10596B6E" w14:textId="7277E0D4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Statistical analysis</w:t>
      </w:r>
    </w:p>
    <w:p w14:paraId="75266314" w14:textId="7ADC894F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 xml:space="preserve">Patients with </w:t>
      </w:r>
      <w:proofErr w:type="spellStart"/>
      <w:r w:rsidRPr="008D52BE">
        <w:rPr>
          <w:rFonts w:eastAsiaTheme="minorEastAsia" w:cs="Calibri"/>
          <w:lang w:val="en-GB"/>
        </w:rPr>
        <w:t>pHIs</w:t>
      </w:r>
      <w:proofErr w:type="spellEnd"/>
      <w:r w:rsidRPr="008D52BE">
        <w:rPr>
          <w:rFonts w:eastAsiaTheme="minorEastAsia" w:cs="Calibri"/>
          <w:lang w:val="en-GB"/>
        </w:rPr>
        <w:t xml:space="preserve"> are presented usi</w:t>
      </w:r>
      <w:r>
        <w:rPr>
          <w:rFonts w:eastAsiaTheme="minorEastAsia" w:cs="Calibri"/>
          <w:lang w:val="en-GB"/>
        </w:rPr>
        <w:t xml:space="preserve">ng descriptive statistics. Data </w:t>
      </w:r>
      <w:r w:rsidRPr="008D52BE">
        <w:rPr>
          <w:rFonts w:eastAsiaTheme="minorEastAsia" w:cs="Calibri"/>
          <w:lang w:val="en-GB"/>
        </w:rPr>
        <w:t xml:space="preserve">were entered into </w:t>
      </w:r>
      <w:proofErr w:type="spellStart"/>
      <w:r w:rsidRPr="008D52BE">
        <w:rPr>
          <w:rFonts w:eastAsiaTheme="minorEastAsia" w:cs="Calibri"/>
          <w:lang w:val="en-GB"/>
        </w:rPr>
        <w:t>Epidata</w:t>
      </w:r>
      <w:proofErr w:type="spellEnd"/>
      <w:r w:rsidRPr="008D52BE">
        <w:rPr>
          <w:rFonts w:eastAsiaTheme="minorEastAsia" w:cs="Calibri"/>
          <w:lang w:val="en-GB"/>
        </w:rPr>
        <w:t xml:space="preserve"> (The </w:t>
      </w:r>
      <w:proofErr w:type="spellStart"/>
      <w:r w:rsidRPr="008D52BE">
        <w:rPr>
          <w:rFonts w:eastAsiaTheme="minorEastAsia" w:cs="Calibri"/>
          <w:lang w:val="en-GB"/>
        </w:rPr>
        <w:t>Epidata</w:t>
      </w:r>
      <w:proofErr w:type="spellEnd"/>
      <w:r w:rsidRPr="008D52BE">
        <w:rPr>
          <w:rFonts w:eastAsiaTheme="minorEastAsia" w:cs="Calibri"/>
          <w:lang w:val="en-GB"/>
        </w:rPr>
        <w:t xml:space="preserve"> Association, Odense,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Denmark) and, later, REDCap17 and analysed using Stata 14 (</w:t>
      </w:r>
      <w:proofErr w:type="spellStart"/>
      <w:r w:rsidRPr="008D52BE">
        <w:rPr>
          <w:rFonts w:eastAsiaTheme="minorEastAsia" w:cs="Calibri"/>
          <w:lang w:val="en-GB"/>
        </w:rPr>
        <w:t>Statacorp</w:t>
      </w:r>
      <w:proofErr w:type="spellEnd"/>
      <w:r w:rsidRPr="008D52BE">
        <w:rPr>
          <w:rFonts w:eastAsiaTheme="minorEastAsia" w:cs="Calibri"/>
          <w:lang w:val="en-GB"/>
        </w:rPr>
        <w:t>,</w:t>
      </w:r>
    </w:p>
    <w:p w14:paraId="5CB3E5FB" w14:textId="77777777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College Station, TX, USA).</w:t>
      </w:r>
    </w:p>
    <w:p w14:paraId="230935DF" w14:textId="77777777" w:rsid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</w:p>
    <w:p w14:paraId="7C8AC7CA" w14:textId="37204FD5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>
        <w:rPr>
          <w:rFonts w:eastAsiaTheme="minorEastAsia" w:cs="Calibri"/>
          <w:b/>
          <w:lang w:val="en-GB"/>
        </w:rPr>
        <w:t>RESULTS</w:t>
      </w:r>
    </w:p>
    <w:p w14:paraId="156FC530" w14:textId="4B938A2D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At the 10 study hospitals, we identifi</w:t>
      </w:r>
      <w:r>
        <w:rPr>
          <w:rFonts w:eastAsiaTheme="minorEastAsia" w:cs="Calibri"/>
          <w:lang w:val="en-GB"/>
        </w:rPr>
        <w:t xml:space="preserve">ed 20 137 patients with His </w:t>
      </w:r>
      <w:r w:rsidRPr="008D52BE">
        <w:rPr>
          <w:rFonts w:eastAsiaTheme="minorEastAsia" w:cs="Calibri"/>
          <w:lang w:val="en-GB"/>
        </w:rPr>
        <w:t>whose follow-up data were available after excluding representation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for the same injury. In to</w:t>
      </w:r>
      <w:r>
        <w:rPr>
          <w:rFonts w:eastAsiaTheme="minorEastAsia" w:cs="Calibri"/>
          <w:lang w:val="en-GB"/>
        </w:rPr>
        <w:t xml:space="preserve">tal, 21 patients with </w:t>
      </w:r>
      <w:proofErr w:type="spellStart"/>
      <w:r>
        <w:rPr>
          <w:rFonts w:eastAsiaTheme="minorEastAsia" w:cs="Calibri"/>
          <w:lang w:val="en-GB"/>
        </w:rPr>
        <w:t>pHIs</w:t>
      </w:r>
      <w:proofErr w:type="spellEnd"/>
      <w:r>
        <w:rPr>
          <w:rFonts w:eastAsiaTheme="minorEastAsia" w:cs="Calibri"/>
          <w:lang w:val="en-GB"/>
        </w:rPr>
        <w:t xml:space="preserve"> were </w:t>
      </w:r>
      <w:r w:rsidRPr="008D52BE">
        <w:rPr>
          <w:rFonts w:eastAsiaTheme="minorEastAsia" w:cs="Calibri"/>
          <w:lang w:val="en-GB"/>
        </w:rPr>
        <w:t xml:space="preserve">identified: 8 of 28 patients with a suspicion of </w:t>
      </w:r>
      <w:proofErr w:type="spellStart"/>
      <w:r w:rsidRPr="008D52BE">
        <w:rPr>
          <w:rFonts w:eastAsiaTheme="minorEastAsia" w:cs="Calibri"/>
          <w:lang w:val="en-GB"/>
        </w:rPr>
        <w:t>pHI</w:t>
      </w:r>
      <w:proofErr w:type="spellEnd"/>
      <w:r w:rsidRPr="008D52BE">
        <w:rPr>
          <w:rFonts w:eastAsiaTheme="minorEastAsia" w:cs="Calibri"/>
          <w:lang w:val="en-GB"/>
        </w:rPr>
        <w:t xml:space="preserve"> and 13 of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 xml:space="preserve">271 patients with </w:t>
      </w:r>
      <w:proofErr w:type="spellStart"/>
      <w:r w:rsidRPr="008D52BE">
        <w:rPr>
          <w:rFonts w:eastAsiaTheme="minorEastAsia" w:cs="Calibri"/>
          <w:lang w:val="en-GB"/>
        </w:rPr>
        <w:t>ciTBI</w:t>
      </w:r>
      <w:proofErr w:type="spellEnd"/>
      <w:r w:rsidRPr="008D52BE">
        <w:rPr>
          <w:rFonts w:eastAsiaTheme="minorEastAsia" w:cs="Calibri"/>
          <w:lang w:val="en-GB"/>
        </w:rPr>
        <w:t xml:space="preserve"> with unknown or no suspicion for </w:t>
      </w:r>
      <w:proofErr w:type="spellStart"/>
      <w:r w:rsidRPr="008D52BE">
        <w:rPr>
          <w:rFonts w:eastAsiaTheme="minorEastAsia" w:cs="Calibri"/>
          <w:lang w:val="en-GB"/>
        </w:rPr>
        <w:t>pHI</w:t>
      </w:r>
      <w:proofErr w:type="spellEnd"/>
      <w:r w:rsidRPr="008D52BE">
        <w:rPr>
          <w:rFonts w:eastAsiaTheme="minorEastAsia" w:cs="Calibri"/>
          <w:lang w:val="en-GB"/>
        </w:rPr>
        <w:t>.</w:t>
      </w:r>
    </w:p>
    <w:p w14:paraId="123103FC" w14:textId="77777777" w:rsid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</w:p>
    <w:p w14:paraId="21DB624C" w14:textId="52E029D7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The 21 patients (8 females, 3</w:t>
      </w:r>
      <w:r>
        <w:rPr>
          <w:rFonts w:eastAsiaTheme="minorEastAsia" w:cs="Calibri"/>
          <w:lang w:val="en-GB"/>
        </w:rPr>
        <w:t xml:space="preserve">8%) had a mean age at injury of </w:t>
      </w:r>
      <w:r w:rsidRPr="008D52BE">
        <w:rPr>
          <w:rFonts w:eastAsiaTheme="minorEastAsia" w:cs="Calibri"/>
          <w:lang w:val="en-GB"/>
        </w:rPr>
        <w:t>7.1 years (SD = 5.2) (Table 1). All injuries were non-intentional;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none of the injuries were purposefully self-infl</w:t>
      </w:r>
      <w:r>
        <w:rPr>
          <w:rFonts w:eastAsiaTheme="minorEastAsia" w:cs="Calibri"/>
          <w:lang w:val="en-GB"/>
        </w:rPr>
        <w:t xml:space="preserve">icted or the result </w:t>
      </w:r>
      <w:r w:rsidRPr="008D52BE">
        <w:rPr>
          <w:rFonts w:eastAsiaTheme="minorEastAsia" w:cs="Calibri"/>
          <w:lang w:val="en-GB"/>
        </w:rPr>
        <w:t xml:space="preserve">of violence. There were no firearm (shotgun, handgun, </w:t>
      </w:r>
      <w:proofErr w:type="gramStart"/>
      <w:r w:rsidRPr="008D52BE">
        <w:rPr>
          <w:rFonts w:eastAsiaTheme="minorEastAsia" w:cs="Calibri"/>
          <w:lang w:val="en-GB"/>
        </w:rPr>
        <w:t>rifle</w:t>
      </w:r>
      <w:proofErr w:type="gramEnd"/>
      <w:r w:rsidRPr="008D52BE">
        <w:rPr>
          <w:rFonts w:eastAsiaTheme="minorEastAsia" w:cs="Calibri"/>
          <w:lang w:val="en-GB"/>
        </w:rPr>
        <w:t>) or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stabbing, arrow or dart injuries. Table 1 provides details on clinical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symptoms and signs. In summa</w:t>
      </w:r>
      <w:r>
        <w:rPr>
          <w:rFonts w:eastAsiaTheme="minorEastAsia" w:cs="Calibri"/>
          <w:lang w:val="en-GB"/>
        </w:rPr>
        <w:t xml:space="preserve">ry, six injuries were caused by </w:t>
      </w:r>
      <w:r w:rsidRPr="008D52BE">
        <w:rPr>
          <w:rFonts w:eastAsiaTheme="minorEastAsia" w:cs="Calibri"/>
          <w:lang w:val="en-GB"/>
        </w:rPr>
        <w:t>impacts with objects, five were pedestrians struck by motorised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vehicles, four were patients involved in motor vehicle crashes,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three injuries were the result of fa</w:t>
      </w:r>
      <w:r>
        <w:rPr>
          <w:rFonts w:eastAsiaTheme="minorEastAsia" w:cs="Calibri"/>
          <w:lang w:val="en-GB"/>
        </w:rPr>
        <w:t xml:space="preserve">lls and three were due to other </w:t>
      </w:r>
      <w:proofErr w:type="spellStart"/>
      <w:r w:rsidRPr="008D52BE">
        <w:rPr>
          <w:rFonts w:eastAsiaTheme="minorEastAsia" w:cs="Calibri"/>
          <w:lang w:val="en-GB"/>
        </w:rPr>
        <w:t>transorbital</w:t>
      </w:r>
      <w:proofErr w:type="spellEnd"/>
      <w:r w:rsidRPr="008D52BE">
        <w:rPr>
          <w:rFonts w:eastAsiaTheme="minorEastAsia" w:cs="Calibri"/>
          <w:lang w:val="en-GB"/>
        </w:rPr>
        <w:t xml:space="preserve"> or transcranial punctures. Mean GCS assigned by the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ED clinician was 10 (SD = 5.4). Two thirds of patients were intubated,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and two thirds underwen</w:t>
      </w:r>
      <w:r>
        <w:rPr>
          <w:rFonts w:eastAsiaTheme="minorEastAsia" w:cs="Calibri"/>
          <w:lang w:val="en-GB"/>
        </w:rPr>
        <w:t xml:space="preserve">t neurosurgery, which was </w:t>
      </w:r>
      <w:r w:rsidRPr="008D52BE">
        <w:rPr>
          <w:rFonts w:eastAsiaTheme="minorEastAsia" w:cs="Calibri"/>
          <w:lang w:val="en-GB"/>
        </w:rPr>
        <w:t>mainly craniotomy, monitoring of intracranial pressure and elevation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of a depressed skull fra</w:t>
      </w:r>
      <w:r>
        <w:rPr>
          <w:rFonts w:eastAsiaTheme="minorEastAsia" w:cs="Calibri"/>
          <w:lang w:val="en-GB"/>
        </w:rPr>
        <w:t xml:space="preserve">cture. Four patients (19%) died </w:t>
      </w:r>
      <w:r w:rsidRPr="008D52BE">
        <w:rPr>
          <w:rFonts w:eastAsiaTheme="minorEastAsia" w:cs="Calibri"/>
          <w:lang w:val="en-GB"/>
        </w:rPr>
        <w:t>(Table 2).</w:t>
      </w:r>
    </w:p>
    <w:p w14:paraId="5460DC4E" w14:textId="77777777" w:rsid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</w:p>
    <w:p w14:paraId="7856CEAE" w14:textId="039C25FF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>
        <w:rPr>
          <w:rFonts w:eastAsiaTheme="minorEastAsia" w:cs="Calibri"/>
          <w:b/>
          <w:lang w:val="en-GB"/>
        </w:rPr>
        <w:t>DISCUSSION</w:t>
      </w:r>
    </w:p>
    <w:p w14:paraId="4332E8D1" w14:textId="175145C6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 xml:space="preserve">Paediatric </w:t>
      </w:r>
      <w:proofErr w:type="spellStart"/>
      <w:r w:rsidRPr="008D52BE">
        <w:rPr>
          <w:rFonts w:eastAsiaTheme="minorEastAsia" w:cs="Calibri"/>
          <w:lang w:val="en-GB"/>
        </w:rPr>
        <w:t>pHIs</w:t>
      </w:r>
      <w:proofErr w:type="spellEnd"/>
      <w:r w:rsidRPr="008D52BE">
        <w:rPr>
          <w:rFonts w:eastAsiaTheme="minorEastAsia" w:cs="Calibri"/>
          <w:lang w:val="en-GB"/>
        </w:rPr>
        <w:t xml:space="preserve"> are very infreque</w:t>
      </w:r>
      <w:r>
        <w:rPr>
          <w:rFonts w:eastAsiaTheme="minorEastAsia" w:cs="Calibri"/>
          <w:lang w:val="en-GB"/>
        </w:rPr>
        <w:t>nt in Australia and New Zealand E</w:t>
      </w:r>
      <w:r w:rsidRPr="008D52BE">
        <w:rPr>
          <w:rFonts w:eastAsiaTheme="minorEastAsia" w:cs="Calibri"/>
          <w:lang w:val="en-GB"/>
        </w:rPr>
        <w:t>Ds and make up only 0.1% of HIs of all severities and causes.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 xml:space="preserve">While the small number of </w:t>
      </w:r>
      <w:proofErr w:type="spellStart"/>
      <w:r w:rsidRPr="008D52BE">
        <w:rPr>
          <w:rFonts w:eastAsiaTheme="minorEastAsia" w:cs="Calibri"/>
          <w:lang w:val="en-GB"/>
        </w:rPr>
        <w:t>pHIs</w:t>
      </w:r>
      <w:proofErr w:type="spellEnd"/>
      <w:r w:rsidRPr="008D52BE">
        <w:rPr>
          <w:rFonts w:eastAsiaTheme="minorEastAsia" w:cs="Calibri"/>
          <w:lang w:val="en-GB"/>
        </w:rPr>
        <w:t xml:space="preserve"> was caused by a range of mechanisms,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it is striking that none of them involved gunshots or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stabbings.</w:t>
      </w:r>
    </w:p>
    <w:p w14:paraId="0C17B601" w14:textId="77777777" w:rsid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</w:p>
    <w:p w14:paraId="364C915F" w14:textId="71594389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 xml:space="preserve">The few </w:t>
      </w:r>
      <w:proofErr w:type="spellStart"/>
      <w:r w:rsidRPr="008D52BE">
        <w:rPr>
          <w:rFonts w:eastAsiaTheme="minorEastAsia" w:cs="Calibri"/>
          <w:lang w:val="en-GB"/>
        </w:rPr>
        <w:t>pHIs</w:t>
      </w:r>
      <w:proofErr w:type="spellEnd"/>
      <w:r w:rsidRPr="008D52BE">
        <w:rPr>
          <w:rFonts w:eastAsiaTheme="minorEastAsia" w:cs="Calibri"/>
          <w:lang w:val="en-GB"/>
        </w:rPr>
        <w:t xml:space="preserve"> that did occur had </w:t>
      </w:r>
      <w:r>
        <w:rPr>
          <w:rFonts w:eastAsiaTheme="minorEastAsia" w:cs="Calibri"/>
          <w:lang w:val="en-GB"/>
        </w:rPr>
        <w:t xml:space="preserve">severe injury, a high frequency </w:t>
      </w:r>
      <w:r w:rsidRPr="008D52BE">
        <w:rPr>
          <w:rFonts w:eastAsiaTheme="minorEastAsia" w:cs="Calibri"/>
          <w:lang w:val="en-GB"/>
        </w:rPr>
        <w:t>of loss of consciousness, low GCS on presentation, a high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rate of intubation and neurosurgery and</w:t>
      </w:r>
      <w:r>
        <w:rPr>
          <w:rFonts w:eastAsiaTheme="minorEastAsia" w:cs="Calibri"/>
          <w:lang w:val="en-GB"/>
        </w:rPr>
        <w:t xml:space="preserve"> high mortality. In comparison, </w:t>
      </w:r>
      <w:r w:rsidRPr="008D52BE">
        <w:rPr>
          <w:rFonts w:eastAsiaTheme="minorEastAsia" w:cs="Calibri"/>
          <w:lang w:val="en-GB"/>
        </w:rPr>
        <w:t>for the overall cohort of 20 137 children, only 1.1% had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 xml:space="preserve">a GCS of </w:t>
      </w:r>
      <w:r w:rsidRPr="008D52BE">
        <w:rPr>
          <w:rFonts w:eastAsia="AdvOT2cddb7b9+22" w:cs="Calibri"/>
          <w:lang w:val="en-GB"/>
        </w:rPr>
        <w:t>≤</w:t>
      </w:r>
      <w:r w:rsidRPr="008D52BE">
        <w:rPr>
          <w:rFonts w:eastAsiaTheme="minorEastAsia" w:cs="Calibri"/>
          <w:lang w:val="en-GB"/>
        </w:rPr>
        <w:t>12, 0.4% required neurosurgery, and 0.1% died.14 For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ED clinicians, an important finding is</w:t>
      </w:r>
      <w:r>
        <w:rPr>
          <w:rFonts w:eastAsiaTheme="minorEastAsia" w:cs="Calibri"/>
          <w:lang w:val="en-GB"/>
        </w:rPr>
        <w:t xml:space="preserve"> that the clinical suspicion of </w:t>
      </w:r>
      <w:r w:rsidRPr="008D52BE">
        <w:rPr>
          <w:rFonts w:eastAsiaTheme="minorEastAsia" w:cs="Calibri"/>
          <w:lang w:val="en-GB"/>
        </w:rPr>
        <w:t xml:space="preserve">a </w:t>
      </w:r>
      <w:proofErr w:type="spellStart"/>
      <w:r w:rsidRPr="008D52BE">
        <w:rPr>
          <w:rFonts w:eastAsiaTheme="minorEastAsia" w:cs="Calibri"/>
          <w:lang w:val="en-GB"/>
        </w:rPr>
        <w:t>pHI</w:t>
      </w:r>
      <w:proofErr w:type="spellEnd"/>
      <w:r w:rsidRPr="008D52BE">
        <w:rPr>
          <w:rFonts w:eastAsiaTheme="minorEastAsia" w:cs="Calibri"/>
          <w:lang w:val="en-GB"/>
        </w:rPr>
        <w:t xml:space="preserve"> is rare but likely </w:t>
      </w:r>
      <w:r w:rsidRPr="008D52BE">
        <w:rPr>
          <w:rFonts w:eastAsiaTheme="minorEastAsia" w:cs="Calibri"/>
          <w:lang w:val="en-GB"/>
        </w:rPr>
        <w:lastRenderedPageBreak/>
        <w:t>correlated with the true finding of a Phi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on investigation and should accordingly trigger urgent CT scanning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and early neurosurgical involvement.</w:t>
      </w:r>
    </w:p>
    <w:p w14:paraId="51B4D6B0" w14:textId="77777777" w:rsid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</w:p>
    <w:p w14:paraId="42609B33" w14:textId="6C575FFF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The absence of gunshot injurie</w:t>
      </w:r>
      <w:r>
        <w:rPr>
          <w:rFonts w:eastAsiaTheme="minorEastAsia" w:cs="Calibri"/>
          <w:lang w:val="en-GB"/>
        </w:rPr>
        <w:t xml:space="preserve">s to the head in this study may </w:t>
      </w:r>
      <w:r w:rsidRPr="008D52BE">
        <w:rPr>
          <w:rFonts w:eastAsiaTheme="minorEastAsia" w:cs="Calibri"/>
          <w:lang w:val="en-GB"/>
        </w:rPr>
        <w:t>reflect the relatively low level of gun ownership and gun violence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across Australia and New Zealand</w:t>
      </w:r>
      <w:r>
        <w:rPr>
          <w:rFonts w:eastAsiaTheme="minorEastAsia" w:cs="Calibri"/>
          <w:lang w:val="en-GB"/>
        </w:rPr>
        <w:t xml:space="preserve"> compared with other countries. </w:t>
      </w:r>
      <w:r w:rsidRPr="008D52BE">
        <w:rPr>
          <w:rFonts w:eastAsiaTheme="minorEastAsia" w:cs="Calibri"/>
          <w:lang w:val="en-GB"/>
        </w:rPr>
        <w:t>Gun ownership in Australia and New Zealand is reported at 13.7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(2016) and 29.5 (2016) guns per 100 people, respectively. Gun</w:t>
      </w:r>
      <w:r>
        <w:rPr>
          <w:rFonts w:eastAsiaTheme="minorEastAsia" w:cs="Calibri"/>
          <w:lang w:val="en-GB"/>
        </w:rPr>
        <w:t>-</w:t>
      </w:r>
      <w:r w:rsidRPr="008D52BE">
        <w:rPr>
          <w:rFonts w:eastAsiaTheme="minorEastAsia" w:cs="Calibri"/>
          <w:lang w:val="en-GB"/>
        </w:rPr>
        <w:t>associated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 xml:space="preserve">deaths of any cause </w:t>
      </w:r>
      <w:r>
        <w:rPr>
          <w:rFonts w:eastAsiaTheme="minorEastAsia" w:cs="Calibri"/>
          <w:lang w:val="en-GB"/>
        </w:rPr>
        <w:t xml:space="preserve">in Australia in New Zealand are </w:t>
      </w:r>
      <w:r w:rsidRPr="008D52BE">
        <w:rPr>
          <w:rFonts w:eastAsiaTheme="minorEastAsia" w:cs="Calibri"/>
          <w:lang w:val="en-GB"/>
        </w:rPr>
        <w:t>reported at 0.93/100 000 (2015) and 1.20/100 000 (2010),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respectively.12 This compares to the USA whose rates of gun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ownership is 3.4–7.3 times high</w:t>
      </w:r>
      <w:r>
        <w:rPr>
          <w:rFonts w:eastAsiaTheme="minorEastAsia" w:cs="Calibri"/>
          <w:lang w:val="en-GB"/>
        </w:rPr>
        <w:t xml:space="preserve">er (101.05 guns per 100 people) </w:t>
      </w:r>
      <w:r w:rsidRPr="008D52BE">
        <w:rPr>
          <w:rFonts w:eastAsiaTheme="minorEastAsia" w:cs="Calibri"/>
          <w:lang w:val="en-GB"/>
        </w:rPr>
        <w:t>and gun deaths is 8.8–11.3 times higher (10.54/100 000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(2014)).12 In Australia in partic</w:t>
      </w:r>
      <w:r>
        <w:rPr>
          <w:rFonts w:eastAsiaTheme="minorEastAsia" w:cs="Calibri"/>
          <w:lang w:val="en-GB"/>
        </w:rPr>
        <w:t xml:space="preserve">ular, following the Port Arthur </w:t>
      </w:r>
      <w:r w:rsidRPr="008D52BE">
        <w:rPr>
          <w:rFonts w:eastAsiaTheme="minorEastAsia" w:cs="Calibri"/>
          <w:lang w:val="en-GB"/>
        </w:rPr>
        <w:t>gun massacre at a tourist location in 1996, multiple legislative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and regulatory processes were put in place across the country to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restrict gun ownership as part of t</w:t>
      </w:r>
      <w:r>
        <w:rPr>
          <w:rFonts w:eastAsiaTheme="minorEastAsia" w:cs="Calibri"/>
          <w:lang w:val="en-GB"/>
        </w:rPr>
        <w:t xml:space="preserve">he National Firearms Agreement. </w:t>
      </w:r>
      <w:r w:rsidRPr="008D52BE">
        <w:rPr>
          <w:rFonts w:eastAsiaTheme="minorEastAsia" w:cs="Calibri"/>
          <w:lang w:val="en-GB"/>
        </w:rPr>
        <w:t>11 In addition, a national tax payer-funded gun buy-back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programme led to the destruction of some 600 000 weapons.10,11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A recent analysis of the gun law reforms and intentional firearm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deaths in Australia has shown an accelerated reduction in firearm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deaths following the reforms.10 Similar to Australia, a mass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shooting in New Zealand in 1990 tr</w:t>
      </w:r>
      <w:r>
        <w:rPr>
          <w:rFonts w:eastAsiaTheme="minorEastAsia" w:cs="Calibri"/>
          <w:lang w:val="en-GB"/>
        </w:rPr>
        <w:t xml:space="preserve">iggered legislative change that </w:t>
      </w:r>
      <w:r w:rsidRPr="008D52BE">
        <w:rPr>
          <w:rFonts w:eastAsiaTheme="minorEastAsia" w:cs="Calibri"/>
          <w:lang w:val="en-GB"/>
        </w:rPr>
        <w:t>restricted firearm sales, tightened restrictions for firearm licences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and required secure storage of firearms.18 While causality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between firearm policy and gun violence is diffi</w:t>
      </w:r>
      <w:r>
        <w:rPr>
          <w:rFonts w:eastAsiaTheme="minorEastAsia" w:cs="Calibri"/>
          <w:lang w:val="en-GB"/>
        </w:rPr>
        <w:t xml:space="preserve">cult to determine, </w:t>
      </w:r>
      <w:r w:rsidRPr="008D52BE">
        <w:rPr>
          <w:rFonts w:eastAsiaTheme="minorEastAsia" w:cs="Calibri"/>
          <w:lang w:val="en-GB"/>
        </w:rPr>
        <w:t>our observational study supports the current status quo regarding</w:t>
      </w:r>
      <w:r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firearm policy in both countries.</w:t>
      </w:r>
    </w:p>
    <w:p w14:paraId="2A8B8F2D" w14:textId="77777777" w:rsidR="00A370D4" w:rsidRDefault="00A370D4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</w:p>
    <w:p w14:paraId="4F35EEFF" w14:textId="16D131C2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The absence of gunshot wounds to the head may also refl</w:t>
      </w:r>
      <w:r w:rsidR="00A370D4">
        <w:rPr>
          <w:rFonts w:eastAsiaTheme="minorEastAsia" w:cs="Calibri"/>
          <w:lang w:val="en-GB"/>
        </w:rPr>
        <w:t xml:space="preserve">ect </w:t>
      </w:r>
      <w:r w:rsidRPr="008D52BE">
        <w:rPr>
          <w:rFonts w:eastAsiaTheme="minorEastAsia" w:cs="Calibri"/>
          <w:lang w:val="en-GB"/>
        </w:rPr>
        <w:t>the possibility that children injured in this way do not present to</w:t>
      </w:r>
      <w:r w:rsidR="00A370D4">
        <w:rPr>
          <w:rFonts w:eastAsiaTheme="minorEastAsia" w:cs="Calibri"/>
          <w:lang w:val="en-GB"/>
        </w:rPr>
        <w:t xml:space="preserve"> </w:t>
      </w:r>
      <w:proofErr w:type="spellStart"/>
      <w:r w:rsidRPr="008D52BE">
        <w:rPr>
          <w:rFonts w:eastAsiaTheme="minorEastAsia" w:cs="Calibri"/>
          <w:lang w:val="en-GB"/>
        </w:rPr>
        <w:t>EDs.</w:t>
      </w:r>
      <w:proofErr w:type="spellEnd"/>
      <w:r w:rsidRPr="008D52BE">
        <w:rPr>
          <w:rFonts w:eastAsiaTheme="minorEastAsia" w:cs="Calibri"/>
          <w:lang w:val="en-GB"/>
        </w:rPr>
        <w:t xml:space="preserve"> Gunshot wounds in general, and t</w:t>
      </w:r>
      <w:r w:rsidR="00A370D4">
        <w:rPr>
          <w:rFonts w:eastAsiaTheme="minorEastAsia" w:cs="Calibri"/>
          <w:lang w:val="en-GB"/>
        </w:rPr>
        <w:t xml:space="preserve">hose to the head in particular, </w:t>
      </w:r>
      <w:r w:rsidRPr="008D52BE">
        <w:rPr>
          <w:rFonts w:eastAsiaTheme="minorEastAsia" w:cs="Calibri"/>
          <w:lang w:val="en-GB"/>
        </w:rPr>
        <w:t>are often fatal and may only be captured in a coronial dataset.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9</w:t>
      </w:r>
      <w:proofErr w:type="gramStart"/>
      <w:r w:rsidRPr="008D52BE">
        <w:rPr>
          <w:rFonts w:eastAsiaTheme="minorEastAsia" w:cs="Calibri"/>
          <w:lang w:val="en-GB"/>
        </w:rPr>
        <w:t>,19</w:t>
      </w:r>
      <w:proofErr w:type="gramEnd"/>
      <w:r w:rsidRPr="008D52BE">
        <w:rPr>
          <w:rFonts w:eastAsiaTheme="minorEastAsia" w:cs="Calibri"/>
          <w:lang w:val="en-GB"/>
        </w:rPr>
        <w:t xml:space="preserve"> National data from New Zealand reported only three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unintentional firearm death</w:t>
      </w:r>
      <w:r w:rsidR="00A370D4">
        <w:rPr>
          <w:rFonts w:eastAsiaTheme="minorEastAsia" w:cs="Calibri"/>
          <w:lang w:val="en-GB"/>
        </w:rPr>
        <w:t xml:space="preserve">s in children aged younger than </w:t>
      </w:r>
      <w:r w:rsidRPr="008D52BE">
        <w:rPr>
          <w:rFonts w:eastAsiaTheme="minorEastAsia" w:cs="Calibri"/>
          <w:lang w:val="en-GB"/>
        </w:rPr>
        <w:t>15 years from 2002 to 2014,20–22 confirming that not only injury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but death from gunshots is rare in New Zealand. There likely are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 xml:space="preserve">intentional firearm injuries, but </w:t>
      </w:r>
      <w:r w:rsidR="00A370D4">
        <w:rPr>
          <w:rFonts w:eastAsiaTheme="minorEastAsia" w:cs="Calibri"/>
          <w:lang w:val="en-GB"/>
        </w:rPr>
        <w:t xml:space="preserve">they are not reported. A report </w:t>
      </w:r>
      <w:r w:rsidRPr="008D52BE">
        <w:rPr>
          <w:rFonts w:eastAsiaTheme="minorEastAsia" w:cs="Calibri"/>
          <w:lang w:val="en-GB"/>
        </w:rPr>
        <w:t>from the Australian National Coronial Information System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reported 47 closed cases of deaths</w:t>
      </w:r>
      <w:r w:rsidR="00A370D4">
        <w:rPr>
          <w:rFonts w:eastAsiaTheme="minorEastAsia" w:cs="Calibri"/>
          <w:lang w:val="en-GB"/>
        </w:rPr>
        <w:t xml:space="preserve"> in children aged 15 or younger </w:t>
      </w:r>
      <w:r w:rsidRPr="008D52BE">
        <w:rPr>
          <w:rFonts w:eastAsiaTheme="minorEastAsia" w:cs="Calibri"/>
          <w:lang w:val="en-GB"/>
        </w:rPr>
        <w:t>due to projectile-related fatalities from 2002 to 2014</w:t>
      </w:r>
      <w:proofErr w:type="gramStart"/>
      <w:r w:rsidRPr="008D52BE">
        <w:rPr>
          <w:rFonts w:eastAsiaTheme="minorEastAsia" w:cs="Calibri"/>
          <w:lang w:val="en-GB"/>
        </w:rPr>
        <w:t>,23</w:t>
      </w:r>
      <w:proofErr w:type="gramEnd"/>
      <w:r w:rsidRPr="008D52BE">
        <w:rPr>
          <w:rFonts w:eastAsiaTheme="minorEastAsia" w:cs="Calibri"/>
          <w:lang w:val="en-GB"/>
        </w:rPr>
        <w:t xml:space="preserve"> of which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35 were related to long gun use and 9 handgun use. Nineteen of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these were due to intentional self-har</w:t>
      </w:r>
      <w:r w:rsidR="00A370D4">
        <w:rPr>
          <w:rFonts w:eastAsiaTheme="minorEastAsia" w:cs="Calibri"/>
          <w:lang w:val="en-GB"/>
        </w:rPr>
        <w:t xml:space="preserve">m, 17 assault, 10 unintentional </w:t>
      </w:r>
      <w:r w:rsidRPr="008D52BE">
        <w:rPr>
          <w:rFonts w:eastAsiaTheme="minorEastAsia" w:cs="Calibri"/>
          <w:lang w:val="en-GB"/>
        </w:rPr>
        <w:t>and 1 legal intervention.</w:t>
      </w:r>
    </w:p>
    <w:p w14:paraId="17394A1E" w14:textId="77777777" w:rsidR="00A370D4" w:rsidRDefault="00A370D4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</w:p>
    <w:p w14:paraId="7F047731" w14:textId="311F93E1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proofErr w:type="spellStart"/>
      <w:proofErr w:type="gramStart"/>
      <w:r w:rsidRPr="008D52BE">
        <w:rPr>
          <w:rFonts w:eastAsiaTheme="minorEastAsia" w:cs="Calibri"/>
          <w:lang w:val="en-GB"/>
        </w:rPr>
        <w:t>pHI</w:t>
      </w:r>
      <w:proofErr w:type="spellEnd"/>
      <w:proofErr w:type="gramEnd"/>
      <w:r w:rsidRPr="008D52BE">
        <w:rPr>
          <w:rFonts w:eastAsiaTheme="minorEastAsia" w:cs="Calibri"/>
          <w:lang w:val="en-GB"/>
        </w:rPr>
        <w:t xml:space="preserve"> in general and gunshot w</w:t>
      </w:r>
      <w:r w:rsidR="00A370D4">
        <w:rPr>
          <w:rFonts w:eastAsiaTheme="minorEastAsia" w:cs="Calibri"/>
          <w:lang w:val="en-GB"/>
        </w:rPr>
        <w:t xml:space="preserve">ounds to the head in particular </w:t>
      </w:r>
      <w:r w:rsidRPr="008D52BE">
        <w:rPr>
          <w:rFonts w:eastAsiaTheme="minorEastAsia" w:cs="Calibri"/>
          <w:lang w:val="en-GB"/>
        </w:rPr>
        <w:t>carry a high mortality, and it is possible that victims died on scene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 xml:space="preserve">and did not present to the ED. These </w:t>
      </w:r>
      <w:r w:rsidR="00A370D4">
        <w:rPr>
          <w:rFonts w:eastAsiaTheme="minorEastAsia" w:cs="Calibri"/>
          <w:lang w:val="en-GB"/>
        </w:rPr>
        <w:t xml:space="preserve">patients would only be captured </w:t>
      </w:r>
      <w:r w:rsidRPr="008D52BE">
        <w:rPr>
          <w:rFonts w:eastAsiaTheme="minorEastAsia" w:cs="Calibri"/>
          <w:lang w:val="en-GB"/>
        </w:rPr>
        <w:t xml:space="preserve">in a </w:t>
      </w:r>
      <w:r w:rsidRPr="008D52BE">
        <w:rPr>
          <w:rFonts w:eastAsiaTheme="minorEastAsia" w:cs="Calibri"/>
          <w:lang w:val="en-GB"/>
        </w:rPr>
        <w:lastRenderedPageBreak/>
        <w:t>linked coronial database. Our study was focussed on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their frequency of presentation to the ED, their clinical characteristics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and outcome.</w:t>
      </w:r>
    </w:p>
    <w:p w14:paraId="0E75E320" w14:textId="77777777" w:rsidR="00A370D4" w:rsidRDefault="00A370D4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b/>
          <w:lang w:val="en-GB"/>
        </w:rPr>
      </w:pPr>
    </w:p>
    <w:p w14:paraId="695DA0DD" w14:textId="505CAD6C" w:rsidR="008D52BE" w:rsidRPr="008D52BE" w:rsidRDefault="00A370D4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>
        <w:rPr>
          <w:rFonts w:eastAsiaTheme="minorEastAsia" w:cs="Calibri"/>
          <w:b/>
          <w:lang w:val="en-GB"/>
        </w:rPr>
        <w:t>CONCLUSIONS</w:t>
      </w:r>
    </w:p>
    <w:p w14:paraId="0EBA5CC8" w14:textId="31FF2E9C" w:rsid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In a prospectively collected Austral</w:t>
      </w:r>
      <w:r w:rsidR="00A370D4">
        <w:rPr>
          <w:rFonts w:eastAsiaTheme="minorEastAsia" w:cs="Calibri"/>
          <w:lang w:val="en-GB"/>
        </w:rPr>
        <w:t xml:space="preserve">ian and New Zealand multicentre </w:t>
      </w:r>
      <w:r w:rsidRPr="008D52BE">
        <w:rPr>
          <w:rFonts w:eastAsiaTheme="minorEastAsia" w:cs="Calibri"/>
          <w:lang w:val="en-GB"/>
        </w:rPr>
        <w:t xml:space="preserve">dataset, childhood </w:t>
      </w:r>
      <w:proofErr w:type="spellStart"/>
      <w:r w:rsidRPr="008D52BE">
        <w:rPr>
          <w:rFonts w:eastAsiaTheme="minorEastAsia" w:cs="Calibri"/>
          <w:lang w:val="en-GB"/>
        </w:rPr>
        <w:t>pHIs</w:t>
      </w:r>
      <w:proofErr w:type="spellEnd"/>
      <w:r w:rsidRPr="008D52BE">
        <w:rPr>
          <w:rFonts w:eastAsiaTheme="minorEastAsia" w:cs="Calibri"/>
          <w:lang w:val="en-GB"/>
        </w:rPr>
        <w:t xml:space="preserve"> were very rare in EDs and generally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presented as seriously injured. No fi</w:t>
      </w:r>
      <w:r w:rsidR="00A370D4">
        <w:rPr>
          <w:rFonts w:eastAsiaTheme="minorEastAsia" w:cs="Calibri"/>
          <w:lang w:val="en-GB"/>
        </w:rPr>
        <w:t xml:space="preserve">rearm-related HIs were </w:t>
      </w:r>
      <w:r w:rsidRPr="008D52BE">
        <w:rPr>
          <w:rFonts w:eastAsiaTheme="minorEastAsia" w:cs="Calibri"/>
          <w:lang w:val="en-GB"/>
        </w:rPr>
        <w:t>identified in this large ED dataset.</w:t>
      </w:r>
    </w:p>
    <w:p w14:paraId="25ABEBB8" w14:textId="77777777" w:rsidR="00A370D4" w:rsidRPr="008D52BE" w:rsidRDefault="00A370D4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</w:p>
    <w:p w14:paraId="1E8622A0" w14:textId="4933D1AD" w:rsidR="008D52BE" w:rsidRPr="008D52BE" w:rsidRDefault="00A370D4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>
        <w:rPr>
          <w:rFonts w:eastAsiaTheme="minorEastAsia" w:cs="Calibri"/>
          <w:b/>
          <w:lang w:val="en-GB"/>
        </w:rPr>
        <w:t>ACKNOWLEDGEMENTS</w:t>
      </w:r>
    </w:p>
    <w:p w14:paraId="16B88A77" w14:textId="2FD7F7AD" w:rsidR="008D52BE" w:rsidRPr="008D52BE" w:rsidRDefault="008D52BE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8D52BE">
        <w:rPr>
          <w:rFonts w:eastAsiaTheme="minorEastAsia" w:cs="Calibri"/>
          <w:lang w:val="en-GB"/>
        </w:rPr>
        <w:t>We thank the participating families,</w:t>
      </w:r>
      <w:r w:rsidR="00A370D4">
        <w:rPr>
          <w:rFonts w:eastAsiaTheme="minorEastAsia" w:cs="Calibri"/>
          <w:lang w:val="en-GB"/>
        </w:rPr>
        <w:t xml:space="preserve"> ED staff and research staff at </w:t>
      </w:r>
      <w:r w:rsidRPr="008D52BE">
        <w:rPr>
          <w:rFonts w:eastAsiaTheme="minorEastAsia" w:cs="Calibri"/>
          <w:lang w:val="en-GB"/>
        </w:rPr>
        <w:t>participating sites. The study was funded by grants from the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 xml:space="preserve">National Health and Medical </w:t>
      </w:r>
      <w:r w:rsidR="00A370D4">
        <w:rPr>
          <w:rFonts w:eastAsiaTheme="minorEastAsia" w:cs="Calibri"/>
          <w:lang w:val="en-GB"/>
        </w:rPr>
        <w:t xml:space="preserve">Research Council (project grant </w:t>
      </w:r>
      <w:r w:rsidRPr="008D52BE">
        <w:rPr>
          <w:rFonts w:eastAsiaTheme="minorEastAsia" w:cs="Calibri"/>
          <w:lang w:val="en-GB"/>
        </w:rPr>
        <w:t>GNT1046727, Centre of Research Excellence for Paediatric Emergency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Medicine GNT1058560), Canberra, Australia; the Murdoch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Children’s Research Institute, Melb</w:t>
      </w:r>
      <w:r w:rsidR="00A370D4">
        <w:rPr>
          <w:rFonts w:eastAsiaTheme="minorEastAsia" w:cs="Calibri"/>
          <w:lang w:val="en-GB"/>
        </w:rPr>
        <w:t xml:space="preserve">ourne, Australia; the Emergency </w:t>
      </w:r>
      <w:r w:rsidRPr="008D52BE">
        <w:rPr>
          <w:rFonts w:eastAsiaTheme="minorEastAsia" w:cs="Calibri"/>
          <w:lang w:val="en-GB"/>
        </w:rPr>
        <w:t>Medicine Foundation (EMPJ-11162), Brisbane, Australia; Perpetual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Philanthropic Services (2012/1140), Australia; Auckland Medical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Research Foundation (No. 3112</w:t>
      </w:r>
      <w:r w:rsidR="00A370D4">
        <w:rPr>
          <w:rFonts w:eastAsiaTheme="minorEastAsia" w:cs="Calibri"/>
          <w:lang w:val="en-GB"/>
        </w:rPr>
        <w:t xml:space="preserve">011) and the A+ Trust (Auckland </w:t>
      </w:r>
      <w:r w:rsidRPr="008D52BE">
        <w:rPr>
          <w:rFonts w:eastAsiaTheme="minorEastAsia" w:cs="Calibri"/>
          <w:lang w:val="en-GB"/>
        </w:rPr>
        <w:t>District Health Board), Auckland, New Zealand; WA Health Targeted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Research Funds 2013, Perth, Australia; and the Townsville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 xml:space="preserve">Hospital and Health Service Private </w:t>
      </w:r>
      <w:r w:rsidR="00A370D4">
        <w:rPr>
          <w:rFonts w:eastAsiaTheme="minorEastAsia" w:cs="Calibri"/>
          <w:lang w:val="en-GB"/>
        </w:rPr>
        <w:t xml:space="preserve">Practice Research and Education </w:t>
      </w:r>
      <w:r w:rsidRPr="008D52BE">
        <w:rPr>
          <w:rFonts w:eastAsiaTheme="minorEastAsia" w:cs="Calibri"/>
          <w:lang w:val="en-GB"/>
        </w:rPr>
        <w:t>Trust Fund, Townsville, Australia, and was supported by the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Victorian Government’s Infrastructure Support Program, Melbourne,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 xml:space="preserve">Australia. Franz </w:t>
      </w:r>
      <w:proofErr w:type="spellStart"/>
      <w:r w:rsidRPr="008D52BE">
        <w:rPr>
          <w:rFonts w:eastAsiaTheme="minorEastAsia" w:cs="Calibri"/>
          <w:lang w:val="en-GB"/>
        </w:rPr>
        <w:t>Babl’s</w:t>
      </w:r>
      <w:proofErr w:type="spellEnd"/>
      <w:r w:rsidRPr="008D52BE">
        <w:rPr>
          <w:rFonts w:eastAsiaTheme="minorEastAsia" w:cs="Calibri"/>
          <w:lang w:val="en-GB"/>
        </w:rPr>
        <w:t xml:space="preserve"> ti</w:t>
      </w:r>
      <w:r w:rsidR="00A370D4">
        <w:rPr>
          <w:rFonts w:eastAsiaTheme="minorEastAsia" w:cs="Calibri"/>
          <w:lang w:val="en-GB"/>
        </w:rPr>
        <w:t xml:space="preserve">me was partly funded by a grant </w:t>
      </w:r>
      <w:r w:rsidRPr="008D52BE">
        <w:rPr>
          <w:rFonts w:eastAsiaTheme="minorEastAsia" w:cs="Calibri"/>
          <w:lang w:val="en-GB"/>
        </w:rPr>
        <w:t>from the Royal Children’s Hospital Foundation, Melbourne,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Australia; a Melbourne Children’s Clinician Scientist Fellowship,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Melbourne, Australia; and an</w:t>
      </w:r>
      <w:r w:rsidR="00A370D4">
        <w:rPr>
          <w:rFonts w:eastAsiaTheme="minorEastAsia" w:cs="Calibri"/>
          <w:lang w:val="en-GB"/>
        </w:rPr>
        <w:t xml:space="preserve"> NHMRC Practitioner Fellowship, </w:t>
      </w:r>
      <w:r w:rsidRPr="008D52BE">
        <w:rPr>
          <w:rFonts w:eastAsiaTheme="minorEastAsia" w:cs="Calibri"/>
          <w:lang w:val="en-GB"/>
        </w:rPr>
        <w:t>Canberra, Australia. Stuart Dalziel’s time was partly funded by the</w:t>
      </w:r>
      <w:r w:rsidR="00A370D4">
        <w:rPr>
          <w:rFonts w:eastAsiaTheme="minorEastAsia" w:cs="Calibri"/>
          <w:lang w:val="en-GB"/>
        </w:rPr>
        <w:t xml:space="preserve"> </w:t>
      </w:r>
      <w:r w:rsidRPr="008D52BE">
        <w:rPr>
          <w:rFonts w:eastAsiaTheme="minorEastAsia" w:cs="Calibri"/>
          <w:lang w:val="en-GB"/>
        </w:rPr>
        <w:t>Health Research Council of New Zealand (HRC13/556).</w:t>
      </w:r>
    </w:p>
    <w:p w14:paraId="018211A9" w14:textId="77777777" w:rsidR="00A370D4" w:rsidRDefault="00A370D4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</w:p>
    <w:p w14:paraId="02215D18" w14:textId="77777777" w:rsidR="00A370D4" w:rsidRDefault="00A370D4">
      <w:pPr>
        <w:rPr>
          <w:rFonts w:eastAsiaTheme="minorEastAsia" w:cs="Calibri"/>
          <w:lang w:val="en-GB"/>
        </w:rPr>
      </w:pPr>
      <w:r>
        <w:rPr>
          <w:rFonts w:eastAsiaTheme="minorEastAsia" w:cs="Calibri"/>
          <w:lang w:val="en-GB"/>
        </w:rPr>
        <w:br w:type="page"/>
      </w:r>
    </w:p>
    <w:p w14:paraId="40A4C528" w14:textId="49B9FA98" w:rsidR="008D52BE" w:rsidRPr="008D52BE" w:rsidRDefault="00A370D4" w:rsidP="008D52BE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>
        <w:rPr>
          <w:rFonts w:eastAsiaTheme="minorEastAsia" w:cs="Calibri"/>
          <w:b/>
          <w:lang w:val="en-GB"/>
        </w:rPr>
        <w:lastRenderedPageBreak/>
        <w:t>REFERENCES</w:t>
      </w:r>
    </w:p>
    <w:p w14:paraId="745B78B8" w14:textId="7BD8F573" w:rsidR="008D52BE" w:rsidRPr="00A370D4" w:rsidRDefault="008D52BE" w:rsidP="00A370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proofErr w:type="spellStart"/>
      <w:r w:rsidRPr="00A370D4">
        <w:rPr>
          <w:rFonts w:eastAsiaTheme="minorEastAsia" w:cs="Calibri"/>
          <w:lang w:val="en-GB"/>
        </w:rPr>
        <w:t>Kuppermann</w:t>
      </w:r>
      <w:proofErr w:type="spellEnd"/>
      <w:r w:rsidRPr="00A370D4">
        <w:rPr>
          <w:rFonts w:eastAsiaTheme="minorEastAsia" w:cs="Calibri"/>
          <w:lang w:val="en-GB"/>
        </w:rPr>
        <w:t xml:space="preserve"> N, Holmes JF, Dayan PS et al. Identifi</w:t>
      </w:r>
      <w:r w:rsidR="00A370D4" w:rsidRPr="00A370D4">
        <w:rPr>
          <w:rFonts w:eastAsiaTheme="minorEastAsia" w:cs="Calibri"/>
          <w:lang w:val="en-GB"/>
        </w:rPr>
        <w:t xml:space="preserve">cation of </w:t>
      </w:r>
      <w:r w:rsidRPr="00A370D4">
        <w:rPr>
          <w:rFonts w:eastAsiaTheme="minorEastAsia" w:cs="Calibri"/>
          <w:lang w:val="en-GB"/>
        </w:rPr>
        <w:t>children at very low risk of clinically-important brain injuries after</w:t>
      </w:r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>head trauma: A prospective cohort study. Lancet 2009; 374:1160–70.</w:t>
      </w:r>
    </w:p>
    <w:p w14:paraId="50405B0E" w14:textId="17A94B2F" w:rsidR="008D52BE" w:rsidRPr="00A370D4" w:rsidRDefault="00A370D4" w:rsidP="00A370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A370D4">
        <w:rPr>
          <w:rFonts w:eastAsiaTheme="minorEastAsia" w:cs="Calibri"/>
          <w:lang w:val="en-GB"/>
        </w:rPr>
        <w:t>O</w:t>
      </w:r>
      <w:r w:rsidR="008D52BE" w:rsidRPr="00A370D4">
        <w:rPr>
          <w:rFonts w:eastAsiaTheme="minorEastAsia" w:cs="Calibri"/>
          <w:lang w:val="en-GB"/>
        </w:rPr>
        <w:t xml:space="preserve">smond MH, </w:t>
      </w:r>
      <w:proofErr w:type="spellStart"/>
      <w:r w:rsidR="008D52BE" w:rsidRPr="00A370D4">
        <w:rPr>
          <w:rFonts w:eastAsiaTheme="minorEastAsia" w:cs="Calibri"/>
          <w:lang w:val="en-GB"/>
        </w:rPr>
        <w:t>Klassen</w:t>
      </w:r>
      <w:proofErr w:type="spellEnd"/>
      <w:r w:rsidR="008D52BE" w:rsidRPr="00A370D4">
        <w:rPr>
          <w:rFonts w:eastAsiaTheme="minorEastAsia" w:cs="Calibri"/>
          <w:lang w:val="en-GB"/>
        </w:rPr>
        <w:t xml:space="preserve"> TP, Wells GA et al</w:t>
      </w:r>
      <w:r w:rsidRPr="00A370D4">
        <w:rPr>
          <w:rFonts w:eastAsiaTheme="minorEastAsia" w:cs="Calibri"/>
          <w:lang w:val="en-GB"/>
        </w:rPr>
        <w:t xml:space="preserve">. CATCH: A clinical decision </w:t>
      </w:r>
      <w:r w:rsidR="008D52BE" w:rsidRPr="00A370D4">
        <w:rPr>
          <w:rFonts w:eastAsiaTheme="minorEastAsia" w:cs="Calibri"/>
          <w:lang w:val="en-GB"/>
        </w:rPr>
        <w:t>rule for the use of computed tomography in children with minor head</w:t>
      </w:r>
      <w:r w:rsidRPr="00A370D4">
        <w:rPr>
          <w:rFonts w:eastAsiaTheme="minorEastAsia" w:cs="Calibri"/>
          <w:lang w:val="en-GB"/>
        </w:rPr>
        <w:t xml:space="preserve"> </w:t>
      </w:r>
      <w:r w:rsidR="008D52BE" w:rsidRPr="00A370D4">
        <w:rPr>
          <w:rFonts w:eastAsiaTheme="minorEastAsia" w:cs="Calibri"/>
          <w:lang w:val="en-GB"/>
        </w:rPr>
        <w:t>injury. CMAJ 2010; 182: 341–8.</w:t>
      </w:r>
    </w:p>
    <w:p w14:paraId="046A00D2" w14:textId="7AD38A96" w:rsidR="008D52BE" w:rsidRPr="00A370D4" w:rsidRDefault="008D52BE" w:rsidP="00A370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A370D4">
        <w:rPr>
          <w:rFonts w:eastAsiaTheme="minorEastAsia" w:cs="Calibri"/>
          <w:lang w:val="en-GB"/>
        </w:rPr>
        <w:t>Oman JA, Cooper RJ, Holmes JF et al.</w:t>
      </w:r>
      <w:r w:rsidR="00A370D4" w:rsidRPr="00A370D4">
        <w:rPr>
          <w:rFonts w:eastAsiaTheme="minorEastAsia" w:cs="Calibri"/>
          <w:lang w:val="en-GB"/>
        </w:rPr>
        <w:t xml:space="preserve"> Performance of a decision rule </w:t>
      </w:r>
      <w:r w:rsidRPr="00A370D4">
        <w:rPr>
          <w:rFonts w:eastAsiaTheme="minorEastAsia" w:cs="Calibri"/>
          <w:lang w:val="en-GB"/>
        </w:rPr>
        <w:t>to predict need for computed tomography among children with blunt</w:t>
      </w:r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 xml:space="preserve">head trauma. </w:t>
      </w:r>
      <w:proofErr w:type="spellStart"/>
      <w:r w:rsidRPr="00A370D4">
        <w:rPr>
          <w:rFonts w:eastAsiaTheme="minorEastAsia" w:cs="Calibri"/>
          <w:lang w:val="en-GB"/>
        </w:rPr>
        <w:t>Pediatrics</w:t>
      </w:r>
      <w:proofErr w:type="spellEnd"/>
      <w:r w:rsidRPr="00A370D4">
        <w:rPr>
          <w:rFonts w:eastAsiaTheme="minorEastAsia" w:cs="Calibri"/>
          <w:lang w:val="en-GB"/>
        </w:rPr>
        <w:t xml:space="preserve"> 2006; 117: e238–46.</w:t>
      </w:r>
    </w:p>
    <w:p w14:paraId="4BCBC581" w14:textId="502E19A9" w:rsidR="008D52BE" w:rsidRPr="00A370D4" w:rsidRDefault="008D52BE" w:rsidP="00A370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A370D4">
        <w:rPr>
          <w:rFonts w:eastAsiaTheme="minorEastAsia" w:cs="Calibri"/>
          <w:lang w:val="en-GB"/>
        </w:rPr>
        <w:t xml:space="preserve">Dunning J, Daly JP, </w:t>
      </w:r>
      <w:proofErr w:type="gramStart"/>
      <w:r w:rsidRPr="00A370D4">
        <w:rPr>
          <w:rFonts w:eastAsiaTheme="minorEastAsia" w:cs="Calibri"/>
          <w:lang w:val="en-GB"/>
        </w:rPr>
        <w:t>Lomas</w:t>
      </w:r>
      <w:proofErr w:type="gramEnd"/>
      <w:r w:rsidRPr="00A370D4">
        <w:rPr>
          <w:rFonts w:eastAsiaTheme="minorEastAsia" w:cs="Calibri"/>
          <w:lang w:val="en-GB"/>
        </w:rPr>
        <w:t xml:space="preserve"> JP et al. Derivation of the children’</w:t>
      </w:r>
      <w:r w:rsidR="00A370D4" w:rsidRPr="00A370D4">
        <w:rPr>
          <w:rFonts w:eastAsiaTheme="minorEastAsia" w:cs="Calibri"/>
          <w:lang w:val="en-GB"/>
        </w:rPr>
        <w:t xml:space="preserve">s head </w:t>
      </w:r>
      <w:r w:rsidRPr="00A370D4">
        <w:rPr>
          <w:rFonts w:eastAsiaTheme="minorEastAsia" w:cs="Calibri"/>
          <w:lang w:val="en-GB"/>
        </w:rPr>
        <w:t>injury algorithm for the prediction of important clinical events decision</w:t>
      </w:r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>rule for head injury in children. Arch. Dis. Child. 2006; 91</w:t>
      </w:r>
      <w:r w:rsidR="00A370D4" w:rsidRPr="00A370D4">
        <w:rPr>
          <w:rFonts w:eastAsiaTheme="minorEastAsia" w:cs="Calibri"/>
          <w:lang w:val="en-GB"/>
        </w:rPr>
        <w:t>:</w:t>
      </w:r>
      <w:r w:rsidRPr="00A370D4">
        <w:rPr>
          <w:rFonts w:eastAsiaTheme="minorEastAsia" w:cs="Calibri"/>
          <w:lang w:val="en-GB"/>
        </w:rPr>
        <w:t>885–91.</w:t>
      </w:r>
    </w:p>
    <w:p w14:paraId="6006180E" w14:textId="6B59C871" w:rsidR="008D52BE" w:rsidRPr="00A370D4" w:rsidRDefault="008D52BE" w:rsidP="00A370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proofErr w:type="spellStart"/>
      <w:r w:rsidRPr="00A370D4">
        <w:rPr>
          <w:rFonts w:eastAsiaTheme="minorEastAsia" w:cs="Calibri"/>
          <w:lang w:val="en-GB"/>
        </w:rPr>
        <w:t>Schecter</w:t>
      </w:r>
      <w:proofErr w:type="spellEnd"/>
      <w:r w:rsidRPr="00A370D4">
        <w:rPr>
          <w:rFonts w:eastAsiaTheme="minorEastAsia" w:cs="Calibri"/>
          <w:lang w:val="en-GB"/>
        </w:rPr>
        <w:t xml:space="preserve"> SC, Betts J, </w:t>
      </w:r>
      <w:proofErr w:type="spellStart"/>
      <w:r w:rsidRPr="00A370D4">
        <w:rPr>
          <w:rFonts w:eastAsiaTheme="minorEastAsia" w:cs="Calibri"/>
          <w:lang w:val="en-GB"/>
        </w:rPr>
        <w:t>Schecter</w:t>
      </w:r>
      <w:proofErr w:type="spellEnd"/>
      <w:r w:rsidRPr="00A370D4">
        <w:rPr>
          <w:rFonts w:eastAsiaTheme="minorEastAsia" w:cs="Calibri"/>
          <w:lang w:val="en-GB"/>
        </w:rPr>
        <w:t xml:space="preserve"> WP, </w:t>
      </w:r>
      <w:proofErr w:type="spellStart"/>
      <w:r w:rsidRPr="00A370D4">
        <w:rPr>
          <w:rFonts w:eastAsiaTheme="minorEastAsia" w:cs="Calibri"/>
          <w:lang w:val="en-GB"/>
        </w:rPr>
        <w:t>Vict</w:t>
      </w:r>
      <w:r w:rsidR="00A370D4" w:rsidRPr="00A370D4">
        <w:rPr>
          <w:rFonts w:eastAsiaTheme="minorEastAsia" w:cs="Calibri"/>
          <w:lang w:val="en-GB"/>
        </w:rPr>
        <w:t>orino</w:t>
      </w:r>
      <w:proofErr w:type="spellEnd"/>
      <w:r w:rsidR="00A370D4" w:rsidRPr="00A370D4">
        <w:rPr>
          <w:rFonts w:eastAsiaTheme="minorEastAsia" w:cs="Calibri"/>
          <w:lang w:val="en-GB"/>
        </w:rPr>
        <w:t xml:space="preserve"> GP. </w:t>
      </w:r>
      <w:proofErr w:type="spellStart"/>
      <w:r w:rsidR="00A370D4" w:rsidRPr="00A370D4">
        <w:rPr>
          <w:rFonts w:eastAsiaTheme="minorEastAsia" w:cs="Calibri"/>
          <w:lang w:val="en-GB"/>
        </w:rPr>
        <w:t>Pediatric</w:t>
      </w:r>
      <w:proofErr w:type="spellEnd"/>
      <w:r w:rsidR="00A370D4" w:rsidRPr="00A370D4">
        <w:rPr>
          <w:rFonts w:eastAsiaTheme="minorEastAsia" w:cs="Calibri"/>
          <w:lang w:val="en-GB"/>
        </w:rPr>
        <w:t xml:space="preserve"> penetrating </w:t>
      </w:r>
      <w:r w:rsidRPr="00A370D4">
        <w:rPr>
          <w:rFonts w:eastAsiaTheme="minorEastAsia" w:cs="Calibri"/>
          <w:lang w:val="en-GB"/>
        </w:rPr>
        <w:t>trauma: The epidemic continues. J. Trauma Acute Care Surg. 2012;</w:t>
      </w:r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>73: 721–5.</w:t>
      </w:r>
    </w:p>
    <w:p w14:paraId="5994A459" w14:textId="6347E3EB" w:rsidR="008D52BE" w:rsidRPr="00A370D4" w:rsidRDefault="008D52BE" w:rsidP="00A370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proofErr w:type="spellStart"/>
      <w:r w:rsidRPr="00A370D4">
        <w:rPr>
          <w:rFonts w:eastAsiaTheme="minorEastAsia" w:cs="Calibri"/>
          <w:lang w:val="en-GB"/>
        </w:rPr>
        <w:t>Muballe</w:t>
      </w:r>
      <w:proofErr w:type="spellEnd"/>
      <w:r w:rsidRPr="00A370D4">
        <w:rPr>
          <w:rFonts w:eastAsiaTheme="minorEastAsia" w:cs="Calibri"/>
          <w:lang w:val="en-GB"/>
        </w:rPr>
        <w:t xml:space="preserve"> KD, </w:t>
      </w:r>
      <w:proofErr w:type="spellStart"/>
      <w:r w:rsidRPr="00A370D4">
        <w:rPr>
          <w:rFonts w:eastAsiaTheme="minorEastAsia" w:cs="Calibri"/>
          <w:lang w:val="en-GB"/>
        </w:rPr>
        <w:t>Hardcastle</w:t>
      </w:r>
      <w:proofErr w:type="spellEnd"/>
      <w:r w:rsidRPr="00A370D4">
        <w:rPr>
          <w:rFonts w:eastAsiaTheme="minorEastAsia" w:cs="Calibri"/>
          <w:lang w:val="en-GB"/>
        </w:rPr>
        <w:t xml:space="preserve"> T, </w:t>
      </w:r>
      <w:proofErr w:type="spellStart"/>
      <w:r w:rsidRPr="00A370D4">
        <w:rPr>
          <w:rFonts w:eastAsiaTheme="minorEastAsia" w:cs="Calibri"/>
          <w:lang w:val="en-GB"/>
        </w:rPr>
        <w:t>Kiratu</w:t>
      </w:r>
      <w:proofErr w:type="spellEnd"/>
      <w:r w:rsidRPr="00A370D4">
        <w:rPr>
          <w:rFonts w:eastAsiaTheme="minorEastAsia" w:cs="Calibri"/>
          <w:lang w:val="en-GB"/>
        </w:rPr>
        <w:t xml:space="preserve"> E. Neurological fi</w:t>
      </w:r>
      <w:r w:rsidR="00A370D4" w:rsidRPr="00A370D4">
        <w:rPr>
          <w:rFonts w:eastAsiaTheme="minorEastAsia" w:cs="Calibri"/>
          <w:lang w:val="en-GB"/>
        </w:rPr>
        <w:t xml:space="preserve">ndings in </w:t>
      </w:r>
      <w:proofErr w:type="spellStart"/>
      <w:r w:rsidR="00A370D4" w:rsidRPr="00A370D4">
        <w:rPr>
          <w:rFonts w:eastAsiaTheme="minorEastAsia" w:cs="Calibri"/>
          <w:lang w:val="en-GB"/>
        </w:rPr>
        <w:t>pediatric</w:t>
      </w:r>
      <w:proofErr w:type="spellEnd"/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>penetrating head injury at a university teaching hospital in Durban,</w:t>
      </w:r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 xml:space="preserve">South Africa: A 23-year retrospective study. J. </w:t>
      </w:r>
      <w:proofErr w:type="spellStart"/>
      <w:r w:rsidRPr="00A370D4">
        <w:rPr>
          <w:rFonts w:eastAsiaTheme="minorEastAsia" w:cs="Calibri"/>
          <w:lang w:val="en-GB"/>
        </w:rPr>
        <w:t>Neurosurg</w:t>
      </w:r>
      <w:proofErr w:type="spellEnd"/>
      <w:r w:rsidRPr="00A370D4">
        <w:rPr>
          <w:rFonts w:eastAsiaTheme="minorEastAsia" w:cs="Calibri"/>
          <w:lang w:val="en-GB"/>
        </w:rPr>
        <w:t xml:space="preserve">. </w:t>
      </w:r>
      <w:proofErr w:type="spellStart"/>
      <w:r w:rsidRPr="00A370D4">
        <w:rPr>
          <w:rFonts w:eastAsiaTheme="minorEastAsia" w:cs="Calibri"/>
          <w:lang w:val="en-GB"/>
        </w:rPr>
        <w:t>Pediatr</w:t>
      </w:r>
      <w:proofErr w:type="spellEnd"/>
      <w:r w:rsidRPr="00A370D4">
        <w:rPr>
          <w:rFonts w:eastAsiaTheme="minorEastAsia" w:cs="Calibri"/>
          <w:lang w:val="en-GB"/>
        </w:rPr>
        <w:t>.</w:t>
      </w:r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>2016; 18: 550–7.</w:t>
      </w:r>
    </w:p>
    <w:p w14:paraId="575884E9" w14:textId="2E8C75B1" w:rsidR="008D52BE" w:rsidRPr="00A370D4" w:rsidRDefault="008D52BE" w:rsidP="00A370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proofErr w:type="spellStart"/>
      <w:r w:rsidRPr="00A370D4">
        <w:rPr>
          <w:rFonts w:eastAsiaTheme="minorEastAsia" w:cs="Calibri"/>
          <w:lang w:val="en-GB"/>
        </w:rPr>
        <w:t>Klimo</w:t>
      </w:r>
      <w:proofErr w:type="spellEnd"/>
      <w:r w:rsidRPr="00A370D4">
        <w:rPr>
          <w:rFonts w:eastAsiaTheme="minorEastAsia" w:cs="Calibri"/>
          <w:lang w:val="en-GB"/>
        </w:rPr>
        <w:t xml:space="preserve"> P Jr, </w:t>
      </w:r>
      <w:proofErr w:type="spellStart"/>
      <w:r w:rsidRPr="00A370D4">
        <w:rPr>
          <w:rFonts w:eastAsiaTheme="minorEastAsia" w:cs="Calibri"/>
          <w:lang w:val="en-GB"/>
        </w:rPr>
        <w:t>Ragel</w:t>
      </w:r>
      <w:proofErr w:type="spellEnd"/>
      <w:r w:rsidRPr="00A370D4">
        <w:rPr>
          <w:rFonts w:eastAsiaTheme="minorEastAsia" w:cs="Calibri"/>
          <w:lang w:val="en-GB"/>
        </w:rPr>
        <w:t xml:space="preserve"> BT, Jones GM, </w:t>
      </w:r>
      <w:proofErr w:type="spellStart"/>
      <w:r w:rsidRPr="00A370D4">
        <w:rPr>
          <w:rFonts w:eastAsiaTheme="minorEastAsia" w:cs="Calibri"/>
          <w:lang w:val="en-GB"/>
        </w:rPr>
        <w:t>McCa</w:t>
      </w:r>
      <w:r w:rsidR="00A370D4" w:rsidRPr="00A370D4">
        <w:rPr>
          <w:rFonts w:eastAsiaTheme="minorEastAsia" w:cs="Calibri"/>
          <w:lang w:val="en-GB"/>
        </w:rPr>
        <w:t>fferty</w:t>
      </w:r>
      <w:proofErr w:type="spellEnd"/>
      <w:r w:rsidR="00A370D4" w:rsidRPr="00A370D4">
        <w:rPr>
          <w:rFonts w:eastAsiaTheme="minorEastAsia" w:cs="Calibri"/>
          <w:lang w:val="en-GB"/>
        </w:rPr>
        <w:t xml:space="preserve"> R. Severe </w:t>
      </w:r>
      <w:proofErr w:type="spellStart"/>
      <w:r w:rsidR="00A370D4" w:rsidRPr="00A370D4">
        <w:rPr>
          <w:rFonts w:eastAsiaTheme="minorEastAsia" w:cs="Calibri"/>
          <w:lang w:val="en-GB"/>
        </w:rPr>
        <w:t>pediatric</w:t>
      </w:r>
      <w:proofErr w:type="spellEnd"/>
      <w:r w:rsidR="00A370D4" w:rsidRPr="00A370D4">
        <w:rPr>
          <w:rFonts w:eastAsiaTheme="minorEastAsia" w:cs="Calibri"/>
          <w:lang w:val="en-GB"/>
        </w:rPr>
        <w:t xml:space="preserve"> head </w:t>
      </w:r>
      <w:r w:rsidRPr="00A370D4">
        <w:rPr>
          <w:rFonts w:eastAsiaTheme="minorEastAsia" w:cs="Calibri"/>
          <w:lang w:val="en-GB"/>
        </w:rPr>
        <w:t>injury during the Iraq and Afghanistan conflicts. Neurosurgery 2015</w:t>
      </w:r>
      <w:proofErr w:type="gramStart"/>
      <w:r w:rsidRPr="00A370D4">
        <w:rPr>
          <w:rFonts w:eastAsiaTheme="minorEastAsia" w:cs="Calibri"/>
          <w:lang w:val="en-GB"/>
        </w:rPr>
        <w:t>;77</w:t>
      </w:r>
      <w:proofErr w:type="gramEnd"/>
      <w:r w:rsidRPr="00A370D4">
        <w:rPr>
          <w:rFonts w:eastAsiaTheme="minorEastAsia" w:cs="Calibri"/>
          <w:lang w:val="en-GB"/>
        </w:rPr>
        <w:t>: 1–7.</w:t>
      </w:r>
    </w:p>
    <w:p w14:paraId="06F858C4" w14:textId="2BA7FC58" w:rsidR="008D52BE" w:rsidRPr="00A370D4" w:rsidRDefault="008D52BE" w:rsidP="00A370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A370D4">
        <w:rPr>
          <w:rFonts w:eastAsiaTheme="minorEastAsia" w:cs="Calibri"/>
          <w:lang w:val="en-GB"/>
        </w:rPr>
        <w:t xml:space="preserve">Crowe L, </w:t>
      </w:r>
      <w:proofErr w:type="spellStart"/>
      <w:r w:rsidRPr="00A370D4">
        <w:rPr>
          <w:rFonts w:eastAsiaTheme="minorEastAsia" w:cs="Calibri"/>
          <w:lang w:val="en-GB"/>
        </w:rPr>
        <w:t>Babl</w:t>
      </w:r>
      <w:proofErr w:type="spellEnd"/>
      <w:r w:rsidRPr="00A370D4">
        <w:rPr>
          <w:rFonts w:eastAsiaTheme="minorEastAsia" w:cs="Calibri"/>
          <w:lang w:val="en-GB"/>
        </w:rPr>
        <w:t xml:space="preserve"> F, Anderson V, </w:t>
      </w:r>
      <w:proofErr w:type="spellStart"/>
      <w:r w:rsidRPr="00A370D4">
        <w:rPr>
          <w:rFonts w:eastAsiaTheme="minorEastAsia" w:cs="Calibri"/>
          <w:lang w:val="en-GB"/>
        </w:rPr>
        <w:t>Catroppa</w:t>
      </w:r>
      <w:proofErr w:type="spellEnd"/>
      <w:r w:rsidRPr="00A370D4">
        <w:rPr>
          <w:rFonts w:eastAsiaTheme="minorEastAsia" w:cs="Calibri"/>
          <w:lang w:val="en-GB"/>
        </w:rPr>
        <w:t xml:space="preserve"> C.</w:t>
      </w:r>
      <w:r w:rsidR="00A370D4" w:rsidRPr="00A370D4">
        <w:rPr>
          <w:rFonts w:eastAsiaTheme="minorEastAsia" w:cs="Calibri"/>
          <w:lang w:val="en-GB"/>
        </w:rPr>
        <w:t xml:space="preserve"> The epidemiology of paediatric </w:t>
      </w:r>
      <w:r w:rsidRPr="00A370D4">
        <w:rPr>
          <w:rFonts w:eastAsiaTheme="minorEastAsia" w:cs="Calibri"/>
          <w:lang w:val="en-GB"/>
        </w:rPr>
        <w:t>head injuries: Data from a referral centre in Victoria, Australia.</w:t>
      </w:r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 xml:space="preserve">J. </w:t>
      </w:r>
      <w:proofErr w:type="spellStart"/>
      <w:r w:rsidRPr="00A370D4">
        <w:rPr>
          <w:rFonts w:eastAsiaTheme="minorEastAsia" w:cs="Calibri"/>
          <w:lang w:val="en-GB"/>
        </w:rPr>
        <w:t>Paediatr</w:t>
      </w:r>
      <w:proofErr w:type="spellEnd"/>
      <w:r w:rsidRPr="00A370D4">
        <w:rPr>
          <w:rFonts w:eastAsiaTheme="minorEastAsia" w:cs="Calibri"/>
          <w:lang w:val="en-GB"/>
        </w:rPr>
        <w:t>. Child Health 2009; 45: 346–50.</w:t>
      </w:r>
    </w:p>
    <w:p w14:paraId="623CE463" w14:textId="11DAFF7A" w:rsidR="008D52BE" w:rsidRPr="00A370D4" w:rsidRDefault="008D52BE" w:rsidP="00A370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A370D4">
        <w:rPr>
          <w:rFonts w:eastAsiaTheme="minorEastAsia" w:cs="Calibri"/>
          <w:lang w:val="en-GB"/>
        </w:rPr>
        <w:t>Byard RW, Haas E, Mar</w:t>
      </w:r>
      <w:r w:rsidR="00A370D4" w:rsidRPr="00A370D4">
        <w:rPr>
          <w:rFonts w:eastAsiaTheme="minorEastAsia" w:cs="Calibri"/>
          <w:lang w:val="en-GB"/>
        </w:rPr>
        <w:t xml:space="preserve">shall DT, Gilbert JD, </w:t>
      </w:r>
      <w:proofErr w:type="spellStart"/>
      <w:r w:rsidR="00A370D4" w:rsidRPr="00A370D4">
        <w:rPr>
          <w:rFonts w:eastAsiaTheme="minorEastAsia" w:cs="Calibri"/>
          <w:lang w:val="en-GB"/>
        </w:rPr>
        <w:t>Krous</w:t>
      </w:r>
      <w:proofErr w:type="spellEnd"/>
      <w:r w:rsidR="00A370D4" w:rsidRPr="00A370D4">
        <w:rPr>
          <w:rFonts w:eastAsiaTheme="minorEastAsia" w:cs="Calibri"/>
          <w:lang w:val="en-GB"/>
        </w:rPr>
        <w:t xml:space="preserve"> HF. </w:t>
      </w:r>
      <w:r w:rsidRPr="00A370D4">
        <w:rPr>
          <w:rFonts w:eastAsiaTheme="minorEastAsia" w:cs="Calibri"/>
          <w:lang w:val="en-GB"/>
        </w:rPr>
        <w:t xml:space="preserve">Characteristic features of </w:t>
      </w:r>
      <w:proofErr w:type="spellStart"/>
      <w:r w:rsidRPr="00A370D4">
        <w:rPr>
          <w:rFonts w:eastAsiaTheme="minorEastAsia" w:cs="Calibri"/>
          <w:lang w:val="en-GB"/>
        </w:rPr>
        <w:t>pediatric</w:t>
      </w:r>
      <w:proofErr w:type="spellEnd"/>
      <w:r w:rsidRPr="00A370D4">
        <w:rPr>
          <w:rFonts w:eastAsiaTheme="minorEastAsia" w:cs="Calibri"/>
          <w:lang w:val="en-GB"/>
        </w:rPr>
        <w:t xml:space="preserve"> firearm fatalities – Comparisons</w:t>
      </w:r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>between Australia and the United States. J. Forensic Sci. 2009; 54</w:t>
      </w:r>
      <w:r w:rsidR="00A370D4" w:rsidRPr="00A370D4">
        <w:rPr>
          <w:rFonts w:eastAsiaTheme="minorEastAsia" w:cs="Calibri"/>
          <w:lang w:val="en-GB"/>
        </w:rPr>
        <w:t>:</w:t>
      </w:r>
      <w:r w:rsidRPr="00A370D4">
        <w:rPr>
          <w:rFonts w:eastAsiaTheme="minorEastAsia" w:cs="Calibri"/>
          <w:lang w:val="en-GB"/>
        </w:rPr>
        <w:t>1093–6.</w:t>
      </w:r>
    </w:p>
    <w:p w14:paraId="130EF41F" w14:textId="52F9BB8E" w:rsidR="008D52BE" w:rsidRPr="00A370D4" w:rsidRDefault="008D52BE" w:rsidP="00A370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A370D4">
        <w:rPr>
          <w:rFonts w:eastAsiaTheme="minorEastAsia" w:cs="Calibri"/>
          <w:lang w:val="en-GB"/>
        </w:rPr>
        <w:t xml:space="preserve">Chapman S, </w:t>
      </w:r>
      <w:proofErr w:type="spellStart"/>
      <w:r w:rsidRPr="00A370D4">
        <w:rPr>
          <w:rFonts w:eastAsiaTheme="minorEastAsia" w:cs="Calibri"/>
          <w:lang w:val="en-GB"/>
        </w:rPr>
        <w:t>Alpers</w:t>
      </w:r>
      <w:proofErr w:type="spellEnd"/>
      <w:r w:rsidRPr="00A370D4">
        <w:rPr>
          <w:rFonts w:eastAsiaTheme="minorEastAsia" w:cs="Calibri"/>
          <w:lang w:val="en-GB"/>
        </w:rPr>
        <w:t xml:space="preserve"> P, Jones M. Asso</w:t>
      </w:r>
      <w:r w:rsidR="00A370D4" w:rsidRPr="00A370D4">
        <w:rPr>
          <w:rFonts w:eastAsiaTheme="minorEastAsia" w:cs="Calibri"/>
          <w:lang w:val="en-GB"/>
        </w:rPr>
        <w:t xml:space="preserve">ciation between gun law reforms </w:t>
      </w:r>
      <w:r w:rsidRPr="00A370D4">
        <w:rPr>
          <w:rFonts w:eastAsiaTheme="minorEastAsia" w:cs="Calibri"/>
          <w:lang w:val="en-GB"/>
        </w:rPr>
        <w:t>and intentional firearm deaths in Australia, 1979–2013. JAMA 2016</w:t>
      </w:r>
      <w:proofErr w:type="gramStart"/>
      <w:r w:rsidRPr="00A370D4">
        <w:rPr>
          <w:rFonts w:eastAsiaTheme="minorEastAsia" w:cs="Calibri"/>
          <w:lang w:val="en-GB"/>
        </w:rPr>
        <w:t>;316</w:t>
      </w:r>
      <w:proofErr w:type="gramEnd"/>
      <w:r w:rsidRPr="00A370D4">
        <w:rPr>
          <w:rFonts w:eastAsiaTheme="minorEastAsia" w:cs="Calibri"/>
          <w:lang w:val="en-GB"/>
        </w:rPr>
        <w:t>: 291–9.</w:t>
      </w:r>
    </w:p>
    <w:p w14:paraId="4AF03F1B" w14:textId="463BCB2D" w:rsidR="008D52BE" w:rsidRPr="00A370D4" w:rsidRDefault="008D52BE" w:rsidP="00A370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A370D4">
        <w:rPr>
          <w:rFonts w:eastAsiaTheme="minorEastAsia" w:cs="Calibri"/>
          <w:lang w:val="en-GB"/>
        </w:rPr>
        <w:t>Peters R. Rational firearm regulat</w:t>
      </w:r>
      <w:r w:rsidR="00A370D4" w:rsidRPr="00A370D4">
        <w:rPr>
          <w:rFonts w:eastAsiaTheme="minorEastAsia" w:cs="Calibri"/>
          <w:lang w:val="en-GB"/>
        </w:rPr>
        <w:t xml:space="preserve">ion: Evidence-based gun Laws in </w:t>
      </w:r>
      <w:r w:rsidRPr="00A370D4">
        <w:rPr>
          <w:rFonts w:eastAsiaTheme="minorEastAsia" w:cs="Calibri"/>
          <w:lang w:val="en-GB"/>
        </w:rPr>
        <w:t xml:space="preserve">Australia. In: Webster DW, </w:t>
      </w:r>
      <w:proofErr w:type="spellStart"/>
      <w:r w:rsidRPr="00A370D4">
        <w:rPr>
          <w:rFonts w:eastAsiaTheme="minorEastAsia" w:cs="Calibri"/>
          <w:lang w:val="en-GB"/>
        </w:rPr>
        <w:t>Vernick</w:t>
      </w:r>
      <w:proofErr w:type="spellEnd"/>
      <w:r w:rsidRPr="00A370D4">
        <w:rPr>
          <w:rFonts w:eastAsiaTheme="minorEastAsia" w:cs="Calibri"/>
          <w:lang w:val="en-GB"/>
        </w:rPr>
        <w:t xml:space="preserve"> JS, eds. Reducing Gun Violence in</w:t>
      </w:r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>America: Informing Policy with Evidence and Analysis. Baltimore, MD:</w:t>
      </w:r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>Johns Hopkins University Press; 2013; 195–204.</w:t>
      </w:r>
    </w:p>
    <w:p w14:paraId="7D996018" w14:textId="6F5CFA91" w:rsidR="008D52BE" w:rsidRPr="00A370D4" w:rsidRDefault="008D52BE" w:rsidP="00982A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A370D4">
        <w:rPr>
          <w:rFonts w:eastAsiaTheme="minorEastAsia" w:cs="Calibri"/>
          <w:lang w:val="en-GB"/>
        </w:rPr>
        <w:t xml:space="preserve">GunPolicy.Org. Australia and New Zealand – </w:t>
      </w:r>
      <w:r w:rsidR="00A370D4" w:rsidRPr="00A370D4">
        <w:rPr>
          <w:rFonts w:eastAsiaTheme="minorEastAsia" w:cs="Calibri"/>
          <w:lang w:val="en-GB"/>
        </w:rPr>
        <w:t xml:space="preserve">Gun Facts, Figures and </w:t>
      </w:r>
      <w:r w:rsidRPr="00A370D4">
        <w:rPr>
          <w:rFonts w:eastAsiaTheme="minorEastAsia" w:cs="Calibri"/>
          <w:lang w:val="en-GB"/>
        </w:rPr>
        <w:t xml:space="preserve">the Law. Sydney: Sydney School of Public Health, </w:t>
      </w:r>
      <w:proofErr w:type="gramStart"/>
      <w:r w:rsidRPr="00A370D4">
        <w:rPr>
          <w:rFonts w:eastAsiaTheme="minorEastAsia" w:cs="Calibri"/>
          <w:lang w:val="en-GB"/>
        </w:rPr>
        <w:t>The</w:t>
      </w:r>
      <w:proofErr w:type="gramEnd"/>
      <w:r w:rsidRPr="00A370D4">
        <w:rPr>
          <w:rFonts w:eastAsiaTheme="minorEastAsia" w:cs="Calibri"/>
          <w:lang w:val="en-GB"/>
        </w:rPr>
        <w:t xml:space="preserve"> University of</w:t>
      </w:r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>Sydney; 2017. Available from: http://www.gunpolicy.org/firearms/region/ [accessed 10 June 2017].</w:t>
      </w:r>
    </w:p>
    <w:p w14:paraId="2071C0B3" w14:textId="1510100A" w:rsidR="008D52BE" w:rsidRPr="00A370D4" w:rsidRDefault="008D52BE" w:rsidP="00A370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proofErr w:type="spellStart"/>
      <w:r w:rsidRPr="00A370D4">
        <w:rPr>
          <w:rFonts w:eastAsiaTheme="minorEastAsia" w:cs="Calibri"/>
          <w:lang w:val="en-GB"/>
        </w:rPr>
        <w:t>Babl</w:t>
      </w:r>
      <w:proofErr w:type="spellEnd"/>
      <w:r w:rsidRPr="00A370D4">
        <w:rPr>
          <w:rFonts w:eastAsiaTheme="minorEastAsia" w:cs="Calibri"/>
          <w:lang w:val="en-GB"/>
        </w:rPr>
        <w:t xml:space="preserve"> F, Borland M, Ngo P et al. P</w:t>
      </w:r>
      <w:r w:rsidR="00A370D4" w:rsidRPr="00A370D4">
        <w:rPr>
          <w:rFonts w:eastAsiaTheme="minorEastAsia" w:cs="Calibri"/>
          <w:lang w:val="en-GB"/>
        </w:rPr>
        <w:t xml:space="preserve">aediatric research in emergency </w:t>
      </w:r>
      <w:proofErr w:type="gramStart"/>
      <w:r w:rsidRPr="00A370D4">
        <w:rPr>
          <w:rFonts w:eastAsiaTheme="minorEastAsia" w:cs="Calibri"/>
          <w:lang w:val="en-GB"/>
        </w:rPr>
        <w:t>departments</w:t>
      </w:r>
      <w:proofErr w:type="gramEnd"/>
      <w:r w:rsidRPr="00A370D4">
        <w:rPr>
          <w:rFonts w:eastAsiaTheme="minorEastAsia" w:cs="Calibri"/>
          <w:lang w:val="en-GB"/>
        </w:rPr>
        <w:t xml:space="preserve"> international collaborative (PREDICT): First steps</w:t>
      </w:r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>towards the development of an Australian and New Zealand research</w:t>
      </w:r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 xml:space="preserve">network. </w:t>
      </w:r>
      <w:proofErr w:type="spellStart"/>
      <w:r w:rsidRPr="00A370D4">
        <w:rPr>
          <w:rFonts w:eastAsiaTheme="minorEastAsia" w:cs="Calibri"/>
          <w:lang w:val="en-GB"/>
        </w:rPr>
        <w:t>Emerg</w:t>
      </w:r>
      <w:proofErr w:type="spellEnd"/>
      <w:r w:rsidRPr="00A370D4">
        <w:rPr>
          <w:rFonts w:eastAsiaTheme="minorEastAsia" w:cs="Calibri"/>
          <w:lang w:val="en-GB"/>
        </w:rPr>
        <w:t xml:space="preserve">. Med. </w:t>
      </w:r>
      <w:proofErr w:type="spellStart"/>
      <w:r w:rsidRPr="00A370D4">
        <w:rPr>
          <w:rFonts w:eastAsiaTheme="minorEastAsia" w:cs="Calibri"/>
          <w:lang w:val="en-GB"/>
        </w:rPr>
        <w:t>Australas</w:t>
      </w:r>
      <w:proofErr w:type="spellEnd"/>
      <w:r w:rsidRPr="00A370D4">
        <w:rPr>
          <w:rFonts w:eastAsiaTheme="minorEastAsia" w:cs="Calibri"/>
          <w:lang w:val="en-GB"/>
        </w:rPr>
        <w:t>. 2006; 18: 143–7.</w:t>
      </w:r>
    </w:p>
    <w:p w14:paraId="5B891BE5" w14:textId="4C337770" w:rsidR="008D52BE" w:rsidRPr="00A370D4" w:rsidRDefault="008D52BE" w:rsidP="00A370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proofErr w:type="spellStart"/>
      <w:r w:rsidRPr="00A370D4">
        <w:rPr>
          <w:rFonts w:eastAsiaTheme="minorEastAsia" w:cs="Calibri"/>
          <w:lang w:val="en-GB"/>
        </w:rPr>
        <w:lastRenderedPageBreak/>
        <w:t>Babl</w:t>
      </w:r>
      <w:proofErr w:type="spellEnd"/>
      <w:r w:rsidRPr="00A370D4">
        <w:rPr>
          <w:rFonts w:eastAsiaTheme="minorEastAsia" w:cs="Calibri"/>
          <w:lang w:val="en-GB"/>
        </w:rPr>
        <w:t xml:space="preserve"> FE, Lyttle MD, </w:t>
      </w:r>
      <w:proofErr w:type="spellStart"/>
      <w:r w:rsidRPr="00A370D4">
        <w:rPr>
          <w:rFonts w:eastAsiaTheme="minorEastAsia" w:cs="Calibri"/>
          <w:lang w:val="en-GB"/>
        </w:rPr>
        <w:t>Bressan</w:t>
      </w:r>
      <w:proofErr w:type="spellEnd"/>
      <w:r w:rsidRPr="00A370D4">
        <w:rPr>
          <w:rFonts w:eastAsiaTheme="minorEastAsia" w:cs="Calibri"/>
          <w:lang w:val="en-GB"/>
        </w:rPr>
        <w:t xml:space="preserve"> S et al. A </w:t>
      </w:r>
      <w:r w:rsidR="00A370D4" w:rsidRPr="00A370D4">
        <w:rPr>
          <w:rFonts w:eastAsiaTheme="minorEastAsia" w:cs="Calibri"/>
          <w:lang w:val="en-GB"/>
        </w:rPr>
        <w:t xml:space="preserve">prospective observational study </w:t>
      </w:r>
      <w:r w:rsidRPr="00A370D4">
        <w:rPr>
          <w:rFonts w:eastAsiaTheme="minorEastAsia" w:cs="Calibri"/>
          <w:lang w:val="en-GB"/>
        </w:rPr>
        <w:t>to assess the diagnostic accuracy of clinical decision rules for children</w:t>
      </w:r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>presenting to emergency departments after head injuries (protocol):</w:t>
      </w:r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>The Australasian Paediatric Head Injury Rules Study (APHIRST).</w:t>
      </w:r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 xml:space="preserve">BMC </w:t>
      </w:r>
      <w:proofErr w:type="spellStart"/>
      <w:r w:rsidRPr="00A370D4">
        <w:rPr>
          <w:rFonts w:eastAsiaTheme="minorEastAsia" w:cs="Calibri"/>
          <w:lang w:val="en-GB"/>
        </w:rPr>
        <w:t>Pediatr</w:t>
      </w:r>
      <w:proofErr w:type="spellEnd"/>
      <w:r w:rsidRPr="00A370D4">
        <w:rPr>
          <w:rFonts w:eastAsiaTheme="minorEastAsia" w:cs="Calibri"/>
          <w:lang w:val="en-GB"/>
        </w:rPr>
        <w:t>. 2014; 14: 148.</w:t>
      </w:r>
    </w:p>
    <w:p w14:paraId="208C877C" w14:textId="5F4F0E79" w:rsidR="008D52BE" w:rsidRPr="00A370D4" w:rsidRDefault="008D52BE" w:rsidP="00A370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proofErr w:type="spellStart"/>
      <w:r w:rsidRPr="00A370D4">
        <w:rPr>
          <w:rFonts w:eastAsiaTheme="minorEastAsia" w:cs="Calibri"/>
          <w:lang w:val="en-GB"/>
        </w:rPr>
        <w:t>Babl</w:t>
      </w:r>
      <w:proofErr w:type="spellEnd"/>
      <w:r w:rsidRPr="00A370D4">
        <w:rPr>
          <w:rFonts w:eastAsiaTheme="minorEastAsia" w:cs="Calibri"/>
          <w:lang w:val="en-GB"/>
        </w:rPr>
        <w:t xml:space="preserve"> FE, Borland ML, Phillips N et al</w:t>
      </w:r>
      <w:r w:rsidR="00A370D4" w:rsidRPr="00A370D4">
        <w:rPr>
          <w:rFonts w:eastAsiaTheme="minorEastAsia" w:cs="Calibri"/>
          <w:lang w:val="en-GB"/>
        </w:rPr>
        <w:t xml:space="preserve">. Accuracy of PECARN, CATCH </w:t>
      </w:r>
      <w:r w:rsidRPr="00A370D4">
        <w:rPr>
          <w:rFonts w:eastAsiaTheme="minorEastAsia" w:cs="Calibri"/>
          <w:lang w:val="en-GB"/>
        </w:rPr>
        <w:t>and CHALICE head injury decision rules in children. A prospective</w:t>
      </w:r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>cohort study. Lancet 2017; 389: 2393–402.</w:t>
      </w:r>
    </w:p>
    <w:p w14:paraId="773185B0" w14:textId="3E85635A" w:rsidR="008D52BE" w:rsidRPr="00A370D4" w:rsidRDefault="008D52BE" w:rsidP="00A370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proofErr w:type="spellStart"/>
      <w:r w:rsidRPr="00A370D4">
        <w:rPr>
          <w:rFonts w:eastAsiaTheme="minorEastAsia" w:cs="Calibri"/>
          <w:lang w:val="en-GB"/>
        </w:rPr>
        <w:t>Bossuyt</w:t>
      </w:r>
      <w:proofErr w:type="spellEnd"/>
      <w:r w:rsidRPr="00A370D4">
        <w:rPr>
          <w:rFonts w:eastAsiaTheme="minorEastAsia" w:cs="Calibri"/>
          <w:lang w:val="en-GB"/>
        </w:rPr>
        <w:t xml:space="preserve"> PM, </w:t>
      </w:r>
      <w:proofErr w:type="spellStart"/>
      <w:r w:rsidRPr="00A370D4">
        <w:rPr>
          <w:rFonts w:eastAsiaTheme="minorEastAsia" w:cs="Calibri"/>
          <w:lang w:val="en-GB"/>
        </w:rPr>
        <w:t>Reitsma</w:t>
      </w:r>
      <w:proofErr w:type="spellEnd"/>
      <w:r w:rsidRPr="00A370D4">
        <w:rPr>
          <w:rFonts w:eastAsiaTheme="minorEastAsia" w:cs="Calibri"/>
          <w:lang w:val="en-GB"/>
        </w:rPr>
        <w:t xml:space="preserve"> JB, </w:t>
      </w:r>
      <w:proofErr w:type="spellStart"/>
      <w:r w:rsidRPr="00A370D4">
        <w:rPr>
          <w:rFonts w:eastAsiaTheme="minorEastAsia" w:cs="Calibri"/>
          <w:lang w:val="en-GB"/>
        </w:rPr>
        <w:t>Bruns</w:t>
      </w:r>
      <w:proofErr w:type="spellEnd"/>
      <w:r w:rsidRPr="00A370D4">
        <w:rPr>
          <w:rFonts w:eastAsiaTheme="minorEastAsia" w:cs="Calibri"/>
          <w:lang w:val="en-GB"/>
        </w:rPr>
        <w:t xml:space="preserve"> DE et al</w:t>
      </w:r>
      <w:r w:rsidR="00A370D4" w:rsidRPr="00A370D4">
        <w:rPr>
          <w:rFonts w:eastAsiaTheme="minorEastAsia" w:cs="Calibri"/>
          <w:lang w:val="en-GB"/>
        </w:rPr>
        <w:t xml:space="preserve">. Toward complete and accurate </w:t>
      </w:r>
      <w:r w:rsidRPr="00A370D4">
        <w:rPr>
          <w:rFonts w:eastAsiaTheme="minorEastAsia" w:cs="Calibri"/>
          <w:lang w:val="en-GB"/>
        </w:rPr>
        <w:t>reporting of studies of diagnostic accuracy: The STARD initiative.</w:t>
      </w:r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 xml:space="preserve">Acad. </w:t>
      </w:r>
      <w:proofErr w:type="spellStart"/>
      <w:r w:rsidRPr="00A370D4">
        <w:rPr>
          <w:rFonts w:eastAsiaTheme="minorEastAsia" w:cs="Calibri"/>
          <w:lang w:val="en-GB"/>
        </w:rPr>
        <w:t>Radiol</w:t>
      </w:r>
      <w:proofErr w:type="spellEnd"/>
      <w:r w:rsidRPr="00A370D4">
        <w:rPr>
          <w:rFonts w:eastAsiaTheme="minorEastAsia" w:cs="Calibri"/>
          <w:lang w:val="en-GB"/>
        </w:rPr>
        <w:t>. 2003; 10: 664–9.</w:t>
      </w:r>
    </w:p>
    <w:p w14:paraId="7DE0A9B2" w14:textId="10E21F6D" w:rsidR="008D52BE" w:rsidRPr="00A370D4" w:rsidRDefault="008D52BE" w:rsidP="00A370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A370D4">
        <w:rPr>
          <w:rFonts w:eastAsiaTheme="minorEastAsia" w:cs="Calibri"/>
          <w:lang w:val="en-GB"/>
        </w:rPr>
        <w:t xml:space="preserve">Harris PA, Taylor R, </w:t>
      </w:r>
      <w:proofErr w:type="spellStart"/>
      <w:r w:rsidRPr="00A370D4">
        <w:rPr>
          <w:rFonts w:eastAsiaTheme="minorEastAsia" w:cs="Calibri"/>
          <w:lang w:val="en-GB"/>
        </w:rPr>
        <w:t>Thielke</w:t>
      </w:r>
      <w:proofErr w:type="spellEnd"/>
      <w:r w:rsidRPr="00A370D4">
        <w:rPr>
          <w:rFonts w:eastAsiaTheme="minorEastAsia" w:cs="Calibri"/>
          <w:lang w:val="en-GB"/>
        </w:rPr>
        <w:t xml:space="preserve"> R,</w:t>
      </w:r>
      <w:r w:rsidR="00A370D4" w:rsidRPr="00A370D4">
        <w:rPr>
          <w:rFonts w:eastAsiaTheme="minorEastAsia" w:cs="Calibri"/>
          <w:lang w:val="en-GB"/>
        </w:rPr>
        <w:t xml:space="preserve"> Payne J, Gonzalez N, Conde JG. </w:t>
      </w:r>
      <w:r w:rsidRPr="00A370D4">
        <w:rPr>
          <w:rFonts w:eastAsiaTheme="minorEastAsia" w:cs="Calibri"/>
          <w:lang w:val="en-GB"/>
        </w:rPr>
        <w:t>Research electronic data capture (</w:t>
      </w:r>
      <w:proofErr w:type="spellStart"/>
      <w:r w:rsidRPr="00A370D4">
        <w:rPr>
          <w:rFonts w:eastAsiaTheme="minorEastAsia" w:cs="Calibri"/>
          <w:lang w:val="en-GB"/>
        </w:rPr>
        <w:t>REDCap</w:t>
      </w:r>
      <w:proofErr w:type="spellEnd"/>
      <w:r w:rsidRPr="00A370D4">
        <w:rPr>
          <w:rFonts w:eastAsiaTheme="minorEastAsia" w:cs="Calibri"/>
          <w:lang w:val="en-GB"/>
        </w:rPr>
        <w:t>) – A metadata-driven</w:t>
      </w:r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>methodology and workflow proc</w:t>
      </w:r>
      <w:r w:rsidR="00A370D4" w:rsidRPr="00A370D4">
        <w:rPr>
          <w:rFonts w:eastAsiaTheme="minorEastAsia" w:cs="Calibri"/>
          <w:lang w:val="en-GB"/>
        </w:rPr>
        <w:t xml:space="preserve">ess for providing translational </w:t>
      </w:r>
      <w:r w:rsidRPr="00A370D4">
        <w:rPr>
          <w:rFonts w:eastAsiaTheme="minorEastAsia" w:cs="Calibri"/>
          <w:lang w:val="en-GB"/>
        </w:rPr>
        <w:t>research informatics support. J. Biomed. Inform. 2009; 42: 377–81.</w:t>
      </w:r>
    </w:p>
    <w:p w14:paraId="54010D52" w14:textId="447C9DB4" w:rsidR="008D52BE" w:rsidRPr="00A370D4" w:rsidRDefault="008D52BE" w:rsidP="00A370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proofErr w:type="spellStart"/>
      <w:r w:rsidRPr="00A370D4">
        <w:rPr>
          <w:rFonts w:eastAsiaTheme="minorEastAsia" w:cs="Calibri"/>
          <w:lang w:val="en-GB"/>
        </w:rPr>
        <w:t>Beautrais</w:t>
      </w:r>
      <w:proofErr w:type="spellEnd"/>
      <w:r w:rsidRPr="00A370D4">
        <w:rPr>
          <w:rFonts w:eastAsiaTheme="minorEastAsia" w:cs="Calibri"/>
          <w:lang w:val="en-GB"/>
        </w:rPr>
        <w:t xml:space="preserve"> AL, Fergusson DM, </w:t>
      </w:r>
      <w:proofErr w:type="spellStart"/>
      <w:r w:rsidRPr="00A370D4">
        <w:rPr>
          <w:rFonts w:eastAsiaTheme="minorEastAsia" w:cs="Calibri"/>
          <w:lang w:val="en-GB"/>
        </w:rPr>
        <w:t>Horwo</w:t>
      </w:r>
      <w:r w:rsidR="00A370D4" w:rsidRPr="00A370D4">
        <w:rPr>
          <w:rFonts w:eastAsiaTheme="minorEastAsia" w:cs="Calibri"/>
          <w:lang w:val="en-GB"/>
        </w:rPr>
        <w:t>od</w:t>
      </w:r>
      <w:proofErr w:type="spellEnd"/>
      <w:r w:rsidR="00A370D4" w:rsidRPr="00A370D4">
        <w:rPr>
          <w:rFonts w:eastAsiaTheme="minorEastAsia" w:cs="Calibri"/>
          <w:lang w:val="en-GB"/>
        </w:rPr>
        <w:t xml:space="preserve"> LJ. Firearms legislation and </w:t>
      </w:r>
      <w:r w:rsidRPr="00A370D4">
        <w:rPr>
          <w:rFonts w:eastAsiaTheme="minorEastAsia" w:cs="Calibri"/>
          <w:lang w:val="en-GB"/>
        </w:rPr>
        <w:t>reductions in firearm-related suicide deaths in New Zealand. Aust.</w:t>
      </w:r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>N. Z. J. Psychiatry 2006; 40: 253–9.</w:t>
      </w:r>
    </w:p>
    <w:p w14:paraId="68FDB6C3" w14:textId="14D19781" w:rsidR="008D52BE" w:rsidRPr="00A370D4" w:rsidRDefault="008D52BE" w:rsidP="00982A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A370D4">
        <w:rPr>
          <w:rFonts w:eastAsiaTheme="minorEastAsia" w:cs="Calibri"/>
          <w:lang w:val="en-GB"/>
        </w:rPr>
        <w:t xml:space="preserve">Child and Youth Mortality Review Committee. </w:t>
      </w:r>
      <w:r w:rsidR="00A370D4" w:rsidRPr="00A370D4">
        <w:rPr>
          <w:rFonts w:eastAsiaTheme="minorEastAsia" w:cs="Calibri"/>
          <w:lang w:val="en-GB"/>
        </w:rPr>
        <w:t xml:space="preserve">Child and Youth </w:t>
      </w:r>
      <w:r w:rsidRPr="00A370D4">
        <w:rPr>
          <w:rFonts w:eastAsiaTheme="minorEastAsia" w:cs="Calibri"/>
          <w:lang w:val="en-GB"/>
        </w:rPr>
        <w:t>Mortality Review Committee Mortality Data Reports. Wellington: Health</w:t>
      </w:r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>Quality and Safety Commission New Zealand; 2017. Available from:</w:t>
      </w:r>
      <w:r w:rsid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>https://www.hqsc.govt.nz/our-progra</w:t>
      </w:r>
      <w:r w:rsidR="00A370D4" w:rsidRPr="00A370D4">
        <w:rPr>
          <w:rFonts w:eastAsiaTheme="minorEastAsia" w:cs="Calibri"/>
          <w:lang w:val="en-GB"/>
        </w:rPr>
        <w:t>mmes/mrc/cymrc/publicationsand-</w:t>
      </w:r>
      <w:r w:rsidRPr="00A370D4">
        <w:rPr>
          <w:rFonts w:eastAsiaTheme="minorEastAsia" w:cs="Calibri"/>
          <w:lang w:val="en-GB"/>
        </w:rPr>
        <w:t>resources/publication/1311/ [accessed 10 June 2017].</w:t>
      </w:r>
    </w:p>
    <w:p w14:paraId="438A53E8" w14:textId="65EE0772" w:rsidR="008D52BE" w:rsidRPr="00A370D4" w:rsidRDefault="008D52BE" w:rsidP="00A370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A370D4">
        <w:rPr>
          <w:rFonts w:eastAsiaTheme="minorEastAsia" w:cs="Calibri"/>
          <w:lang w:val="en-GB"/>
        </w:rPr>
        <w:t xml:space="preserve">Child and Youth Mortality Review Committee. </w:t>
      </w:r>
      <w:r w:rsidR="00A370D4" w:rsidRPr="00A370D4">
        <w:rPr>
          <w:rFonts w:eastAsiaTheme="minorEastAsia" w:cs="Calibri"/>
          <w:lang w:val="en-GB"/>
        </w:rPr>
        <w:t xml:space="preserve">11th Data Report </w:t>
      </w:r>
      <w:r w:rsidRPr="00A370D4">
        <w:rPr>
          <w:rFonts w:eastAsiaTheme="minorEastAsia" w:cs="Calibri"/>
          <w:lang w:val="en-GB"/>
        </w:rPr>
        <w:t>2010–2014. Wellington: The Committee; 2015.</w:t>
      </w:r>
    </w:p>
    <w:p w14:paraId="1E6102B5" w14:textId="1970C9AC" w:rsidR="008D52BE" w:rsidRPr="00A370D4" w:rsidRDefault="008D52BE" w:rsidP="00A370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A370D4">
        <w:rPr>
          <w:rFonts w:eastAsiaTheme="minorEastAsia" w:cs="Calibri"/>
          <w:lang w:val="en-GB"/>
        </w:rPr>
        <w:t xml:space="preserve">Child and Youth Mortality Review Committee. 6th Data Report. </w:t>
      </w:r>
      <w:r w:rsidR="00A370D4" w:rsidRPr="00A370D4">
        <w:rPr>
          <w:rFonts w:eastAsiaTheme="minorEastAsia" w:cs="Calibri"/>
          <w:lang w:val="en-GB"/>
        </w:rPr>
        <w:t xml:space="preserve">Wellington: </w:t>
      </w:r>
      <w:r w:rsidRPr="00A370D4">
        <w:rPr>
          <w:rFonts w:eastAsiaTheme="minorEastAsia" w:cs="Calibri"/>
          <w:lang w:val="en-GB"/>
        </w:rPr>
        <w:t>The Committee; 2010.</w:t>
      </w:r>
    </w:p>
    <w:p w14:paraId="59CE733B" w14:textId="7681375E" w:rsidR="008D52BE" w:rsidRPr="00A370D4" w:rsidRDefault="008D52BE" w:rsidP="00A370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A370D4">
        <w:rPr>
          <w:rFonts w:eastAsiaTheme="minorEastAsia" w:cs="Calibri"/>
          <w:lang w:val="en-GB"/>
        </w:rPr>
        <w:t xml:space="preserve">Child and Youth Mortality Review Committee. 2nd Data Report. </w:t>
      </w:r>
      <w:r w:rsidR="00A370D4" w:rsidRPr="00A370D4">
        <w:rPr>
          <w:rFonts w:eastAsiaTheme="minorEastAsia" w:cs="Calibri"/>
          <w:lang w:val="en-GB"/>
        </w:rPr>
        <w:t xml:space="preserve">Wellington: </w:t>
      </w:r>
      <w:r w:rsidRPr="00A370D4">
        <w:rPr>
          <w:rFonts w:eastAsiaTheme="minorEastAsia" w:cs="Calibri"/>
          <w:lang w:val="en-GB"/>
        </w:rPr>
        <w:t>The Committee; 2004.</w:t>
      </w:r>
    </w:p>
    <w:p w14:paraId="05E198F1" w14:textId="3E56990D" w:rsidR="008D52BE" w:rsidRPr="00A370D4" w:rsidRDefault="008D52BE" w:rsidP="00982A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EastAsia" w:cs="Calibri"/>
          <w:lang w:val="en-GB"/>
        </w:rPr>
      </w:pPr>
      <w:r w:rsidRPr="00A370D4">
        <w:rPr>
          <w:rFonts w:eastAsiaTheme="minorEastAsia" w:cs="Calibri"/>
          <w:lang w:val="en-GB"/>
        </w:rPr>
        <w:t>National Coronial Information System. Projectile Related Fa</w:t>
      </w:r>
      <w:r w:rsidR="00A370D4" w:rsidRPr="00A370D4">
        <w:rPr>
          <w:rFonts w:eastAsiaTheme="minorEastAsia" w:cs="Calibri"/>
          <w:lang w:val="en-GB"/>
        </w:rPr>
        <w:t xml:space="preserve">talities of </w:t>
      </w:r>
      <w:r w:rsidRPr="00A370D4">
        <w:rPr>
          <w:rFonts w:eastAsiaTheme="minorEastAsia" w:cs="Calibri"/>
          <w:lang w:val="en-GB"/>
        </w:rPr>
        <w:t>Persons Aged 15 Years and Younger in Australia. 2002–2014. Southbank:</w:t>
      </w:r>
      <w:r w:rsidR="00A370D4" w:rsidRPr="00A370D4">
        <w:rPr>
          <w:rFonts w:eastAsiaTheme="minorEastAsia" w:cs="Calibri"/>
          <w:lang w:val="en-GB"/>
        </w:rPr>
        <w:t xml:space="preserve"> </w:t>
      </w:r>
      <w:r w:rsidRPr="00A370D4">
        <w:rPr>
          <w:rFonts w:eastAsiaTheme="minorEastAsia" w:cs="Calibri"/>
          <w:lang w:val="en-GB"/>
        </w:rPr>
        <w:t>National Coronial Information System; 2017. Report No.</w:t>
      </w:r>
      <w:proofErr w:type="gramStart"/>
      <w:r w:rsidRPr="00A370D4">
        <w:rPr>
          <w:rFonts w:eastAsiaTheme="minorEastAsia" w:cs="Calibri"/>
          <w:lang w:val="en-GB"/>
        </w:rPr>
        <w:t>:D</w:t>
      </w:r>
      <w:proofErr w:type="gramEnd"/>
      <w:r w:rsidRPr="00A370D4">
        <w:rPr>
          <w:rFonts w:eastAsiaTheme="minorEastAsia" w:cs="Calibri"/>
          <w:lang w:val="en-GB"/>
        </w:rPr>
        <w:t>R17-49.</w:t>
      </w:r>
    </w:p>
    <w:p w14:paraId="7EC88DD3" w14:textId="6EF5C39F" w:rsidR="00A370D4" w:rsidRDefault="00A370D4" w:rsidP="008D52BE">
      <w:pPr>
        <w:spacing w:line="360" w:lineRule="auto"/>
        <w:jc w:val="both"/>
        <w:rPr>
          <w:rFonts w:eastAsiaTheme="minorEastAsia" w:cs="Calibri"/>
          <w:lang w:val="en-GB"/>
        </w:rPr>
      </w:pPr>
    </w:p>
    <w:p w14:paraId="655EA139" w14:textId="0A5FF7C5" w:rsidR="00A370D4" w:rsidRDefault="00A370D4">
      <w:pPr>
        <w:rPr>
          <w:rFonts w:eastAsia="Times New Roman" w:cs="Calibri"/>
          <w:lang w:eastAsia="en-AU"/>
        </w:rPr>
      </w:pPr>
      <w:r>
        <w:rPr>
          <w:rFonts w:eastAsia="Times New Roman" w:cs="Calibri"/>
          <w:lang w:eastAsia="en-AU"/>
        </w:rPr>
        <w:br w:type="page"/>
      </w:r>
    </w:p>
    <w:p w14:paraId="04082D43" w14:textId="77777777" w:rsidR="00A370D4" w:rsidRPr="00E5311F" w:rsidRDefault="00A370D4" w:rsidP="00A370D4">
      <w:pPr>
        <w:spacing w:line="360" w:lineRule="auto"/>
        <w:rPr>
          <w:rFonts w:cs="Arial"/>
          <w:b/>
        </w:rPr>
      </w:pPr>
      <w:r>
        <w:rPr>
          <w:rFonts w:cs="Arial"/>
          <w:b/>
        </w:rPr>
        <w:lastRenderedPageBreak/>
        <w:t>Table 1</w:t>
      </w:r>
      <w:r w:rsidRPr="00E5311F">
        <w:rPr>
          <w:rFonts w:cs="Arial"/>
          <w:b/>
        </w:rPr>
        <w:t>. De</w:t>
      </w:r>
      <w:r>
        <w:rPr>
          <w:rFonts w:cs="Arial"/>
          <w:b/>
        </w:rPr>
        <w:t>mographics and presentations of penetrating head injuries in children</w:t>
      </w:r>
    </w:p>
    <w:tbl>
      <w:tblPr>
        <w:tblW w:w="8277" w:type="dxa"/>
        <w:tblInd w:w="93" w:type="dxa"/>
        <w:tblLook w:val="04A0" w:firstRow="1" w:lastRow="0" w:firstColumn="1" w:lastColumn="0" w:noHBand="0" w:noVBand="1"/>
      </w:tblPr>
      <w:tblGrid>
        <w:gridCol w:w="4407"/>
        <w:gridCol w:w="1800"/>
        <w:gridCol w:w="2070"/>
      </w:tblGrid>
      <w:tr w:rsidR="00A370D4" w:rsidRPr="00346C8E" w14:paraId="23AEF0A4" w14:textId="77777777" w:rsidTr="00982A5C">
        <w:trPr>
          <w:trHeight w:val="280"/>
        </w:trPr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44948" w14:textId="77777777" w:rsidR="00A370D4" w:rsidRPr="00346C8E" w:rsidRDefault="00A370D4" w:rsidP="00982A5C">
            <w:pPr>
              <w:rPr>
                <w:rFonts w:eastAsia="Times New Roman"/>
                <w:color w:val="000000"/>
              </w:rPr>
            </w:pPr>
            <w:r w:rsidRPr="00346C8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C1644" w14:textId="77777777" w:rsidR="00A370D4" w:rsidRPr="00346C8E" w:rsidRDefault="00A370D4" w:rsidP="00982A5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Penetrating head injury</w:t>
            </w:r>
          </w:p>
        </w:tc>
      </w:tr>
      <w:tr w:rsidR="00A370D4" w:rsidRPr="00346C8E" w14:paraId="39BE0DA2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2976D" w14:textId="77777777" w:rsidR="00A370D4" w:rsidRPr="00346C8E" w:rsidRDefault="00A370D4" w:rsidP="00982A5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7EDE4" w14:textId="77777777" w:rsidR="00A370D4" w:rsidRPr="00346C8E" w:rsidRDefault="00A370D4" w:rsidP="00982A5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n=21</w:t>
            </w:r>
          </w:p>
        </w:tc>
      </w:tr>
      <w:tr w:rsidR="00A370D4" w:rsidRPr="00346C8E" w14:paraId="4AE64B56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DD678" w14:textId="77777777" w:rsidR="00A370D4" w:rsidRPr="00346C8E" w:rsidRDefault="00A370D4" w:rsidP="00982A5C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99288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75C8D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A370D4" w:rsidRPr="00346C8E" w14:paraId="4F717C1A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51255" w14:textId="77777777" w:rsidR="00A370D4" w:rsidRPr="00B16218" w:rsidRDefault="00A370D4" w:rsidP="00982A5C">
            <w:pPr>
              <w:jc w:val="both"/>
              <w:rPr>
                <w:rFonts w:eastAsia="Times New Roman"/>
                <w:b/>
                <w:iCs/>
                <w:color w:val="000000"/>
                <w:sz w:val="20"/>
                <w:szCs w:val="20"/>
              </w:rPr>
            </w:pPr>
            <w:r w:rsidRPr="00B16218">
              <w:rPr>
                <w:rFonts w:eastAsia="Times New Roman"/>
                <w:b/>
                <w:iCs/>
                <w:color w:val="000000"/>
                <w:sz w:val="20"/>
                <w:szCs w:val="20"/>
              </w:rPr>
              <w:t>DEMOGRAPHICS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D3CE5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5D3F7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370D4" w:rsidRPr="00784235" w14:paraId="46993732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2D553" w14:textId="77777777" w:rsidR="00A370D4" w:rsidRPr="00784235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84235">
              <w:rPr>
                <w:rFonts w:eastAsia="Times New Roman"/>
                <w:color w:val="000000"/>
                <w:sz w:val="20"/>
                <w:szCs w:val="20"/>
              </w:rPr>
              <w:t>Median age (years,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SD)</w:t>
            </w:r>
            <w:r w:rsidRPr="0078423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AFDD" w14:textId="77777777" w:rsidR="00A370D4" w:rsidRPr="00784235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4235">
              <w:rPr>
                <w:rFonts w:eastAsia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7B8A" w14:textId="77777777" w:rsidR="00A370D4" w:rsidRPr="00784235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4235">
              <w:rPr>
                <w:rFonts w:eastAsia="Times New Roman"/>
                <w:color w:val="000000"/>
                <w:sz w:val="20"/>
                <w:szCs w:val="20"/>
              </w:rPr>
              <w:t>2.9-10.7</w:t>
            </w:r>
          </w:p>
        </w:tc>
      </w:tr>
      <w:tr w:rsidR="00A370D4" w:rsidRPr="00784235" w14:paraId="300AE517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75FBD" w14:textId="77777777" w:rsidR="00A370D4" w:rsidRPr="00784235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84235">
              <w:rPr>
                <w:rFonts w:eastAsia="Times New Roman"/>
                <w:color w:val="000000"/>
                <w:sz w:val="20"/>
                <w:szCs w:val="20"/>
              </w:rPr>
              <w:t>Patients &lt; 2 years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C90E" w14:textId="77777777" w:rsidR="00A370D4" w:rsidRPr="00784235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42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C712" w14:textId="77777777" w:rsidR="00A370D4" w:rsidRPr="00784235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4235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</w:tr>
      <w:tr w:rsidR="00A370D4" w:rsidRPr="00784235" w14:paraId="2E08C0E6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37E65" w14:textId="77777777" w:rsidR="00A370D4" w:rsidRPr="00784235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84235">
              <w:rPr>
                <w:rFonts w:eastAsia="Times New Roman"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B6C3" w14:textId="77777777" w:rsidR="00A370D4" w:rsidRPr="00784235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423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6163" w14:textId="77777777" w:rsidR="00A370D4" w:rsidRPr="00784235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4235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</w:tr>
      <w:tr w:rsidR="00A370D4" w:rsidRPr="00784235" w14:paraId="717786A5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CF84C" w14:textId="77777777" w:rsidR="00A370D4" w:rsidRPr="00784235" w:rsidRDefault="00A370D4" w:rsidP="00982A5C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784235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Current GCS (clinician assigned), median (IQR)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2CB0" w14:textId="77777777" w:rsidR="00A370D4" w:rsidRPr="00784235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423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34CD" w14:textId="77777777" w:rsidR="00A370D4" w:rsidRPr="00784235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4235">
              <w:rPr>
                <w:rFonts w:eastAsia="Times New Roman"/>
                <w:color w:val="000000"/>
                <w:sz w:val="20"/>
                <w:szCs w:val="20"/>
              </w:rPr>
              <w:t>3-15</w:t>
            </w:r>
          </w:p>
        </w:tc>
      </w:tr>
      <w:tr w:rsidR="00A370D4" w:rsidRPr="00346C8E" w14:paraId="5C00368B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5509F" w14:textId="77777777" w:rsidR="00A370D4" w:rsidRPr="00784235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84235">
              <w:rPr>
                <w:rFonts w:eastAsia="Times New Roman"/>
                <w:color w:val="000000"/>
                <w:sz w:val="20"/>
                <w:szCs w:val="20"/>
              </w:rPr>
              <w:t>3-8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8DCC" w14:textId="77777777" w:rsidR="00A370D4" w:rsidRPr="00784235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423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A120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4235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</w:tr>
      <w:tr w:rsidR="00A370D4" w:rsidRPr="00346C8E" w14:paraId="6D0FC9BD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95E3F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9-12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5202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D644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</w:tr>
      <w:tr w:rsidR="00A370D4" w:rsidRPr="00346C8E" w14:paraId="29613EDE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B4C1A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3F69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814D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A370D4" w:rsidRPr="00346C8E" w14:paraId="5F7808EA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5809A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3F07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DA63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  <w:tr w:rsidR="00A370D4" w:rsidRPr="00346C8E" w14:paraId="451100B2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AEA14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B86A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885C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</w:tr>
      <w:tr w:rsidR="00A370D4" w:rsidRPr="00346C8E" w14:paraId="0A0FD65F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48D3F" w14:textId="77777777" w:rsidR="00A370D4" w:rsidRPr="00346C8E" w:rsidRDefault="00A370D4" w:rsidP="00982A5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PATIENT HIS</w:t>
            </w:r>
            <w:r w:rsidRPr="00346C8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</w:t>
            </w:r>
            <w:r w:rsidRPr="00346C8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88E6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9F52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370D4" w:rsidRPr="00346C8E" w14:paraId="5B63D011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FBC3A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 xml:space="preserve">Known or suspected LOC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BC03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88BE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 w:rsidR="00A370D4" w:rsidRPr="00346C8E" w14:paraId="32DCDD8D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FD5C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Witnessed disorientation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7C73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334E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A370D4" w:rsidRPr="00346C8E" w14:paraId="35F4CA33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C3620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History of vomiting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438A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DDC5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  <w:tr w:rsidR="00A370D4" w:rsidRPr="00346C8E" w14:paraId="51C7AF6D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DD548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 xml:space="preserve">History of amnesia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DAF6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E4DC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</w:tr>
      <w:tr w:rsidR="00A370D4" w:rsidRPr="00346C8E" w14:paraId="70F65E50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1CAD3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Seizure since injury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05DF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3AB7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A370D4" w:rsidRPr="00346C8E" w14:paraId="490B88F2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D091E" w14:textId="77777777" w:rsidR="00A370D4" w:rsidRPr="00346C8E" w:rsidRDefault="00A370D4" w:rsidP="00982A5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GENERAL EXAMINATION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86A8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D52A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370D4" w:rsidRPr="00346C8E" w14:paraId="0930D022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79D7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 xml:space="preserve">Intubated and ventilated on arrival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035A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49CA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</w:tr>
      <w:tr w:rsidR="00A370D4" w:rsidRPr="00346C8E" w14:paraId="5E369EAA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D64AC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Headache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D66E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96E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</w:tr>
      <w:tr w:rsidR="00A370D4" w:rsidRPr="00346C8E" w14:paraId="4EB8D6B9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1D851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Focal neurology present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7F3B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D22D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</w:tr>
      <w:tr w:rsidR="00A370D4" w:rsidRPr="00346C8E" w14:paraId="30259081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250E6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Patient irritated or agitated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4B4A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3785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</w:tr>
      <w:tr w:rsidR="00A370D4" w:rsidRPr="00346C8E" w14:paraId="58F504E9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57EA1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Patient abnormally drowsy/difficult to wake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B131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8250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</w:tr>
      <w:tr w:rsidR="00A370D4" w:rsidRPr="00346C8E" w14:paraId="6E0D713F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A5448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Patient slow to respond to speech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2EBD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E7AB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</w:t>
            </w:r>
          </w:p>
        </w:tc>
      </w:tr>
      <w:tr w:rsidR="00A370D4" w:rsidRPr="00346C8E" w14:paraId="223981D5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6DD5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Patient has altered mental status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463D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8566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</w:tr>
      <w:tr w:rsidR="00A370D4" w:rsidRPr="00346C8E" w14:paraId="66D98A49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691D0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Head l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 xml:space="preserve">aceration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8C57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ACCA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A370D4" w:rsidRPr="00346C8E" w14:paraId="2711D5D8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B089B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Head h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 xml:space="preserve">aematoma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0656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FDE4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</w:tr>
      <w:tr w:rsidR="00A370D4" w:rsidRPr="00346C8E" w14:paraId="13AE7CE9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573EA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Obvious palpable skull fracture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DDE7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D788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 w:rsidR="00A370D4" w:rsidRPr="00346C8E" w14:paraId="01EE2B8A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ABDD4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Possible skull fracture on palpation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36EB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CB76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 w:rsidR="00A370D4" w:rsidRPr="00346C8E" w14:paraId="230CD206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8ED0E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 xml:space="preserve">Suspicion of depressed skull fracture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F419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54E6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A370D4" w:rsidRPr="00346C8E" w14:paraId="14844D8E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1FB2F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Clinical open skull fracture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0D19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3574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A370D4" w:rsidRPr="00346C8E" w14:paraId="6FF2CC0A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FECB8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 xml:space="preserve">Serious facial injury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2829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7426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A370D4" w:rsidRPr="00346C8E" w14:paraId="27A65A26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A8D99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Signs of basal skull fracture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0B0F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2E8C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</w:tr>
    </w:tbl>
    <w:p w14:paraId="1EB0E9DB" w14:textId="33DD1A81" w:rsidR="00A370D4" w:rsidRDefault="00A370D4" w:rsidP="008D52BE">
      <w:pPr>
        <w:spacing w:line="360" w:lineRule="auto"/>
        <w:jc w:val="both"/>
        <w:rPr>
          <w:rFonts w:eastAsia="Times New Roman" w:cs="Calibri"/>
          <w:lang w:eastAsia="en-AU"/>
        </w:rPr>
      </w:pPr>
    </w:p>
    <w:p w14:paraId="049A6F56" w14:textId="77777777" w:rsidR="00A370D4" w:rsidRDefault="00A370D4" w:rsidP="00A370D4">
      <w:pPr>
        <w:ind w:left="360"/>
        <w:rPr>
          <w:rFonts w:cs="Arial"/>
        </w:rPr>
      </w:pPr>
      <w:r>
        <w:rPr>
          <w:rFonts w:cs="Arial"/>
        </w:rPr>
        <w:t>*</w:t>
      </w:r>
      <w:r w:rsidRPr="00C403D7">
        <w:rPr>
          <w:rFonts w:cs="Arial"/>
        </w:rPr>
        <w:t>Percentage based on patients</w:t>
      </w:r>
      <w:r>
        <w:rPr>
          <w:rFonts w:cs="Arial"/>
        </w:rPr>
        <w:t xml:space="preserve"> not intubated on arrival (n=7)</w:t>
      </w:r>
    </w:p>
    <w:p w14:paraId="33ADE7FF" w14:textId="77777777" w:rsidR="00A370D4" w:rsidRPr="00C403D7" w:rsidRDefault="00A370D4" w:rsidP="00A370D4">
      <w:pPr>
        <w:ind w:left="360"/>
        <w:rPr>
          <w:rFonts w:cs="Arial"/>
        </w:rPr>
      </w:pPr>
      <w:r>
        <w:rPr>
          <w:rFonts w:cs="Arial"/>
        </w:rPr>
        <w:t>GCS = Glasgow Coma Scale; LOC = loss of consciousness</w:t>
      </w:r>
      <w:r w:rsidRPr="00C403D7">
        <w:rPr>
          <w:rFonts w:cs="Arial"/>
        </w:rPr>
        <w:br w:type="page"/>
      </w:r>
    </w:p>
    <w:p w14:paraId="250EEDAB" w14:textId="77777777" w:rsidR="00A370D4" w:rsidRPr="00E5311F" w:rsidRDefault="00A370D4" w:rsidP="00A370D4">
      <w:pPr>
        <w:spacing w:line="360" w:lineRule="auto"/>
        <w:rPr>
          <w:rFonts w:cs="Arial"/>
          <w:b/>
        </w:rPr>
      </w:pPr>
      <w:r>
        <w:rPr>
          <w:rFonts w:cs="Arial"/>
          <w:b/>
        </w:rPr>
        <w:lastRenderedPageBreak/>
        <w:t>Table 2</w:t>
      </w:r>
      <w:r w:rsidRPr="00E5311F">
        <w:rPr>
          <w:rFonts w:cs="Arial"/>
          <w:b/>
        </w:rPr>
        <w:t xml:space="preserve">. </w:t>
      </w:r>
      <w:r>
        <w:rPr>
          <w:rFonts w:cs="Arial"/>
          <w:b/>
        </w:rPr>
        <w:t>Management and outcome of penetrating head injuries</w:t>
      </w:r>
    </w:p>
    <w:tbl>
      <w:tblPr>
        <w:tblW w:w="8277" w:type="dxa"/>
        <w:tblInd w:w="93" w:type="dxa"/>
        <w:tblLook w:val="04A0" w:firstRow="1" w:lastRow="0" w:firstColumn="1" w:lastColumn="0" w:noHBand="0" w:noVBand="1"/>
      </w:tblPr>
      <w:tblGrid>
        <w:gridCol w:w="4407"/>
        <w:gridCol w:w="1800"/>
        <w:gridCol w:w="2070"/>
      </w:tblGrid>
      <w:tr w:rsidR="00A370D4" w:rsidRPr="00346C8E" w14:paraId="3CBE624E" w14:textId="77777777" w:rsidTr="00982A5C">
        <w:trPr>
          <w:trHeight w:val="280"/>
        </w:trPr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2903A" w14:textId="77777777" w:rsidR="00A370D4" w:rsidRPr="00346C8E" w:rsidRDefault="00A370D4" w:rsidP="00982A5C">
            <w:pPr>
              <w:rPr>
                <w:rFonts w:eastAsia="Times New Roman"/>
                <w:color w:val="000000"/>
              </w:rPr>
            </w:pPr>
            <w:r w:rsidRPr="00346C8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BCCB" w14:textId="77777777" w:rsidR="00A370D4" w:rsidRPr="00346C8E" w:rsidRDefault="00A370D4" w:rsidP="00982A5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Current study</w:t>
            </w:r>
          </w:p>
        </w:tc>
      </w:tr>
      <w:tr w:rsidR="00A370D4" w:rsidRPr="00346C8E" w14:paraId="4D2B93BC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E2AC4" w14:textId="77777777" w:rsidR="00A370D4" w:rsidRPr="00346C8E" w:rsidRDefault="00A370D4" w:rsidP="00982A5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B98A3" w14:textId="77777777" w:rsidR="00A370D4" w:rsidRPr="00346C8E" w:rsidRDefault="00A370D4" w:rsidP="00982A5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n=21</w:t>
            </w:r>
          </w:p>
        </w:tc>
      </w:tr>
      <w:tr w:rsidR="00A370D4" w:rsidRPr="00346C8E" w14:paraId="026A2D41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F6A24" w14:textId="77777777" w:rsidR="00A370D4" w:rsidRPr="00346C8E" w:rsidRDefault="00A370D4" w:rsidP="00982A5C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7AE8E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088BB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</w:tr>
      <w:tr w:rsidR="00A370D4" w:rsidRPr="00346C8E" w14:paraId="20C23905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6B662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 xml:space="preserve">Patient intubated or ventilated due to the head injury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A80B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81B1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A370D4" w:rsidRPr="00346C8E" w14:paraId="2F736FCC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246DD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>Length of intubation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hours, 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 xml:space="preserve">mean; SD)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6228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5227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</w:tr>
      <w:tr w:rsidR="00A370D4" w:rsidRPr="00346C8E" w14:paraId="4D5DF8ED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49F7A" w14:textId="77777777" w:rsidR="00A370D4" w:rsidRPr="00346C8E" w:rsidRDefault="00A370D4" w:rsidP="00982A5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NEUROIMAGING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346C8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F844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26BD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370D4" w:rsidRPr="00346C8E" w14:paraId="1EA5A674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374E4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Neuroimaging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0BAB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8BD7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A370D4" w:rsidRPr="00346C8E" w14:paraId="7EFB1592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F609E" w14:textId="77777777" w:rsidR="00A370D4" w:rsidRPr="00346C8E" w:rsidRDefault="00A370D4" w:rsidP="00982A5C">
            <w:pPr>
              <w:ind w:left="7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7B3F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DE4E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A370D4" w:rsidRPr="00346C8E" w14:paraId="6D248BCB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78DEF" w14:textId="77777777" w:rsidR="00A370D4" w:rsidRPr="00346C8E" w:rsidRDefault="00A370D4" w:rsidP="00982A5C">
            <w:pPr>
              <w:ind w:left="72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MRI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C218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FC5E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</w:tr>
      <w:tr w:rsidR="00A370D4" w:rsidRPr="00B16218" w14:paraId="03F84000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3EF4C" w14:textId="77777777" w:rsidR="00A370D4" w:rsidRPr="00B16218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16218">
              <w:rPr>
                <w:rFonts w:eastAsia="Times New Roman"/>
                <w:color w:val="000000"/>
                <w:sz w:val="20"/>
                <w:szCs w:val="20"/>
              </w:rPr>
              <w:t xml:space="preserve">Abnormal neuroimaging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F686" w14:textId="77777777" w:rsidR="00A370D4" w:rsidRPr="00B16218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218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4A32" w14:textId="77777777" w:rsidR="00A370D4" w:rsidRPr="00B16218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16218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A370D4" w:rsidRPr="00346C8E" w14:paraId="28355E09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BFFB0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 xml:space="preserve">Intracranial haemorrhage/contusion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EBE9" w14:textId="77777777" w:rsidR="00A370D4" w:rsidRPr="00433D49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3D49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35D7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</w:tr>
      <w:tr w:rsidR="00A370D4" w:rsidRPr="00346C8E" w14:paraId="4478E6E1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54C73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>Extra-axial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bleeding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8EB4" w14:textId="77777777" w:rsidR="00A370D4" w:rsidRPr="00433D49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3D49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4856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</w:tr>
      <w:tr w:rsidR="00A370D4" w:rsidRPr="00346C8E" w14:paraId="6F69D891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E2532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>Parenchyma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bleeding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D8BE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A1F4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</w:tr>
      <w:tr w:rsidR="00A370D4" w:rsidRPr="00346C8E" w14:paraId="2E0BC694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62517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>Sub-arachnoid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bleeding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CB47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6086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A370D4" w:rsidRPr="00346C8E" w14:paraId="44963F2B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DE3B3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>Cerebral oedema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0BE4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F6B5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A370D4" w:rsidRPr="00346C8E" w14:paraId="2A7DB780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21E0D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>Diffuse axonal injury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B2DD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8F78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A370D4" w:rsidRPr="00346C8E" w14:paraId="400B7913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5793A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>Midline shift or brain herniation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63BC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0FF1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A370D4" w:rsidRPr="00346C8E" w14:paraId="76659ADD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0B6BB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>Diastasis of skull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DBD4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412F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</w:tr>
      <w:tr w:rsidR="00A370D4" w:rsidRPr="00346C8E" w14:paraId="50371481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2F49E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346C8E">
              <w:rPr>
                <w:rFonts w:eastAsia="Times New Roman"/>
                <w:color w:val="000000"/>
                <w:sz w:val="20"/>
                <w:szCs w:val="20"/>
              </w:rPr>
              <w:t>Pneumocephalus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0D45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33D49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C890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</w:tr>
      <w:tr w:rsidR="00A370D4" w:rsidRPr="00346C8E" w14:paraId="35C7734B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A6AAF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>Skull fracture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A2E6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3DFA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</w:tr>
      <w:tr w:rsidR="00A370D4" w:rsidRPr="00346C8E" w14:paraId="785A1E4D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EC50F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>Depressed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AEDC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02AA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</w:tr>
      <w:tr w:rsidR="00A370D4" w:rsidRPr="00346C8E" w14:paraId="2953FCCA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97B6A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 xml:space="preserve">Non-depressed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6CB3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C4AD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</w:tr>
      <w:tr w:rsidR="00A370D4" w:rsidRPr="00346C8E" w14:paraId="03DC84F8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596FE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>Basal Skull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5E4C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6326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</w:tr>
      <w:tr w:rsidR="00A370D4" w:rsidRPr="00346C8E" w14:paraId="6C856ED7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E19B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 xml:space="preserve">Unknown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409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671B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A370D4" w:rsidRPr="00346C8E" w14:paraId="38700460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A2E02" w14:textId="77777777" w:rsidR="00A370D4" w:rsidRPr="00346C8E" w:rsidRDefault="00A370D4" w:rsidP="00982A5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NEUROSURGICAL INTERVENTION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DEF6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7435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370D4" w:rsidRPr="00346C8E" w14:paraId="46581616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498AA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Neurosurgery 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77AA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A0A8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A370D4" w:rsidRPr="00346C8E" w14:paraId="6C935119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427A7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>Monitoring of intracranial pressure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0D76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088A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A370D4" w:rsidRPr="00346C8E" w14:paraId="1C121FBE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B2A69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>Elevation of depressed skull fracture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E193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9FAA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A370D4" w:rsidRPr="00346C8E" w14:paraId="7279D37E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86D79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>Craniotomy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B6AA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6D66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 w:rsidR="00A370D4" w:rsidRPr="00346C8E" w14:paraId="0D9F42C8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38920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 xml:space="preserve">Haematoma Evacuation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704E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5ED0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</w:tr>
      <w:tr w:rsidR="00A370D4" w:rsidRPr="00346C8E" w14:paraId="2623A9EB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1B7BE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 xml:space="preserve">Lobectomy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B9A1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4BE1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A370D4" w:rsidRPr="00346C8E" w14:paraId="0CCB0921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A522B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>Tissue debridement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257E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45DD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A370D4" w:rsidRPr="00346C8E" w14:paraId="76C2A1D2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9E24C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346C8E">
              <w:rPr>
                <w:rFonts w:eastAsia="Times New Roman"/>
                <w:color w:val="000000"/>
                <w:sz w:val="20"/>
                <w:szCs w:val="20"/>
              </w:rPr>
              <w:t>Dura repair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5700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693A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 w:rsidR="00A370D4" w:rsidRPr="00346C8E" w14:paraId="321B5555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6E7A2" w14:textId="77777777" w:rsidR="00A370D4" w:rsidRPr="00346C8E" w:rsidRDefault="00A370D4" w:rsidP="00982A5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DEATH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EC86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8CC6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370D4" w:rsidRPr="00346C8E" w14:paraId="53D9BC47" w14:textId="77777777" w:rsidTr="00982A5C">
        <w:trPr>
          <w:trHeight w:val="2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569B4" w14:textId="77777777" w:rsidR="00A370D4" w:rsidRPr="00346C8E" w:rsidRDefault="00A370D4" w:rsidP="00982A5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 xml:space="preserve">Died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17B3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0AC9" w14:textId="77777777" w:rsidR="00A370D4" w:rsidRPr="00346C8E" w:rsidRDefault="00A370D4" w:rsidP="00982A5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46C8E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</w:tr>
    </w:tbl>
    <w:p w14:paraId="49389EFD" w14:textId="77777777" w:rsidR="00A370D4" w:rsidRDefault="00A370D4" w:rsidP="00A370D4">
      <w:pPr>
        <w:spacing w:line="360" w:lineRule="auto"/>
        <w:rPr>
          <w:rFonts w:cs="Arial"/>
        </w:rPr>
      </w:pPr>
    </w:p>
    <w:p w14:paraId="30CC0640" w14:textId="77777777" w:rsidR="00A370D4" w:rsidRDefault="00A370D4" w:rsidP="00A370D4">
      <w:pPr>
        <w:spacing w:line="360" w:lineRule="auto"/>
        <w:rPr>
          <w:rFonts w:cs="Arial"/>
        </w:rPr>
      </w:pPr>
    </w:p>
    <w:p w14:paraId="0D9E0BCA" w14:textId="1C38240F" w:rsidR="00A370D4" w:rsidRDefault="00A370D4" w:rsidP="00A370D4">
      <w:pPr>
        <w:spacing w:line="360" w:lineRule="auto"/>
        <w:rPr>
          <w:rFonts w:cs="Arial"/>
        </w:rPr>
      </w:pPr>
      <w:r>
        <w:rPr>
          <w:rFonts w:cs="Arial"/>
        </w:rPr>
        <w:t xml:space="preserve">*More than one type of skull fracture/neuroimaging possible </w:t>
      </w:r>
    </w:p>
    <w:p w14:paraId="0336FFA8" w14:textId="77777777" w:rsidR="00A370D4" w:rsidRDefault="00A370D4" w:rsidP="00A370D4">
      <w:pPr>
        <w:spacing w:line="360" w:lineRule="auto"/>
        <w:rPr>
          <w:rFonts w:cs="Arial"/>
        </w:rPr>
      </w:pPr>
      <w:r>
        <w:rPr>
          <w:rFonts w:cs="Arial"/>
        </w:rPr>
        <w:t>CT= computed tomography; ED = Emergency Department; MRI = magnetic resonance imaging</w:t>
      </w:r>
    </w:p>
    <w:p w14:paraId="6FFA7724" w14:textId="77777777" w:rsidR="00A370D4" w:rsidRPr="00916407" w:rsidRDefault="00A370D4" w:rsidP="00A370D4">
      <w:pPr>
        <w:spacing w:after="200"/>
        <w:contextualSpacing/>
        <w:jc w:val="both"/>
        <w:rPr>
          <w:rFonts w:cs="Calibri"/>
        </w:rPr>
      </w:pPr>
    </w:p>
    <w:p w14:paraId="7522E5FE" w14:textId="77777777" w:rsidR="00A370D4" w:rsidRPr="008D52BE" w:rsidRDefault="00A370D4" w:rsidP="008D52BE">
      <w:pPr>
        <w:spacing w:line="360" w:lineRule="auto"/>
        <w:jc w:val="both"/>
        <w:rPr>
          <w:rFonts w:eastAsia="Times New Roman" w:cs="Calibri"/>
          <w:lang w:eastAsia="en-AU"/>
        </w:rPr>
      </w:pPr>
    </w:p>
    <w:sectPr w:rsidR="00A370D4" w:rsidRPr="008D52BE" w:rsidSect="00A04729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2F63F" w14:textId="77777777" w:rsidR="00420229" w:rsidRDefault="00420229">
      <w:r>
        <w:separator/>
      </w:r>
    </w:p>
  </w:endnote>
  <w:endnote w:type="continuationSeparator" w:id="0">
    <w:p w14:paraId="4769C6C0" w14:textId="77777777" w:rsidR="00420229" w:rsidRDefault="0042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2cddb7b9+2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F8F3A" w14:textId="77777777" w:rsidR="00420229" w:rsidRDefault="00420229">
      <w:r>
        <w:separator/>
      </w:r>
    </w:p>
  </w:footnote>
  <w:footnote w:type="continuationSeparator" w:id="0">
    <w:p w14:paraId="303C0D8A" w14:textId="77777777" w:rsidR="00420229" w:rsidRDefault="0042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C1540"/>
    <w:multiLevelType w:val="hybridMultilevel"/>
    <w:tmpl w:val="8AF0A888"/>
    <w:lvl w:ilvl="0" w:tplc="E1BC97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91FDC"/>
    <w:multiLevelType w:val="hybridMultilevel"/>
    <w:tmpl w:val="C346F93C"/>
    <w:lvl w:ilvl="0" w:tplc="FCD04D6E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12DF6"/>
    <w:multiLevelType w:val="hybridMultilevel"/>
    <w:tmpl w:val="09CAFD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1F6002"/>
    <w:multiLevelType w:val="hybridMultilevel"/>
    <w:tmpl w:val="F710B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ztdxe5r92az26esxr5vps9sptferr5edvaa&quot;&gt;My EndNote Library pHI&lt;record-ids&gt;&lt;item&gt;63&lt;/item&gt;&lt;/record-ids&gt;&lt;/item&gt;&lt;/Libraries&gt;"/>
  </w:docVars>
  <w:rsids>
    <w:rsidRoot w:val="00047452"/>
    <w:rsid w:val="00001C61"/>
    <w:rsid w:val="00012976"/>
    <w:rsid w:val="0001364F"/>
    <w:rsid w:val="000223A4"/>
    <w:rsid w:val="00032718"/>
    <w:rsid w:val="00047452"/>
    <w:rsid w:val="00052728"/>
    <w:rsid w:val="00063294"/>
    <w:rsid w:val="0006390F"/>
    <w:rsid w:val="00064401"/>
    <w:rsid w:val="00064B8C"/>
    <w:rsid w:val="000659BD"/>
    <w:rsid w:val="0007541C"/>
    <w:rsid w:val="00075700"/>
    <w:rsid w:val="000814A4"/>
    <w:rsid w:val="0009000D"/>
    <w:rsid w:val="00093296"/>
    <w:rsid w:val="000A136B"/>
    <w:rsid w:val="000B0208"/>
    <w:rsid w:val="000B37C4"/>
    <w:rsid w:val="000C4F55"/>
    <w:rsid w:val="000C65F2"/>
    <w:rsid w:val="000D3CD6"/>
    <w:rsid w:val="000D4CB3"/>
    <w:rsid w:val="000D5875"/>
    <w:rsid w:val="000E09DA"/>
    <w:rsid w:val="000E4917"/>
    <w:rsid w:val="000F1D12"/>
    <w:rsid w:val="000F70EB"/>
    <w:rsid w:val="0010445E"/>
    <w:rsid w:val="00112956"/>
    <w:rsid w:val="00141036"/>
    <w:rsid w:val="0015464C"/>
    <w:rsid w:val="00157E9C"/>
    <w:rsid w:val="001620D4"/>
    <w:rsid w:val="001675E6"/>
    <w:rsid w:val="0018068E"/>
    <w:rsid w:val="00184F0D"/>
    <w:rsid w:val="00187BB8"/>
    <w:rsid w:val="001A1D4F"/>
    <w:rsid w:val="001A5774"/>
    <w:rsid w:val="001B4FDD"/>
    <w:rsid w:val="001E1E0C"/>
    <w:rsid w:val="001E304F"/>
    <w:rsid w:val="001E5154"/>
    <w:rsid w:val="001F440C"/>
    <w:rsid w:val="001F496C"/>
    <w:rsid w:val="0021600F"/>
    <w:rsid w:val="00227E51"/>
    <w:rsid w:val="0023601B"/>
    <w:rsid w:val="0023714C"/>
    <w:rsid w:val="00244198"/>
    <w:rsid w:val="00245E6E"/>
    <w:rsid w:val="002519BA"/>
    <w:rsid w:val="00257A68"/>
    <w:rsid w:val="002647AE"/>
    <w:rsid w:val="00274DEF"/>
    <w:rsid w:val="0027602B"/>
    <w:rsid w:val="0027722D"/>
    <w:rsid w:val="00277803"/>
    <w:rsid w:val="0028624D"/>
    <w:rsid w:val="00294C65"/>
    <w:rsid w:val="00296478"/>
    <w:rsid w:val="002A15F0"/>
    <w:rsid w:val="002A3916"/>
    <w:rsid w:val="002A6C3D"/>
    <w:rsid w:val="002B0AEC"/>
    <w:rsid w:val="002B6232"/>
    <w:rsid w:val="002D2788"/>
    <w:rsid w:val="002D4D01"/>
    <w:rsid w:val="002E1FCB"/>
    <w:rsid w:val="002F208E"/>
    <w:rsid w:val="002F27F8"/>
    <w:rsid w:val="002F34C1"/>
    <w:rsid w:val="002F5D78"/>
    <w:rsid w:val="00300ECC"/>
    <w:rsid w:val="00315617"/>
    <w:rsid w:val="0034257C"/>
    <w:rsid w:val="003475AA"/>
    <w:rsid w:val="00356EBF"/>
    <w:rsid w:val="00374306"/>
    <w:rsid w:val="00385489"/>
    <w:rsid w:val="003914BC"/>
    <w:rsid w:val="003921B7"/>
    <w:rsid w:val="00394F05"/>
    <w:rsid w:val="003A0421"/>
    <w:rsid w:val="003A1498"/>
    <w:rsid w:val="003B4B12"/>
    <w:rsid w:val="003C05BC"/>
    <w:rsid w:val="003C2356"/>
    <w:rsid w:val="003E6901"/>
    <w:rsid w:val="003F4B6C"/>
    <w:rsid w:val="0040534B"/>
    <w:rsid w:val="004065DF"/>
    <w:rsid w:val="00420229"/>
    <w:rsid w:val="00424179"/>
    <w:rsid w:val="00427F41"/>
    <w:rsid w:val="00433D49"/>
    <w:rsid w:val="004476BA"/>
    <w:rsid w:val="0045705E"/>
    <w:rsid w:val="00460BFA"/>
    <w:rsid w:val="004805E7"/>
    <w:rsid w:val="00485397"/>
    <w:rsid w:val="00490D95"/>
    <w:rsid w:val="00490F00"/>
    <w:rsid w:val="00493D48"/>
    <w:rsid w:val="004A1BB1"/>
    <w:rsid w:val="004A517C"/>
    <w:rsid w:val="004B5F79"/>
    <w:rsid w:val="004C3A1D"/>
    <w:rsid w:val="004C696A"/>
    <w:rsid w:val="004D20DB"/>
    <w:rsid w:val="004E7D59"/>
    <w:rsid w:val="00506F95"/>
    <w:rsid w:val="00522A88"/>
    <w:rsid w:val="00541403"/>
    <w:rsid w:val="00541B4A"/>
    <w:rsid w:val="0054760B"/>
    <w:rsid w:val="00560820"/>
    <w:rsid w:val="00566EBE"/>
    <w:rsid w:val="005705B3"/>
    <w:rsid w:val="00574314"/>
    <w:rsid w:val="00577541"/>
    <w:rsid w:val="00591193"/>
    <w:rsid w:val="005A224F"/>
    <w:rsid w:val="005A446D"/>
    <w:rsid w:val="005C015E"/>
    <w:rsid w:val="005C4B78"/>
    <w:rsid w:val="005D3E70"/>
    <w:rsid w:val="005D742F"/>
    <w:rsid w:val="005F03FC"/>
    <w:rsid w:val="005F38A3"/>
    <w:rsid w:val="006049EF"/>
    <w:rsid w:val="0061550F"/>
    <w:rsid w:val="00617BC8"/>
    <w:rsid w:val="00621D0B"/>
    <w:rsid w:val="00657761"/>
    <w:rsid w:val="00694BC5"/>
    <w:rsid w:val="00694C1C"/>
    <w:rsid w:val="00694F1E"/>
    <w:rsid w:val="006A030E"/>
    <w:rsid w:val="006A6E8F"/>
    <w:rsid w:val="006B0E62"/>
    <w:rsid w:val="006B1EB2"/>
    <w:rsid w:val="006E0809"/>
    <w:rsid w:val="006E362B"/>
    <w:rsid w:val="006F2635"/>
    <w:rsid w:val="006F4E9F"/>
    <w:rsid w:val="00710429"/>
    <w:rsid w:val="007332B5"/>
    <w:rsid w:val="0074143A"/>
    <w:rsid w:val="00750E91"/>
    <w:rsid w:val="007533A2"/>
    <w:rsid w:val="00761440"/>
    <w:rsid w:val="00762DE9"/>
    <w:rsid w:val="00783F9D"/>
    <w:rsid w:val="00793564"/>
    <w:rsid w:val="00793BA5"/>
    <w:rsid w:val="007A2A60"/>
    <w:rsid w:val="007C263E"/>
    <w:rsid w:val="007D7A92"/>
    <w:rsid w:val="007E4F9C"/>
    <w:rsid w:val="007E5FC8"/>
    <w:rsid w:val="007E7CAB"/>
    <w:rsid w:val="007F5513"/>
    <w:rsid w:val="00811FEA"/>
    <w:rsid w:val="0083283D"/>
    <w:rsid w:val="00843540"/>
    <w:rsid w:val="00850076"/>
    <w:rsid w:val="008625D8"/>
    <w:rsid w:val="008658D5"/>
    <w:rsid w:val="00867802"/>
    <w:rsid w:val="00877E13"/>
    <w:rsid w:val="008839FF"/>
    <w:rsid w:val="00896961"/>
    <w:rsid w:val="008A10F4"/>
    <w:rsid w:val="008A6DAA"/>
    <w:rsid w:val="008B24B5"/>
    <w:rsid w:val="008B2FA9"/>
    <w:rsid w:val="008B3DF0"/>
    <w:rsid w:val="008B58AA"/>
    <w:rsid w:val="008C1186"/>
    <w:rsid w:val="008D52BE"/>
    <w:rsid w:val="008D54D5"/>
    <w:rsid w:val="008F6489"/>
    <w:rsid w:val="008F6A6F"/>
    <w:rsid w:val="008F7026"/>
    <w:rsid w:val="009202EE"/>
    <w:rsid w:val="00920763"/>
    <w:rsid w:val="00930E3A"/>
    <w:rsid w:val="00943D7B"/>
    <w:rsid w:val="00962E33"/>
    <w:rsid w:val="009636B1"/>
    <w:rsid w:val="00965680"/>
    <w:rsid w:val="0096749D"/>
    <w:rsid w:val="00974D90"/>
    <w:rsid w:val="00980E5D"/>
    <w:rsid w:val="00982A5C"/>
    <w:rsid w:val="00983B54"/>
    <w:rsid w:val="00992256"/>
    <w:rsid w:val="0099296F"/>
    <w:rsid w:val="009A08A1"/>
    <w:rsid w:val="009A51BC"/>
    <w:rsid w:val="009C59B9"/>
    <w:rsid w:val="009C68AB"/>
    <w:rsid w:val="009D7561"/>
    <w:rsid w:val="009E38CE"/>
    <w:rsid w:val="009E4E53"/>
    <w:rsid w:val="00A04729"/>
    <w:rsid w:val="00A25991"/>
    <w:rsid w:val="00A36585"/>
    <w:rsid w:val="00A370D4"/>
    <w:rsid w:val="00A43521"/>
    <w:rsid w:val="00A46A88"/>
    <w:rsid w:val="00A567D3"/>
    <w:rsid w:val="00A6442E"/>
    <w:rsid w:val="00A6492B"/>
    <w:rsid w:val="00A76434"/>
    <w:rsid w:val="00A819D1"/>
    <w:rsid w:val="00A84B36"/>
    <w:rsid w:val="00A8719F"/>
    <w:rsid w:val="00A939D8"/>
    <w:rsid w:val="00AA4A05"/>
    <w:rsid w:val="00AB1B8E"/>
    <w:rsid w:val="00AB7A3F"/>
    <w:rsid w:val="00AC706C"/>
    <w:rsid w:val="00AD333D"/>
    <w:rsid w:val="00AF24BF"/>
    <w:rsid w:val="00AF6DC5"/>
    <w:rsid w:val="00B05FF8"/>
    <w:rsid w:val="00B1136D"/>
    <w:rsid w:val="00B16218"/>
    <w:rsid w:val="00B55765"/>
    <w:rsid w:val="00B646F5"/>
    <w:rsid w:val="00B706FB"/>
    <w:rsid w:val="00B718F4"/>
    <w:rsid w:val="00B72345"/>
    <w:rsid w:val="00B86AC6"/>
    <w:rsid w:val="00B907C5"/>
    <w:rsid w:val="00B9612F"/>
    <w:rsid w:val="00BB1589"/>
    <w:rsid w:val="00BC3CAF"/>
    <w:rsid w:val="00BC70E6"/>
    <w:rsid w:val="00BD5DFD"/>
    <w:rsid w:val="00BE5276"/>
    <w:rsid w:val="00BF220B"/>
    <w:rsid w:val="00BF4D6E"/>
    <w:rsid w:val="00C03FA9"/>
    <w:rsid w:val="00C10408"/>
    <w:rsid w:val="00C1183C"/>
    <w:rsid w:val="00C1185E"/>
    <w:rsid w:val="00C13F80"/>
    <w:rsid w:val="00C160C2"/>
    <w:rsid w:val="00C16838"/>
    <w:rsid w:val="00C227E9"/>
    <w:rsid w:val="00C22DB2"/>
    <w:rsid w:val="00C403D7"/>
    <w:rsid w:val="00C4105A"/>
    <w:rsid w:val="00C4330D"/>
    <w:rsid w:val="00C510A9"/>
    <w:rsid w:val="00C605E3"/>
    <w:rsid w:val="00C63950"/>
    <w:rsid w:val="00C63EBB"/>
    <w:rsid w:val="00C6599E"/>
    <w:rsid w:val="00C823B6"/>
    <w:rsid w:val="00C91775"/>
    <w:rsid w:val="00C97CF1"/>
    <w:rsid w:val="00CB1E97"/>
    <w:rsid w:val="00CC0ACC"/>
    <w:rsid w:val="00CC7302"/>
    <w:rsid w:val="00CD2661"/>
    <w:rsid w:val="00CD65D5"/>
    <w:rsid w:val="00CF1FFD"/>
    <w:rsid w:val="00D03159"/>
    <w:rsid w:val="00D252C7"/>
    <w:rsid w:val="00D62E30"/>
    <w:rsid w:val="00D648AA"/>
    <w:rsid w:val="00D655A3"/>
    <w:rsid w:val="00D6623C"/>
    <w:rsid w:val="00D66F98"/>
    <w:rsid w:val="00D809B8"/>
    <w:rsid w:val="00D842BF"/>
    <w:rsid w:val="00D852AE"/>
    <w:rsid w:val="00D87A78"/>
    <w:rsid w:val="00D95FE6"/>
    <w:rsid w:val="00DB0A9C"/>
    <w:rsid w:val="00DB0C45"/>
    <w:rsid w:val="00DC634F"/>
    <w:rsid w:val="00DF655E"/>
    <w:rsid w:val="00E1106D"/>
    <w:rsid w:val="00E1782B"/>
    <w:rsid w:val="00E40360"/>
    <w:rsid w:val="00E5311F"/>
    <w:rsid w:val="00E60BD5"/>
    <w:rsid w:val="00E62B64"/>
    <w:rsid w:val="00E76B36"/>
    <w:rsid w:val="00E82DC8"/>
    <w:rsid w:val="00E910B6"/>
    <w:rsid w:val="00E9441E"/>
    <w:rsid w:val="00EA4C6A"/>
    <w:rsid w:val="00EA5A88"/>
    <w:rsid w:val="00EF5B50"/>
    <w:rsid w:val="00F04914"/>
    <w:rsid w:val="00F04960"/>
    <w:rsid w:val="00F10E03"/>
    <w:rsid w:val="00F1201A"/>
    <w:rsid w:val="00F12326"/>
    <w:rsid w:val="00F34E84"/>
    <w:rsid w:val="00F3617A"/>
    <w:rsid w:val="00F3708C"/>
    <w:rsid w:val="00F45110"/>
    <w:rsid w:val="00F47E79"/>
    <w:rsid w:val="00F707EC"/>
    <w:rsid w:val="00F92C1C"/>
    <w:rsid w:val="00F9394C"/>
    <w:rsid w:val="00F93D78"/>
    <w:rsid w:val="00FA42F2"/>
    <w:rsid w:val="00FC1EA4"/>
    <w:rsid w:val="00FD1CBB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7D4F3"/>
  <w15:docId w15:val="{2A45F03C-9A3D-4B91-BDA3-5ABEF5AB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452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B0208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4745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74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452"/>
    <w:rPr>
      <w:rFonts w:ascii="Calibri" w:eastAsia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047452"/>
  </w:style>
  <w:style w:type="character" w:customStyle="1" w:styleId="PlainTextChar">
    <w:name w:val="Plain Text Char"/>
    <w:basedOn w:val="DefaultParagraphFont"/>
    <w:link w:val="PlainText"/>
    <w:uiPriority w:val="99"/>
    <w:rsid w:val="00047452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74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452"/>
    <w:rPr>
      <w:rFonts w:ascii="Calibri" w:eastAsia="Calibri" w:hAnsi="Calibri" w:cs="Times New Roman"/>
      <w:sz w:val="22"/>
      <w:szCs w:val="22"/>
    </w:rPr>
  </w:style>
  <w:style w:type="character" w:customStyle="1" w:styleId="highlight2">
    <w:name w:val="highlight2"/>
    <w:basedOn w:val="DefaultParagraphFont"/>
    <w:rsid w:val="00047452"/>
  </w:style>
  <w:style w:type="character" w:styleId="CommentReference">
    <w:name w:val="annotation reference"/>
    <w:basedOn w:val="DefaultParagraphFont"/>
    <w:uiPriority w:val="99"/>
    <w:semiHidden/>
    <w:unhideWhenUsed/>
    <w:rsid w:val="00490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D9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D9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95"/>
    <w:rPr>
      <w:rFonts w:ascii="Segoe UI" w:eastAsia="Calibr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E7CAB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E7CAB"/>
    <w:rPr>
      <w:rFonts w:ascii="Calibri" w:eastAsia="Calibri" w:hAnsi="Calibri" w:cs="Times New Roman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E7CAB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E7CAB"/>
    <w:rPr>
      <w:rFonts w:ascii="Calibri" w:eastAsia="Calibri" w:hAnsi="Calibri" w:cs="Times New Roman"/>
      <w:noProof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2B6232"/>
    <w:rPr>
      <w:rFonts w:ascii="Calibri" w:eastAsia="Calibri" w:hAnsi="Calibri" w:cs="Times New Roman"/>
      <w:sz w:val="22"/>
      <w:szCs w:val="22"/>
    </w:rPr>
  </w:style>
  <w:style w:type="character" w:customStyle="1" w:styleId="jrnl">
    <w:name w:val="jrnl"/>
    <w:basedOn w:val="DefaultParagraphFont"/>
    <w:rsid w:val="0027722D"/>
  </w:style>
  <w:style w:type="character" w:customStyle="1" w:styleId="apple-converted-space">
    <w:name w:val="apple-converted-space"/>
    <w:basedOn w:val="DefaultParagraphFont"/>
    <w:rsid w:val="0027722D"/>
  </w:style>
  <w:style w:type="paragraph" w:styleId="ListParagraph">
    <w:name w:val="List Paragraph"/>
    <w:basedOn w:val="Normal"/>
    <w:uiPriority w:val="34"/>
    <w:qFormat/>
    <w:rsid w:val="008435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0208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2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2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78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.babl@rch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877A7C-E8A4-48EA-8CF0-DD6CAA3E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Arpone</dc:creator>
  <cp:lastModifiedBy>Mark Lyttle</cp:lastModifiedBy>
  <cp:revision>2</cp:revision>
  <cp:lastPrinted>2017-04-12T04:06:00Z</cp:lastPrinted>
  <dcterms:created xsi:type="dcterms:W3CDTF">2018-04-02T16:28:00Z</dcterms:created>
  <dcterms:modified xsi:type="dcterms:W3CDTF">2018-04-02T16:28:00Z</dcterms:modified>
</cp:coreProperties>
</file>