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8EA" w14:textId="4D3FA08C" w:rsidR="000274D1" w:rsidRPr="008542E4" w:rsidRDefault="000274D1" w:rsidP="000274D1">
      <w:pPr>
        <w:spacing w:line="480" w:lineRule="auto"/>
        <w:ind w:left="720" w:hanging="720"/>
        <w:jc w:val="center"/>
        <w:rPr>
          <w:sz w:val="24"/>
          <w:szCs w:val="24"/>
        </w:rPr>
      </w:pPr>
      <w:r w:rsidRPr="008542E4">
        <w:rPr>
          <w:sz w:val="24"/>
          <w:szCs w:val="24"/>
        </w:rPr>
        <w:t>Preliminary psychometric properties of the Everyday Psychological Inflexibility Checklist</w:t>
      </w:r>
    </w:p>
    <w:p w14:paraId="748863E5" w14:textId="77777777" w:rsidR="000274D1" w:rsidRPr="008542E4" w:rsidRDefault="000274D1" w:rsidP="000274D1">
      <w:pPr>
        <w:spacing w:line="276" w:lineRule="auto"/>
        <w:jc w:val="center"/>
        <w:rPr>
          <w:sz w:val="24"/>
          <w:szCs w:val="24"/>
        </w:rPr>
      </w:pPr>
    </w:p>
    <w:p w14:paraId="2F6D2EB2" w14:textId="77777777" w:rsidR="000274D1" w:rsidRPr="008542E4" w:rsidRDefault="000274D1" w:rsidP="000274D1">
      <w:pPr>
        <w:spacing w:line="276" w:lineRule="auto"/>
        <w:jc w:val="center"/>
        <w:rPr>
          <w:sz w:val="24"/>
          <w:szCs w:val="24"/>
        </w:rPr>
      </w:pPr>
    </w:p>
    <w:p w14:paraId="0AA528BA" w14:textId="13D3FCAC" w:rsidR="000274D1" w:rsidRPr="008542E4" w:rsidRDefault="000274D1" w:rsidP="000274D1">
      <w:pPr>
        <w:spacing w:line="276" w:lineRule="auto"/>
        <w:jc w:val="center"/>
        <w:rPr>
          <w:sz w:val="24"/>
          <w:szCs w:val="24"/>
          <w:vertAlign w:val="superscript"/>
        </w:rPr>
      </w:pPr>
      <w:r w:rsidRPr="008542E4">
        <w:rPr>
          <w:sz w:val="24"/>
          <w:szCs w:val="24"/>
        </w:rPr>
        <w:t>Miles Thompson</w:t>
      </w:r>
      <w:r>
        <w:rPr>
          <w:sz w:val="24"/>
          <w:szCs w:val="24"/>
        </w:rPr>
        <w:t xml:space="preserve"> </w:t>
      </w:r>
      <w:r>
        <w:rPr>
          <w:sz w:val="24"/>
          <w:szCs w:val="24"/>
          <w:vertAlign w:val="superscript"/>
        </w:rPr>
        <w:t>1,2</w:t>
      </w:r>
      <w:r w:rsidRPr="008542E4">
        <w:rPr>
          <w:sz w:val="24"/>
          <w:szCs w:val="24"/>
        </w:rPr>
        <w:t>, Frank W. Bond</w:t>
      </w:r>
      <w:r>
        <w:rPr>
          <w:sz w:val="24"/>
          <w:szCs w:val="24"/>
        </w:rPr>
        <w:t xml:space="preserve"> </w:t>
      </w:r>
      <w:r>
        <w:rPr>
          <w:sz w:val="24"/>
          <w:szCs w:val="24"/>
          <w:vertAlign w:val="superscript"/>
        </w:rPr>
        <w:t>2</w:t>
      </w:r>
      <w:r w:rsidRPr="008542E4">
        <w:rPr>
          <w:sz w:val="24"/>
          <w:szCs w:val="24"/>
        </w:rPr>
        <w:t xml:space="preserve">, </w:t>
      </w:r>
      <w:proofErr w:type="spellStart"/>
      <w:r w:rsidRPr="008542E4">
        <w:rPr>
          <w:sz w:val="24"/>
          <w:szCs w:val="24"/>
        </w:rPr>
        <w:t>Jo</w:t>
      </w:r>
      <w:r w:rsidR="00B433DC">
        <w:rPr>
          <w:sz w:val="24"/>
          <w:szCs w:val="24"/>
        </w:rPr>
        <w:t>da</w:t>
      </w:r>
      <w:proofErr w:type="spellEnd"/>
      <w:r w:rsidRPr="008542E4">
        <w:rPr>
          <w:sz w:val="24"/>
          <w:szCs w:val="24"/>
        </w:rPr>
        <w:t xml:space="preserve"> Lloyd</w:t>
      </w:r>
      <w:r>
        <w:rPr>
          <w:sz w:val="24"/>
          <w:szCs w:val="24"/>
        </w:rPr>
        <w:t xml:space="preserve"> </w:t>
      </w:r>
      <w:r>
        <w:rPr>
          <w:sz w:val="24"/>
          <w:szCs w:val="24"/>
          <w:vertAlign w:val="superscript"/>
        </w:rPr>
        <w:t>2</w:t>
      </w:r>
    </w:p>
    <w:p w14:paraId="7D1814AC" w14:textId="77777777" w:rsidR="000274D1" w:rsidRPr="008542E4" w:rsidRDefault="000274D1" w:rsidP="000274D1">
      <w:pPr>
        <w:spacing w:line="276" w:lineRule="auto"/>
        <w:jc w:val="center"/>
        <w:rPr>
          <w:sz w:val="24"/>
          <w:szCs w:val="24"/>
        </w:rPr>
      </w:pPr>
    </w:p>
    <w:p w14:paraId="1FDE1807" w14:textId="77777777" w:rsidR="000274D1" w:rsidRPr="008542E4" w:rsidRDefault="000274D1" w:rsidP="000274D1">
      <w:pPr>
        <w:spacing w:line="276" w:lineRule="auto"/>
        <w:jc w:val="center"/>
        <w:rPr>
          <w:sz w:val="24"/>
          <w:szCs w:val="24"/>
        </w:rPr>
      </w:pPr>
    </w:p>
    <w:p w14:paraId="264C7CAB" w14:textId="77777777" w:rsidR="000274D1" w:rsidRPr="008542E4" w:rsidRDefault="000274D1" w:rsidP="000274D1">
      <w:pPr>
        <w:spacing w:line="480" w:lineRule="auto"/>
        <w:jc w:val="center"/>
        <w:rPr>
          <w:bCs/>
          <w:sz w:val="24"/>
          <w:szCs w:val="24"/>
          <w:vertAlign w:val="superscript"/>
        </w:rPr>
      </w:pPr>
      <w:bookmarkStart w:id="0" w:name="__RefHeading__322_2005874362"/>
      <w:bookmarkEnd w:id="0"/>
      <w:r w:rsidRPr="008542E4">
        <w:rPr>
          <w:bCs/>
          <w:sz w:val="24"/>
          <w:szCs w:val="24"/>
          <w:vertAlign w:val="superscript"/>
        </w:rPr>
        <w:t>1</w:t>
      </w:r>
      <w:r w:rsidRPr="008542E4">
        <w:rPr>
          <w:bCs/>
          <w:sz w:val="24"/>
          <w:szCs w:val="24"/>
        </w:rPr>
        <w:t xml:space="preserve"> </w:t>
      </w:r>
      <w:r w:rsidRPr="005E74C7">
        <w:rPr>
          <w:bCs/>
          <w:sz w:val="24"/>
          <w:szCs w:val="24"/>
        </w:rPr>
        <w:t>Department of Health and Social Sciences</w:t>
      </w:r>
      <w:r w:rsidRPr="008542E4">
        <w:rPr>
          <w:bCs/>
          <w:sz w:val="24"/>
          <w:szCs w:val="24"/>
        </w:rPr>
        <w:t>, University of the West of England</w:t>
      </w:r>
    </w:p>
    <w:p w14:paraId="5F576178" w14:textId="77777777" w:rsidR="000274D1" w:rsidRPr="008542E4" w:rsidRDefault="000274D1" w:rsidP="000274D1">
      <w:pPr>
        <w:spacing w:line="480" w:lineRule="auto"/>
        <w:jc w:val="center"/>
        <w:rPr>
          <w:sz w:val="24"/>
          <w:szCs w:val="24"/>
          <w:shd w:val="clear" w:color="auto" w:fill="FFFFFF"/>
          <w:vertAlign w:val="superscript"/>
          <w:lang w:val="en-US"/>
        </w:rPr>
      </w:pPr>
      <w:r w:rsidRPr="008542E4">
        <w:rPr>
          <w:bCs/>
          <w:sz w:val="24"/>
          <w:szCs w:val="24"/>
          <w:vertAlign w:val="superscript"/>
        </w:rPr>
        <w:t>2</w:t>
      </w:r>
      <w:r w:rsidRPr="008542E4">
        <w:rPr>
          <w:bCs/>
          <w:sz w:val="24"/>
          <w:szCs w:val="24"/>
        </w:rPr>
        <w:t xml:space="preserve"> </w:t>
      </w:r>
      <w:r>
        <w:rPr>
          <w:bCs/>
          <w:sz w:val="24"/>
          <w:szCs w:val="24"/>
        </w:rPr>
        <w:t>Institute of Management Studies, Goldsmiths, University of London.</w:t>
      </w:r>
    </w:p>
    <w:p w14:paraId="36431F06" w14:textId="77777777" w:rsidR="000274D1" w:rsidRPr="008542E4" w:rsidRDefault="000274D1" w:rsidP="000274D1">
      <w:pPr>
        <w:spacing w:line="480" w:lineRule="auto"/>
        <w:jc w:val="center"/>
        <w:rPr>
          <w:bCs/>
          <w:sz w:val="24"/>
          <w:szCs w:val="24"/>
          <w:shd w:val="clear" w:color="auto" w:fill="FFFFFF"/>
        </w:rPr>
      </w:pPr>
    </w:p>
    <w:p w14:paraId="4809E845" w14:textId="77777777" w:rsidR="000274D1" w:rsidRPr="008542E4" w:rsidRDefault="000274D1" w:rsidP="000274D1">
      <w:pPr>
        <w:spacing w:line="480" w:lineRule="auto"/>
        <w:jc w:val="center"/>
        <w:rPr>
          <w:bCs/>
          <w:sz w:val="24"/>
          <w:szCs w:val="24"/>
          <w:shd w:val="clear" w:color="auto" w:fill="FFFFFF"/>
        </w:rPr>
      </w:pPr>
    </w:p>
    <w:p w14:paraId="44A31F09" w14:textId="77777777" w:rsidR="000274D1" w:rsidRDefault="000274D1" w:rsidP="000274D1">
      <w:pPr>
        <w:spacing w:line="480" w:lineRule="auto"/>
        <w:rPr>
          <w:bCs/>
          <w:sz w:val="24"/>
          <w:szCs w:val="24"/>
          <w:shd w:val="clear" w:color="auto" w:fill="FFFFFF"/>
        </w:rPr>
      </w:pPr>
    </w:p>
    <w:p w14:paraId="26889DC5" w14:textId="77777777" w:rsidR="000274D1" w:rsidRDefault="000274D1" w:rsidP="000274D1">
      <w:pPr>
        <w:spacing w:line="480" w:lineRule="auto"/>
        <w:rPr>
          <w:bCs/>
          <w:sz w:val="24"/>
          <w:szCs w:val="24"/>
          <w:shd w:val="clear" w:color="auto" w:fill="FFFFFF"/>
        </w:rPr>
      </w:pPr>
    </w:p>
    <w:p w14:paraId="270DB048" w14:textId="77777777" w:rsidR="000274D1" w:rsidRDefault="000274D1" w:rsidP="000274D1">
      <w:pPr>
        <w:spacing w:line="480" w:lineRule="auto"/>
        <w:rPr>
          <w:bCs/>
          <w:sz w:val="24"/>
          <w:szCs w:val="24"/>
          <w:shd w:val="clear" w:color="auto" w:fill="FFFFFF"/>
        </w:rPr>
      </w:pPr>
    </w:p>
    <w:p w14:paraId="53308263" w14:textId="77777777" w:rsidR="000274D1" w:rsidRDefault="000274D1" w:rsidP="000274D1">
      <w:pPr>
        <w:spacing w:line="480" w:lineRule="auto"/>
        <w:rPr>
          <w:bCs/>
          <w:sz w:val="24"/>
          <w:szCs w:val="24"/>
          <w:shd w:val="clear" w:color="auto" w:fill="FFFFFF"/>
        </w:rPr>
      </w:pPr>
    </w:p>
    <w:p w14:paraId="0706EDB4" w14:textId="77777777" w:rsidR="000274D1" w:rsidRDefault="000274D1" w:rsidP="000274D1">
      <w:pPr>
        <w:spacing w:line="480" w:lineRule="auto"/>
        <w:rPr>
          <w:bCs/>
          <w:sz w:val="24"/>
          <w:szCs w:val="24"/>
          <w:shd w:val="clear" w:color="auto" w:fill="FFFFFF"/>
        </w:rPr>
      </w:pPr>
    </w:p>
    <w:p w14:paraId="2FD9CEC9" w14:textId="77777777" w:rsidR="000274D1" w:rsidRDefault="000274D1" w:rsidP="000274D1">
      <w:pPr>
        <w:spacing w:line="480" w:lineRule="auto"/>
        <w:rPr>
          <w:bCs/>
          <w:sz w:val="24"/>
          <w:szCs w:val="24"/>
          <w:shd w:val="clear" w:color="auto" w:fill="FFFFFF"/>
        </w:rPr>
      </w:pPr>
    </w:p>
    <w:p w14:paraId="51DEB7EE" w14:textId="77777777" w:rsidR="000274D1" w:rsidRDefault="000274D1" w:rsidP="000274D1">
      <w:pPr>
        <w:spacing w:line="480" w:lineRule="auto"/>
        <w:rPr>
          <w:bCs/>
          <w:sz w:val="24"/>
          <w:szCs w:val="24"/>
          <w:shd w:val="clear" w:color="auto" w:fill="FFFFFF"/>
        </w:rPr>
      </w:pPr>
    </w:p>
    <w:p w14:paraId="6843072A" w14:textId="77777777" w:rsidR="000274D1" w:rsidRPr="008542E4" w:rsidRDefault="000274D1" w:rsidP="000274D1">
      <w:pPr>
        <w:spacing w:line="480" w:lineRule="auto"/>
        <w:rPr>
          <w:bCs/>
          <w:sz w:val="24"/>
          <w:szCs w:val="24"/>
          <w:shd w:val="clear" w:color="auto" w:fill="FFFFFF"/>
        </w:rPr>
      </w:pPr>
    </w:p>
    <w:p w14:paraId="40EA6C98" w14:textId="77777777" w:rsidR="000274D1" w:rsidRPr="008542E4" w:rsidRDefault="000274D1" w:rsidP="000274D1">
      <w:pPr>
        <w:spacing w:line="480" w:lineRule="auto"/>
        <w:rPr>
          <w:bCs/>
          <w:sz w:val="24"/>
          <w:szCs w:val="24"/>
          <w:shd w:val="clear" w:color="auto" w:fill="FFFFFF"/>
        </w:rPr>
      </w:pPr>
      <w:r w:rsidRPr="008542E4">
        <w:rPr>
          <w:bCs/>
          <w:sz w:val="24"/>
          <w:szCs w:val="24"/>
          <w:shd w:val="clear" w:color="auto" w:fill="FFFFFF"/>
        </w:rPr>
        <w:t>FUNDING SOURCES: None.</w:t>
      </w:r>
    </w:p>
    <w:p w14:paraId="7C54D244" w14:textId="77777777" w:rsidR="000274D1" w:rsidRPr="008542E4" w:rsidRDefault="000274D1" w:rsidP="000274D1">
      <w:pPr>
        <w:spacing w:line="480" w:lineRule="auto"/>
        <w:rPr>
          <w:bCs/>
          <w:sz w:val="24"/>
          <w:szCs w:val="24"/>
          <w:shd w:val="clear" w:color="auto" w:fill="FFFFFF"/>
        </w:rPr>
      </w:pPr>
      <w:r w:rsidRPr="008542E4">
        <w:rPr>
          <w:bCs/>
          <w:sz w:val="24"/>
          <w:szCs w:val="24"/>
          <w:shd w:val="clear" w:color="auto" w:fill="FFFFFF"/>
        </w:rPr>
        <w:t>CONFLICTS OF INTEREST: None.</w:t>
      </w:r>
    </w:p>
    <w:p w14:paraId="5D136CBE" w14:textId="77777777" w:rsidR="000274D1" w:rsidRPr="008542E4" w:rsidRDefault="000274D1" w:rsidP="000274D1">
      <w:pPr>
        <w:rPr>
          <w:sz w:val="24"/>
          <w:szCs w:val="24"/>
        </w:rPr>
      </w:pPr>
    </w:p>
    <w:p w14:paraId="64BA4701" w14:textId="77777777" w:rsidR="000274D1" w:rsidRDefault="000274D1">
      <w:pPr>
        <w:widowControl/>
        <w:suppressAutoHyphens w:val="0"/>
        <w:rPr>
          <w:b/>
          <w:sz w:val="24"/>
          <w:szCs w:val="24"/>
        </w:rPr>
      </w:pPr>
    </w:p>
    <w:p w14:paraId="239D7315" w14:textId="65F78BC7" w:rsidR="00DA69D9" w:rsidRPr="00BB5480" w:rsidRDefault="00DA69D9">
      <w:pPr>
        <w:pStyle w:val="Heading2"/>
        <w:pageBreakBefore/>
        <w:spacing w:line="360" w:lineRule="auto"/>
        <w:jc w:val="center"/>
        <w:rPr>
          <w:rFonts w:cs="Arial"/>
        </w:rPr>
      </w:pPr>
      <w:r w:rsidRPr="00BB5480">
        <w:rPr>
          <w:sz w:val="24"/>
          <w:szCs w:val="24"/>
        </w:rPr>
        <w:lastRenderedPageBreak/>
        <w:t>Abstract</w:t>
      </w:r>
    </w:p>
    <w:p w14:paraId="6A54AC8A" w14:textId="77777777" w:rsidR="00422E66" w:rsidRPr="00BB5480" w:rsidRDefault="00DA69D9">
      <w:pPr>
        <w:pStyle w:val="BodyText"/>
        <w:rPr>
          <w:rFonts w:cs="Arial"/>
        </w:rPr>
      </w:pPr>
      <w:r w:rsidRPr="00BB5480">
        <w:rPr>
          <w:rFonts w:cs="Arial"/>
        </w:rPr>
        <w:t>This paper provide</w:t>
      </w:r>
      <w:r w:rsidR="00495B5F" w:rsidRPr="00BB5480">
        <w:rPr>
          <w:rFonts w:cs="Arial"/>
        </w:rPr>
        <w:t>s</w:t>
      </w:r>
      <w:r w:rsidRPr="00BB5480">
        <w:rPr>
          <w:rFonts w:cs="Arial"/>
        </w:rPr>
        <w:t xml:space="preserve"> preliminary data on a new questionnaire </w:t>
      </w:r>
      <w:r w:rsidR="00495B5F" w:rsidRPr="00BB5480">
        <w:rPr>
          <w:rFonts w:cs="Arial"/>
        </w:rPr>
        <w:t>known as the Everyday Psychological Inflexibility Checklist (EPIC)</w:t>
      </w:r>
      <w:r w:rsidR="00011B6E" w:rsidRPr="00BB5480">
        <w:rPr>
          <w:rFonts w:cs="Arial"/>
        </w:rPr>
        <w:t>.</w:t>
      </w:r>
      <w:r w:rsidRPr="00BB5480">
        <w:rPr>
          <w:rFonts w:cs="Arial"/>
        </w:rPr>
        <w:t xml:space="preserve"> Contextual Behavioural Science </w:t>
      </w:r>
      <w:r w:rsidR="00B75D91" w:rsidRPr="00BB5480">
        <w:rPr>
          <w:rFonts w:cs="Arial"/>
        </w:rPr>
        <w:t xml:space="preserve">seeks to have application </w:t>
      </w:r>
      <w:r w:rsidR="00495B5F" w:rsidRPr="00BB5480">
        <w:rPr>
          <w:rFonts w:cs="Arial"/>
        </w:rPr>
        <w:t>to human behaviour generally</w:t>
      </w:r>
      <w:r w:rsidR="00141892" w:rsidRPr="00BB5480">
        <w:rPr>
          <w:rFonts w:cs="Arial"/>
        </w:rPr>
        <w:t>,</w:t>
      </w:r>
      <w:r w:rsidR="00495B5F" w:rsidRPr="00BB5480">
        <w:rPr>
          <w:rFonts w:cs="Arial"/>
        </w:rPr>
        <w:t xml:space="preserve"> not just to “psychopathology” in isolation. The field </w:t>
      </w:r>
      <w:r w:rsidR="00CE6106" w:rsidRPr="00BB5480">
        <w:rPr>
          <w:rFonts w:cs="Arial"/>
        </w:rPr>
        <w:t xml:space="preserve">also </w:t>
      </w:r>
      <w:r w:rsidR="008075E5" w:rsidRPr="00BB5480">
        <w:rPr>
          <w:rFonts w:cs="Arial"/>
        </w:rPr>
        <w:t>a</w:t>
      </w:r>
      <w:r w:rsidRPr="00BB5480">
        <w:rPr>
          <w:rFonts w:cs="Arial"/>
        </w:rPr>
        <w:t xml:space="preserve">spires to meet </w:t>
      </w:r>
      <w:r w:rsidR="00011B6E" w:rsidRPr="00BB5480">
        <w:rPr>
          <w:rFonts w:cs="Arial"/>
        </w:rPr>
        <w:t xml:space="preserve">some </w:t>
      </w:r>
      <w:r w:rsidRPr="00BB5480">
        <w:rPr>
          <w:rFonts w:cs="Arial"/>
        </w:rPr>
        <w:t xml:space="preserve">wider challenges of the human condition </w:t>
      </w:r>
      <w:r w:rsidR="00495B5F" w:rsidRPr="00BB5480">
        <w:rPr>
          <w:rFonts w:cs="Arial"/>
        </w:rPr>
        <w:t>such as</w:t>
      </w:r>
      <w:r w:rsidR="00495B5F" w:rsidRPr="00BB5480">
        <w:t xml:space="preserve"> </w:t>
      </w:r>
      <w:r w:rsidR="00C351BA" w:rsidRPr="00BB5480">
        <w:rPr>
          <w:rFonts w:cs="Arial"/>
        </w:rPr>
        <w:t xml:space="preserve">poverty, inequality, climate change and </w:t>
      </w:r>
      <w:r w:rsidR="00540CCC" w:rsidRPr="00BB5480">
        <w:rPr>
          <w:rFonts w:cs="Arial"/>
        </w:rPr>
        <w:t>environmental destruction</w:t>
      </w:r>
      <w:r w:rsidR="00C351BA" w:rsidRPr="00BB5480">
        <w:rPr>
          <w:rFonts w:cs="Arial"/>
        </w:rPr>
        <w:t>.</w:t>
      </w:r>
      <w:r w:rsidR="00495B5F" w:rsidRPr="00BB5480">
        <w:t xml:space="preserve"> It is possible that current measures</w:t>
      </w:r>
      <w:r w:rsidR="00011B6E" w:rsidRPr="00BB5480">
        <w:t>,</w:t>
      </w:r>
      <w:r w:rsidR="00495B5F" w:rsidRPr="00BB5480">
        <w:t xml:space="preserve"> such as the </w:t>
      </w:r>
      <w:proofErr w:type="spellStart"/>
      <w:r w:rsidR="00495B5F" w:rsidRPr="00BB5480">
        <w:t>AAQ</w:t>
      </w:r>
      <w:proofErr w:type="spellEnd"/>
      <w:r w:rsidR="00495B5F" w:rsidRPr="00BB5480">
        <w:t>-II</w:t>
      </w:r>
      <w:r w:rsidR="00011B6E" w:rsidRPr="00BB5480">
        <w:t>,</w:t>
      </w:r>
      <w:r w:rsidR="00495B5F" w:rsidRPr="00BB5480">
        <w:t xml:space="preserve"> are not ideally </w:t>
      </w:r>
      <w:r w:rsidR="00E36B15" w:rsidRPr="00BB5480">
        <w:t xml:space="preserve">suited </w:t>
      </w:r>
      <w:r w:rsidR="00495B5F" w:rsidRPr="00BB5480">
        <w:t xml:space="preserve">to </w:t>
      </w:r>
      <w:r w:rsidR="00CE6106" w:rsidRPr="00BB5480">
        <w:t>these wider</w:t>
      </w:r>
      <w:r w:rsidR="00495B5F" w:rsidRPr="00BB5480">
        <w:t xml:space="preserve"> </w:t>
      </w:r>
      <w:r w:rsidR="00CE6106" w:rsidRPr="00BB5480">
        <w:t>challenges</w:t>
      </w:r>
      <w:r w:rsidR="00495B5F" w:rsidRPr="00BB5480">
        <w:t xml:space="preserve"> and </w:t>
      </w:r>
      <w:r w:rsidR="00141892" w:rsidRPr="00BB5480">
        <w:t xml:space="preserve">more </w:t>
      </w:r>
      <w:r w:rsidR="00011B6E" w:rsidRPr="00BB5480">
        <w:t xml:space="preserve">general </w:t>
      </w:r>
      <w:r w:rsidRPr="00BB5480">
        <w:t xml:space="preserve">measures of </w:t>
      </w:r>
      <w:r w:rsidRPr="00BB5480">
        <w:rPr>
          <w:rFonts w:cs="Arial"/>
        </w:rPr>
        <w:t xml:space="preserve">psychological inflexibility </w:t>
      </w:r>
      <w:r w:rsidR="00011B6E" w:rsidRPr="00BB5480">
        <w:rPr>
          <w:rFonts w:cs="Arial"/>
        </w:rPr>
        <w:t xml:space="preserve">with </w:t>
      </w:r>
      <w:r w:rsidR="00141892" w:rsidRPr="00BB5480">
        <w:rPr>
          <w:rFonts w:cs="Arial"/>
        </w:rPr>
        <w:t>different</w:t>
      </w:r>
      <w:r w:rsidR="00011B6E" w:rsidRPr="00BB5480">
        <w:rPr>
          <w:rFonts w:cs="Arial"/>
        </w:rPr>
        <w:t xml:space="preserve"> item wording</w:t>
      </w:r>
      <w:r w:rsidRPr="00BB5480">
        <w:rPr>
          <w:rFonts w:cs="Arial"/>
        </w:rPr>
        <w:t xml:space="preserve"> may be </w:t>
      </w:r>
      <w:r w:rsidR="001934DD" w:rsidRPr="00BB5480">
        <w:rPr>
          <w:rFonts w:cs="Arial"/>
        </w:rPr>
        <w:t>a useful addition</w:t>
      </w:r>
      <w:r w:rsidRPr="00BB5480">
        <w:rPr>
          <w:rFonts w:cs="Arial"/>
        </w:rPr>
        <w:t>. A</w:t>
      </w:r>
      <w:r w:rsidR="00011B6E" w:rsidRPr="00BB5480">
        <w:rPr>
          <w:rFonts w:cs="Arial"/>
        </w:rPr>
        <w:t>s such, a</w:t>
      </w:r>
      <w:r w:rsidRPr="00BB5480">
        <w:rPr>
          <w:rFonts w:cs="Arial"/>
        </w:rPr>
        <w:t xml:space="preserve">n initial item pool was devised which described how an individual might deal with private internal events and </w:t>
      </w:r>
      <w:r w:rsidR="00910C51" w:rsidRPr="00BB5480">
        <w:rPr>
          <w:rFonts w:cs="Arial"/>
        </w:rPr>
        <w:t>social interactions</w:t>
      </w:r>
      <w:r w:rsidRPr="00BB5480">
        <w:rPr>
          <w:rFonts w:cs="Arial"/>
        </w:rPr>
        <w:t xml:space="preserve"> in a psychologically inflexible way. In the first study, data </w:t>
      </w:r>
      <w:r w:rsidR="00CE6106" w:rsidRPr="00BB5480">
        <w:rPr>
          <w:rFonts w:cs="Arial"/>
        </w:rPr>
        <w:t>from this item pool was</w:t>
      </w:r>
      <w:r w:rsidRPr="00BB5480">
        <w:rPr>
          <w:rFonts w:cs="Arial"/>
        </w:rPr>
        <w:t xml:space="preserve"> entered into exploratory factor analysis (</w:t>
      </w:r>
      <w:proofErr w:type="spellStart"/>
      <w:r w:rsidRPr="00BB5480">
        <w:rPr>
          <w:rFonts w:cs="Arial"/>
        </w:rPr>
        <w:t>EFA</w:t>
      </w:r>
      <w:proofErr w:type="spellEnd"/>
      <w:r w:rsidRPr="00BB5480">
        <w:rPr>
          <w:rFonts w:cs="Arial"/>
        </w:rPr>
        <w:t xml:space="preserve">). This resulted in a </w:t>
      </w:r>
      <w:r w:rsidR="00910C51" w:rsidRPr="00BB5480">
        <w:rPr>
          <w:rFonts w:cs="Arial"/>
        </w:rPr>
        <w:t xml:space="preserve">ten </w:t>
      </w:r>
      <w:r w:rsidRPr="00BB5480">
        <w:rPr>
          <w:rFonts w:cs="Arial"/>
        </w:rPr>
        <w:t xml:space="preserve">item measure spread over two factors. One further item was added to bolster the </w:t>
      </w:r>
      <w:r w:rsidR="008075E5" w:rsidRPr="00BB5480">
        <w:rPr>
          <w:rFonts w:cs="Arial"/>
        </w:rPr>
        <w:t>second</w:t>
      </w:r>
      <w:r w:rsidRPr="00BB5480">
        <w:rPr>
          <w:rFonts w:cs="Arial"/>
        </w:rPr>
        <w:t xml:space="preserve"> </w:t>
      </w:r>
      <w:r w:rsidR="00910C51" w:rsidRPr="00BB5480">
        <w:rPr>
          <w:rFonts w:cs="Arial"/>
        </w:rPr>
        <w:t>factor</w:t>
      </w:r>
      <w:r w:rsidRPr="00BB5480">
        <w:rPr>
          <w:rFonts w:cs="Arial"/>
        </w:rPr>
        <w:t>. In a second study, a small number of items underwent slight word changes</w:t>
      </w:r>
      <w:r w:rsidR="00A73646" w:rsidRPr="00BB5480">
        <w:rPr>
          <w:rFonts w:cs="Arial"/>
        </w:rPr>
        <w:t xml:space="preserve"> and both</w:t>
      </w:r>
      <w:r w:rsidRPr="00BB5480">
        <w:rPr>
          <w:rFonts w:cs="Arial"/>
        </w:rPr>
        <w:t xml:space="preserve"> </w:t>
      </w:r>
      <w:r w:rsidR="00A73646" w:rsidRPr="00BB5480">
        <w:rPr>
          <w:rFonts w:cs="Arial"/>
        </w:rPr>
        <w:t>o</w:t>
      </w:r>
      <w:r w:rsidRPr="00BB5480">
        <w:rPr>
          <w:rFonts w:cs="Arial"/>
        </w:rPr>
        <w:t xml:space="preserve">ld and </w:t>
      </w:r>
      <w:r w:rsidR="002054D0" w:rsidRPr="00BB5480">
        <w:rPr>
          <w:rFonts w:cs="Arial"/>
        </w:rPr>
        <w:t>revised</w:t>
      </w:r>
      <w:r w:rsidRPr="00BB5480">
        <w:rPr>
          <w:rFonts w:cs="Arial"/>
        </w:rPr>
        <w:t xml:space="preserve"> versions </w:t>
      </w:r>
      <w:r w:rsidR="002C40F6" w:rsidRPr="00BB5480">
        <w:rPr>
          <w:rFonts w:cs="Arial"/>
        </w:rPr>
        <w:t xml:space="preserve">of the </w:t>
      </w:r>
      <w:r w:rsidR="002054D0" w:rsidRPr="00BB5480">
        <w:rPr>
          <w:rFonts w:cs="Arial"/>
        </w:rPr>
        <w:t xml:space="preserve">measure </w:t>
      </w:r>
      <w:r w:rsidR="002C40F6" w:rsidRPr="00BB5480">
        <w:rPr>
          <w:rFonts w:cs="Arial"/>
        </w:rPr>
        <w:t xml:space="preserve">went through further </w:t>
      </w:r>
      <w:proofErr w:type="spellStart"/>
      <w:r w:rsidR="002C40F6" w:rsidRPr="00BB5480">
        <w:rPr>
          <w:rFonts w:cs="Arial"/>
        </w:rPr>
        <w:t>EFA</w:t>
      </w:r>
      <w:proofErr w:type="spellEnd"/>
      <w:r w:rsidR="000D5135" w:rsidRPr="00BB5480">
        <w:rPr>
          <w:rFonts w:cs="Arial"/>
        </w:rPr>
        <w:t>. In the</w:t>
      </w:r>
      <w:r w:rsidRPr="00BB5480">
        <w:rPr>
          <w:rFonts w:cs="Arial"/>
        </w:rPr>
        <w:t xml:space="preserve"> third study, confirmatory factor analysis (CFA) was carried out </w:t>
      </w:r>
      <w:r w:rsidR="00544F4C" w:rsidRPr="00BB5480">
        <w:rPr>
          <w:rFonts w:cs="Arial"/>
        </w:rPr>
        <w:t>across</w:t>
      </w:r>
      <w:r w:rsidRPr="00BB5480">
        <w:rPr>
          <w:rFonts w:cs="Arial"/>
        </w:rPr>
        <w:t xml:space="preserve"> three separate samples</w:t>
      </w:r>
      <w:r w:rsidR="00544F4C" w:rsidRPr="00BB5480">
        <w:rPr>
          <w:rFonts w:cs="Arial"/>
        </w:rPr>
        <w:t xml:space="preserve"> and a number of items were deleted</w:t>
      </w:r>
      <w:r w:rsidR="007F2C3C" w:rsidRPr="00BB5480">
        <w:rPr>
          <w:rFonts w:cs="Arial"/>
        </w:rPr>
        <w:t>, l</w:t>
      </w:r>
      <w:r w:rsidR="00544F4C" w:rsidRPr="00BB5480">
        <w:rPr>
          <w:rFonts w:cs="Arial"/>
        </w:rPr>
        <w:t>eaving seven</w:t>
      </w:r>
      <w:r w:rsidR="00020CDB" w:rsidRPr="00BB5480">
        <w:rPr>
          <w:rFonts w:cs="Arial"/>
        </w:rPr>
        <w:t xml:space="preserve"> items</w:t>
      </w:r>
      <w:r w:rsidR="008075E5" w:rsidRPr="00BB5480">
        <w:rPr>
          <w:rFonts w:cs="Arial"/>
        </w:rPr>
        <w:t>. Th</w:t>
      </w:r>
      <w:r w:rsidR="00544F4C" w:rsidRPr="00BB5480">
        <w:rPr>
          <w:rFonts w:cs="Arial"/>
        </w:rPr>
        <w:t>e</w:t>
      </w:r>
      <w:r w:rsidR="008075E5" w:rsidRPr="00BB5480">
        <w:rPr>
          <w:rFonts w:cs="Arial"/>
        </w:rPr>
        <w:t xml:space="preserve"> </w:t>
      </w:r>
      <w:r w:rsidR="00544F4C" w:rsidRPr="00BB5480">
        <w:rPr>
          <w:rFonts w:cs="Arial"/>
        </w:rPr>
        <w:t xml:space="preserve">final measure </w:t>
      </w:r>
      <w:r w:rsidR="00520716" w:rsidRPr="00BB5480">
        <w:rPr>
          <w:rFonts w:cs="Arial"/>
        </w:rPr>
        <w:t xml:space="preserve">produced </w:t>
      </w:r>
      <w:r w:rsidRPr="00BB5480">
        <w:rPr>
          <w:rFonts w:cs="Arial"/>
        </w:rPr>
        <w:t xml:space="preserve">a relativity good set of </w:t>
      </w:r>
      <w:r w:rsidR="00544F4C" w:rsidRPr="00BB5480">
        <w:rPr>
          <w:rFonts w:cs="Arial"/>
        </w:rPr>
        <w:t xml:space="preserve">CFA </w:t>
      </w:r>
      <w:r w:rsidRPr="00BB5480">
        <w:rPr>
          <w:rFonts w:cs="Arial"/>
        </w:rPr>
        <w:t xml:space="preserve">fit indices. </w:t>
      </w:r>
      <w:r w:rsidR="00520716" w:rsidRPr="00BB5480">
        <w:rPr>
          <w:rFonts w:cs="Arial"/>
        </w:rPr>
        <w:t xml:space="preserve">To </w:t>
      </w:r>
      <w:r w:rsidR="008075E5" w:rsidRPr="00BB5480">
        <w:rPr>
          <w:rFonts w:cs="Arial"/>
        </w:rPr>
        <w:t xml:space="preserve">begin to </w:t>
      </w:r>
      <w:r w:rsidR="00520716" w:rsidRPr="00BB5480">
        <w:rPr>
          <w:rFonts w:cs="Arial"/>
        </w:rPr>
        <w:t xml:space="preserve">establish the contribution of the EPIC, the </w:t>
      </w:r>
      <w:r w:rsidRPr="00BB5480">
        <w:rPr>
          <w:rFonts w:cs="Arial"/>
        </w:rPr>
        <w:t xml:space="preserve">final study explores relationships </w:t>
      </w:r>
      <w:r w:rsidR="00D67972" w:rsidRPr="00BB5480">
        <w:t xml:space="preserve">between the EPIC, the </w:t>
      </w:r>
      <w:proofErr w:type="spellStart"/>
      <w:r w:rsidR="00D67972" w:rsidRPr="00BB5480">
        <w:t>AAQ</w:t>
      </w:r>
      <w:proofErr w:type="spellEnd"/>
      <w:r w:rsidR="00D67972" w:rsidRPr="00BB5480">
        <w:t>-II and a small number of broadly prosocial measures.</w:t>
      </w:r>
      <w:r w:rsidRPr="00BB5480">
        <w:rPr>
          <w:rFonts w:cs="Arial"/>
        </w:rPr>
        <w:t xml:space="preserve"> The discussion explores a number of issues pertinent to the current and future development of this </w:t>
      </w:r>
      <w:r w:rsidR="00544F4C" w:rsidRPr="00BB5480">
        <w:rPr>
          <w:rFonts w:cs="Arial"/>
        </w:rPr>
        <w:t xml:space="preserve">and other </w:t>
      </w:r>
      <w:r w:rsidRPr="00BB5480">
        <w:rPr>
          <w:rFonts w:cs="Arial"/>
        </w:rPr>
        <w:t>measure</w:t>
      </w:r>
      <w:r w:rsidR="00544F4C" w:rsidRPr="00BB5480">
        <w:rPr>
          <w:rFonts w:cs="Arial"/>
        </w:rPr>
        <w:t>s</w:t>
      </w:r>
      <w:r w:rsidRPr="00BB5480">
        <w:rPr>
          <w:rFonts w:cs="Arial"/>
        </w:rPr>
        <w:t>.</w:t>
      </w:r>
    </w:p>
    <w:p w14:paraId="4D6C2803" w14:textId="44CF5DD7" w:rsidR="00DA69D9" w:rsidRPr="00BB5480" w:rsidRDefault="00422E66" w:rsidP="00422E66">
      <w:pPr>
        <w:pStyle w:val="BodyText"/>
        <w:rPr>
          <w:rFonts w:eastAsia="Arial"/>
        </w:rPr>
      </w:pPr>
      <w:r w:rsidRPr="00BB5480">
        <w:rPr>
          <w:rFonts w:cs="Arial"/>
        </w:rPr>
        <w:br w:type="page"/>
      </w:r>
      <w:r w:rsidR="00DA69D9" w:rsidRPr="00BB5480">
        <w:lastRenderedPageBreak/>
        <w:tab/>
        <w:t>Acceptance and Commitment Therapy (ACT) is a contextual cognitive behavioural therapy</w:t>
      </w:r>
      <w:r w:rsidR="002A48BF" w:rsidRPr="00BB5480">
        <w:t>.</w:t>
      </w:r>
      <w:r w:rsidR="00DA69D9" w:rsidRPr="00BB5480">
        <w:t xml:space="preserve"> </w:t>
      </w:r>
      <w:r w:rsidR="002A48BF" w:rsidRPr="00BB5480">
        <w:t>I</w:t>
      </w:r>
      <w:r w:rsidR="00DA69D9" w:rsidRPr="00BB5480">
        <w:t>n common with other third wave or contextual approaches</w:t>
      </w:r>
      <w:r w:rsidR="00A91F6C" w:rsidRPr="00BB5480">
        <w:t>,</w:t>
      </w:r>
      <w:r w:rsidR="00DA69D9" w:rsidRPr="00BB5480">
        <w:t xml:space="preserve"> such as Mindfulness (</w:t>
      </w:r>
      <w:proofErr w:type="spellStart"/>
      <w:r w:rsidR="00DA69D9" w:rsidRPr="00BB5480">
        <w:t>Kabat</w:t>
      </w:r>
      <w:proofErr w:type="spellEnd"/>
      <w:r w:rsidR="00DA69D9" w:rsidRPr="00BB5480">
        <w:t>-Zinn, 1990) and Dialectical Behaviour Therapy (</w:t>
      </w:r>
      <w:proofErr w:type="spellStart"/>
      <w:r w:rsidR="00DA69D9" w:rsidRPr="00BB5480">
        <w:t>Linehan</w:t>
      </w:r>
      <w:proofErr w:type="spellEnd"/>
      <w:r w:rsidR="00DA69D9" w:rsidRPr="00BB5480">
        <w:t xml:space="preserve">, 1993), </w:t>
      </w:r>
      <w:r w:rsidRPr="00BB5480">
        <w:t>ACT</w:t>
      </w:r>
      <w:r w:rsidR="002A48BF" w:rsidRPr="00BB5480">
        <w:t xml:space="preserve"> focuses on changing</w:t>
      </w:r>
      <w:r w:rsidRPr="00BB5480">
        <w:t xml:space="preserve"> </w:t>
      </w:r>
      <w:r w:rsidR="002A48BF" w:rsidRPr="00BB5480">
        <w:t>our relationship with private internal events (e.g. thoughts, feelings, memories, bodily sensations) especially the influence they have on our behaviour</w:t>
      </w:r>
      <w:r w:rsidRPr="00BB5480">
        <w:t xml:space="preserve">. In other words it </w:t>
      </w:r>
      <w:r w:rsidR="004F7559" w:rsidRPr="00BB5480">
        <w:t>aims</w:t>
      </w:r>
      <w:r w:rsidRPr="00BB5480">
        <w:t xml:space="preserve"> </w:t>
      </w:r>
      <w:r w:rsidR="004F7559" w:rsidRPr="00BB5480">
        <w:t xml:space="preserve">to </w:t>
      </w:r>
      <w:r w:rsidRPr="00BB5480">
        <w:t>alter the</w:t>
      </w:r>
      <w:r w:rsidR="003014F2" w:rsidRPr="00BB5480">
        <w:t>ir</w:t>
      </w:r>
      <w:r w:rsidRPr="00BB5480">
        <w:t xml:space="preserve"> function </w:t>
      </w:r>
      <w:r w:rsidR="002A48BF" w:rsidRPr="00BB5480">
        <w:t xml:space="preserve">rather than trying to </w:t>
      </w:r>
      <w:r w:rsidRPr="00BB5480">
        <w:t>change the</w:t>
      </w:r>
      <w:r w:rsidR="003014F2" w:rsidRPr="00BB5480">
        <w:t>ir</w:t>
      </w:r>
      <w:r w:rsidR="002A48BF" w:rsidRPr="00BB5480">
        <w:t xml:space="preserve"> form or frequency. </w:t>
      </w:r>
      <w:r w:rsidRPr="00BB5480">
        <w:t>In this way</w:t>
      </w:r>
      <w:r w:rsidR="002A48BF" w:rsidRPr="00BB5480">
        <w:t>, ACT allow</w:t>
      </w:r>
      <w:r w:rsidR="00B433DC">
        <w:t>s</w:t>
      </w:r>
      <w:r w:rsidR="002A48BF" w:rsidRPr="00BB5480">
        <w:t xml:space="preserve"> individuals to do more of what is important to them by strengthening or loosening the influence that private internal events have on actions, rather than </w:t>
      </w:r>
      <w:r w:rsidR="00DA69D9" w:rsidRPr="00BB5480">
        <w:t>focus</w:t>
      </w:r>
      <w:r w:rsidR="002A48BF" w:rsidRPr="00BB5480">
        <w:t>ing</w:t>
      </w:r>
      <w:r w:rsidR="00DA69D9" w:rsidRPr="00BB5480">
        <w:t xml:space="preserve"> on psychological symptom reduction per se (Hayes, Villatte, Levin, &amp; Hildebrandt, 2011). Although much of the evidence for ACT is in mental and physical health </w:t>
      </w:r>
      <w:r w:rsidR="00FA764C" w:rsidRPr="00BB5480">
        <w:t xml:space="preserve">disorders </w:t>
      </w:r>
      <w:r w:rsidR="00DA69D9" w:rsidRPr="00BB5480">
        <w:t>(see A-</w:t>
      </w:r>
      <w:proofErr w:type="spellStart"/>
      <w:r w:rsidR="00DA69D9" w:rsidRPr="00BB5480">
        <w:t>Tjak</w:t>
      </w:r>
      <w:proofErr w:type="spellEnd"/>
      <w:r w:rsidR="00DA69D9" w:rsidRPr="00BB5480">
        <w:t xml:space="preserve"> et al., 2015; </w:t>
      </w:r>
      <w:proofErr w:type="spellStart"/>
      <w:r w:rsidR="00DA69D9" w:rsidRPr="00BB5480">
        <w:t>Smout</w:t>
      </w:r>
      <w:proofErr w:type="spellEnd"/>
      <w:r w:rsidR="00DA69D9" w:rsidRPr="00BB5480">
        <w:t xml:space="preserve">, Hayes, Atkins, </w:t>
      </w:r>
      <w:proofErr w:type="spellStart"/>
      <w:r w:rsidR="00DA69D9" w:rsidRPr="00BB5480">
        <w:t>Klausen</w:t>
      </w:r>
      <w:proofErr w:type="spellEnd"/>
      <w:r w:rsidR="00DA69D9" w:rsidRPr="00BB5480">
        <w:t xml:space="preserve">, &amp; </w:t>
      </w:r>
      <w:proofErr w:type="spellStart"/>
      <w:r w:rsidR="00DA69D9" w:rsidRPr="00BB5480">
        <w:t>Duguid</w:t>
      </w:r>
      <w:proofErr w:type="spellEnd"/>
      <w:r w:rsidR="00DA69D9" w:rsidRPr="00BB5480">
        <w:t>, 2012 for reviews), in many ways the ACT model is not just applicable to “psychopathology”, but is a more broad model of human behaviour (</w:t>
      </w:r>
      <w:proofErr w:type="spellStart"/>
      <w:r w:rsidR="00DA69D9" w:rsidRPr="00BB5480">
        <w:t>Vowles</w:t>
      </w:r>
      <w:proofErr w:type="spellEnd"/>
      <w:r w:rsidR="00DA69D9" w:rsidRPr="00BB5480">
        <w:t xml:space="preserve"> &amp; Thompson, 2012, </w:t>
      </w:r>
      <w:proofErr w:type="spellStart"/>
      <w:r w:rsidR="00DA69D9" w:rsidRPr="00BB5480">
        <w:t>p.136</w:t>
      </w:r>
      <w:proofErr w:type="spellEnd"/>
      <w:r w:rsidR="00DA69D9" w:rsidRPr="00BB5480">
        <w:t xml:space="preserve">). </w:t>
      </w:r>
      <w:r w:rsidR="00FA764C" w:rsidRPr="00BB5480">
        <w:t>In particular</w:t>
      </w:r>
      <w:r w:rsidR="00DA69D9" w:rsidRPr="00BB5480">
        <w:t>, ACT is one part of Contextual Behavioural Science (CBS)</w:t>
      </w:r>
      <w:r w:rsidR="00FA764C" w:rsidRPr="00BB5480">
        <w:t>, a comprehensive view of behaviour, writ large</w:t>
      </w:r>
      <w:r w:rsidR="00DA69D9" w:rsidRPr="00BB5480">
        <w:t xml:space="preserve">. As noted by Hayes, Barnes-Holmes and Wilson (2012), the wider mission of CBS is to: “create a </w:t>
      </w:r>
      <w:proofErr w:type="spellStart"/>
      <w:r w:rsidR="00DA69D9" w:rsidRPr="00BB5480">
        <w:t>behavioral</w:t>
      </w:r>
      <w:proofErr w:type="spellEnd"/>
      <w:r w:rsidR="00DA69D9" w:rsidRPr="00BB5480">
        <w:t xml:space="preserve"> science more adequate to the challenges of the human condition” (</w:t>
      </w:r>
      <w:proofErr w:type="spellStart"/>
      <w:r w:rsidR="00DA69D9" w:rsidRPr="00BB5480">
        <w:t>p.2</w:t>
      </w:r>
      <w:proofErr w:type="spellEnd"/>
      <w:r w:rsidR="00DA69D9" w:rsidRPr="00BB5480">
        <w:t xml:space="preserve">). Indeed, </w:t>
      </w:r>
      <w:r w:rsidR="00964CDA" w:rsidRPr="00BB5480">
        <w:t xml:space="preserve">Hayes et al. (2012) </w:t>
      </w:r>
      <w:r w:rsidR="00DA69D9" w:rsidRPr="00BB5480">
        <w:t>state that future CBS research could focus on: “social disparities, environmental degradation, global climate change, poverty, child deprivation, and similar matters” (</w:t>
      </w:r>
      <w:proofErr w:type="spellStart"/>
      <w:r w:rsidR="00DA69D9" w:rsidRPr="00BB5480">
        <w:t>p.11</w:t>
      </w:r>
      <w:proofErr w:type="spellEnd"/>
      <w:r w:rsidR="00DA69D9" w:rsidRPr="00BB5480">
        <w:t>).</w:t>
      </w:r>
    </w:p>
    <w:p w14:paraId="4947DAEC" w14:textId="77777777" w:rsidR="00DA69D9" w:rsidRPr="00BB5480" w:rsidRDefault="00DA69D9">
      <w:pPr>
        <w:pStyle w:val="BodyTextFirstIndent"/>
      </w:pPr>
      <w:r w:rsidRPr="00BB5480">
        <w:rPr>
          <w:rFonts w:eastAsia="Arial"/>
        </w:rPr>
        <w:t xml:space="preserve">Central to ACT, is the promotion of psychological flexibility. Psychological flexibility refers to </w:t>
      </w:r>
      <w:r w:rsidR="00081515" w:rsidRPr="00BB5480">
        <w:rPr>
          <w:rFonts w:eastAsia="Arial"/>
        </w:rPr>
        <w:t>a set of skills that involve</w:t>
      </w:r>
      <w:r w:rsidR="006665E6" w:rsidRPr="00BB5480">
        <w:rPr>
          <w:rFonts w:eastAsia="Arial"/>
        </w:rPr>
        <w:t>s</w:t>
      </w:r>
      <w:r w:rsidR="00081515" w:rsidRPr="00BB5480">
        <w:rPr>
          <w:rFonts w:eastAsia="Arial"/>
        </w:rPr>
        <w:t xml:space="preserve"> both</w:t>
      </w:r>
      <w:r w:rsidRPr="00BB5480">
        <w:rPr>
          <w:rFonts w:eastAsia="Arial"/>
        </w:rPr>
        <w:t xml:space="preserve"> be</w:t>
      </w:r>
      <w:r w:rsidR="00081515" w:rsidRPr="00BB5480">
        <w:rPr>
          <w:rFonts w:eastAsia="Arial"/>
        </w:rPr>
        <w:t>ing</w:t>
      </w:r>
      <w:r w:rsidRPr="00BB5480">
        <w:rPr>
          <w:rFonts w:eastAsia="Arial"/>
        </w:rPr>
        <w:t xml:space="preserve"> fully aware of private internal events in the present moment, in a willing and open way, and to either maintain or modify behaviour in the direction of our personal values. (Hayes, </w:t>
      </w:r>
      <w:proofErr w:type="spellStart"/>
      <w:r w:rsidRPr="00BB5480">
        <w:rPr>
          <w:rFonts w:eastAsia="Arial"/>
        </w:rPr>
        <w:t>Luoma</w:t>
      </w:r>
      <w:proofErr w:type="spellEnd"/>
      <w:r w:rsidRPr="00BB5480">
        <w:rPr>
          <w:rFonts w:eastAsia="Arial"/>
        </w:rPr>
        <w:t>, Bond, Masuda, &amp; Lillis, 2006; Bond et al., 2011;</w:t>
      </w:r>
      <w:r w:rsidRPr="00BB5480">
        <w:t xml:space="preserve"> Thompson &amp; McCracken, 2011</w:t>
      </w:r>
      <w:r w:rsidRPr="00BB5480">
        <w:rPr>
          <w:rFonts w:eastAsia="Arial"/>
        </w:rPr>
        <w:t xml:space="preserve">). </w:t>
      </w:r>
      <w:r w:rsidRPr="00BB5480">
        <w:t>The reverse of psychological flexibility, psychological inflexibility, occurs when we are either pre-occupied with avoiding private internal events or our behaviour is being dictated by those events</w:t>
      </w:r>
      <w:r w:rsidR="001510FF" w:rsidRPr="00BB5480">
        <w:t>, at the expense of taking meaningful action</w:t>
      </w:r>
      <w:r w:rsidRPr="00BB5480">
        <w:t>. In other words, psychological</w:t>
      </w:r>
      <w:r w:rsidR="006665E6" w:rsidRPr="00BB5480">
        <w:t>ly inflexible behaviour</w:t>
      </w:r>
      <w:r w:rsidRPr="00BB5480">
        <w:t xml:space="preserve"> occurs when private internal events dominate our present moment to the detriment of acting in a way that is consistent with our personal values.</w:t>
      </w:r>
    </w:p>
    <w:p w14:paraId="64A675C9" w14:textId="77777777" w:rsidR="00DA69D9" w:rsidRPr="00BB5480" w:rsidRDefault="00DA69D9">
      <w:pPr>
        <w:pStyle w:val="BodyTextFirstIndent"/>
        <w:rPr>
          <w:rFonts w:cs="Arial"/>
        </w:rPr>
      </w:pPr>
      <w:bookmarkStart w:id="1" w:name="__RefHeading__114_2005874362"/>
      <w:bookmarkStart w:id="2" w:name="__RefHeading__10854_1166929536"/>
      <w:bookmarkEnd w:id="1"/>
      <w:bookmarkEnd w:id="2"/>
      <w:r w:rsidRPr="00BB5480">
        <w:t>The most common measure of psychological inflexibility is the Acceptance and Action Questionnaire (</w:t>
      </w:r>
      <w:proofErr w:type="spellStart"/>
      <w:r w:rsidRPr="00BB5480">
        <w:t>AAQ</w:t>
      </w:r>
      <w:proofErr w:type="spellEnd"/>
      <w:r w:rsidRPr="00BB5480">
        <w:t xml:space="preserve">). The first version of this measure was published in 2004 (Hayes et al., 2004). However, as noted by Bond et al. (2011), the measure had issues with comprehension and reliability (p. 677). As a result, the </w:t>
      </w:r>
      <w:proofErr w:type="spellStart"/>
      <w:r w:rsidRPr="00BB5480">
        <w:t>AAQ</w:t>
      </w:r>
      <w:proofErr w:type="spellEnd"/>
      <w:r w:rsidRPr="00BB5480">
        <w:t xml:space="preserve">-II was designed, validated and published in 2011. The revised measure is widely used, </w:t>
      </w:r>
      <w:proofErr w:type="spellStart"/>
      <w:r w:rsidRPr="00BB5480">
        <w:t>uni</w:t>
      </w:r>
      <w:proofErr w:type="spellEnd"/>
      <w:r w:rsidRPr="00BB5480">
        <w:t xml:space="preserve">-dimensional, 7 items in length </w:t>
      </w:r>
      <w:r w:rsidRPr="00BB5480">
        <w:lastRenderedPageBreak/>
        <w:t xml:space="preserve">and demonstrates much better reliability. Successful as the </w:t>
      </w:r>
      <w:proofErr w:type="spellStart"/>
      <w:r w:rsidRPr="00BB5480">
        <w:t>AAQ</w:t>
      </w:r>
      <w:proofErr w:type="spellEnd"/>
      <w:r w:rsidRPr="00BB5480">
        <w:t>-II is, a closer examination of the item content (below) may reveal a potential problem in terms of its ability to cap</w:t>
      </w:r>
      <w:r w:rsidR="0092675A" w:rsidRPr="00BB5480">
        <w:t>ture psychological inflexible behaviour</w:t>
      </w:r>
      <w:r w:rsidRPr="00BB5480">
        <w:t xml:space="preserve"> relevant to </w:t>
      </w:r>
      <w:r w:rsidR="006C6F3B" w:rsidRPr="00BB5480">
        <w:t xml:space="preserve">all of the </w:t>
      </w:r>
      <w:r w:rsidR="00A91F6C" w:rsidRPr="00BB5480">
        <w:t>wider challenges of the human condition</w:t>
      </w:r>
      <w:r w:rsidR="004043C3" w:rsidRPr="00BB5480">
        <w:t xml:space="preserve"> noted earlier</w:t>
      </w:r>
      <w:r w:rsidR="00282773" w:rsidRPr="00BB5480">
        <w:t xml:space="preserve">. </w:t>
      </w:r>
      <w:r w:rsidRPr="00BB5480">
        <w:t xml:space="preserve">Specifically, the </w:t>
      </w:r>
      <w:proofErr w:type="spellStart"/>
      <w:r w:rsidRPr="00BB5480">
        <w:t>AAQ</w:t>
      </w:r>
      <w:proofErr w:type="spellEnd"/>
      <w:r w:rsidRPr="00BB5480">
        <w:t>-II items are:</w:t>
      </w:r>
    </w:p>
    <w:p w14:paraId="610188FE" w14:textId="77777777" w:rsidR="00DA69D9" w:rsidRPr="00BB5480" w:rsidRDefault="00DA69D9">
      <w:pPr>
        <w:snapToGrid w:val="0"/>
        <w:spacing w:line="360" w:lineRule="auto"/>
        <w:ind w:left="709"/>
        <w:rPr>
          <w:rFonts w:cs="Arial"/>
          <w:sz w:val="24"/>
          <w:szCs w:val="24"/>
        </w:rPr>
      </w:pPr>
      <w:r w:rsidRPr="00BB5480">
        <w:rPr>
          <w:rFonts w:cs="Arial"/>
          <w:sz w:val="24"/>
          <w:szCs w:val="24"/>
        </w:rPr>
        <w:t>1. My painful experiences and memories make it difficult for me to live a life that I would value</w:t>
      </w:r>
    </w:p>
    <w:p w14:paraId="12F16479" w14:textId="77777777" w:rsidR="00DA69D9" w:rsidRPr="00BB5480" w:rsidRDefault="00DA69D9">
      <w:pPr>
        <w:snapToGrid w:val="0"/>
        <w:spacing w:line="360" w:lineRule="auto"/>
        <w:ind w:left="709"/>
        <w:rPr>
          <w:rFonts w:cs="Arial"/>
          <w:sz w:val="24"/>
          <w:szCs w:val="24"/>
        </w:rPr>
      </w:pPr>
      <w:r w:rsidRPr="00BB5480">
        <w:rPr>
          <w:rFonts w:cs="Arial"/>
          <w:sz w:val="24"/>
          <w:szCs w:val="24"/>
        </w:rPr>
        <w:t>2. I’m afraid of my feelings</w:t>
      </w:r>
    </w:p>
    <w:p w14:paraId="51A83485" w14:textId="77777777" w:rsidR="00DA69D9" w:rsidRPr="00BB5480" w:rsidRDefault="00DA69D9">
      <w:pPr>
        <w:snapToGrid w:val="0"/>
        <w:spacing w:line="360" w:lineRule="auto"/>
        <w:ind w:left="709"/>
        <w:rPr>
          <w:rFonts w:cs="Arial"/>
          <w:sz w:val="24"/>
          <w:szCs w:val="24"/>
        </w:rPr>
      </w:pPr>
      <w:r w:rsidRPr="00BB5480">
        <w:rPr>
          <w:rFonts w:cs="Arial"/>
          <w:sz w:val="24"/>
          <w:szCs w:val="24"/>
        </w:rPr>
        <w:t>3. I worry about not being able to control my worries and feelings</w:t>
      </w:r>
    </w:p>
    <w:p w14:paraId="3CF3C5DB" w14:textId="77777777" w:rsidR="00DA69D9" w:rsidRPr="00BB5480" w:rsidRDefault="00DA69D9">
      <w:pPr>
        <w:snapToGrid w:val="0"/>
        <w:spacing w:line="360" w:lineRule="auto"/>
        <w:ind w:left="709"/>
        <w:rPr>
          <w:rFonts w:cs="Arial"/>
          <w:sz w:val="24"/>
          <w:szCs w:val="24"/>
        </w:rPr>
      </w:pPr>
      <w:r w:rsidRPr="00BB5480">
        <w:rPr>
          <w:rFonts w:cs="Arial"/>
          <w:sz w:val="24"/>
          <w:szCs w:val="24"/>
        </w:rPr>
        <w:t>4. My painful memories prevent me from having a fulfilling life</w:t>
      </w:r>
    </w:p>
    <w:p w14:paraId="6EFA3FD7" w14:textId="77777777" w:rsidR="00DA69D9" w:rsidRPr="00BB5480" w:rsidRDefault="00DA69D9">
      <w:pPr>
        <w:snapToGrid w:val="0"/>
        <w:spacing w:line="360" w:lineRule="auto"/>
        <w:ind w:left="709"/>
        <w:rPr>
          <w:rFonts w:cs="Arial"/>
          <w:sz w:val="24"/>
          <w:szCs w:val="24"/>
        </w:rPr>
      </w:pPr>
      <w:r w:rsidRPr="00BB5480">
        <w:rPr>
          <w:rFonts w:cs="Arial"/>
          <w:sz w:val="24"/>
          <w:szCs w:val="24"/>
        </w:rPr>
        <w:t>5. Emotions cause problems in my life</w:t>
      </w:r>
    </w:p>
    <w:p w14:paraId="117020C8" w14:textId="77777777" w:rsidR="00DA69D9" w:rsidRPr="00BB5480" w:rsidRDefault="00DA69D9">
      <w:pPr>
        <w:snapToGrid w:val="0"/>
        <w:spacing w:line="360" w:lineRule="auto"/>
        <w:ind w:left="709"/>
        <w:rPr>
          <w:rFonts w:cs="Arial"/>
          <w:sz w:val="24"/>
          <w:szCs w:val="24"/>
        </w:rPr>
      </w:pPr>
      <w:r w:rsidRPr="00BB5480">
        <w:rPr>
          <w:rFonts w:cs="Arial"/>
          <w:sz w:val="24"/>
          <w:szCs w:val="24"/>
        </w:rPr>
        <w:t>6 .It seems like most people are handling their lives better than I am</w:t>
      </w:r>
    </w:p>
    <w:p w14:paraId="15A64DEF" w14:textId="77777777" w:rsidR="00DA69D9" w:rsidRPr="00BB5480" w:rsidRDefault="00DA69D9">
      <w:pPr>
        <w:snapToGrid w:val="0"/>
        <w:spacing w:line="360" w:lineRule="auto"/>
        <w:ind w:left="709"/>
      </w:pPr>
      <w:r w:rsidRPr="00BB5480">
        <w:rPr>
          <w:rFonts w:cs="Arial"/>
          <w:sz w:val="24"/>
          <w:szCs w:val="24"/>
        </w:rPr>
        <w:t>7. Worries get in the way of my success</w:t>
      </w:r>
    </w:p>
    <w:p w14:paraId="280882EC" w14:textId="77777777" w:rsidR="00DA69D9" w:rsidRPr="00BB5480" w:rsidRDefault="00DA69D9">
      <w:pPr>
        <w:pStyle w:val="BodyTextFirstIndent"/>
      </w:pPr>
      <w:r w:rsidRPr="00BB5480">
        <w:t>Notice how items 1 and 4 contains the word painful; item 2 uses the word afraid, and items 3 and 7 contain the words: worry or worries. Pain, fear and worry suggest related clust</w:t>
      </w:r>
      <w:r w:rsidR="005D7177" w:rsidRPr="00BB5480">
        <w:t>ers of private internal events.</w:t>
      </w:r>
    </w:p>
    <w:p w14:paraId="69935AF1" w14:textId="77777777" w:rsidR="007F501F" w:rsidRPr="00BB5480" w:rsidRDefault="007F501F" w:rsidP="007F501F">
      <w:pPr>
        <w:pStyle w:val="BodyTextFirstIndent"/>
      </w:pPr>
      <w:r w:rsidRPr="00BB5480">
        <w:t xml:space="preserve">It is also worth noting that in the </w:t>
      </w:r>
      <w:r w:rsidR="00025A24" w:rsidRPr="00BB5480">
        <w:t xml:space="preserve">confirmatory factor analysis stage of </w:t>
      </w:r>
      <w:r w:rsidR="00A751E9" w:rsidRPr="00BB5480">
        <w:t>the</w:t>
      </w:r>
      <w:r w:rsidRPr="00BB5480">
        <w:t xml:space="preserve"> validation </w:t>
      </w:r>
      <w:r w:rsidR="0092675A" w:rsidRPr="00BB5480">
        <w:t>paper</w:t>
      </w:r>
      <w:r w:rsidR="00282773" w:rsidRPr="00BB5480">
        <w:t xml:space="preserve"> on</w:t>
      </w:r>
      <w:r w:rsidRPr="00BB5480">
        <w:t xml:space="preserve"> the </w:t>
      </w:r>
      <w:proofErr w:type="spellStart"/>
      <w:r w:rsidRPr="00BB5480">
        <w:t>AAQ</w:t>
      </w:r>
      <w:proofErr w:type="spellEnd"/>
      <w:r w:rsidRPr="00BB5480">
        <w:t xml:space="preserve">-II, Bond et al. (2011) added </w:t>
      </w:r>
      <w:r w:rsidR="00925BCF" w:rsidRPr="00BB5480">
        <w:t xml:space="preserve">an </w:t>
      </w:r>
      <w:r w:rsidRPr="00BB5480">
        <w:t>error covarianc</w:t>
      </w:r>
      <w:r w:rsidR="00925BCF" w:rsidRPr="00BB5480">
        <w:t>e</w:t>
      </w:r>
      <w:r w:rsidRPr="00BB5480">
        <w:t xml:space="preserve"> between two items </w:t>
      </w:r>
      <w:r w:rsidR="00925BCF" w:rsidRPr="00BB5480">
        <w:t xml:space="preserve">(items 1 &amp; 4 above) </w:t>
      </w:r>
      <w:r w:rsidR="007F30ED" w:rsidRPr="00BB5480">
        <w:t xml:space="preserve">in order </w:t>
      </w:r>
      <w:r w:rsidRPr="00BB5480">
        <w:t xml:space="preserve">to improve measure performance. Notice that both </w:t>
      </w:r>
      <w:r w:rsidR="00925BCF" w:rsidRPr="00BB5480">
        <w:t xml:space="preserve">of these </w:t>
      </w:r>
      <w:r w:rsidRPr="00BB5480">
        <w:t>items include the word painful (and also memories).</w:t>
      </w:r>
      <w:r w:rsidR="00925BCF" w:rsidRPr="00BB5480">
        <w:t xml:space="preserve"> Furthermore</w:t>
      </w:r>
      <w:r w:rsidR="006C6F3B" w:rsidRPr="00BB5480">
        <w:t xml:space="preserve"> in</w:t>
      </w:r>
      <w:r w:rsidR="00925BCF" w:rsidRPr="00BB5480">
        <w:t xml:space="preserve"> recent work by </w:t>
      </w:r>
      <w:proofErr w:type="spellStart"/>
      <w:r w:rsidR="00027205" w:rsidRPr="00BB5480">
        <w:t>Monestès</w:t>
      </w:r>
      <w:proofErr w:type="spellEnd"/>
      <w:r w:rsidR="00027205" w:rsidRPr="00BB5480">
        <w:t xml:space="preserve"> </w:t>
      </w:r>
      <w:r w:rsidR="00925BCF" w:rsidRPr="00BB5480">
        <w:t xml:space="preserve">et al. (2016), </w:t>
      </w:r>
      <w:r w:rsidR="006C6F3B" w:rsidRPr="00BB5480">
        <w:t xml:space="preserve">in addition to </w:t>
      </w:r>
      <w:r w:rsidR="00925BCF" w:rsidRPr="00BB5480">
        <w:t xml:space="preserve">the original error covariance </w:t>
      </w:r>
      <w:r w:rsidR="00025A24" w:rsidRPr="00BB5480">
        <w:t xml:space="preserve">pairing </w:t>
      </w:r>
      <w:r w:rsidR="00EE2CF6" w:rsidRPr="00BB5480">
        <w:t>(above)</w:t>
      </w:r>
      <w:r w:rsidR="006C6F3B" w:rsidRPr="00BB5480">
        <w:t>,</w:t>
      </w:r>
      <w:r w:rsidR="00925BCF" w:rsidRPr="00BB5480">
        <w:t xml:space="preserve"> an additional </w:t>
      </w:r>
      <w:r w:rsidR="00EE2CF6" w:rsidRPr="00BB5480">
        <w:t xml:space="preserve">error </w:t>
      </w:r>
      <w:r w:rsidR="007F30ED" w:rsidRPr="00BB5480">
        <w:t>covariance</w:t>
      </w:r>
      <w:r w:rsidR="00925BCF" w:rsidRPr="00BB5480">
        <w:t xml:space="preserve"> </w:t>
      </w:r>
      <w:r w:rsidR="0092675A" w:rsidRPr="00BB5480">
        <w:t xml:space="preserve">was added </w:t>
      </w:r>
      <w:r w:rsidR="00925BCF" w:rsidRPr="00BB5480">
        <w:t>between item 2 (afraid</w:t>
      </w:r>
      <w:r w:rsidR="00A16148" w:rsidRPr="00BB5480">
        <w:t>, feelings</w:t>
      </w:r>
      <w:r w:rsidR="00925BCF" w:rsidRPr="00BB5480">
        <w:t xml:space="preserve">) and </w:t>
      </w:r>
      <w:r w:rsidR="007F30ED" w:rsidRPr="00BB5480">
        <w:t xml:space="preserve">item </w:t>
      </w:r>
      <w:r w:rsidR="00925BCF" w:rsidRPr="00BB5480">
        <w:t>3 (worry</w:t>
      </w:r>
      <w:r w:rsidR="00A16148" w:rsidRPr="00BB5480">
        <w:t>, worries and feelings</w:t>
      </w:r>
      <w:r w:rsidR="00925BCF" w:rsidRPr="00BB5480">
        <w:t>).</w:t>
      </w:r>
      <w:r w:rsidR="008C24AF" w:rsidRPr="00BB5480">
        <w:t xml:space="preserve"> It seems possible that the repetition of these terms </w:t>
      </w:r>
      <w:r w:rsidR="00A751E9" w:rsidRPr="00BB5480">
        <w:t>create</w:t>
      </w:r>
      <w:r w:rsidR="00C5479E" w:rsidRPr="00BB5480">
        <w:t>s</w:t>
      </w:r>
      <w:r w:rsidR="00A751E9" w:rsidRPr="00BB5480">
        <w:t xml:space="preserve"> additional covariation </w:t>
      </w:r>
      <w:r w:rsidR="006C6F3B" w:rsidRPr="00BB5480">
        <w:t>with</w:t>
      </w:r>
      <w:r w:rsidR="008C24AF" w:rsidRPr="00BB5480">
        <w:t xml:space="preserve">in the </w:t>
      </w:r>
      <w:proofErr w:type="spellStart"/>
      <w:r w:rsidR="008C24AF" w:rsidRPr="00BB5480">
        <w:t>AAQ</w:t>
      </w:r>
      <w:proofErr w:type="spellEnd"/>
      <w:r w:rsidR="008C24AF" w:rsidRPr="00BB5480">
        <w:t>-II.</w:t>
      </w:r>
    </w:p>
    <w:p w14:paraId="5514CD21" w14:textId="41B71047" w:rsidR="005D7177" w:rsidRPr="00BB5480" w:rsidRDefault="00A751E9" w:rsidP="005D7177">
      <w:pPr>
        <w:pStyle w:val="BodyTextFirstIndent"/>
      </w:pPr>
      <w:r w:rsidRPr="00BB5480">
        <w:t xml:space="preserve">While it seems clear that </w:t>
      </w:r>
      <w:r w:rsidR="0092675A" w:rsidRPr="00BB5480">
        <w:t xml:space="preserve">item content related to </w:t>
      </w:r>
      <w:r w:rsidRPr="00BB5480">
        <w:t>pain, fear and worry may be central to clinical</w:t>
      </w:r>
      <w:r w:rsidR="004043C3" w:rsidRPr="00BB5480">
        <w:t>,</w:t>
      </w:r>
      <w:r w:rsidRPr="00BB5480">
        <w:t xml:space="preserve"> health </w:t>
      </w:r>
      <w:r w:rsidR="004043C3" w:rsidRPr="00BB5480">
        <w:t xml:space="preserve">and well-being </w:t>
      </w:r>
      <w:r w:rsidRPr="00BB5480">
        <w:t>contexts,</w:t>
      </w:r>
      <w:r w:rsidR="006C6F3B" w:rsidRPr="00BB5480">
        <w:t xml:space="preserve"> </w:t>
      </w:r>
      <w:r w:rsidRPr="00BB5480">
        <w:t xml:space="preserve">it </w:t>
      </w:r>
      <w:r w:rsidR="006C6F3B" w:rsidRPr="00BB5480">
        <w:t xml:space="preserve">also </w:t>
      </w:r>
      <w:r w:rsidRPr="00BB5480">
        <w:t xml:space="preserve">seems possible </w:t>
      </w:r>
      <w:r w:rsidR="006C6F3B" w:rsidRPr="00BB5480">
        <w:t xml:space="preserve">that these terms </w:t>
      </w:r>
      <w:r w:rsidRPr="00BB5480">
        <w:t xml:space="preserve">may not be </w:t>
      </w:r>
      <w:r w:rsidR="0092675A" w:rsidRPr="00BB5480">
        <w:t>as relevant</w:t>
      </w:r>
      <w:r w:rsidRPr="00BB5480">
        <w:t xml:space="preserve"> </w:t>
      </w:r>
      <w:r w:rsidR="0092675A" w:rsidRPr="00BB5480">
        <w:t>for</w:t>
      </w:r>
      <w:r w:rsidRPr="00BB5480">
        <w:t xml:space="preserve"> CBS research in </w:t>
      </w:r>
      <w:r w:rsidR="00400987" w:rsidRPr="00BB5480">
        <w:t xml:space="preserve">other contexts including </w:t>
      </w:r>
      <w:r w:rsidR="006C6F3B" w:rsidRPr="00BB5480">
        <w:t xml:space="preserve">broadly prosocial </w:t>
      </w:r>
      <w:r w:rsidRPr="00BB5480">
        <w:t xml:space="preserve">areas such as </w:t>
      </w:r>
      <w:r w:rsidR="000D5135" w:rsidRPr="00BB5480">
        <w:t xml:space="preserve">those noted above (i.e. </w:t>
      </w:r>
      <w:r w:rsidR="004043C3" w:rsidRPr="00BB5480">
        <w:rPr>
          <w:rFonts w:cs="Arial"/>
        </w:rPr>
        <w:t>poverty, inequality, climate change and environmental destruction</w:t>
      </w:r>
      <w:r w:rsidR="000D5135" w:rsidRPr="00BB5480">
        <w:t>)</w:t>
      </w:r>
      <w:r w:rsidRPr="00BB5480">
        <w:t xml:space="preserve">. Of course </w:t>
      </w:r>
      <w:r w:rsidR="00400987" w:rsidRPr="00BB5480">
        <w:t xml:space="preserve">the </w:t>
      </w:r>
      <w:r w:rsidR="000D5135" w:rsidRPr="00BB5480">
        <w:t xml:space="preserve">actual </w:t>
      </w:r>
      <w:r w:rsidR="00400987" w:rsidRPr="00BB5480">
        <w:t xml:space="preserve">role of the </w:t>
      </w:r>
      <w:proofErr w:type="spellStart"/>
      <w:r w:rsidR="00400987" w:rsidRPr="00BB5480">
        <w:t>AAQ</w:t>
      </w:r>
      <w:proofErr w:type="spellEnd"/>
      <w:r w:rsidR="00400987" w:rsidRPr="00BB5480">
        <w:t>-II and other measures</w:t>
      </w:r>
      <w:r w:rsidRPr="00BB5480">
        <w:t xml:space="preserve"> </w:t>
      </w:r>
      <w:r w:rsidR="004043C3" w:rsidRPr="00BB5480">
        <w:t xml:space="preserve">in </w:t>
      </w:r>
      <w:r w:rsidR="00B433DC">
        <w:t>these</w:t>
      </w:r>
      <w:r w:rsidR="004043C3" w:rsidRPr="00BB5480">
        <w:t xml:space="preserve"> areas </w:t>
      </w:r>
      <w:r w:rsidRPr="00BB5480">
        <w:t xml:space="preserve">is an </w:t>
      </w:r>
      <w:r w:rsidR="005D7177" w:rsidRPr="00BB5480">
        <w:t>empirical question</w:t>
      </w:r>
      <w:r w:rsidRPr="00BB5480">
        <w:t xml:space="preserve">. </w:t>
      </w:r>
      <w:r w:rsidR="00400987" w:rsidRPr="00BB5480">
        <w:t>A</w:t>
      </w:r>
      <w:r w:rsidR="00BF7184" w:rsidRPr="00BB5480">
        <w:t>t the very least,</w:t>
      </w:r>
      <w:r w:rsidR="00E44913" w:rsidRPr="00BB5480">
        <w:t xml:space="preserve"> it </w:t>
      </w:r>
      <w:r w:rsidR="004043C3" w:rsidRPr="00BB5480">
        <w:t>may be useful to call upon a</w:t>
      </w:r>
      <w:r w:rsidR="00BF7184" w:rsidRPr="00BB5480">
        <w:t xml:space="preserve"> variety of tools </w:t>
      </w:r>
      <w:r w:rsidR="00E44913" w:rsidRPr="00BB5480">
        <w:t xml:space="preserve">to measure the potential of CBS </w:t>
      </w:r>
      <w:r w:rsidR="004043C3" w:rsidRPr="00BB5480">
        <w:t xml:space="preserve">both </w:t>
      </w:r>
      <w:r w:rsidR="00E44913" w:rsidRPr="00BB5480">
        <w:t xml:space="preserve">in more prosocial areas, and in </w:t>
      </w:r>
      <w:r w:rsidR="005D7177" w:rsidRPr="00BB5480">
        <w:t xml:space="preserve">more everyday contexts where pain, fear and worry </w:t>
      </w:r>
      <w:r w:rsidR="00BF7184" w:rsidRPr="00BB5480">
        <w:t>may be</w:t>
      </w:r>
      <w:r w:rsidR="005D7177" w:rsidRPr="00BB5480">
        <w:t xml:space="preserve"> less of an obvious issue.</w:t>
      </w:r>
    </w:p>
    <w:p w14:paraId="1A0E5550" w14:textId="77777777" w:rsidR="00DA69D9" w:rsidRPr="00BB5480" w:rsidRDefault="00DA69D9">
      <w:pPr>
        <w:pStyle w:val="BodyTextFirstIndent"/>
      </w:pPr>
      <w:r w:rsidRPr="00BB5480">
        <w:t xml:space="preserve">One option, of course, is to construct different, specific measures of psychological inflexibility for </w:t>
      </w:r>
      <w:r w:rsidR="000D5135" w:rsidRPr="00BB5480">
        <w:t>each individual</w:t>
      </w:r>
      <w:r w:rsidRPr="00BB5480">
        <w:t xml:space="preserve"> research context. Precedent for this exists. For example, the 20 item Chronic Pain Acceptance Questionnaire (</w:t>
      </w:r>
      <w:proofErr w:type="spellStart"/>
      <w:r w:rsidRPr="00BB5480">
        <w:t>CPAQ</w:t>
      </w:r>
      <w:proofErr w:type="spellEnd"/>
      <w:r w:rsidRPr="00BB5480">
        <w:t xml:space="preserve">; McCracken, </w:t>
      </w:r>
      <w:proofErr w:type="spellStart"/>
      <w:r w:rsidRPr="00BB5480">
        <w:t>Vowles</w:t>
      </w:r>
      <w:proofErr w:type="spellEnd"/>
      <w:r w:rsidRPr="00BB5480">
        <w:t xml:space="preserve">, &amp; </w:t>
      </w:r>
      <w:proofErr w:type="spellStart"/>
      <w:r w:rsidRPr="00BB5480">
        <w:t>Eccleston</w:t>
      </w:r>
      <w:proofErr w:type="spellEnd"/>
      <w:r w:rsidRPr="00BB5480">
        <w:t xml:space="preserve">, </w:t>
      </w:r>
      <w:r w:rsidRPr="00BB5480">
        <w:lastRenderedPageBreak/>
        <w:t>2004), has been widely used in the field for so long, that shorter versions of the measure have been published and validated (</w:t>
      </w:r>
      <w:proofErr w:type="spellStart"/>
      <w:r w:rsidRPr="00BB5480">
        <w:t>CPAQ</w:t>
      </w:r>
      <w:proofErr w:type="spellEnd"/>
      <w:r w:rsidRPr="00BB5480">
        <w:t xml:space="preserve">-8; Fish, McGuire, Hogan, Morrison, &amp; Stewart, 2010; </w:t>
      </w:r>
      <w:proofErr w:type="spellStart"/>
      <w:r w:rsidRPr="00BB5480">
        <w:t>Rovner</w:t>
      </w:r>
      <w:proofErr w:type="spellEnd"/>
      <w:r w:rsidRPr="00BB5480">
        <w:t xml:space="preserve">, </w:t>
      </w:r>
      <w:proofErr w:type="spellStart"/>
      <w:r w:rsidRPr="00BB5480">
        <w:t>Årestedt</w:t>
      </w:r>
      <w:proofErr w:type="spellEnd"/>
      <w:r w:rsidRPr="00BB5480">
        <w:t xml:space="preserve">, </w:t>
      </w:r>
      <w:proofErr w:type="spellStart"/>
      <w:r w:rsidRPr="00BB5480">
        <w:t>Gerdle</w:t>
      </w:r>
      <w:proofErr w:type="spellEnd"/>
      <w:r w:rsidRPr="00BB5480">
        <w:t xml:space="preserve">, </w:t>
      </w:r>
      <w:proofErr w:type="spellStart"/>
      <w:r w:rsidRPr="00BB5480">
        <w:t>Börsbo</w:t>
      </w:r>
      <w:proofErr w:type="spellEnd"/>
      <w:r w:rsidRPr="00BB5480">
        <w:t xml:space="preserve">, &amp; McCracken, 2014). Other measures </w:t>
      </w:r>
      <w:r w:rsidR="00C5479E" w:rsidRPr="00BB5480">
        <w:t>have been</w:t>
      </w:r>
      <w:r w:rsidRPr="00BB5480">
        <w:t xml:space="preserve"> more recently developed. For example the Body Image-Acceptance and Action Questionnaire (BI-</w:t>
      </w:r>
      <w:proofErr w:type="spellStart"/>
      <w:r w:rsidRPr="00BB5480">
        <w:t>AAQ</w:t>
      </w:r>
      <w:proofErr w:type="spellEnd"/>
      <w:r w:rsidRPr="00BB5480">
        <w:t xml:space="preserve">; Sandoz, Wilson, </w:t>
      </w:r>
      <w:proofErr w:type="spellStart"/>
      <w:r w:rsidRPr="00BB5480">
        <w:t>Merwin</w:t>
      </w:r>
      <w:proofErr w:type="spellEnd"/>
      <w:r w:rsidRPr="00BB5480">
        <w:t>, &amp; Kellum (2013) and the Acceptance and Action Questionnaire – Stigma (</w:t>
      </w:r>
      <w:proofErr w:type="spellStart"/>
      <w:r w:rsidRPr="00BB5480">
        <w:t>AAQ</w:t>
      </w:r>
      <w:proofErr w:type="spellEnd"/>
      <w:r w:rsidRPr="00BB5480">
        <w:t xml:space="preserve">-S; Levin, </w:t>
      </w:r>
      <w:proofErr w:type="spellStart"/>
      <w:r w:rsidRPr="00BB5480">
        <w:t>Luoma</w:t>
      </w:r>
      <w:proofErr w:type="spellEnd"/>
      <w:r w:rsidRPr="00BB5480">
        <w:t xml:space="preserve">, Lillis, Hayes, &amp; </w:t>
      </w:r>
      <w:proofErr w:type="spellStart"/>
      <w:r w:rsidRPr="00BB5480">
        <w:t>Vilardaga</w:t>
      </w:r>
      <w:proofErr w:type="spellEnd"/>
      <w:r w:rsidRPr="00BB5480">
        <w:t>, 2014). The Work</w:t>
      </w:r>
      <w:r w:rsidR="007C2A62" w:rsidRPr="00BB5480">
        <w:t>-</w:t>
      </w:r>
      <w:r w:rsidRPr="00BB5480">
        <w:t xml:space="preserve">related Acceptance and Action Questionnaire has also been developed to be used in occupational contexts (Bond, Lloyd, &amp; </w:t>
      </w:r>
      <w:proofErr w:type="spellStart"/>
      <w:r w:rsidRPr="00BB5480">
        <w:t>Guenole</w:t>
      </w:r>
      <w:proofErr w:type="spellEnd"/>
      <w:r w:rsidRPr="00BB5480">
        <w:t>, 2013).</w:t>
      </w:r>
    </w:p>
    <w:p w14:paraId="32EBAE3D" w14:textId="77777777" w:rsidR="00DA69D9" w:rsidRPr="00BB5480" w:rsidRDefault="00DA69D9">
      <w:pPr>
        <w:pStyle w:val="BodyTextFirstIndent"/>
      </w:pPr>
      <w:r w:rsidRPr="00BB5480">
        <w:t>While condition and context specific measures undoubtedly have an important role to play, there may also be a role for more general, more everyday measures of psychological inflexibility</w:t>
      </w:r>
      <w:r w:rsidR="00C437A4" w:rsidRPr="00BB5480">
        <w:t xml:space="preserve"> which may have applicability across a number of areas – including more prosocial ones.</w:t>
      </w:r>
      <w:r w:rsidRPr="00BB5480">
        <w:t xml:space="preserve"> Specifically, measures which do not focus on pain, fear and worry, but which attempt to capture more everyday aspects of psychological inflexibility as it may occur in daily life, within the general population.</w:t>
      </w:r>
      <w:r w:rsidR="005131FD" w:rsidRPr="00BB5480">
        <w:t xml:space="preserve"> New measures of this kind may be useful for a number of reasons. Firstly they </w:t>
      </w:r>
      <w:r w:rsidR="001B54BC" w:rsidRPr="00BB5480">
        <w:t xml:space="preserve">may </w:t>
      </w:r>
      <w:r w:rsidR="005131FD" w:rsidRPr="00BB5480">
        <w:t>allow us to further examine the extent to which ideas from CBS, ACT and psychological flexibility are applicable outside of more traditional clinical</w:t>
      </w:r>
      <w:r w:rsidR="00C437A4" w:rsidRPr="00BB5480">
        <w:t>,</w:t>
      </w:r>
      <w:r w:rsidR="005131FD" w:rsidRPr="00BB5480">
        <w:t xml:space="preserve"> health </w:t>
      </w:r>
      <w:r w:rsidR="00C437A4" w:rsidRPr="00BB5480">
        <w:t xml:space="preserve">and well-being </w:t>
      </w:r>
      <w:r w:rsidR="005131FD" w:rsidRPr="00BB5480">
        <w:t>contexts</w:t>
      </w:r>
      <w:r w:rsidR="00613BBE" w:rsidRPr="00BB5480">
        <w:t xml:space="preserve">. </w:t>
      </w:r>
      <w:r w:rsidR="00C41BD3" w:rsidRPr="00BB5480">
        <w:t>For example, i</w:t>
      </w:r>
      <w:r w:rsidR="00613BBE" w:rsidRPr="00BB5480">
        <w:t xml:space="preserve">n more everyday situations </w:t>
      </w:r>
      <w:r w:rsidR="00BF1A2F" w:rsidRPr="00BB5480">
        <w:t xml:space="preserve">generally </w:t>
      </w:r>
      <w:r w:rsidR="00C41BD3" w:rsidRPr="00BB5480">
        <w:t xml:space="preserve">or </w:t>
      </w:r>
      <w:r w:rsidR="004F3AF8" w:rsidRPr="00BB5480">
        <w:t xml:space="preserve">in </w:t>
      </w:r>
      <w:r w:rsidR="00C41BD3" w:rsidRPr="00BB5480">
        <w:t xml:space="preserve">more </w:t>
      </w:r>
      <w:r w:rsidR="00E24494" w:rsidRPr="00BB5480">
        <w:t xml:space="preserve">broadly </w:t>
      </w:r>
      <w:r w:rsidR="004F3AF8" w:rsidRPr="00BB5480">
        <w:t>prosocial areas</w:t>
      </w:r>
      <w:r w:rsidR="00BF1A2F" w:rsidRPr="00BB5480">
        <w:t xml:space="preserve"> specifically</w:t>
      </w:r>
      <w:r w:rsidR="005131FD" w:rsidRPr="00BB5480">
        <w:t>. Secondly, the</w:t>
      </w:r>
      <w:r w:rsidR="00013240" w:rsidRPr="00BB5480">
        <w:t>y</w:t>
      </w:r>
      <w:r w:rsidR="004F3AF8" w:rsidRPr="00BB5480">
        <w:t xml:space="preserve"> may a</w:t>
      </w:r>
      <w:r w:rsidR="005131FD" w:rsidRPr="00BB5480">
        <w:t xml:space="preserve">llow us to compare the contribution of psychological inflexibility </w:t>
      </w:r>
      <w:r w:rsidR="001B54BC" w:rsidRPr="00BB5480">
        <w:t xml:space="preserve">measures with item content </w:t>
      </w:r>
      <w:r w:rsidR="005131FD" w:rsidRPr="00BB5480">
        <w:t xml:space="preserve">focused on pain, fear and worry to </w:t>
      </w:r>
      <w:r w:rsidR="001B54BC" w:rsidRPr="00BB5480">
        <w:t xml:space="preserve">measures </w:t>
      </w:r>
      <w:r w:rsidR="00013240" w:rsidRPr="00BB5480">
        <w:t xml:space="preserve">less </w:t>
      </w:r>
      <w:r w:rsidR="004F3AF8" w:rsidRPr="00BB5480">
        <w:t>related</w:t>
      </w:r>
      <w:r w:rsidR="00013240" w:rsidRPr="00BB5480">
        <w:t xml:space="preserve"> </w:t>
      </w:r>
      <w:r w:rsidR="004F3AF8" w:rsidRPr="00BB5480">
        <w:t>to</w:t>
      </w:r>
      <w:r w:rsidR="00013240" w:rsidRPr="00BB5480">
        <w:t xml:space="preserve"> these areas. Thirdly, the above two points in combination </w:t>
      </w:r>
      <w:r w:rsidR="001B54BC" w:rsidRPr="00BB5480">
        <w:t xml:space="preserve">may </w:t>
      </w:r>
      <w:r w:rsidR="00013240" w:rsidRPr="00BB5480">
        <w:t xml:space="preserve">allow us to </w:t>
      </w:r>
      <w:r w:rsidR="004F3AF8" w:rsidRPr="00BB5480">
        <w:t>expand</w:t>
      </w:r>
      <w:r w:rsidR="00013240" w:rsidRPr="00BB5480">
        <w:t xml:space="preserve"> the reach of CB</w:t>
      </w:r>
      <w:r w:rsidR="00296A68" w:rsidRPr="00BB5480">
        <w:t>S</w:t>
      </w:r>
      <w:r w:rsidR="00013240" w:rsidRPr="00BB5480">
        <w:t xml:space="preserve"> and ACT theory </w:t>
      </w:r>
      <w:r w:rsidR="001B54BC" w:rsidRPr="00BB5480">
        <w:t>by</w:t>
      </w:r>
      <w:r w:rsidR="00DB0D41" w:rsidRPr="00BB5480">
        <w:t xml:space="preserve"> assess</w:t>
      </w:r>
      <w:r w:rsidR="001B54BC" w:rsidRPr="00BB5480">
        <w:t>ing</w:t>
      </w:r>
      <w:r w:rsidR="00DB0D41" w:rsidRPr="00BB5480">
        <w:t xml:space="preserve"> </w:t>
      </w:r>
      <w:r w:rsidR="00013240" w:rsidRPr="00BB5480">
        <w:t xml:space="preserve">the extent to which </w:t>
      </w:r>
      <w:r w:rsidR="00296A68" w:rsidRPr="00BB5480">
        <w:t>data allows us to support the wider</w:t>
      </w:r>
      <w:r w:rsidR="00013240" w:rsidRPr="00BB5480">
        <w:t xml:space="preserve"> aims and aspirations</w:t>
      </w:r>
      <w:r w:rsidR="00296A68" w:rsidRPr="00BB5480">
        <w:t xml:space="preserve"> of our field</w:t>
      </w:r>
      <w:r w:rsidR="001B54BC" w:rsidRPr="00BB5480">
        <w:t xml:space="preserve"> discussed earlier</w:t>
      </w:r>
      <w:r w:rsidR="00296A68" w:rsidRPr="00BB5480">
        <w:t>.</w:t>
      </w:r>
    </w:p>
    <w:p w14:paraId="16881B47" w14:textId="2660AB3A" w:rsidR="00DA69D9" w:rsidRPr="00BB5480" w:rsidRDefault="00DA69D9">
      <w:pPr>
        <w:pStyle w:val="BodyTextFirstIndent"/>
      </w:pPr>
      <w:r w:rsidRPr="00BB5480">
        <w:t xml:space="preserve">The studies in this paper describe the first steps in the scale development process of the Everyday Psychology Inflexibility Checklist (EPIC). Noting that the </w:t>
      </w:r>
      <w:proofErr w:type="spellStart"/>
      <w:r w:rsidRPr="00BB5480">
        <w:t>AAQ</w:t>
      </w:r>
      <w:proofErr w:type="spellEnd"/>
      <w:r w:rsidRPr="00BB5480">
        <w:t xml:space="preserve">-II is only 7 items long, the goal of this scale development </w:t>
      </w:r>
      <w:r w:rsidR="000D5135" w:rsidRPr="00BB5480">
        <w:t xml:space="preserve">process was to produce a brief </w:t>
      </w:r>
      <w:r w:rsidRPr="00BB5480">
        <w:t>measure that will not be too onerous on participants to complete either in isolation or, more likely, in conjunction with other psychometric measures</w:t>
      </w:r>
      <w:r w:rsidR="00AC0811" w:rsidRPr="00BB5480">
        <w:t xml:space="preserve">. </w:t>
      </w:r>
      <w:r w:rsidRPr="00BB5480">
        <w:t xml:space="preserve">Of course, scale development is an ongoing process (Clark &amp; Watson, 1995, p. 318; </w:t>
      </w:r>
      <w:proofErr w:type="spellStart"/>
      <w:r w:rsidRPr="00BB5480">
        <w:t>Holmbeck</w:t>
      </w:r>
      <w:proofErr w:type="spellEnd"/>
      <w:r w:rsidRPr="00BB5480">
        <w:t xml:space="preserve"> &amp; Devine, 2009, p. 692) of which this paper can only capture the first steps. As such, this paper will primarily be concerned with starting to establish content and factorial validity (</w:t>
      </w:r>
      <w:proofErr w:type="spellStart"/>
      <w:r w:rsidRPr="00BB5480">
        <w:t>DeVellis</w:t>
      </w:r>
      <w:proofErr w:type="spellEnd"/>
      <w:r w:rsidRPr="00BB5480">
        <w:t xml:space="preserve">, 2012). </w:t>
      </w:r>
      <w:r w:rsidR="00C41BD3" w:rsidRPr="00BB5480">
        <w:t>The final study</w:t>
      </w:r>
      <w:r w:rsidRPr="00BB5480">
        <w:t xml:space="preserve"> will also explore the relationship between the EPIC</w:t>
      </w:r>
      <w:r w:rsidR="00C23EB5" w:rsidRPr="00BB5480">
        <w:t>,</w:t>
      </w:r>
      <w:r w:rsidRPr="00BB5480">
        <w:t xml:space="preserve"> </w:t>
      </w:r>
      <w:r w:rsidR="00C23EB5" w:rsidRPr="00BB5480">
        <w:t xml:space="preserve">the </w:t>
      </w:r>
      <w:proofErr w:type="spellStart"/>
      <w:r w:rsidR="00C23EB5" w:rsidRPr="00BB5480">
        <w:t>AAQ</w:t>
      </w:r>
      <w:proofErr w:type="spellEnd"/>
      <w:r w:rsidR="00C23EB5" w:rsidRPr="00BB5480">
        <w:t xml:space="preserve">-II and a small number of </w:t>
      </w:r>
      <w:r w:rsidR="00E24494" w:rsidRPr="00BB5480">
        <w:t xml:space="preserve">broadly </w:t>
      </w:r>
      <w:r w:rsidR="00C23EB5" w:rsidRPr="00BB5480">
        <w:t>prosocial measures</w:t>
      </w:r>
      <w:r w:rsidR="001355A0" w:rsidRPr="00BB5480">
        <w:t>.</w:t>
      </w:r>
      <w:r w:rsidR="009B0024" w:rsidRPr="00BB5480">
        <w:t xml:space="preserve"> </w:t>
      </w:r>
      <w:r w:rsidR="002D141F" w:rsidRPr="00BB5480">
        <w:t>Following arguments by Chiesa (1994), the authors did not formulate any a priori formal hypotheses.</w:t>
      </w:r>
      <w:r w:rsidR="009B6BED" w:rsidRPr="00BB5480">
        <w:t xml:space="preserve"> In short, Chiesa argues that despite the dominance of the </w:t>
      </w:r>
      <w:proofErr w:type="spellStart"/>
      <w:r w:rsidR="009B6BED" w:rsidRPr="00BB5480">
        <w:lastRenderedPageBreak/>
        <w:t>hypothetico</w:t>
      </w:r>
      <w:proofErr w:type="spellEnd"/>
      <w:r w:rsidR="009B6BED" w:rsidRPr="00BB5480">
        <w:t xml:space="preserve">-deductive approach in psychology today, radical behaviourists can opt to take a more inductive approach that is based on and driven by observations from data. Chiesa notes that the need to rely on strict hypothesis testing stems from more deductive approaches to science that tend to prioritise theories that </w:t>
      </w:r>
      <w:r w:rsidR="00273179" w:rsidRPr="00BB5480">
        <w:t>can be</w:t>
      </w:r>
      <w:r w:rsidR="009B6BED" w:rsidRPr="00BB5480">
        <w:t xml:space="preserve"> based on unseen </w:t>
      </w:r>
      <w:r w:rsidR="00C14C59" w:rsidRPr="00BB5480">
        <w:t>“</w:t>
      </w:r>
      <w:r w:rsidR="009B6BED" w:rsidRPr="00BB5480">
        <w:t>mediating entities</w:t>
      </w:r>
      <w:r w:rsidR="00C14C59" w:rsidRPr="00BB5480">
        <w:t>”</w:t>
      </w:r>
      <w:r w:rsidR="009B6BED" w:rsidRPr="00BB5480">
        <w:t xml:space="preserve"> or hypothetical constructs - an approach that radical behaviourists may </w:t>
      </w:r>
      <w:r w:rsidR="00C14C59" w:rsidRPr="00BB5480">
        <w:t xml:space="preserve">well </w:t>
      </w:r>
      <w:r w:rsidR="009B6BED" w:rsidRPr="00BB5480">
        <w:t>reject</w:t>
      </w:r>
      <w:r w:rsidR="00D7012A" w:rsidRPr="00BB5480">
        <w:t xml:space="preserve"> (see Chiesa, 1994, Chapter 4, or pages 18-19 for a summary of </w:t>
      </w:r>
      <w:r w:rsidR="00162E6A" w:rsidRPr="00BB5480">
        <w:t>her</w:t>
      </w:r>
      <w:r w:rsidR="00D7012A" w:rsidRPr="00BB5480">
        <w:t xml:space="preserve"> argument).</w:t>
      </w:r>
    </w:p>
    <w:p w14:paraId="2ACB060A" w14:textId="77777777" w:rsidR="009B6BED" w:rsidRPr="00BB5480" w:rsidRDefault="009B6BED">
      <w:pPr>
        <w:pStyle w:val="BodyTextFirstIndent"/>
        <w:rPr>
          <w:b/>
          <w:bCs/>
        </w:rPr>
      </w:pPr>
    </w:p>
    <w:p w14:paraId="7E8B2059" w14:textId="77777777" w:rsidR="00DA69D9" w:rsidRPr="00BB5480" w:rsidRDefault="00DA69D9">
      <w:pPr>
        <w:pStyle w:val="BodyTextFirstIndent"/>
        <w:pageBreakBefore/>
        <w:jc w:val="center"/>
        <w:rPr>
          <w:rFonts w:cs="Arial"/>
        </w:rPr>
      </w:pPr>
      <w:r w:rsidRPr="00BB5480">
        <w:rPr>
          <w:b/>
        </w:rPr>
        <w:lastRenderedPageBreak/>
        <w:t>S</w:t>
      </w:r>
      <w:r w:rsidRPr="00BB5480">
        <w:rPr>
          <w:rFonts w:cs="Arial"/>
          <w:b/>
        </w:rPr>
        <w:t>tudy 1: E</w:t>
      </w:r>
      <w:r w:rsidRPr="00BB5480">
        <w:rPr>
          <w:b/>
        </w:rPr>
        <w:t>xploratory factor analysis</w:t>
      </w:r>
    </w:p>
    <w:p w14:paraId="3A64E0F5" w14:textId="77777777" w:rsidR="00DA69D9" w:rsidRPr="00BB5480" w:rsidRDefault="005C4EF6">
      <w:pPr>
        <w:pStyle w:val="BodyTextFirstIndent"/>
      </w:pPr>
      <w:r w:rsidRPr="00BB5480">
        <w:rPr>
          <w:rFonts w:cs="Arial"/>
        </w:rPr>
        <w:t xml:space="preserve">The authors, all ACT experts, produced an </w:t>
      </w:r>
      <w:r w:rsidR="00DA69D9" w:rsidRPr="00BB5480">
        <w:rPr>
          <w:rFonts w:cs="Arial"/>
        </w:rPr>
        <w:t xml:space="preserve">initial long list </w:t>
      </w:r>
      <w:r w:rsidRPr="00BB5480">
        <w:rPr>
          <w:rFonts w:cs="Arial"/>
        </w:rPr>
        <w:t>of items,</w:t>
      </w:r>
      <w:r w:rsidR="00DA69D9" w:rsidRPr="00BB5480">
        <w:rPr>
          <w:rFonts w:cs="Arial"/>
        </w:rPr>
        <w:t xml:space="preserve"> written as statements describing how an individual might deal with private internal events and </w:t>
      </w:r>
      <w:r w:rsidR="00551C69" w:rsidRPr="00BB5480">
        <w:rPr>
          <w:rFonts w:cs="Arial"/>
        </w:rPr>
        <w:t>social</w:t>
      </w:r>
      <w:r w:rsidR="00BF7184" w:rsidRPr="00BB5480">
        <w:rPr>
          <w:rFonts w:cs="Arial"/>
        </w:rPr>
        <w:t xml:space="preserve"> interactions</w:t>
      </w:r>
      <w:r w:rsidR="00DA69D9" w:rsidRPr="00BB5480">
        <w:rPr>
          <w:rFonts w:cs="Arial"/>
        </w:rPr>
        <w:t xml:space="preserve"> in a psychologically inflexible way. For example, some items described being avoidant of private internal events (e.g. “</w:t>
      </w:r>
      <w:r w:rsidR="00B442D9" w:rsidRPr="00BB5480">
        <w:t>When awkward thoughts occur I try and block them out</w:t>
      </w:r>
      <w:r w:rsidR="00DA69D9" w:rsidRPr="00BB5480">
        <w:rPr>
          <w:rFonts w:cs="Arial"/>
        </w:rPr>
        <w:t>”), others described being generally fused with or pushed around by private internal events (e.g. “</w:t>
      </w:r>
      <w:r w:rsidR="00DA69D9" w:rsidRPr="00BB5480">
        <w:rPr>
          <w:rFonts w:eastAsia="Arial" w:cs="Arial"/>
        </w:rPr>
        <w:t>My emotions guide my actions”)</w:t>
      </w:r>
      <w:r w:rsidR="00DA69D9" w:rsidRPr="00BB5480">
        <w:rPr>
          <w:rFonts w:cs="Arial"/>
        </w:rPr>
        <w:t xml:space="preserve">. </w:t>
      </w:r>
      <w:r w:rsidR="009815C1" w:rsidRPr="00BB5480">
        <w:rPr>
          <w:rFonts w:cs="Arial"/>
        </w:rPr>
        <w:t xml:space="preserve">Effort was made to phrase items in a </w:t>
      </w:r>
      <w:r w:rsidR="009815C1" w:rsidRPr="00BB5480">
        <w:t xml:space="preserve">general way and </w:t>
      </w:r>
      <w:r w:rsidR="00447523" w:rsidRPr="00BB5480">
        <w:t xml:space="preserve">to try and </w:t>
      </w:r>
      <w:r w:rsidR="009815C1" w:rsidRPr="00BB5480">
        <w:t>avoid limiting responses to any particular form of emotion. In this way, any direct use of the terms pain, fear and worry was avoided.</w:t>
      </w:r>
      <w:r w:rsidR="00DA69D9" w:rsidRPr="00BB5480">
        <w:rPr>
          <w:rFonts w:cs="Arial"/>
        </w:rPr>
        <w:t xml:space="preserve"> </w:t>
      </w:r>
      <w:r w:rsidR="00104904" w:rsidRPr="00BB5480">
        <w:rPr>
          <w:rFonts w:cs="Arial"/>
        </w:rPr>
        <w:t>N</w:t>
      </w:r>
      <w:r w:rsidR="00B442D9" w:rsidRPr="00BB5480">
        <w:rPr>
          <w:rFonts w:cs="Arial"/>
        </w:rPr>
        <w:t xml:space="preserve">o item made </w:t>
      </w:r>
      <w:r w:rsidR="00104904" w:rsidRPr="00BB5480">
        <w:rPr>
          <w:rFonts w:cs="Arial"/>
        </w:rPr>
        <w:t>direct</w:t>
      </w:r>
      <w:r w:rsidR="00B442D9" w:rsidRPr="00BB5480">
        <w:rPr>
          <w:rFonts w:cs="Arial"/>
        </w:rPr>
        <w:t xml:space="preserve"> reference to an impact on values or valued living. This content was avoided</w:t>
      </w:r>
      <w:r w:rsidR="005B4662" w:rsidRPr="00BB5480">
        <w:rPr>
          <w:rFonts w:cs="Arial"/>
        </w:rPr>
        <w:t xml:space="preserve"> to avoid potential confusion between different valued areas (e.g. success in family, personal, work life </w:t>
      </w:r>
      <w:r w:rsidR="00104904" w:rsidRPr="00BB5480">
        <w:rPr>
          <w:rFonts w:cs="Arial"/>
        </w:rPr>
        <w:t xml:space="preserve">on the one hand </w:t>
      </w:r>
      <w:r w:rsidR="005B4662" w:rsidRPr="00BB5480">
        <w:rPr>
          <w:rFonts w:cs="Arial"/>
        </w:rPr>
        <w:t>and prosocial values</w:t>
      </w:r>
      <w:r w:rsidR="00104904" w:rsidRPr="00BB5480">
        <w:rPr>
          <w:rFonts w:cs="Arial"/>
        </w:rPr>
        <w:t xml:space="preserve"> on the other</w:t>
      </w:r>
      <w:r w:rsidR="005B4662" w:rsidRPr="00BB5480">
        <w:rPr>
          <w:rFonts w:cs="Arial"/>
        </w:rPr>
        <w:t xml:space="preserve">). </w:t>
      </w:r>
      <w:r w:rsidR="00DA69D9" w:rsidRPr="00BB5480">
        <w:t xml:space="preserve">The initial list was checked, added to and revised by all authors of this paper. A final list of 50 items was produced. The list was </w:t>
      </w:r>
      <w:r w:rsidR="003E39FC" w:rsidRPr="00BB5480">
        <w:t>piloted online</w:t>
      </w:r>
      <w:r w:rsidR="00DA69D9" w:rsidRPr="00BB5480">
        <w:t xml:space="preserve"> </w:t>
      </w:r>
      <w:r w:rsidR="003E39FC" w:rsidRPr="00BB5480">
        <w:t>by</w:t>
      </w:r>
      <w:r w:rsidR="00DA69D9" w:rsidRPr="00BB5480">
        <w:t xml:space="preserve"> </w:t>
      </w:r>
      <w:r w:rsidR="0004302E" w:rsidRPr="00BB5480">
        <w:t xml:space="preserve">seven </w:t>
      </w:r>
      <w:r w:rsidR="00DA69D9" w:rsidRPr="00BB5480">
        <w:t>members of the public less familiar with ACT</w:t>
      </w:r>
      <w:r w:rsidR="005C145C" w:rsidRPr="00BB5480">
        <w:t>;</w:t>
      </w:r>
      <w:r w:rsidR="0004302E" w:rsidRPr="00BB5480">
        <w:t xml:space="preserve"> no item was changed as a result of this </w:t>
      </w:r>
      <w:r w:rsidR="00DA69D9" w:rsidRPr="00BB5480">
        <w:t>process. The instructions for the measure were: “Please rate how true each statement is for you in your everyday life by clicking on a number next to it”. Participants answered items on a 7 point Likert</w:t>
      </w:r>
      <w:r w:rsidR="0004302E" w:rsidRPr="00BB5480">
        <w:t>-type scale,</w:t>
      </w:r>
      <w:r w:rsidR="00DA69D9" w:rsidRPr="00BB5480">
        <w:t xml:space="preserve"> ranging from (1) never true to (7) always true. In this way, higher scores indicate higher levels of psychological inflexibility.</w:t>
      </w:r>
    </w:p>
    <w:p w14:paraId="4B16DCC3" w14:textId="77777777" w:rsidR="00DA69D9" w:rsidRPr="00BB5480" w:rsidRDefault="00DA69D9">
      <w:pPr>
        <w:pStyle w:val="BodyTextFirstIndent"/>
      </w:pPr>
      <w:r w:rsidRPr="00BB5480">
        <w:t xml:space="preserve">In order to determine possible latent structures within the data, and in keeping with other ACT measures (Bond et al., 2011; Bond et al., 2013), principal axis factor analyses was planned using oblique rotation (direct </w:t>
      </w:r>
      <w:proofErr w:type="spellStart"/>
      <w:r w:rsidRPr="00BB5480">
        <w:t>oblimin</w:t>
      </w:r>
      <w:proofErr w:type="spellEnd"/>
      <w:r w:rsidRPr="00BB5480">
        <w:t xml:space="preserve">). </w:t>
      </w:r>
      <w:r w:rsidR="005B52CE" w:rsidRPr="00BB5480">
        <w:rPr>
          <w:rFonts w:eastAsia="Arial" w:cs="Arial"/>
        </w:rPr>
        <w:t>A</w:t>
      </w:r>
      <w:r w:rsidRPr="00BB5480">
        <w:rPr>
          <w:rFonts w:eastAsia="Arial" w:cs="Arial"/>
        </w:rPr>
        <w:t xml:space="preserve"> sample size in excess of </w:t>
      </w:r>
      <w:r w:rsidRPr="00BB5480">
        <w:rPr>
          <w:rFonts w:cs="Arial"/>
        </w:rPr>
        <w:t>250 was sought.</w:t>
      </w:r>
    </w:p>
    <w:p w14:paraId="472002CD" w14:textId="77777777" w:rsidR="00DA69D9" w:rsidRPr="00BB5480" w:rsidRDefault="00DA69D9">
      <w:pPr>
        <w:pStyle w:val="Heading2"/>
        <w:spacing w:line="360" w:lineRule="auto"/>
        <w:jc w:val="center"/>
        <w:rPr>
          <w:bCs/>
          <w:sz w:val="24"/>
          <w:szCs w:val="24"/>
        </w:rPr>
      </w:pPr>
      <w:r w:rsidRPr="00BB5480">
        <w:rPr>
          <w:sz w:val="24"/>
          <w:szCs w:val="24"/>
        </w:rPr>
        <w:t>Method</w:t>
      </w:r>
    </w:p>
    <w:p w14:paraId="321843C5" w14:textId="77777777" w:rsidR="00DA69D9" w:rsidRPr="00BB5480" w:rsidRDefault="00DA69D9" w:rsidP="002D141F">
      <w:pPr>
        <w:pStyle w:val="BodyText"/>
        <w:numPr>
          <w:ilvl w:val="0"/>
          <w:numId w:val="2"/>
        </w:numPr>
        <w:ind w:left="0" w:firstLine="0"/>
      </w:pPr>
      <w:r w:rsidRPr="00BB5480">
        <w:rPr>
          <w:b/>
          <w:bCs/>
        </w:rPr>
        <w:t>Procedure</w:t>
      </w:r>
    </w:p>
    <w:p w14:paraId="67ECB97A" w14:textId="2980C7BD" w:rsidR="00A5030F" w:rsidRPr="00BB5480" w:rsidRDefault="002D141F" w:rsidP="002D141F">
      <w:pPr>
        <w:pStyle w:val="PlainText"/>
        <w:numPr>
          <w:ilvl w:val="0"/>
          <w:numId w:val="2"/>
        </w:numPr>
        <w:spacing w:line="360" w:lineRule="auto"/>
        <w:ind w:left="0" w:firstLine="0"/>
        <w:rPr>
          <w:rFonts w:ascii="Times New Roman" w:eastAsia="Times New Roman" w:hAnsi="Times New Roman"/>
          <w:sz w:val="24"/>
          <w:szCs w:val="24"/>
          <w:lang w:eastAsia="en-GB"/>
        </w:rPr>
      </w:pPr>
      <w:r w:rsidRPr="00BB5480">
        <w:rPr>
          <w:rFonts w:ascii="Times New Roman" w:eastAsia="Times New Roman" w:hAnsi="Times New Roman"/>
          <w:sz w:val="24"/>
          <w:szCs w:val="24"/>
          <w:lang w:eastAsia="en-GB"/>
        </w:rPr>
        <w:tab/>
        <w:t xml:space="preserve">In terms of data screening and patterns of missing data – across all studies and samples – data were initially screened and participants were deleted if they had 50% or greater missing data across the entire data set, or if they had not entered any data for a relevant questionnaire. This removed participants who had clicked on the online questionnaire but not started or not attempted relevant sections. Patterns of missing data were then examined across relevant questionnaires using Missing Value Analysis within SPSS. After the initial deletion (above), all samples had less than 10% missing data for items and measures, often less than 5%. As all final sample sizes across all studies were anticipated at being N=250 or greater in size, </w:t>
      </w:r>
      <w:proofErr w:type="spellStart"/>
      <w:r w:rsidRPr="00BB5480">
        <w:rPr>
          <w:rFonts w:ascii="Times New Roman" w:eastAsia="Times New Roman" w:hAnsi="Times New Roman"/>
          <w:sz w:val="24"/>
          <w:szCs w:val="24"/>
          <w:lang w:eastAsia="en-GB"/>
        </w:rPr>
        <w:t>listwise</w:t>
      </w:r>
      <w:proofErr w:type="spellEnd"/>
      <w:r w:rsidRPr="00BB5480">
        <w:rPr>
          <w:rFonts w:ascii="Times New Roman" w:eastAsia="Times New Roman" w:hAnsi="Times New Roman"/>
          <w:sz w:val="24"/>
          <w:szCs w:val="24"/>
          <w:lang w:eastAsia="en-GB"/>
        </w:rPr>
        <w:t xml:space="preserve"> deletion was then applied to remove any cases with any missing data on relevant questionnaires.</w:t>
      </w:r>
    </w:p>
    <w:p w14:paraId="7F946026" w14:textId="77777777" w:rsidR="00DA69D9" w:rsidRPr="00BB5480" w:rsidRDefault="00B24C0E" w:rsidP="00A5030F">
      <w:pPr>
        <w:pStyle w:val="BodyText"/>
        <w:ind w:firstLine="709"/>
      </w:pPr>
      <w:r w:rsidRPr="00BB5480">
        <w:t xml:space="preserve">Sample 1. </w:t>
      </w:r>
      <w:r w:rsidR="00DA69D9" w:rsidRPr="00BB5480">
        <w:t xml:space="preserve">Data </w:t>
      </w:r>
      <w:r w:rsidR="00F547DE" w:rsidRPr="00BB5480">
        <w:t>was</w:t>
      </w:r>
      <w:r w:rsidR="0004302E" w:rsidRPr="00BB5480">
        <w:t xml:space="preserve"> </w:t>
      </w:r>
      <w:r w:rsidR="00DA69D9" w:rsidRPr="00BB5480">
        <w:t xml:space="preserve">collected </w:t>
      </w:r>
      <w:r w:rsidR="005941CA" w:rsidRPr="00BB5480">
        <w:t>for</w:t>
      </w:r>
      <w:r w:rsidR="00F547DE" w:rsidRPr="00BB5480">
        <w:rPr>
          <w:rFonts w:cs="Arial"/>
        </w:rPr>
        <w:t xml:space="preserve"> the EPIC items and a number of other measures</w:t>
      </w:r>
      <w:r w:rsidR="00F547DE" w:rsidRPr="00BB5480">
        <w:t xml:space="preserve"> </w:t>
      </w:r>
      <w:r w:rsidR="00DA69D9" w:rsidRPr="00BB5480">
        <w:lastRenderedPageBreak/>
        <w:t xml:space="preserve">using the Bristol Online Survey platform. Participants were recruited through a number of different sources including: e-mails to departments within UK universities and other educational establishments; websites that advertise online psychological studies; and through the personal contacts of the lead author. </w:t>
      </w:r>
      <w:r w:rsidR="0004302E" w:rsidRPr="00BB5480">
        <w:rPr>
          <w:rFonts w:cs="Arial"/>
        </w:rPr>
        <w:t>University e</w:t>
      </w:r>
      <w:r w:rsidR="00DA69D9" w:rsidRPr="00BB5480">
        <w:rPr>
          <w:rFonts w:cs="Arial"/>
        </w:rPr>
        <w:t>thical permission was sought and received for this study.</w:t>
      </w:r>
      <w:r w:rsidR="00007BFE" w:rsidRPr="00BB5480">
        <w:rPr>
          <w:rFonts w:cs="Arial"/>
        </w:rPr>
        <w:t xml:space="preserve"> </w:t>
      </w:r>
      <w:r w:rsidR="00DA69D9" w:rsidRPr="00BB5480">
        <w:t xml:space="preserve">In total 755 participants entered </w:t>
      </w:r>
      <w:r w:rsidR="006B5AC7" w:rsidRPr="00BB5480">
        <w:t xml:space="preserve">at least some </w:t>
      </w:r>
      <w:r w:rsidR="00DA69D9" w:rsidRPr="00BB5480">
        <w:t xml:space="preserve">data. </w:t>
      </w:r>
      <w:r w:rsidR="00050AF2" w:rsidRPr="00BB5480">
        <w:t>Thirty three participants had their data removed as they had 50% or</w:t>
      </w:r>
      <w:r w:rsidR="003726D6" w:rsidRPr="00BB5480">
        <w:t xml:space="preserve"> </w:t>
      </w:r>
      <w:r w:rsidR="00050AF2" w:rsidRPr="00BB5480">
        <w:t xml:space="preserve">more missing data. The remaining sample of 722 participants </w:t>
      </w:r>
      <w:r w:rsidR="002E27C6" w:rsidRPr="00BB5480">
        <w:t>was evenly and</w:t>
      </w:r>
      <w:r w:rsidR="00050AF2" w:rsidRPr="00BB5480">
        <w:t xml:space="preserve"> randomly divided</w:t>
      </w:r>
      <w:r w:rsidR="003726D6" w:rsidRPr="00BB5480">
        <w:t xml:space="preserve"> </w:t>
      </w:r>
      <w:r w:rsidR="00050AF2" w:rsidRPr="00BB5480">
        <w:t>into two samples of n=361.</w:t>
      </w:r>
      <w:r w:rsidR="00DA69D9" w:rsidRPr="00BB5480">
        <w:t xml:space="preserve"> One half </w:t>
      </w:r>
      <w:r w:rsidRPr="00BB5480">
        <w:t xml:space="preserve">(Sample </w:t>
      </w:r>
      <w:proofErr w:type="spellStart"/>
      <w:r w:rsidRPr="00BB5480">
        <w:t>1a</w:t>
      </w:r>
      <w:proofErr w:type="spellEnd"/>
      <w:r w:rsidRPr="00BB5480">
        <w:t xml:space="preserve">) </w:t>
      </w:r>
      <w:r w:rsidR="00DA69D9" w:rsidRPr="00BB5480">
        <w:t xml:space="preserve">is used </w:t>
      </w:r>
      <w:r w:rsidR="00104904" w:rsidRPr="00BB5480">
        <w:t>below</w:t>
      </w:r>
      <w:r w:rsidR="00DA69D9" w:rsidRPr="00BB5480">
        <w:t xml:space="preserve">, the other </w:t>
      </w:r>
      <w:r w:rsidR="007E6D87" w:rsidRPr="00BB5480">
        <w:t xml:space="preserve">half </w:t>
      </w:r>
      <w:r w:rsidRPr="00BB5480">
        <w:t xml:space="preserve">(Sample </w:t>
      </w:r>
      <w:proofErr w:type="spellStart"/>
      <w:r w:rsidRPr="00BB5480">
        <w:t>1b</w:t>
      </w:r>
      <w:proofErr w:type="spellEnd"/>
      <w:r w:rsidRPr="00BB5480">
        <w:t xml:space="preserve">) </w:t>
      </w:r>
      <w:r w:rsidR="00104904" w:rsidRPr="00BB5480">
        <w:t xml:space="preserve">is used </w:t>
      </w:r>
      <w:r w:rsidRPr="00BB5480">
        <w:t>for</w:t>
      </w:r>
      <w:r w:rsidR="00DA69D9" w:rsidRPr="00BB5480">
        <w:t xml:space="preserve"> the </w:t>
      </w:r>
      <w:r w:rsidR="006B5AC7" w:rsidRPr="00BB5480">
        <w:t>third</w:t>
      </w:r>
      <w:r w:rsidR="00DA69D9" w:rsidRPr="00BB5480">
        <w:t xml:space="preserve"> CFA in study 3.</w:t>
      </w:r>
    </w:p>
    <w:p w14:paraId="7A39820B" w14:textId="77777777" w:rsidR="00DA69D9" w:rsidRPr="00BB5480" w:rsidRDefault="00DA69D9">
      <w:pPr>
        <w:pStyle w:val="BodyText"/>
      </w:pPr>
      <w:r w:rsidRPr="00BB5480">
        <w:rPr>
          <w:b/>
          <w:bCs/>
        </w:rPr>
        <w:t>Participants</w:t>
      </w:r>
    </w:p>
    <w:p w14:paraId="0B3EE419" w14:textId="77777777" w:rsidR="0005366A" w:rsidRPr="00BB5480" w:rsidRDefault="00DA69D9" w:rsidP="00DD5CBB">
      <w:pPr>
        <w:spacing w:line="360" w:lineRule="auto"/>
        <w:ind w:firstLine="709"/>
        <w:rPr>
          <w:sz w:val="24"/>
          <w:szCs w:val="24"/>
        </w:rPr>
      </w:pPr>
      <w:r w:rsidRPr="00BB5480">
        <w:rPr>
          <w:sz w:val="24"/>
          <w:szCs w:val="24"/>
        </w:rPr>
        <w:t xml:space="preserve">After </w:t>
      </w:r>
      <w:r w:rsidR="007E6D87" w:rsidRPr="00BB5480">
        <w:rPr>
          <w:sz w:val="24"/>
          <w:szCs w:val="24"/>
        </w:rPr>
        <w:t xml:space="preserve">applying </w:t>
      </w:r>
      <w:proofErr w:type="spellStart"/>
      <w:r w:rsidRPr="00BB5480">
        <w:rPr>
          <w:sz w:val="24"/>
          <w:szCs w:val="24"/>
        </w:rPr>
        <w:t>listwise</w:t>
      </w:r>
      <w:proofErr w:type="spellEnd"/>
      <w:r w:rsidRPr="00BB5480">
        <w:rPr>
          <w:sz w:val="24"/>
          <w:szCs w:val="24"/>
        </w:rPr>
        <w:t xml:space="preserve"> deletion</w:t>
      </w:r>
      <w:r w:rsidR="007E6D87" w:rsidRPr="00BB5480">
        <w:rPr>
          <w:sz w:val="24"/>
          <w:szCs w:val="24"/>
        </w:rPr>
        <w:t xml:space="preserve"> to sample</w:t>
      </w:r>
      <w:r w:rsidR="003726D6" w:rsidRPr="00BB5480">
        <w:rPr>
          <w:sz w:val="24"/>
          <w:szCs w:val="24"/>
        </w:rPr>
        <w:t xml:space="preserve"> </w:t>
      </w:r>
      <w:proofErr w:type="spellStart"/>
      <w:r w:rsidR="003726D6" w:rsidRPr="00BB5480">
        <w:rPr>
          <w:sz w:val="24"/>
          <w:szCs w:val="24"/>
        </w:rPr>
        <w:t>1a</w:t>
      </w:r>
      <w:proofErr w:type="spellEnd"/>
      <w:r w:rsidRPr="00BB5480">
        <w:rPr>
          <w:sz w:val="24"/>
          <w:szCs w:val="24"/>
        </w:rPr>
        <w:t>, 274 participants provided complete data for all 50 items. Of these 67% were female, with an average age of 30 years (SD 11.</w:t>
      </w:r>
      <w:r w:rsidR="00EC2434" w:rsidRPr="00BB5480">
        <w:rPr>
          <w:sz w:val="24"/>
          <w:szCs w:val="24"/>
        </w:rPr>
        <w:t>8</w:t>
      </w:r>
      <w:r w:rsidRPr="00BB5480">
        <w:rPr>
          <w:sz w:val="24"/>
          <w:szCs w:val="24"/>
        </w:rPr>
        <w:t xml:space="preserve">).  In terms of further demographic data, </w:t>
      </w:r>
      <w:r w:rsidR="00141D31" w:rsidRPr="00BB5480">
        <w:rPr>
          <w:sz w:val="24"/>
          <w:szCs w:val="24"/>
        </w:rPr>
        <w:t xml:space="preserve">for this and future studies, </w:t>
      </w:r>
      <w:r w:rsidRPr="00BB5480">
        <w:rPr>
          <w:sz w:val="24"/>
          <w:szCs w:val="24"/>
        </w:rPr>
        <w:t xml:space="preserve">information related to different categories are presented if more than 5% of participants fall into that category. In terms of geographical location: UK (75%), </w:t>
      </w:r>
      <w:r w:rsidR="00D43BDC" w:rsidRPr="00BB5480">
        <w:rPr>
          <w:sz w:val="24"/>
          <w:szCs w:val="24"/>
        </w:rPr>
        <w:t xml:space="preserve">rest of </w:t>
      </w:r>
      <w:r w:rsidRPr="00BB5480">
        <w:rPr>
          <w:sz w:val="24"/>
          <w:szCs w:val="24"/>
        </w:rPr>
        <w:t>Europe (11%), North America (10%). Regarding ethnicity: White (82%), Mixed (7%), Asian (6%). In terms of highest level of education: GCSE's or A levels (39%), postgraduate degree (29</w:t>
      </w:r>
      <w:r w:rsidR="0005366A" w:rsidRPr="00BB5480">
        <w:rPr>
          <w:sz w:val="24"/>
          <w:szCs w:val="24"/>
        </w:rPr>
        <w:t>%), undergraduate degree (28%).</w:t>
      </w:r>
    </w:p>
    <w:p w14:paraId="06C14F8E" w14:textId="77777777" w:rsidR="00DA69D9" w:rsidRPr="00BB5480" w:rsidRDefault="0005366A" w:rsidP="0005366A">
      <w:pPr>
        <w:pStyle w:val="BodyTextFirstIndent"/>
        <w:jc w:val="center"/>
        <w:rPr>
          <w:b/>
        </w:rPr>
      </w:pPr>
      <w:r w:rsidRPr="00BB5480">
        <w:rPr>
          <w:b/>
        </w:rPr>
        <w:t>Results</w:t>
      </w:r>
    </w:p>
    <w:p w14:paraId="41159E1A" w14:textId="77777777" w:rsidR="00854F28" w:rsidRPr="00BB5480" w:rsidRDefault="00DA69D9">
      <w:pPr>
        <w:pStyle w:val="BodyTextFirstIndent"/>
      </w:pPr>
      <w:r w:rsidRPr="00BB5480">
        <w:t>The initial Kaiser–Meyer–</w:t>
      </w:r>
      <w:proofErr w:type="spellStart"/>
      <w:r w:rsidRPr="00BB5480">
        <w:t>Olkin</w:t>
      </w:r>
      <w:proofErr w:type="spellEnd"/>
      <w:r w:rsidRPr="00BB5480">
        <w:t xml:space="preserve"> (</w:t>
      </w:r>
      <w:proofErr w:type="spellStart"/>
      <w:r w:rsidRPr="00BB5480">
        <w:t>KMO</w:t>
      </w:r>
      <w:proofErr w:type="spellEnd"/>
      <w:r w:rsidRPr="00BB5480">
        <w:t>) index of sampling adequacy was .</w:t>
      </w:r>
      <w:r w:rsidR="00C330C1" w:rsidRPr="00BB5480">
        <w:t>8</w:t>
      </w:r>
      <w:r w:rsidR="003600CE" w:rsidRPr="00BB5480">
        <w:t>95</w:t>
      </w:r>
      <w:r w:rsidRPr="00BB5480">
        <w:t xml:space="preserve">, indicating that the correlation matrix was suitable for factor analysis. The number of </w:t>
      </w:r>
      <w:r w:rsidR="003600CE" w:rsidRPr="00BB5480">
        <w:t xml:space="preserve">factors with </w:t>
      </w:r>
      <w:r w:rsidRPr="00BB5480">
        <w:t>eigenvalues above 1</w:t>
      </w:r>
      <w:r w:rsidR="003600CE" w:rsidRPr="00BB5480">
        <w:t>.0</w:t>
      </w:r>
      <w:r w:rsidRPr="00BB5480">
        <w:t xml:space="preserve"> was 10. The scree plot was hard to interpret but suggested extracting between 4 and 12 factors. Parallel analysis, using principal axis factoring, suggested extracting 10 factors, while parallel analysis using principal components analysis suggested extracting 7. Although no clear pattern emerged, 10 factors were initially extracted. Following this</w:t>
      </w:r>
      <w:r w:rsidR="00945899" w:rsidRPr="00BB5480">
        <w:t>,</w:t>
      </w:r>
      <w:r w:rsidRPr="00BB5480">
        <w:t xml:space="preserve"> in keeping with the construction of the </w:t>
      </w:r>
      <w:proofErr w:type="spellStart"/>
      <w:r w:rsidRPr="00BB5480">
        <w:t>AAQ</w:t>
      </w:r>
      <w:proofErr w:type="spellEnd"/>
      <w:r w:rsidRPr="00BB5480">
        <w:t>-II, and in order to produce a brief measure</w:t>
      </w:r>
      <w:r w:rsidR="003E046A" w:rsidRPr="00BB5480">
        <w:t>,</w:t>
      </w:r>
      <w:r w:rsidR="00141D31" w:rsidRPr="00BB5480">
        <w:t xml:space="preserve"> </w:t>
      </w:r>
      <w:r w:rsidRPr="00BB5480">
        <w:t>items were removed through several further rounds of exploratory factor analysis</w:t>
      </w:r>
      <w:r w:rsidR="00854F28" w:rsidRPr="00BB5480">
        <w:t xml:space="preserve"> </w:t>
      </w:r>
      <w:r w:rsidR="003B7653" w:rsidRPr="00BB5480">
        <w:t>based on guidelines adapted from Ferguson and Cox (1993). H</w:t>
      </w:r>
      <w:r w:rsidR="00854F28" w:rsidRPr="00BB5480">
        <w:t>ere items were removed and factors deleted depending on the extent to which items loaded on main factors and cross loaded on other factors</w:t>
      </w:r>
      <w:r w:rsidR="00141D31" w:rsidRPr="00BB5480">
        <w:t>.</w:t>
      </w:r>
    </w:p>
    <w:p w14:paraId="755F2907" w14:textId="77777777" w:rsidR="003E45C4" w:rsidRPr="00BB5480" w:rsidRDefault="00DA69D9" w:rsidP="003E45C4">
      <w:pPr>
        <w:pStyle w:val="BodyTextFirstIndent"/>
      </w:pPr>
      <w:r w:rsidRPr="00BB5480">
        <w:t>The final measure consisted of 10 items across 2 factors, named Avoidance (A) and Behavioural Rigidity (B</w:t>
      </w:r>
      <w:r w:rsidR="00F756D6" w:rsidRPr="00BB5480">
        <w:t>R</w:t>
      </w:r>
      <w:r w:rsidRPr="00BB5480">
        <w:t>). In total the 2 factors accounted for 59.18% of the variance. The full scale had an overall Cronbach α coefficient of .8</w:t>
      </w:r>
      <w:r w:rsidR="00C12D97" w:rsidRPr="00BB5480">
        <w:t>6</w:t>
      </w:r>
      <w:r w:rsidRPr="00BB5480">
        <w:t xml:space="preserve">. In terms of the make-up of the 2 factors </w:t>
      </w:r>
      <w:r w:rsidR="00A57974" w:rsidRPr="00BB5480">
        <w:t>individually</w:t>
      </w:r>
      <w:r w:rsidRPr="00BB5480">
        <w:t>, Avoidance (</w:t>
      </w:r>
      <w:r w:rsidR="00856E4B" w:rsidRPr="00BB5480">
        <w:t xml:space="preserve">A: </w:t>
      </w:r>
      <w:r w:rsidRPr="00BB5480">
        <w:t>42.12% of the variance, alpha .</w:t>
      </w:r>
      <w:r w:rsidR="00C12D97" w:rsidRPr="00BB5480">
        <w:t>90</w:t>
      </w:r>
      <w:r w:rsidRPr="00BB5480">
        <w:t xml:space="preserve">), included 7 items describing the avoidance of private internal events or difficult situations that might occasion </w:t>
      </w:r>
      <w:r w:rsidRPr="00BB5480">
        <w:lastRenderedPageBreak/>
        <w:t>them (e.g. “</w:t>
      </w:r>
      <w:r w:rsidRPr="00BB5480">
        <w:rPr>
          <w:rFonts w:cs="Arial"/>
        </w:rPr>
        <w:t>When awkward thoughts occur I try and block them out”)</w:t>
      </w:r>
      <w:r w:rsidRPr="00BB5480">
        <w:t>. The second factor, Behavioural Rigidity (</w:t>
      </w:r>
      <w:r w:rsidR="00856E4B" w:rsidRPr="00BB5480">
        <w:t xml:space="preserve">BR: </w:t>
      </w:r>
      <w:r w:rsidRPr="00BB5480">
        <w:t>17.06% of the variance, alpha .8</w:t>
      </w:r>
      <w:r w:rsidR="00C12D97" w:rsidRPr="00BB5480">
        <w:t>1</w:t>
      </w:r>
      <w:r w:rsidRPr="00BB5480">
        <w:t>), included 3 items, describing doing tasks in a particular order or set pattern (e.g. “</w:t>
      </w:r>
      <w:r w:rsidRPr="00BB5480">
        <w:rPr>
          <w:rFonts w:cs="Arial"/>
        </w:rPr>
        <w:t>I notice I do certain everyday tasks in a particular order”)</w:t>
      </w:r>
      <w:r w:rsidRPr="00BB5480">
        <w:t>.</w:t>
      </w:r>
      <w:r w:rsidR="003E45C4" w:rsidRPr="00BB5480">
        <w:t xml:space="preserve"> </w:t>
      </w:r>
      <w:r w:rsidR="00856E4B" w:rsidRPr="00BB5480">
        <w:t>The factor correlation matrix reported a relationship of .26</w:t>
      </w:r>
      <w:r w:rsidR="00326741" w:rsidRPr="00BB5480">
        <w:t xml:space="preserve"> between the two factors</w:t>
      </w:r>
      <w:r w:rsidR="003E046A" w:rsidRPr="00BB5480">
        <w:t>.</w:t>
      </w:r>
    </w:p>
    <w:p w14:paraId="5EB5ECB9" w14:textId="61610FDB" w:rsidR="006F1D71" w:rsidRPr="00BB5480" w:rsidRDefault="00DA69D9" w:rsidP="00F756D6">
      <w:pPr>
        <w:pStyle w:val="BodyTextFirstIndent"/>
      </w:pPr>
      <w:r w:rsidRPr="00BB5480">
        <w:rPr>
          <w:rFonts w:cs="Arial"/>
          <w:bCs/>
        </w:rPr>
        <w:t xml:space="preserve">Knowing that the measure development process would include </w:t>
      </w:r>
      <w:r w:rsidRPr="00BB5480">
        <w:t>confirmatory factor analysis</w:t>
      </w:r>
      <w:r w:rsidRPr="00BB5480">
        <w:rPr>
          <w:rFonts w:cs="Arial"/>
          <w:bCs/>
        </w:rPr>
        <w:t xml:space="preserve">, </w:t>
      </w:r>
      <w:r w:rsidR="00326741" w:rsidRPr="00BB5480">
        <w:rPr>
          <w:rFonts w:cs="Arial"/>
          <w:bCs/>
        </w:rPr>
        <w:t>one item “</w:t>
      </w:r>
      <w:r w:rsidR="00326741" w:rsidRPr="00BB5480">
        <w:t xml:space="preserve">I am aware I have certain ways of doing things” </w:t>
      </w:r>
      <w:r w:rsidR="00326741" w:rsidRPr="00BB5480">
        <w:rPr>
          <w:rFonts w:cs="Arial"/>
          <w:bCs/>
        </w:rPr>
        <w:t xml:space="preserve">was added to </w:t>
      </w:r>
      <w:r w:rsidRPr="00BB5480">
        <w:t>the three item, second factor</w:t>
      </w:r>
      <w:r w:rsidR="00F756D6" w:rsidRPr="00BB5480">
        <w:t xml:space="preserve"> (BR)</w:t>
      </w:r>
      <w:r w:rsidR="00326741" w:rsidRPr="00BB5480">
        <w:t xml:space="preserve">. This item was </w:t>
      </w:r>
      <w:r w:rsidR="00F756D6" w:rsidRPr="00BB5480">
        <w:t xml:space="preserve">found in the </w:t>
      </w:r>
      <w:r w:rsidR="00116682" w:rsidRPr="00BB5480">
        <w:t xml:space="preserve">original </w:t>
      </w:r>
      <w:proofErr w:type="spellStart"/>
      <w:r w:rsidR="00116682" w:rsidRPr="00BB5480">
        <w:t>EFA</w:t>
      </w:r>
      <w:proofErr w:type="spellEnd"/>
      <w:r w:rsidR="00116682" w:rsidRPr="00BB5480">
        <w:t xml:space="preserve"> of the </w:t>
      </w:r>
      <w:r w:rsidR="00F756D6" w:rsidRPr="00BB5480">
        <w:t>second factor but was later excluded due to its loading on the factor</w:t>
      </w:r>
      <w:r w:rsidRPr="00BB5480">
        <w:t>.</w:t>
      </w:r>
      <w:r w:rsidR="00116682" w:rsidRPr="00BB5480">
        <w:t xml:space="preserve"> </w:t>
      </w:r>
      <w:r w:rsidRPr="00BB5480">
        <w:t xml:space="preserve">The final factor analysis was run again with this item included to see how it performed (it might not have loaded on either factor). </w:t>
      </w:r>
      <w:r w:rsidR="00993E34" w:rsidRPr="00BB5480">
        <w:t xml:space="preserve">In total the 2 factors accounted for 63.38% of the variance. The full scale had an overall Cronbach α coefficient of .85; Avoidance (A: 42.22% of the variance, alpha .90); Behavioural Rigidity (BR: 21.16% of the variance, alpha .82), </w:t>
      </w:r>
      <w:r w:rsidR="00856E4B" w:rsidRPr="00BB5480">
        <w:t xml:space="preserve">and </w:t>
      </w:r>
      <w:r w:rsidR="00A354BA" w:rsidRPr="00BB5480">
        <w:t>a</w:t>
      </w:r>
      <w:r w:rsidR="00856E4B" w:rsidRPr="00BB5480">
        <w:t xml:space="preserve"> correlation between factors </w:t>
      </w:r>
      <w:r w:rsidR="00A354BA" w:rsidRPr="00BB5480">
        <w:t xml:space="preserve">of </w:t>
      </w:r>
      <w:r w:rsidR="00856E4B" w:rsidRPr="00BB5480">
        <w:t>.22</w:t>
      </w:r>
      <w:r w:rsidRPr="00BB5480">
        <w:t>.</w:t>
      </w:r>
      <w:r w:rsidR="00F756D6" w:rsidRPr="00BB5480">
        <w:t xml:space="preserve"> </w:t>
      </w:r>
      <w:r w:rsidR="003E046A" w:rsidRPr="00BB5480">
        <w:rPr>
          <w:rFonts w:hAnsi="Liberation Serif"/>
          <w:lang w:eastAsia="zh-CN"/>
        </w:rPr>
        <w:t>Table 1 shows the factor loadings for both the 10 and 11 item versions of the Everyday Psychological Inflexibility Checklist (EPIC), it also includes information on variance explained</w:t>
      </w:r>
      <w:r w:rsidR="007B0E9B" w:rsidRPr="00BB5480">
        <w:rPr>
          <w:rFonts w:hAnsi="Liberation Serif"/>
          <w:lang w:eastAsia="zh-CN"/>
        </w:rPr>
        <w:t xml:space="preserve"> and</w:t>
      </w:r>
      <w:r w:rsidR="003E046A" w:rsidRPr="00BB5480">
        <w:rPr>
          <w:rFonts w:hAnsi="Liberation Serif"/>
          <w:lang w:eastAsia="zh-CN"/>
        </w:rPr>
        <w:t xml:space="preserve"> reliability.</w:t>
      </w:r>
      <w:r w:rsidR="006F1D71" w:rsidRPr="00BB5480">
        <w:br w:type="page"/>
      </w:r>
      <w:r w:rsidR="006F1D71" w:rsidRPr="00BB5480">
        <w:rPr>
          <w:rFonts w:hAnsi="Liberation Serif"/>
          <w:lang w:eastAsia="zh-CN"/>
        </w:rPr>
        <w:lastRenderedPageBreak/>
        <w:t xml:space="preserve">Table 1. Factor loadings for exploratory factor analysis with oblique rotation of two </w:t>
      </w:r>
      <w:r w:rsidR="00AB3019" w:rsidRPr="00BB5480">
        <w:rPr>
          <w:rFonts w:hAnsi="Liberation Serif"/>
          <w:lang w:eastAsia="zh-CN"/>
        </w:rPr>
        <w:t xml:space="preserve">initial </w:t>
      </w:r>
      <w:r w:rsidR="006F1D71" w:rsidRPr="00BB5480">
        <w:rPr>
          <w:rFonts w:hAnsi="Liberation Serif"/>
          <w:lang w:eastAsia="zh-CN"/>
        </w:rPr>
        <w:t>variations of the Everyday Psychological Inflexibility Checklist (EPIC), also including information on variance explained</w:t>
      </w:r>
      <w:r w:rsidR="005A500B" w:rsidRPr="00BB5480">
        <w:rPr>
          <w:rFonts w:hAnsi="Liberation Serif"/>
          <w:lang w:eastAsia="zh-CN"/>
        </w:rPr>
        <w:t xml:space="preserve"> and reliability</w:t>
      </w:r>
      <w:r w:rsidR="006F1D71" w:rsidRPr="00BB5480">
        <w:rPr>
          <w:rFonts w:hAnsi="Liberation Serif"/>
          <w:lang w:eastAsia="zh-CN"/>
        </w:rPr>
        <w:t xml:space="preserve"> </w:t>
      </w:r>
      <w:r w:rsidR="002F76C9" w:rsidRPr="00BB5480">
        <w:rPr>
          <w:rFonts w:hAnsi="Liberation Serif"/>
          <w:lang w:eastAsia="zh-CN"/>
        </w:rPr>
        <w:t>(N=274)</w:t>
      </w:r>
      <w:r w:rsidR="006F1D71" w:rsidRPr="00BB5480">
        <w:rPr>
          <w:rFonts w:hAnsi="Liberation Serif"/>
          <w:lang w:eastAsia="zh-CN"/>
        </w:rPr>
        <w:t>.</w:t>
      </w:r>
    </w:p>
    <w:tbl>
      <w:tblPr>
        <w:tblW w:w="5000" w:type="pct"/>
        <w:tblInd w:w="55" w:type="dxa"/>
        <w:tblLayout w:type="fixed"/>
        <w:tblCellMar>
          <w:left w:w="0" w:type="dxa"/>
          <w:right w:w="0" w:type="dxa"/>
        </w:tblCellMar>
        <w:tblLook w:val="0000" w:firstRow="0" w:lastRow="0" w:firstColumn="0" w:lastColumn="0" w:noHBand="0" w:noVBand="0"/>
      </w:tblPr>
      <w:tblGrid>
        <w:gridCol w:w="4306"/>
        <w:gridCol w:w="946"/>
        <w:gridCol w:w="943"/>
        <w:gridCol w:w="943"/>
        <w:gridCol w:w="943"/>
        <w:gridCol w:w="945"/>
      </w:tblGrid>
      <w:tr w:rsidR="00BB5480" w:rsidRPr="00BB5480" w14:paraId="0563841A" w14:textId="77777777" w:rsidTr="003B0484">
        <w:trPr>
          <w:trHeight w:val="268"/>
        </w:trPr>
        <w:tc>
          <w:tcPr>
            <w:tcW w:w="4361" w:type="dxa"/>
            <w:tcBorders>
              <w:top w:val="single" w:sz="20" w:space="0" w:color="000000"/>
              <w:left w:val="nil"/>
              <w:bottom w:val="nil"/>
              <w:right w:val="nil"/>
            </w:tcBorders>
            <w:shd w:val="clear" w:color="auto" w:fill="FFFFFF"/>
            <w:tcMar>
              <w:top w:w="55" w:type="dxa"/>
              <w:left w:w="55" w:type="dxa"/>
              <w:bottom w:w="55" w:type="dxa"/>
              <w:right w:w="55" w:type="dxa"/>
            </w:tcMar>
          </w:tcPr>
          <w:p w14:paraId="044766BA" w14:textId="77777777" w:rsidR="006F1D71" w:rsidRPr="00BB5480" w:rsidRDefault="006F1D71" w:rsidP="006F1D71">
            <w:pPr>
              <w:autoSpaceDN w:val="0"/>
              <w:adjustRightInd w:val="0"/>
              <w:rPr>
                <w:rFonts w:hAnsi="Liberation Serif"/>
                <w:szCs w:val="24"/>
                <w:lang w:eastAsia="zh-CN"/>
              </w:rPr>
            </w:pPr>
          </w:p>
        </w:tc>
        <w:tc>
          <w:tcPr>
            <w:tcW w:w="1911" w:type="dxa"/>
            <w:gridSpan w:val="2"/>
            <w:tcBorders>
              <w:top w:val="single" w:sz="20" w:space="0" w:color="000000"/>
              <w:left w:val="nil"/>
              <w:bottom w:val="single" w:sz="20" w:space="0" w:color="000000"/>
              <w:right w:val="nil"/>
            </w:tcBorders>
            <w:shd w:val="clear" w:color="auto" w:fill="FFFFFF"/>
            <w:tcMar>
              <w:top w:w="55" w:type="dxa"/>
              <w:left w:w="55" w:type="dxa"/>
              <w:bottom w:w="55" w:type="dxa"/>
              <w:right w:w="55" w:type="dxa"/>
            </w:tcMar>
            <w:vAlign w:val="center"/>
          </w:tcPr>
          <w:p w14:paraId="423CA82A"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10 item</w:t>
            </w:r>
          </w:p>
        </w:tc>
        <w:tc>
          <w:tcPr>
            <w:tcW w:w="954" w:type="dxa"/>
            <w:tcBorders>
              <w:top w:val="single" w:sz="20" w:space="0" w:color="000000"/>
              <w:left w:val="nil"/>
              <w:bottom w:val="nil"/>
              <w:right w:val="nil"/>
            </w:tcBorders>
            <w:tcMar>
              <w:top w:w="55" w:type="dxa"/>
              <w:left w:w="55" w:type="dxa"/>
              <w:bottom w:w="55" w:type="dxa"/>
              <w:right w:w="55" w:type="dxa"/>
            </w:tcMar>
            <w:vAlign w:val="center"/>
          </w:tcPr>
          <w:p w14:paraId="2C0C2EBF" w14:textId="77777777" w:rsidR="006F1D71" w:rsidRPr="00BB5480" w:rsidRDefault="006F1D71" w:rsidP="006F1D71">
            <w:pPr>
              <w:autoSpaceDN w:val="0"/>
              <w:adjustRightInd w:val="0"/>
              <w:jc w:val="center"/>
              <w:rPr>
                <w:rFonts w:hAnsi="Liberation Serif"/>
                <w:sz w:val="24"/>
                <w:szCs w:val="24"/>
                <w:lang w:eastAsia="zh-CN"/>
              </w:rPr>
            </w:pPr>
          </w:p>
        </w:tc>
        <w:tc>
          <w:tcPr>
            <w:tcW w:w="1910" w:type="dxa"/>
            <w:gridSpan w:val="2"/>
            <w:tcBorders>
              <w:top w:val="single" w:sz="20" w:space="0" w:color="000000"/>
              <w:left w:val="nil"/>
              <w:bottom w:val="single" w:sz="20" w:space="0" w:color="000000"/>
              <w:right w:val="nil"/>
            </w:tcBorders>
            <w:tcMar>
              <w:top w:w="55" w:type="dxa"/>
              <w:left w:w="55" w:type="dxa"/>
              <w:bottom w:w="55" w:type="dxa"/>
              <w:right w:w="55" w:type="dxa"/>
            </w:tcMar>
            <w:vAlign w:val="center"/>
          </w:tcPr>
          <w:p w14:paraId="6A6A26E8"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11 item</w:t>
            </w:r>
          </w:p>
        </w:tc>
      </w:tr>
      <w:tr w:rsidR="00BB5480" w:rsidRPr="00BB5480" w14:paraId="538DC457" w14:textId="77777777" w:rsidTr="003B0484">
        <w:trPr>
          <w:trHeight w:val="268"/>
        </w:trPr>
        <w:tc>
          <w:tcPr>
            <w:tcW w:w="4361" w:type="dxa"/>
            <w:tcBorders>
              <w:top w:val="nil"/>
              <w:left w:val="nil"/>
              <w:bottom w:val="single" w:sz="20" w:space="0" w:color="000000"/>
              <w:right w:val="nil"/>
            </w:tcBorders>
            <w:shd w:val="clear" w:color="auto" w:fill="FFFFFF"/>
            <w:tcMar>
              <w:top w:w="55" w:type="dxa"/>
              <w:left w:w="55" w:type="dxa"/>
              <w:bottom w:w="55" w:type="dxa"/>
              <w:right w:w="55" w:type="dxa"/>
            </w:tcMar>
          </w:tcPr>
          <w:p w14:paraId="55CF898C" w14:textId="77777777" w:rsidR="003B0484" w:rsidRPr="00BB5480" w:rsidRDefault="003B0484" w:rsidP="003B0484">
            <w:pPr>
              <w:autoSpaceDN w:val="0"/>
              <w:adjustRightInd w:val="0"/>
              <w:rPr>
                <w:rFonts w:hAnsi="Liberation Serif"/>
                <w:sz w:val="24"/>
                <w:szCs w:val="24"/>
                <w:lang w:eastAsia="zh-CN"/>
              </w:rPr>
            </w:pPr>
          </w:p>
        </w:tc>
        <w:tc>
          <w:tcPr>
            <w:tcW w:w="957" w:type="dxa"/>
            <w:tcBorders>
              <w:top w:val="nil"/>
              <w:left w:val="nil"/>
              <w:bottom w:val="single" w:sz="20" w:space="0" w:color="000000"/>
              <w:right w:val="nil"/>
            </w:tcBorders>
            <w:shd w:val="clear" w:color="auto" w:fill="FFFFFF"/>
            <w:tcMar>
              <w:top w:w="55" w:type="dxa"/>
              <w:left w:w="55" w:type="dxa"/>
              <w:bottom w:w="55" w:type="dxa"/>
              <w:right w:w="55" w:type="dxa"/>
            </w:tcMar>
            <w:vAlign w:val="center"/>
          </w:tcPr>
          <w:p w14:paraId="15DCB13B" w14:textId="77777777" w:rsidR="003B0484" w:rsidRPr="00BB5480" w:rsidRDefault="003B0484" w:rsidP="003B0484">
            <w:pPr>
              <w:autoSpaceDN w:val="0"/>
              <w:adjustRightInd w:val="0"/>
              <w:jc w:val="center"/>
              <w:rPr>
                <w:rFonts w:hAnsi="Liberation Serif"/>
                <w:b/>
                <w:sz w:val="24"/>
                <w:szCs w:val="24"/>
                <w:lang w:eastAsia="zh-CN"/>
              </w:rPr>
            </w:pPr>
            <w:r w:rsidRPr="00BB5480">
              <w:rPr>
                <w:rFonts w:hAnsi="Liberation Serif"/>
                <w:b/>
                <w:sz w:val="24"/>
                <w:szCs w:val="24"/>
                <w:lang w:eastAsia="zh-CN"/>
              </w:rPr>
              <w:t>A</w:t>
            </w:r>
          </w:p>
        </w:tc>
        <w:tc>
          <w:tcPr>
            <w:tcW w:w="954" w:type="dxa"/>
            <w:tcBorders>
              <w:top w:val="nil"/>
              <w:left w:val="nil"/>
              <w:bottom w:val="single" w:sz="20" w:space="0" w:color="000000"/>
              <w:right w:val="nil"/>
            </w:tcBorders>
            <w:shd w:val="clear" w:color="auto" w:fill="FFFFFF"/>
            <w:tcMar>
              <w:top w:w="55" w:type="dxa"/>
              <w:left w:w="55" w:type="dxa"/>
              <w:bottom w:w="55" w:type="dxa"/>
              <w:right w:w="55" w:type="dxa"/>
            </w:tcMar>
            <w:vAlign w:val="center"/>
          </w:tcPr>
          <w:p w14:paraId="4E87D117" w14:textId="77777777" w:rsidR="003B0484" w:rsidRPr="00BB5480" w:rsidRDefault="003B0484" w:rsidP="003B0484">
            <w:pPr>
              <w:autoSpaceDN w:val="0"/>
              <w:adjustRightInd w:val="0"/>
              <w:jc w:val="center"/>
              <w:rPr>
                <w:rFonts w:hAnsi="Liberation Serif"/>
                <w:b/>
                <w:sz w:val="24"/>
                <w:szCs w:val="24"/>
                <w:lang w:eastAsia="zh-CN"/>
              </w:rPr>
            </w:pPr>
            <w:r w:rsidRPr="00BB5480">
              <w:rPr>
                <w:rFonts w:hAnsi="Liberation Serif"/>
                <w:b/>
                <w:sz w:val="24"/>
                <w:szCs w:val="24"/>
                <w:lang w:eastAsia="zh-CN"/>
              </w:rPr>
              <w:t>BR</w:t>
            </w:r>
          </w:p>
        </w:tc>
        <w:tc>
          <w:tcPr>
            <w:tcW w:w="954" w:type="dxa"/>
            <w:tcBorders>
              <w:top w:val="nil"/>
              <w:left w:val="nil"/>
              <w:bottom w:val="single" w:sz="20" w:space="0" w:color="000000"/>
              <w:right w:val="nil"/>
            </w:tcBorders>
            <w:tcMar>
              <w:top w:w="55" w:type="dxa"/>
              <w:left w:w="55" w:type="dxa"/>
              <w:bottom w:w="55" w:type="dxa"/>
              <w:right w:w="55" w:type="dxa"/>
            </w:tcMar>
            <w:vAlign w:val="center"/>
          </w:tcPr>
          <w:p w14:paraId="4B6D4316" w14:textId="77777777" w:rsidR="003B0484" w:rsidRPr="00BB5480" w:rsidRDefault="003B0484" w:rsidP="003B0484">
            <w:pPr>
              <w:autoSpaceDN w:val="0"/>
              <w:adjustRightInd w:val="0"/>
              <w:jc w:val="center"/>
              <w:rPr>
                <w:rFonts w:hAnsi="Liberation Serif"/>
                <w:b/>
                <w:sz w:val="24"/>
                <w:szCs w:val="24"/>
                <w:lang w:eastAsia="zh-CN"/>
              </w:rPr>
            </w:pPr>
          </w:p>
        </w:tc>
        <w:tc>
          <w:tcPr>
            <w:tcW w:w="954" w:type="dxa"/>
            <w:tcBorders>
              <w:top w:val="nil"/>
              <w:left w:val="nil"/>
              <w:bottom w:val="single" w:sz="20" w:space="0" w:color="000000"/>
              <w:right w:val="nil"/>
            </w:tcBorders>
            <w:tcMar>
              <w:top w:w="55" w:type="dxa"/>
              <w:left w:w="55" w:type="dxa"/>
              <w:bottom w:w="55" w:type="dxa"/>
              <w:right w:w="55" w:type="dxa"/>
            </w:tcMar>
            <w:vAlign w:val="center"/>
          </w:tcPr>
          <w:p w14:paraId="39B373C4" w14:textId="77777777" w:rsidR="003B0484" w:rsidRPr="00BB5480" w:rsidRDefault="003B0484" w:rsidP="003B0484">
            <w:pPr>
              <w:autoSpaceDN w:val="0"/>
              <w:adjustRightInd w:val="0"/>
              <w:jc w:val="center"/>
              <w:rPr>
                <w:rFonts w:hAnsi="Liberation Serif"/>
                <w:b/>
                <w:sz w:val="24"/>
                <w:szCs w:val="24"/>
                <w:lang w:eastAsia="zh-CN"/>
              </w:rPr>
            </w:pPr>
            <w:r w:rsidRPr="00BB5480">
              <w:rPr>
                <w:rFonts w:hAnsi="Liberation Serif"/>
                <w:b/>
                <w:sz w:val="24"/>
                <w:szCs w:val="24"/>
                <w:lang w:eastAsia="zh-CN"/>
              </w:rPr>
              <w:t>A</w:t>
            </w:r>
          </w:p>
        </w:tc>
        <w:tc>
          <w:tcPr>
            <w:tcW w:w="956" w:type="dxa"/>
            <w:tcBorders>
              <w:top w:val="nil"/>
              <w:left w:val="nil"/>
              <w:bottom w:val="single" w:sz="20" w:space="0" w:color="000000"/>
              <w:right w:val="nil"/>
            </w:tcBorders>
            <w:tcMar>
              <w:top w:w="55" w:type="dxa"/>
              <w:left w:w="55" w:type="dxa"/>
              <w:bottom w:w="55" w:type="dxa"/>
              <w:right w:w="55" w:type="dxa"/>
            </w:tcMar>
            <w:vAlign w:val="center"/>
          </w:tcPr>
          <w:p w14:paraId="346CF8B3" w14:textId="77777777" w:rsidR="003B0484" w:rsidRPr="00BB5480" w:rsidRDefault="003B0484" w:rsidP="003B0484">
            <w:pPr>
              <w:autoSpaceDN w:val="0"/>
              <w:adjustRightInd w:val="0"/>
              <w:jc w:val="center"/>
              <w:rPr>
                <w:rFonts w:hAnsi="Liberation Serif"/>
                <w:b/>
                <w:sz w:val="24"/>
                <w:szCs w:val="24"/>
                <w:lang w:eastAsia="zh-CN"/>
              </w:rPr>
            </w:pPr>
            <w:r w:rsidRPr="00BB5480">
              <w:rPr>
                <w:rFonts w:hAnsi="Liberation Serif"/>
                <w:b/>
                <w:sz w:val="24"/>
                <w:szCs w:val="24"/>
                <w:lang w:eastAsia="zh-CN"/>
              </w:rPr>
              <w:t>BR</w:t>
            </w:r>
          </w:p>
        </w:tc>
      </w:tr>
      <w:tr w:rsidR="00BB5480" w:rsidRPr="00BB5480" w14:paraId="5C800A2D"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00B22B3B"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I try to avoid thinking about difficult topics</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4E311FF1"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.87</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4DA35284"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-.02</w:t>
            </w:r>
          </w:p>
        </w:tc>
        <w:tc>
          <w:tcPr>
            <w:tcW w:w="954" w:type="dxa"/>
            <w:tcBorders>
              <w:top w:val="nil"/>
              <w:left w:val="nil"/>
              <w:bottom w:val="nil"/>
              <w:right w:val="nil"/>
            </w:tcBorders>
            <w:tcMar>
              <w:top w:w="55" w:type="dxa"/>
              <w:left w:w="55" w:type="dxa"/>
              <w:bottom w:w="55" w:type="dxa"/>
              <w:right w:w="55" w:type="dxa"/>
            </w:tcMar>
            <w:vAlign w:val="center"/>
          </w:tcPr>
          <w:p w14:paraId="0DA181D3" w14:textId="77777777" w:rsidR="006F1D71" w:rsidRPr="00BB5480" w:rsidRDefault="006F1D71" w:rsidP="006F1D71">
            <w:pPr>
              <w:autoSpaceDN w:val="0"/>
              <w:adjustRightInd w:val="0"/>
              <w:jc w:val="center"/>
              <w:rPr>
                <w:rFonts w:hAnsi="Liberation Serif"/>
                <w:b/>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07FE3666"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.88</w:t>
            </w:r>
          </w:p>
        </w:tc>
        <w:tc>
          <w:tcPr>
            <w:tcW w:w="956" w:type="dxa"/>
            <w:tcBorders>
              <w:top w:val="nil"/>
              <w:left w:val="nil"/>
              <w:bottom w:val="nil"/>
              <w:right w:val="nil"/>
            </w:tcBorders>
            <w:tcMar>
              <w:top w:w="55" w:type="dxa"/>
              <w:left w:w="55" w:type="dxa"/>
              <w:bottom w:w="55" w:type="dxa"/>
              <w:right w:w="55" w:type="dxa"/>
            </w:tcMar>
            <w:vAlign w:val="center"/>
          </w:tcPr>
          <w:p w14:paraId="3E79AA1E"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-.04</w:t>
            </w:r>
          </w:p>
        </w:tc>
      </w:tr>
      <w:tr w:rsidR="00BB5480" w:rsidRPr="00BB5480" w14:paraId="52F6BA1B"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371352EA"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When awkward thoughts occur I try and block them out</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7B60AA6E"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.82</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46772C7B"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.05</w:t>
            </w:r>
          </w:p>
        </w:tc>
        <w:tc>
          <w:tcPr>
            <w:tcW w:w="954" w:type="dxa"/>
            <w:tcBorders>
              <w:top w:val="nil"/>
              <w:left w:val="nil"/>
              <w:bottom w:val="nil"/>
              <w:right w:val="nil"/>
            </w:tcBorders>
            <w:tcMar>
              <w:top w:w="55" w:type="dxa"/>
              <w:left w:w="55" w:type="dxa"/>
              <w:bottom w:w="55" w:type="dxa"/>
              <w:right w:w="55" w:type="dxa"/>
            </w:tcMar>
            <w:vAlign w:val="center"/>
          </w:tcPr>
          <w:p w14:paraId="64F24186" w14:textId="77777777" w:rsidR="006F1D71" w:rsidRPr="00BB5480" w:rsidRDefault="006F1D71" w:rsidP="006F1D71">
            <w:pPr>
              <w:autoSpaceDN w:val="0"/>
              <w:adjustRightInd w:val="0"/>
              <w:jc w:val="center"/>
              <w:rPr>
                <w:rFonts w:hAnsi="Liberation Serif"/>
                <w:b/>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3CC89F86"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.82</w:t>
            </w:r>
          </w:p>
        </w:tc>
        <w:tc>
          <w:tcPr>
            <w:tcW w:w="956" w:type="dxa"/>
            <w:tcBorders>
              <w:top w:val="nil"/>
              <w:left w:val="nil"/>
              <w:bottom w:val="nil"/>
              <w:right w:val="nil"/>
            </w:tcBorders>
            <w:tcMar>
              <w:top w:w="55" w:type="dxa"/>
              <w:left w:w="55" w:type="dxa"/>
              <w:bottom w:w="55" w:type="dxa"/>
              <w:right w:w="55" w:type="dxa"/>
            </w:tcMar>
            <w:vAlign w:val="center"/>
          </w:tcPr>
          <w:p w14:paraId="779CBC75"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.06</w:t>
            </w:r>
          </w:p>
        </w:tc>
      </w:tr>
      <w:tr w:rsidR="00BB5480" w:rsidRPr="00BB5480" w14:paraId="1496AF8E" w14:textId="77777777" w:rsidTr="003B0484">
        <w:trPr>
          <w:trHeight w:val="669"/>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5E4E8356"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If difficult situations come to mind I think about something else</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051158CE"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.78</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05889328"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.01</w:t>
            </w:r>
          </w:p>
        </w:tc>
        <w:tc>
          <w:tcPr>
            <w:tcW w:w="954" w:type="dxa"/>
            <w:tcBorders>
              <w:top w:val="nil"/>
              <w:left w:val="nil"/>
              <w:bottom w:val="nil"/>
              <w:right w:val="nil"/>
            </w:tcBorders>
            <w:tcMar>
              <w:top w:w="55" w:type="dxa"/>
              <w:left w:w="55" w:type="dxa"/>
              <w:bottom w:w="55" w:type="dxa"/>
              <w:right w:w="55" w:type="dxa"/>
            </w:tcMar>
            <w:vAlign w:val="center"/>
          </w:tcPr>
          <w:p w14:paraId="63822179" w14:textId="77777777" w:rsidR="006F1D71" w:rsidRPr="00BB5480" w:rsidRDefault="006F1D71" w:rsidP="006F1D71">
            <w:pPr>
              <w:autoSpaceDN w:val="0"/>
              <w:adjustRightInd w:val="0"/>
              <w:jc w:val="center"/>
              <w:rPr>
                <w:rFonts w:hAnsi="Liberation Serif"/>
                <w:b/>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124B04CA"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.78</w:t>
            </w:r>
          </w:p>
        </w:tc>
        <w:tc>
          <w:tcPr>
            <w:tcW w:w="956" w:type="dxa"/>
            <w:tcBorders>
              <w:top w:val="nil"/>
              <w:left w:val="nil"/>
              <w:bottom w:val="nil"/>
              <w:right w:val="nil"/>
            </w:tcBorders>
            <w:tcMar>
              <w:top w:w="55" w:type="dxa"/>
              <w:left w:w="55" w:type="dxa"/>
              <w:bottom w:w="55" w:type="dxa"/>
              <w:right w:w="55" w:type="dxa"/>
            </w:tcMar>
            <w:vAlign w:val="center"/>
          </w:tcPr>
          <w:p w14:paraId="63036716"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.01</w:t>
            </w:r>
          </w:p>
        </w:tc>
      </w:tr>
      <w:tr w:rsidR="00BB5480" w:rsidRPr="00BB5480" w14:paraId="4CF65C38"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73D99806"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If my mind starts thinking about something difficult I try to distract myself</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7DAA1C48"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.76</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020BEAF9"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-.02</w:t>
            </w:r>
          </w:p>
        </w:tc>
        <w:tc>
          <w:tcPr>
            <w:tcW w:w="954" w:type="dxa"/>
            <w:tcBorders>
              <w:top w:val="nil"/>
              <w:left w:val="nil"/>
              <w:bottom w:val="nil"/>
              <w:right w:val="nil"/>
            </w:tcBorders>
            <w:tcMar>
              <w:top w:w="55" w:type="dxa"/>
              <w:left w:w="55" w:type="dxa"/>
              <w:bottom w:w="55" w:type="dxa"/>
              <w:right w:w="55" w:type="dxa"/>
            </w:tcMar>
            <w:vAlign w:val="center"/>
          </w:tcPr>
          <w:p w14:paraId="1E420CD4" w14:textId="77777777" w:rsidR="006F1D71" w:rsidRPr="00BB5480" w:rsidRDefault="006F1D71" w:rsidP="006F1D71">
            <w:pPr>
              <w:autoSpaceDN w:val="0"/>
              <w:adjustRightInd w:val="0"/>
              <w:jc w:val="center"/>
              <w:rPr>
                <w:rFonts w:hAnsi="Liberation Serif"/>
                <w:b/>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66F2E799"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.76</w:t>
            </w:r>
          </w:p>
        </w:tc>
        <w:tc>
          <w:tcPr>
            <w:tcW w:w="956" w:type="dxa"/>
            <w:tcBorders>
              <w:top w:val="nil"/>
              <w:left w:val="nil"/>
              <w:bottom w:val="nil"/>
              <w:right w:val="nil"/>
            </w:tcBorders>
            <w:tcMar>
              <w:top w:w="55" w:type="dxa"/>
              <w:left w:w="55" w:type="dxa"/>
              <w:bottom w:w="55" w:type="dxa"/>
              <w:right w:w="55" w:type="dxa"/>
            </w:tcMar>
            <w:vAlign w:val="center"/>
          </w:tcPr>
          <w:p w14:paraId="0FABCD79"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-.04</w:t>
            </w:r>
          </w:p>
        </w:tc>
      </w:tr>
      <w:tr w:rsidR="00BB5480" w:rsidRPr="00BB5480" w14:paraId="0C639142"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223CB234"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In my personal life I steer clear of conversations that I find difficult</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0D8D30E9"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.68</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7C9A2113"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.05</w:t>
            </w:r>
          </w:p>
        </w:tc>
        <w:tc>
          <w:tcPr>
            <w:tcW w:w="954" w:type="dxa"/>
            <w:tcBorders>
              <w:top w:val="nil"/>
              <w:left w:val="nil"/>
              <w:bottom w:val="nil"/>
              <w:right w:val="nil"/>
            </w:tcBorders>
            <w:tcMar>
              <w:top w:w="55" w:type="dxa"/>
              <w:left w:w="55" w:type="dxa"/>
              <w:bottom w:w="55" w:type="dxa"/>
              <w:right w:w="55" w:type="dxa"/>
            </w:tcMar>
            <w:vAlign w:val="center"/>
          </w:tcPr>
          <w:p w14:paraId="3FF3CC37" w14:textId="77777777" w:rsidR="006F1D71" w:rsidRPr="00BB5480" w:rsidRDefault="006F1D71" w:rsidP="006F1D71">
            <w:pPr>
              <w:autoSpaceDN w:val="0"/>
              <w:adjustRightInd w:val="0"/>
              <w:jc w:val="center"/>
              <w:rPr>
                <w:rFonts w:hAnsi="Liberation Serif"/>
                <w:b/>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06EE2CA1"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.68</w:t>
            </w:r>
          </w:p>
        </w:tc>
        <w:tc>
          <w:tcPr>
            <w:tcW w:w="956" w:type="dxa"/>
            <w:tcBorders>
              <w:top w:val="nil"/>
              <w:left w:val="nil"/>
              <w:bottom w:val="nil"/>
              <w:right w:val="nil"/>
            </w:tcBorders>
            <w:tcMar>
              <w:top w:w="55" w:type="dxa"/>
              <w:left w:w="55" w:type="dxa"/>
              <w:bottom w:w="55" w:type="dxa"/>
              <w:right w:w="55" w:type="dxa"/>
            </w:tcMar>
            <w:vAlign w:val="center"/>
          </w:tcPr>
          <w:p w14:paraId="7A32DD5F"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.07</w:t>
            </w:r>
          </w:p>
        </w:tc>
      </w:tr>
      <w:tr w:rsidR="00BB5480" w:rsidRPr="00BB5480" w14:paraId="61607BBB"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62C83B4F"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I try and avoid having to make difficult decisions</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36983797"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.67</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0899794B"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-.09</w:t>
            </w:r>
          </w:p>
        </w:tc>
        <w:tc>
          <w:tcPr>
            <w:tcW w:w="954" w:type="dxa"/>
            <w:tcBorders>
              <w:top w:val="nil"/>
              <w:left w:val="nil"/>
              <w:bottom w:val="nil"/>
              <w:right w:val="nil"/>
            </w:tcBorders>
            <w:tcMar>
              <w:top w:w="55" w:type="dxa"/>
              <w:left w:w="55" w:type="dxa"/>
              <w:bottom w:w="55" w:type="dxa"/>
              <w:right w:w="55" w:type="dxa"/>
            </w:tcMar>
            <w:vAlign w:val="center"/>
          </w:tcPr>
          <w:p w14:paraId="02CEF922" w14:textId="77777777" w:rsidR="006F1D71" w:rsidRPr="00BB5480" w:rsidRDefault="006F1D71" w:rsidP="006F1D71">
            <w:pPr>
              <w:autoSpaceDN w:val="0"/>
              <w:adjustRightInd w:val="0"/>
              <w:jc w:val="center"/>
              <w:rPr>
                <w:rFonts w:hAnsi="Liberation Serif"/>
                <w:b/>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59383A62"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.66</w:t>
            </w:r>
          </w:p>
        </w:tc>
        <w:tc>
          <w:tcPr>
            <w:tcW w:w="956" w:type="dxa"/>
            <w:tcBorders>
              <w:top w:val="nil"/>
              <w:left w:val="nil"/>
              <w:bottom w:val="nil"/>
              <w:right w:val="nil"/>
            </w:tcBorders>
            <w:tcMar>
              <w:top w:w="55" w:type="dxa"/>
              <w:left w:w="55" w:type="dxa"/>
              <w:bottom w:w="55" w:type="dxa"/>
              <w:right w:w="55" w:type="dxa"/>
            </w:tcMar>
            <w:vAlign w:val="center"/>
          </w:tcPr>
          <w:p w14:paraId="5D24A1CF" w14:textId="77777777" w:rsidR="006F1D71" w:rsidRPr="00BB5480" w:rsidRDefault="00901A2D" w:rsidP="00901A2D">
            <w:pPr>
              <w:autoSpaceDN w:val="0"/>
              <w:adjustRightInd w:val="0"/>
              <w:jc w:val="center"/>
              <w:rPr>
                <w:rFonts w:hAnsi="Liberation Serif"/>
                <w:szCs w:val="24"/>
                <w:lang w:eastAsia="zh-CN"/>
              </w:rPr>
            </w:pPr>
            <w:r w:rsidRPr="00BB5480">
              <w:rPr>
                <w:rFonts w:hAnsi="Liberation Serif"/>
                <w:sz w:val="24"/>
                <w:szCs w:val="24"/>
                <w:lang w:eastAsia="zh-CN"/>
              </w:rPr>
              <w:t>-</w:t>
            </w:r>
            <w:r w:rsidR="006F1D71" w:rsidRPr="00BB5480">
              <w:rPr>
                <w:rFonts w:hAnsi="Liberation Serif"/>
                <w:sz w:val="24"/>
                <w:szCs w:val="24"/>
                <w:lang w:eastAsia="zh-CN"/>
              </w:rPr>
              <w:t>.0</w:t>
            </w:r>
            <w:r w:rsidRPr="00BB5480">
              <w:rPr>
                <w:rFonts w:hAnsi="Liberation Serif"/>
                <w:sz w:val="24"/>
                <w:szCs w:val="24"/>
                <w:lang w:eastAsia="zh-CN"/>
              </w:rPr>
              <w:t>8</w:t>
            </w:r>
          </w:p>
        </w:tc>
      </w:tr>
      <w:tr w:rsidR="00BB5480" w:rsidRPr="00BB5480" w14:paraId="77968721"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4D77A699"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I try not to bring up topics that might be awkward</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023F2A7B"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.66</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4C4D5D91"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.05</w:t>
            </w:r>
          </w:p>
        </w:tc>
        <w:tc>
          <w:tcPr>
            <w:tcW w:w="954" w:type="dxa"/>
            <w:tcBorders>
              <w:top w:val="nil"/>
              <w:left w:val="nil"/>
              <w:bottom w:val="nil"/>
              <w:right w:val="nil"/>
            </w:tcBorders>
            <w:tcMar>
              <w:top w:w="55" w:type="dxa"/>
              <w:left w:w="55" w:type="dxa"/>
              <w:bottom w:w="55" w:type="dxa"/>
              <w:right w:w="55" w:type="dxa"/>
            </w:tcMar>
            <w:vAlign w:val="center"/>
          </w:tcPr>
          <w:p w14:paraId="4F0B55F3" w14:textId="77777777" w:rsidR="006F1D71" w:rsidRPr="00BB5480" w:rsidRDefault="006F1D71" w:rsidP="006F1D71">
            <w:pPr>
              <w:autoSpaceDN w:val="0"/>
              <w:adjustRightInd w:val="0"/>
              <w:jc w:val="center"/>
              <w:rPr>
                <w:rFonts w:hAnsi="Liberation Serif"/>
                <w:b/>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00ED26B2"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.66</w:t>
            </w:r>
          </w:p>
        </w:tc>
        <w:tc>
          <w:tcPr>
            <w:tcW w:w="956" w:type="dxa"/>
            <w:tcBorders>
              <w:top w:val="nil"/>
              <w:left w:val="nil"/>
              <w:bottom w:val="nil"/>
              <w:right w:val="nil"/>
            </w:tcBorders>
            <w:tcMar>
              <w:top w:w="55" w:type="dxa"/>
              <w:left w:w="55" w:type="dxa"/>
              <w:bottom w:w="55" w:type="dxa"/>
              <w:right w:w="55" w:type="dxa"/>
            </w:tcMar>
            <w:vAlign w:val="center"/>
          </w:tcPr>
          <w:p w14:paraId="24F21EDB" w14:textId="77777777" w:rsidR="006F1D71" w:rsidRPr="00BB5480" w:rsidRDefault="006F1D71" w:rsidP="00901A2D">
            <w:pPr>
              <w:autoSpaceDN w:val="0"/>
              <w:adjustRightInd w:val="0"/>
              <w:jc w:val="center"/>
              <w:rPr>
                <w:rFonts w:hAnsi="Liberation Serif"/>
                <w:szCs w:val="24"/>
                <w:lang w:eastAsia="zh-CN"/>
              </w:rPr>
            </w:pPr>
            <w:r w:rsidRPr="00BB5480">
              <w:rPr>
                <w:rFonts w:hAnsi="Liberation Serif"/>
                <w:sz w:val="24"/>
                <w:szCs w:val="24"/>
                <w:lang w:eastAsia="zh-CN"/>
              </w:rPr>
              <w:t>.0</w:t>
            </w:r>
            <w:r w:rsidR="00901A2D" w:rsidRPr="00BB5480">
              <w:rPr>
                <w:rFonts w:hAnsi="Liberation Serif"/>
                <w:sz w:val="24"/>
                <w:szCs w:val="24"/>
                <w:lang w:eastAsia="zh-CN"/>
              </w:rPr>
              <w:t>6</w:t>
            </w:r>
          </w:p>
        </w:tc>
      </w:tr>
      <w:tr w:rsidR="00BB5480" w:rsidRPr="00BB5480" w14:paraId="374FA661"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64CB04F2"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Although I have never been told to I find I perform certain tasks in a set order</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5B899533"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-.05</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482DA4D6"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.93</w:t>
            </w:r>
          </w:p>
        </w:tc>
        <w:tc>
          <w:tcPr>
            <w:tcW w:w="954" w:type="dxa"/>
            <w:tcBorders>
              <w:top w:val="nil"/>
              <w:left w:val="nil"/>
              <w:bottom w:val="nil"/>
              <w:right w:val="nil"/>
            </w:tcBorders>
            <w:tcMar>
              <w:top w:w="55" w:type="dxa"/>
              <w:left w:w="55" w:type="dxa"/>
              <w:bottom w:w="55" w:type="dxa"/>
              <w:right w:w="55" w:type="dxa"/>
            </w:tcMar>
            <w:vAlign w:val="center"/>
          </w:tcPr>
          <w:p w14:paraId="1A198162"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5F8545B2"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.01</w:t>
            </w:r>
          </w:p>
        </w:tc>
        <w:tc>
          <w:tcPr>
            <w:tcW w:w="956" w:type="dxa"/>
            <w:tcBorders>
              <w:top w:val="nil"/>
              <w:left w:val="nil"/>
              <w:bottom w:val="nil"/>
              <w:right w:val="nil"/>
            </w:tcBorders>
            <w:tcMar>
              <w:top w:w="55" w:type="dxa"/>
              <w:left w:w="55" w:type="dxa"/>
              <w:bottom w:w="55" w:type="dxa"/>
              <w:right w:w="55" w:type="dxa"/>
            </w:tcMar>
            <w:vAlign w:val="center"/>
          </w:tcPr>
          <w:p w14:paraId="16CFA73E"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.86</w:t>
            </w:r>
          </w:p>
        </w:tc>
      </w:tr>
      <w:tr w:rsidR="00BB5480" w:rsidRPr="00BB5480" w14:paraId="357B6619"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05AE9B34"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I notice I do certain everyday tasks in a particular order</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1684C3B4"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-.07</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7E549180"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.87</w:t>
            </w:r>
          </w:p>
        </w:tc>
        <w:tc>
          <w:tcPr>
            <w:tcW w:w="954" w:type="dxa"/>
            <w:tcBorders>
              <w:top w:val="nil"/>
              <w:left w:val="nil"/>
              <w:bottom w:val="nil"/>
              <w:right w:val="nil"/>
            </w:tcBorders>
            <w:tcMar>
              <w:top w:w="55" w:type="dxa"/>
              <w:left w:w="55" w:type="dxa"/>
              <w:bottom w:w="55" w:type="dxa"/>
              <w:right w:w="55" w:type="dxa"/>
            </w:tcMar>
            <w:vAlign w:val="center"/>
          </w:tcPr>
          <w:p w14:paraId="0D5ED5C9"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0A3C4448"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-.03</w:t>
            </w:r>
          </w:p>
        </w:tc>
        <w:tc>
          <w:tcPr>
            <w:tcW w:w="956" w:type="dxa"/>
            <w:tcBorders>
              <w:top w:val="nil"/>
              <w:left w:val="nil"/>
              <w:bottom w:val="nil"/>
              <w:right w:val="nil"/>
            </w:tcBorders>
            <w:tcMar>
              <w:top w:w="55" w:type="dxa"/>
              <w:left w:w="55" w:type="dxa"/>
              <w:bottom w:w="55" w:type="dxa"/>
              <w:right w:w="55" w:type="dxa"/>
            </w:tcMar>
            <w:vAlign w:val="center"/>
          </w:tcPr>
          <w:p w14:paraId="451443D7"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.86</w:t>
            </w:r>
          </w:p>
        </w:tc>
      </w:tr>
      <w:tr w:rsidR="00BB5480" w:rsidRPr="00BB5480" w14:paraId="691ECC2D"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5A08A280"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I find I follow rigid patterns when doing some tasks</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184EE50A"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.13</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25B570A0"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.54</w:t>
            </w:r>
          </w:p>
        </w:tc>
        <w:tc>
          <w:tcPr>
            <w:tcW w:w="954" w:type="dxa"/>
            <w:tcBorders>
              <w:top w:val="nil"/>
              <w:left w:val="nil"/>
              <w:bottom w:val="nil"/>
              <w:right w:val="nil"/>
            </w:tcBorders>
            <w:tcMar>
              <w:top w:w="55" w:type="dxa"/>
              <w:left w:w="55" w:type="dxa"/>
              <w:bottom w:w="55" w:type="dxa"/>
              <w:right w:w="55" w:type="dxa"/>
            </w:tcMar>
            <w:vAlign w:val="center"/>
          </w:tcPr>
          <w:p w14:paraId="3CAE623F"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08FBE69A"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.15</w:t>
            </w:r>
          </w:p>
        </w:tc>
        <w:tc>
          <w:tcPr>
            <w:tcW w:w="956" w:type="dxa"/>
            <w:tcBorders>
              <w:top w:val="nil"/>
              <w:left w:val="nil"/>
              <w:bottom w:val="nil"/>
              <w:right w:val="nil"/>
            </w:tcBorders>
            <w:tcMar>
              <w:top w:w="55" w:type="dxa"/>
              <w:left w:w="55" w:type="dxa"/>
              <w:bottom w:w="55" w:type="dxa"/>
              <w:right w:w="55" w:type="dxa"/>
            </w:tcMar>
            <w:vAlign w:val="center"/>
          </w:tcPr>
          <w:p w14:paraId="42CA6202"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.59</w:t>
            </w:r>
          </w:p>
        </w:tc>
      </w:tr>
      <w:tr w:rsidR="00BB5480" w:rsidRPr="00BB5480" w14:paraId="476D3F2A"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5D8BD84D"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I am aware I have certain ways of doing things</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58F5E8C6"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6CEFD5DC"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w:t>
            </w:r>
          </w:p>
        </w:tc>
        <w:tc>
          <w:tcPr>
            <w:tcW w:w="954" w:type="dxa"/>
            <w:tcBorders>
              <w:top w:val="nil"/>
              <w:left w:val="nil"/>
              <w:bottom w:val="nil"/>
              <w:right w:val="nil"/>
            </w:tcBorders>
            <w:tcMar>
              <w:top w:w="55" w:type="dxa"/>
              <w:left w:w="55" w:type="dxa"/>
              <w:bottom w:w="55" w:type="dxa"/>
              <w:right w:w="55" w:type="dxa"/>
            </w:tcMar>
            <w:vAlign w:val="center"/>
          </w:tcPr>
          <w:p w14:paraId="47EC4245"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4DB739E4"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-.07</w:t>
            </w:r>
          </w:p>
        </w:tc>
        <w:tc>
          <w:tcPr>
            <w:tcW w:w="956" w:type="dxa"/>
            <w:tcBorders>
              <w:top w:val="nil"/>
              <w:left w:val="nil"/>
              <w:bottom w:val="nil"/>
              <w:right w:val="nil"/>
            </w:tcBorders>
            <w:tcMar>
              <w:top w:w="55" w:type="dxa"/>
              <w:left w:w="55" w:type="dxa"/>
              <w:bottom w:w="55" w:type="dxa"/>
              <w:right w:w="55" w:type="dxa"/>
            </w:tcMar>
            <w:vAlign w:val="center"/>
          </w:tcPr>
          <w:p w14:paraId="0934BE17"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b/>
                <w:sz w:val="24"/>
                <w:szCs w:val="24"/>
                <w:lang w:eastAsia="zh-CN"/>
              </w:rPr>
              <w:t>.54</w:t>
            </w:r>
          </w:p>
        </w:tc>
      </w:tr>
      <w:tr w:rsidR="00BB5480" w:rsidRPr="00BB5480" w14:paraId="01FE30EF"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451CFAAF" w14:textId="77777777" w:rsidR="006F1D71" w:rsidRPr="00BB5480" w:rsidRDefault="006F1D71" w:rsidP="006F1D71">
            <w:pPr>
              <w:autoSpaceDN w:val="0"/>
              <w:adjustRightInd w:val="0"/>
              <w:rPr>
                <w:rFonts w:hAnsi="Liberation Serif"/>
                <w:sz w:val="24"/>
                <w:szCs w:val="24"/>
                <w:lang w:eastAsia="zh-CN"/>
              </w:rPr>
            </w:pP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03C9EFE8"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75055312"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6850D7CB"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00736323" w14:textId="77777777" w:rsidR="006F1D71" w:rsidRPr="00BB5480" w:rsidRDefault="006F1D71" w:rsidP="006F1D71">
            <w:pPr>
              <w:autoSpaceDN w:val="0"/>
              <w:adjustRightInd w:val="0"/>
              <w:jc w:val="center"/>
              <w:rPr>
                <w:rFonts w:hAnsi="Liberation Serif"/>
                <w:sz w:val="24"/>
                <w:szCs w:val="24"/>
                <w:lang w:eastAsia="zh-CN"/>
              </w:rPr>
            </w:pPr>
          </w:p>
        </w:tc>
        <w:tc>
          <w:tcPr>
            <w:tcW w:w="956" w:type="dxa"/>
            <w:tcBorders>
              <w:top w:val="nil"/>
              <w:left w:val="nil"/>
              <w:bottom w:val="nil"/>
              <w:right w:val="nil"/>
            </w:tcBorders>
            <w:tcMar>
              <w:top w:w="55" w:type="dxa"/>
              <w:left w:w="55" w:type="dxa"/>
              <w:bottom w:w="55" w:type="dxa"/>
              <w:right w:w="55" w:type="dxa"/>
            </w:tcMar>
            <w:vAlign w:val="center"/>
          </w:tcPr>
          <w:p w14:paraId="65AEE7C4" w14:textId="77777777" w:rsidR="006F1D71" w:rsidRPr="00BB5480" w:rsidRDefault="006F1D71" w:rsidP="006F1D71">
            <w:pPr>
              <w:autoSpaceDN w:val="0"/>
              <w:adjustRightInd w:val="0"/>
              <w:jc w:val="center"/>
              <w:rPr>
                <w:rFonts w:hAnsi="Liberation Serif"/>
                <w:sz w:val="24"/>
                <w:szCs w:val="24"/>
                <w:lang w:eastAsia="zh-CN"/>
              </w:rPr>
            </w:pPr>
          </w:p>
        </w:tc>
      </w:tr>
      <w:tr w:rsidR="00BB5480" w:rsidRPr="00BB5480" w14:paraId="2A39E275"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0FA800E4"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 explained variance</w:t>
            </w: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3B36E9EC"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42.12</w:t>
            </w: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44B8CAF7"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17.06</w:t>
            </w:r>
          </w:p>
        </w:tc>
        <w:tc>
          <w:tcPr>
            <w:tcW w:w="954" w:type="dxa"/>
            <w:tcBorders>
              <w:top w:val="nil"/>
              <w:left w:val="nil"/>
              <w:bottom w:val="nil"/>
              <w:right w:val="nil"/>
            </w:tcBorders>
            <w:tcMar>
              <w:top w:w="55" w:type="dxa"/>
              <w:left w:w="55" w:type="dxa"/>
              <w:bottom w:w="55" w:type="dxa"/>
              <w:right w:w="55" w:type="dxa"/>
            </w:tcMar>
            <w:vAlign w:val="center"/>
          </w:tcPr>
          <w:p w14:paraId="004F4378"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7BDC0EFC"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42.22</w:t>
            </w:r>
          </w:p>
        </w:tc>
        <w:tc>
          <w:tcPr>
            <w:tcW w:w="956" w:type="dxa"/>
            <w:tcBorders>
              <w:top w:val="nil"/>
              <w:left w:val="nil"/>
              <w:bottom w:val="nil"/>
              <w:right w:val="nil"/>
            </w:tcBorders>
            <w:tcMar>
              <w:top w:w="55" w:type="dxa"/>
              <w:left w:w="55" w:type="dxa"/>
              <w:bottom w:w="55" w:type="dxa"/>
              <w:right w:w="55" w:type="dxa"/>
            </w:tcMar>
            <w:vAlign w:val="center"/>
          </w:tcPr>
          <w:p w14:paraId="4437C2D3"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21.16</w:t>
            </w:r>
          </w:p>
        </w:tc>
      </w:tr>
      <w:tr w:rsidR="00BB5480" w:rsidRPr="00BB5480" w14:paraId="554A707E" w14:textId="77777777" w:rsidTr="003B0484">
        <w:trPr>
          <w:trHeight w:val="268"/>
        </w:trPr>
        <w:tc>
          <w:tcPr>
            <w:tcW w:w="4361" w:type="dxa"/>
            <w:tcBorders>
              <w:top w:val="nil"/>
              <w:left w:val="nil"/>
              <w:bottom w:val="nil"/>
              <w:right w:val="nil"/>
            </w:tcBorders>
            <w:shd w:val="clear" w:color="auto" w:fill="FFFFFF"/>
            <w:tcMar>
              <w:top w:w="55" w:type="dxa"/>
              <w:left w:w="55" w:type="dxa"/>
              <w:bottom w:w="55" w:type="dxa"/>
              <w:right w:w="55" w:type="dxa"/>
            </w:tcMar>
            <w:vAlign w:val="center"/>
          </w:tcPr>
          <w:p w14:paraId="09B17920" w14:textId="77777777" w:rsidR="006F1D71" w:rsidRPr="00BB5480" w:rsidRDefault="006F1D71" w:rsidP="006F1D71">
            <w:pPr>
              <w:autoSpaceDN w:val="0"/>
              <w:adjustRightInd w:val="0"/>
              <w:rPr>
                <w:rFonts w:hAnsi="Liberation Serif"/>
                <w:sz w:val="24"/>
                <w:szCs w:val="24"/>
                <w:lang w:eastAsia="zh-CN"/>
              </w:rPr>
            </w:pPr>
          </w:p>
        </w:tc>
        <w:tc>
          <w:tcPr>
            <w:tcW w:w="957" w:type="dxa"/>
            <w:tcBorders>
              <w:top w:val="nil"/>
              <w:left w:val="nil"/>
              <w:bottom w:val="nil"/>
              <w:right w:val="nil"/>
            </w:tcBorders>
            <w:shd w:val="clear" w:color="auto" w:fill="FFFFFF"/>
            <w:tcMar>
              <w:top w:w="55" w:type="dxa"/>
              <w:left w:w="55" w:type="dxa"/>
              <w:bottom w:w="55" w:type="dxa"/>
              <w:right w:w="55" w:type="dxa"/>
            </w:tcMar>
            <w:vAlign w:val="center"/>
          </w:tcPr>
          <w:p w14:paraId="78807333"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nil"/>
              <w:right w:val="nil"/>
            </w:tcBorders>
            <w:shd w:val="clear" w:color="auto" w:fill="FFFFFF"/>
            <w:tcMar>
              <w:top w:w="55" w:type="dxa"/>
              <w:left w:w="55" w:type="dxa"/>
              <w:bottom w:w="55" w:type="dxa"/>
              <w:right w:w="55" w:type="dxa"/>
            </w:tcMar>
            <w:vAlign w:val="center"/>
          </w:tcPr>
          <w:p w14:paraId="72D05CAB"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3E7FF0C0"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nil"/>
              <w:right w:val="nil"/>
            </w:tcBorders>
            <w:tcMar>
              <w:top w:w="55" w:type="dxa"/>
              <w:left w:w="55" w:type="dxa"/>
              <w:bottom w:w="55" w:type="dxa"/>
              <w:right w:w="55" w:type="dxa"/>
            </w:tcMar>
            <w:vAlign w:val="center"/>
          </w:tcPr>
          <w:p w14:paraId="4D43CD7E" w14:textId="77777777" w:rsidR="006F1D71" w:rsidRPr="00BB5480" w:rsidRDefault="006F1D71" w:rsidP="006F1D71">
            <w:pPr>
              <w:autoSpaceDN w:val="0"/>
              <w:adjustRightInd w:val="0"/>
              <w:jc w:val="center"/>
              <w:rPr>
                <w:rFonts w:hAnsi="Liberation Serif"/>
                <w:sz w:val="24"/>
                <w:szCs w:val="24"/>
                <w:lang w:eastAsia="zh-CN"/>
              </w:rPr>
            </w:pPr>
          </w:p>
        </w:tc>
        <w:tc>
          <w:tcPr>
            <w:tcW w:w="956" w:type="dxa"/>
            <w:tcBorders>
              <w:top w:val="nil"/>
              <w:left w:val="nil"/>
              <w:bottom w:val="nil"/>
              <w:right w:val="nil"/>
            </w:tcBorders>
            <w:tcMar>
              <w:top w:w="55" w:type="dxa"/>
              <w:left w:w="55" w:type="dxa"/>
              <w:bottom w:w="55" w:type="dxa"/>
              <w:right w:w="55" w:type="dxa"/>
            </w:tcMar>
            <w:vAlign w:val="center"/>
          </w:tcPr>
          <w:p w14:paraId="3D2F2926" w14:textId="77777777" w:rsidR="006F1D71" w:rsidRPr="00BB5480" w:rsidRDefault="006F1D71" w:rsidP="006F1D71">
            <w:pPr>
              <w:autoSpaceDN w:val="0"/>
              <w:adjustRightInd w:val="0"/>
              <w:jc w:val="center"/>
              <w:rPr>
                <w:rFonts w:hAnsi="Liberation Serif"/>
                <w:sz w:val="24"/>
                <w:szCs w:val="24"/>
                <w:lang w:eastAsia="zh-CN"/>
              </w:rPr>
            </w:pPr>
          </w:p>
        </w:tc>
      </w:tr>
      <w:tr w:rsidR="00BB5480" w:rsidRPr="00BB5480" w14:paraId="7B2EFC17" w14:textId="77777777" w:rsidTr="00546C2A">
        <w:trPr>
          <w:trHeight w:val="268"/>
        </w:trPr>
        <w:tc>
          <w:tcPr>
            <w:tcW w:w="4361" w:type="dxa"/>
            <w:tcBorders>
              <w:top w:val="nil"/>
              <w:left w:val="nil"/>
              <w:right w:val="nil"/>
            </w:tcBorders>
            <w:shd w:val="clear" w:color="auto" w:fill="FFFFFF"/>
            <w:tcMar>
              <w:top w:w="55" w:type="dxa"/>
              <w:left w:w="55" w:type="dxa"/>
              <w:bottom w:w="55" w:type="dxa"/>
              <w:right w:w="55" w:type="dxa"/>
            </w:tcMar>
            <w:vAlign w:val="center"/>
          </w:tcPr>
          <w:p w14:paraId="23CA7BE0"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Coefficient alpha for factors</w:t>
            </w:r>
          </w:p>
        </w:tc>
        <w:tc>
          <w:tcPr>
            <w:tcW w:w="957" w:type="dxa"/>
            <w:tcBorders>
              <w:top w:val="nil"/>
              <w:left w:val="nil"/>
              <w:right w:val="nil"/>
            </w:tcBorders>
            <w:shd w:val="clear" w:color="auto" w:fill="FFFFFF"/>
            <w:tcMar>
              <w:top w:w="55" w:type="dxa"/>
              <w:left w:w="55" w:type="dxa"/>
              <w:bottom w:w="55" w:type="dxa"/>
              <w:right w:w="55" w:type="dxa"/>
            </w:tcMar>
            <w:vAlign w:val="center"/>
          </w:tcPr>
          <w:p w14:paraId="29FEFBA5"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.90</w:t>
            </w:r>
          </w:p>
        </w:tc>
        <w:tc>
          <w:tcPr>
            <w:tcW w:w="954" w:type="dxa"/>
            <w:tcBorders>
              <w:top w:val="nil"/>
              <w:left w:val="nil"/>
              <w:right w:val="nil"/>
            </w:tcBorders>
            <w:shd w:val="clear" w:color="auto" w:fill="FFFFFF"/>
            <w:tcMar>
              <w:top w:w="55" w:type="dxa"/>
              <w:left w:w="55" w:type="dxa"/>
              <w:bottom w:w="55" w:type="dxa"/>
              <w:right w:w="55" w:type="dxa"/>
            </w:tcMar>
            <w:vAlign w:val="center"/>
          </w:tcPr>
          <w:p w14:paraId="3608B66B" w14:textId="77777777" w:rsidR="006F1D71" w:rsidRPr="00BB5480" w:rsidRDefault="006F1D71" w:rsidP="00D14BFD">
            <w:pPr>
              <w:autoSpaceDN w:val="0"/>
              <w:adjustRightInd w:val="0"/>
              <w:jc w:val="center"/>
              <w:rPr>
                <w:rFonts w:hAnsi="Liberation Serif"/>
                <w:szCs w:val="24"/>
                <w:lang w:eastAsia="zh-CN"/>
              </w:rPr>
            </w:pPr>
            <w:r w:rsidRPr="00BB5480">
              <w:rPr>
                <w:rFonts w:hAnsi="Liberation Serif"/>
                <w:sz w:val="24"/>
                <w:szCs w:val="24"/>
                <w:lang w:eastAsia="zh-CN"/>
              </w:rPr>
              <w:t>.8</w:t>
            </w:r>
            <w:r w:rsidR="00404106" w:rsidRPr="00BB5480">
              <w:rPr>
                <w:rFonts w:hAnsi="Liberation Serif"/>
                <w:sz w:val="24"/>
                <w:szCs w:val="24"/>
                <w:lang w:eastAsia="zh-CN"/>
              </w:rPr>
              <w:t>1</w:t>
            </w:r>
          </w:p>
        </w:tc>
        <w:tc>
          <w:tcPr>
            <w:tcW w:w="954" w:type="dxa"/>
            <w:tcBorders>
              <w:top w:val="nil"/>
              <w:left w:val="nil"/>
              <w:right w:val="nil"/>
            </w:tcBorders>
            <w:tcMar>
              <w:top w:w="55" w:type="dxa"/>
              <w:left w:w="55" w:type="dxa"/>
              <w:bottom w:w="55" w:type="dxa"/>
              <w:right w:w="55" w:type="dxa"/>
            </w:tcMar>
            <w:vAlign w:val="center"/>
          </w:tcPr>
          <w:p w14:paraId="074AF9AC" w14:textId="77777777" w:rsidR="006F1D71" w:rsidRPr="00BB5480" w:rsidRDefault="006F1D71" w:rsidP="00D14BFD">
            <w:pPr>
              <w:autoSpaceDN w:val="0"/>
              <w:adjustRightInd w:val="0"/>
              <w:rPr>
                <w:rFonts w:hAnsi="Liberation Serif"/>
                <w:sz w:val="24"/>
                <w:szCs w:val="24"/>
                <w:lang w:eastAsia="zh-CN"/>
              </w:rPr>
            </w:pPr>
          </w:p>
        </w:tc>
        <w:tc>
          <w:tcPr>
            <w:tcW w:w="954" w:type="dxa"/>
            <w:tcBorders>
              <w:top w:val="nil"/>
              <w:left w:val="nil"/>
              <w:right w:val="nil"/>
            </w:tcBorders>
            <w:tcMar>
              <w:top w:w="55" w:type="dxa"/>
              <w:left w:w="55" w:type="dxa"/>
              <w:bottom w:w="55" w:type="dxa"/>
              <w:right w:w="55" w:type="dxa"/>
            </w:tcMar>
            <w:vAlign w:val="center"/>
          </w:tcPr>
          <w:p w14:paraId="6258E3F2"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.90</w:t>
            </w:r>
          </w:p>
        </w:tc>
        <w:tc>
          <w:tcPr>
            <w:tcW w:w="956" w:type="dxa"/>
            <w:tcBorders>
              <w:top w:val="nil"/>
              <w:left w:val="nil"/>
              <w:right w:val="nil"/>
            </w:tcBorders>
            <w:tcMar>
              <w:top w:w="55" w:type="dxa"/>
              <w:left w:w="55" w:type="dxa"/>
              <w:bottom w:w="55" w:type="dxa"/>
              <w:right w:w="55" w:type="dxa"/>
            </w:tcMar>
            <w:vAlign w:val="center"/>
          </w:tcPr>
          <w:p w14:paraId="072D980E" w14:textId="77777777" w:rsidR="006F1D71" w:rsidRPr="00BB5480" w:rsidRDefault="00404106" w:rsidP="006F1D71">
            <w:pPr>
              <w:autoSpaceDN w:val="0"/>
              <w:adjustRightInd w:val="0"/>
              <w:jc w:val="center"/>
              <w:rPr>
                <w:rFonts w:hAnsi="Liberation Serif"/>
                <w:szCs w:val="24"/>
                <w:lang w:eastAsia="zh-CN"/>
              </w:rPr>
            </w:pPr>
            <w:r w:rsidRPr="00BB5480">
              <w:rPr>
                <w:rFonts w:hAnsi="Liberation Serif"/>
                <w:sz w:val="24"/>
                <w:szCs w:val="24"/>
                <w:lang w:eastAsia="zh-CN"/>
              </w:rPr>
              <w:t>.82</w:t>
            </w:r>
          </w:p>
        </w:tc>
      </w:tr>
      <w:tr w:rsidR="00BB5480" w:rsidRPr="00BB5480" w14:paraId="75B4AB8D" w14:textId="77777777" w:rsidTr="00546C2A">
        <w:trPr>
          <w:trHeight w:val="268"/>
        </w:trPr>
        <w:tc>
          <w:tcPr>
            <w:tcW w:w="4361" w:type="dxa"/>
            <w:tcBorders>
              <w:top w:val="nil"/>
              <w:left w:val="nil"/>
              <w:bottom w:val="single" w:sz="12" w:space="0" w:color="auto"/>
              <w:right w:val="nil"/>
            </w:tcBorders>
            <w:shd w:val="clear" w:color="auto" w:fill="FFFFFF"/>
            <w:tcMar>
              <w:top w:w="55" w:type="dxa"/>
              <w:left w:w="55" w:type="dxa"/>
              <w:bottom w:w="55" w:type="dxa"/>
              <w:right w:w="55" w:type="dxa"/>
            </w:tcMar>
            <w:vAlign w:val="center"/>
          </w:tcPr>
          <w:p w14:paraId="548A0899" w14:textId="77777777" w:rsidR="006F1D71" w:rsidRPr="00BB5480" w:rsidRDefault="006F1D71" w:rsidP="006F1D71">
            <w:pPr>
              <w:autoSpaceDN w:val="0"/>
              <w:adjustRightInd w:val="0"/>
              <w:rPr>
                <w:rFonts w:hAnsi="Liberation Serif"/>
                <w:szCs w:val="24"/>
                <w:lang w:eastAsia="zh-CN"/>
              </w:rPr>
            </w:pPr>
            <w:r w:rsidRPr="00BB5480">
              <w:rPr>
                <w:rFonts w:hAnsi="Liberation Serif"/>
                <w:sz w:val="24"/>
                <w:szCs w:val="24"/>
                <w:lang w:eastAsia="zh-CN"/>
              </w:rPr>
              <w:t xml:space="preserve">Coefficient alpha for </w:t>
            </w:r>
            <w:r w:rsidR="00677689" w:rsidRPr="00BB5480">
              <w:rPr>
                <w:rFonts w:hAnsi="Liberation Serif"/>
                <w:sz w:val="24"/>
                <w:szCs w:val="24"/>
                <w:lang w:eastAsia="zh-CN"/>
              </w:rPr>
              <w:t xml:space="preserve">total </w:t>
            </w:r>
            <w:r w:rsidRPr="00BB5480">
              <w:rPr>
                <w:rFonts w:hAnsi="Liberation Serif"/>
                <w:sz w:val="24"/>
                <w:szCs w:val="24"/>
                <w:lang w:eastAsia="zh-CN"/>
              </w:rPr>
              <w:t>scale</w:t>
            </w:r>
          </w:p>
        </w:tc>
        <w:tc>
          <w:tcPr>
            <w:tcW w:w="957" w:type="dxa"/>
            <w:tcBorders>
              <w:top w:val="nil"/>
              <w:left w:val="nil"/>
              <w:bottom w:val="single" w:sz="12" w:space="0" w:color="auto"/>
              <w:right w:val="nil"/>
            </w:tcBorders>
            <w:shd w:val="clear" w:color="auto" w:fill="FFFFFF"/>
            <w:tcMar>
              <w:top w:w="55" w:type="dxa"/>
              <w:left w:w="55" w:type="dxa"/>
              <w:bottom w:w="55" w:type="dxa"/>
              <w:right w:w="55" w:type="dxa"/>
            </w:tcMar>
            <w:vAlign w:val="center"/>
          </w:tcPr>
          <w:p w14:paraId="4E78B45E" w14:textId="77777777" w:rsidR="006F1D71" w:rsidRPr="00BB5480" w:rsidRDefault="00D14BFD" w:rsidP="006F1D71">
            <w:pPr>
              <w:autoSpaceDN w:val="0"/>
              <w:adjustRightInd w:val="0"/>
              <w:jc w:val="center"/>
              <w:rPr>
                <w:rFonts w:hAnsi="Liberation Serif"/>
                <w:szCs w:val="24"/>
                <w:lang w:eastAsia="zh-CN"/>
              </w:rPr>
            </w:pPr>
            <w:r w:rsidRPr="00BB5480">
              <w:rPr>
                <w:rFonts w:hAnsi="Liberation Serif"/>
                <w:sz w:val="24"/>
                <w:szCs w:val="24"/>
                <w:lang w:eastAsia="zh-CN"/>
              </w:rPr>
              <w:t>.86</w:t>
            </w:r>
          </w:p>
        </w:tc>
        <w:tc>
          <w:tcPr>
            <w:tcW w:w="954" w:type="dxa"/>
            <w:tcBorders>
              <w:top w:val="nil"/>
              <w:left w:val="nil"/>
              <w:bottom w:val="single" w:sz="12" w:space="0" w:color="auto"/>
              <w:right w:val="nil"/>
            </w:tcBorders>
            <w:shd w:val="clear" w:color="auto" w:fill="FFFFFF"/>
            <w:tcMar>
              <w:top w:w="55" w:type="dxa"/>
              <w:left w:w="55" w:type="dxa"/>
              <w:bottom w:w="55" w:type="dxa"/>
              <w:right w:w="55" w:type="dxa"/>
            </w:tcMar>
            <w:vAlign w:val="center"/>
          </w:tcPr>
          <w:p w14:paraId="07AC4B60"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single" w:sz="12" w:space="0" w:color="auto"/>
              <w:right w:val="nil"/>
            </w:tcBorders>
            <w:tcMar>
              <w:top w:w="55" w:type="dxa"/>
              <w:left w:w="55" w:type="dxa"/>
              <w:bottom w:w="55" w:type="dxa"/>
              <w:right w:w="55" w:type="dxa"/>
            </w:tcMar>
            <w:vAlign w:val="center"/>
          </w:tcPr>
          <w:p w14:paraId="77D45174" w14:textId="77777777" w:rsidR="006F1D71" w:rsidRPr="00BB5480" w:rsidRDefault="006F1D71" w:rsidP="006F1D71">
            <w:pPr>
              <w:autoSpaceDN w:val="0"/>
              <w:adjustRightInd w:val="0"/>
              <w:jc w:val="center"/>
              <w:rPr>
                <w:rFonts w:hAnsi="Liberation Serif"/>
                <w:sz w:val="24"/>
                <w:szCs w:val="24"/>
                <w:lang w:eastAsia="zh-CN"/>
              </w:rPr>
            </w:pPr>
          </w:p>
        </w:tc>
        <w:tc>
          <w:tcPr>
            <w:tcW w:w="954" w:type="dxa"/>
            <w:tcBorders>
              <w:top w:val="nil"/>
              <w:left w:val="nil"/>
              <w:bottom w:val="single" w:sz="12" w:space="0" w:color="auto"/>
              <w:right w:val="nil"/>
            </w:tcBorders>
            <w:tcMar>
              <w:top w:w="55" w:type="dxa"/>
              <w:left w:w="55" w:type="dxa"/>
              <w:bottom w:w="55" w:type="dxa"/>
              <w:right w:w="55" w:type="dxa"/>
            </w:tcMar>
            <w:vAlign w:val="center"/>
          </w:tcPr>
          <w:p w14:paraId="2745B618" w14:textId="77777777" w:rsidR="006F1D71" w:rsidRPr="00BB5480" w:rsidRDefault="006F1D71" w:rsidP="006F1D71">
            <w:pPr>
              <w:autoSpaceDN w:val="0"/>
              <w:adjustRightInd w:val="0"/>
              <w:jc w:val="center"/>
              <w:rPr>
                <w:rFonts w:hAnsi="Liberation Serif"/>
                <w:szCs w:val="24"/>
                <w:lang w:eastAsia="zh-CN"/>
              </w:rPr>
            </w:pPr>
            <w:r w:rsidRPr="00BB5480">
              <w:rPr>
                <w:rFonts w:hAnsi="Liberation Serif"/>
                <w:sz w:val="24"/>
                <w:szCs w:val="24"/>
                <w:lang w:eastAsia="zh-CN"/>
              </w:rPr>
              <w:t>.85</w:t>
            </w:r>
          </w:p>
        </w:tc>
        <w:tc>
          <w:tcPr>
            <w:tcW w:w="956" w:type="dxa"/>
            <w:tcBorders>
              <w:top w:val="nil"/>
              <w:left w:val="nil"/>
              <w:bottom w:val="single" w:sz="12" w:space="0" w:color="auto"/>
              <w:right w:val="nil"/>
            </w:tcBorders>
            <w:tcMar>
              <w:top w:w="55" w:type="dxa"/>
              <w:left w:w="55" w:type="dxa"/>
              <w:bottom w:w="55" w:type="dxa"/>
              <w:right w:w="55" w:type="dxa"/>
            </w:tcMar>
            <w:vAlign w:val="center"/>
          </w:tcPr>
          <w:p w14:paraId="38678060" w14:textId="77777777" w:rsidR="006F1D71" w:rsidRPr="00BB5480" w:rsidRDefault="006F1D71" w:rsidP="006F1D71">
            <w:pPr>
              <w:autoSpaceDN w:val="0"/>
              <w:adjustRightInd w:val="0"/>
              <w:jc w:val="center"/>
              <w:rPr>
                <w:rFonts w:hAnsi="Liberation Serif"/>
                <w:sz w:val="24"/>
                <w:szCs w:val="24"/>
                <w:lang w:eastAsia="zh-CN"/>
              </w:rPr>
            </w:pPr>
          </w:p>
        </w:tc>
      </w:tr>
    </w:tbl>
    <w:p w14:paraId="2F2647C5" w14:textId="0567D048" w:rsidR="00546C2A" w:rsidRPr="00BB5480" w:rsidRDefault="00F77594" w:rsidP="00546C2A">
      <w:pPr>
        <w:pStyle w:val="BodyTextFirstIndent"/>
        <w:ind w:firstLine="0"/>
      </w:pPr>
      <w:r w:rsidRPr="00BB5480">
        <w:rPr>
          <w:i/>
        </w:rPr>
        <w:t>Note</w:t>
      </w:r>
      <w:r w:rsidR="003472B7">
        <w:rPr>
          <w:i/>
        </w:rPr>
        <w:t>.</w:t>
      </w:r>
      <w:r w:rsidRPr="00BB5480">
        <w:t xml:space="preserve"> A, Avoidance; B</w:t>
      </w:r>
      <w:r w:rsidR="00677689" w:rsidRPr="00BB5480">
        <w:t>R</w:t>
      </w:r>
      <w:r w:rsidRPr="00BB5480">
        <w:t>, Behavioural Rigidity.</w:t>
      </w:r>
    </w:p>
    <w:p w14:paraId="6A9C1AAB" w14:textId="77777777" w:rsidR="00B51683" w:rsidRPr="00BB5480" w:rsidRDefault="00546C2A" w:rsidP="00546C2A">
      <w:pPr>
        <w:pStyle w:val="BodyText"/>
      </w:pPr>
      <w:r w:rsidRPr="00BB5480">
        <w:br w:type="page"/>
      </w:r>
    </w:p>
    <w:p w14:paraId="01B8049E" w14:textId="77777777" w:rsidR="00DA69D9" w:rsidRPr="00BB5480" w:rsidRDefault="00DA69D9" w:rsidP="00B51683">
      <w:pPr>
        <w:pStyle w:val="BodyTextFirstIndent"/>
        <w:jc w:val="center"/>
        <w:rPr>
          <w:b/>
        </w:rPr>
      </w:pPr>
      <w:r w:rsidRPr="00BB5480">
        <w:rPr>
          <w:b/>
        </w:rPr>
        <w:lastRenderedPageBreak/>
        <w:t>Study 2: Examining the influence of word changes</w:t>
      </w:r>
    </w:p>
    <w:p w14:paraId="0B95C37F" w14:textId="3945384D" w:rsidR="00DA69D9" w:rsidRPr="00BB5480" w:rsidRDefault="00DA69D9">
      <w:pPr>
        <w:pStyle w:val="BodyTextFirstIndent"/>
      </w:pPr>
      <w:r w:rsidRPr="00BB5480">
        <w:t xml:space="preserve">On examining the 11 items from study 1, of the 7 items in the avoidance factor: 5 use the word “difficult”, while the other </w:t>
      </w:r>
      <w:r w:rsidR="00B433DC">
        <w:t>2</w:t>
      </w:r>
      <w:r w:rsidRPr="00BB5480">
        <w:t xml:space="preserve"> use the word “awkward”. Similarly, of the 4 items in the behavioural rigidity factor, 3 use the word “tasks”. This word repetition could be both noticed by and distracting for people completing the questionnaire or lead to a “method effect” </w:t>
      </w:r>
      <w:r w:rsidRPr="00BB5480">
        <w:rPr>
          <w:rFonts w:cs="Arial"/>
        </w:rPr>
        <w:t>(Brown, 2006, p. 3).</w:t>
      </w:r>
      <w:r w:rsidRPr="00BB5480">
        <w:t xml:space="preserve"> </w:t>
      </w:r>
      <w:r w:rsidR="00104904" w:rsidRPr="00BB5480">
        <w:t xml:space="preserve">Furthermore </w:t>
      </w:r>
      <w:r w:rsidR="00B11A8D" w:rsidRPr="00BB5480">
        <w:t xml:space="preserve">such </w:t>
      </w:r>
      <w:r w:rsidR="00104904" w:rsidRPr="00BB5480">
        <w:t xml:space="preserve">word repetition is </w:t>
      </w:r>
      <w:r w:rsidR="00B11A8D" w:rsidRPr="00BB5480">
        <w:t xml:space="preserve">present within the items of </w:t>
      </w:r>
      <w:proofErr w:type="spellStart"/>
      <w:r w:rsidR="00B11A8D" w:rsidRPr="00BB5480">
        <w:t>of</w:t>
      </w:r>
      <w:proofErr w:type="spellEnd"/>
      <w:r w:rsidR="00B11A8D" w:rsidRPr="00BB5480">
        <w:t xml:space="preserve"> the </w:t>
      </w:r>
      <w:proofErr w:type="spellStart"/>
      <w:r w:rsidR="00B11A8D" w:rsidRPr="00BB5480">
        <w:t>AAQ</w:t>
      </w:r>
      <w:proofErr w:type="spellEnd"/>
      <w:r w:rsidR="00B11A8D" w:rsidRPr="00BB5480">
        <w:t xml:space="preserve">-II </w:t>
      </w:r>
      <w:r w:rsidR="00104904" w:rsidRPr="00BB5480">
        <w:t xml:space="preserve">and may have an influence on CFA performance </w:t>
      </w:r>
      <w:r w:rsidR="00B11A8D" w:rsidRPr="00BB5480">
        <w:t>(see introduction)</w:t>
      </w:r>
      <w:r w:rsidR="00104904" w:rsidRPr="00BB5480">
        <w:t>.</w:t>
      </w:r>
      <w:r w:rsidR="00B11A8D" w:rsidRPr="00BB5480">
        <w:t xml:space="preserve"> </w:t>
      </w:r>
      <w:r w:rsidRPr="00BB5480">
        <w:t xml:space="preserve">Accordingly, the decision was taken to try and dilute the potential influence of these repeated terms. Specifically, three of the instances of the word difficult were changed to: uncomfortable, unpleasant and disagreeable. Similarly, one of the three instances of the word tasks was changed to activities. </w:t>
      </w:r>
      <w:r w:rsidR="00104904" w:rsidRPr="00BB5480">
        <w:t>I</w:t>
      </w:r>
      <w:r w:rsidRPr="00BB5480">
        <w:t>t seemed important to explore the influence of these changes. As this took place prior to confirmatory factor analysis, exploratory factor analyses were re-examined.</w:t>
      </w:r>
    </w:p>
    <w:p w14:paraId="0B79850E" w14:textId="77777777" w:rsidR="00DA69D9" w:rsidRPr="00BB5480" w:rsidRDefault="00DA69D9">
      <w:pPr>
        <w:pStyle w:val="Heading2"/>
        <w:spacing w:line="360" w:lineRule="auto"/>
        <w:jc w:val="center"/>
        <w:rPr>
          <w:bCs/>
        </w:rPr>
      </w:pPr>
      <w:r w:rsidRPr="00BB5480">
        <w:rPr>
          <w:sz w:val="24"/>
          <w:szCs w:val="24"/>
        </w:rPr>
        <w:t>Method</w:t>
      </w:r>
    </w:p>
    <w:p w14:paraId="4FF2311C" w14:textId="77777777" w:rsidR="00DA69D9" w:rsidRPr="00BB5480" w:rsidRDefault="00DA69D9">
      <w:pPr>
        <w:pStyle w:val="BodyTextFirstIndent"/>
        <w:ind w:firstLine="0"/>
      </w:pPr>
      <w:r w:rsidRPr="00BB5480">
        <w:rPr>
          <w:b/>
          <w:bCs/>
        </w:rPr>
        <w:t>Procedure</w:t>
      </w:r>
    </w:p>
    <w:p w14:paraId="1952D140" w14:textId="416579A5" w:rsidR="00DA69D9" w:rsidRPr="00BB5480" w:rsidRDefault="00B24C0E" w:rsidP="00081A1F">
      <w:pPr>
        <w:pStyle w:val="BodyTextFirstIndent"/>
        <w:ind w:firstLine="709"/>
        <w:rPr>
          <w:b/>
          <w:bCs/>
        </w:rPr>
      </w:pPr>
      <w:r w:rsidRPr="00BB5480">
        <w:t xml:space="preserve">Sample 2. </w:t>
      </w:r>
      <w:r w:rsidR="00DA69D9" w:rsidRPr="00BB5480">
        <w:t xml:space="preserve">Data was collected using the online survey platform </w:t>
      </w:r>
      <w:proofErr w:type="spellStart"/>
      <w:r w:rsidR="00DA69D9" w:rsidRPr="00BB5480">
        <w:t>Limesurvey</w:t>
      </w:r>
      <w:proofErr w:type="spellEnd"/>
      <w:r w:rsidR="00DA69D9" w:rsidRPr="00BB5480">
        <w:t xml:space="preserve">. Data was collected as part of a number of different final year psychology research projects, supervised by the first author. The different projects involved other questionnaires, but all began and ended with two different versions of the EPIC (i.e. original and revised wording). Whether the original or revised version appeared at </w:t>
      </w:r>
      <w:r w:rsidR="00B433DC">
        <w:t xml:space="preserve">the </w:t>
      </w:r>
      <w:r w:rsidR="00DA69D9" w:rsidRPr="00BB5480">
        <w:t xml:space="preserve">beginning or end of the questionnaires varied from project to project in order to counter balance potential order effects across the entire data set. Ethical permission was sought and received for each of the projects. Data was carefully screened to remove </w:t>
      </w:r>
      <w:r w:rsidR="00F55452" w:rsidRPr="00BB5480">
        <w:t xml:space="preserve">duplicate data from </w:t>
      </w:r>
      <w:r w:rsidR="00DA69D9" w:rsidRPr="00BB5480">
        <w:t xml:space="preserve">participants who </w:t>
      </w:r>
      <w:r w:rsidR="00F55452" w:rsidRPr="00BB5480">
        <w:t>had taken part in</w:t>
      </w:r>
      <w:r w:rsidR="00DA69D9" w:rsidRPr="00BB5480">
        <w:t xml:space="preserve"> more than one </w:t>
      </w:r>
      <w:r w:rsidR="00F55452" w:rsidRPr="00BB5480">
        <w:t xml:space="preserve">of the research </w:t>
      </w:r>
      <w:r w:rsidR="00DA69D9" w:rsidRPr="00BB5480">
        <w:t>project</w:t>
      </w:r>
      <w:r w:rsidR="00F55452" w:rsidRPr="00BB5480">
        <w:t>s</w:t>
      </w:r>
      <w:r w:rsidR="00DA69D9" w:rsidRPr="00BB5480">
        <w:t>.</w:t>
      </w:r>
    </w:p>
    <w:p w14:paraId="19323B2D" w14:textId="77777777" w:rsidR="00DA69D9" w:rsidRPr="00BB5480" w:rsidRDefault="00DA69D9">
      <w:pPr>
        <w:pStyle w:val="BodyTextFirstIndent"/>
        <w:ind w:firstLine="0"/>
      </w:pPr>
      <w:r w:rsidRPr="00BB5480">
        <w:rPr>
          <w:b/>
          <w:bCs/>
        </w:rPr>
        <w:t>Participants</w:t>
      </w:r>
    </w:p>
    <w:p w14:paraId="3714E64B" w14:textId="77777777" w:rsidR="00DA69D9" w:rsidRPr="00BB5480" w:rsidRDefault="00DA69D9" w:rsidP="00081A1F">
      <w:pPr>
        <w:pStyle w:val="BodyTextFirstIndent"/>
        <w:ind w:firstLine="709"/>
        <w:rPr>
          <w:b/>
          <w:bCs/>
        </w:rPr>
      </w:pPr>
      <w:r w:rsidRPr="00BB5480">
        <w:t xml:space="preserve">After </w:t>
      </w:r>
      <w:proofErr w:type="spellStart"/>
      <w:r w:rsidRPr="00BB5480">
        <w:t>listwise</w:t>
      </w:r>
      <w:proofErr w:type="spellEnd"/>
      <w:r w:rsidRPr="00BB5480">
        <w:t xml:space="preserve"> deletion, 523 participants had complete data for both versions of the EPIC.</w:t>
      </w:r>
      <w:r w:rsidR="0005366A" w:rsidRPr="00BB5480">
        <w:t xml:space="preserve"> </w:t>
      </w:r>
      <w:r w:rsidRPr="00BB5480">
        <w:t xml:space="preserve">Of these: 66% were female, with an average age of: 27 years (SD 10.64). In terms of geographical location: UK (76%), </w:t>
      </w:r>
      <w:r w:rsidR="00D43BDC" w:rsidRPr="00BB5480">
        <w:t xml:space="preserve">rest of Europe </w:t>
      </w:r>
      <w:r w:rsidRPr="00BB5480">
        <w:t>(19%). Regarding ethnicity: White (92%). In terms of highest level of education: GCSE's or A levels (64%), undergraduate degree (24%), postgraduate degree (10%).</w:t>
      </w:r>
    </w:p>
    <w:p w14:paraId="37D3A6E2" w14:textId="77777777" w:rsidR="00DA69D9" w:rsidRPr="00BB5480" w:rsidRDefault="00DA69D9">
      <w:pPr>
        <w:pStyle w:val="BodyText"/>
      </w:pPr>
      <w:r w:rsidRPr="00BB5480">
        <w:rPr>
          <w:b/>
          <w:bCs/>
        </w:rPr>
        <w:t>Measures</w:t>
      </w:r>
    </w:p>
    <w:p w14:paraId="4DB60B8F" w14:textId="77777777" w:rsidR="00DA69D9" w:rsidRPr="00BB5480" w:rsidRDefault="00DA69D9">
      <w:pPr>
        <w:pStyle w:val="BodyTextFirstIndent"/>
      </w:pPr>
      <w:r w:rsidRPr="00BB5480">
        <w:t>This study focuses on two versions of the EPIC (original and revised wording); currently an 11 item, two factor measure. The two versions differ only in terms of single words across 4 items</w:t>
      </w:r>
      <w:r w:rsidR="00964CDA" w:rsidRPr="00BB5480">
        <w:t xml:space="preserve"> (see above)</w:t>
      </w:r>
      <w:r w:rsidRPr="00BB5480">
        <w:t>.</w:t>
      </w:r>
    </w:p>
    <w:p w14:paraId="5BE65686" w14:textId="77777777" w:rsidR="00DA69D9" w:rsidRPr="00BB5480" w:rsidRDefault="00DA69D9">
      <w:pPr>
        <w:pStyle w:val="Heading2"/>
        <w:spacing w:line="360" w:lineRule="auto"/>
        <w:jc w:val="center"/>
      </w:pPr>
      <w:r w:rsidRPr="00BB5480">
        <w:rPr>
          <w:sz w:val="24"/>
          <w:szCs w:val="24"/>
        </w:rPr>
        <w:lastRenderedPageBreak/>
        <w:t>Results</w:t>
      </w:r>
    </w:p>
    <w:p w14:paraId="2E9229E6" w14:textId="77777777" w:rsidR="00DA69D9" w:rsidRPr="00BB5480" w:rsidRDefault="00964E1B">
      <w:pPr>
        <w:pStyle w:val="BodyTextFirstIndent"/>
        <w:rPr>
          <w:rFonts w:cs="Arial"/>
        </w:rPr>
      </w:pPr>
      <w:r w:rsidRPr="00BB5480">
        <w:t>Two</w:t>
      </w:r>
      <w:r w:rsidR="00DA69D9" w:rsidRPr="00BB5480">
        <w:t xml:space="preserve"> separate principal axis factor analyses were carried out in SPSS using oblique (direct </w:t>
      </w:r>
      <w:proofErr w:type="spellStart"/>
      <w:r w:rsidR="00DA69D9" w:rsidRPr="00BB5480">
        <w:t>oblimin</w:t>
      </w:r>
      <w:proofErr w:type="spellEnd"/>
      <w:r w:rsidR="00DA69D9" w:rsidRPr="00BB5480">
        <w:t>) rotation examining: t</w:t>
      </w:r>
      <w:r w:rsidR="00DA69D9" w:rsidRPr="00BB5480">
        <w:rPr>
          <w:rFonts w:cs="Arial"/>
        </w:rPr>
        <w:t>he original items</w:t>
      </w:r>
      <w:r w:rsidR="00DE6FE6" w:rsidRPr="00BB5480">
        <w:rPr>
          <w:rFonts w:cs="Arial"/>
        </w:rPr>
        <w:t xml:space="preserve"> and</w:t>
      </w:r>
      <w:r w:rsidR="00DA69D9" w:rsidRPr="00BB5480">
        <w:rPr>
          <w:rFonts w:cs="Arial"/>
        </w:rPr>
        <w:t xml:space="preserve"> the revised items.</w:t>
      </w:r>
    </w:p>
    <w:p w14:paraId="385E2084" w14:textId="77777777" w:rsidR="00DA69D9" w:rsidRPr="00BB5480" w:rsidRDefault="00964CDA">
      <w:pPr>
        <w:pStyle w:val="BodyTextFirstIndent"/>
      </w:pPr>
      <w:r w:rsidRPr="00BB5480">
        <w:rPr>
          <w:rFonts w:cs="Arial"/>
        </w:rPr>
        <w:t>I</w:t>
      </w:r>
      <w:r w:rsidR="00DA69D9" w:rsidRPr="00BB5480">
        <w:rPr>
          <w:rFonts w:cs="Arial"/>
        </w:rPr>
        <w:t xml:space="preserve">n terms of the original </w:t>
      </w:r>
      <w:r w:rsidR="003C404F" w:rsidRPr="00BB5480">
        <w:rPr>
          <w:rFonts w:cs="Arial"/>
        </w:rPr>
        <w:t xml:space="preserve">worded </w:t>
      </w:r>
      <w:r w:rsidR="00DA69D9" w:rsidRPr="00BB5480">
        <w:rPr>
          <w:rFonts w:cs="Arial"/>
        </w:rPr>
        <w:t xml:space="preserve">items, </w:t>
      </w:r>
      <w:r w:rsidR="00DA69D9" w:rsidRPr="00BB5480">
        <w:t xml:space="preserve">the solution replicates the </w:t>
      </w:r>
      <w:r w:rsidR="00AB4B99" w:rsidRPr="00BB5480">
        <w:t xml:space="preserve">final </w:t>
      </w:r>
      <w:proofErr w:type="spellStart"/>
      <w:r w:rsidR="00AB4B99" w:rsidRPr="00BB5480">
        <w:t>EFA</w:t>
      </w:r>
      <w:proofErr w:type="spellEnd"/>
      <w:r w:rsidR="00AB4B99" w:rsidRPr="00BB5480">
        <w:t xml:space="preserve"> </w:t>
      </w:r>
      <w:r w:rsidR="00DA69D9" w:rsidRPr="00BB5480">
        <w:t xml:space="preserve">results from study 1. In more detail: the </w:t>
      </w:r>
      <w:proofErr w:type="spellStart"/>
      <w:r w:rsidR="00DA69D9" w:rsidRPr="00BB5480">
        <w:t>KMO</w:t>
      </w:r>
      <w:proofErr w:type="spellEnd"/>
      <w:r w:rsidR="00DA69D9" w:rsidRPr="00BB5480">
        <w:t xml:space="preserve"> index of sampling adequacy was .876, indicating that the correlation matrix was suitable for factor analysis. The number of eigenvalues </w:t>
      </w:r>
      <w:r w:rsidR="00DE6FE6" w:rsidRPr="00BB5480">
        <w:t>above 1 was</w:t>
      </w:r>
      <w:r w:rsidR="00DA69D9" w:rsidRPr="00BB5480">
        <w:t xml:space="preserve"> 2, the scree plot also suggested extracting 2 factors. The final measure derived from</w:t>
      </w:r>
      <w:r w:rsidR="005B7C68" w:rsidRPr="00BB5480">
        <w:t xml:space="preserve"> </w:t>
      </w:r>
      <w:r w:rsidR="00DE6FE6" w:rsidRPr="00BB5480">
        <w:t>the</w:t>
      </w:r>
      <w:r w:rsidR="00DA69D9" w:rsidRPr="00BB5480">
        <w:t xml:space="preserve"> </w:t>
      </w:r>
      <w:proofErr w:type="spellStart"/>
      <w:r w:rsidR="00DA69D9" w:rsidRPr="00BB5480">
        <w:t>EFA</w:t>
      </w:r>
      <w:proofErr w:type="spellEnd"/>
      <w:r w:rsidR="00DA69D9" w:rsidRPr="00BB5480">
        <w:t xml:space="preserve"> consisted of 11 items across 2 factors </w:t>
      </w:r>
      <w:r w:rsidR="004975B1" w:rsidRPr="00BB5480">
        <w:t xml:space="preserve">that were identical </w:t>
      </w:r>
      <w:r w:rsidR="00DA69D9" w:rsidRPr="00BB5480">
        <w:t xml:space="preserve">to study one. In total the 2 factors accounted for 65.2% of the variance (A: 45.3%, </w:t>
      </w:r>
      <w:proofErr w:type="spellStart"/>
      <w:r w:rsidR="00DE6FE6" w:rsidRPr="00BB5480">
        <w:t>R</w:t>
      </w:r>
      <w:r w:rsidR="00DA69D9" w:rsidRPr="00BB5480">
        <w:t>B</w:t>
      </w:r>
      <w:proofErr w:type="spellEnd"/>
      <w:r w:rsidR="00DA69D9" w:rsidRPr="00BB5480">
        <w:t>: 19.9%). The full scale measure had an overall Cronbach α coefficient of .88 (A: .90, B</w:t>
      </w:r>
      <w:r w:rsidR="00DE6FE6" w:rsidRPr="00BB5480">
        <w:t>R</w:t>
      </w:r>
      <w:r w:rsidR="00DA69D9" w:rsidRPr="00BB5480">
        <w:t>: .85).</w:t>
      </w:r>
    </w:p>
    <w:p w14:paraId="0E123821" w14:textId="77777777" w:rsidR="00DA69D9" w:rsidRPr="00BB5480" w:rsidRDefault="00964CDA" w:rsidP="00964E1B">
      <w:pPr>
        <w:pStyle w:val="BodyTextFirstIndent"/>
      </w:pPr>
      <w:r w:rsidRPr="00BB5480">
        <w:t>I</w:t>
      </w:r>
      <w:r w:rsidR="00DA69D9" w:rsidRPr="00BB5480">
        <w:t xml:space="preserve">n terms of the revised </w:t>
      </w:r>
      <w:r w:rsidR="003C404F" w:rsidRPr="00BB5480">
        <w:t xml:space="preserve">worded </w:t>
      </w:r>
      <w:r w:rsidR="00DA69D9" w:rsidRPr="00BB5480">
        <w:t xml:space="preserve">items, the solution also replicates the results from study 1. In more detail: the </w:t>
      </w:r>
      <w:proofErr w:type="spellStart"/>
      <w:r w:rsidR="00DA69D9" w:rsidRPr="00BB5480">
        <w:t>KMO</w:t>
      </w:r>
      <w:proofErr w:type="spellEnd"/>
      <w:r w:rsidR="00DA69D9" w:rsidRPr="00BB5480">
        <w:t xml:space="preserve"> index of sampling adequacy was .889, indicating that the correlation matrix was suitable for factor analysis. Again, the number of eigenvalues above 1 was 2, the scree plot also suggested extracting 2 factors. Again, the final solution consisted of 11 items </w:t>
      </w:r>
      <w:r w:rsidR="00CE43F3" w:rsidRPr="00BB5480">
        <w:t xml:space="preserve">split </w:t>
      </w:r>
      <w:r w:rsidR="00DA69D9" w:rsidRPr="00BB5480">
        <w:t>across 2 factors</w:t>
      </w:r>
      <w:r w:rsidR="004975B1" w:rsidRPr="00BB5480">
        <w:t>,</w:t>
      </w:r>
      <w:r w:rsidR="00DA69D9" w:rsidRPr="00BB5480">
        <w:t xml:space="preserve"> identical to study one. In total the 2 factors accounted for 62.5% of the variance (A: 42.9%, B</w:t>
      </w:r>
      <w:r w:rsidR="00DE6FE6" w:rsidRPr="00BB5480">
        <w:t>R</w:t>
      </w:r>
      <w:r w:rsidR="00DA69D9" w:rsidRPr="00BB5480">
        <w:t>: 19.6%). The full scale also had an overall Cronbach α coeff</w:t>
      </w:r>
      <w:r w:rsidR="007F37EF" w:rsidRPr="00BB5480">
        <w:t>icient of .86 (A: .89, B</w:t>
      </w:r>
      <w:r w:rsidR="00DE6FE6" w:rsidRPr="00BB5480">
        <w:t>R</w:t>
      </w:r>
      <w:r w:rsidR="007F37EF" w:rsidRPr="00BB5480">
        <w:t>: .84).</w:t>
      </w:r>
    </w:p>
    <w:p w14:paraId="6C000B19" w14:textId="77777777" w:rsidR="00DA69D9" w:rsidRPr="00BB5480" w:rsidRDefault="00DA69D9">
      <w:pPr>
        <w:pStyle w:val="BodyTextFirstIndent"/>
        <w:rPr>
          <w:b/>
        </w:rPr>
      </w:pPr>
      <w:r w:rsidRPr="00BB5480">
        <w:t>From the above results, it seems that the limited changes to the wording of 4 items does not result in substantial change</w:t>
      </w:r>
      <w:r w:rsidR="00964CDA" w:rsidRPr="00BB5480">
        <w:t>s</w:t>
      </w:r>
      <w:r w:rsidRPr="00BB5480">
        <w:t xml:space="preserve"> to the factor structure of the EPIC. As such the revised items were carried forward.</w:t>
      </w:r>
    </w:p>
    <w:p w14:paraId="58B6B85D" w14:textId="77777777" w:rsidR="00DA69D9" w:rsidRPr="00BB5480" w:rsidRDefault="00DA69D9">
      <w:pPr>
        <w:pStyle w:val="BodyTextFirstIndent"/>
        <w:pageBreakBefore/>
        <w:jc w:val="center"/>
      </w:pPr>
      <w:r w:rsidRPr="00BB5480">
        <w:rPr>
          <w:b/>
        </w:rPr>
        <w:lastRenderedPageBreak/>
        <w:t>S</w:t>
      </w:r>
      <w:r w:rsidRPr="00BB5480">
        <w:rPr>
          <w:rFonts w:cs="Arial"/>
          <w:b/>
        </w:rPr>
        <w:t>tudy 3: Confirmatory factor analysis</w:t>
      </w:r>
    </w:p>
    <w:p w14:paraId="74CBB268" w14:textId="21B69C87" w:rsidR="00DA69D9" w:rsidRPr="00BB5480" w:rsidRDefault="003C6219" w:rsidP="00B000F2">
      <w:pPr>
        <w:spacing w:line="360" w:lineRule="auto"/>
        <w:ind w:firstLine="720"/>
        <w:rPr>
          <w:sz w:val="24"/>
          <w:szCs w:val="24"/>
        </w:rPr>
      </w:pPr>
      <w:r w:rsidRPr="00BB5480">
        <w:rPr>
          <w:sz w:val="24"/>
          <w:szCs w:val="24"/>
        </w:rPr>
        <w:t>Study 3</w:t>
      </w:r>
      <w:r w:rsidR="00DA69D9" w:rsidRPr="00BB5480">
        <w:rPr>
          <w:sz w:val="24"/>
          <w:szCs w:val="24"/>
        </w:rPr>
        <w:t xml:space="preserve"> </w:t>
      </w:r>
      <w:r w:rsidRPr="00BB5480">
        <w:rPr>
          <w:sz w:val="24"/>
          <w:szCs w:val="24"/>
        </w:rPr>
        <w:t>involved confirmatory factor analysis</w:t>
      </w:r>
      <w:r w:rsidR="00253740" w:rsidRPr="00BB5480">
        <w:rPr>
          <w:sz w:val="24"/>
          <w:szCs w:val="24"/>
        </w:rPr>
        <w:t xml:space="preserve"> (CFA)</w:t>
      </w:r>
      <w:r w:rsidRPr="00BB5480">
        <w:rPr>
          <w:sz w:val="24"/>
          <w:szCs w:val="24"/>
        </w:rPr>
        <w:t xml:space="preserve">. </w:t>
      </w:r>
      <w:r w:rsidR="00DA69D9" w:rsidRPr="00BB5480">
        <w:rPr>
          <w:sz w:val="24"/>
          <w:szCs w:val="24"/>
        </w:rPr>
        <w:t>In terms of measures of fit; the overall model fit index for CFA is Chi-square (</w:t>
      </w:r>
      <w:proofErr w:type="spellStart"/>
      <w:r w:rsidR="00DA69D9" w:rsidRPr="00BB5480">
        <w:rPr>
          <w:sz w:val="24"/>
          <w:szCs w:val="24"/>
        </w:rPr>
        <w:t>χ²</w:t>
      </w:r>
      <w:proofErr w:type="spellEnd"/>
      <w:r w:rsidR="00DA69D9" w:rsidRPr="00BB5480">
        <w:rPr>
          <w:sz w:val="24"/>
          <w:szCs w:val="24"/>
        </w:rPr>
        <w:t xml:space="preserve">). Ideally this result should be non-significant. However </w:t>
      </w:r>
      <w:proofErr w:type="spellStart"/>
      <w:r w:rsidR="00DA69D9" w:rsidRPr="00BB5480">
        <w:rPr>
          <w:sz w:val="24"/>
          <w:szCs w:val="24"/>
        </w:rPr>
        <w:t>Tabachnick</w:t>
      </w:r>
      <w:proofErr w:type="spellEnd"/>
      <w:r w:rsidR="00DA69D9" w:rsidRPr="00BB5480">
        <w:rPr>
          <w:sz w:val="24"/>
          <w:szCs w:val="24"/>
        </w:rPr>
        <w:t xml:space="preserve"> and </w:t>
      </w:r>
      <w:proofErr w:type="spellStart"/>
      <w:r w:rsidR="00DA69D9" w:rsidRPr="00BB5480">
        <w:rPr>
          <w:sz w:val="24"/>
          <w:szCs w:val="24"/>
        </w:rPr>
        <w:t>Fidell</w:t>
      </w:r>
      <w:proofErr w:type="spellEnd"/>
      <w:r w:rsidR="00DA69D9" w:rsidRPr="00BB5480">
        <w:rPr>
          <w:sz w:val="24"/>
          <w:szCs w:val="24"/>
        </w:rPr>
        <w:t xml:space="preserve"> note that a good fit between data and model is generally found if the ratio between overall Chi-square score and the degrees of freedom (</w:t>
      </w:r>
      <w:proofErr w:type="spellStart"/>
      <w:r w:rsidR="00DA69D9" w:rsidRPr="00BB5480">
        <w:rPr>
          <w:sz w:val="24"/>
          <w:szCs w:val="24"/>
        </w:rPr>
        <w:t>df</w:t>
      </w:r>
      <w:proofErr w:type="spellEnd"/>
      <w:r w:rsidR="00DA69D9" w:rsidRPr="00BB5480">
        <w:rPr>
          <w:sz w:val="24"/>
          <w:szCs w:val="24"/>
        </w:rPr>
        <w:t>) in the model is less than 2 (</w:t>
      </w:r>
      <w:proofErr w:type="spellStart"/>
      <w:r w:rsidR="00DA69D9" w:rsidRPr="00BB5480">
        <w:rPr>
          <w:sz w:val="24"/>
          <w:szCs w:val="24"/>
        </w:rPr>
        <w:t>Tabachnick</w:t>
      </w:r>
      <w:proofErr w:type="spellEnd"/>
      <w:r w:rsidR="00DA69D9" w:rsidRPr="00BB5480">
        <w:rPr>
          <w:sz w:val="24"/>
          <w:szCs w:val="24"/>
        </w:rPr>
        <w:t xml:space="preserve"> &amp; </w:t>
      </w:r>
      <w:proofErr w:type="spellStart"/>
      <w:r w:rsidR="00DA69D9" w:rsidRPr="00BB5480">
        <w:rPr>
          <w:sz w:val="24"/>
          <w:szCs w:val="24"/>
        </w:rPr>
        <w:t>Fidell</w:t>
      </w:r>
      <w:proofErr w:type="spellEnd"/>
      <w:r w:rsidR="00DA69D9" w:rsidRPr="00BB5480">
        <w:rPr>
          <w:sz w:val="24"/>
          <w:szCs w:val="24"/>
        </w:rPr>
        <w:t>, 2007, p. 715). Although in other places in the literature, ratios below 3 are also considered acceptable (e.g. Bond et al., 2011). In addition,</w:t>
      </w:r>
      <w:r w:rsidR="005D4C55" w:rsidRPr="00BB5480">
        <w:rPr>
          <w:sz w:val="24"/>
          <w:szCs w:val="24"/>
        </w:rPr>
        <w:t xml:space="preserve"> due to criticisms (see Brown, 2006, p. 81), Chi-square ten</w:t>
      </w:r>
      <w:r w:rsidR="00C42F10" w:rsidRPr="00BB5480">
        <w:rPr>
          <w:sz w:val="24"/>
          <w:szCs w:val="24"/>
        </w:rPr>
        <w:t xml:space="preserve">ds not to be used in isolation and </w:t>
      </w:r>
      <w:r w:rsidR="005D4C55" w:rsidRPr="00BB5480">
        <w:rPr>
          <w:sz w:val="24"/>
          <w:szCs w:val="24"/>
        </w:rPr>
        <w:t>alternative fit indices are also used. B</w:t>
      </w:r>
      <w:r w:rsidR="00DA69D9" w:rsidRPr="00BB5480">
        <w:rPr>
          <w:sz w:val="24"/>
          <w:szCs w:val="24"/>
        </w:rPr>
        <w:t xml:space="preserve">ased on Hu and </w:t>
      </w:r>
      <w:proofErr w:type="spellStart"/>
      <w:r w:rsidR="00DA69D9" w:rsidRPr="00BB5480">
        <w:rPr>
          <w:sz w:val="24"/>
          <w:szCs w:val="24"/>
        </w:rPr>
        <w:t>Bentler</w:t>
      </w:r>
      <w:proofErr w:type="spellEnd"/>
      <w:r w:rsidR="00DA69D9" w:rsidRPr="00BB5480">
        <w:rPr>
          <w:sz w:val="24"/>
          <w:szCs w:val="24"/>
        </w:rPr>
        <w:t xml:space="preserve"> (1998) and previous CFA work in the ACT literature (Bond et al., 2011, 2013), three alternative fit indices w</w:t>
      </w:r>
      <w:r w:rsidR="005D4C55" w:rsidRPr="00BB5480">
        <w:rPr>
          <w:sz w:val="24"/>
          <w:szCs w:val="24"/>
        </w:rPr>
        <w:t xml:space="preserve">ere </w:t>
      </w:r>
      <w:r w:rsidR="00DA69D9" w:rsidRPr="00BB5480">
        <w:rPr>
          <w:sz w:val="24"/>
          <w:szCs w:val="24"/>
        </w:rPr>
        <w:t xml:space="preserve">used: CFI (comparative fit index; a baseline comparison), </w:t>
      </w:r>
      <w:proofErr w:type="spellStart"/>
      <w:r w:rsidR="00DA69D9" w:rsidRPr="00BB5480">
        <w:rPr>
          <w:sz w:val="24"/>
          <w:szCs w:val="24"/>
        </w:rPr>
        <w:t>RMSEA</w:t>
      </w:r>
      <w:proofErr w:type="spellEnd"/>
      <w:r w:rsidR="00DA69D9" w:rsidRPr="00BB5480">
        <w:rPr>
          <w:sz w:val="24"/>
          <w:szCs w:val="24"/>
        </w:rPr>
        <w:t xml:space="preserve"> (root mean square error of approximation; parsimony corrected) and </w:t>
      </w:r>
      <w:proofErr w:type="spellStart"/>
      <w:r w:rsidR="00DA69D9" w:rsidRPr="00BB5480">
        <w:rPr>
          <w:sz w:val="24"/>
          <w:szCs w:val="24"/>
        </w:rPr>
        <w:t>SRMR</w:t>
      </w:r>
      <w:proofErr w:type="spellEnd"/>
      <w:r w:rsidR="00DA69D9" w:rsidRPr="00BB5480">
        <w:rPr>
          <w:sz w:val="24"/>
          <w:szCs w:val="24"/>
        </w:rPr>
        <w:t xml:space="preserve"> (standardised root mean square residual; absolute / residual based). The CFI falls on a range from 0-1. A good fit is indicated by larger figures. Figures at or above .95 are desired (Brown, 2006; Harrington, 2009; Kline, 2011). For the </w:t>
      </w:r>
      <w:proofErr w:type="spellStart"/>
      <w:r w:rsidR="00DA69D9" w:rsidRPr="00BB5480">
        <w:rPr>
          <w:sz w:val="24"/>
          <w:szCs w:val="24"/>
        </w:rPr>
        <w:t>RMSEA</w:t>
      </w:r>
      <w:proofErr w:type="spellEnd"/>
      <w:r w:rsidR="00DA69D9" w:rsidRPr="00BB5480">
        <w:rPr>
          <w:sz w:val="24"/>
          <w:szCs w:val="24"/>
        </w:rPr>
        <w:t xml:space="preserve">, smaller figures are desired and figures of .05 or less (Kline, 2011), or .06 or less (Harrington, 2009) are ideal. It is also recommended to report the confidence intervals </w:t>
      </w:r>
      <w:r w:rsidR="00B42BAA" w:rsidRPr="00BB5480">
        <w:rPr>
          <w:sz w:val="24"/>
          <w:szCs w:val="24"/>
        </w:rPr>
        <w:t xml:space="preserve">(CIs) </w:t>
      </w:r>
      <w:r w:rsidR="00DA69D9" w:rsidRPr="00BB5480">
        <w:rPr>
          <w:sz w:val="24"/>
          <w:szCs w:val="24"/>
        </w:rPr>
        <w:t xml:space="preserve">for the </w:t>
      </w:r>
      <w:proofErr w:type="spellStart"/>
      <w:r w:rsidR="00DA69D9" w:rsidRPr="00BB5480">
        <w:rPr>
          <w:sz w:val="24"/>
          <w:szCs w:val="24"/>
        </w:rPr>
        <w:t>RMSEA</w:t>
      </w:r>
      <w:proofErr w:type="spellEnd"/>
      <w:r w:rsidR="00DA69D9" w:rsidRPr="00BB5480">
        <w:rPr>
          <w:sz w:val="24"/>
          <w:szCs w:val="24"/>
        </w:rPr>
        <w:t xml:space="preserve">. Some note that the higher CI should, ideally, be less than .10 (Kline, 2011). Finally, the </w:t>
      </w:r>
      <w:proofErr w:type="spellStart"/>
      <w:r w:rsidR="00DA69D9" w:rsidRPr="00BB5480">
        <w:rPr>
          <w:sz w:val="24"/>
          <w:szCs w:val="24"/>
        </w:rPr>
        <w:t>SRMR</w:t>
      </w:r>
      <w:proofErr w:type="spellEnd"/>
      <w:r w:rsidR="00DA69D9" w:rsidRPr="00BB5480">
        <w:rPr>
          <w:sz w:val="24"/>
          <w:szCs w:val="24"/>
        </w:rPr>
        <w:t xml:space="preserve"> falls on a range of 0</w:t>
      </w:r>
      <w:r w:rsidR="00A13CB3">
        <w:rPr>
          <w:sz w:val="24"/>
          <w:szCs w:val="24"/>
        </w:rPr>
        <w:t xml:space="preserve"> to </w:t>
      </w:r>
      <w:r w:rsidR="00DA69D9" w:rsidRPr="00BB5480">
        <w:rPr>
          <w:sz w:val="24"/>
          <w:szCs w:val="24"/>
        </w:rPr>
        <w:t>1. Here, smaller values indicate better fit. Ideally figures that are =&lt; .08 (Harrington, 2009) or =&lt; .10 (Kline, 2011, p. 140) are desired.</w:t>
      </w:r>
    </w:p>
    <w:p w14:paraId="45882BD4" w14:textId="77777777" w:rsidR="00DA69D9" w:rsidRPr="00BB5480" w:rsidRDefault="00DA69D9">
      <w:pPr>
        <w:spacing w:line="360" w:lineRule="auto"/>
        <w:jc w:val="center"/>
        <w:rPr>
          <w:b/>
          <w:bCs/>
          <w:sz w:val="24"/>
          <w:szCs w:val="24"/>
        </w:rPr>
      </w:pPr>
      <w:r w:rsidRPr="00BB5480">
        <w:rPr>
          <w:b/>
          <w:bCs/>
          <w:sz w:val="24"/>
          <w:szCs w:val="24"/>
        </w:rPr>
        <w:t>Method</w:t>
      </w:r>
    </w:p>
    <w:p w14:paraId="14063B29" w14:textId="77777777" w:rsidR="00DA69D9" w:rsidRPr="00BB5480" w:rsidRDefault="00DA69D9">
      <w:pPr>
        <w:spacing w:line="360" w:lineRule="auto"/>
        <w:rPr>
          <w:sz w:val="24"/>
          <w:szCs w:val="24"/>
        </w:rPr>
      </w:pPr>
      <w:r w:rsidRPr="00BB5480">
        <w:rPr>
          <w:b/>
          <w:bCs/>
          <w:sz w:val="24"/>
          <w:szCs w:val="24"/>
        </w:rPr>
        <w:t>Procedure</w:t>
      </w:r>
    </w:p>
    <w:p w14:paraId="4E1850E3" w14:textId="6E7A390E" w:rsidR="00DA69D9" w:rsidRPr="00BB5480" w:rsidRDefault="00DA69D9">
      <w:pPr>
        <w:spacing w:line="360" w:lineRule="auto"/>
        <w:rPr>
          <w:rFonts w:cs="Arial"/>
          <w:sz w:val="24"/>
          <w:szCs w:val="24"/>
        </w:rPr>
      </w:pPr>
      <w:r w:rsidRPr="00BB5480">
        <w:rPr>
          <w:sz w:val="24"/>
          <w:szCs w:val="24"/>
        </w:rPr>
        <w:tab/>
      </w:r>
      <w:r w:rsidR="000216AA" w:rsidRPr="00BB5480">
        <w:rPr>
          <w:sz w:val="24"/>
          <w:szCs w:val="24"/>
        </w:rPr>
        <w:t xml:space="preserve">Confirmatory factor analysis (CFA) was performed using AMOS version 24 (Arbuckle, 2016) </w:t>
      </w:r>
      <w:r w:rsidR="00562E19" w:rsidRPr="00BB5480">
        <w:rPr>
          <w:sz w:val="24"/>
          <w:szCs w:val="24"/>
        </w:rPr>
        <w:t>on</w:t>
      </w:r>
      <w:r w:rsidR="000216AA" w:rsidRPr="00BB5480">
        <w:rPr>
          <w:sz w:val="24"/>
          <w:szCs w:val="24"/>
        </w:rPr>
        <w:t xml:space="preserve"> three separate </w:t>
      </w:r>
      <w:r w:rsidR="00104904" w:rsidRPr="00BB5480">
        <w:rPr>
          <w:sz w:val="24"/>
          <w:szCs w:val="24"/>
        </w:rPr>
        <w:t>samples</w:t>
      </w:r>
      <w:r w:rsidR="000216AA" w:rsidRPr="00BB5480">
        <w:rPr>
          <w:sz w:val="24"/>
          <w:szCs w:val="24"/>
        </w:rPr>
        <w:t xml:space="preserve">. </w:t>
      </w:r>
      <w:r w:rsidR="00FD425D" w:rsidRPr="00BB5480">
        <w:rPr>
          <w:sz w:val="24"/>
          <w:szCs w:val="24"/>
        </w:rPr>
        <w:t>Strategically</w:t>
      </w:r>
      <w:r w:rsidR="00A354BA" w:rsidRPr="00BB5480">
        <w:rPr>
          <w:sz w:val="24"/>
          <w:szCs w:val="24"/>
        </w:rPr>
        <w:t>,</w:t>
      </w:r>
      <w:r w:rsidR="00FD425D" w:rsidRPr="00BB5480">
        <w:rPr>
          <w:sz w:val="24"/>
          <w:szCs w:val="24"/>
        </w:rPr>
        <w:t xml:space="preserve"> revisions to the model could be made following the CFA on the first </w:t>
      </w:r>
      <w:r w:rsidR="00104904" w:rsidRPr="00BB5480">
        <w:rPr>
          <w:sz w:val="24"/>
          <w:szCs w:val="24"/>
        </w:rPr>
        <w:t>sample</w:t>
      </w:r>
      <w:r w:rsidR="00562E19" w:rsidRPr="00BB5480">
        <w:rPr>
          <w:sz w:val="24"/>
          <w:szCs w:val="24"/>
        </w:rPr>
        <w:t>, while</w:t>
      </w:r>
      <w:r w:rsidR="00FD425D" w:rsidRPr="00BB5480">
        <w:rPr>
          <w:sz w:val="24"/>
          <w:szCs w:val="24"/>
        </w:rPr>
        <w:t xml:space="preserve"> </w:t>
      </w:r>
      <w:r w:rsidR="00104904" w:rsidRPr="00BB5480">
        <w:rPr>
          <w:sz w:val="24"/>
          <w:szCs w:val="24"/>
        </w:rPr>
        <w:t>further samples</w:t>
      </w:r>
      <w:r w:rsidR="00FD425D" w:rsidRPr="00BB5480">
        <w:rPr>
          <w:sz w:val="24"/>
          <w:szCs w:val="24"/>
        </w:rPr>
        <w:t xml:space="preserve"> would </w:t>
      </w:r>
      <w:r w:rsidR="00562E19" w:rsidRPr="00BB5480">
        <w:rPr>
          <w:sz w:val="24"/>
          <w:szCs w:val="24"/>
        </w:rPr>
        <w:t xml:space="preserve">be used to </w:t>
      </w:r>
      <w:r w:rsidR="00BD0469" w:rsidRPr="00BB5480">
        <w:rPr>
          <w:sz w:val="24"/>
          <w:szCs w:val="24"/>
        </w:rPr>
        <w:t>re-</w:t>
      </w:r>
      <w:r w:rsidR="00565D9F" w:rsidRPr="00BB5480">
        <w:rPr>
          <w:sz w:val="24"/>
          <w:szCs w:val="24"/>
        </w:rPr>
        <w:t>test</w:t>
      </w:r>
      <w:r w:rsidR="00FD425D" w:rsidRPr="00BB5480">
        <w:rPr>
          <w:sz w:val="24"/>
          <w:szCs w:val="24"/>
        </w:rPr>
        <w:t xml:space="preserve"> the performance of the revised model. In more detail, a</w:t>
      </w:r>
      <w:r w:rsidR="000216AA" w:rsidRPr="00BB5480">
        <w:rPr>
          <w:sz w:val="24"/>
          <w:szCs w:val="24"/>
        </w:rPr>
        <w:t xml:space="preserve">n initial CFA was performed to </w:t>
      </w:r>
      <w:r w:rsidR="00FD425D" w:rsidRPr="00BB5480">
        <w:rPr>
          <w:sz w:val="24"/>
          <w:szCs w:val="24"/>
        </w:rPr>
        <w:t xml:space="preserve">both </w:t>
      </w:r>
      <w:r w:rsidR="000216AA" w:rsidRPr="00BB5480">
        <w:rPr>
          <w:sz w:val="24"/>
          <w:szCs w:val="24"/>
        </w:rPr>
        <w:t>test the fit of new data to the model from study 2</w:t>
      </w:r>
      <w:r w:rsidR="00FD425D" w:rsidRPr="00BB5480">
        <w:rPr>
          <w:sz w:val="24"/>
          <w:szCs w:val="24"/>
        </w:rPr>
        <w:t>,</w:t>
      </w:r>
      <w:r w:rsidR="000216AA" w:rsidRPr="00BB5480">
        <w:rPr>
          <w:sz w:val="24"/>
          <w:szCs w:val="24"/>
        </w:rPr>
        <w:t xml:space="preserve"> and </w:t>
      </w:r>
      <w:r w:rsidR="00565D9F" w:rsidRPr="00BB5480">
        <w:rPr>
          <w:sz w:val="24"/>
          <w:szCs w:val="24"/>
        </w:rPr>
        <w:t xml:space="preserve">to </w:t>
      </w:r>
      <w:r w:rsidR="00FD425D" w:rsidRPr="00BB5480">
        <w:rPr>
          <w:sz w:val="24"/>
          <w:szCs w:val="24"/>
        </w:rPr>
        <w:t xml:space="preserve">revise </w:t>
      </w:r>
      <w:r w:rsidR="000216AA" w:rsidRPr="00BB5480">
        <w:rPr>
          <w:sz w:val="24"/>
          <w:szCs w:val="24"/>
        </w:rPr>
        <w:t>the model as necessary. Afterwards a second CFA</w:t>
      </w:r>
      <w:r w:rsidR="00104904" w:rsidRPr="00BB5480">
        <w:rPr>
          <w:sz w:val="24"/>
          <w:szCs w:val="24"/>
        </w:rPr>
        <w:t xml:space="preserve">, using the revised model, </w:t>
      </w:r>
      <w:r w:rsidR="000216AA" w:rsidRPr="00BB5480">
        <w:rPr>
          <w:sz w:val="24"/>
          <w:szCs w:val="24"/>
        </w:rPr>
        <w:t xml:space="preserve">was performed on </w:t>
      </w:r>
      <w:r w:rsidR="00FD425D" w:rsidRPr="00BB5480">
        <w:rPr>
          <w:sz w:val="24"/>
          <w:szCs w:val="24"/>
        </w:rPr>
        <w:t xml:space="preserve">a </w:t>
      </w:r>
      <w:r w:rsidR="000216AA" w:rsidRPr="00BB5480">
        <w:rPr>
          <w:sz w:val="24"/>
          <w:szCs w:val="24"/>
        </w:rPr>
        <w:t>new sample of data. Finally a third CFA</w:t>
      </w:r>
      <w:r w:rsidR="00104904" w:rsidRPr="00BB5480">
        <w:rPr>
          <w:sz w:val="24"/>
          <w:szCs w:val="24"/>
        </w:rPr>
        <w:t>,</w:t>
      </w:r>
      <w:r w:rsidR="000216AA" w:rsidRPr="00BB5480">
        <w:rPr>
          <w:sz w:val="24"/>
          <w:szCs w:val="24"/>
        </w:rPr>
        <w:t xml:space="preserve"> </w:t>
      </w:r>
      <w:r w:rsidR="00104904" w:rsidRPr="00BB5480">
        <w:rPr>
          <w:sz w:val="24"/>
          <w:szCs w:val="24"/>
        </w:rPr>
        <w:t xml:space="preserve">re-testing the revised model, </w:t>
      </w:r>
      <w:r w:rsidR="000216AA" w:rsidRPr="00BB5480">
        <w:rPr>
          <w:sz w:val="24"/>
          <w:szCs w:val="24"/>
        </w:rPr>
        <w:t>was performed on another separate sample</w:t>
      </w:r>
      <w:r w:rsidR="00FD425D" w:rsidRPr="00BB5480">
        <w:rPr>
          <w:sz w:val="24"/>
          <w:szCs w:val="24"/>
        </w:rPr>
        <w:t>.</w:t>
      </w:r>
      <w:r w:rsidRPr="00BB5480">
        <w:rPr>
          <w:sz w:val="24"/>
          <w:szCs w:val="24"/>
        </w:rPr>
        <w:tab/>
        <w:t xml:space="preserve">Data for </w:t>
      </w:r>
      <w:r w:rsidR="00B24C0E" w:rsidRPr="00BB5480">
        <w:rPr>
          <w:sz w:val="24"/>
          <w:szCs w:val="24"/>
        </w:rPr>
        <w:t xml:space="preserve">the first </w:t>
      </w:r>
      <w:r w:rsidRPr="00BB5480">
        <w:rPr>
          <w:sz w:val="24"/>
          <w:szCs w:val="24"/>
        </w:rPr>
        <w:t xml:space="preserve">CFA </w:t>
      </w:r>
      <w:r w:rsidR="00106F52" w:rsidRPr="00BB5480">
        <w:rPr>
          <w:sz w:val="24"/>
          <w:szCs w:val="24"/>
        </w:rPr>
        <w:t xml:space="preserve">(1.0 &amp; 1.1) </w:t>
      </w:r>
      <w:r w:rsidR="00B24C0E" w:rsidRPr="00BB5480">
        <w:rPr>
          <w:sz w:val="24"/>
          <w:szCs w:val="24"/>
        </w:rPr>
        <w:t>uses</w:t>
      </w:r>
      <w:r w:rsidRPr="00BB5480">
        <w:rPr>
          <w:sz w:val="24"/>
          <w:szCs w:val="24"/>
        </w:rPr>
        <w:t xml:space="preserve"> </w:t>
      </w:r>
      <w:r w:rsidR="00633FA9" w:rsidRPr="00BB5480">
        <w:rPr>
          <w:sz w:val="24"/>
          <w:szCs w:val="24"/>
        </w:rPr>
        <w:t>s</w:t>
      </w:r>
      <w:r w:rsidR="00A54D35" w:rsidRPr="00BB5480">
        <w:rPr>
          <w:sz w:val="24"/>
          <w:szCs w:val="24"/>
        </w:rPr>
        <w:t xml:space="preserve">ample </w:t>
      </w:r>
      <w:r w:rsidR="00B24C0E" w:rsidRPr="00BB5480">
        <w:rPr>
          <w:sz w:val="24"/>
          <w:szCs w:val="24"/>
        </w:rPr>
        <w:t xml:space="preserve">3 </w:t>
      </w:r>
      <w:r w:rsidR="00633FA9" w:rsidRPr="00BB5480">
        <w:rPr>
          <w:sz w:val="24"/>
          <w:szCs w:val="24"/>
        </w:rPr>
        <w:t xml:space="preserve">and </w:t>
      </w:r>
      <w:r w:rsidR="00106F52" w:rsidRPr="00BB5480">
        <w:rPr>
          <w:sz w:val="24"/>
          <w:szCs w:val="24"/>
        </w:rPr>
        <w:t xml:space="preserve">was collected using </w:t>
      </w:r>
      <w:proofErr w:type="spellStart"/>
      <w:r w:rsidR="00106F52" w:rsidRPr="00BB5480">
        <w:rPr>
          <w:sz w:val="24"/>
          <w:szCs w:val="24"/>
        </w:rPr>
        <w:t>Limesurvey</w:t>
      </w:r>
      <w:proofErr w:type="spellEnd"/>
      <w:r w:rsidR="00106F52" w:rsidRPr="00BB5480">
        <w:rPr>
          <w:sz w:val="24"/>
          <w:szCs w:val="24"/>
        </w:rPr>
        <w:t>. Participants were recruited through e-mails to departments within UK universities and other educational establishments asking for the questionnaire to be distributed to staff and students. E</w:t>
      </w:r>
      <w:r w:rsidR="00106F52" w:rsidRPr="00BB5480">
        <w:rPr>
          <w:rFonts w:cs="Arial"/>
          <w:sz w:val="24"/>
          <w:szCs w:val="24"/>
        </w:rPr>
        <w:t>thical permission was sought and received for this study. Sample 3 is also used in study 4.</w:t>
      </w:r>
    </w:p>
    <w:p w14:paraId="15E3E8C3" w14:textId="3824B480" w:rsidR="00DA69D9" w:rsidRPr="00BB5480" w:rsidRDefault="00DA69D9">
      <w:pPr>
        <w:spacing w:line="360" w:lineRule="auto"/>
        <w:rPr>
          <w:rFonts w:cs="Arial"/>
          <w:sz w:val="24"/>
          <w:szCs w:val="24"/>
        </w:rPr>
      </w:pPr>
      <w:r w:rsidRPr="00BB5480">
        <w:rPr>
          <w:rFonts w:cs="Arial"/>
          <w:sz w:val="24"/>
          <w:szCs w:val="24"/>
        </w:rPr>
        <w:tab/>
      </w:r>
      <w:r w:rsidRPr="00BB5480">
        <w:rPr>
          <w:sz w:val="24"/>
          <w:szCs w:val="24"/>
        </w:rPr>
        <w:t xml:space="preserve">Data for </w:t>
      </w:r>
      <w:r w:rsidR="00B24C0E" w:rsidRPr="00BB5480">
        <w:rPr>
          <w:sz w:val="24"/>
          <w:szCs w:val="24"/>
        </w:rPr>
        <w:t xml:space="preserve">the second </w:t>
      </w:r>
      <w:r w:rsidRPr="00BB5480">
        <w:rPr>
          <w:sz w:val="24"/>
          <w:szCs w:val="24"/>
        </w:rPr>
        <w:t xml:space="preserve">CFA was collected by the first author using </w:t>
      </w:r>
      <w:proofErr w:type="spellStart"/>
      <w:r w:rsidRPr="00BB5480">
        <w:rPr>
          <w:sz w:val="24"/>
          <w:szCs w:val="24"/>
        </w:rPr>
        <w:t>Limesurvey</w:t>
      </w:r>
      <w:proofErr w:type="spellEnd"/>
      <w:r w:rsidR="00B24C0E" w:rsidRPr="00BB5480">
        <w:rPr>
          <w:sz w:val="24"/>
          <w:szCs w:val="24"/>
        </w:rPr>
        <w:t xml:space="preserve"> and </w:t>
      </w:r>
      <w:r w:rsidR="00B24C0E" w:rsidRPr="00BB5480">
        <w:rPr>
          <w:sz w:val="24"/>
          <w:szCs w:val="24"/>
        </w:rPr>
        <w:lastRenderedPageBreak/>
        <w:t xml:space="preserve">comprises </w:t>
      </w:r>
      <w:r w:rsidR="00A54D35" w:rsidRPr="00BB5480">
        <w:rPr>
          <w:sz w:val="24"/>
          <w:szCs w:val="24"/>
        </w:rPr>
        <w:t xml:space="preserve">sample </w:t>
      </w:r>
      <w:r w:rsidR="00B24C0E" w:rsidRPr="00BB5480">
        <w:rPr>
          <w:sz w:val="24"/>
          <w:szCs w:val="24"/>
        </w:rPr>
        <w:t>4</w:t>
      </w:r>
      <w:r w:rsidR="007A6F0D" w:rsidRPr="00BB5480">
        <w:rPr>
          <w:sz w:val="24"/>
          <w:szCs w:val="24"/>
        </w:rPr>
        <w:t>.</w:t>
      </w:r>
      <w:r w:rsidR="00106F52" w:rsidRPr="00BB5480">
        <w:rPr>
          <w:sz w:val="24"/>
          <w:szCs w:val="24"/>
        </w:rPr>
        <w:t xml:space="preserve"> It comes from a number of different final year psychology research projects, supervised by the first author. These projects are all different data sets from those used in study 2 (sample 2), and were collected during a different academic year. </w:t>
      </w:r>
      <w:r w:rsidR="00106F52" w:rsidRPr="00BB5480">
        <w:rPr>
          <w:rFonts w:cs="Arial"/>
          <w:sz w:val="24"/>
          <w:szCs w:val="24"/>
        </w:rPr>
        <w:t>Ethical permission was sought and received for each of the projects and data was carefully screened to remove participants who contributed data to more than one project.</w:t>
      </w:r>
    </w:p>
    <w:p w14:paraId="63654193" w14:textId="30BA9726" w:rsidR="0033736D" w:rsidRPr="00BB5480" w:rsidRDefault="0033736D" w:rsidP="0033736D">
      <w:pPr>
        <w:spacing w:line="360" w:lineRule="auto"/>
        <w:ind w:firstLine="709"/>
        <w:rPr>
          <w:b/>
          <w:bCs/>
          <w:sz w:val="24"/>
          <w:szCs w:val="24"/>
        </w:rPr>
      </w:pPr>
      <w:r w:rsidRPr="00BB5480">
        <w:rPr>
          <w:sz w:val="24"/>
          <w:szCs w:val="24"/>
        </w:rPr>
        <w:t xml:space="preserve">Data for </w:t>
      </w:r>
      <w:r w:rsidR="00BB2AC6" w:rsidRPr="00BB5480">
        <w:rPr>
          <w:sz w:val="24"/>
          <w:szCs w:val="24"/>
        </w:rPr>
        <w:t xml:space="preserve">the </w:t>
      </w:r>
      <w:r w:rsidR="008D51DB" w:rsidRPr="00BB5480">
        <w:rPr>
          <w:sz w:val="24"/>
          <w:szCs w:val="24"/>
        </w:rPr>
        <w:t xml:space="preserve">third and </w:t>
      </w:r>
      <w:r w:rsidR="00BB2AC6" w:rsidRPr="00BB5480">
        <w:rPr>
          <w:sz w:val="24"/>
          <w:szCs w:val="24"/>
        </w:rPr>
        <w:t xml:space="preserve">final </w:t>
      </w:r>
      <w:r w:rsidRPr="00BB5480">
        <w:rPr>
          <w:sz w:val="24"/>
          <w:szCs w:val="24"/>
        </w:rPr>
        <w:t xml:space="preserve">CFA </w:t>
      </w:r>
      <w:r w:rsidR="00A54D35" w:rsidRPr="00BB5480">
        <w:rPr>
          <w:sz w:val="24"/>
          <w:szCs w:val="24"/>
        </w:rPr>
        <w:t xml:space="preserve">is the unanalysed half of sample </w:t>
      </w:r>
      <w:r w:rsidR="00BB2AC6" w:rsidRPr="00BB5480">
        <w:rPr>
          <w:sz w:val="24"/>
          <w:szCs w:val="24"/>
        </w:rPr>
        <w:t xml:space="preserve">1 </w:t>
      </w:r>
      <w:r w:rsidRPr="00BB5480">
        <w:rPr>
          <w:sz w:val="24"/>
          <w:szCs w:val="24"/>
        </w:rPr>
        <w:t>from study 1</w:t>
      </w:r>
      <w:r w:rsidR="00BB2AC6" w:rsidRPr="00BB5480">
        <w:rPr>
          <w:sz w:val="24"/>
          <w:szCs w:val="24"/>
        </w:rPr>
        <w:t xml:space="preserve"> (i.e. </w:t>
      </w:r>
      <w:r w:rsidR="00A54D35" w:rsidRPr="00BB5480">
        <w:rPr>
          <w:sz w:val="24"/>
          <w:szCs w:val="24"/>
        </w:rPr>
        <w:t>sample</w:t>
      </w:r>
      <w:r w:rsidR="00BB2AC6" w:rsidRPr="00BB5480">
        <w:rPr>
          <w:sz w:val="24"/>
          <w:szCs w:val="24"/>
        </w:rPr>
        <w:t xml:space="preserve"> </w:t>
      </w:r>
      <w:proofErr w:type="spellStart"/>
      <w:r w:rsidR="00BB2AC6" w:rsidRPr="00BB5480">
        <w:rPr>
          <w:sz w:val="24"/>
          <w:szCs w:val="24"/>
        </w:rPr>
        <w:t>1b</w:t>
      </w:r>
      <w:proofErr w:type="spellEnd"/>
      <w:r w:rsidR="00BB2AC6" w:rsidRPr="00BB5480">
        <w:rPr>
          <w:sz w:val="24"/>
          <w:szCs w:val="24"/>
        </w:rPr>
        <w:t>)</w:t>
      </w:r>
      <w:r w:rsidRPr="00BB5480">
        <w:rPr>
          <w:sz w:val="24"/>
          <w:szCs w:val="24"/>
        </w:rPr>
        <w:t xml:space="preserve">. It should be noted that after study 1, </w:t>
      </w:r>
      <w:r w:rsidRPr="00421153">
        <w:rPr>
          <w:sz w:val="24"/>
          <w:szCs w:val="24"/>
        </w:rPr>
        <w:t xml:space="preserve">study 2 made a small number of changes to the item content of the EPIC (see study 2). </w:t>
      </w:r>
      <w:r w:rsidR="00A13CB3" w:rsidRPr="00A13CB3">
        <w:rPr>
          <w:sz w:val="24"/>
          <w:szCs w:val="24"/>
        </w:rPr>
        <w:t xml:space="preserve">Comparing the item content of the EPIC at the start of the CFA process (11 items) between sample </w:t>
      </w:r>
      <w:proofErr w:type="spellStart"/>
      <w:r w:rsidR="00A13CB3" w:rsidRPr="00A13CB3">
        <w:rPr>
          <w:sz w:val="24"/>
          <w:szCs w:val="24"/>
        </w:rPr>
        <w:t>1b</w:t>
      </w:r>
      <w:proofErr w:type="spellEnd"/>
      <w:r w:rsidR="00A13CB3" w:rsidRPr="00A13CB3">
        <w:rPr>
          <w:sz w:val="24"/>
          <w:szCs w:val="24"/>
        </w:rPr>
        <w:t xml:space="preserve"> and samples 3 and 4: the wording of three out of seven items are identical. Four further items have single word differences (specifically: difficult to uncomfortable; difficult to unpleasant; difficult to disagreeable; and tasks to activities). In total, four words across 11 items have changed (4 words out of 123).</w:t>
      </w:r>
      <w:r w:rsidR="00A13CB3">
        <w:rPr>
          <w:sz w:val="24"/>
          <w:szCs w:val="24"/>
        </w:rPr>
        <w:t xml:space="preserve"> </w:t>
      </w:r>
      <w:r w:rsidRPr="00421153">
        <w:rPr>
          <w:sz w:val="24"/>
          <w:szCs w:val="24"/>
        </w:rPr>
        <w:t>We acknowledge the potential difference this may make</w:t>
      </w:r>
      <w:r w:rsidR="00BB2AC6" w:rsidRPr="00421153">
        <w:rPr>
          <w:sz w:val="24"/>
          <w:szCs w:val="24"/>
        </w:rPr>
        <w:t>.</w:t>
      </w:r>
      <w:r w:rsidRPr="00421153">
        <w:rPr>
          <w:sz w:val="24"/>
          <w:szCs w:val="24"/>
        </w:rPr>
        <w:t xml:space="preserve"> </w:t>
      </w:r>
      <w:r w:rsidR="00BB2AC6" w:rsidRPr="00421153">
        <w:rPr>
          <w:sz w:val="24"/>
          <w:szCs w:val="24"/>
        </w:rPr>
        <w:t>H</w:t>
      </w:r>
      <w:r w:rsidRPr="00421153">
        <w:rPr>
          <w:sz w:val="24"/>
          <w:szCs w:val="24"/>
        </w:rPr>
        <w:t xml:space="preserve">owever </w:t>
      </w:r>
      <w:r w:rsidR="00BB2AC6" w:rsidRPr="00421153">
        <w:rPr>
          <w:sz w:val="24"/>
          <w:szCs w:val="24"/>
        </w:rPr>
        <w:t xml:space="preserve">we </w:t>
      </w:r>
      <w:r w:rsidRPr="00421153">
        <w:rPr>
          <w:sz w:val="24"/>
          <w:szCs w:val="24"/>
        </w:rPr>
        <w:t xml:space="preserve">still include the </w:t>
      </w:r>
      <w:r w:rsidR="00BB2AC6" w:rsidRPr="00421153">
        <w:rPr>
          <w:sz w:val="24"/>
          <w:szCs w:val="24"/>
        </w:rPr>
        <w:t xml:space="preserve">CFA results from the </w:t>
      </w:r>
      <w:r w:rsidR="00A54D35" w:rsidRPr="00421153">
        <w:rPr>
          <w:sz w:val="24"/>
          <w:szCs w:val="24"/>
        </w:rPr>
        <w:t>sample</w:t>
      </w:r>
      <w:r w:rsidR="00BB2AC6" w:rsidRPr="00421153">
        <w:rPr>
          <w:sz w:val="24"/>
          <w:szCs w:val="24"/>
        </w:rPr>
        <w:t xml:space="preserve"> </w:t>
      </w:r>
      <w:r w:rsidR="00252E7B" w:rsidRPr="00421153">
        <w:rPr>
          <w:sz w:val="24"/>
          <w:szCs w:val="24"/>
        </w:rPr>
        <w:t>for completeness</w:t>
      </w:r>
      <w:r w:rsidR="00252E7B" w:rsidRPr="00BB5480">
        <w:rPr>
          <w:sz w:val="24"/>
          <w:szCs w:val="24"/>
        </w:rPr>
        <w:t>.</w:t>
      </w:r>
    </w:p>
    <w:p w14:paraId="3E91A235" w14:textId="77777777" w:rsidR="00DA69D9" w:rsidRPr="00BB5480" w:rsidRDefault="00DA69D9">
      <w:pPr>
        <w:pStyle w:val="BodyText"/>
      </w:pPr>
      <w:r w:rsidRPr="00BB5480">
        <w:rPr>
          <w:b/>
          <w:bCs/>
        </w:rPr>
        <w:t>Participants</w:t>
      </w:r>
    </w:p>
    <w:p w14:paraId="7408A41E" w14:textId="0750F305" w:rsidR="00DA69D9" w:rsidRPr="00BB5480" w:rsidRDefault="00DA69D9">
      <w:pPr>
        <w:pStyle w:val="BodyTextFirstIndent"/>
        <w:rPr>
          <w:rFonts w:cs="Arial"/>
        </w:rPr>
      </w:pPr>
      <w:r w:rsidRPr="00BB5480">
        <w:t>CFA 1</w:t>
      </w:r>
      <w:r w:rsidR="002324EB" w:rsidRPr="00BB5480">
        <w:t>.0 and 1.1</w:t>
      </w:r>
      <w:r w:rsidR="00DC45A9" w:rsidRPr="00BB5480">
        <w:t xml:space="preserve"> </w:t>
      </w:r>
      <w:r w:rsidR="002324EB" w:rsidRPr="00BB5480">
        <w:rPr>
          <w:rFonts w:cs="Arial"/>
        </w:rPr>
        <w:t xml:space="preserve">(sample </w:t>
      </w:r>
      <w:r w:rsidR="008D51DB" w:rsidRPr="00BB5480">
        <w:rPr>
          <w:rFonts w:cs="Arial"/>
        </w:rPr>
        <w:t>3</w:t>
      </w:r>
      <w:r w:rsidR="002324EB" w:rsidRPr="00BB5480">
        <w:rPr>
          <w:rFonts w:cs="Arial"/>
        </w:rPr>
        <w:t xml:space="preserve">). This sample included 280 participants </w:t>
      </w:r>
      <w:r w:rsidR="002324EB" w:rsidRPr="00BB5480">
        <w:t>who provided complete data for the EPIC items.</w:t>
      </w:r>
      <w:r w:rsidR="002324EB" w:rsidRPr="00BB5480">
        <w:rPr>
          <w:rFonts w:cs="Arial"/>
        </w:rPr>
        <w:t xml:space="preserve"> Of these, </w:t>
      </w:r>
      <w:r w:rsidR="002324EB" w:rsidRPr="00BB5480">
        <w:t xml:space="preserve">61% were female, with an average age of 29.2 years (SD 12.1). In terms of geographical location: UK (89%), rest of Europe (6%). Regarding ethnicity: White (93%). In terms of highest level of education: GCSE's or A-levels (38%), undergraduate degree (26%), postgraduate degree (25%). </w:t>
      </w:r>
      <w:r w:rsidR="00F34351" w:rsidRPr="00BB5480">
        <w:t>Before conducting the CFA, the data were tested for multivariate normality.</w:t>
      </w:r>
      <w:r w:rsidR="00F34351">
        <w:t xml:space="preserve"> </w:t>
      </w:r>
      <w:r w:rsidR="002324EB" w:rsidRPr="00BB5480">
        <w:t xml:space="preserve">After examining for multivariate normality (using </w:t>
      </w:r>
      <w:proofErr w:type="spellStart"/>
      <w:r w:rsidR="002324EB" w:rsidRPr="00BB5480">
        <w:t>Mahalanobis</w:t>
      </w:r>
      <w:proofErr w:type="spellEnd"/>
      <w:r w:rsidR="002324EB" w:rsidRPr="00BB5480">
        <w:t xml:space="preserve"> distance), data from 8 participants was removed, leaving N=272.</w:t>
      </w:r>
    </w:p>
    <w:p w14:paraId="0A8CFD13" w14:textId="4F564790" w:rsidR="00D6716C" w:rsidRPr="00BB5480" w:rsidRDefault="00DA69D9">
      <w:pPr>
        <w:pStyle w:val="BodyTextFirstIndent"/>
        <w:rPr>
          <w:rFonts w:cs="Arial"/>
        </w:rPr>
      </w:pPr>
      <w:r w:rsidRPr="00BB5480">
        <w:rPr>
          <w:rFonts w:cs="Arial"/>
        </w:rPr>
        <w:t>CFA 2</w:t>
      </w:r>
      <w:r w:rsidR="00DC45A9" w:rsidRPr="00BB5480">
        <w:rPr>
          <w:rFonts w:cs="Arial"/>
        </w:rPr>
        <w:t xml:space="preserve"> (</w:t>
      </w:r>
      <w:r w:rsidR="002324EB" w:rsidRPr="00BB5480">
        <w:t xml:space="preserve">sample </w:t>
      </w:r>
      <w:r w:rsidR="008D51DB" w:rsidRPr="00BB5480">
        <w:t>4</w:t>
      </w:r>
      <w:r w:rsidR="002324EB" w:rsidRPr="00BB5480">
        <w:t xml:space="preserve">). This sample included 396 participants who provided complete data for the EPIC items. Of these, 56% were female, with an average age of 26 years (SD 11.3). In terms of geographical location: UK (94%), rest of Europe (5%). Regarding ethnicity: White (88%), Mixed (5%). In terms of highest level of education: GCSE's or A-levels (76%), undergraduate degree (11%), postgraduate degree (7%). As a result of this process, data from 9 participants were removed due to participants having high </w:t>
      </w:r>
      <w:proofErr w:type="spellStart"/>
      <w:r w:rsidR="002324EB" w:rsidRPr="00BB5480">
        <w:t>Mahalanobis</w:t>
      </w:r>
      <w:proofErr w:type="spellEnd"/>
      <w:r w:rsidR="002324EB" w:rsidRPr="00BB5480">
        <w:t xml:space="preserve"> distance scores (Harrington, 2009, p. 43; Kline, 2011, p. 60). This left N=387 participants.</w:t>
      </w:r>
    </w:p>
    <w:p w14:paraId="5DD58436" w14:textId="77777777" w:rsidR="00DA69D9" w:rsidRPr="00BB5480" w:rsidRDefault="00DA69D9" w:rsidP="0030300B">
      <w:pPr>
        <w:pStyle w:val="BodyTextFirstIndent"/>
      </w:pPr>
      <w:r w:rsidRPr="00BB5480">
        <w:t>CFA 3</w:t>
      </w:r>
      <w:r w:rsidR="00DC45A9" w:rsidRPr="00BB5480">
        <w:t xml:space="preserve"> (</w:t>
      </w:r>
      <w:r w:rsidR="00A54D35" w:rsidRPr="00BB5480">
        <w:t>sample</w:t>
      </w:r>
      <w:r w:rsidR="00DC45A9" w:rsidRPr="00BB5480">
        <w:t xml:space="preserve"> </w:t>
      </w:r>
      <w:proofErr w:type="spellStart"/>
      <w:r w:rsidR="00DC45A9" w:rsidRPr="00BB5480">
        <w:t>1b</w:t>
      </w:r>
      <w:proofErr w:type="spellEnd"/>
      <w:r w:rsidR="00DC45A9" w:rsidRPr="00BB5480">
        <w:t>)</w:t>
      </w:r>
      <w:r w:rsidRPr="00BB5480">
        <w:t xml:space="preserve">: This sample includes </w:t>
      </w:r>
      <w:r w:rsidR="00222855" w:rsidRPr="00BB5480">
        <w:t>343</w:t>
      </w:r>
      <w:r w:rsidRPr="00BB5480">
        <w:t xml:space="preserve"> participants</w:t>
      </w:r>
      <w:r w:rsidR="005A0C78" w:rsidRPr="00BB5480">
        <w:t xml:space="preserve"> who provided complete data for the EPIC items. Of these,</w:t>
      </w:r>
      <w:r w:rsidRPr="00BB5480">
        <w:t xml:space="preserve"> </w:t>
      </w:r>
      <w:r w:rsidR="005A0C78" w:rsidRPr="00BB5480">
        <w:rPr>
          <w:rFonts w:cs="Arial"/>
        </w:rPr>
        <w:t xml:space="preserve">72% </w:t>
      </w:r>
      <w:r w:rsidR="00D6716C" w:rsidRPr="00BB5480">
        <w:rPr>
          <w:rFonts w:cs="Arial"/>
        </w:rPr>
        <w:t xml:space="preserve">were female, with an average age of </w:t>
      </w:r>
      <w:r w:rsidR="0030300B" w:rsidRPr="00BB5480">
        <w:rPr>
          <w:rFonts w:cs="Arial"/>
        </w:rPr>
        <w:t>30.9</w:t>
      </w:r>
      <w:r w:rsidR="00D6716C" w:rsidRPr="00BB5480">
        <w:rPr>
          <w:rFonts w:cs="Arial"/>
        </w:rPr>
        <w:t xml:space="preserve"> years (SD 1</w:t>
      </w:r>
      <w:r w:rsidR="0030300B" w:rsidRPr="00BB5480">
        <w:rPr>
          <w:rFonts w:cs="Arial"/>
        </w:rPr>
        <w:t>3.7</w:t>
      </w:r>
      <w:r w:rsidR="00D6716C" w:rsidRPr="00BB5480">
        <w:rPr>
          <w:rFonts w:cs="Arial"/>
        </w:rPr>
        <w:t>). In terms of geographical location: UK (7</w:t>
      </w:r>
      <w:r w:rsidR="0030300B" w:rsidRPr="00BB5480">
        <w:rPr>
          <w:rFonts w:cs="Arial"/>
        </w:rPr>
        <w:t>2</w:t>
      </w:r>
      <w:r w:rsidR="00D6716C" w:rsidRPr="00BB5480">
        <w:rPr>
          <w:rFonts w:cs="Arial"/>
        </w:rPr>
        <w:t xml:space="preserve">%), North America (13%), </w:t>
      </w:r>
      <w:r w:rsidR="00D6716C" w:rsidRPr="00BB5480">
        <w:t xml:space="preserve">rest of Europe </w:t>
      </w:r>
      <w:r w:rsidR="00D6716C" w:rsidRPr="00BB5480">
        <w:rPr>
          <w:rFonts w:cs="Arial"/>
        </w:rPr>
        <w:t>(9%). Regarding ethnicity: White (8</w:t>
      </w:r>
      <w:r w:rsidR="0030300B" w:rsidRPr="00BB5480">
        <w:rPr>
          <w:rFonts w:cs="Arial"/>
        </w:rPr>
        <w:t>4</w:t>
      </w:r>
      <w:r w:rsidR="00D6716C" w:rsidRPr="00BB5480">
        <w:rPr>
          <w:rFonts w:cs="Arial"/>
        </w:rPr>
        <w:t>%), Asian (</w:t>
      </w:r>
      <w:r w:rsidR="0030300B" w:rsidRPr="00BB5480">
        <w:rPr>
          <w:rFonts w:cs="Arial"/>
        </w:rPr>
        <w:t>7</w:t>
      </w:r>
      <w:r w:rsidR="00D6716C" w:rsidRPr="00BB5480">
        <w:rPr>
          <w:rFonts w:cs="Arial"/>
        </w:rPr>
        <w:t>%). In terms of highest level of education: GCSE's or A' levels (4</w:t>
      </w:r>
      <w:r w:rsidR="0030300B" w:rsidRPr="00BB5480">
        <w:rPr>
          <w:rFonts w:cs="Arial"/>
        </w:rPr>
        <w:t>3</w:t>
      </w:r>
      <w:r w:rsidR="00D6716C" w:rsidRPr="00BB5480">
        <w:rPr>
          <w:rFonts w:cs="Arial"/>
        </w:rPr>
        <w:t>%), undergraduate degree (25%), postgraduate degree (2</w:t>
      </w:r>
      <w:r w:rsidR="0030300B" w:rsidRPr="00BB5480">
        <w:rPr>
          <w:rFonts w:cs="Arial"/>
        </w:rPr>
        <w:t>6</w:t>
      </w:r>
      <w:r w:rsidR="00D6716C" w:rsidRPr="00BB5480">
        <w:rPr>
          <w:rFonts w:cs="Arial"/>
        </w:rPr>
        <w:t xml:space="preserve">%). </w:t>
      </w:r>
      <w:r w:rsidRPr="00BB5480">
        <w:t xml:space="preserve">After </w:t>
      </w:r>
      <w:r w:rsidRPr="00BB5480">
        <w:lastRenderedPageBreak/>
        <w:t>examining for multivariate normality</w:t>
      </w:r>
      <w:r w:rsidR="00543EC7" w:rsidRPr="00BB5480">
        <w:t xml:space="preserve"> (using </w:t>
      </w:r>
      <w:proofErr w:type="spellStart"/>
      <w:r w:rsidR="00543EC7" w:rsidRPr="00BB5480">
        <w:t>Mahalanobis</w:t>
      </w:r>
      <w:proofErr w:type="spellEnd"/>
      <w:r w:rsidR="00543EC7" w:rsidRPr="00BB5480">
        <w:t xml:space="preserve"> distance)</w:t>
      </w:r>
      <w:r w:rsidR="00222855" w:rsidRPr="00BB5480">
        <w:t>, data from 15</w:t>
      </w:r>
      <w:r w:rsidRPr="00BB5480">
        <w:t xml:space="preserve"> partici</w:t>
      </w:r>
      <w:r w:rsidR="00222855" w:rsidRPr="00BB5480">
        <w:t xml:space="preserve">pants was removed, leaving </w:t>
      </w:r>
      <w:r w:rsidR="00B938B9" w:rsidRPr="00BB5480">
        <w:t>N</w:t>
      </w:r>
      <w:r w:rsidR="00222855" w:rsidRPr="00BB5480">
        <w:t>=328</w:t>
      </w:r>
      <w:r w:rsidRPr="00BB5480">
        <w:t>.</w:t>
      </w:r>
    </w:p>
    <w:p w14:paraId="633E024D" w14:textId="77777777" w:rsidR="0033736D" w:rsidRPr="00BB5480" w:rsidRDefault="0033736D">
      <w:pPr>
        <w:pStyle w:val="BodyTextFirstIndent"/>
      </w:pPr>
    </w:p>
    <w:p w14:paraId="5CEB3962" w14:textId="77777777" w:rsidR="00DA69D9" w:rsidRPr="00BB5480" w:rsidRDefault="00DA69D9">
      <w:pPr>
        <w:pStyle w:val="Heading2"/>
        <w:spacing w:line="360" w:lineRule="auto"/>
        <w:jc w:val="center"/>
      </w:pPr>
      <w:r w:rsidRPr="00BB5480">
        <w:rPr>
          <w:sz w:val="24"/>
          <w:szCs w:val="24"/>
        </w:rPr>
        <w:t>Results</w:t>
      </w:r>
    </w:p>
    <w:p w14:paraId="470556A4" w14:textId="690330A3" w:rsidR="00EE79AA" w:rsidRPr="00BB5480" w:rsidRDefault="00DA69D9">
      <w:pPr>
        <w:pStyle w:val="BodyTextFirstIndent"/>
      </w:pPr>
      <w:r w:rsidRPr="00BB5480">
        <w:t xml:space="preserve">The initial fit of </w:t>
      </w:r>
      <w:r w:rsidR="009D57A8" w:rsidRPr="00BB5480">
        <w:t>sample 3</w:t>
      </w:r>
      <w:r w:rsidRPr="00BB5480">
        <w:t xml:space="preserve"> to the </w:t>
      </w:r>
      <w:r w:rsidR="009D57A8" w:rsidRPr="00BB5480">
        <w:t xml:space="preserve">11 item </w:t>
      </w:r>
      <w:r w:rsidR="001D13FF" w:rsidRPr="00BB5480">
        <w:t>model</w:t>
      </w:r>
      <w:r w:rsidR="001701FF" w:rsidRPr="00BB5480">
        <w:t xml:space="preserve"> </w:t>
      </w:r>
      <w:r w:rsidRPr="00BB5480">
        <w:t>from study 2 was unsatisfactory and required modification</w:t>
      </w:r>
      <w:r w:rsidR="00272A87" w:rsidRPr="00BB5480">
        <w:t xml:space="preserve"> (see Table 2</w:t>
      </w:r>
      <w:r w:rsidR="00B66FD1" w:rsidRPr="00BB5480">
        <w:t>, CFA 1.0</w:t>
      </w:r>
      <w:r w:rsidR="00272A87" w:rsidRPr="00BB5480">
        <w:t>)</w:t>
      </w:r>
      <w:r w:rsidRPr="00BB5480">
        <w:t xml:space="preserve">. Further examination revealed that a number of items had problems with standardised residual </w:t>
      </w:r>
      <w:proofErr w:type="spellStart"/>
      <w:r w:rsidRPr="00BB5480">
        <w:t>covariances</w:t>
      </w:r>
      <w:proofErr w:type="spellEnd"/>
      <w:r w:rsidRPr="00BB5480">
        <w:t xml:space="preserve"> and relatively poor factor loadings. As a result, </w:t>
      </w:r>
      <w:r w:rsidR="00024B2F" w:rsidRPr="00BB5480">
        <w:t>four</w:t>
      </w:r>
      <w:r w:rsidRPr="00BB5480">
        <w:t xml:space="preserve"> items were removed: t</w:t>
      </w:r>
      <w:r w:rsidR="00024B2F" w:rsidRPr="00BB5480">
        <w:t>hree</w:t>
      </w:r>
      <w:r w:rsidRPr="00BB5480">
        <w:t xml:space="preserve"> from the avoidance factor </w:t>
      </w:r>
      <w:r w:rsidR="00633FA9" w:rsidRPr="00BB5480">
        <w:t xml:space="preserve">(leaving four items) </w:t>
      </w:r>
      <w:r w:rsidRPr="00BB5480">
        <w:t>and one from the behavioural rigidity factor</w:t>
      </w:r>
      <w:r w:rsidR="00633FA9" w:rsidRPr="00BB5480">
        <w:t xml:space="preserve"> (leaving </w:t>
      </w:r>
      <w:r w:rsidR="0022286E">
        <w:t>three</w:t>
      </w:r>
      <w:r w:rsidR="00633FA9" w:rsidRPr="00BB5480">
        <w:t xml:space="preserve"> items)</w:t>
      </w:r>
      <w:r w:rsidRPr="00BB5480">
        <w:t xml:space="preserve">. It should be noted that the item removed from the behavioural rigidity factor was the item added after </w:t>
      </w:r>
      <w:r w:rsidR="00EE79AA" w:rsidRPr="00BB5480">
        <w:t>the initial results of study 1.</w:t>
      </w:r>
    </w:p>
    <w:p w14:paraId="32D9BCF4" w14:textId="7828D88E" w:rsidR="00DA69D9" w:rsidRPr="00BB5480" w:rsidRDefault="00DA69D9">
      <w:pPr>
        <w:pStyle w:val="BodyTextFirstIndent"/>
      </w:pPr>
      <w:r w:rsidRPr="00BB5480">
        <w:t>Following these modifications</w:t>
      </w:r>
      <w:r w:rsidR="009D57A8" w:rsidRPr="00BB5480">
        <w:t xml:space="preserve">, </w:t>
      </w:r>
      <w:r w:rsidRPr="00BB5480">
        <w:t>the fit of th</w:t>
      </w:r>
      <w:r w:rsidR="00593963" w:rsidRPr="00BB5480">
        <w:t>e</w:t>
      </w:r>
      <w:r w:rsidRPr="00BB5480">
        <w:t xml:space="preserve"> revised</w:t>
      </w:r>
      <w:r w:rsidR="00401036" w:rsidRPr="00BB5480">
        <w:t xml:space="preserve"> two-factor</w:t>
      </w:r>
      <w:r w:rsidRPr="00BB5480">
        <w:t xml:space="preserve"> model </w:t>
      </w:r>
      <w:r w:rsidR="00024B2F" w:rsidRPr="00BB5480">
        <w:t>was</w:t>
      </w:r>
      <w:r w:rsidRPr="00BB5480">
        <w:t xml:space="preserve"> </w:t>
      </w:r>
      <w:r w:rsidR="00EE79AA" w:rsidRPr="00BB5480">
        <w:t xml:space="preserve">tested again in </w:t>
      </w:r>
      <w:r w:rsidR="00272A87" w:rsidRPr="00BB5480">
        <w:t xml:space="preserve">both the original </w:t>
      </w:r>
      <w:r w:rsidR="00B66FD1" w:rsidRPr="00BB5480">
        <w:t xml:space="preserve">CFA </w:t>
      </w:r>
      <w:r w:rsidR="009D57A8" w:rsidRPr="00BB5480">
        <w:t xml:space="preserve">sample (CFA 1.1) </w:t>
      </w:r>
      <w:r w:rsidR="00272A87" w:rsidRPr="00BB5480">
        <w:t xml:space="preserve">and </w:t>
      </w:r>
      <w:r w:rsidR="00EE79AA" w:rsidRPr="00BB5480">
        <w:t xml:space="preserve">two </w:t>
      </w:r>
      <w:r w:rsidR="00024B2F" w:rsidRPr="00BB5480">
        <w:t xml:space="preserve">further </w:t>
      </w:r>
      <w:r w:rsidR="00EE79AA" w:rsidRPr="00BB5480">
        <w:t>samples</w:t>
      </w:r>
      <w:r w:rsidR="009D57A8" w:rsidRPr="00BB5480">
        <w:t xml:space="preserve"> (CFA 2 and 3)</w:t>
      </w:r>
      <w:r w:rsidRPr="00BB5480">
        <w:t>.</w:t>
      </w:r>
      <w:r w:rsidR="009D57A8" w:rsidRPr="00BB5480">
        <w:t xml:space="preserve"> </w:t>
      </w:r>
      <w:r w:rsidRPr="00BB5480">
        <w:t>As planned, no further modifications w</w:t>
      </w:r>
      <w:r w:rsidR="00964CDA" w:rsidRPr="00BB5480">
        <w:t>ere made to the model in CFA</w:t>
      </w:r>
      <w:r w:rsidR="00DC45A9" w:rsidRPr="00BB5480">
        <w:t>s</w:t>
      </w:r>
      <w:r w:rsidR="00964CDA" w:rsidRPr="00BB5480">
        <w:t xml:space="preserve"> 2 and 3.</w:t>
      </w:r>
    </w:p>
    <w:p w14:paraId="66329B47" w14:textId="77777777" w:rsidR="00DA69D9" w:rsidRPr="00BB5480" w:rsidRDefault="00DA69D9">
      <w:pPr>
        <w:spacing w:line="360" w:lineRule="auto"/>
        <w:rPr>
          <w:sz w:val="24"/>
          <w:szCs w:val="24"/>
        </w:rPr>
      </w:pPr>
    </w:p>
    <w:p w14:paraId="3E7BED4D" w14:textId="55969A58" w:rsidR="00DA69D9" w:rsidRPr="00BB5480" w:rsidRDefault="00DA69D9">
      <w:pPr>
        <w:rPr>
          <w:rFonts w:cs="Arial"/>
          <w:sz w:val="24"/>
          <w:szCs w:val="24"/>
        </w:rPr>
      </w:pPr>
      <w:r w:rsidRPr="00BB5480">
        <w:rPr>
          <w:sz w:val="24"/>
          <w:szCs w:val="24"/>
        </w:rPr>
        <w:t xml:space="preserve">Table </w:t>
      </w:r>
      <w:r w:rsidR="00FA0F63" w:rsidRPr="00BB5480">
        <w:rPr>
          <w:sz w:val="24"/>
          <w:szCs w:val="24"/>
        </w:rPr>
        <w:t>2</w:t>
      </w:r>
      <w:r w:rsidRPr="00BB5480">
        <w:rPr>
          <w:sz w:val="24"/>
          <w:szCs w:val="24"/>
        </w:rPr>
        <w:t>. Confirmatory factor analys</w:t>
      </w:r>
      <w:r w:rsidR="002A110A" w:rsidRPr="00BB5480">
        <w:rPr>
          <w:sz w:val="24"/>
          <w:szCs w:val="24"/>
        </w:rPr>
        <w:t>i</w:t>
      </w:r>
      <w:r w:rsidRPr="00BB5480">
        <w:rPr>
          <w:sz w:val="24"/>
          <w:szCs w:val="24"/>
        </w:rPr>
        <w:t xml:space="preserve">s results for the </w:t>
      </w:r>
      <w:r w:rsidR="009A55B6" w:rsidRPr="00BB5480">
        <w:rPr>
          <w:sz w:val="24"/>
          <w:szCs w:val="24"/>
        </w:rPr>
        <w:t xml:space="preserve">11 and </w:t>
      </w:r>
      <w:r w:rsidR="005A500B" w:rsidRPr="00BB5480">
        <w:rPr>
          <w:sz w:val="24"/>
          <w:szCs w:val="24"/>
        </w:rPr>
        <w:t xml:space="preserve">7 item </w:t>
      </w:r>
      <w:r w:rsidR="009A55B6" w:rsidRPr="00BB5480">
        <w:rPr>
          <w:sz w:val="24"/>
          <w:szCs w:val="24"/>
        </w:rPr>
        <w:t xml:space="preserve">versions of the </w:t>
      </w:r>
      <w:r w:rsidRPr="00BB5480">
        <w:rPr>
          <w:sz w:val="24"/>
          <w:szCs w:val="24"/>
        </w:rPr>
        <w:t>EPIC</w:t>
      </w:r>
    </w:p>
    <w:tbl>
      <w:tblPr>
        <w:tblW w:w="9540"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1560"/>
        <w:gridCol w:w="567"/>
        <w:gridCol w:w="1001"/>
        <w:gridCol w:w="1035"/>
        <w:gridCol w:w="1036"/>
        <w:gridCol w:w="1036"/>
        <w:gridCol w:w="1037"/>
      </w:tblGrid>
      <w:tr w:rsidR="00BB5480" w:rsidRPr="00BB5480" w14:paraId="1ADFAF0F" w14:textId="77777777" w:rsidTr="00846895">
        <w:tc>
          <w:tcPr>
            <w:tcW w:w="2268" w:type="dxa"/>
            <w:tcBorders>
              <w:top w:val="single" w:sz="20" w:space="0" w:color="000000"/>
            </w:tcBorders>
            <w:shd w:val="clear" w:color="auto" w:fill="auto"/>
          </w:tcPr>
          <w:p w14:paraId="334B7C23" w14:textId="77777777" w:rsidR="00E25A98" w:rsidRPr="00BB5480" w:rsidRDefault="00E25A98">
            <w:pPr>
              <w:pStyle w:val="TableContents"/>
            </w:pPr>
            <w:r w:rsidRPr="00BB5480">
              <w:rPr>
                <w:rFonts w:cs="Arial"/>
                <w:sz w:val="24"/>
                <w:szCs w:val="24"/>
              </w:rPr>
              <w:t>Model</w:t>
            </w:r>
          </w:p>
        </w:tc>
        <w:tc>
          <w:tcPr>
            <w:tcW w:w="1560" w:type="dxa"/>
            <w:tcBorders>
              <w:top w:val="single" w:sz="20" w:space="0" w:color="000000"/>
            </w:tcBorders>
            <w:shd w:val="clear" w:color="auto" w:fill="auto"/>
          </w:tcPr>
          <w:p w14:paraId="71E62A65" w14:textId="77777777" w:rsidR="00E25A98" w:rsidRPr="00BB5480" w:rsidRDefault="00E25A98">
            <w:pPr>
              <w:pStyle w:val="TableContents"/>
            </w:pPr>
            <w:proofErr w:type="spellStart"/>
            <w:r w:rsidRPr="00BB5480">
              <w:rPr>
                <w:rFonts w:cs="Arial"/>
                <w:sz w:val="24"/>
                <w:szCs w:val="24"/>
              </w:rPr>
              <w:t>Χ²</w:t>
            </w:r>
            <w:proofErr w:type="spellEnd"/>
            <w:r w:rsidRPr="00BB5480">
              <w:rPr>
                <w:rFonts w:cs="Arial"/>
                <w:sz w:val="24"/>
                <w:szCs w:val="24"/>
              </w:rPr>
              <w:t xml:space="preserve">  (p)</w:t>
            </w:r>
          </w:p>
        </w:tc>
        <w:tc>
          <w:tcPr>
            <w:tcW w:w="567" w:type="dxa"/>
            <w:tcBorders>
              <w:top w:val="single" w:sz="20" w:space="0" w:color="000000"/>
            </w:tcBorders>
          </w:tcPr>
          <w:p w14:paraId="25F5632C" w14:textId="77777777" w:rsidR="00E25A98" w:rsidRPr="00BB5480" w:rsidRDefault="00E25A98">
            <w:pPr>
              <w:pStyle w:val="TableContents"/>
              <w:rPr>
                <w:rFonts w:cs="Arial"/>
                <w:sz w:val="24"/>
                <w:szCs w:val="24"/>
              </w:rPr>
            </w:pPr>
            <w:r w:rsidRPr="00BB5480">
              <w:rPr>
                <w:rFonts w:cs="Arial"/>
                <w:sz w:val="24"/>
                <w:szCs w:val="24"/>
              </w:rPr>
              <w:t>DF</w:t>
            </w:r>
          </w:p>
        </w:tc>
        <w:tc>
          <w:tcPr>
            <w:tcW w:w="1001" w:type="dxa"/>
            <w:tcBorders>
              <w:top w:val="single" w:sz="20" w:space="0" w:color="000000"/>
            </w:tcBorders>
            <w:shd w:val="clear" w:color="auto" w:fill="auto"/>
          </w:tcPr>
          <w:p w14:paraId="51EA59D6" w14:textId="77777777" w:rsidR="00E25A98" w:rsidRPr="00BB5480" w:rsidRDefault="00E25A98">
            <w:pPr>
              <w:pStyle w:val="TableContents"/>
            </w:pPr>
            <w:proofErr w:type="spellStart"/>
            <w:r w:rsidRPr="00BB5480">
              <w:rPr>
                <w:rFonts w:cs="Arial"/>
                <w:sz w:val="24"/>
                <w:szCs w:val="24"/>
              </w:rPr>
              <w:t>Χ²</w:t>
            </w:r>
            <w:proofErr w:type="spellEnd"/>
            <w:r w:rsidRPr="00BB5480">
              <w:rPr>
                <w:rFonts w:cs="Arial"/>
                <w:sz w:val="24"/>
                <w:szCs w:val="24"/>
              </w:rPr>
              <w:t xml:space="preserve"> ratio</w:t>
            </w:r>
          </w:p>
        </w:tc>
        <w:tc>
          <w:tcPr>
            <w:tcW w:w="1035" w:type="dxa"/>
            <w:tcBorders>
              <w:top w:val="single" w:sz="20" w:space="0" w:color="000000"/>
            </w:tcBorders>
            <w:shd w:val="clear" w:color="auto" w:fill="auto"/>
          </w:tcPr>
          <w:p w14:paraId="26855231" w14:textId="77777777" w:rsidR="00E25A98" w:rsidRPr="00BB5480" w:rsidRDefault="00E25A98">
            <w:pPr>
              <w:pStyle w:val="TableContents"/>
            </w:pPr>
            <w:r w:rsidRPr="00BB5480">
              <w:rPr>
                <w:rFonts w:cs="Arial"/>
                <w:sz w:val="24"/>
                <w:szCs w:val="24"/>
              </w:rPr>
              <w:t>CFI</w:t>
            </w:r>
          </w:p>
        </w:tc>
        <w:tc>
          <w:tcPr>
            <w:tcW w:w="1036" w:type="dxa"/>
            <w:tcBorders>
              <w:top w:val="single" w:sz="20" w:space="0" w:color="000000"/>
            </w:tcBorders>
            <w:shd w:val="clear" w:color="auto" w:fill="auto"/>
          </w:tcPr>
          <w:p w14:paraId="63AEE768" w14:textId="77777777" w:rsidR="00E25A98" w:rsidRPr="00BB5480" w:rsidRDefault="00E25A98">
            <w:pPr>
              <w:pStyle w:val="TableContents"/>
            </w:pPr>
            <w:proofErr w:type="spellStart"/>
            <w:r w:rsidRPr="00BB5480">
              <w:rPr>
                <w:rFonts w:cs="Arial"/>
                <w:sz w:val="24"/>
                <w:szCs w:val="24"/>
              </w:rPr>
              <w:t>RMSEA</w:t>
            </w:r>
            <w:proofErr w:type="spellEnd"/>
          </w:p>
        </w:tc>
        <w:tc>
          <w:tcPr>
            <w:tcW w:w="1036" w:type="dxa"/>
            <w:tcBorders>
              <w:top w:val="single" w:sz="20" w:space="0" w:color="000000"/>
            </w:tcBorders>
            <w:shd w:val="clear" w:color="auto" w:fill="auto"/>
          </w:tcPr>
          <w:p w14:paraId="47F0772B" w14:textId="77777777" w:rsidR="00E25A98" w:rsidRPr="00BB5480" w:rsidRDefault="00E25A98">
            <w:pPr>
              <w:pStyle w:val="TableContents"/>
            </w:pPr>
            <w:proofErr w:type="spellStart"/>
            <w:r w:rsidRPr="00BB5480">
              <w:rPr>
                <w:rFonts w:cs="Arial"/>
                <w:sz w:val="24"/>
                <w:szCs w:val="24"/>
              </w:rPr>
              <w:t>RMSEA</w:t>
            </w:r>
            <w:proofErr w:type="spellEnd"/>
            <w:r w:rsidRPr="00BB5480">
              <w:rPr>
                <w:rFonts w:cs="Arial"/>
                <w:sz w:val="24"/>
                <w:szCs w:val="24"/>
              </w:rPr>
              <w:t xml:space="preserve"> – CI</w:t>
            </w:r>
          </w:p>
        </w:tc>
        <w:tc>
          <w:tcPr>
            <w:tcW w:w="1037" w:type="dxa"/>
            <w:tcBorders>
              <w:top w:val="single" w:sz="20" w:space="0" w:color="000000"/>
            </w:tcBorders>
            <w:shd w:val="clear" w:color="auto" w:fill="auto"/>
          </w:tcPr>
          <w:p w14:paraId="6F188628" w14:textId="3BF87CE5" w:rsidR="00E25A98" w:rsidRPr="00BB5480" w:rsidRDefault="00BA0675" w:rsidP="00BA0675">
            <w:pPr>
              <w:pStyle w:val="TableContents"/>
            </w:pPr>
            <w:proofErr w:type="spellStart"/>
            <w:r>
              <w:rPr>
                <w:rFonts w:cs="Arial"/>
                <w:sz w:val="24"/>
                <w:szCs w:val="24"/>
              </w:rPr>
              <w:t>SRM</w:t>
            </w:r>
            <w:r w:rsidR="00E25A98" w:rsidRPr="00BB5480">
              <w:rPr>
                <w:rFonts w:cs="Arial"/>
                <w:sz w:val="24"/>
                <w:szCs w:val="24"/>
              </w:rPr>
              <w:t>R</w:t>
            </w:r>
            <w:proofErr w:type="spellEnd"/>
          </w:p>
        </w:tc>
      </w:tr>
      <w:tr w:rsidR="00BB5480" w:rsidRPr="00BB5480" w14:paraId="3000677A" w14:textId="77777777" w:rsidTr="00846895">
        <w:tc>
          <w:tcPr>
            <w:tcW w:w="2268" w:type="dxa"/>
            <w:shd w:val="clear" w:color="auto" w:fill="auto"/>
          </w:tcPr>
          <w:p w14:paraId="124B961D" w14:textId="2E4112C6" w:rsidR="003853CD" w:rsidRPr="00BB5480" w:rsidRDefault="00DC45A9" w:rsidP="00106F52">
            <w:pPr>
              <w:pStyle w:val="TableContents"/>
              <w:rPr>
                <w:rFonts w:cs="Arial"/>
                <w:sz w:val="24"/>
                <w:szCs w:val="24"/>
              </w:rPr>
            </w:pPr>
            <w:r w:rsidRPr="00BB5480">
              <w:rPr>
                <w:rFonts w:cs="Arial"/>
                <w:sz w:val="24"/>
                <w:szCs w:val="24"/>
              </w:rPr>
              <w:t>CFA</w:t>
            </w:r>
            <w:r w:rsidR="00633FA9" w:rsidRPr="00BB5480">
              <w:rPr>
                <w:rFonts w:cs="Arial"/>
                <w:sz w:val="24"/>
                <w:szCs w:val="24"/>
              </w:rPr>
              <w:t xml:space="preserve"> </w:t>
            </w:r>
            <w:r w:rsidR="002D2708" w:rsidRPr="00BB5480">
              <w:rPr>
                <w:rFonts w:cs="Arial"/>
                <w:sz w:val="24"/>
                <w:szCs w:val="24"/>
              </w:rPr>
              <w:t>1</w:t>
            </w:r>
            <w:r w:rsidR="009A55B6" w:rsidRPr="00BB5480">
              <w:rPr>
                <w:rFonts w:cs="Arial"/>
                <w:sz w:val="24"/>
                <w:szCs w:val="24"/>
              </w:rPr>
              <w:t>.0</w:t>
            </w:r>
            <w:r w:rsidR="009A55B6" w:rsidRPr="00BB5480">
              <w:rPr>
                <w:rFonts w:cs="Arial"/>
                <w:sz w:val="24"/>
                <w:szCs w:val="24"/>
              </w:rPr>
              <w:br/>
            </w:r>
            <w:r w:rsidRPr="00BB5480">
              <w:rPr>
                <w:rFonts w:cs="Arial"/>
                <w:sz w:val="24"/>
                <w:szCs w:val="24"/>
              </w:rPr>
              <w:t>(</w:t>
            </w:r>
            <w:r w:rsidR="00A54D35" w:rsidRPr="00BB5480">
              <w:rPr>
                <w:rFonts w:cs="Arial"/>
                <w:sz w:val="24"/>
                <w:szCs w:val="24"/>
              </w:rPr>
              <w:t>sample</w:t>
            </w:r>
            <w:r w:rsidRPr="00BB5480">
              <w:rPr>
                <w:rFonts w:cs="Arial"/>
                <w:sz w:val="24"/>
                <w:szCs w:val="24"/>
              </w:rPr>
              <w:t xml:space="preserve"> </w:t>
            </w:r>
            <w:r w:rsidR="00106F52" w:rsidRPr="00BB5480">
              <w:rPr>
                <w:rFonts w:cs="Arial"/>
                <w:sz w:val="24"/>
                <w:szCs w:val="24"/>
              </w:rPr>
              <w:t>3</w:t>
            </w:r>
            <w:r w:rsidR="009A55B6" w:rsidRPr="00BB5480">
              <w:rPr>
                <w:rFonts w:cs="Arial"/>
                <w:sz w:val="24"/>
                <w:szCs w:val="24"/>
              </w:rPr>
              <w:t xml:space="preserve"> – 11 items</w:t>
            </w:r>
            <w:r w:rsidRPr="00BB5480">
              <w:rPr>
                <w:rFonts w:cs="Arial"/>
                <w:sz w:val="24"/>
                <w:szCs w:val="24"/>
              </w:rPr>
              <w:t>)</w:t>
            </w:r>
          </w:p>
        </w:tc>
        <w:tc>
          <w:tcPr>
            <w:tcW w:w="1560" w:type="dxa"/>
            <w:shd w:val="clear" w:color="auto" w:fill="auto"/>
          </w:tcPr>
          <w:p w14:paraId="78CA8AD5" w14:textId="04F7C392" w:rsidR="003853CD" w:rsidRPr="00BB5480" w:rsidRDefault="009A55B6" w:rsidP="00B65C08">
            <w:pPr>
              <w:pStyle w:val="TableContents"/>
              <w:rPr>
                <w:rFonts w:cs="Arial"/>
                <w:sz w:val="22"/>
                <w:szCs w:val="22"/>
              </w:rPr>
            </w:pPr>
            <w:r w:rsidRPr="00BB5480">
              <w:rPr>
                <w:rFonts w:cs="Arial"/>
                <w:sz w:val="22"/>
                <w:szCs w:val="22"/>
              </w:rPr>
              <w:t>1</w:t>
            </w:r>
            <w:r w:rsidR="00B65C08" w:rsidRPr="00BB5480">
              <w:rPr>
                <w:rFonts w:cs="Arial"/>
                <w:sz w:val="22"/>
                <w:szCs w:val="22"/>
              </w:rPr>
              <w:t>32</w:t>
            </w:r>
            <w:r w:rsidRPr="00BB5480">
              <w:rPr>
                <w:rFonts w:cs="Arial"/>
                <w:sz w:val="22"/>
                <w:szCs w:val="22"/>
              </w:rPr>
              <w:t>.</w:t>
            </w:r>
            <w:r w:rsidR="00B65C08" w:rsidRPr="00BB5480">
              <w:rPr>
                <w:rFonts w:cs="Arial"/>
                <w:sz w:val="22"/>
                <w:szCs w:val="22"/>
              </w:rPr>
              <w:t>65</w:t>
            </w:r>
            <w:r w:rsidR="003853CD" w:rsidRPr="00BB5480">
              <w:rPr>
                <w:rFonts w:cs="Arial"/>
                <w:sz w:val="22"/>
                <w:szCs w:val="22"/>
              </w:rPr>
              <w:t xml:space="preserve"> (.0</w:t>
            </w:r>
            <w:r w:rsidRPr="00BB5480">
              <w:rPr>
                <w:rFonts w:cs="Arial"/>
                <w:sz w:val="22"/>
                <w:szCs w:val="22"/>
              </w:rPr>
              <w:t>01</w:t>
            </w:r>
            <w:r w:rsidR="003853CD" w:rsidRPr="00BB5480">
              <w:rPr>
                <w:rFonts w:cs="Arial"/>
                <w:sz w:val="22"/>
                <w:szCs w:val="22"/>
              </w:rPr>
              <w:t>)</w:t>
            </w:r>
          </w:p>
        </w:tc>
        <w:tc>
          <w:tcPr>
            <w:tcW w:w="567" w:type="dxa"/>
          </w:tcPr>
          <w:p w14:paraId="0D3D0558" w14:textId="4A7D6595" w:rsidR="003853CD" w:rsidRPr="00BB5480" w:rsidRDefault="00B14D4A" w:rsidP="00050618">
            <w:pPr>
              <w:pStyle w:val="TableContents"/>
              <w:rPr>
                <w:rFonts w:cs="Arial"/>
                <w:sz w:val="24"/>
                <w:szCs w:val="24"/>
              </w:rPr>
            </w:pPr>
            <w:r w:rsidRPr="00BB5480">
              <w:rPr>
                <w:rFonts w:cs="Arial"/>
                <w:sz w:val="24"/>
                <w:szCs w:val="24"/>
              </w:rPr>
              <w:t>43</w:t>
            </w:r>
          </w:p>
        </w:tc>
        <w:tc>
          <w:tcPr>
            <w:tcW w:w="1001" w:type="dxa"/>
            <w:shd w:val="clear" w:color="auto" w:fill="auto"/>
          </w:tcPr>
          <w:p w14:paraId="7902AD19" w14:textId="7A906D83" w:rsidR="003853CD" w:rsidRPr="00BB5480" w:rsidRDefault="00B65C08" w:rsidP="00B65C08">
            <w:pPr>
              <w:pStyle w:val="TableContents"/>
              <w:rPr>
                <w:rFonts w:cs="Arial"/>
                <w:sz w:val="24"/>
                <w:szCs w:val="24"/>
              </w:rPr>
            </w:pPr>
            <w:r w:rsidRPr="00BB5480">
              <w:rPr>
                <w:rFonts w:cs="Arial"/>
                <w:sz w:val="24"/>
                <w:szCs w:val="24"/>
              </w:rPr>
              <w:t>3.09</w:t>
            </w:r>
          </w:p>
        </w:tc>
        <w:tc>
          <w:tcPr>
            <w:tcW w:w="1035" w:type="dxa"/>
            <w:shd w:val="clear" w:color="auto" w:fill="auto"/>
          </w:tcPr>
          <w:p w14:paraId="76B797C2" w14:textId="7B90FDA9" w:rsidR="003853CD" w:rsidRPr="00BB5480" w:rsidRDefault="003853CD" w:rsidP="00B65C08">
            <w:pPr>
              <w:pStyle w:val="TableContents"/>
              <w:rPr>
                <w:rFonts w:cs="Arial"/>
                <w:sz w:val="24"/>
                <w:szCs w:val="24"/>
              </w:rPr>
            </w:pPr>
            <w:r w:rsidRPr="00BB5480">
              <w:rPr>
                <w:rFonts w:cs="Arial"/>
                <w:sz w:val="24"/>
                <w:szCs w:val="24"/>
              </w:rPr>
              <w:t>.9</w:t>
            </w:r>
            <w:r w:rsidR="009A55B6" w:rsidRPr="00BB5480">
              <w:rPr>
                <w:rFonts w:cs="Arial"/>
                <w:sz w:val="24"/>
                <w:szCs w:val="24"/>
              </w:rPr>
              <w:t>1</w:t>
            </w:r>
            <w:r w:rsidR="00B65C08" w:rsidRPr="00BB5480">
              <w:rPr>
                <w:rFonts w:cs="Arial"/>
                <w:sz w:val="24"/>
                <w:szCs w:val="24"/>
              </w:rPr>
              <w:t>0</w:t>
            </w:r>
          </w:p>
        </w:tc>
        <w:tc>
          <w:tcPr>
            <w:tcW w:w="1036" w:type="dxa"/>
            <w:shd w:val="clear" w:color="auto" w:fill="auto"/>
          </w:tcPr>
          <w:p w14:paraId="7C45DB18" w14:textId="5FD4A85A" w:rsidR="003853CD" w:rsidRPr="00BB5480" w:rsidRDefault="003853CD" w:rsidP="00B65C08">
            <w:pPr>
              <w:pStyle w:val="TableContents"/>
              <w:rPr>
                <w:rFonts w:cs="Arial"/>
                <w:sz w:val="24"/>
                <w:szCs w:val="24"/>
              </w:rPr>
            </w:pPr>
            <w:r w:rsidRPr="00BB5480">
              <w:rPr>
                <w:rFonts w:cs="Arial"/>
                <w:sz w:val="24"/>
                <w:szCs w:val="24"/>
              </w:rPr>
              <w:t>.0</w:t>
            </w:r>
            <w:r w:rsidR="00B65C08" w:rsidRPr="00BB5480">
              <w:rPr>
                <w:rFonts w:cs="Arial"/>
                <w:sz w:val="24"/>
                <w:szCs w:val="24"/>
              </w:rPr>
              <w:t>88</w:t>
            </w:r>
          </w:p>
        </w:tc>
        <w:tc>
          <w:tcPr>
            <w:tcW w:w="1036" w:type="dxa"/>
            <w:shd w:val="clear" w:color="auto" w:fill="auto"/>
          </w:tcPr>
          <w:p w14:paraId="1EF31E08" w14:textId="2278D0F8" w:rsidR="003853CD" w:rsidRPr="00BB5480" w:rsidRDefault="003853CD" w:rsidP="00B65C08">
            <w:pPr>
              <w:pStyle w:val="TableContents"/>
              <w:rPr>
                <w:rFonts w:cs="Arial"/>
                <w:sz w:val="24"/>
                <w:szCs w:val="24"/>
              </w:rPr>
            </w:pPr>
            <w:r w:rsidRPr="00BB5480">
              <w:rPr>
                <w:rFonts w:cs="Arial"/>
                <w:sz w:val="24"/>
                <w:szCs w:val="24"/>
              </w:rPr>
              <w:t>.0</w:t>
            </w:r>
            <w:r w:rsidR="00B65C08" w:rsidRPr="00BB5480">
              <w:rPr>
                <w:rFonts w:cs="Arial"/>
                <w:sz w:val="24"/>
                <w:szCs w:val="24"/>
              </w:rPr>
              <w:t>71</w:t>
            </w:r>
            <w:r w:rsidR="009A55B6" w:rsidRPr="00BB5480">
              <w:rPr>
                <w:rFonts w:cs="Arial"/>
                <w:sz w:val="24"/>
                <w:szCs w:val="24"/>
              </w:rPr>
              <w:t xml:space="preserve"> / .</w:t>
            </w:r>
            <w:r w:rsidR="00B65C08" w:rsidRPr="00BB5480">
              <w:rPr>
                <w:rFonts w:cs="Arial"/>
                <w:sz w:val="24"/>
                <w:szCs w:val="24"/>
              </w:rPr>
              <w:t>105</w:t>
            </w:r>
          </w:p>
        </w:tc>
        <w:tc>
          <w:tcPr>
            <w:tcW w:w="1037" w:type="dxa"/>
            <w:shd w:val="clear" w:color="auto" w:fill="auto"/>
          </w:tcPr>
          <w:p w14:paraId="6FD3EB8D" w14:textId="70E023FC" w:rsidR="003853CD" w:rsidRPr="00BB5480" w:rsidRDefault="003853CD" w:rsidP="00050618">
            <w:pPr>
              <w:pStyle w:val="TableContents"/>
              <w:rPr>
                <w:rFonts w:cs="Arial"/>
                <w:sz w:val="24"/>
                <w:szCs w:val="24"/>
              </w:rPr>
            </w:pPr>
            <w:r w:rsidRPr="00BB5480">
              <w:rPr>
                <w:rFonts w:cs="Arial"/>
                <w:sz w:val="24"/>
                <w:szCs w:val="24"/>
              </w:rPr>
              <w:t>.0</w:t>
            </w:r>
            <w:r w:rsidR="009A55B6" w:rsidRPr="00BB5480">
              <w:rPr>
                <w:rFonts w:cs="Arial"/>
                <w:sz w:val="24"/>
                <w:szCs w:val="24"/>
              </w:rPr>
              <w:t>600</w:t>
            </w:r>
          </w:p>
        </w:tc>
      </w:tr>
      <w:tr w:rsidR="00BB5480" w:rsidRPr="00BB5480" w14:paraId="5EB7A1F3" w14:textId="77777777" w:rsidTr="008D51DB">
        <w:tc>
          <w:tcPr>
            <w:tcW w:w="2268" w:type="dxa"/>
            <w:shd w:val="clear" w:color="auto" w:fill="auto"/>
          </w:tcPr>
          <w:p w14:paraId="5523A9C6" w14:textId="0F719022" w:rsidR="009A55B6" w:rsidRPr="00BB5480" w:rsidRDefault="009A55B6" w:rsidP="00106F52">
            <w:pPr>
              <w:pStyle w:val="TableContents"/>
              <w:rPr>
                <w:rFonts w:cs="Arial"/>
                <w:sz w:val="24"/>
                <w:szCs w:val="24"/>
              </w:rPr>
            </w:pPr>
            <w:r w:rsidRPr="00BB5480">
              <w:rPr>
                <w:rFonts w:cs="Arial"/>
                <w:sz w:val="24"/>
                <w:szCs w:val="24"/>
              </w:rPr>
              <w:t xml:space="preserve">CFA 1.1 </w:t>
            </w:r>
            <w:r w:rsidRPr="00BB5480">
              <w:rPr>
                <w:rFonts w:cs="Arial"/>
                <w:sz w:val="24"/>
                <w:szCs w:val="24"/>
              </w:rPr>
              <w:br/>
              <w:t xml:space="preserve">(sample </w:t>
            </w:r>
            <w:r w:rsidR="00106F52" w:rsidRPr="00BB5480">
              <w:rPr>
                <w:rFonts w:cs="Arial"/>
                <w:sz w:val="24"/>
                <w:szCs w:val="24"/>
              </w:rPr>
              <w:t>3</w:t>
            </w:r>
            <w:r w:rsidRPr="00BB5480">
              <w:rPr>
                <w:rFonts w:cs="Arial"/>
                <w:sz w:val="24"/>
                <w:szCs w:val="24"/>
              </w:rPr>
              <w:t xml:space="preserve"> – 7 items)</w:t>
            </w:r>
          </w:p>
        </w:tc>
        <w:tc>
          <w:tcPr>
            <w:tcW w:w="1560" w:type="dxa"/>
            <w:shd w:val="clear" w:color="auto" w:fill="auto"/>
          </w:tcPr>
          <w:p w14:paraId="5434EB5E" w14:textId="29EDA282" w:rsidR="009A55B6" w:rsidRPr="00BB5480" w:rsidRDefault="009A55B6" w:rsidP="008D51DB">
            <w:pPr>
              <w:pStyle w:val="TableContents"/>
              <w:rPr>
                <w:rFonts w:cs="Arial"/>
                <w:sz w:val="24"/>
                <w:szCs w:val="24"/>
              </w:rPr>
            </w:pPr>
            <w:r w:rsidRPr="00BB5480">
              <w:rPr>
                <w:rFonts w:cs="Arial"/>
                <w:sz w:val="24"/>
                <w:szCs w:val="24"/>
              </w:rPr>
              <w:t>23.31 (.038)</w:t>
            </w:r>
          </w:p>
        </w:tc>
        <w:tc>
          <w:tcPr>
            <w:tcW w:w="567" w:type="dxa"/>
          </w:tcPr>
          <w:p w14:paraId="0D365835" w14:textId="77777777" w:rsidR="009A55B6" w:rsidRPr="00BB5480" w:rsidRDefault="009A55B6" w:rsidP="008D51DB">
            <w:pPr>
              <w:pStyle w:val="TableContents"/>
              <w:rPr>
                <w:rFonts w:cs="Arial"/>
                <w:sz w:val="24"/>
                <w:szCs w:val="24"/>
              </w:rPr>
            </w:pPr>
            <w:r w:rsidRPr="00BB5480">
              <w:rPr>
                <w:rFonts w:cs="Arial"/>
                <w:sz w:val="24"/>
                <w:szCs w:val="24"/>
              </w:rPr>
              <w:t>13</w:t>
            </w:r>
          </w:p>
        </w:tc>
        <w:tc>
          <w:tcPr>
            <w:tcW w:w="1001" w:type="dxa"/>
            <w:shd w:val="clear" w:color="auto" w:fill="auto"/>
          </w:tcPr>
          <w:p w14:paraId="78E2A1AC" w14:textId="77777777" w:rsidR="009A55B6" w:rsidRPr="00BB5480" w:rsidRDefault="009A55B6" w:rsidP="008D51DB">
            <w:pPr>
              <w:pStyle w:val="TableContents"/>
              <w:rPr>
                <w:rFonts w:cs="Arial"/>
                <w:sz w:val="24"/>
                <w:szCs w:val="24"/>
              </w:rPr>
            </w:pPr>
            <w:r w:rsidRPr="00BB5480">
              <w:rPr>
                <w:rFonts w:cs="Arial"/>
                <w:sz w:val="24"/>
                <w:szCs w:val="24"/>
              </w:rPr>
              <w:t>1.79</w:t>
            </w:r>
          </w:p>
        </w:tc>
        <w:tc>
          <w:tcPr>
            <w:tcW w:w="1035" w:type="dxa"/>
            <w:shd w:val="clear" w:color="auto" w:fill="auto"/>
          </w:tcPr>
          <w:p w14:paraId="29613B12" w14:textId="77777777" w:rsidR="009A55B6" w:rsidRPr="00BB5480" w:rsidRDefault="009A55B6" w:rsidP="008D51DB">
            <w:pPr>
              <w:pStyle w:val="TableContents"/>
              <w:rPr>
                <w:rFonts w:cs="Arial"/>
                <w:sz w:val="24"/>
                <w:szCs w:val="24"/>
              </w:rPr>
            </w:pPr>
            <w:r w:rsidRPr="00BB5480">
              <w:rPr>
                <w:rFonts w:cs="Arial"/>
                <w:sz w:val="24"/>
                <w:szCs w:val="24"/>
              </w:rPr>
              <w:t>.990</w:t>
            </w:r>
          </w:p>
        </w:tc>
        <w:tc>
          <w:tcPr>
            <w:tcW w:w="1036" w:type="dxa"/>
            <w:shd w:val="clear" w:color="auto" w:fill="auto"/>
          </w:tcPr>
          <w:p w14:paraId="1223F77C" w14:textId="77777777" w:rsidR="009A55B6" w:rsidRPr="00BB5480" w:rsidRDefault="009A55B6" w:rsidP="008D51DB">
            <w:pPr>
              <w:pStyle w:val="TableContents"/>
              <w:rPr>
                <w:rFonts w:cs="Arial"/>
                <w:sz w:val="24"/>
                <w:szCs w:val="24"/>
              </w:rPr>
            </w:pPr>
            <w:r w:rsidRPr="00BB5480">
              <w:rPr>
                <w:rFonts w:cs="Arial"/>
                <w:sz w:val="24"/>
                <w:szCs w:val="24"/>
              </w:rPr>
              <w:t>.045</w:t>
            </w:r>
          </w:p>
        </w:tc>
        <w:tc>
          <w:tcPr>
            <w:tcW w:w="1036" w:type="dxa"/>
            <w:shd w:val="clear" w:color="auto" w:fill="auto"/>
          </w:tcPr>
          <w:p w14:paraId="08DA10A4" w14:textId="77777777" w:rsidR="009A55B6" w:rsidRPr="00BB5480" w:rsidRDefault="009A55B6" w:rsidP="008D51DB">
            <w:pPr>
              <w:pStyle w:val="TableContents"/>
              <w:rPr>
                <w:rFonts w:cs="Arial"/>
                <w:sz w:val="24"/>
                <w:szCs w:val="24"/>
              </w:rPr>
            </w:pPr>
            <w:r w:rsidRPr="00BB5480">
              <w:rPr>
                <w:rFonts w:cs="Arial"/>
                <w:sz w:val="24"/>
                <w:szCs w:val="24"/>
              </w:rPr>
              <w:t>.011 / .075</w:t>
            </w:r>
          </w:p>
        </w:tc>
        <w:tc>
          <w:tcPr>
            <w:tcW w:w="1037" w:type="dxa"/>
            <w:shd w:val="clear" w:color="auto" w:fill="auto"/>
          </w:tcPr>
          <w:p w14:paraId="30BD06B9" w14:textId="77777777" w:rsidR="009A55B6" w:rsidRPr="00BB5480" w:rsidRDefault="009A55B6" w:rsidP="008D51DB">
            <w:pPr>
              <w:pStyle w:val="TableContents"/>
              <w:rPr>
                <w:rFonts w:cs="Arial"/>
                <w:sz w:val="24"/>
                <w:szCs w:val="24"/>
              </w:rPr>
            </w:pPr>
            <w:r w:rsidRPr="00BB5480">
              <w:rPr>
                <w:rFonts w:cs="Arial"/>
                <w:sz w:val="24"/>
                <w:szCs w:val="24"/>
              </w:rPr>
              <w:t>.0244</w:t>
            </w:r>
          </w:p>
        </w:tc>
      </w:tr>
      <w:tr w:rsidR="00BB5480" w:rsidRPr="00BB5480" w14:paraId="11DD9330" w14:textId="77777777" w:rsidTr="00846895">
        <w:trPr>
          <w:trHeight w:val="649"/>
        </w:trPr>
        <w:tc>
          <w:tcPr>
            <w:tcW w:w="2268" w:type="dxa"/>
            <w:shd w:val="clear" w:color="auto" w:fill="auto"/>
          </w:tcPr>
          <w:p w14:paraId="1A8E727D" w14:textId="71431F0A" w:rsidR="00880F8B" w:rsidRPr="00BB5480" w:rsidRDefault="00DC45A9" w:rsidP="00106F52">
            <w:pPr>
              <w:pStyle w:val="TableContents"/>
              <w:rPr>
                <w:rFonts w:cs="Arial"/>
                <w:sz w:val="24"/>
                <w:szCs w:val="24"/>
              </w:rPr>
            </w:pPr>
            <w:r w:rsidRPr="00BB5480">
              <w:rPr>
                <w:rFonts w:cs="Arial"/>
                <w:sz w:val="24"/>
                <w:szCs w:val="24"/>
              </w:rPr>
              <w:t>CFA</w:t>
            </w:r>
            <w:r w:rsidR="00633FA9" w:rsidRPr="00BB5480">
              <w:rPr>
                <w:rFonts w:cs="Arial"/>
                <w:sz w:val="24"/>
                <w:szCs w:val="24"/>
              </w:rPr>
              <w:t xml:space="preserve"> </w:t>
            </w:r>
            <w:r w:rsidR="002D2708" w:rsidRPr="00BB5480">
              <w:rPr>
                <w:rFonts w:cs="Arial"/>
                <w:sz w:val="24"/>
                <w:szCs w:val="24"/>
              </w:rPr>
              <w:t>2</w:t>
            </w:r>
            <w:r w:rsidRPr="00BB5480">
              <w:rPr>
                <w:rFonts w:cs="Arial"/>
                <w:sz w:val="24"/>
                <w:szCs w:val="24"/>
              </w:rPr>
              <w:t xml:space="preserve"> </w:t>
            </w:r>
            <w:r w:rsidR="005623A1" w:rsidRPr="00BB5480">
              <w:rPr>
                <w:rFonts w:cs="Arial"/>
                <w:sz w:val="24"/>
                <w:szCs w:val="24"/>
              </w:rPr>
              <w:br/>
            </w:r>
            <w:r w:rsidRPr="00BB5480">
              <w:rPr>
                <w:rFonts w:cs="Arial"/>
                <w:sz w:val="24"/>
                <w:szCs w:val="24"/>
              </w:rPr>
              <w:t>(</w:t>
            </w:r>
            <w:r w:rsidR="00A54D35" w:rsidRPr="00BB5480">
              <w:rPr>
                <w:rFonts w:cs="Arial"/>
                <w:sz w:val="24"/>
                <w:szCs w:val="24"/>
              </w:rPr>
              <w:t>sample</w:t>
            </w:r>
            <w:r w:rsidRPr="00BB5480">
              <w:rPr>
                <w:rFonts w:cs="Arial"/>
                <w:sz w:val="24"/>
                <w:szCs w:val="24"/>
              </w:rPr>
              <w:t xml:space="preserve"> </w:t>
            </w:r>
            <w:r w:rsidR="00106F52" w:rsidRPr="00BB5480">
              <w:rPr>
                <w:rFonts w:cs="Arial"/>
                <w:sz w:val="24"/>
                <w:szCs w:val="24"/>
              </w:rPr>
              <w:t>4</w:t>
            </w:r>
            <w:r w:rsidR="005623A1" w:rsidRPr="00BB5480">
              <w:rPr>
                <w:rFonts w:cs="Arial"/>
                <w:sz w:val="24"/>
                <w:szCs w:val="24"/>
              </w:rPr>
              <w:t xml:space="preserve"> – 7 items</w:t>
            </w:r>
            <w:r w:rsidRPr="00BB5480">
              <w:rPr>
                <w:rFonts w:cs="Arial"/>
                <w:sz w:val="24"/>
                <w:szCs w:val="24"/>
              </w:rPr>
              <w:t>)</w:t>
            </w:r>
          </w:p>
        </w:tc>
        <w:tc>
          <w:tcPr>
            <w:tcW w:w="1560" w:type="dxa"/>
            <w:shd w:val="clear" w:color="auto" w:fill="auto"/>
          </w:tcPr>
          <w:p w14:paraId="65CADD9B" w14:textId="1C8021F5" w:rsidR="00880F8B" w:rsidRPr="00BB5480" w:rsidRDefault="00CE4A5C" w:rsidP="00CE4A5C">
            <w:pPr>
              <w:pStyle w:val="TableContents"/>
              <w:rPr>
                <w:rFonts w:cs="Arial"/>
                <w:sz w:val="24"/>
                <w:szCs w:val="24"/>
              </w:rPr>
            </w:pPr>
            <w:r w:rsidRPr="00BB5480">
              <w:rPr>
                <w:rFonts w:cs="Arial"/>
                <w:sz w:val="24"/>
                <w:szCs w:val="24"/>
              </w:rPr>
              <w:t>28.10</w:t>
            </w:r>
            <w:r w:rsidR="00880F8B" w:rsidRPr="00BB5480">
              <w:rPr>
                <w:rFonts w:cs="Arial"/>
                <w:sz w:val="24"/>
                <w:szCs w:val="24"/>
              </w:rPr>
              <w:t xml:space="preserve"> (.0</w:t>
            </w:r>
            <w:r w:rsidRPr="00BB5480">
              <w:rPr>
                <w:rFonts w:cs="Arial"/>
                <w:sz w:val="24"/>
                <w:szCs w:val="24"/>
              </w:rPr>
              <w:t>09</w:t>
            </w:r>
            <w:r w:rsidR="00880F8B" w:rsidRPr="00BB5480">
              <w:rPr>
                <w:rFonts w:cs="Arial"/>
                <w:sz w:val="24"/>
                <w:szCs w:val="24"/>
              </w:rPr>
              <w:t>)</w:t>
            </w:r>
          </w:p>
        </w:tc>
        <w:tc>
          <w:tcPr>
            <w:tcW w:w="567" w:type="dxa"/>
          </w:tcPr>
          <w:p w14:paraId="32A465FE" w14:textId="77777777" w:rsidR="00880F8B" w:rsidRPr="00BB5480" w:rsidRDefault="00880F8B" w:rsidP="00CE4A5C">
            <w:pPr>
              <w:pStyle w:val="TableContents"/>
              <w:rPr>
                <w:rFonts w:cs="Arial"/>
                <w:sz w:val="24"/>
                <w:szCs w:val="24"/>
              </w:rPr>
            </w:pPr>
            <w:r w:rsidRPr="00BB5480">
              <w:rPr>
                <w:rFonts w:cs="Arial"/>
                <w:sz w:val="24"/>
                <w:szCs w:val="24"/>
              </w:rPr>
              <w:t>1</w:t>
            </w:r>
            <w:r w:rsidR="00CE4A5C" w:rsidRPr="00BB5480">
              <w:rPr>
                <w:rFonts w:cs="Arial"/>
                <w:sz w:val="24"/>
                <w:szCs w:val="24"/>
              </w:rPr>
              <w:t>3</w:t>
            </w:r>
          </w:p>
        </w:tc>
        <w:tc>
          <w:tcPr>
            <w:tcW w:w="1001" w:type="dxa"/>
            <w:shd w:val="clear" w:color="auto" w:fill="auto"/>
          </w:tcPr>
          <w:p w14:paraId="67E97D37" w14:textId="77777777" w:rsidR="00880F8B" w:rsidRPr="00BB5480" w:rsidRDefault="00CE4A5C" w:rsidP="001C7EA6">
            <w:pPr>
              <w:pStyle w:val="TableContents"/>
              <w:rPr>
                <w:rFonts w:cs="Arial"/>
                <w:sz w:val="24"/>
                <w:szCs w:val="24"/>
              </w:rPr>
            </w:pPr>
            <w:r w:rsidRPr="00BB5480">
              <w:rPr>
                <w:rFonts w:cs="Arial"/>
                <w:sz w:val="24"/>
                <w:szCs w:val="24"/>
              </w:rPr>
              <w:t>2.16</w:t>
            </w:r>
          </w:p>
        </w:tc>
        <w:tc>
          <w:tcPr>
            <w:tcW w:w="1035" w:type="dxa"/>
            <w:shd w:val="clear" w:color="auto" w:fill="auto"/>
          </w:tcPr>
          <w:p w14:paraId="03758CD0" w14:textId="77777777" w:rsidR="00880F8B" w:rsidRPr="00BB5480" w:rsidRDefault="00880F8B" w:rsidP="00CE4A5C">
            <w:pPr>
              <w:pStyle w:val="TableContents"/>
              <w:rPr>
                <w:rFonts w:cs="Arial"/>
                <w:sz w:val="24"/>
                <w:szCs w:val="24"/>
              </w:rPr>
            </w:pPr>
            <w:r w:rsidRPr="00BB5480">
              <w:rPr>
                <w:rFonts w:cs="Arial"/>
                <w:sz w:val="24"/>
                <w:szCs w:val="24"/>
              </w:rPr>
              <w:t>.97</w:t>
            </w:r>
            <w:r w:rsidR="00CE4A5C" w:rsidRPr="00BB5480">
              <w:rPr>
                <w:rFonts w:cs="Arial"/>
                <w:sz w:val="24"/>
                <w:szCs w:val="24"/>
              </w:rPr>
              <w:t>3</w:t>
            </w:r>
          </w:p>
        </w:tc>
        <w:tc>
          <w:tcPr>
            <w:tcW w:w="1036" w:type="dxa"/>
            <w:shd w:val="clear" w:color="auto" w:fill="auto"/>
          </w:tcPr>
          <w:p w14:paraId="4FA7B545" w14:textId="77777777" w:rsidR="00880F8B" w:rsidRPr="00BB5480" w:rsidRDefault="00880F8B" w:rsidP="00CE4A5C">
            <w:pPr>
              <w:pStyle w:val="TableContents"/>
              <w:rPr>
                <w:rFonts w:cs="Arial"/>
                <w:sz w:val="24"/>
                <w:szCs w:val="24"/>
              </w:rPr>
            </w:pPr>
            <w:r w:rsidRPr="00BB5480">
              <w:rPr>
                <w:rFonts w:cs="Arial"/>
                <w:sz w:val="24"/>
                <w:szCs w:val="24"/>
              </w:rPr>
              <w:t>.0</w:t>
            </w:r>
            <w:r w:rsidR="00CE4A5C" w:rsidRPr="00BB5480">
              <w:rPr>
                <w:rFonts w:cs="Arial"/>
                <w:sz w:val="24"/>
                <w:szCs w:val="24"/>
              </w:rPr>
              <w:t>6</w:t>
            </w:r>
            <w:r w:rsidRPr="00BB5480">
              <w:rPr>
                <w:rFonts w:cs="Arial"/>
                <w:sz w:val="24"/>
                <w:szCs w:val="24"/>
              </w:rPr>
              <w:t>5</w:t>
            </w:r>
          </w:p>
        </w:tc>
        <w:tc>
          <w:tcPr>
            <w:tcW w:w="1036" w:type="dxa"/>
            <w:shd w:val="clear" w:color="auto" w:fill="auto"/>
          </w:tcPr>
          <w:p w14:paraId="6FE1EA43" w14:textId="77777777" w:rsidR="00880F8B" w:rsidRPr="00BB5480" w:rsidRDefault="00880F8B" w:rsidP="00CE4A5C">
            <w:pPr>
              <w:pStyle w:val="TableContents"/>
              <w:rPr>
                <w:rFonts w:cs="Arial"/>
                <w:sz w:val="24"/>
                <w:szCs w:val="24"/>
              </w:rPr>
            </w:pPr>
            <w:r w:rsidRPr="00BB5480">
              <w:rPr>
                <w:rFonts w:cs="Arial"/>
                <w:sz w:val="24"/>
                <w:szCs w:val="24"/>
              </w:rPr>
              <w:t>.0</w:t>
            </w:r>
            <w:r w:rsidR="00CE4A5C" w:rsidRPr="00BB5480">
              <w:rPr>
                <w:rFonts w:cs="Arial"/>
                <w:sz w:val="24"/>
                <w:szCs w:val="24"/>
              </w:rPr>
              <w:t>32</w:t>
            </w:r>
            <w:r w:rsidRPr="00BB5480">
              <w:rPr>
                <w:rFonts w:cs="Arial"/>
                <w:sz w:val="24"/>
                <w:szCs w:val="24"/>
              </w:rPr>
              <w:t xml:space="preserve"> / .0</w:t>
            </w:r>
            <w:r w:rsidR="00CE4A5C" w:rsidRPr="00BB5480">
              <w:rPr>
                <w:rFonts w:cs="Arial"/>
                <w:sz w:val="24"/>
                <w:szCs w:val="24"/>
              </w:rPr>
              <w:t>99</w:t>
            </w:r>
          </w:p>
        </w:tc>
        <w:tc>
          <w:tcPr>
            <w:tcW w:w="1037" w:type="dxa"/>
            <w:shd w:val="clear" w:color="auto" w:fill="auto"/>
          </w:tcPr>
          <w:p w14:paraId="48E4F025" w14:textId="77777777" w:rsidR="00880F8B" w:rsidRPr="00BB5480" w:rsidRDefault="00880F8B" w:rsidP="00CE4A5C">
            <w:pPr>
              <w:pStyle w:val="TableContents"/>
              <w:rPr>
                <w:rFonts w:cs="Arial"/>
                <w:sz w:val="24"/>
                <w:szCs w:val="24"/>
              </w:rPr>
            </w:pPr>
            <w:r w:rsidRPr="00BB5480">
              <w:rPr>
                <w:rFonts w:cs="Arial"/>
                <w:sz w:val="24"/>
                <w:szCs w:val="24"/>
              </w:rPr>
              <w:t>.0</w:t>
            </w:r>
            <w:r w:rsidR="00CE4A5C" w:rsidRPr="00BB5480">
              <w:rPr>
                <w:rFonts w:cs="Arial"/>
                <w:sz w:val="24"/>
                <w:szCs w:val="24"/>
              </w:rPr>
              <w:t>504</w:t>
            </w:r>
          </w:p>
        </w:tc>
      </w:tr>
      <w:tr w:rsidR="00BB5480" w:rsidRPr="00BB5480" w14:paraId="6F183B8B" w14:textId="77777777" w:rsidTr="00846895">
        <w:tc>
          <w:tcPr>
            <w:tcW w:w="2268" w:type="dxa"/>
            <w:tcBorders>
              <w:bottom w:val="single" w:sz="12" w:space="0" w:color="auto"/>
            </w:tcBorders>
            <w:shd w:val="clear" w:color="auto" w:fill="auto"/>
          </w:tcPr>
          <w:p w14:paraId="7C644072" w14:textId="5759D643" w:rsidR="00880F8B" w:rsidRPr="00BB5480" w:rsidRDefault="00DC45A9" w:rsidP="005623A1">
            <w:pPr>
              <w:pStyle w:val="TableContents"/>
              <w:rPr>
                <w:rFonts w:cs="Arial"/>
                <w:sz w:val="24"/>
                <w:szCs w:val="24"/>
              </w:rPr>
            </w:pPr>
            <w:r w:rsidRPr="00BB5480">
              <w:rPr>
                <w:rFonts w:cs="Arial"/>
                <w:sz w:val="24"/>
                <w:szCs w:val="24"/>
              </w:rPr>
              <w:t>CFA</w:t>
            </w:r>
            <w:r w:rsidR="00633FA9" w:rsidRPr="00BB5480">
              <w:rPr>
                <w:rFonts w:cs="Arial"/>
                <w:sz w:val="24"/>
                <w:szCs w:val="24"/>
              </w:rPr>
              <w:t xml:space="preserve"> </w:t>
            </w:r>
            <w:r w:rsidR="002D2708" w:rsidRPr="00BB5480">
              <w:rPr>
                <w:rFonts w:cs="Arial"/>
                <w:sz w:val="24"/>
                <w:szCs w:val="24"/>
              </w:rPr>
              <w:t>3</w:t>
            </w:r>
            <w:r w:rsidR="005623A1" w:rsidRPr="00BB5480">
              <w:rPr>
                <w:rFonts w:cs="Arial"/>
                <w:sz w:val="24"/>
                <w:szCs w:val="24"/>
              </w:rPr>
              <w:br/>
            </w:r>
            <w:r w:rsidRPr="00BB5480">
              <w:rPr>
                <w:rFonts w:cs="Arial"/>
                <w:sz w:val="24"/>
                <w:szCs w:val="24"/>
              </w:rPr>
              <w:t>(</w:t>
            </w:r>
            <w:r w:rsidR="00A54D35" w:rsidRPr="00BB5480">
              <w:rPr>
                <w:rFonts w:cs="Arial"/>
                <w:sz w:val="24"/>
                <w:szCs w:val="24"/>
              </w:rPr>
              <w:t>sample</w:t>
            </w:r>
            <w:r w:rsidRPr="00BB5480">
              <w:rPr>
                <w:rFonts w:cs="Arial"/>
                <w:sz w:val="24"/>
                <w:szCs w:val="24"/>
              </w:rPr>
              <w:t xml:space="preserve"> </w:t>
            </w:r>
            <w:proofErr w:type="spellStart"/>
            <w:r w:rsidRPr="00BB5480">
              <w:rPr>
                <w:rFonts w:cs="Arial"/>
                <w:sz w:val="24"/>
                <w:szCs w:val="24"/>
              </w:rPr>
              <w:t>1b</w:t>
            </w:r>
            <w:proofErr w:type="spellEnd"/>
            <w:r w:rsidR="005623A1" w:rsidRPr="00BB5480">
              <w:rPr>
                <w:rFonts w:cs="Arial"/>
                <w:sz w:val="24"/>
                <w:szCs w:val="24"/>
              </w:rPr>
              <w:t xml:space="preserve"> – 7 items</w:t>
            </w:r>
            <w:r w:rsidRPr="00BB5480">
              <w:rPr>
                <w:rFonts w:cs="Arial"/>
                <w:sz w:val="24"/>
                <w:szCs w:val="24"/>
              </w:rPr>
              <w:t>)</w:t>
            </w:r>
          </w:p>
        </w:tc>
        <w:tc>
          <w:tcPr>
            <w:tcW w:w="1560" w:type="dxa"/>
            <w:tcBorders>
              <w:bottom w:val="single" w:sz="12" w:space="0" w:color="auto"/>
            </w:tcBorders>
            <w:shd w:val="clear" w:color="auto" w:fill="auto"/>
          </w:tcPr>
          <w:p w14:paraId="2D095578" w14:textId="7AA3677A" w:rsidR="00880F8B" w:rsidRPr="00BB5480" w:rsidRDefault="00A92D3F" w:rsidP="00A92D3F">
            <w:pPr>
              <w:pStyle w:val="TableContents"/>
              <w:rPr>
                <w:rFonts w:cs="Arial"/>
                <w:sz w:val="24"/>
                <w:szCs w:val="24"/>
              </w:rPr>
            </w:pPr>
            <w:r w:rsidRPr="00BB5480">
              <w:rPr>
                <w:rFonts w:cs="Arial"/>
                <w:sz w:val="24"/>
                <w:szCs w:val="24"/>
              </w:rPr>
              <w:t>21.71</w:t>
            </w:r>
            <w:r w:rsidR="00880F8B" w:rsidRPr="00BB5480">
              <w:rPr>
                <w:rFonts w:cs="Arial"/>
                <w:sz w:val="24"/>
                <w:szCs w:val="24"/>
              </w:rPr>
              <w:t xml:space="preserve"> (.0</w:t>
            </w:r>
            <w:r w:rsidRPr="00BB5480">
              <w:rPr>
                <w:rFonts w:cs="Arial"/>
                <w:sz w:val="24"/>
                <w:szCs w:val="24"/>
              </w:rPr>
              <w:t>60</w:t>
            </w:r>
            <w:r w:rsidR="00880F8B" w:rsidRPr="00BB5480">
              <w:rPr>
                <w:rFonts w:cs="Arial"/>
                <w:sz w:val="24"/>
                <w:szCs w:val="24"/>
              </w:rPr>
              <w:t>)</w:t>
            </w:r>
          </w:p>
        </w:tc>
        <w:tc>
          <w:tcPr>
            <w:tcW w:w="567" w:type="dxa"/>
            <w:tcBorders>
              <w:bottom w:val="single" w:sz="12" w:space="0" w:color="auto"/>
            </w:tcBorders>
          </w:tcPr>
          <w:p w14:paraId="5A20A067" w14:textId="77777777" w:rsidR="00880F8B" w:rsidRPr="00BB5480" w:rsidRDefault="00880F8B" w:rsidP="00A92D3F">
            <w:pPr>
              <w:pStyle w:val="TableContents"/>
              <w:rPr>
                <w:rFonts w:cs="Arial"/>
                <w:sz w:val="24"/>
                <w:szCs w:val="24"/>
              </w:rPr>
            </w:pPr>
            <w:r w:rsidRPr="00BB5480">
              <w:rPr>
                <w:rFonts w:cs="Arial"/>
                <w:sz w:val="24"/>
                <w:szCs w:val="24"/>
              </w:rPr>
              <w:t>1</w:t>
            </w:r>
            <w:r w:rsidR="00A92D3F" w:rsidRPr="00BB5480">
              <w:rPr>
                <w:rFonts w:cs="Arial"/>
                <w:sz w:val="24"/>
                <w:szCs w:val="24"/>
              </w:rPr>
              <w:t>3</w:t>
            </w:r>
          </w:p>
        </w:tc>
        <w:tc>
          <w:tcPr>
            <w:tcW w:w="1001" w:type="dxa"/>
            <w:tcBorders>
              <w:bottom w:val="single" w:sz="12" w:space="0" w:color="auto"/>
            </w:tcBorders>
            <w:shd w:val="clear" w:color="auto" w:fill="auto"/>
          </w:tcPr>
          <w:p w14:paraId="30B67805" w14:textId="77777777" w:rsidR="00880F8B" w:rsidRPr="00BB5480" w:rsidRDefault="00A92D3F" w:rsidP="001C7EA6">
            <w:pPr>
              <w:pStyle w:val="TableContents"/>
              <w:rPr>
                <w:rFonts w:cs="Arial"/>
                <w:sz w:val="24"/>
                <w:szCs w:val="24"/>
              </w:rPr>
            </w:pPr>
            <w:r w:rsidRPr="00BB5480">
              <w:rPr>
                <w:rFonts w:cs="Arial"/>
                <w:sz w:val="24"/>
                <w:szCs w:val="24"/>
              </w:rPr>
              <w:t>1.6</w:t>
            </w:r>
            <w:r w:rsidR="001C7EA6" w:rsidRPr="00BB5480">
              <w:rPr>
                <w:rFonts w:cs="Arial"/>
                <w:sz w:val="24"/>
                <w:szCs w:val="24"/>
              </w:rPr>
              <w:t>8</w:t>
            </w:r>
          </w:p>
        </w:tc>
        <w:tc>
          <w:tcPr>
            <w:tcW w:w="1035" w:type="dxa"/>
            <w:tcBorders>
              <w:bottom w:val="single" w:sz="12" w:space="0" w:color="auto"/>
            </w:tcBorders>
            <w:shd w:val="clear" w:color="auto" w:fill="auto"/>
          </w:tcPr>
          <w:p w14:paraId="6327212B" w14:textId="77777777" w:rsidR="00880F8B" w:rsidRPr="00BB5480" w:rsidRDefault="00880F8B" w:rsidP="00A92D3F">
            <w:pPr>
              <w:pStyle w:val="TableContents"/>
              <w:rPr>
                <w:rFonts w:cs="Arial"/>
                <w:sz w:val="24"/>
                <w:szCs w:val="24"/>
              </w:rPr>
            </w:pPr>
            <w:r w:rsidRPr="00BB5480">
              <w:rPr>
                <w:rFonts w:cs="Arial"/>
                <w:sz w:val="24"/>
                <w:szCs w:val="24"/>
              </w:rPr>
              <w:t>.9</w:t>
            </w:r>
            <w:r w:rsidR="00A92D3F" w:rsidRPr="00BB5480">
              <w:rPr>
                <w:rFonts w:cs="Arial"/>
                <w:sz w:val="24"/>
                <w:szCs w:val="24"/>
              </w:rPr>
              <w:t>94</w:t>
            </w:r>
          </w:p>
        </w:tc>
        <w:tc>
          <w:tcPr>
            <w:tcW w:w="1036" w:type="dxa"/>
            <w:tcBorders>
              <w:bottom w:val="single" w:sz="12" w:space="0" w:color="auto"/>
            </w:tcBorders>
            <w:shd w:val="clear" w:color="auto" w:fill="auto"/>
          </w:tcPr>
          <w:p w14:paraId="6F306827" w14:textId="77777777" w:rsidR="00880F8B" w:rsidRPr="00BB5480" w:rsidRDefault="00880F8B" w:rsidP="00A92D3F">
            <w:pPr>
              <w:pStyle w:val="TableContents"/>
              <w:rPr>
                <w:rFonts w:cs="Arial"/>
                <w:sz w:val="24"/>
                <w:szCs w:val="24"/>
              </w:rPr>
            </w:pPr>
            <w:r w:rsidRPr="00BB5480">
              <w:rPr>
                <w:rFonts w:cs="Arial"/>
                <w:sz w:val="24"/>
                <w:szCs w:val="24"/>
              </w:rPr>
              <w:t>.0</w:t>
            </w:r>
            <w:r w:rsidR="00A92D3F" w:rsidRPr="00BB5480">
              <w:rPr>
                <w:rFonts w:cs="Arial"/>
                <w:sz w:val="24"/>
                <w:szCs w:val="24"/>
              </w:rPr>
              <w:t>45</w:t>
            </w:r>
          </w:p>
        </w:tc>
        <w:tc>
          <w:tcPr>
            <w:tcW w:w="1036" w:type="dxa"/>
            <w:tcBorders>
              <w:bottom w:val="single" w:sz="12" w:space="0" w:color="auto"/>
            </w:tcBorders>
            <w:shd w:val="clear" w:color="auto" w:fill="auto"/>
          </w:tcPr>
          <w:p w14:paraId="2F1891D6" w14:textId="77777777" w:rsidR="00880F8B" w:rsidRPr="00BB5480" w:rsidRDefault="00880F8B" w:rsidP="00A92D3F">
            <w:pPr>
              <w:pStyle w:val="TableContents"/>
              <w:rPr>
                <w:rFonts w:cs="Arial"/>
                <w:sz w:val="24"/>
                <w:szCs w:val="24"/>
              </w:rPr>
            </w:pPr>
            <w:r w:rsidRPr="00BB5480">
              <w:rPr>
                <w:rFonts w:cs="Arial"/>
                <w:sz w:val="24"/>
                <w:szCs w:val="24"/>
              </w:rPr>
              <w:t>.0</w:t>
            </w:r>
            <w:r w:rsidR="00A92D3F" w:rsidRPr="00BB5480">
              <w:rPr>
                <w:rFonts w:cs="Arial"/>
                <w:sz w:val="24"/>
                <w:szCs w:val="24"/>
              </w:rPr>
              <w:t>00 / .078</w:t>
            </w:r>
          </w:p>
        </w:tc>
        <w:tc>
          <w:tcPr>
            <w:tcW w:w="1037" w:type="dxa"/>
            <w:tcBorders>
              <w:bottom w:val="single" w:sz="12" w:space="0" w:color="auto"/>
            </w:tcBorders>
            <w:shd w:val="clear" w:color="auto" w:fill="auto"/>
          </w:tcPr>
          <w:p w14:paraId="5C9F8759" w14:textId="77777777" w:rsidR="00880F8B" w:rsidRPr="00BB5480" w:rsidRDefault="00880F8B" w:rsidP="00A92D3F">
            <w:pPr>
              <w:pStyle w:val="TableContents"/>
              <w:rPr>
                <w:rFonts w:cs="Arial"/>
                <w:sz w:val="24"/>
                <w:szCs w:val="24"/>
              </w:rPr>
            </w:pPr>
            <w:r w:rsidRPr="00BB5480">
              <w:rPr>
                <w:rFonts w:cs="Arial"/>
                <w:sz w:val="24"/>
                <w:szCs w:val="24"/>
              </w:rPr>
              <w:t>.0</w:t>
            </w:r>
            <w:r w:rsidR="00A92D3F" w:rsidRPr="00BB5480">
              <w:rPr>
                <w:rFonts w:cs="Arial"/>
                <w:sz w:val="24"/>
                <w:szCs w:val="24"/>
              </w:rPr>
              <w:t>491</w:t>
            </w:r>
          </w:p>
        </w:tc>
      </w:tr>
    </w:tbl>
    <w:p w14:paraId="0FB13803" w14:textId="20B6C059" w:rsidR="00DA69D9" w:rsidRPr="00BB5480" w:rsidRDefault="00DA69D9">
      <w:pPr>
        <w:pStyle w:val="BodyText"/>
        <w:spacing w:line="240" w:lineRule="auto"/>
        <w:rPr>
          <w:rFonts w:cs="Arial"/>
        </w:rPr>
      </w:pPr>
      <w:r w:rsidRPr="00BB5480">
        <w:rPr>
          <w:rFonts w:cs="Arial"/>
          <w:i/>
          <w:iCs/>
        </w:rPr>
        <w:t>Note.</w:t>
      </w:r>
      <w:r w:rsidRPr="00BB5480">
        <w:rPr>
          <w:rFonts w:cs="Arial"/>
        </w:rPr>
        <w:t xml:space="preserve"> </w:t>
      </w:r>
      <w:proofErr w:type="spellStart"/>
      <w:r w:rsidRPr="00BB5480">
        <w:rPr>
          <w:rFonts w:cs="Arial"/>
        </w:rPr>
        <w:t>Χ²</w:t>
      </w:r>
      <w:proofErr w:type="spellEnd"/>
      <w:r w:rsidRPr="00BB5480">
        <w:rPr>
          <w:rFonts w:cs="Arial"/>
        </w:rPr>
        <w:t xml:space="preserve"> ratio: </w:t>
      </w:r>
      <w:proofErr w:type="spellStart"/>
      <w:r w:rsidRPr="00BB5480">
        <w:rPr>
          <w:rFonts w:cs="Arial"/>
        </w:rPr>
        <w:t>Χ²</w:t>
      </w:r>
      <w:proofErr w:type="spellEnd"/>
      <w:r w:rsidRPr="00BB5480">
        <w:rPr>
          <w:rFonts w:cs="Arial"/>
        </w:rPr>
        <w:t xml:space="preserve"> / </w:t>
      </w:r>
      <w:proofErr w:type="spellStart"/>
      <w:r w:rsidRPr="00BB5480">
        <w:rPr>
          <w:rFonts w:cs="Arial"/>
        </w:rPr>
        <w:t>df</w:t>
      </w:r>
      <w:proofErr w:type="spellEnd"/>
      <w:r w:rsidRPr="00BB5480">
        <w:rPr>
          <w:rFonts w:cs="Arial"/>
        </w:rPr>
        <w:t xml:space="preserve">; CFI, comparative fit index; </w:t>
      </w:r>
      <w:proofErr w:type="spellStart"/>
      <w:r w:rsidRPr="00BB5480">
        <w:rPr>
          <w:rFonts w:cs="Arial"/>
        </w:rPr>
        <w:t>RMSEA</w:t>
      </w:r>
      <w:proofErr w:type="spellEnd"/>
      <w:r w:rsidRPr="00BB5480">
        <w:rPr>
          <w:rFonts w:cs="Arial"/>
        </w:rPr>
        <w:t>, root-mean-square error of approximation</w:t>
      </w:r>
      <w:r w:rsidR="005A500B" w:rsidRPr="00BB5480">
        <w:rPr>
          <w:rFonts w:cs="Arial"/>
        </w:rPr>
        <w:t>, CI 90%</w:t>
      </w:r>
      <w:r w:rsidRPr="00BB5480">
        <w:rPr>
          <w:rFonts w:cs="Arial"/>
        </w:rPr>
        <w:t xml:space="preserve">; </w:t>
      </w:r>
      <w:proofErr w:type="spellStart"/>
      <w:r w:rsidRPr="00BB5480">
        <w:rPr>
          <w:rFonts w:cs="Arial"/>
        </w:rPr>
        <w:t>SRMR</w:t>
      </w:r>
      <w:proofErr w:type="spellEnd"/>
      <w:r w:rsidRPr="00BB5480">
        <w:rPr>
          <w:rFonts w:cs="Arial"/>
        </w:rPr>
        <w:t>, standar</w:t>
      </w:r>
      <w:r w:rsidR="009A55B6" w:rsidRPr="00BB5480">
        <w:rPr>
          <w:rFonts w:cs="Arial"/>
        </w:rPr>
        <w:t xml:space="preserve">dised root-mean-square residual. </w:t>
      </w:r>
      <w:r w:rsidR="00272A87" w:rsidRPr="00BB5480">
        <w:rPr>
          <w:rFonts w:cs="Arial"/>
        </w:rPr>
        <w:t xml:space="preserve">CFA 3 (sample </w:t>
      </w:r>
      <w:proofErr w:type="spellStart"/>
      <w:r w:rsidR="00272A87" w:rsidRPr="00BB5480">
        <w:rPr>
          <w:rFonts w:cs="Arial"/>
        </w:rPr>
        <w:t>1b</w:t>
      </w:r>
      <w:proofErr w:type="spellEnd"/>
      <w:r w:rsidR="00272A87" w:rsidRPr="00BB5480">
        <w:rPr>
          <w:rFonts w:cs="Arial"/>
        </w:rPr>
        <w:t>) has slight differences in item wording</w:t>
      </w:r>
      <w:r w:rsidR="00106F52" w:rsidRPr="00BB5480">
        <w:rPr>
          <w:rFonts w:cs="Arial"/>
        </w:rPr>
        <w:t xml:space="preserve"> to other CFAs</w:t>
      </w:r>
      <w:r w:rsidR="00272A87" w:rsidRPr="00BB5480">
        <w:rPr>
          <w:rFonts w:cs="Arial"/>
        </w:rPr>
        <w:t xml:space="preserve">, see </w:t>
      </w:r>
      <w:r w:rsidR="00106F52" w:rsidRPr="00BB5480">
        <w:rPr>
          <w:rFonts w:cs="Arial"/>
        </w:rPr>
        <w:t xml:space="preserve">procedure section of </w:t>
      </w:r>
      <w:r w:rsidR="00272A87" w:rsidRPr="00BB5480">
        <w:rPr>
          <w:rFonts w:cs="Arial"/>
        </w:rPr>
        <w:t>method.</w:t>
      </w:r>
    </w:p>
    <w:p w14:paraId="1CBE8FF4" w14:textId="77777777" w:rsidR="00DA69D9" w:rsidRPr="00BB5480" w:rsidRDefault="00DA69D9">
      <w:pPr>
        <w:pStyle w:val="BodyText"/>
        <w:spacing w:line="240" w:lineRule="auto"/>
        <w:rPr>
          <w:rFonts w:cs="Arial"/>
        </w:rPr>
      </w:pPr>
    </w:p>
    <w:p w14:paraId="55A53458" w14:textId="2B6656BA" w:rsidR="007846E5" w:rsidRPr="00BB5480" w:rsidRDefault="00DA69D9" w:rsidP="00633FA9">
      <w:pPr>
        <w:spacing w:line="360" w:lineRule="auto"/>
        <w:ind w:firstLine="709"/>
        <w:rPr>
          <w:rFonts w:cs="Arial"/>
          <w:iCs/>
          <w:sz w:val="24"/>
          <w:szCs w:val="24"/>
        </w:rPr>
      </w:pPr>
      <w:r w:rsidRPr="00BB5480">
        <w:rPr>
          <w:sz w:val="24"/>
          <w:szCs w:val="24"/>
        </w:rPr>
        <w:t xml:space="preserve">The results shown in Table </w:t>
      </w:r>
      <w:r w:rsidR="007846E5" w:rsidRPr="00BB5480">
        <w:rPr>
          <w:sz w:val="24"/>
          <w:szCs w:val="24"/>
        </w:rPr>
        <w:t>2</w:t>
      </w:r>
      <w:r w:rsidRPr="00BB5480">
        <w:rPr>
          <w:sz w:val="24"/>
          <w:szCs w:val="24"/>
        </w:rPr>
        <w:t xml:space="preserve"> indicate that the modified two factor model </w:t>
      </w:r>
      <w:r w:rsidR="002A110A" w:rsidRPr="00BB5480">
        <w:rPr>
          <w:sz w:val="24"/>
          <w:szCs w:val="24"/>
        </w:rPr>
        <w:t>of</w:t>
      </w:r>
      <w:r w:rsidRPr="00BB5480">
        <w:rPr>
          <w:sz w:val="24"/>
          <w:szCs w:val="24"/>
        </w:rPr>
        <w:t xml:space="preserve"> the EPIC fits the data relatively well</w:t>
      </w:r>
      <w:r w:rsidR="00B66FD1" w:rsidRPr="00BB5480">
        <w:rPr>
          <w:sz w:val="24"/>
          <w:szCs w:val="24"/>
        </w:rPr>
        <w:t xml:space="preserve"> (CFAs 1.1, 2 &amp; 3)</w:t>
      </w:r>
      <w:r w:rsidRPr="00BB5480">
        <w:rPr>
          <w:sz w:val="24"/>
          <w:szCs w:val="24"/>
        </w:rPr>
        <w:t xml:space="preserve">. The </w:t>
      </w:r>
      <w:proofErr w:type="spellStart"/>
      <w:r w:rsidRPr="00BB5480">
        <w:rPr>
          <w:sz w:val="24"/>
          <w:szCs w:val="24"/>
        </w:rPr>
        <w:t>Χ²</w:t>
      </w:r>
      <w:proofErr w:type="spellEnd"/>
      <w:r w:rsidRPr="00BB5480">
        <w:rPr>
          <w:sz w:val="24"/>
          <w:szCs w:val="24"/>
        </w:rPr>
        <w:t xml:space="preserve"> ratio is below 2 in two of three </w:t>
      </w:r>
      <w:r w:rsidR="006B1BF0" w:rsidRPr="00BB5480">
        <w:rPr>
          <w:sz w:val="24"/>
          <w:szCs w:val="24"/>
        </w:rPr>
        <w:t>samples</w:t>
      </w:r>
      <w:r w:rsidRPr="00BB5480">
        <w:rPr>
          <w:sz w:val="24"/>
          <w:szCs w:val="24"/>
        </w:rPr>
        <w:t xml:space="preserve">, the CFI is greater than .95 and the </w:t>
      </w:r>
      <w:proofErr w:type="spellStart"/>
      <w:r w:rsidRPr="00BB5480">
        <w:rPr>
          <w:sz w:val="24"/>
          <w:szCs w:val="24"/>
        </w:rPr>
        <w:t>S</w:t>
      </w:r>
      <w:r w:rsidR="00B27B08">
        <w:rPr>
          <w:sz w:val="24"/>
          <w:szCs w:val="24"/>
        </w:rPr>
        <w:t>RM</w:t>
      </w:r>
      <w:r w:rsidRPr="00BB5480">
        <w:rPr>
          <w:sz w:val="24"/>
          <w:szCs w:val="24"/>
        </w:rPr>
        <w:t>R</w:t>
      </w:r>
      <w:proofErr w:type="spellEnd"/>
      <w:r w:rsidRPr="00BB5480">
        <w:rPr>
          <w:sz w:val="24"/>
          <w:szCs w:val="24"/>
        </w:rPr>
        <w:t xml:space="preserve"> is less than .08 in all</w:t>
      </w:r>
      <w:r w:rsidR="00E079F2" w:rsidRPr="00BB5480">
        <w:rPr>
          <w:sz w:val="24"/>
          <w:szCs w:val="24"/>
        </w:rPr>
        <w:t xml:space="preserve"> samples</w:t>
      </w:r>
      <w:r w:rsidRPr="00BB5480">
        <w:rPr>
          <w:sz w:val="24"/>
          <w:szCs w:val="24"/>
        </w:rPr>
        <w:t xml:space="preserve">. However, the </w:t>
      </w:r>
      <w:proofErr w:type="spellStart"/>
      <w:r w:rsidRPr="00BB5480">
        <w:rPr>
          <w:sz w:val="24"/>
          <w:szCs w:val="24"/>
        </w:rPr>
        <w:t>Χ²</w:t>
      </w:r>
      <w:proofErr w:type="spellEnd"/>
      <w:r w:rsidRPr="00BB5480">
        <w:rPr>
          <w:sz w:val="24"/>
          <w:szCs w:val="24"/>
        </w:rPr>
        <w:t xml:space="preserve"> score is significant in CFA</w:t>
      </w:r>
      <w:r w:rsidR="007846E5" w:rsidRPr="00BB5480">
        <w:rPr>
          <w:sz w:val="24"/>
          <w:szCs w:val="24"/>
        </w:rPr>
        <w:t xml:space="preserve"> </w:t>
      </w:r>
      <w:r w:rsidR="00E079F2" w:rsidRPr="00BB5480">
        <w:rPr>
          <w:sz w:val="24"/>
          <w:szCs w:val="24"/>
        </w:rPr>
        <w:t>1</w:t>
      </w:r>
      <w:r w:rsidR="00B66FD1" w:rsidRPr="00BB5480">
        <w:rPr>
          <w:sz w:val="24"/>
          <w:szCs w:val="24"/>
        </w:rPr>
        <w:t>.1</w:t>
      </w:r>
      <w:r w:rsidRPr="00BB5480">
        <w:rPr>
          <w:sz w:val="24"/>
          <w:szCs w:val="24"/>
        </w:rPr>
        <w:t xml:space="preserve"> </w:t>
      </w:r>
      <w:r w:rsidR="00A13CB3">
        <w:rPr>
          <w:sz w:val="24"/>
          <w:szCs w:val="24"/>
        </w:rPr>
        <w:t>and</w:t>
      </w:r>
      <w:r w:rsidRPr="00BB5480">
        <w:rPr>
          <w:sz w:val="24"/>
          <w:szCs w:val="24"/>
        </w:rPr>
        <w:t xml:space="preserve"> </w:t>
      </w:r>
      <w:r w:rsidR="00E079F2" w:rsidRPr="00BB5480">
        <w:rPr>
          <w:sz w:val="24"/>
          <w:szCs w:val="24"/>
        </w:rPr>
        <w:t>2</w:t>
      </w:r>
      <w:r w:rsidRPr="00BB5480">
        <w:rPr>
          <w:sz w:val="24"/>
          <w:szCs w:val="24"/>
        </w:rPr>
        <w:t xml:space="preserve">, and the </w:t>
      </w:r>
      <w:proofErr w:type="spellStart"/>
      <w:r w:rsidRPr="00BB5480">
        <w:rPr>
          <w:sz w:val="24"/>
          <w:szCs w:val="24"/>
        </w:rPr>
        <w:t>RMSEA</w:t>
      </w:r>
      <w:proofErr w:type="spellEnd"/>
      <w:r w:rsidRPr="00BB5480">
        <w:rPr>
          <w:sz w:val="24"/>
          <w:szCs w:val="24"/>
        </w:rPr>
        <w:t xml:space="preserve"> exceeds .05 in CFA</w:t>
      </w:r>
      <w:r w:rsidR="007846E5" w:rsidRPr="00BB5480">
        <w:rPr>
          <w:sz w:val="24"/>
          <w:szCs w:val="24"/>
        </w:rPr>
        <w:t xml:space="preserve"> </w:t>
      </w:r>
      <w:r w:rsidRPr="00BB5480">
        <w:rPr>
          <w:sz w:val="24"/>
          <w:szCs w:val="24"/>
        </w:rPr>
        <w:t>2</w:t>
      </w:r>
      <w:r w:rsidR="007846E5" w:rsidRPr="00BB5480">
        <w:rPr>
          <w:sz w:val="24"/>
          <w:szCs w:val="24"/>
        </w:rPr>
        <w:t>.</w:t>
      </w:r>
      <w:r w:rsidRPr="00BB5480">
        <w:rPr>
          <w:sz w:val="24"/>
          <w:szCs w:val="24"/>
        </w:rPr>
        <w:t xml:space="preserve"> </w:t>
      </w:r>
      <w:r w:rsidR="007846E5" w:rsidRPr="00BB5480">
        <w:rPr>
          <w:sz w:val="24"/>
          <w:szCs w:val="24"/>
        </w:rPr>
        <w:t>A</w:t>
      </w:r>
      <w:r w:rsidRPr="00BB5480">
        <w:rPr>
          <w:sz w:val="24"/>
          <w:szCs w:val="24"/>
        </w:rPr>
        <w:t xml:space="preserve">lthough it should be noted that the upper </w:t>
      </w:r>
      <w:proofErr w:type="spellStart"/>
      <w:r w:rsidRPr="00BB5480">
        <w:rPr>
          <w:sz w:val="24"/>
          <w:szCs w:val="24"/>
        </w:rPr>
        <w:t>RMSEA</w:t>
      </w:r>
      <w:proofErr w:type="spellEnd"/>
      <w:r w:rsidRPr="00BB5480">
        <w:rPr>
          <w:sz w:val="24"/>
          <w:szCs w:val="24"/>
        </w:rPr>
        <w:t xml:space="preserve"> confidence intervals are below .</w:t>
      </w:r>
      <w:r w:rsidR="00A354BA" w:rsidRPr="00BB5480">
        <w:rPr>
          <w:sz w:val="24"/>
          <w:szCs w:val="24"/>
        </w:rPr>
        <w:t>1</w:t>
      </w:r>
      <w:r w:rsidRPr="00BB5480">
        <w:rPr>
          <w:sz w:val="24"/>
          <w:szCs w:val="24"/>
        </w:rPr>
        <w:t xml:space="preserve">0 in all </w:t>
      </w:r>
      <w:r w:rsidR="006B1BF0" w:rsidRPr="00BB5480">
        <w:rPr>
          <w:sz w:val="24"/>
          <w:szCs w:val="24"/>
        </w:rPr>
        <w:t>CFAs</w:t>
      </w:r>
      <w:r w:rsidRPr="00BB5480">
        <w:rPr>
          <w:sz w:val="24"/>
          <w:szCs w:val="24"/>
        </w:rPr>
        <w:t>.</w:t>
      </w:r>
      <w:r w:rsidR="007846E5" w:rsidRPr="00BB5480">
        <w:rPr>
          <w:sz w:val="24"/>
          <w:szCs w:val="24"/>
        </w:rPr>
        <w:t xml:space="preserve"> </w:t>
      </w:r>
      <w:r w:rsidRPr="00BB5480">
        <w:rPr>
          <w:rFonts w:cs="Arial"/>
          <w:iCs/>
          <w:sz w:val="24"/>
          <w:szCs w:val="24"/>
        </w:rPr>
        <w:t xml:space="preserve">Finally, Table </w:t>
      </w:r>
      <w:r w:rsidR="007846E5" w:rsidRPr="00BB5480">
        <w:rPr>
          <w:rFonts w:cs="Arial"/>
          <w:iCs/>
          <w:sz w:val="24"/>
          <w:szCs w:val="24"/>
        </w:rPr>
        <w:t>3</w:t>
      </w:r>
      <w:r w:rsidRPr="00BB5480">
        <w:rPr>
          <w:rFonts w:cs="Arial"/>
          <w:iCs/>
          <w:sz w:val="24"/>
          <w:szCs w:val="24"/>
        </w:rPr>
        <w:t xml:space="preserve"> shows the inter-correlations between the </w:t>
      </w:r>
      <w:r w:rsidR="00E079F2" w:rsidRPr="00BB5480">
        <w:rPr>
          <w:rFonts w:cs="Arial"/>
          <w:iCs/>
          <w:sz w:val="24"/>
          <w:szCs w:val="24"/>
        </w:rPr>
        <w:t xml:space="preserve">total scores and the </w:t>
      </w:r>
      <w:r w:rsidRPr="00BB5480">
        <w:rPr>
          <w:rFonts w:cs="Arial"/>
          <w:iCs/>
          <w:sz w:val="24"/>
          <w:szCs w:val="24"/>
        </w:rPr>
        <w:t>factors of the EPIC</w:t>
      </w:r>
      <w:r w:rsidR="007846E5" w:rsidRPr="00BB5480">
        <w:rPr>
          <w:rFonts w:cs="Arial"/>
          <w:iCs/>
          <w:sz w:val="24"/>
          <w:szCs w:val="24"/>
        </w:rPr>
        <w:t xml:space="preserve"> across all three </w:t>
      </w:r>
      <w:r w:rsidR="006B1BF0" w:rsidRPr="00BB5480">
        <w:rPr>
          <w:rFonts w:cs="Arial"/>
          <w:iCs/>
          <w:sz w:val="24"/>
          <w:szCs w:val="24"/>
        </w:rPr>
        <w:t>samples</w:t>
      </w:r>
      <w:r w:rsidRPr="00BB5480">
        <w:rPr>
          <w:rFonts w:cs="Arial"/>
          <w:iCs/>
          <w:sz w:val="24"/>
          <w:szCs w:val="24"/>
        </w:rPr>
        <w:t xml:space="preserve">. </w:t>
      </w:r>
      <w:r w:rsidR="00E079F2" w:rsidRPr="00BB5480">
        <w:rPr>
          <w:rFonts w:cs="Arial"/>
          <w:iCs/>
          <w:sz w:val="24"/>
          <w:szCs w:val="24"/>
        </w:rPr>
        <w:t xml:space="preserve">It can also be noted that the standardized latent correlations </w:t>
      </w:r>
      <w:r w:rsidR="00E079F2" w:rsidRPr="00BB5480">
        <w:rPr>
          <w:rFonts w:cs="Arial"/>
          <w:iCs/>
          <w:sz w:val="24"/>
          <w:szCs w:val="24"/>
        </w:rPr>
        <w:lastRenderedPageBreak/>
        <w:t>betwe</w:t>
      </w:r>
      <w:r w:rsidR="00C522B3" w:rsidRPr="00BB5480">
        <w:rPr>
          <w:rFonts w:cs="Arial"/>
          <w:iCs/>
          <w:sz w:val="24"/>
          <w:szCs w:val="24"/>
        </w:rPr>
        <w:t xml:space="preserve">en the two factors of the </w:t>
      </w:r>
      <w:r w:rsidR="00846895" w:rsidRPr="00BB5480">
        <w:rPr>
          <w:rFonts w:cs="Arial"/>
          <w:iCs/>
          <w:sz w:val="24"/>
          <w:szCs w:val="24"/>
        </w:rPr>
        <w:t>EPIC</w:t>
      </w:r>
      <w:r w:rsidR="00C522B3" w:rsidRPr="00BB5480">
        <w:rPr>
          <w:rFonts w:cs="Arial"/>
          <w:iCs/>
          <w:sz w:val="24"/>
          <w:szCs w:val="24"/>
        </w:rPr>
        <w:t xml:space="preserve"> are: .28 (</w:t>
      </w:r>
      <w:r w:rsidR="007846E5" w:rsidRPr="00BB5480">
        <w:rPr>
          <w:rFonts w:cs="Arial"/>
          <w:iCs/>
          <w:sz w:val="24"/>
          <w:szCs w:val="24"/>
        </w:rPr>
        <w:t xml:space="preserve">CFA </w:t>
      </w:r>
      <w:r w:rsidR="006B1BF0" w:rsidRPr="00BB5480">
        <w:rPr>
          <w:rFonts w:cs="Arial"/>
          <w:iCs/>
          <w:sz w:val="24"/>
          <w:szCs w:val="24"/>
        </w:rPr>
        <w:t>1</w:t>
      </w:r>
      <w:r w:rsidR="00B66FD1" w:rsidRPr="00BB5480">
        <w:rPr>
          <w:rFonts w:cs="Arial"/>
          <w:iCs/>
          <w:sz w:val="24"/>
          <w:szCs w:val="24"/>
        </w:rPr>
        <w:t>.1</w:t>
      </w:r>
      <w:r w:rsidR="007846E5" w:rsidRPr="00BB5480">
        <w:rPr>
          <w:rFonts w:cs="Arial"/>
          <w:iCs/>
          <w:sz w:val="24"/>
          <w:szCs w:val="24"/>
        </w:rPr>
        <w:t xml:space="preserve"> and 2</w:t>
      </w:r>
      <w:r w:rsidR="00C522B3" w:rsidRPr="00BB5480">
        <w:rPr>
          <w:rFonts w:cs="Arial"/>
          <w:iCs/>
          <w:sz w:val="24"/>
          <w:szCs w:val="24"/>
        </w:rPr>
        <w:t>) and .25 (</w:t>
      </w:r>
      <w:r w:rsidR="007846E5" w:rsidRPr="00BB5480">
        <w:rPr>
          <w:rFonts w:cs="Arial"/>
          <w:iCs/>
          <w:sz w:val="24"/>
          <w:szCs w:val="24"/>
        </w:rPr>
        <w:t xml:space="preserve">CFA </w:t>
      </w:r>
      <w:r w:rsidR="006B1BF0" w:rsidRPr="00BB5480">
        <w:rPr>
          <w:rFonts w:cs="Arial"/>
          <w:iCs/>
          <w:sz w:val="24"/>
          <w:szCs w:val="24"/>
        </w:rPr>
        <w:t>3</w:t>
      </w:r>
      <w:r w:rsidR="00C522B3" w:rsidRPr="00BB5480">
        <w:rPr>
          <w:rFonts w:cs="Arial"/>
          <w:iCs/>
          <w:sz w:val="24"/>
          <w:szCs w:val="24"/>
        </w:rPr>
        <w:t>).</w:t>
      </w:r>
      <w:r w:rsidR="007846E5" w:rsidRPr="00BB5480">
        <w:rPr>
          <w:rFonts w:cs="Arial"/>
          <w:iCs/>
          <w:sz w:val="24"/>
          <w:szCs w:val="24"/>
        </w:rPr>
        <w:t xml:space="preserve"> Consideration of these relationships will be highlighted in the final discussion.</w:t>
      </w:r>
    </w:p>
    <w:p w14:paraId="3DD5F05B" w14:textId="77777777" w:rsidR="00E079F2" w:rsidRPr="00BB5480" w:rsidRDefault="00E079F2" w:rsidP="007846E5">
      <w:pPr>
        <w:pStyle w:val="BodyTextFirstIndent"/>
        <w:rPr>
          <w:rFonts w:cs="Arial"/>
          <w:iCs/>
        </w:rPr>
      </w:pPr>
    </w:p>
    <w:p w14:paraId="5372AB79" w14:textId="77777777" w:rsidR="00E079F2" w:rsidRPr="00BB5480" w:rsidRDefault="00E079F2">
      <w:pPr>
        <w:spacing w:line="360" w:lineRule="auto"/>
        <w:rPr>
          <w:rFonts w:cs="Arial"/>
          <w:iCs/>
          <w:sz w:val="24"/>
          <w:szCs w:val="24"/>
        </w:rPr>
      </w:pPr>
    </w:p>
    <w:p w14:paraId="712927AE" w14:textId="77777777" w:rsidR="00DA69D9" w:rsidRPr="00BB5480" w:rsidRDefault="00DA69D9" w:rsidP="003A1DB0">
      <w:pPr>
        <w:rPr>
          <w:rFonts w:cs="Arial"/>
          <w:iCs/>
          <w:sz w:val="24"/>
          <w:szCs w:val="24"/>
        </w:rPr>
      </w:pPr>
      <w:r w:rsidRPr="00BB5480">
        <w:rPr>
          <w:rFonts w:cs="Arial"/>
          <w:iCs/>
          <w:sz w:val="24"/>
          <w:szCs w:val="24"/>
        </w:rPr>
        <w:t xml:space="preserve">Table </w:t>
      </w:r>
      <w:r w:rsidR="007846E5" w:rsidRPr="00BB5480">
        <w:rPr>
          <w:rFonts w:cs="Arial"/>
          <w:iCs/>
          <w:sz w:val="24"/>
          <w:szCs w:val="24"/>
        </w:rPr>
        <w:t>3</w:t>
      </w:r>
      <w:r w:rsidRPr="00BB5480">
        <w:rPr>
          <w:rFonts w:cs="Arial"/>
          <w:iCs/>
          <w:sz w:val="24"/>
          <w:szCs w:val="24"/>
        </w:rPr>
        <w:t>. Summary of the inter scale correlations of the Everyday Psychological Inflexibility Checklist (EPIC).</w:t>
      </w:r>
    </w:p>
    <w:p w14:paraId="52E43F89" w14:textId="77777777" w:rsidR="003A1DB0" w:rsidRPr="00BB5480" w:rsidRDefault="003A1DB0" w:rsidP="003A1DB0">
      <w:pPr>
        <w:rPr>
          <w:rFonts w:cs="Arial"/>
          <w:i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2173"/>
        <w:gridCol w:w="1748"/>
        <w:gridCol w:w="1748"/>
      </w:tblGrid>
      <w:tr w:rsidR="00BB5480" w:rsidRPr="00BB5480" w14:paraId="21038421" w14:textId="77777777" w:rsidTr="002D2708">
        <w:tc>
          <w:tcPr>
            <w:tcW w:w="2835" w:type="dxa"/>
            <w:tcBorders>
              <w:top w:val="single" w:sz="20" w:space="0" w:color="000000"/>
              <w:bottom w:val="single" w:sz="20" w:space="0" w:color="000000"/>
            </w:tcBorders>
            <w:shd w:val="clear" w:color="auto" w:fill="auto"/>
          </w:tcPr>
          <w:p w14:paraId="19665864" w14:textId="77777777" w:rsidR="00DA69D9" w:rsidRPr="00BB5480" w:rsidRDefault="00DA69D9">
            <w:pPr>
              <w:pStyle w:val="TableContents"/>
              <w:snapToGrid w:val="0"/>
              <w:jc w:val="center"/>
            </w:pPr>
            <w:r w:rsidRPr="00BB5480">
              <w:rPr>
                <w:rFonts w:cs="Arial"/>
                <w:iCs/>
                <w:sz w:val="24"/>
                <w:szCs w:val="24"/>
              </w:rPr>
              <w:t>Measure</w:t>
            </w:r>
          </w:p>
        </w:tc>
        <w:tc>
          <w:tcPr>
            <w:tcW w:w="2173" w:type="dxa"/>
            <w:tcBorders>
              <w:top w:val="single" w:sz="20" w:space="0" w:color="000000"/>
              <w:bottom w:val="single" w:sz="20" w:space="0" w:color="000000"/>
            </w:tcBorders>
            <w:shd w:val="clear" w:color="auto" w:fill="auto"/>
          </w:tcPr>
          <w:p w14:paraId="0659C435" w14:textId="77777777" w:rsidR="00DA69D9" w:rsidRPr="00BB5480" w:rsidRDefault="00DA69D9">
            <w:pPr>
              <w:pStyle w:val="TableContents"/>
              <w:snapToGrid w:val="0"/>
              <w:jc w:val="center"/>
            </w:pPr>
            <w:r w:rsidRPr="00BB5480">
              <w:rPr>
                <w:rFonts w:cs="Arial"/>
                <w:iCs/>
                <w:sz w:val="24"/>
                <w:szCs w:val="24"/>
              </w:rPr>
              <w:t>EPIC</w:t>
            </w:r>
            <w:r w:rsidRPr="00BB5480">
              <w:rPr>
                <w:rFonts w:cs="Arial"/>
                <w:iCs/>
                <w:sz w:val="24"/>
                <w:szCs w:val="24"/>
              </w:rPr>
              <w:br/>
              <w:t>Total</w:t>
            </w:r>
          </w:p>
        </w:tc>
        <w:tc>
          <w:tcPr>
            <w:tcW w:w="1748" w:type="dxa"/>
            <w:tcBorders>
              <w:top w:val="single" w:sz="20" w:space="0" w:color="000000"/>
              <w:bottom w:val="single" w:sz="20" w:space="0" w:color="000000"/>
            </w:tcBorders>
            <w:shd w:val="clear" w:color="auto" w:fill="auto"/>
          </w:tcPr>
          <w:p w14:paraId="3CC8CA7E" w14:textId="77777777" w:rsidR="00DA69D9" w:rsidRPr="00BB5480" w:rsidRDefault="00DA69D9">
            <w:pPr>
              <w:pStyle w:val="TableContents"/>
              <w:snapToGrid w:val="0"/>
              <w:jc w:val="center"/>
              <w:rPr>
                <w:rFonts w:cs="Arial"/>
                <w:iCs/>
                <w:sz w:val="24"/>
                <w:szCs w:val="24"/>
              </w:rPr>
            </w:pPr>
            <w:r w:rsidRPr="00BB5480">
              <w:rPr>
                <w:rFonts w:cs="Arial"/>
                <w:iCs/>
                <w:sz w:val="24"/>
                <w:szCs w:val="24"/>
              </w:rPr>
              <w:t>EPIC</w:t>
            </w:r>
          </w:p>
          <w:p w14:paraId="7E0D282D" w14:textId="77777777" w:rsidR="00DA69D9" w:rsidRPr="00BB5480" w:rsidRDefault="00DA69D9">
            <w:pPr>
              <w:pStyle w:val="TableContents"/>
              <w:snapToGrid w:val="0"/>
              <w:jc w:val="center"/>
            </w:pPr>
            <w:r w:rsidRPr="00BB5480">
              <w:rPr>
                <w:rFonts w:cs="Arial"/>
                <w:iCs/>
                <w:sz w:val="24"/>
                <w:szCs w:val="24"/>
              </w:rPr>
              <w:t>Avoidance</w:t>
            </w:r>
          </w:p>
        </w:tc>
        <w:tc>
          <w:tcPr>
            <w:tcW w:w="1748" w:type="dxa"/>
            <w:tcBorders>
              <w:top w:val="single" w:sz="20" w:space="0" w:color="000000"/>
              <w:bottom w:val="single" w:sz="20" w:space="0" w:color="000000"/>
            </w:tcBorders>
            <w:shd w:val="clear" w:color="auto" w:fill="auto"/>
          </w:tcPr>
          <w:p w14:paraId="59CB2F79" w14:textId="77777777" w:rsidR="00DA69D9" w:rsidRPr="00BB5480" w:rsidRDefault="00DA69D9">
            <w:pPr>
              <w:pStyle w:val="TableContents"/>
              <w:snapToGrid w:val="0"/>
              <w:jc w:val="center"/>
              <w:rPr>
                <w:rFonts w:cs="Arial"/>
                <w:iCs/>
                <w:sz w:val="24"/>
                <w:szCs w:val="24"/>
              </w:rPr>
            </w:pPr>
            <w:r w:rsidRPr="00BB5480">
              <w:rPr>
                <w:rFonts w:cs="Arial"/>
                <w:iCs/>
                <w:sz w:val="24"/>
                <w:szCs w:val="24"/>
              </w:rPr>
              <w:t>EPIC</w:t>
            </w:r>
          </w:p>
          <w:p w14:paraId="62E908CD" w14:textId="77777777" w:rsidR="00DA69D9" w:rsidRPr="00BB5480" w:rsidRDefault="00DA69D9">
            <w:pPr>
              <w:pStyle w:val="TableContents"/>
              <w:snapToGrid w:val="0"/>
              <w:jc w:val="center"/>
            </w:pPr>
            <w:r w:rsidRPr="00BB5480">
              <w:rPr>
                <w:rFonts w:cs="Arial"/>
                <w:iCs/>
                <w:sz w:val="24"/>
                <w:szCs w:val="24"/>
              </w:rPr>
              <w:t>Behavioural rigidity</w:t>
            </w:r>
          </w:p>
        </w:tc>
      </w:tr>
      <w:tr w:rsidR="00BB5480" w:rsidRPr="00BB5480" w14:paraId="1993DCA9" w14:textId="77777777" w:rsidTr="002D2708">
        <w:tc>
          <w:tcPr>
            <w:tcW w:w="2835" w:type="dxa"/>
            <w:shd w:val="clear" w:color="auto" w:fill="auto"/>
          </w:tcPr>
          <w:p w14:paraId="1EF0AFCC" w14:textId="77777777" w:rsidR="001338AC" w:rsidRPr="00BB5480" w:rsidRDefault="001338AC" w:rsidP="00F728D7">
            <w:pPr>
              <w:pStyle w:val="TableContents"/>
              <w:snapToGrid w:val="0"/>
              <w:jc w:val="right"/>
              <w:rPr>
                <w:rFonts w:cs="Arial"/>
                <w:iCs/>
                <w:sz w:val="24"/>
                <w:szCs w:val="24"/>
              </w:rPr>
            </w:pPr>
            <w:r w:rsidRPr="00BB5480">
              <w:rPr>
                <w:rFonts w:cs="Arial"/>
                <w:iCs/>
                <w:sz w:val="24"/>
                <w:szCs w:val="24"/>
              </w:rPr>
              <w:t>EPIC Avoidance</w:t>
            </w:r>
          </w:p>
          <w:p w14:paraId="1294D55E" w14:textId="60EE5676" w:rsidR="005C1D65" w:rsidRPr="00BB5480" w:rsidRDefault="005C1D65" w:rsidP="005C1D65">
            <w:pPr>
              <w:pStyle w:val="TableContents"/>
              <w:snapToGrid w:val="0"/>
              <w:jc w:val="right"/>
              <w:rPr>
                <w:rFonts w:cs="Arial"/>
                <w:iCs/>
                <w:sz w:val="24"/>
                <w:szCs w:val="24"/>
              </w:rPr>
            </w:pPr>
            <w:r w:rsidRPr="00BB5480">
              <w:rPr>
                <w:rFonts w:cs="Arial"/>
                <w:iCs/>
                <w:sz w:val="24"/>
                <w:szCs w:val="24"/>
              </w:rPr>
              <w:t>CFA 1</w:t>
            </w:r>
            <w:r w:rsidR="00B66FD1" w:rsidRPr="00BB5480">
              <w:rPr>
                <w:rFonts w:cs="Arial"/>
                <w:iCs/>
                <w:sz w:val="24"/>
                <w:szCs w:val="24"/>
              </w:rPr>
              <w:t>.1</w:t>
            </w:r>
            <w:r w:rsidRPr="00BB5480">
              <w:rPr>
                <w:rFonts w:cs="Arial"/>
                <w:iCs/>
                <w:sz w:val="24"/>
                <w:szCs w:val="24"/>
              </w:rPr>
              <w:t xml:space="preserve"> (sample 3)</w:t>
            </w:r>
          </w:p>
          <w:p w14:paraId="72CA29B9" w14:textId="77777777" w:rsidR="005C1D65" w:rsidRPr="00BB5480" w:rsidRDefault="005C1D65" w:rsidP="005C1D65">
            <w:pPr>
              <w:pStyle w:val="TableContents"/>
              <w:snapToGrid w:val="0"/>
              <w:jc w:val="right"/>
              <w:rPr>
                <w:rFonts w:cs="Arial"/>
                <w:iCs/>
                <w:sz w:val="24"/>
                <w:szCs w:val="24"/>
              </w:rPr>
            </w:pPr>
            <w:r w:rsidRPr="00BB5480">
              <w:rPr>
                <w:rFonts w:cs="Arial"/>
                <w:iCs/>
                <w:sz w:val="24"/>
                <w:szCs w:val="24"/>
              </w:rPr>
              <w:t>CFA 2 (sample 4)</w:t>
            </w:r>
          </w:p>
          <w:p w14:paraId="50AF8F59" w14:textId="77777777" w:rsidR="00141819" w:rsidRPr="00BB5480" w:rsidRDefault="005C1D65" w:rsidP="005C1D65">
            <w:pPr>
              <w:pStyle w:val="TableContents"/>
              <w:snapToGrid w:val="0"/>
              <w:jc w:val="right"/>
            </w:pPr>
            <w:r w:rsidRPr="00BB5480">
              <w:rPr>
                <w:rFonts w:cs="Arial"/>
                <w:iCs/>
                <w:sz w:val="24"/>
                <w:szCs w:val="24"/>
              </w:rPr>
              <w:t xml:space="preserve">CFA 3 (sample </w:t>
            </w:r>
            <w:proofErr w:type="spellStart"/>
            <w:r w:rsidRPr="00BB5480">
              <w:rPr>
                <w:rFonts w:cs="Arial"/>
                <w:iCs/>
                <w:sz w:val="24"/>
                <w:szCs w:val="24"/>
              </w:rPr>
              <w:t>1b</w:t>
            </w:r>
            <w:proofErr w:type="spellEnd"/>
            <w:r w:rsidRPr="00BB5480">
              <w:rPr>
                <w:rFonts w:cs="Arial"/>
                <w:iCs/>
                <w:sz w:val="24"/>
                <w:szCs w:val="24"/>
              </w:rPr>
              <w:t>)</w:t>
            </w:r>
          </w:p>
        </w:tc>
        <w:tc>
          <w:tcPr>
            <w:tcW w:w="2173" w:type="dxa"/>
            <w:shd w:val="clear" w:color="auto" w:fill="auto"/>
          </w:tcPr>
          <w:p w14:paraId="7A1B2DF5" w14:textId="77777777" w:rsidR="001338AC" w:rsidRPr="00BB5480" w:rsidRDefault="001338AC" w:rsidP="00F728D7">
            <w:pPr>
              <w:pStyle w:val="TableContents"/>
              <w:snapToGrid w:val="0"/>
              <w:jc w:val="center"/>
              <w:rPr>
                <w:rFonts w:cs="Arial"/>
                <w:sz w:val="24"/>
                <w:szCs w:val="24"/>
              </w:rPr>
            </w:pPr>
          </w:p>
          <w:p w14:paraId="7C67ACCE" w14:textId="77777777" w:rsidR="00B66FD1" w:rsidRPr="00BB5480" w:rsidRDefault="00B66FD1" w:rsidP="00B66FD1">
            <w:pPr>
              <w:pStyle w:val="TableContents"/>
              <w:snapToGrid w:val="0"/>
              <w:jc w:val="center"/>
              <w:rPr>
                <w:rFonts w:cs="Arial"/>
                <w:sz w:val="24"/>
                <w:szCs w:val="24"/>
              </w:rPr>
            </w:pPr>
            <w:r w:rsidRPr="00BB5480">
              <w:rPr>
                <w:rFonts w:cs="Arial"/>
                <w:sz w:val="24"/>
                <w:szCs w:val="24"/>
              </w:rPr>
              <w:t>.84*** [.80, .87]</w:t>
            </w:r>
          </w:p>
          <w:p w14:paraId="7088C05C" w14:textId="305D42FD" w:rsidR="00B66FD1" w:rsidRPr="00BB5480" w:rsidRDefault="00B66FD1" w:rsidP="00B66FD1">
            <w:pPr>
              <w:pStyle w:val="TableContents"/>
              <w:snapToGrid w:val="0"/>
              <w:jc w:val="center"/>
              <w:rPr>
                <w:rFonts w:cs="Arial"/>
                <w:sz w:val="24"/>
                <w:szCs w:val="24"/>
              </w:rPr>
            </w:pPr>
            <w:r w:rsidRPr="00BB5480">
              <w:rPr>
                <w:rFonts w:cs="Arial"/>
                <w:sz w:val="24"/>
                <w:szCs w:val="24"/>
              </w:rPr>
              <w:t>.83*** [.80, .86]</w:t>
            </w:r>
          </w:p>
          <w:p w14:paraId="54662879" w14:textId="77777777" w:rsidR="00141819" w:rsidRPr="00BB5480" w:rsidRDefault="00141819" w:rsidP="00141819">
            <w:pPr>
              <w:pStyle w:val="TableContents"/>
              <w:snapToGrid w:val="0"/>
              <w:jc w:val="center"/>
              <w:rPr>
                <w:rFonts w:cs="Arial"/>
                <w:sz w:val="24"/>
                <w:szCs w:val="24"/>
              </w:rPr>
            </w:pPr>
            <w:r w:rsidRPr="00BB5480">
              <w:rPr>
                <w:rFonts w:cs="Arial"/>
                <w:sz w:val="24"/>
                <w:szCs w:val="24"/>
              </w:rPr>
              <w:t>.82*** [.78, .86]</w:t>
            </w:r>
          </w:p>
          <w:p w14:paraId="6E2B9268" w14:textId="77777777" w:rsidR="00141819" w:rsidRPr="00BB5480" w:rsidRDefault="00141819" w:rsidP="000730FF">
            <w:pPr>
              <w:pStyle w:val="TableContents"/>
              <w:snapToGrid w:val="0"/>
              <w:jc w:val="center"/>
            </w:pPr>
          </w:p>
        </w:tc>
        <w:tc>
          <w:tcPr>
            <w:tcW w:w="1748" w:type="dxa"/>
            <w:shd w:val="clear" w:color="auto" w:fill="auto"/>
          </w:tcPr>
          <w:p w14:paraId="189C8191" w14:textId="77777777" w:rsidR="001338AC" w:rsidRPr="00BB5480" w:rsidRDefault="001338AC" w:rsidP="00F728D7">
            <w:pPr>
              <w:pStyle w:val="TableContents"/>
              <w:snapToGrid w:val="0"/>
              <w:jc w:val="center"/>
              <w:rPr>
                <w:rFonts w:cs="Arial"/>
                <w:sz w:val="24"/>
                <w:szCs w:val="24"/>
              </w:rPr>
            </w:pPr>
          </w:p>
          <w:p w14:paraId="47234CCD" w14:textId="77777777" w:rsidR="001338AC" w:rsidRPr="00BB5480" w:rsidRDefault="001338AC" w:rsidP="00F728D7">
            <w:pPr>
              <w:pStyle w:val="TableContents"/>
              <w:snapToGrid w:val="0"/>
              <w:jc w:val="center"/>
              <w:rPr>
                <w:rFonts w:cs="Arial"/>
                <w:sz w:val="24"/>
                <w:szCs w:val="24"/>
              </w:rPr>
            </w:pPr>
            <w:r w:rsidRPr="00BB5480">
              <w:rPr>
                <w:rFonts w:cs="Arial"/>
                <w:sz w:val="24"/>
                <w:szCs w:val="24"/>
              </w:rPr>
              <w:t>-</w:t>
            </w:r>
          </w:p>
          <w:p w14:paraId="304625FF" w14:textId="77777777" w:rsidR="006D6A30" w:rsidRPr="00BB5480" w:rsidRDefault="006D6A30" w:rsidP="00F728D7">
            <w:pPr>
              <w:pStyle w:val="TableContents"/>
              <w:snapToGrid w:val="0"/>
              <w:jc w:val="center"/>
              <w:rPr>
                <w:rFonts w:cs="Arial"/>
                <w:sz w:val="24"/>
                <w:szCs w:val="24"/>
              </w:rPr>
            </w:pPr>
            <w:r w:rsidRPr="00BB5480">
              <w:rPr>
                <w:rFonts w:cs="Arial"/>
                <w:sz w:val="24"/>
                <w:szCs w:val="24"/>
              </w:rPr>
              <w:t>-</w:t>
            </w:r>
          </w:p>
          <w:p w14:paraId="0E2C7318" w14:textId="77777777" w:rsidR="006D6A30" w:rsidRPr="00BB5480" w:rsidRDefault="006D6A30" w:rsidP="00F728D7">
            <w:pPr>
              <w:pStyle w:val="TableContents"/>
              <w:snapToGrid w:val="0"/>
              <w:jc w:val="center"/>
            </w:pPr>
            <w:r w:rsidRPr="00BB5480">
              <w:rPr>
                <w:rFonts w:cs="Arial"/>
                <w:sz w:val="24"/>
                <w:szCs w:val="24"/>
              </w:rPr>
              <w:t>-</w:t>
            </w:r>
          </w:p>
        </w:tc>
        <w:tc>
          <w:tcPr>
            <w:tcW w:w="1748" w:type="dxa"/>
            <w:shd w:val="clear" w:color="auto" w:fill="auto"/>
          </w:tcPr>
          <w:p w14:paraId="5A480FD2" w14:textId="77777777" w:rsidR="001338AC" w:rsidRPr="00BB5480" w:rsidRDefault="001338AC" w:rsidP="00F728D7">
            <w:pPr>
              <w:pStyle w:val="TableContents"/>
              <w:snapToGrid w:val="0"/>
              <w:jc w:val="center"/>
              <w:rPr>
                <w:rFonts w:cs="Arial"/>
                <w:sz w:val="24"/>
                <w:szCs w:val="24"/>
              </w:rPr>
            </w:pPr>
          </w:p>
        </w:tc>
      </w:tr>
      <w:tr w:rsidR="00BB5480" w:rsidRPr="00BB5480" w14:paraId="336DA2AF" w14:textId="77777777" w:rsidTr="002D2708">
        <w:tc>
          <w:tcPr>
            <w:tcW w:w="2835" w:type="dxa"/>
            <w:tcBorders>
              <w:bottom w:val="single" w:sz="12" w:space="0" w:color="auto"/>
            </w:tcBorders>
            <w:shd w:val="clear" w:color="auto" w:fill="auto"/>
          </w:tcPr>
          <w:p w14:paraId="5884EC0D" w14:textId="77777777" w:rsidR="001338AC" w:rsidRPr="00BB5480" w:rsidRDefault="001338AC" w:rsidP="00F728D7">
            <w:pPr>
              <w:pStyle w:val="TableContents"/>
              <w:snapToGrid w:val="0"/>
              <w:jc w:val="right"/>
              <w:rPr>
                <w:rFonts w:cs="Arial"/>
                <w:iCs/>
                <w:sz w:val="24"/>
                <w:szCs w:val="24"/>
              </w:rPr>
            </w:pPr>
            <w:r w:rsidRPr="00BB5480">
              <w:rPr>
                <w:rFonts w:cs="Arial"/>
                <w:iCs/>
                <w:sz w:val="24"/>
                <w:szCs w:val="24"/>
              </w:rPr>
              <w:t>EPIC Beh</w:t>
            </w:r>
            <w:r w:rsidR="002D2708" w:rsidRPr="00BB5480">
              <w:rPr>
                <w:rFonts w:cs="Arial"/>
                <w:iCs/>
                <w:sz w:val="24"/>
                <w:szCs w:val="24"/>
              </w:rPr>
              <w:t>avioural</w:t>
            </w:r>
            <w:r w:rsidRPr="00BB5480">
              <w:rPr>
                <w:rFonts w:cs="Arial"/>
                <w:iCs/>
                <w:sz w:val="24"/>
                <w:szCs w:val="24"/>
              </w:rPr>
              <w:t xml:space="preserve"> Rigidity</w:t>
            </w:r>
          </w:p>
          <w:p w14:paraId="7E609273" w14:textId="3277E281" w:rsidR="005C1D65" w:rsidRPr="00BB5480" w:rsidRDefault="005C1D65" w:rsidP="005C1D65">
            <w:pPr>
              <w:pStyle w:val="TableContents"/>
              <w:snapToGrid w:val="0"/>
              <w:jc w:val="right"/>
              <w:rPr>
                <w:rFonts w:cs="Arial"/>
                <w:iCs/>
                <w:sz w:val="24"/>
                <w:szCs w:val="24"/>
              </w:rPr>
            </w:pPr>
            <w:r w:rsidRPr="00BB5480">
              <w:rPr>
                <w:rFonts w:cs="Arial"/>
                <w:iCs/>
                <w:sz w:val="24"/>
                <w:szCs w:val="24"/>
              </w:rPr>
              <w:t>CFA 1</w:t>
            </w:r>
            <w:r w:rsidR="00B66FD1" w:rsidRPr="00BB5480">
              <w:rPr>
                <w:rFonts w:cs="Arial"/>
                <w:iCs/>
                <w:sz w:val="24"/>
                <w:szCs w:val="24"/>
              </w:rPr>
              <w:t>.1</w:t>
            </w:r>
            <w:r w:rsidRPr="00BB5480">
              <w:rPr>
                <w:rFonts w:cs="Arial"/>
                <w:iCs/>
                <w:sz w:val="24"/>
                <w:szCs w:val="24"/>
              </w:rPr>
              <w:t xml:space="preserve"> (sample 3)</w:t>
            </w:r>
          </w:p>
          <w:p w14:paraId="59DF3CE9" w14:textId="77777777" w:rsidR="005C1D65" w:rsidRPr="00BB5480" w:rsidRDefault="005C1D65" w:rsidP="005C1D65">
            <w:pPr>
              <w:pStyle w:val="TableContents"/>
              <w:snapToGrid w:val="0"/>
              <w:jc w:val="right"/>
              <w:rPr>
                <w:rFonts w:cs="Arial"/>
                <w:iCs/>
                <w:sz w:val="24"/>
                <w:szCs w:val="24"/>
              </w:rPr>
            </w:pPr>
            <w:r w:rsidRPr="00BB5480">
              <w:rPr>
                <w:rFonts w:cs="Arial"/>
                <w:iCs/>
                <w:sz w:val="24"/>
                <w:szCs w:val="24"/>
              </w:rPr>
              <w:t>CFA 2 (sample 4)</w:t>
            </w:r>
          </w:p>
          <w:p w14:paraId="6430AFA7" w14:textId="77777777" w:rsidR="00141819" w:rsidRPr="00BB5480" w:rsidRDefault="005C1D65" w:rsidP="005C1D65">
            <w:pPr>
              <w:pStyle w:val="TableContents"/>
              <w:snapToGrid w:val="0"/>
              <w:jc w:val="right"/>
            </w:pPr>
            <w:r w:rsidRPr="00BB5480">
              <w:rPr>
                <w:rFonts w:cs="Arial"/>
                <w:iCs/>
                <w:sz w:val="24"/>
                <w:szCs w:val="24"/>
              </w:rPr>
              <w:t xml:space="preserve">CFA 3 (sample </w:t>
            </w:r>
            <w:proofErr w:type="spellStart"/>
            <w:r w:rsidRPr="00BB5480">
              <w:rPr>
                <w:rFonts w:cs="Arial"/>
                <w:iCs/>
                <w:sz w:val="24"/>
                <w:szCs w:val="24"/>
              </w:rPr>
              <w:t>1b</w:t>
            </w:r>
            <w:proofErr w:type="spellEnd"/>
            <w:r w:rsidRPr="00BB5480">
              <w:rPr>
                <w:rFonts w:cs="Arial"/>
                <w:iCs/>
                <w:sz w:val="24"/>
                <w:szCs w:val="24"/>
              </w:rPr>
              <w:t>)</w:t>
            </w:r>
          </w:p>
        </w:tc>
        <w:tc>
          <w:tcPr>
            <w:tcW w:w="2173" w:type="dxa"/>
            <w:tcBorders>
              <w:bottom w:val="single" w:sz="12" w:space="0" w:color="auto"/>
            </w:tcBorders>
            <w:shd w:val="clear" w:color="auto" w:fill="auto"/>
          </w:tcPr>
          <w:p w14:paraId="3ACF80EB" w14:textId="77777777" w:rsidR="001338AC" w:rsidRPr="00BB5480" w:rsidRDefault="001338AC" w:rsidP="00F728D7">
            <w:pPr>
              <w:pStyle w:val="TableContents"/>
              <w:snapToGrid w:val="0"/>
              <w:jc w:val="center"/>
              <w:rPr>
                <w:rFonts w:cs="Arial"/>
                <w:sz w:val="24"/>
                <w:szCs w:val="24"/>
              </w:rPr>
            </w:pPr>
          </w:p>
          <w:p w14:paraId="723A157C" w14:textId="77777777" w:rsidR="00B66FD1" w:rsidRPr="00BB5480" w:rsidRDefault="00B66FD1" w:rsidP="00B66FD1">
            <w:pPr>
              <w:pStyle w:val="TableContents"/>
              <w:snapToGrid w:val="0"/>
              <w:jc w:val="center"/>
              <w:rPr>
                <w:rFonts w:cs="Arial"/>
                <w:sz w:val="24"/>
                <w:szCs w:val="24"/>
              </w:rPr>
            </w:pPr>
            <w:r w:rsidRPr="00BB5480">
              <w:rPr>
                <w:rFonts w:cs="Arial"/>
                <w:sz w:val="24"/>
                <w:szCs w:val="24"/>
              </w:rPr>
              <w:t>.74*** [.68, .79.]</w:t>
            </w:r>
          </w:p>
          <w:p w14:paraId="45919CC0" w14:textId="77777777" w:rsidR="00141819" w:rsidRPr="00BB5480" w:rsidRDefault="00141819" w:rsidP="00141819">
            <w:pPr>
              <w:pStyle w:val="TableContents"/>
              <w:snapToGrid w:val="0"/>
              <w:jc w:val="center"/>
              <w:rPr>
                <w:rFonts w:cs="Arial"/>
                <w:sz w:val="24"/>
                <w:szCs w:val="24"/>
              </w:rPr>
            </w:pPr>
            <w:r w:rsidRPr="00BB5480">
              <w:rPr>
                <w:rFonts w:cs="Arial"/>
                <w:sz w:val="24"/>
                <w:szCs w:val="24"/>
              </w:rPr>
              <w:t>.73*** [.67, .78]</w:t>
            </w:r>
          </w:p>
          <w:p w14:paraId="28FA2170" w14:textId="39573AD2" w:rsidR="00141819" w:rsidRPr="00BB5480" w:rsidRDefault="001338AC" w:rsidP="00B66FD1">
            <w:pPr>
              <w:pStyle w:val="TableContents"/>
              <w:snapToGrid w:val="0"/>
              <w:jc w:val="center"/>
            </w:pPr>
            <w:r w:rsidRPr="00BB5480">
              <w:rPr>
                <w:rFonts w:cs="Arial"/>
                <w:sz w:val="24"/>
                <w:szCs w:val="24"/>
              </w:rPr>
              <w:t>.</w:t>
            </w:r>
            <w:r w:rsidR="00141819" w:rsidRPr="00BB5480">
              <w:rPr>
                <w:rFonts w:cs="Arial"/>
                <w:sz w:val="24"/>
                <w:szCs w:val="24"/>
              </w:rPr>
              <w:t>.77*** [.72, .81.]</w:t>
            </w:r>
          </w:p>
        </w:tc>
        <w:tc>
          <w:tcPr>
            <w:tcW w:w="1748" w:type="dxa"/>
            <w:tcBorders>
              <w:bottom w:val="single" w:sz="12" w:space="0" w:color="auto"/>
            </w:tcBorders>
            <w:shd w:val="clear" w:color="auto" w:fill="auto"/>
          </w:tcPr>
          <w:p w14:paraId="1EE180F5" w14:textId="77777777" w:rsidR="00B24FD2" w:rsidRPr="00BB5480" w:rsidRDefault="00B24FD2" w:rsidP="00F728D7">
            <w:pPr>
              <w:pStyle w:val="TableContents"/>
              <w:snapToGrid w:val="0"/>
              <w:jc w:val="center"/>
              <w:rPr>
                <w:rFonts w:cs="Arial"/>
                <w:sz w:val="24"/>
                <w:szCs w:val="24"/>
              </w:rPr>
            </w:pPr>
          </w:p>
          <w:p w14:paraId="46098AED" w14:textId="77777777" w:rsidR="00B66FD1" w:rsidRPr="00BB5480" w:rsidRDefault="00B66FD1" w:rsidP="00B66FD1">
            <w:pPr>
              <w:pStyle w:val="TableContents"/>
              <w:snapToGrid w:val="0"/>
              <w:jc w:val="center"/>
              <w:rPr>
                <w:rFonts w:cs="Arial"/>
                <w:sz w:val="24"/>
                <w:szCs w:val="24"/>
              </w:rPr>
            </w:pPr>
            <w:r w:rsidRPr="00BB5480">
              <w:rPr>
                <w:rFonts w:cs="Arial"/>
                <w:sz w:val="24"/>
                <w:szCs w:val="24"/>
              </w:rPr>
              <w:t>.25*** [.13, .38]</w:t>
            </w:r>
          </w:p>
          <w:p w14:paraId="4C1D047B" w14:textId="77777777" w:rsidR="00141819" w:rsidRPr="00BB5480" w:rsidRDefault="00141819" w:rsidP="00141819">
            <w:pPr>
              <w:pStyle w:val="TableContents"/>
              <w:snapToGrid w:val="0"/>
              <w:jc w:val="center"/>
              <w:rPr>
                <w:rFonts w:cs="Arial"/>
                <w:sz w:val="24"/>
                <w:szCs w:val="24"/>
              </w:rPr>
            </w:pPr>
            <w:r w:rsidRPr="00BB5480">
              <w:rPr>
                <w:rFonts w:cs="Arial"/>
                <w:sz w:val="24"/>
                <w:szCs w:val="24"/>
              </w:rPr>
              <w:t>.23*** [.10, .34]</w:t>
            </w:r>
          </w:p>
          <w:p w14:paraId="43DBFE82" w14:textId="77777777" w:rsidR="00141819" w:rsidRPr="00BB5480" w:rsidRDefault="00141819" w:rsidP="002D2708">
            <w:pPr>
              <w:pStyle w:val="TableContents"/>
              <w:snapToGrid w:val="0"/>
              <w:jc w:val="center"/>
            </w:pPr>
            <w:r w:rsidRPr="00BB5480">
              <w:rPr>
                <w:rFonts w:cs="Arial"/>
                <w:sz w:val="24"/>
                <w:szCs w:val="24"/>
              </w:rPr>
              <w:t>.27*** [.16, .38]</w:t>
            </w:r>
          </w:p>
        </w:tc>
        <w:tc>
          <w:tcPr>
            <w:tcW w:w="1748" w:type="dxa"/>
            <w:tcBorders>
              <w:bottom w:val="single" w:sz="12" w:space="0" w:color="auto"/>
            </w:tcBorders>
            <w:shd w:val="clear" w:color="auto" w:fill="auto"/>
          </w:tcPr>
          <w:p w14:paraId="69BF9E5C" w14:textId="77777777" w:rsidR="001338AC" w:rsidRPr="00BB5480" w:rsidRDefault="001338AC" w:rsidP="00F728D7">
            <w:pPr>
              <w:pStyle w:val="TableContents"/>
              <w:snapToGrid w:val="0"/>
              <w:jc w:val="center"/>
              <w:rPr>
                <w:rFonts w:cs="Arial"/>
                <w:sz w:val="24"/>
                <w:szCs w:val="24"/>
              </w:rPr>
            </w:pPr>
          </w:p>
          <w:p w14:paraId="772B2727" w14:textId="77777777" w:rsidR="001338AC" w:rsidRPr="00BB5480" w:rsidRDefault="001338AC" w:rsidP="00F728D7">
            <w:pPr>
              <w:pStyle w:val="TableContents"/>
              <w:snapToGrid w:val="0"/>
              <w:jc w:val="center"/>
              <w:rPr>
                <w:rFonts w:cs="Arial"/>
                <w:sz w:val="24"/>
                <w:szCs w:val="24"/>
              </w:rPr>
            </w:pPr>
            <w:r w:rsidRPr="00BB5480">
              <w:rPr>
                <w:rFonts w:cs="Arial"/>
                <w:sz w:val="24"/>
                <w:szCs w:val="24"/>
              </w:rPr>
              <w:t>-</w:t>
            </w:r>
          </w:p>
          <w:p w14:paraId="4D8A0D69" w14:textId="77777777" w:rsidR="00141819" w:rsidRPr="00BB5480" w:rsidRDefault="00141819" w:rsidP="00F728D7">
            <w:pPr>
              <w:pStyle w:val="TableContents"/>
              <w:snapToGrid w:val="0"/>
              <w:jc w:val="center"/>
              <w:rPr>
                <w:rFonts w:cs="Arial"/>
                <w:sz w:val="24"/>
                <w:szCs w:val="24"/>
              </w:rPr>
            </w:pPr>
            <w:r w:rsidRPr="00BB5480">
              <w:rPr>
                <w:rFonts w:cs="Arial"/>
                <w:sz w:val="24"/>
                <w:szCs w:val="24"/>
              </w:rPr>
              <w:t>-</w:t>
            </w:r>
          </w:p>
          <w:p w14:paraId="443153EE" w14:textId="77777777" w:rsidR="00141819" w:rsidRPr="00BB5480" w:rsidRDefault="002D2708" w:rsidP="00F728D7">
            <w:pPr>
              <w:pStyle w:val="TableContents"/>
              <w:snapToGrid w:val="0"/>
              <w:jc w:val="center"/>
            </w:pPr>
            <w:r w:rsidRPr="00BB5480">
              <w:t>-</w:t>
            </w:r>
          </w:p>
        </w:tc>
      </w:tr>
    </w:tbl>
    <w:p w14:paraId="1006E985" w14:textId="46DC22BA" w:rsidR="00C516C1" w:rsidRPr="00BB5480" w:rsidRDefault="00DA69D9" w:rsidP="00C516C1">
      <w:pPr>
        <w:rPr>
          <w:rFonts w:cs="Arial"/>
          <w:iCs/>
          <w:sz w:val="24"/>
          <w:szCs w:val="24"/>
        </w:rPr>
      </w:pPr>
      <w:r w:rsidRPr="00BB5480">
        <w:rPr>
          <w:rFonts w:cs="Arial"/>
          <w:i/>
          <w:iCs/>
          <w:sz w:val="24"/>
          <w:szCs w:val="24"/>
        </w:rPr>
        <w:t>Note.</w:t>
      </w:r>
      <w:r w:rsidRPr="00BB5480">
        <w:rPr>
          <w:rFonts w:cs="Arial"/>
          <w:iCs/>
          <w:sz w:val="24"/>
          <w:szCs w:val="24"/>
        </w:rPr>
        <w:t xml:space="preserve"> * p&lt;.05, ** p&lt;.01, *** p&lt;.001. </w:t>
      </w:r>
      <w:proofErr w:type="spellStart"/>
      <w:r w:rsidRPr="00BB5480">
        <w:rPr>
          <w:rFonts w:cs="Arial"/>
          <w:iCs/>
          <w:sz w:val="24"/>
          <w:szCs w:val="24"/>
        </w:rPr>
        <w:t>BCa</w:t>
      </w:r>
      <w:proofErr w:type="spellEnd"/>
      <w:r w:rsidRPr="00BB5480">
        <w:rPr>
          <w:rFonts w:cs="Arial"/>
          <w:iCs/>
          <w:sz w:val="24"/>
          <w:szCs w:val="24"/>
        </w:rPr>
        <w:t xml:space="preserve"> bootstrap 95%, 1000 samples, CIs reported in brackets.</w:t>
      </w:r>
      <w:r w:rsidR="0002121B" w:rsidRPr="00BB5480">
        <w:rPr>
          <w:rFonts w:cs="Arial"/>
          <w:iCs/>
          <w:sz w:val="24"/>
          <w:szCs w:val="24"/>
        </w:rPr>
        <w:br w:type="page"/>
      </w:r>
    </w:p>
    <w:p w14:paraId="743953E7" w14:textId="77777777" w:rsidR="00DA69D9" w:rsidRPr="00BB5480" w:rsidRDefault="00DA69D9" w:rsidP="00C516C1">
      <w:pPr>
        <w:jc w:val="center"/>
      </w:pPr>
      <w:r w:rsidRPr="00BB5480">
        <w:rPr>
          <w:b/>
          <w:sz w:val="24"/>
          <w:szCs w:val="24"/>
        </w:rPr>
        <w:lastRenderedPageBreak/>
        <w:t xml:space="preserve">Study 4: Performance of the EPIC against the </w:t>
      </w:r>
      <w:proofErr w:type="spellStart"/>
      <w:r w:rsidRPr="00BB5480">
        <w:rPr>
          <w:b/>
          <w:sz w:val="24"/>
          <w:szCs w:val="24"/>
        </w:rPr>
        <w:t>AAQ</w:t>
      </w:r>
      <w:proofErr w:type="spellEnd"/>
      <w:r w:rsidRPr="00BB5480">
        <w:rPr>
          <w:b/>
          <w:sz w:val="24"/>
          <w:szCs w:val="24"/>
        </w:rPr>
        <w:t xml:space="preserve"> and other measures</w:t>
      </w:r>
    </w:p>
    <w:p w14:paraId="5654B4C9" w14:textId="77777777" w:rsidR="00D34032" w:rsidRPr="00BB5480" w:rsidRDefault="00491EDC" w:rsidP="00D34032">
      <w:pPr>
        <w:pStyle w:val="BodyTextFirstIndent"/>
      </w:pPr>
      <w:r w:rsidRPr="00BB5480">
        <w:t>F</w:t>
      </w:r>
      <w:r w:rsidR="00DA69D9" w:rsidRPr="00BB5480">
        <w:t xml:space="preserve">ollowing </w:t>
      </w:r>
      <w:proofErr w:type="spellStart"/>
      <w:r w:rsidR="00DA69D9" w:rsidRPr="00BB5480">
        <w:t>EFA</w:t>
      </w:r>
      <w:proofErr w:type="spellEnd"/>
      <w:r w:rsidR="00DA69D9" w:rsidRPr="00BB5480">
        <w:t xml:space="preserve"> and CFA, new measures are typically compared against more established measures </w:t>
      </w:r>
      <w:r w:rsidR="00D06DE6" w:rsidRPr="00BB5480">
        <w:t xml:space="preserve">to examine </w:t>
      </w:r>
      <w:r w:rsidRPr="00BB5480">
        <w:t xml:space="preserve">convergent and discriminant validity </w:t>
      </w:r>
      <w:r w:rsidR="00DA69D9" w:rsidRPr="00BB5480">
        <w:t>(</w:t>
      </w:r>
      <w:r w:rsidR="00D06DE6" w:rsidRPr="00BB5480">
        <w:t>Kline, 2000).</w:t>
      </w:r>
      <w:r w:rsidR="00443276" w:rsidRPr="00BB5480">
        <w:t xml:space="preserve"> </w:t>
      </w:r>
      <w:r w:rsidR="00D06DE6" w:rsidRPr="00BB5480">
        <w:t>From the introduction you may recall</w:t>
      </w:r>
      <w:r w:rsidR="00CF645F" w:rsidRPr="00BB5480">
        <w:t xml:space="preserve"> </w:t>
      </w:r>
      <w:r w:rsidR="00F1618C" w:rsidRPr="00BB5480">
        <w:t xml:space="preserve">the intention </w:t>
      </w:r>
      <w:r w:rsidR="00846895" w:rsidRPr="00BB5480">
        <w:t>to b</w:t>
      </w:r>
      <w:r w:rsidR="00443276" w:rsidRPr="00BB5480">
        <w:t>oth</w:t>
      </w:r>
      <w:r w:rsidR="00846895" w:rsidRPr="00BB5480">
        <w:t>:</w:t>
      </w:r>
      <w:r w:rsidR="00DA185B" w:rsidRPr="00BB5480">
        <w:t xml:space="preserve"> </w:t>
      </w:r>
      <w:r w:rsidR="00417BCC" w:rsidRPr="00BB5480">
        <w:t xml:space="preserve">1. </w:t>
      </w:r>
      <w:r w:rsidR="00DA185B" w:rsidRPr="00BB5480">
        <w:t xml:space="preserve">produce a </w:t>
      </w:r>
      <w:r w:rsidR="009D42EC" w:rsidRPr="00BB5480">
        <w:t xml:space="preserve">brief </w:t>
      </w:r>
      <w:r w:rsidR="00DA185B" w:rsidRPr="00BB5480">
        <w:t xml:space="preserve">measure </w:t>
      </w:r>
      <w:r w:rsidR="00846895" w:rsidRPr="00BB5480">
        <w:t xml:space="preserve">of psychological inflexibility </w:t>
      </w:r>
      <w:r w:rsidR="00DA185B" w:rsidRPr="00BB5480">
        <w:t xml:space="preserve">less </w:t>
      </w:r>
      <w:r w:rsidR="00CF645F" w:rsidRPr="00BB5480">
        <w:t xml:space="preserve">tied to </w:t>
      </w:r>
      <w:r w:rsidR="00417BCC" w:rsidRPr="00BB5480">
        <w:t xml:space="preserve">item content related to </w:t>
      </w:r>
      <w:r w:rsidR="00CF645F" w:rsidRPr="00BB5480">
        <w:t xml:space="preserve">pain, </w:t>
      </w:r>
      <w:r w:rsidR="00846895" w:rsidRPr="00BB5480">
        <w:t>fear and worry</w:t>
      </w:r>
      <w:r w:rsidR="00CF645F" w:rsidRPr="00BB5480">
        <w:t xml:space="preserve"> and 2</w:t>
      </w:r>
      <w:r w:rsidR="00417BCC" w:rsidRPr="00BB5480">
        <w:t>.</w:t>
      </w:r>
      <w:r w:rsidR="00CF645F" w:rsidRPr="00BB5480">
        <w:t xml:space="preserve"> </w:t>
      </w:r>
      <w:r w:rsidR="00417BCC" w:rsidRPr="00BB5480">
        <w:t xml:space="preserve">to </w:t>
      </w:r>
      <w:r w:rsidR="00CF645F" w:rsidRPr="00BB5480">
        <w:t xml:space="preserve">produce a measure that may </w:t>
      </w:r>
      <w:r w:rsidRPr="00BB5480">
        <w:t xml:space="preserve">further </w:t>
      </w:r>
      <w:r w:rsidR="00CF645F" w:rsidRPr="00BB5480">
        <w:t xml:space="preserve">help CBS </w:t>
      </w:r>
      <w:r w:rsidR="00397F4A" w:rsidRPr="00BB5480">
        <w:t xml:space="preserve">investigate its role in </w:t>
      </w:r>
      <w:r w:rsidR="00B13BDF" w:rsidRPr="00BB5480">
        <w:t xml:space="preserve">areas other than </w:t>
      </w:r>
      <w:r w:rsidR="00F1618C" w:rsidRPr="00BB5480">
        <w:t>clinical</w:t>
      </w:r>
      <w:r w:rsidR="00B13BDF" w:rsidRPr="00BB5480">
        <w:t>,</w:t>
      </w:r>
      <w:r w:rsidR="00F1618C" w:rsidRPr="00BB5480">
        <w:t xml:space="preserve"> health </w:t>
      </w:r>
      <w:r w:rsidR="00B13BDF" w:rsidRPr="00BB5480">
        <w:t>and well-being contexts</w:t>
      </w:r>
      <w:r w:rsidR="00F1618C" w:rsidRPr="00BB5480">
        <w:t xml:space="preserve">, including more prosocial areas such as </w:t>
      </w:r>
      <w:r w:rsidR="00397F4A" w:rsidRPr="00BB5480">
        <w:t xml:space="preserve">tackling wider </w:t>
      </w:r>
      <w:r w:rsidR="005A4441" w:rsidRPr="00BB5480">
        <w:t>challenges</w:t>
      </w:r>
      <w:r w:rsidR="00F1618C" w:rsidRPr="00BB5480">
        <w:t xml:space="preserve"> </w:t>
      </w:r>
      <w:r w:rsidR="00A13FA7" w:rsidRPr="00BB5480">
        <w:t>including</w:t>
      </w:r>
      <w:r w:rsidR="005A4441" w:rsidRPr="00BB5480">
        <w:t>: “social disparities, environmental degradation, global climate change, poverty, child deprivation, and similar matters” (</w:t>
      </w:r>
      <w:r w:rsidR="002C1435" w:rsidRPr="00BB5480">
        <w:t xml:space="preserve">Hayes et al., </w:t>
      </w:r>
      <w:r w:rsidR="00CF5E51" w:rsidRPr="00BB5480">
        <w:t xml:space="preserve">2012; </w:t>
      </w:r>
      <w:proofErr w:type="spellStart"/>
      <w:r w:rsidR="005A4441" w:rsidRPr="00BB5480">
        <w:t>p.11</w:t>
      </w:r>
      <w:proofErr w:type="spellEnd"/>
      <w:r w:rsidR="005A4441" w:rsidRPr="00BB5480">
        <w:t>).</w:t>
      </w:r>
    </w:p>
    <w:p w14:paraId="0AA86435" w14:textId="4F246DA0" w:rsidR="00D34032" w:rsidRPr="00BB5480" w:rsidRDefault="00D34032" w:rsidP="00D34032">
      <w:pPr>
        <w:pStyle w:val="BodyTextFirstIndent"/>
      </w:pPr>
      <w:r w:rsidRPr="00BB5480">
        <w:t xml:space="preserve">As a result, it seems important to collect initial, preliminary data on the relationship between the EPIC and the </w:t>
      </w:r>
      <w:proofErr w:type="spellStart"/>
      <w:r w:rsidRPr="00BB5480">
        <w:t>AAQ</w:t>
      </w:r>
      <w:proofErr w:type="spellEnd"/>
      <w:r w:rsidRPr="00BB5480">
        <w:t xml:space="preserve">-II. It also seems useful to compare the performance of these two measures with questionnaires from </w:t>
      </w:r>
      <w:r w:rsidR="00F1618C" w:rsidRPr="00BB5480">
        <w:t xml:space="preserve">other </w:t>
      </w:r>
      <w:r w:rsidRPr="00BB5480">
        <w:t xml:space="preserve">broadly prosocial areas. </w:t>
      </w:r>
      <w:r w:rsidR="00C60742" w:rsidRPr="00BB5480">
        <w:t>Related</w:t>
      </w:r>
      <w:r w:rsidRPr="00BB5480">
        <w:t xml:space="preserve"> CBS research has made preliminary steps in </w:t>
      </w:r>
      <w:r w:rsidR="00F1618C" w:rsidRPr="00BB5480">
        <w:t>this area</w:t>
      </w:r>
      <w:r w:rsidR="0026137B" w:rsidRPr="00BB5480">
        <w:t xml:space="preserve"> highlighting the role of empathy</w:t>
      </w:r>
      <w:r w:rsidRPr="00BB5480">
        <w:t xml:space="preserve">. For example, in 2012, </w:t>
      </w:r>
      <w:proofErr w:type="spellStart"/>
      <w:r w:rsidRPr="00BB5480">
        <w:t>Vilardaga</w:t>
      </w:r>
      <w:proofErr w:type="spellEnd"/>
      <w:r w:rsidRPr="00BB5480">
        <w:t xml:space="preserve">, </w:t>
      </w:r>
      <w:proofErr w:type="spellStart"/>
      <w:r w:rsidRPr="00BB5480">
        <w:t>E</w:t>
      </w:r>
      <w:r w:rsidR="00491EDC" w:rsidRPr="00BB5480">
        <w:t>st</w:t>
      </w:r>
      <w:r w:rsidR="009B50D0" w:rsidRPr="00BB5480">
        <w:t>é</w:t>
      </w:r>
      <w:r w:rsidR="00491EDC" w:rsidRPr="00BB5480">
        <w:t>vez</w:t>
      </w:r>
      <w:proofErr w:type="spellEnd"/>
      <w:r w:rsidR="00491EDC" w:rsidRPr="00BB5480">
        <w:t>, Levin and Hayes</w:t>
      </w:r>
      <w:r w:rsidRPr="00BB5480">
        <w:t xml:space="preserve">, proposed a three-step model of social anhedonia which included: </w:t>
      </w:r>
      <w:proofErr w:type="spellStart"/>
      <w:r w:rsidRPr="00BB5480">
        <w:t>i</w:t>
      </w:r>
      <w:proofErr w:type="spellEnd"/>
      <w:r w:rsidRPr="00BB5480">
        <w:t>. perspective-taking, ii. empathic concern, iii. experiential avoidance. However</w:t>
      </w:r>
      <w:r w:rsidR="00A13CB3">
        <w:t>, in comparison to clinical, health and well-being contexts,</w:t>
      </w:r>
      <w:r w:rsidRPr="00BB5480">
        <w:t xml:space="preserve"> data collection i</w:t>
      </w:r>
      <w:r w:rsidR="00491EDC" w:rsidRPr="00BB5480">
        <w:t xml:space="preserve">n </w:t>
      </w:r>
      <w:r w:rsidR="00F1618C" w:rsidRPr="00BB5480">
        <w:t>prosocial areas</w:t>
      </w:r>
      <w:r w:rsidR="00491EDC" w:rsidRPr="00BB5480">
        <w:t xml:space="preserve"> is</w:t>
      </w:r>
      <w:r w:rsidRPr="00BB5480">
        <w:t xml:space="preserve"> in its infancy.</w:t>
      </w:r>
    </w:p>
    <w:p w14:paraId="7918E8EB" w14:textId="77777777" w:rsidR="00673159" w:rsidRPr="00BB5480" w:rsidRDefault="003A4C4B" w:rsidP="003A4C4B">
      <w:pPr>
        <w:pStyle w:val="BodyTextFirstIndent"/>
      </w:pPr>
      <w:r w:rsidRPr="00BB5480">
        <w:t xml:space="preserve">Aspiring to the ambition of the </w:t>
      </w:r>
      <w:r w:rsidR="00D34032" w:rsidRPr="00BB5480">
        <w:t xml:space="preserve">quote </w:t>
      </w:r>
      <w:r w:rsidRPr="00BB5480">
        <w:t xml:space="preserve">above </w:t>
      </w:r>
      <w:r w:rsidR="00D34032" w:rsidRPr="00BB5480">
        <w:t xml:space="preserve">from Hayes et al. (2012) and building </w:t>
      </w:r>
      <w:r w:rsidR="0026137B" w:rsidRPr="00BB5480">
        <w:t>on</w:t>
      </w:r>
      <w:r w:rsidR="00D34032" w:rsidRPr="00BB5480">
        <w:t xml:space="preserve"> the work of </w:t>
      </w:r>
      <w:proofErr w:type="spellStart"/>
      <w:r w:rsidR="00D34032" w:rsidRPr="00BB5480">
        <w:t>Vilardaga</w:t>
      </w:r>
      <w:proofErr w:type="spellEnd"/>
      <w:r w:rsidR="00D34032" w:rsidRPr="00BB5480">
        <w:t xml:space="preserve"> et al. 2012 </w:t>
      </w:r>
      <w:r w:rsidRPr="00BB5480">
        <w:t xml:space="preserve">this study will explore the relationship between </w:t>
      </w:r>
      <w:r w:rsidR="00491EDC" w:rsidRPr="00BB5480">
        <w:t xml:space="preserve">the measures of </w:t>
      </w:r>
      <w:r w:rsidRPr="00BB5480">
        <w:t xml:space="preserve">psychological inflexibility (EPIC and </w:t>
      </w:r>
      <w:proofErr w:type="spellStart"/>
      <w:r w:rsidRPr="00BB5480">
        <w:t>AAQ</w:t>
      </w:r>
      <w:proofErr w:type="spellEnd"/>
      <w:r w:rsidRPr="00BB5480">
        <w:t xml:space="preserve">-II) and </w:t>
      </w:r>
      <w:r w:rsidR="00491EDC" w:rsidRPr="00BB5480">
        <w:t xml:space="preserve">their relationship to </w:t>
      </w:r>
      <w:r w:rsidRPr="00BB5480">
        <w:t>questionnaires measuring empathy, attitudes towards helping others and self-reported helping behaviour.</w:t>
      </w:r>
    </w:p>
    <w:p w14:paraId="4BAC6AE5" w14:textId="77777777" w:rsidR="00DA69D9" w:rsidRPr="00BB5480" w:rsidRDefault="00DA69D9">
      <w:pPr>
        <w:pStyle w:val="Heading2"/>
        <w:spacing w:line="360" w:lineRule="auto"/>
        <w:jc w:val="center"/>
        <w:rPr>
          <w:bCs/>
        </w:rPr>
      </w:pPr>
      <w:r w:rsidRPr="00BB5480">
        <w:rPr>
          <w:sz w:val="24"/>
          <w:szCs w:val="24"/>
        </w:rPr>
        <w:t>Method</w:t>
      </w:r>
    </w:p>
    <w:p w14:paraId="308D9FD8" w14:textId="77777777" w:rsidR="00DA69D9" w:rsidRPr="00BB5480" w:rsidRDefault="00DA69D9">
      <w:pPr>
        <w:pStyle w:val="BodyText"/>
      </w:pPr>
      <w:r w:rsidRPr="00BB5480">
        <w:rPr>
          <w:b/>
          <w:bCs/>
        </w:rPr>
        <w:t>Participants</w:t>
      </w:r>
    </w:p>
    <w:p w14:paraId="4439F457" w14:textId="4DBBFC7E" w:rsidR="00DA69D9" w:rsidRPr="00BB5480" w:rsidRDefault="00DA69D9">
      <w:pPr>
        <w:pStyle w:val="BodyTextFirstIndent"/>
        <w:rPr>
          <w:b/>
        </w:rPr>
      </w:pPr>
      <w:r w:rsidRPr="00BB5480">
        <w:t xml:space="preserve">This </w:t>
      </w:r>
      <w:r w:rsidR="00F1618C" w:rsidRPr="00BB5480">
        <w:t>study</w:t>
      </w:r>
      <w:r w:rsidRPr="00BB5480">
        <w:t xml:space="preserve"> </w:t>
      </w:r>
      <w:r w:rsidR="00C503B2" w:rsidRPr="00BB5480">
        <w:t>re</w:t>
      </w:r>
      <w:r w:rsidRPr="00BB5480">
        <w:t xml:space="preserve">uses </w:t>
      </w:r>
      <w:r w:rsidR="00A13FA7" w:rsidRPr="00BB5480">
        <w:t xml:space="preserve">sample </w:t>
      </w:r>
      <w:r w:rsidR="00106F52" w:rsidRPr="00BB5480">
        <w:t>3</w:t>
      </w:r>
      <w:r w:rsidR="00A13FA7" w:rsidRPr="00BB5480">
        <w:t xml:space="preserve"> (also used for CFA </w:t>
      </w:r>
      <w:r w:rsidR="00C24B72" w:rsidRPr="00BB5480">
        <w:t>1.0 &amp; 1.1 in</w:t>
      </w:r>
      <w:r w:rsidR="00A13FA7" w:rsidRPr="00BB5480">
        <w:t xml:space="preserve"> </w:t>
      </w:r>
      <w:r w:rsidR="00C503B2" w:rsidRPr="00BB5480">
        <w:t>study 3</w:t>
      </w:r>
      <w:r w:rsidR="00A13FA7" w:rsidRPr="00BB5480">
        <w:t>)</w:t>
      </w:r>
      <w:r w:rsidRPr="00BB5480">
        <w:t xml:space="preserve">. In study </w:t>
      </w:r>
      <w:r w:rsidR="00C503B2" w:rsidRPr="00BB5480">
        <w:t>3</w:t>
      </w:r>
      <w:r w:rsidRPr="00BB5480">
        <w:t xml:space="preserve">, this included </w:t>
      </w:r>
      <w:r w:rsidR="00B938B9" w:rsidRPr="00BB5480">
        <w:t>N</w:t>
      </w:r>
      <w:r w:rsidRPr="00BB5480">
        <w:t>=2</w:t>
      </w:r>
      <w:r w:rsidR="00C503B2" w:rsidRPr="00BB5480">
        <w:t>7</w:t>
      </w:r>
      <w:r w:rsidR="00F1618C" w:rsidRPr="00BB5480">
        <w:t>2</w:t>
      </w:r>
      <w:r w:rsidRPr="00BB5480">
        <w:t xml:space="preserve"> participants with complete data for the EPIC</w:t>
      </w:r>
      <w:r w:rsidR="005A0C78" w:rsidRPr="00BB5480">
        <w:t xml:space="preserve"> items</w:t>
      </w:r>
      <w:r w:rsidR="009D42EC" w:rsidRPr="00BB5480">
        <w:t xml:space="preserve">. </w:t>
      </w:r>
      <w:r w:rsidR="007D1B3A" w:rsidRPr="00BB5480">
        <w:t>T</w:t>
      </w:r>
      <w:r w:rsidR="009D42EC" w:rsidRPr="00BB5480">
        <w:t>his study</w:t>
      </w:r>
      <w:r w:rsidR="00611E5F" w:rsidRPr="00BB5480">
        <w:t xml:space="preserve"> </w:t>
      </w:r>
      <w:r w:rsidR="00336071" w:rsidRPr="00BB5480">
        <w:t>uses</w:t>
      </w:r>
      <w:r w:rsidR="007D1B3A" w:rsidRPr="00BB5480">
        <w:t xml:space="preserve"> the </w:t>
      </w:r>
      <w:r w:rsidR="00336071" w:rsidRPr="00BB5480">
        <w:t xml:space="preserve">data from the </w:t>
      </w:r>
      <w:r w:rsidRPr="00BB5480">
        <w:t>2</w:t>
      </w:r>
      <w:r w:rsidR="00C503B2" w:rsidRPr="00BB5480">
        <w:t>47</w:t>
      </w:r>
      <w:r w:rsidRPr="00BB5480">
        <w:t xml:space="preserve"> participants </w:t>
      </w:r>
      <w:r w:rsidR="00DC45A9" w:rsidRPr="00BB5480">
        <w:t xml:space="preserve">who, after </w:t>
      </w:r>
      <w:proofErr w:type="spellStart"/>
      <w:r w:rsidR="00DC45A9" w:rsidRPr="00BB5480">
        <w:t>listwise</w:t>
      </w:r>
      <w:proofErr w:type="spellEnd"/>
      <w:r w:rsidR="00DC45A9" w:rsidRPr="00BB5480">
        <w:t xml:space="preserve"> deletion, </w:t>
      </w:r>
      <w:r w:rsidRPr="00BB5480">
        <w:t xml:space="preserve">had complete data for all </w:t>
      </w:r>
      <w:r w:rsidR="00C503B2" w:rsidRPr="00BB5480">
        <w:t xml:space="preserve">the </w:t>
      </w:r>
      <w:r w:rsidRPr="00BB5480">
        <w:t>measures reported below.</w:t>
      </w:r>
    </w:p>
    <w:p w14:paraId="7E5F8365" w14:textId="77777777" w:rsidR="00DA69D9" w:rsidRPr="00BB5480" w:rsidRDefault="00DA69D9">
      <w:pPr>
        <w:pStyle w:val="BodyText"/>
      </w:pPr>
      <w:r w:rsidRPr="00BB5480">
        <w:rPr>
          <w:b/>
        </w:rPr>
        <w:t>Measures</w:t>
      </w:r>
    </w:p>
    <w:p w14:paraId="3140B912" w14:textId="0A91475D" w:rsidR="00DA69D9" w:rsidRPr="00BB5480" w:rsidRDefault="00DA69D9" w:rsidP="000C1B01">
      <w:pPr>
        <w:pStyle w:val="BodyText"/>
        <w:ind w:firstLine="864"/>
      </w:pPr>
      <w:r w:rsidRPr="00BB5480">
        <w:t xml:space="preserve">The Everyday Psychological Inflexibility Checklist (EPIC) is a </w:t>
      </w:r>
      <w:r w:rsidR="00E43FF2" w:rsidRPr="00BB5480">
        <w:t>seven</w:t>
      </w:r>
      <w:r w:rsidRPr="00BB5480">
        <w:t xml:space="preserve"> item, two factor measure that assesses psychological inflexibility in an everyday context. The two factors measure: </w:t>
      </w:r>
      <w:r w:rsidR="00E43FF2" w:rsidRPr="00BB5480">
        <w:t>A</w:t>
      </w:r>
      <w:r w:rsidRPr="00BB5480">
        <w:t xml:space="preserve">. avoidance and </w:t>
      </w:r>
      <w:r w:rsidR="00E43FF2" w:rsidRPr="00BB5480">
        <w:t>BR</w:t>
      </w:r>
      <w:r w:rsidRPr="00BB5480">
        <w:t xml:space="preserve">. behavioural rigidity. </w:t>
      </w:r>
      <w:r w:rsidR="000C1B01" w:rsidRPr="00BB5480">
        <w:t xml:space="preserve">Participants are asked to rate how true each item is for them in their everyday life (no time frame given). </w:t>
      </w:r>
      <w:r w:rsidRPr="00BB5480">
        <w:t xml:space="preserve">Items are rated on a 7 point </w:t>
      </w:r>
      <w:r w:rsidR="00FB25F4" w:rsidRPr="00BB5480">
        <w:t xml:space="preserve">Likert-type scale </w:t>
      </w:r>
      <w:r w:rsidRPr="00BB5480">
        <w:t xml:space="preserve">ranging from (1) never true to (7) always true. Higher scores </w:t>
      </w:r>
      <w:r w:rsidRPr="00BB5480">
        <w:lastRenderedPageBreak/>
        <w:t>indicate higher levels of psychological inflexibility. Within the present sample, the EPIC had respectable levels of reliability (</w:t>
      </w:r>
      <w:proofErr w:type="spellStart"/>
      <w:r w:rsidRPr="00BB5480">
        <w:t>DeVellis</w:t>
      </w:r>
      <w:proofErr w:type="spellEnd"/>
      <w:r w:rsidRPr="00BB5480">
        <w:t>, 2012, p. 109): EPIC total score = .7</w:t>
      </w:r>
      <w:r w:rsidR="00383589" w:rsidRPr="00BB5480">
        <w:t>5</w:t>
      </w:r>
      <w:r w:rsidRPr="00BB5480">
        <w:t xml:space="preserve">, factor </w:t>
      </w:r>
      <w:r w:rsidR="00A13CB3">
        <w:t>A</w:t>
      </w:r>
      <w:r w:rsidRPr="00BB5480">
        <w:t xml:space="preserve"> =.</w:t>
      </w:r>
      <w:r w:rsidR="00383589" w:rsidRPr="00BB5480">
        <w:t>76</w:t>
      </w:r>
      <w:r w:rsidRPr="00BB5480">
        <w:t xml:space="preserve">, factor </w:t>
      </w:r>
      <w:r w:rsidR="00A13CB3">
        <w:t>BR</w:t>
      </w:r>
      <w:r w:rsidRPr="00BB5480">
        <w:t xml:space="preserve"> = .7</w:t>
      </w:r>
      <w:r w:rsidR="00383589" w:rsidRPr="00BB5480">
        <w:t>9</w:t>
      </w:r>
      <w:r w:rsidRPr="00BB5480">
        <w:t>.</w:t>
      </w:r>
    </w:p>
    <w:p w14:paraId="1B08B94A" w14:textId="77777777" w:rsidR="00DA69D9" w:rsidRPr="00BB5480" w:rsidRDefault="00DA69D9">
      <w:pPr>
        <w:pStyle w:val="BodyText"/>
      </w:pPr>
      <w:r w:rsidRPr="00BB5480">
        <w:tab/>
        <w:t>The Acceptance and Action Questionnaire (</w:t>
      </w:r>
      <w:proofErr w:type="spellStart"/>
      <w:r w:rsidRPr="00BB5480">
        <w:t>AAQ</w:t>
      </w:r>
      <w:proofErr w:type="spellEnd"/>
      <w:r w:rsidRPr="00BB5480">
        <w:t xml:space="preserve">-II) is a seven item, single factor measure that assesses psychological inflexibility (Bond et al., 2011). </w:t>
      </w:r>
      <w:r w:rsidR="000C1B01" w:rsidRPr="00BB5480">
        <w:t xml:space="preserve">Participants are asked to rate how true each item is for them (no time frame given). </w:t>
      </w:r>
      <w:r w:rsidRPr="00BB5480">
        <w:t xml:space="preserve">Items are rated on a 7 point </w:t>
      </w:r>
      <w:r w:rsidR="00FB25F4" w:rsidRPr="00BB5480">
        <w:t xml:space="preserve">Likert-type scale </w:t>
      </w:r>
      <w:r w:rsidRPr="00BB5480">
        <w:t xml:space="preserve">ranging from (1) never true to (7) always true. Higher scores indicate higher levels of psychological inflexibility. Within the present sample, the </w:t>
      </w:r>
      <w:proofErr w:type="spellStart"/>
      <w:r w:rsidRPr="00BB5480">
        <w:t>AAQ</w:t>
      </w:r>
      <w:proofErr w:type="spellEnd"/>
      <w:r w:rsidRPr="00BB5480">
        <w:t>-II had very good levels of reliability (.92).</w:t>
      </w:r>
    </w:p>
    <w:p w14:paraId="38B905E1" w14:textId="77777777" w:rsidR="00DA69D9" w:rsidRPr="00BB5480" w:rsidRDefault="00DA69D9" w:rsidP="000C1B01">
      <w:pPr>
        <w:pStyle w:val="BodyText"/>
      </w:pPr>
      <w:r w:rsidRPr="00BB5480">
        <w:tab/>
        <w:t>The Toronto Empathy Questionnaire (</w:t>
      </w:r>
      <w:proofErr w:type="spellStart"/>
      <w:r w:rsidRPr="00BB5480">
        <w:t>TEQ</w:t>
      </w:r>
      <w:proofErr w:type="spellEnd"/>
      <w:r w:rsidRPr="00BB5480">
        <w:t>) is a sixteen item, single factor, measure of empathy based on factor analyses of other empathy measures (</w:t>
      </w:r>
      <w:proofErr w:type="spellStart"/>
      <w:r w:rsidRPr="00BB5480">
        <w:t>Spreng</w:t>
      </w:r>
      <w:proofErr w:type="spellEnd"/>
      <w:r w:rsidRPr="00BB5480">
        <w:t xml:space="preserve">, McKinnon, Mar, &amp; Levine, 2009). </w:t>
      </w:r>
      <w:r w:rsidR="000C1B01" w:rsidRPr="00BB5480">
        <w:t>Participants are asked to read each statement carefully and rate how</w:t>
      </w:r>
      <w:r w:rsidR="00F94196" w:rsidRPr="00BB5480">
        <w:t xml:space="preserve"> </w:t>
      </w:r>
      <w:r w:rsidR="000C1B01" w:rsidRPr="00BB5480">
        <w:t xml:space="preserve">frequently they feel or act in the manner described (no time frame given). </w:t>
      </w:r>
      <w:r w:rsidRPr="00BB5480">
        <w:t>Items are rated on a 5 point Likert</w:t>
      </w:r>
      <w:r w:rsidR="00FB25F4" w:rsidRPr="00BB5480">
        <w:t>-type scale</w:t>
      </w:r>
      <w:r w:rsidRPr="00BB5480">
        <w:t xml:space="preserve"> ranging from (0) never to (4) always. Higher scores indicate higher levels of empathy. Within the present sample, the </w:t>
      </w:r>
      <w:proofErr w:type="spellStart"/>
      <w:r w:rsidRPr="00BB5480">
        <w:t>TEQ</w:t>
      </w:r>
      <w:proofErr w:type="spellEnd"/>
      <w:r w:rsidRPr="00BB5480">
        <w:t xml:space="preserve"> had very good levels of reliability (.8</w:t>
      </w:r>
      <w:r w:rsidR="00383589" w:rsidRPr="00BB5480">
        <w:t>7</w:t>
      </w:r>
      <w:r w:rsidRPr="00BB5480">
        <w:t>).</w:t>
      </w:r>
    </w:p>
    <w:p w14:paraId="2D2352D8" w14:textId="77777777" w:rsidR="00383589" w:rsidRPr="00BB5480" w:rsidRDefault="00DA69D9">
      <w:pPr>
        <w:pStyle w:val="BodyText"/>
      </w:pPr>
      <w:r w:rsidRPr="00BB5480">
        <w:tab/>
      </w:r>
      <w:r w:rsidR="00383589" w:rsidRPr="00BB5480">
        <w:t>Despite its title, the Self-</w:t>
      </w:r>
      <w:r w:rsidR="00BF4756" w:rsidRPr="00BB5480">
        <w:t>R</w:t>
      </w:r>
      <w:r w:rsidR="00383589" w:rsidRPr="00BB5480">
        <w:t xml:space="preserve">eport Altruism </w:t>
      </w:r>
      <w:r w:rsidR="00BF4756" w:rsidRPr="00BB5480">
        <w:t>s</w:t>
      </w:r>
      <w:r w:rsidR="00383589" w:rsidRPr="00BB5480">
        <w:t xml:space="preserve">cale (SRA; Rushton, </w:t>
      </w:r>
      <w:proofErr w:type="spellStart"/>
      <w:r w:rsidR="00383589" w:rsidRPr="00BB5480">
        <w:t>Chrisjohn</w:t>
      </w:r>
      <w:proofErr w:type="spellEnd"/>
      <w:r w:rsidR="00383589" w:rsidRPr="00BB5480">
        <w:t xml:space="preserve">, &amp; </w:t>
      </w:r>
      <w:proofErr w:type="spellStart"/>
      <w:r w:rsidR="00383589" w:rsidRPr="00BB5480">
        <w:t>Fekken</w:t>
      </w:r>
      <w:proofErr w:type="spellEnd"/>
      <w:r w:rsidR="00383589" w:rsidRPr="00BB5480">
        <w:t xml:space="preserve">, 1981) is a twenty item, single factor, measure of </w:t>
      </w:r>
      <w:r w:rsidR="00BF4756" w:rsidRPr="00BB5480">
        <w:t xml:space="preserve">self-reported </w:t>
      </w:r>
      <w:r w:rsidR="00383589" w:rsidRPr="00BB5480">
        <w:t xml:space="preserve">helping behaviours. Each item </w:t>
      </w:r>
      <w:r w:rsidR="004A2C26" w:rsidRPr="00BB5480">
        <w:t>measures a different overt helping behaviour</w:t>
      </w:r>
      <w:r w:rsidR="00781628" w:rsidRPr="00BB5480">
        <w:t xml:space="preserve"> (for example: “I have done volunteer work for a charity”)</w:t>
      </w:r>
      <w:r w:rsidR="004A2C26" w:rsidRPr="00BB5480">
        <w:t xml:space="preserve">. </w:t>
      </w:r>
      <w:r w:rsidR="00CC4D74" w:rsidRPr="00BB5480">
        <w:t xml:space="preserve">Participants are asked to mark the category that indicates the frequency with which they have carried out the act (no time frame given). </w:t>
      </w:r>
      <w:r w:rsidR="00383589" w:rsidRPr="00BB5480">
        <w:t>Items are rated on a 5 point Likert</w:t>
      </w:r>
      <w:r w:rsidR="00FB25F4" w:rsidRPr="00BB5480">
        <w:t>-type scale</w:t>
      </w:r>
      <w:r w:rsidR="00383589" w:rsidRPr="00BB5480">
        <w:t xml:space="preserve"> ranging from (1) never to (</w:t>
      </w:r>
      <w:r w:rsidR="005E6C37" w:rsidRPr="00BB5480">
        <w:t>5</w:t>
      </w:r>
      <w:r w:rsidR="00383589" w:rsidRPr="00BB5480">
        <w:t>) very often. Higher scores indicate higher levels of self-reported helping</w:t>
      </w:r>
      <w:r w:rsidR="004A2C26" w:rsidRPr="00BB5480">
        <w:t xml:space="preserve"> behaviour</w:t>
      </w:r>
      <w:r w:rsidR="00383589" w:rsidRPr="00BB5480">
        <w:t>. Within the present sample, the SRA had very good levels of reliability (.87).</w:t>
      </w:r>
    </w:p>
    <w:p w14:paraId="3F2DF499" w14:textId="4D1EE689" w:rsidR="00DA69D9" w:rsidRPr="00BB5480" w:rsidRDefault="00DA69D9" w:rsidP="00FB1876">
      <w:pPr>
        <w:pStyle w:val="BodyText"/>
        <w:ind w:firstLine="709"/>
        <w:rPr>
          <w:b/>
        </w:rPr>
      </w:pPr>
      <w:r w:rsidRPr="00421153">
        <w:t>The Attitude towards Helping Others (</w:t>
      </w:r>
      <w:proofErr w:type="spellStart"/>
      <w:r w:rsidRPr="00421153">
        <w:t>AHO</w:t>
      </w:r>
      <w:proofErr w:type="spellEnd"/>
      <w:r w:rsidRPr="00421153">
        <w:t>) and Attitude toward Charitable Organizations (</w:t>
      </w:r>
      <w:proofErr w:type="spellStart"/>
      <w:r w:rsidRPr="00421153">
        <w:t>ACO</w:t>
      </w:r>
      <w:proofErr w:type="spellEnd"/>
      <w:r w:rsidRPr="00421153">
        <w:t xml:space="preserve">) are two short measures designed by Webb, Green and Brashear (2000). The </w:t>
      </w:r>
      <w:proofErr w:type="spellStart"/>
      <w:r w:rsidRPr="00421153">
        <w:t>AHO</w:t>
      </w:r>
      <w:proofErr w:type="spellEnd"/>
      <w:r w:rsidRPr="00421153">
        <w:t xml:space="preserve"> is four items long,</w:t>
      </w:r>
      <w:r w:rsidRPr="00BB5480">
        <w:t xml:space="preserve"> the </w:t>
      </w:r>
      <w:proofErr w:type="spellStart"/>
      <w:r w:rsidRPr="00BB5480">
        <w:t>AHO</w:t>
      </w:r>
      <w:proofErr w:type="spellEnd"/>
      <w:r w:rsidRPr="00BB5480">
        <w:t xml:space="preserve"> is five items in length. </w:t>
      </w:r>
      <w:r w:rsidR="00CC4D74" w:rsidRPr="00BB5480">
        <w:t xml:space="preserve">Participants are asked to indicate their level of disagreement / agreement with the following statements (no time-frame given). </w:t>
      </w:r>
      <w:r w:rsidRPr="00BB5480">
        <w:t>Both are rated on a 5 point Likert</w:t>
      </w:r>
      <w:r w:rsidR="00964DB8" w:rsidRPr="00BB5480">
        <w:t xml:space="preserve"> scales </w:t>
      </w:r>
      <w:r w:rsidRPr="00BB5480">
        <w:t>ranging from (1) strongly disagree to (</w:t>
      </w:r>
      <w:r w:rsidR="00180EBA" w:rsidRPr="00BB5480">
        <w:t>5</w:t>
      </w:r>
      <w:r w:rsidRPr="00BB5480">
        <w:t xml:space="preserve">) strongly agree. Higher scores indicate higher levels of agreement with helping others and / or positive attitudes towards charity. Within the present sample, the </w:t>
      </w:r>
      <w:proofErr w:type="spellStart"/>
      <w:r w:rsidRPr="00BB5480">
        <w:t>AHO</w:t>
      </w:r>
      <w:proofErr w:type="spellEnd"/>
      <w:r w:rsidRPr="00BB5480">
        <w:t xml:space="preserve"> (.9</w:t>
      </w:r>
      <w:r w:rsidR="004A2C26" w:rsidRPr="00BB5480">
        <w:t>0</w:t>
      </w:r>
      <w:r w:rsidRPr="00BB5480">
        <w:t xml:space="preserve">) and </w:t>
      </w:r>
      <w:proofErr w:type="spellStart"/>
      <w:r w:rsidRPr="00BB5480">
        <w:t>ACO</w:t>
      </w:r>
      <w:proofErr w:type="spellEnd"/>
      <w:r w:rsidRPr="00BB5480">
        <w:t xml:space="preserve"> (.8</w:t>
      </w:r>
      <w:r w:rsidR="004A2C26" w:rsidRPr="00BB5480">
        <w:t>8</w:t>
      </w:r>
      <w:r w:rsidRPr="00BB5480">
        <w:t>) both had very good levels of reliability.</w:t>
      </w:r>
    </w:p>
    <w:p w14:paraId="610D5A09" w14:textId="77777777" w:rsidR="00DA69D9" w:rsidRPr="00BB5480" w:rsidRDefault="00DA69D9">
      <w:pPr>
        <w:pStyle w:val="BodyText"/>
        <w:jc w:val="center"/>
      </w:pPr>
      <w:r w:rsidRPr="00BB5480">
        <w:rPr>
          <w:b/>
        </w:rPr>
        <w:t>Results</w:t>
      </w:r>
    </w:p>
    <w:p w14:paraId="5843FDE9" w14:textId="7CF9E521" w:rsidR="00063A44" w:rsidRPr="00BB5480" w:rsidRDefault="00DA69D9">
      <w:pPr>
        <w:pStyle w:val="BodyText"/>
      </w:pPr>
      <w:r w:rsidRPr="00BB5480">
        <w:t xml:space="preserve">Table </w:t>
      </w:r>
      <w:r w:rsidR="00781628" w:rsidRPr="00BB5480">
        <w:t>4</w:t>
      </w:r>
      <w:r w:rsidRPr="00BB5480">
        <w:t xml:space="preserve"> shows the correlations between the two measures of psychological inflexibility and the other measures described above. The correlation between the EPIC </w:t>
      </w:r>
      <w:r w:rsidR="008A69D1" w:rsidRPr="00BB5480">
        <w:t xml:space="preserve">total </w:t>
      </w:r>
      <w:r w:rsidRPr="00BB5480">
        <w:t xml:space="preserve">and </w:t>
      </w:r>
      <w:proofErr w:type="spellStart"/>
      <w:r w:rsidRPr="00BB5480">
        <w:t>AAQ</w:t>
      </w:r>
      <w:proofErr w:type="spellEnd"/>
      <w:r w:rsidRPr="00BB5480">
        <w:t xml:space="preserve">-II </w:t>
      </w:r>
      <w:r w:rsidRPr="00BB5480">
        <w:lastRenderedPageBreak/>
        <w:t>(.3</w:t>
      </w:r>
      <w:r w:rsidR="004A2C26" w:rsidRPr="00BB5480">
        <w:t>2</w:t>
      </w:r>
      <w:r w:rsidRPr="00BB5480">
        <w:t xml:space="preserve">) </w:t>
      </w:r>
      <w:r w:rsidR="00347777" w:rsidRPr="00BB5480">
        <w:t>is</w:t>
      </w:r>
      <w:r w:rsidRPr="00BB5480">
        <w:t xml:space="preserve"> medium in size</w:t>
      </w:r>
      <w:r w:rsidR="00580958" w:rsidRPr="00BB5480">
        <w:t xml:space="preserve"> (Cohen, 1992)</w:t>
      </w:r>
      <w:r w:rsidRPr="00BB5480">
        <w:t xml:space="preserve">, and the table suggests that the EPIC total score correlates more strongly with the </w:t>
      </w:r>
      <w:proofErr w:type="spellStart"/>
      <w:r w:rsidRPr="00BB5480">
        <w:t>AAQ</w:t>
      </w:r>
      <w:proofErr w:type="spellEnd"/>
      <w:r w:rsidRPr="00BB5480">
        <w:t xml:space="preserve">-II than the </w:t>
      </w:r>
      <w:r w:rsidR="0007641C" w:rsidRPr="00BB5480">
        <w:t xml:space="preserve">smaller </w:t>
      </w:r>
      <w:r w:rsidRPr="00BB5480">
        <w:t xml:space="preserve">individual results for </w:t>
      </w:r>
      <w:r w:rsidR="002B5BC5" w:rsidRPr="00BB5480">
        <w:t xml:space="preserve">two </w:t>
      </w:r>
      <w:r w:rsidR="00015355" w:rsidRPr="00BB5480">
        <w:t xml:space="preserve">EPIC </w:t>
      </w:r>
      <w:r w:rsidR="00063A44" w:rsidRPr="00BB5480">
        <w:t>subscales</w:t>
      </w:r>
      <w:r w:rsidR="0007641C" w:rsidRPr="00BB5480">
        <w:t xml:space="preserve"> (.27</w:t>
      </w:r>
      <w:r w:rsidR="003C4543" w:rsidRPr="00BB5480">
        <w:t xml:space="preserve"> </w:t>
      </w:r>
      <w:r w:rsidR="0007641C" w:rsidRPr="00BB5480">
        <w:t xml:space="preserve">EPIC </w:t>
      </w:r>
      <w:r w:rsidR="006307FB" w:rsidRPr="00BB5480">
        <w:t>a</w:t>
      </w:r>
      <w:r w:rsidR="0007641C" w:rsidRPr="00BB5480">
        <w:t xml:space="preserve">voidance; .23 EPIC </w:t>
      </w:r>
      <w:r w:rsidR="006307FB" w:rsidRPr="00BB5480">
        <w:t>b</w:t>
      </w:r>
      <w:r w:rsidR="0007641C" w:rsidRPr="00BB5480">
        <w:t xml:space="preserve">ehavioural </w:t>
      </w:r>
      <w:r w:rsidR="006307FB" w:rsidRPr="00BB5480">
        <w:t>r</w:t>
      </w:r>
      <w:r w:rsidR="0007641C" w:rsidRPr="00BB5480">
        <w:t>igidity)</w:t>
      </w:r>
      <w:r w:rsidRPr="00BB5480">
        <w:t>.</w:t>
      </w:r>
      <w:r w:rsidR="00C12008" w:rsidRPr="00BB5480">
        <w:t xml:space="preserve"> Together this suggests a degree of relationship between these measures of psychological inflexibility.</w:t>
      </w:r>
    </w:p>
    <w:p w14:paraId="4370AA09" w14:textId="34167D5B" w:rsidR="002B5BC5" w:rsidRPr="00BB5480" w:rsidRDefault="00DA69D9" w:rsidP="00063A44">
      <w:pPr>
        <w:pStyle w:val="BodyText"/>
        <w:ind w:firstLine="709"/>
      </w:pPr>
      <w:r w:rsidRPr="00BB5480">
        <w:t xml:space="preserve">In terms of </w:t>
      </w:r>
      <w:r w:rsidR="00781628" w:rsidRPr="00BB5480">
        <w:t xml:space="preserve">the </w:t>
      </w:r>
      <w:r w:rsidR="006307FB" w:rsidRPr="00BB5480">
        <w:t>above measures</w:t>
      </w:r>
      <w:r w:rsidR="0003221C" w:rsidRPr="00BB5480">
        <w:t xml:space="preserve"> </w:t>
      </w:r>
      <w:r w:rsidR="004C01D5" w:rsidRPr="00BB5480">
        <w:t xml:space="preserve">and </w:t>
      </w:r>
      <w:r w:rsidR="00CA32FF" w:rsidRPr="00BB5480">
        <w:t>their</w:t>
      </w:r>
      <w:r w:rsidR="008A69D1" w:rsidRPr="00BB5480">
        <w:t xml:space="preserve"> </w:t>
      </w:r>
      <w:r w:rsidR="004A2C26" w:rsidRPr="00BB5480">
        <w:t xml:space="preserve">relationships with </w:t>
      </w:r>
      <w:r w:rsidRPr="00BB5480">
        <w:t xml:space="preserve">the </w:t>
      </w:r>
      <w:r w:rsidR="00CA32FF" w:rsidRPr="00BB5480">
        <w:t xml:space="preserve">more prosocial </w:t>
      </w:r>
      <w:r w:rsidRPr="00BB5480">
        <w:t xml:space="preserve">measures, neither measure of psychological inflexibility </w:t>
      </w:r>
      <w:r w:rsidR="004C01D5" w:rsidRPr="00BB5480">
        <w:t xml:space="preserve">or its subscales </w:t>
      </w:r>
      <w:r w:rsidRPr="00BB5480">
        <w:t>significantly correlated with the measure</w:t>
      </w:r>
      <w:r w:rsidR="008A69D1" w:rsidRPr="00BB5480">
        <w:t>s</w:t>
      </w:r>
      <w:r w:rsidRPr="00BB5480">
        <w:t xml:space="preserve"> of </w:t>
      </w:r>
      <w:r w:rsidR="002B5BC5" w:rsidRPr="00BB5480">
        <w:t xml:space="preserve">attitudes </w:t>
      </w:r>
      <w:r w:rsidR="0003221C" w:rsidRPr="00BB5480">
        <w:t xml:space="preserve">towards </w:t>
      </w:r>
      <w:r w:rsidRPr="00BB5480">
        <w:t>helping others</w:t>
      </w:r>
      <w:r w:rsidR="002B5BC5" w:rsidRPr="00BB5480">
        <w:t xml:space="preserve"> or charity</w:t>
      </w:r>
      <w:r w:rsidRPr="00BB5480">
        <w:t>.</w:t>
      </w:r>
      <w:r w:rsidR="002B5BC5" w:rsidRPr="00BB5480">
        <w:t xml:space="preserve"> </w:t>
      </w:r>
      <w:r w:rsidR="004C01D5" w:rsidRPr="00BB5480">
        <w:t>Only t</w:t>
      </w:r>
      <w:r w:rsidRPr="00BB5480">
        <w:t xml:space="preserve">he </w:t>
      </w:r>
      <w:r w:rsidR="002B5BC5" w:rsidRPr="00BB5480">
        <w:t xml:space="preserve">avoidance </w:t>
      </w:r>
      <w:r w:rsidR="00063A44" w:rsidRPr="00BB5480">
        <w:t>subscale</w:t>
      </w:r>
      <w:r w:rsidR="002B5BC5" w:rsidRPr="00BB5480">
        <w:t xml:space="preserve"> </w:t>
      </w:r>
      <w:r w:rsidR="0003221C" w:rsidRPr="00BB5480">
        <w:t>of the EPIC,</w:t>
      </w:r>
      <w:r w:rsidR="002B5BC5" w:rsidRPr="00BB5480">
        <w:t xml:space="preserve"> </w:t>
      </w:r>
      <w:r w:rsidR="00CA32FF" w:rsidRPr="00BB5480">
        <w:t xml:space="preserve">and not the </w:t>
      </w:r>
      <w:proofErr w:type="spellStart"/>
      <w:r w:rsidR="00CA32FF" w:rsidRPr="00BB5480">
        <w:t>AAQ</w:t>
      </w:r>
      <w:proofErr w:type="spellEnd"/>
      <w:r w:rsidR="00CA32FF" w:rsidRPr="00BB5480">
        <w:t xml:space="preserve">-II, had </w:t>
      </w:r>
      <w:r w:rsidR="0064079C" w:rsidRPr="00BB5480">
        <w:t xml:space="preserve">a </w:t>
      </w:r>
      <w:r w:rsidR="00CA32FF" w:rsidRPr="00BB5480">
        <w:t xml:space="preserve">significant </w:t>
      </w:r>
      <w:r w:rsidR="002B5BC5" w:rsidRPr="00BB5480">
        <w:t xml:space="preserve">negative </w:t>
      </w:r>
      <w:r w:rsidR="0003221C" w:rsidRPr="00BB5480">
        <w:t xml:space="preserve">correlation </w:t>
      </w:r>
      <w:r w:rsidRPr="00BB5480">
        <w:t xml:space="preserve">with </w:t>
      </w:r>
      <w:r w:rsidR="002B5BC5" w:rsidRPr="00BB5480">
        <w:t>the empathy measure (-.20; more psychological inflexibility, less empathy)</w:t>
      </w:r>
      <w:r w:rsidRPr="00BB5480">
        <w:t>. In</w:t>
      </w:r>
      <w:r w:rsidR="0003221C" w:rsidRPr="00BB5480">
        <w:t xml:space="preserve"> terms of self-reported helping behaviours</w:t>
      </w:r>
      <w:r w:rsidRPr="00BB5480">
        <w:t>, both the EPIC total score</w:t>
      </w:r>
      <w:r w:rsidR="002B5BC5" w:rsidRPr="00BB5480">
        <w:t xml:space="preserve"> (-.23)</w:t>
      </w:r>
      <w:r w:rsidRPr="00BB5480">
        <w:t xml:space="preserve">, </w:t>
      </w:r>
      <w:r w:rsidR="002B5BC5" w:rsidRPr="00BB5480">
        <w:t xml:space="preserve">and avoidance </w:t>
      </w:r>
      <w:r w:rsidR="00063A44" w:rsidRPr="00BB5480">
        <w:t>subscale</w:t>
      </w:r>
      <w:r w:rsidRPr="00BB5480">
        <w:t xml:space="preserve"> </w:t>
      </w:r>
      <w:r w:rsidR="002B5BC5" w:rsidRPr="00BB5480">
        <w:t xml:space="preserve">(-.25) along with </w:t>
      </w:r>
      <w:r w:rsidRPr="00BB5480">
        <w:t xml:space="preserve">the </w:t>
      </w:r>
      <w:proofErr w:type="spellStart"/>
      <w:r w:rsidRPr="00BB5480">
        <w:t>AAQ</w:t>
      </w:r>
      <w:proofErr w:type="spellEnd"/>
      <w:r w:rsidRPr="00BB5480">
        <w:t xml:space="preserve">-II </w:t>
      </w:r>
      <w:r w:rsidR="002B5BC5" w:rsidRPr="00BB5480">
        <w:t xml:space="preserve">(-.20) </w:t>
      </w:r>
      <w:r w:rsidRPr="00BB5480">
        <w:t>had sig</w:t>
      </w:r>
      <w:r w:rsidR="002B5BC5" w:rsidRPr="00BB5480">
        <w:t xml:space="preserve">nificant negative correlations with </w:t>
      </w:r>
      <w:r w:rsidR="008A69D1" w:rsidRPr="00BB5480">
        <w:t xml:space="preserve">self-reported helping behaviours </w:t>
      </w:r>
      <w:r w:rsidR="002B5BC5" w:rsidRPr="00BB5480">
        <w:t xml:space="preserve">(more psychological inflexibility, less </w:t>
      </w:r>
      <w:r w:rsidR="008A69D1" w:rsidRPr="00BB5480">
        <w:t>self-reported helping behaviours</w:t>
      </w:r>
      <w:r w:rsidR="002B5BC5" w:rsidRPr="00BB5480">
        <w:t>)</w:t>
      </w:r>
      <w:r w:rsidRPr="00BB5480">
        <w:t>.</w:t>
      </w:r>
      <w:r w:rsidR="003C4543" w:rsidRPr="00BB5480">
        <w:br/>
      </w:r>
      <w:r w:rsidR="003C4543" w:rsidRPr="00BB5480">
        <w:tab/>
        <w:t>It is worth highlight</w:t>
      </w:r>
      <w:r w:rsidR="005F0D04" w:rsidRPr="00BB5480">
        <w:t>ing</w:t>
      </w:r>
      <w:r w:rsidR="003C4543" w:rsidRPr="00BB5480">
        <w:t xml:space="preserve"> the performance of the EPIC </w:t>
      </w:r>
      <w:r w:rsidR="00063A44" w:rsidRPr="00BB5480">
        <w:t>b</w:t>
      </w:r>
      <w:r w:rsidR="003C4543" w:rsidRPr="00BB5480">
        <w:t xml:space="preserve">ehavioural </w:t>
      </w:r>
      <w:r w:rsidR="00063A44" w:rsidRPr="00BB5480">
        <w:t>r</w:t>
      </w:r>
      <w:r w:rsidR="003C4543" w:rsidRPr="00BB5480">
        <w:t xml:space="preserve">igidity subscale in isolation. </w:t>
      </w:r>
      <w:r w:rsidR="00E05760" w:rsidRPr="00BB5480">
        <w:t xml:space="preserve">Firstly, it recorded significant, positive but small correlations with both the EPIC avoidance subscale (.26) and with the </w:t>
      </w:r>
      <w:proofErr w:type="spellStart"/>
      <w:r w:rsidR="00E05760" w:rsidRPr="00BB5480">
        <w:t>AAQ</w:t>
      </w:r>
      <w:proofErr w:type="spellEnd"/>
      <w:r w:rsidR="00E05760" w:rsidRPr="00BB5480">
        <w:t>-II (.23). However of the four</w:t>
      </w:r>
      <w:r w:rsidR="00063A44" w:rsidRPr="00BB5480">
        <w:t xml:space="preserve"> more </w:t>
      </w:r>
      <w:r w:rsidR="00E05760" w:rsidRPr="00BB5480">
        <w:t xml:space="preserve">prosocial measures, it failed to record a single significant result. This would appear to suggest that together the items that make up the behavioural rigidity </w:t>
      </w:r>
      <w:r w:rsidR="005F0D04" w:rsidRPr="00BB5480">
        <w:t>subscale</w:t>
      </w:r>
      <w:r w:rsidR="00E05760" w:rsidRPr="00BB5480">
        <w:t xml:space="preserve"> do not </w:t>
      </w:r>
      <w:r w:rsidR="006307FB" w:rsidRPr="00BB5480">
        <w:t>have a relationship with</w:t>
      </w:r>
      <w:r w:rsidR="00E05760" w:rsidRPr="00BB5480">
        <w:t xml:space="preserve"> </w:t>
      </w:r>
      <w:r w:rsidR="006307FB" w:rsidRPr="00BB5480">
        <w:t xml:space="preserve">more </w:t>
      </w:r>
      <w:r w:rsidR="00E05760" w:rsidRPr="00BB5480">
        <w:t xml:space="preserve">prosocial measures. This is </w:t>
      </w:r>
      <w:r w:rsidR="005F0D04" w:rsidRPr="00BB5480">
        <w:t xml:space="preserve">in </w:t>
      </w:r>
      <w:r w:rsidR="00E05760" w:rsidRPr="00BB5480">
        <w:t xml:space="preserve">contrast </w:t>
      </w:r>
      <w:r w:rsidR="005F0D04" w:rsidRPr="00BB5480">
        <w:t>with</w:t>
      </w:r>
      <w:r w:rsidR="00E05760" w:rsidRPr="00BB5480">
        <w:t xml:space="preserve"> the EPIC avoidance subscale which recorded significant negative correlations with empathy and self-reported helping behaviour</w:t>
      </w:r>
      <w:r w:rsidR="005F0D04" w:rsidRPr="00BB5480">
        <w:t xml:space="preserve"> (</w:t>
      </w:r>
      <w:r w:rsidR="0082089E" w:rsidRPr="00BB5480">
        <w:t xml:space="preserve">more psychological inflexibility, less prosocial </w:t>
      </w:r>
      <w:r w:rsidR="00747C76" w:rsidRPr="00BB5480">
        <w:t xml:space="preserve">behaviour </w:t>
      </w:r>
      <w:r w:rsidR="0082089E" w:rsidRPr="00BB5480">
        <w:t xml:space="preserve">– </w:t>
      </w:r>
      <w:r w:rsidR="005F0D04" w:rsidRPr="00BB5480">
        <w:t xml:space="preserve">see above and Table </w:t>
      </w:r>
      <w:r w:rsidR="00336071" w:rsidRPr="00BB5480">
        <w:t>4</w:t>
      </w:r>
      <w:r w:rsidR="005F0D04" w:rsidRPr="00BB5480">
        <w:t>)</w:t>
      </w:r>
      <w:r w:rsidR="00E05760" w:rsidRPr="00BB5480">
        <w:t>.</w:t>
      </w:r>
    </w:p>
    <w:p w14:paraId="543805AB" w14:textId="77777777" w:rsidR="00781628" w:rsidRPr="00BB5480" w:rsidRDefault="00781628" w:rsidP="00781628">
      <w:pPr>
        <w:pStyle w:val="BodyText"/>
        <w:ind w:firstLine="709"/>
      </w:pPr>
      <w:r w:rsidRPr="00BB5480">
        <w:t>Alongside the performances of the measures of psychological inflexibility, it is worth exploring the inter-relationships among the prosocial measures themselves. In all cases, these relationships were significant and positive. They ranged in size from .24 (between attitudes towards charity and self-reported helping behaviour) and .68 (between attitudes towards helping others and empathy)</w:t>
      </w:r>
      <w:r w:rsidR="005F0D04" w:rsidRPr="00BB5480">
        <w:t xml:space="preserve">, a simple mean </w:t>
      </w:r>
      <w:r w:rsidR="00747C76" w:rsidRPr="00BB5480">
        <w:t xml:space="preserve">across the 6 relationships produced an average </w:t>
      </w:r>
      <w:r w:rsidR="005F0D04" w:rsidRPr="00BB5480">
        <w:t>correlation of .42</w:t>
      </w:r>
      <w:r w:rsidRPr="00BB5480">
        <w:t>.</w:t>
      </w:r>
    </w:p>
    <w:p w14:paraId="043E4844" w14:textId="77777777" w:rsidR="00781628" w:rsidRPr="00BB5480" w:rsidRDefault="00781628">
      <w:pPr>
        <w:pStyle w:val="BodyText"/>
      </w:pPr>
    </w:p>
    <w:p w14:paraId="646715B1" w14:textId="77777777" w:rsidR="002B5BC5" w:rsidRPr="00BB5480" w:rsidRDefault="002B5BC5">
      <w:pPr>
        <w:pStyle w:val="BodyText"/>
        <w:sectPr w:rsidR="002B5BC5" w:rsidRPr="00BB5480" w:rsidSect="003E45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1134" w:gutter="0"/>
          <w:cols w:space="720"/>
          <w:docGrid w:linePitch="600" w:charSpace="40960"/>
        </w:sectPr>
      </w:pPr>
    </w:p>
    <w:p w14:paraId="61B821F5" w14:textId="3BA2CB66" w:rsidR="004A1FB1" w:rsidRPr="00BB5480" w:rsidRDefault="004A1FB1" w:rsidP="004A1FB1">
      <w:pPr>
        <w:pStyle w:val="BodyText"/>
      </w:pPr>
      <w:r w:rsidRPr="00BB5480">
        <w:lastRenderedPageBreak/>
        <w:t xml:space="preserve">Table </w:t>
      </w:r>
      <w:r w:rsidR="009719FC" w:rsidRPr="00BB5480">
        <w:t>4</w:t>
      </w:r>
      <w:r w:rsidRPr="00BB5480">
        <w:t xml:space="preserve">: </w:t>
      </w:r>
      <w:r w:rsidR="004734FD">
        <w:t xml:space="preserve">Correlations between EPIC, </w:t>
      </w:r>
      <w:proofErr w:type="spellStart"/>
      <w:r w:rsidR="004734FD">
        <w:t>AAQ</w:t>
      </w:r>
      <w:proofErr w:type="spellEnd"/>
      <w:r w:rsidR="004734FD">
        <w:t>-II and other broadly prosocial measures</w:t>
      </w:r>
      <w:r w:rsidRPr="00BB5480">
        <w:t>.</w:t>
      </w:r>
    </w:p>
    <w:tbl>
      <w:tblPr>
        <w:tblW w:w="0" w:type="auto"/>
        <w:tblLayout w:type="fixed"/>
        <w:tblLook w:val="0000" w:firstRow="0" w:lastRow="0" w:firstColumn="0" w:lastColumn="0" w:noHBand="0" w:noVBand="0"/>
      </w:tblPr>
      <w:tblGrid>
        <w:gridCol w:w="1951"/>
        <w:gridCol w:w="1353"/>
        <w:gridCol w:w="1354"/>
        <w:gridCol w:w="1354"/>
        <w:gridCol w:w="1354"/>
        <w:gridCol w:w="1354"/>
        <w:gridCol w:w="1354"/>
        <w:gridCol w:w="1354"/>
        <w:gridCol w:w="1354"/>
      </w:tblGrid>
      <w:tr w:rsidR="00BB5480" w:rsidRPr="00BB5480" w14:paraId="6080A3F4" w14:textId="77777777" w:rsidTr="00050618">
        <w:tc>
          <w:tcPr>
            <w:tcW w:w="1951" w:type="dxa"/>
            <w:tcBorders>
              <w:top w:val="single" w:sz="12" w:space="0" w:color="000000"/>
              <w:bottom w:val="single" w:sz="12" w:space="0" w:color="000000"/>
            </w:tcBorders>
            <w:shd w:val="clear" w:color="auto" w:fill="auto"/>
          </w:tcPr>
          <w:p w14:paraId="6FFB9B1A" w14:textId="77777777" w:rsidR="00D14119" w:rsidRPr="00BB5480" w:rsidRDefault="00D14119" w:rsidP="00365BD5">
            <w:pPr>
              <w:pStyle w:val="BodyText"/>
              <w:snapToGrid w:val="0"/>
            </w:pPr>
          </w:p>
        </w:tc>
        <w:tc>
          <w:tcPr>
            <w:tcW w:w="1353" w:type="dxa"/>
            <w:tcBorders>
              <w:top w:val="single" w:sz="12" w:space="0" w:color="000000"/>
              <w:bottom w:val="single" w:sz="12" w:space="0" w:color="000000"/>
            </w:tcBorders>
            <w:shd w:val="clear" w:color="auto" w:fill="auto"/>
            <w:vAlign w:val="center"/>
          </w:tcPr>
          <w:p w14:paraId="227A3241" w14:textId="77777777" w:rsidR="00D14119" w:rsidRPr="00BB5480" w:rsidRDefault="00D14119" w:rsidP="00365BD5">
            <w:pPr>
              <w:widowControl/>
              <w:suppressAutoHyphens w:val="0"/>
              <w:rPr>
                <w:sz w:val="24"/>
                <w:szCs w:val="24"/>
              </w:rPr>
            </w:pPr>
            <w:r w:rsidRPr="00BB5480">
              <w:rPr>
                <w:sz w:val="24"/>
                <w:szCs w:val="24"/>
              </w:rPr>
              <w:t>EPIC total</w:t>
            </w:r>
          </w:p>
        </w:tc>
        <w:tc>
          <w:tcPr>
            <w:tcW w:w="1354" w:type="dxa"/>
            <w:tcBorders>
              <w:top w:val="single" w:sz="12" w:space="0" w:color="000000"/>
              <w:bottom w:val="single" w:sz="12" w:space="0" w:color="000000"/>
            </w:tcBorders>
            <w:shd w:val="clear" w:color="auto" w:fill="auto"/>
            <w:vAlign w:val="center"/>
          </w:tcPr>
          <w:p w14:paraId="44E69A31" w14:textId="77777777" w:rsidR="00D14119" w:rsidRPr="00BB5480" w:rsidRDefault="00D14119" w:rsidP="00365BD5">
            <w:pPr>
              <w:widowControl/>
              <w:suppressAutoHyphens w:val="0"/>
              <w:rPr>
                <w:sz w:val="24"/>
                <w:szCs w:val="24"/>
              </w:rPr>
            </w:pPr>
            <w:r w:rsidRPr="00BB5480">
              <w:rPr>
                <w:sz w:val="24"/>
                <w:szCs w:val="24"/>
              </w:rPr>
              <w:t>EPIC A</w:t>
            </w:r>
          </w:p>
        </w:tc>
        <w:tc>
          <w:tcPr>
            <w:tcW w:w="1354" w:type="dxa"/>
            <w:tcBorders>
              <w:top w:val="single" w:sz="12" w:space="0" w:color="000000"/>
              <w:bottom w:val="single" w:sz="12" w:space="0" w:color="000000"/>
            </w:tcBorders>
            <w:shd w:val="clear" w:color="auto" w:fill="auto"/>
            <w:vAlign w:val="center"/>
          </w:tcPr>
          <w:p w14:paraId="5DB61494" w14:textId="77777777" w:rsidR="00D14119" w:rsidRPr="00BB5480" w:rsidRDefault="00D14119" w:rsidP="00365BD5">
            <w:pPr>
              <w:rPr>
                <w:sz w:val="24"/>
                <w:szCs w:val="24"/>
              </w:rPr>
            </w:pPr>
            <w:r w:rsidRPr="00BB5480">
              <w:rPr>
                <w:sz w:val="24"/>
                <w:szCs w:val="24"/>
              </w:rPr>
              <w:t>EPIC B</w:t>
            </w:r>
            <w:r w:rsidR="00BC6E55" w:rsidRPr="00BB5480">
              <w:rPr>
                <w:sz w:val="24"/>
                <w:szCs w:val="24"/>
              </w:rPr>
              <w:t>R</w:t>
            </w:r>
          </w:p>
        </w:tc>
        <w:tc>
          <w:tcPr>
            <w:tcW w:w="1354" w:type="dxa"/>
            <w:tcBorders>
              <w:top w:val="single" w:sz="12" w:space="0" w:color="000000"/>
              <w:bottom w:val="single" w:sz="12" w:space="0" w:color="000000"/>
            </w:tcBorders>
            <w:shd w:val="clear" w:color="auto" w:fill="auto"/>
            <w:vAlign w:val="center"/>
          </w:tcPr>
          <w:p w14:paraId="2D40563F" w14:textId="77777777" w:rsidR="00D14119" w:rsidRPr="00BB5480" w:rsidRDefault="00D14119" w:rsidP="00365BD5">
            <w:pPr>
              <w:rPr>
                <w:sz w:val="24"/>
                <w:szCs w:val="24"/>
              </w:rPr>
            </w:pPr>
            <w:proofErr w:type="spellStart"/>
            <w:r w:rsidRPr="00BB5480">
              <w:rPr>
                <w:sz w:val="24"/>
                <w:szCs w:val="24"/>
              </w:rPr>
              <w:t>AAQ</w:t>
            </w:r>
            <w:proofErr w:type="spellEnd"/>
            <w:r w:rsidRPr="00BB5480">
              <w:rPr>
                <w:sz w:val="24"/>
                <w:szCs w:val="24"/>
              </w:rPr>
              <w:t>-II</w:t>
            </w:r>
          </w:p>
        </w:tc>
        <w:tc>
          <w:tcPr>
            <w:tcW w:w="1354" w:type="dxa"/>
            <w:tcBorders>
              <w:top w:val="single" w:sz="12" w:space="0" w:color="000000"/>
              <w:bottom w:val="single" w:sz="12" w:space="0" w:color="000000"/>
            </w:tcBorders>
            <w:shd w:val="clear" w:color="auto" w:fill="auto"/>
            <w:vAlign w:val="center"/>
          </w:tcPr>
          <w:p w14:paraId="1839789E" w14:textId="77777777" w:rsidR="00D14119" w:rsidRPr="00BB5480" w:rsidRDefault="00D14119" w:rsidP="00365BD5">
            <w:pPr>
              <w:rPr>
                <w:sz w:val="24"/>
                <w:szCs w:val="24"/>
              </w:rPr>
            </w:pPr>
            <w:r w:rsidRPr="00BB5480">
              <w:rPr>
                <w:sz w:val="24"/>
                <w:szCs w:val="24"/>
              </w:rPr>
              <w:t>Empathy</w:t>
            </w:r>
          </w:p>
        </w:tc>
        <w:tc>
          <w:tcPr>
            <w:tcW w:w="1354" w:type="dxa"/>
            <w:tcBorders>
              <w:top w:val="single" w:sz="12" w:space="0" w:color="000000"/>
              <w:bottom w:val="single" w:sz="12" w:space="0" w:color="000000"/>
            </w:tcBorders>
          </w:tcPr>
          <w:p w14:paraId="6FD5150B" w14:textId="77777777" w:rsidR="00D14119" w:rsidRPr="00BB5480" w:rsidRDefault="00806FC7" w:rsidP="00365BD5">
            <w:pPr>
              <w:rPr>
                <w:sz w:val="24"/>
                <w:szCs w:val="24"/>
              </w:rPr>
            </w:pPr>
            <w:r w:rsidRPr="00BB5480">
              <w:rPr>
                <w:sz w:val="24"/>
                <w:szCs w:val="24"/>
              </w:rPr>
              <w:t>Helping Behaviours</w:t>
            </w:r>
          </w:p>
        </w:tc>
        <w:tc>
          <w:tcPr>
            <w:tcW w:w="1354" w:type="dxa"/>
            <w:tcBorders>
              <w:top w:val="single" w:sz="12" w:space="0" w:color="000000"/>
              <w:bottom w:val="single" w:sz="12" w:space="0" w:color="000000"/>
            </w:tcBorders>
            <w:vAlign w:val="center"/>
          </w:tcPr>
          <w:p w14:paraId="5C954A6B" w14:textId="77777777" w:rsidR="00D14119" w:rsidRPr="00BB5480" w:rsidRDefault="00806FC7" w:rsidP="00365BD5">
            <w:pPr>
              <w:rPr>
                <w:sz w:val="24"/>
                <w:szCs w:val="24"/>
              </w:rPr>
            </w:pPr>
            <w:r w:rsidRPr="00BB5480">
              <w:rPr>
                <w:sz w:val="24"/>
                <w:szCs w:val="24"/>
              </w:rPr>
              <w:t>Attitudes</w:t>
            </w:r>
            <w:r w:rsidR="00D14119" w:rsidRPr="00BB5480">
              <w:rPr>
                <w:sz w:val="24"/>
                <w:szCs w:val="24"/>
              </w:rPr>
              <w:t xml:space="preserve"> Others</w:t>
            </w:r>
          </w:p>
        </w:tc>
        <w:tc>
          <w:tcPr>
            <w:tcW w:w="1354" w:type="dxa"/>
            <w:tcBorders>
              <w:top w:val="single" w:sz="12" w:space="0" w:color="000000"/>
              <w:bottom w:val="single" w:sz="12" w:space="0" w:color="000000"/>
            </w:tcBorders>
            <w:vAlign w:val="center"/>
          </w:tcPr>
          <w:p w14:paraId="6654DBC9" w14:textId="77777777" w:rsidR="00D14119" w:rsidRPr="00BB5480" w:rsidRDefault="00806FC7" w:rsidP="00365BD5">
            <w:pPr>
              <w:rPr>
                <w:sz w:val="24"/>
                <w:szCs w:val="24"/>
              </w:rPr>
            </w:pPr>
            <w:r w:rsidRPr="00BB5480">
              <w:rPr>
                <w:sz w:val="24"/>
                <w:szCs w:val="24"/>
              </w:rPr>
              <w:t xml:space="preserve">Attitudes </w:t>
            </w:r>
            <w:r w:rsidR="00D14119" w:rsidRPr="00BB5480">
              <w:rPr>
                <w:sz w:val="24"/>
                <w:szCs w:val="24"/>
              </w:rPr>
              <w:t>Charity</w:t>
            </w:r>
          </w:p>
        </w:tc>
      </w:tr>
      <w:tr w:rsidR="00BB5480" w:rsidRPr="00BB5480" w14:paraId="1B2DE820" w14:textId="77777777" w:rsidTr="00050618">
        <w:tc>
          <w:tcPr>
            <w:tcW w:w="1951" w:type="dxa"/>
            <w:shd w:val="clear" w:color="auto" w:fill="auto"/>
          </w:tcPr>
          <w:p w14:paraId="421EC419" w14:textId="77777777" w:rsidR="00D14119" w:rsidRPr="00BB5480" w:rsidRDefault="00D14119" w:rsidP="005031B9">
            <w:pPr>
              <w:pStyle w:val="BodyText"/>
            </w:pPr>
            <w:r w:rsidRPr="00BB5480">
              <w:t>EPIC A</w:t>
            </w:r>
          </w:p>
        </w:tc>
        <w:tc>
          <w:tcPr>
            <w:tcW w:w="1353" w:type="dxa"/>
            <w:shd w:val="clear" w:color="auto" w:fill="auto"/>
          </w:tcPr>
          <w:p w14:paraId="3155C19C" w14:textId="77777777" w:rsidR="00D14119" w:rsidRPr="00BB5480" w:rsidRDefault="00D14119" w:rsidP="005031B9">
            <w:pPr>
              <w:pStyle w:val="BodyText"/>
            </w:pPr>
            <w:r w:rsidRPr="00BB5480">
              <w:t>.84***</w:t>
            </w:r>
          </w:p>
          <w:p w14:paraId="41F13EEF" w14:textId="77777777" w:rsidR="00D14119" w:rsidRPr="00BB5480" w:rsidRDefault="00D14119" w:rsidP="00D14119">
            <w:pPr>
              <w:pStyle w:val="BodyText"/>
            </w:pPr>
            <w:r w:rsidRPr="00BB5480">
              <w:t>[.80, .87]</w:t>
            </w:r>
          </w:p>
        </w:tc>
        <w:tc>
          <w:tcPr>
            <w:tcW w:w="1354" w:type="dxa"/>
            <w:shd w:val="clear" w:color="auto" w:fill="auto"/>
          </w:tcPr>
          <w:p w14:paraId="5F0838AE" w14:textId="77777777" w:rsidR="00D14119" w:rsidRPr="00BB5480" w:rsidRDefault="00D14119" w:rsidP="005031B9">
            <w:pPr>
              <w:pStyle w:val="BodyText"/>
            </w:pPr>
            <w:r w:rsidRPr="00BB5480">
              <w:t>-</w:t>
            </w:r>
          </w:p>
        </w:tc>
        <w:tc>
          <w:tcPr>
            <w:tcW w:w="1354" w:type="dxa"/>
            <w:shd w:val="clear" w:color="auto" w:fill="auto"/>
          </w:tcPr>
          <w:p w14:paraId="59734D97" w14:textId="77777777" w:rsidR="00D14119" w:rsidRPr="00BB5480" w:rsidRDefault="00D14119" w:rsidP="005031B9">
            <w:pPr>
              <w:pStyle w:val="BodyText"/>
            </w:pPr>
          </w:p>
        </w:tc>
        <w:tc>
          <w:tcPr>
            <w:tcW w:w="1354" w:type="dxa"/>
            <w:shd w:val="clear" w:color="auto" w:fill="auto"/>
          </w:tcPr>
          <w:p w14:paraId="377486A7" w14:textId="77777777" w:rsidR="00D14119" w:rsidRPr="00BB5480" w:rsidRDefault="00D14119" w:rsidP="005031B9">
            <w:pPr>
              <w:pStyle w:val="BodyText"/>
            </w:pPr>
          </w:p>
        </w:tc>
        <w:tc>
          <w:tcPr>
            <w:tcW w:w="1354" w:type="dxa"/>
            <w:shd w:val="clear" w:color="auto" w:fill="auto"/>
          </w:tcPr>
          <w:p w14:paraId="0C5E849F" w14:textId="77777777" w:rsidR="00D14119" w:rsidRPr="00BB5480" w:rsidRDefault="00D14119" w:rsidP="005031B9">
            <w:pPr>
              <w:pStyle w:val="BodyText"/>
            </w:pPr>
          </w:p>
        </w:tc>
        <w:tc>
          <w:tcPr>
            <w:tcW w:w="1354" w:type="dxa"/>
          </w:tcPr>
          <w:p w14:paraId="211273F9" w14:textId="77777777" w:rsidR="00D14119" w:rsidRPr="00BB5480" w:rsidRDefault="00D14119" w:rsidP="005031B9">
            <w:pPr>
              <w:pStyle w:val="BodyText"/>
            </w:pPr>
          </w:p>
        </w:tc>
        <w:tc>
          <w:tcPr>
            <w:tcW w:w="1354" w:type="dxa"/>
          </w:tcPr>
          <w:p w14:paraId="5BF7D160" w14:textId="77777777" w:rsidR="00D14119" w:rsidRPr="00BB5480" w:rsidRDefault="00D14119" w:rsidP="005031B9">
            <w:pPr>
              <w:pStyle w:val="BodyText"/>
            </w:pPr>
          </w:p>
        </w:tc>
        <w:tc>
          <w:tcPr>
            <w:tcW w:w="1354" w:type="dxa"/>
          </w:tcPr>
          <w:p w14:paraId="4D283960" w14:textId="77777777" w:rsidR="00D14119" w:rsidRPr="00BB5480" w:rsidRDefault="00D14119" w:rsidP="005031B9">
            <w:pPr>
              <w:pStyle w:val="BodyText"/>
            </w:pPr>
          </w:p>
        </w:tc>
      </w:tr>
      <w:tr w:rsidR="00BB5480" w:rsidRPr="00BB5480" w14:paraId="77AA025B" w14:textId="77777777" w:rsidTr="00050618">
        <w:tc>
          <w:tcPr>
            <w:tcW w:w="1951" w:type="dxa"/>
            <w:shd w:val="clear" w:color="auto" w:fill="auto"/>
          </w:tcPr>
          <w:p w14:paraId="4B2EDBB5" w14:textId="77777777" w:rsidR="00D14119" w:rsidRPr="00BB5480" w:rsidRDefault="00D14119" w:rsidP="005031B9">
            <w:pPr>
              <w:pStyle w:val="BodyText"/>
            </w:pPr>
            <w:r w:rsidRPr="00BB5480">
              <w:t>EPIC B</w:t>
            </w:r>
            <w:r w:rsidR="004A2C26" w:rsidRPr="00BB5480">
              <w:t>R</w:t>
            </w:r>
          </w:p>
        </w:tc>
        <w:tc>
          <w:tcPr>
            <w:tcW w:w="1353" w:type="dxa"/>
            <w:shd w:val="clear" w:color="auto" w:fill="auto"/>
          </w:tcPr>
          <w:p w14:paraId="5FAF7E8D" w14:textId="77777777" w:rsidR="00D14119" w:rsidRPr="00BB5480" w:rsidRDefault="00D14119" w:rsidP="005031B9">
            <w:pPr>
              <w:pStyle w:val="BodyText"/>
            </w:pPr>
            <w:r w:rsidRPr="00BB5480">
              <w:t>.74***</w:t>
            </w:r>
          </w:p>
          <w:p w14:paraId="6A96D238" w14:textId="77777777" w:rsidR="00D14119" w:rsidRPr="00BB5480" w:rsidRDefault="00D14119" w:rsidP="00D14119">
            <w:pPr>
              <w:pStyle w:val="BodyText"/>
            </w:pPr>
            <w:r w:rsidRPr="00BB5480">
              <w:t>[.68, .80]</w:t>
            </w:r>
          </w:p>
        </w:tc>
        <w:tc>
          <w:tcPr>
            <w:tcW w:w="1354" w:type="dxa"/>
            <w:shd w:val="clear" w:color="auto" w:fill="auto"/>
          </w:tcPr>
          <w:p w14:paraId="370B96DF" w14:textId="77777777" w:rsidR="00D14119" w:rsidRPr="00BB5480" w:rsidRDefault="00D14119" w:rsidP="005031B9">
            <w:pPr>
              <w:pStyle w:val="BodyText"/>
            </w:pPr>
            <w:r w:rsidRPr="00BB5480">
              <w:t>.26***</w:t>
            </w:r>
          </w:p>
          <w:p w14:paraId="52A7AB66" w14:textId="77777777" w:rsidR="00D14119" w:rsidRPr="00BB5480" w:rsidRDefault="00D14119" w:rsidP="00E5632C">
            <w:pPr>
              <w:pStyle w:val="BodyText"/>
            </w:pPr>
            <w:r w:rsidRPr="00BB5480">
              <w:t>[.13, .3</w:t>
            </w:r>
            <w:r w:rsidR="00E5632C" w:rsidRPr="00BB5480">
              <w:t>8</w:t>
            </w:r>
            <w:r w:rsidRPr="00BB5480">
              <w:t>]</w:t>
            </w:r>
          </w:p>
        </w:tc>
        <w:tc>
          <w:tcPr>
            <w:tcW w:w="1354" w:type="dxa"/>
            <w:shd w:val="clear" w:color="auto" w:fill="auto"/>
          </w:tcPr>
          <w:p w14:paraId="05673F5A" w14:textId="77777777" w:rsidR="00D14119" w:rsidRPr="00BB5480" w:rsidRDefault="00D14119" w:rsidP="005031B9">
            <w:pPr>
              <w:pStyle w:val="BodyText"/>
            </w:pPr>
            <w:r w:rsidRPr="00BB5480">
              <w:t>-</w:t>
            </w:r>
          </w:p>
        </w:tc>
        <w:tc>
          <w:tcPr>
            <w:tcW w:w="1354" w:type="dxa"/>
            <w:shd w:val="clear" w:color="auto" w:fill="auto"/>
          </w:tcPr>
          <w:p w14:paraId="64F60442" w14:textId="77777777" w:rsidR="00D14119" w:rsidRPr="00BB5480" w:rsidRDefault="00D14119" w:rsidP="005031B9">
            <w:pPr>
              <w:pStyle w:val="BodyText"/>
            </w:pPr>
          </w:p>
        </w:tc>
        <w:tc>
          <w:tcPr>
            <w:tcW w:w="1354" w:type="dxa"/>
            <w:shd w:val="clear" w:color="auto" w:fill="auto"/>
          </w:tcPr>
          <w:p w14:paraId="4D0E4A64" w14:textId="77777777" w:rsidR="00D14119" w:rsidRPr="00BB5480" w:rsidRDefault="00D14119" w:rsidP="005031B9">
            <w:pPr>
              <w:pStyle w:val="BodyText"/>
            </w:pPr>
          </w:p>
        </w:tc>
        <w:tc>
          <w:tcPr>
            <w:tcW w:w="1354" w:type="dxa"/>
          </w:tcPr>
          <w:p w14:paraId="3848C62E" w14:textId="77777777" w:rsidR="00D14119" w:rsidRPr="00BB5480" w:rsidRDefault="00D14119" w:rsidP="005031B9">
            <w:pPr>
              <w:pStyle w:val="BodyText"/>
            </w:pPr>
          </w:p>
        </w:tc>
        <w:tc>
          <w:tcPr>
            <w:tcW w:w="1354" w:type="dxa"/>
          </w:tcPr>
          <w:p w14:paraId="5AE7A31C" w14:textId="77777777" w:rsidR="00D14119" w:rsidRPr="00BB5480" w:rsidRDefault="00D14119" w:rsidP="005031B9">
            <w:pPr>
              <w:pStyle w:val="BodyText"/>
            </w:pPr>
          </w:p>
        </w:tc>
        <w:tc>
          <w:tcPr>
            <w:tcW w:w="1354" w:type="dxa"/>
          </w:tcPr>
          <w:p w14:paraId="03693F32" w14:textId="77777777" w:rsidR="00D14119" w:rsidRPr="00BB5480" w:rsidRDefault="00D14119" w:rsidP="005031B9">
            <w:pPr>
              <w:pStyle w:val="BodyText"/>
            </w:pPr>
          </w:p>
        </w:tc>
      </w:tr>
      <w:tr w:rsidR="00BB5480" w:rsidRPr="00BB5480" w14:paraId="120C5C5B" w14:textId="77777777" w:rsidTr="00050618">
        <w:tc>
          <w:tcPr>
            <w:tcW w:w="1951" w:type="dxa"/>
            <w:shd w:val="clear" w:color="auto" w:fill="auto"/>
          </w:tcPr>
          <w:p w14:paraId="502948CE" w14:textId="77777777" w:rsidR="00D14119" w:rsidRPr="00BB5480" w:rsidRDefault="00D14119" w:rsidP="005031B9">
            <w:pPr>
              <w:pStyle w:val="BodyText"/>
            </w:pPr>
            <w:proofErr w:type="spellStart"/>
            <w:r w:rsidRPr="00BB5480">
              <w:t>AAQ</w:t>
            </w:r>
            <w:proofErr w:type="spellEnd"/>
            <w:r w:rsidRPr="00BB5480">
              <w:t>-II</w:t>
            </w:r>
          </w:p>
        </w:tc>
        <w:tc>
          <w:tcPr>
            <w:tcW w:w="1353" w:type="dxa"/>
            <w:shd w:val="clear" w:color="auto" w:fill="auto"/>
          </w:tcPr>
          <w:p w14:paraId="5ADAE877" w14:textId="77777777" w:rsidR="00D14119" w:rsidRPr="00BB5480" w:rsidRDefault="00D14119" w:rsidP="005031B9">
            <w:pPr>
              <w:pStyle w:val="BodyText"/>
            </w:pPr>
            <w:r w:rsidRPr="00BB5480">
              <w:t>.32***</w:t>
            </w:r>
          </w:p>
          <w:p w14:paraId="1B151112" w14:textId="77777777" w:rsidR="00D14119" w:rsidRPr="00BB5480" w:rsidRDefault="00D14119" w:rsidP="00D14119">
            <w:pPr>
              <w:pStyle w:val="BodyText"/>
            </w:pPr>
            <w:r w:rsidRPr="00BB5480">
              <w:t>[.20, .43]</w:t>
            </w:r>
          </w:p>
        </w:tc>
        <w:tc>
          <w:tcPr>
            <w:tcW w:w="1354" w:type="dxa"/>
            <w:shd w:val="clear" w:color="auto" w:fill="auto"/>
          </w:tcPr>
          <w:p w14:paraId="123CB257" w14:textId="30B7A3DA" w:rsidR="00D14119" w:rsidRPr="00BB5480" w:rsidRDefault="00D14119" w:rsidP="005031B9">
            <w:pPr>
              <w:pStyle w:val="BodyText"/>
            </w:pPr>
            <w:r w:rsidRPr="00BB5480">
              <w:t>.2</w:t>
            </w:r>
            <w:r w:rsidR="00E5632C" w:rsidRPr="00BB5480">
              <w:t>7</w:t>
            </w:r>
            <w:r w:rsidRPr="00BB5480">
              <w:t>**</w:t>
            </w:r>
            <w:r w:rsidR="003D3AF9" w:rsidRPr="00BB5480">
              <w:t>*</w:t>
            </w:r>
          </w:p>
          <w:p w14:paraId="3D925C11" w14:textId="77777777" w:rsidR="00D14119" w:rsidRPr="00BB5480" w:rsidRDefault="00D14119" w:rsidP="00E5632C">
            <w:pPr>
              <w:pStyle w:val="BodyText"/>
            </w:pPr>
            <w:r w:rsidRPr="00BB5480">
              <w:t>[.</w:t>
            </w:r>
            <w:r w:rsidR="00E5632C" w:rsidRPr="00BB5480">
              <w:t>15</w:t>
            </w:r>
            <w:r w:rsidRPr="00BB5480">
              <w:t>, .3</w:t>
            </w:r>
            <w:r w:rsidR="00E5632C" w:rsidRPr="00BB5480">
              <w:t>9</w:t>
            </w:r>
            <w:r w:rsidRPr="00BB5480">
              <w:t>]</w:t>
            </w:r>
          </w:p>
        </w:tc>
        <w:tc>
          <w:tcPr>
            <w:tcW w:w="1354" w:type="dxa"/>
            <w:shd w:val="clear" w:color="auto" w:fill="auto"/>
          </w:tcPr>
          <w:p w14:paraId="32E2D550" w14:textId="77777777" w:rsidR="00D14119" w:rsidRPr="00BB5480" w:rsidRDefault="00D14119" w:rsidP="005031B9">
            <w:pPr>
              <w:pStyle w:val="BodyText"/>
            </w:pPr>
            <w:r w:rsidRPr="00BB5480">
              <w:t>.2</w:t>
            </w:r>
            <w:r w:rsidR="00E5632C" w:rsidRPr="00BB5480">
              <w:t>3</w:t>
            </w:r>
            <w:r w:rsidRPr="00BB5480">
              <w:t>**</w:t>
            </w:r>
            <w:r w:rsidR="00E5632C" w:rsidRPr="00BB5480">
              <w:t>*</w:t>
            </w:r>
          </w:p>
          <w:p w14:paraId="431E2F6F" w14:textId="77777777" w:rsidR="00D14119" w:rsidRPr="00BB5480" w:rsidRDefault="00D14119" w:rsidP="00E5632C">
            <w:pPr>
              <w:pStyle w:val="BodyText"/>
            </w:pPr>
            <w:r w:rsidRPr="00BB5480">
              <w:t>[.</w:t>
            </w:r>
            <w:r w:rsidR="00E5632C" w:rsidRPr="00BB5480">
              <w:t>11, .</w:t>
            </w:r>
            <w:r w:rsidRPr="00BB5480">
              <w:t>3</w:t>
            </w:r>
            <w:r w:rsidR="00E5632C" w:rsidRPr="00BB5480">
              <w:t>5</w:t>
            </w:r>
            <w:r w:rsidRPr="00BB5480">
              <w:t>]</w:t>
            </w:r>
          </w:p>
        </w:tc>
        <w:tc>
          <w:tcPr>
            <w:tcW w:w="1354" w:type="dxa"/>
            <w:shd w:val="clear" w:color="auto" w:fill="auto"/>
          </w:tcPr>
          <w:p w14:paraId="780E9933" w14:textId="77777777" w:rsidR="00D14119" w:rsidRPr="00BB5480" w:rsidRDefault="00D14119" w:rsidP="005031B9">
            <w:pPr>
              <w:pStyle w:val="BodyText"/>
            </w:pPr>
            <w:r w:rsidRPr="00BB5480">
              <w:t>-</w:t>
            </w:r>
          </w:p>
        </w:tc>
        <w:tc>
          <w:tcPr>
            <w:tcW w:w="1354" w:type="dxa"/>
            <w:shd w:val="clear" w:color="auto" w:fill="auto"/>
          </w:tcPr>
          <w:p w14:paraId="63183E99" w14:textId="77777777" w:rsidR="00D14119" w:rsidRPr="00BB5480" w:rsidRDefault="00D14119" w:rsidP="005031B9">
            <w:pPr>
              <w:pStyle w:val="BodyText"/>
            </w:pPr>
          </w:p>
        </w:tc>
        <w:tc>
          <w:tcPr>
            <w:tcW w:w="1354" w:type="dxa"/>
          </w:tcPr>
          <w:p w14:paraId="34266433" w14:textId="77777777" w:rsidR="00D14119" w:rsidRPr="00BB5480" w:rsidRDefault="00D14119" w:rsidP="005031B9">
            <w:pPr>
              <w:pStyle w:val="BodyText"/>
            </w:pPr>
          </w:p>
        </w:tc>
        <w:tc>
          <w:tcPr>
            <w:tcW w:w="1354" w:type="dxa"/>
          </w:tcPr>
          <w:p w14:paraId="3FDED297" w14:textId="77777777" w:rsidR="00D14119" w:rsidRPr="00BB5480" w:rsidRDefault="00D14119" w:rsidP="005031B9">
            <w:pPr>
              <w:pStyle w:val="BodyText"/>
            </w:pPr>
          </w:p>
        </w:tc>
        <w:tc>
          <w:tcPr>
            <w:tcW w:w="1354" w:type="dxa"/>
          </w:tcPr>
          <w:p w14:paraId="6241D16E" w14:textId="77777777" w:rsidR="00D14119" w:rsidRPr="00BB5480" w:rsidRDefault="00D14119" w:rsidP="005031B9">
            <w:pPr>
              <w:pStyle w:val="BodyText"/>
            </w:pPr>
          </w:p>
        </w:tc>
      </w:tr>
      <w:tr w:rsidR="00BB5480" w:rsidRPr="00BB5480" w14:paraId="669B1474" w14:textId="77777777" w:rsidTr="00050618">
        <w:tc>
          <w:tcPr>
            <w:tcW w:w="1951" w:type="dxa"/>
            <w:shd w:val="clear" w:color="auto" w:fill="auto"/>
          </w:tcPr>
          <w:p w14:paraId="7F3FB80A" w14:textId="77777777" w:rsidR="00D14119" w:rsidRPr="00BB5480" w:rsidRDefault="00D14119" w:rsidP="005031B9">
            <w:pPr>
              <w:widowControl/>
              <w:suppressAutoHyphens w:val="0"/>
              <w:rPr>
                <w:sz w:val="24"/>
                <w:szCs w:val="24"/>
              </w:rPr>
            </w:pPr>
            <w:r w:rsidRPr="00BB5480">
              <w:rPr>
                <w:sz w:val="24"/>
                <w:szCs w:val="24"/>
              </w:rPr>
              <w:t>Empathy</w:t>
            </w:r>
          </w:p>
        </w:tc>
        <w:tc>
          <w:tcPr>
            <w:tcW w:w="1353" w:type="dxa"/>
            <w:shd w:val="clear" w:color="auto" w:fill="auto"/>
          </w:tcPr>
          <w:p w14:paraId="4A84658C" w14:textId="77777777" w:rsidR="00D14119" w:rsidRPr="00BB5480" w:rsidRDefault="00D14119" w:rsidP="00C83455">
            <w:pPr>
              <w:pStyle w:val="BodyText"/>
            </w:pPr>
            <w:r w:rsidRPr="00BB5480">
              <w:t>-.12</w:t>
            </w:r>
          </w:p>
          <w:p w14:paraId="543886E5" w14:textId="77777777" w:rsidR="00D14119" w:rsidRPr="00BB5480" w:rsidRDefault="00D14119" w:rsidP="00BB2B5A">
            <w:pPr>
              <w:pStyle w:val="BodyText"/>
            </w:pPr>
            <w:r w:rsidRPr="00BB5480">
              <w:t>[-.2</w:t>
            </w:r>
            <w:r w:rsidR="00BB2B5A" w:rsidRPr="00BB5480">
              <w:t>4</w:t>
            </w:r>
            <w:r w:rsidRPr="00BB5480">
              <w:t>, .00]</w:t>
            </w:r>
          </w:p>
        </w:tc>
        <w:tc>
          <w:tcPr>
            <w:tcW w:w="1354" w:type="dxa"/>
            <w:shd w:val="clear" w:color="auto" w:fill="auto"/>
          </w:tcPr>
          <w:p w14:paraId="179BF3A2" w14:textId="77777777" w:rsidR="00D14119" w:rsidRPr="00BB5480" w:rsidRDefault="00D14119" w:rsidP="005031B9">
            <w:pPr>
              <w:pStyle w:val="BodyText"/>
            </w:pPr>
            <w:r w:rsidRPr="00BB5480">
              <w:t>-.</w:t>
            </w:r>
            <w:r w:rsidR="00E5632C" w:rsidRPr="00BB5480">
              <w:t>20</w:t>
            </w:r>
            <w:r w:rsidRPr="00BB5480">
              <w:t>*</w:t>
            </w:r>
            <w:r w:rsidR="00E5632C" w:rsidRPr="00BB5480">
              <w:t>*</w:t>
            </w:r>
          </w:p>
          <w:p w14:paraId="54DE4BAB" w14:textId="77777777" w:rsidR="00D14119" w:rsidRPr="00BB5480" w:rsidRDefault="00D14119" w:rsidP="00E5632C">
            <w:pPr>
              <w:pStyle w:val="BodyText"/>
            </w:pPr>
            <w:r w:rsidRPr="00BB5480">
              <w:t>[-.</w:t>
            </w:r>
            <w:r w:rsidR="00E5632C" w:rsidRPr="00BB5480">
              <w:t>31</w:t>
            </w:r>
            <w:r w:rsidRPr="00BB5480">
              <w:t>, -.0</w:t>
            </w:r>
            <w:r w:rsidR="00E5632C" w:rsidRPr="00BB5480">
              <w:t>8</w:t>
            </w:r>
            <w:r w:rsidRPr="00BB5480">
              <w:t>]</w:t>
            </w:r>
          </w:p>
        </w:tc>
        <w:tc>
          <w:tcPr>
            <w:tcW w:w="1354" w:type="dxa"/>
            <w:shd w:val="clear" w:color="auto" w:fill="auto"/>
          </w:tcPr>
          <w:p w14:paraId="6F09B357" w14:textId="77777777" w:rsidR="00D14119" w:rsidRPr="00BB5480" w:rsidRDefault="00D14119" w:rsidP="005031B9">
            <w:pPr>
              <w:pStyle w:val="BodyText"/>
            </w:pPr>
            <w:r w:rsidRPr="00BB5480">
              <w:t>.03</w:t>
            </w:r>
          </w:p>
          <w:p w14:paraId="6231F0BD" w14:textId="77777777" w:rsidR="00D14119" w:rsidRPr="00BB5480" w:rsidRDefault="00D14119" w:rsidP="00D97837">
            <w:pPr>
              <w:pStyle w:val="BodyText"/>
            </w:pPr>
            <w:r w:rsidRPr="00BB5480">
              <w:t>[-.1</w:t>
            </w:r>
            <w:r w:rsidR="00D97837" w:rsidRPr="00BB5480">
              <w:t>0</w:t>
            </w:r>
            <w:r w:rsidRPr="00BB5480">
              <w:t>, .1</w:t>
            </w:r>
            <w:r w:rsidR="00D97837" w:rsidRPr="00BB5480">
              <w:t>6</w:t>
            </w:r>
            <w:r w:rsidRPr="00BB5480">
              <w:t>]</w:t>
            </w:r>
          </w:p>
        </w:tc>
        <w:tc>
          <w:tcPr>
            <w:tcW w:w="1354" w:type="dxa"/>
            <w:shd w:val="clear" w:color="auto" w:fill="auto"/>
          </w:tcPr>
          <w:p w14:paraId="30ED5E4C" w14:textId="77777777" w:rsidR="00D14119" w:rsidRPr="00BB5480" w:rsidRDefault="00D14119" w:rsidP="005031B9">
            <w:pPr>
              <w:pStyle w:val="BodyText"/>
            </w:pPr>
            <w:r w:rsidRPr="00BB5480">
              <w:t>-.0</w:t>
            </w:r>
            <w:r w:rsidR="00D97837" w:rsidRPr="00BB5480">
              <w:t>7</w:t>
            </w:r>
          </w:p>
          <w:p w14:paraId="1D476912" w14:textId="77777777" w:rsidR="00D14119" w:rsidRPr="00BB5480" w:rsidRDefault="00D14119" w:rsidP="00D97837">
            <w:pPr>
              <w:pStyle w:val="BodyText"/>
            </w:pPr>
            <w:r w:rsidRPr="00BB5480">
              <w:t>[-.</w:t>
            </w:r>
            <w:r w:rsidR="00D97837" w:rsidRPr="00BB5480">
              <w:t>20</w:t>
            </w:r>
            <w:r w:rsidRPr="00BB5480">
              <w:t>, .</w:t>
            </w:r>
            <w:r w:rsidR="00D97837" w:rsidRPr="00BB5480">
              <w:t>07</w:t>
            </w:r>
            <w:r w:rsidRPr="00BB5480">
              <w:t>]</w:t>
            </w:r>
          </w:p>
        </w:tc>
        <w:tc>
          <w:tcPr>
            <w:tcW w:w="1354" w:type="dxa"/>
            <w:shd w:val="clear" w:color="auto" w:fill="auto"/>
          </w:tcPr>
          <w:p w14:paraId="57969AC0" w14:textId="77777777" w:rsidR="00D14119" w:rsidRPr="00BB5480" w:rsidRDefault="00D14119" w:rsidP="005031B9">
            <w:pPr>
              <w:pStyle w:val="BodyText"/>
            </w:pPr>
            <w:r w:rsidRPr="00BB5480">
              <w:t>-</w:t>
            </w:r>
          </w:p>
        </w:tc>
        <w:tc>
          <w:tcPr>
            <w:tcW w:w="1354" w:type="dxa"/>
          </w:tcPr>
          <w:p w14:paraId="47BB8EF7" w14:textId="77777777" w:rsidR="00D14119" w:rsidRPr="00BB5480" w:rsidRDefault="00D14119" w:rsidP="005031B9">
            <w:pPr>
              <w:pStyle w:val="BodyText"/>
            </w:pPr>
          </w:p>
        </w:tc>
        <w:tc>
          <w:tcPr>
            <w:tcW w:w="1354" w:type="dxa"/>
          </w:tcPr>
          <w:p w14:paraId="0168840F" w14:textId="77777777" w:rsidR="00D14119" w:rsidRPr="00BB5480" w:rsidRDefault="00D14119" w:rsidP="005031B9">
            <w:pPr>
              <w:pStyle w:val="BodyText"/>
            </w:pPr>
          </w:p>
        </w:tc>
        <w:tc>
          <w:tcPr>
            <w:tcW w:w="1354" w:type="dxa"/>
          </w:tcPr>
          <w:p w14:paraId="219EDD43" w14:textId="77777777" w:rsidR="00D14119" w:rsidRPr="00BB5480" w:rsidRDefault="00D14119" w:rsidP="005031B9">
            <w:pPr>
              <w:pStyle w:val="BodyText"/>
            </w:pPr>
          </w:p>
        </w:tc>
      </w:tr>
      <w:tr w:rsidR="00BB5480" w:rsidRPr="00BB5480" w14:paraId="13A63D3F" w14:textId="77777777" w:rsidTr="00D14119">
        <w:tc>
          <w:tcPr>
            <w:tcW w:w="1951" w:type="dxa"/>
            <w:shd w:val="clear" w:color="auto" w:fill="auto"/>
          </w:tcPr>
          <w:p w14:paraId="666C858F" w14:textId="77777777" w:rsidR="00D14119" w:rsidRPr="00BB5480" w:rsidRDefault="00806FC7" w:rsidP="00050618">
            <w:pPr>
              <w:rPr>
                <w:sz w:val="24"/>
                <w:szCs w:val="24"/>
              </w:rPr>
            </w:pPr>
            <w:r w:rsidRPr="00BB5480">
              <w:rPr>
                <w:sz w:val="24"/>
                <w:szCs w:val="24"/>
              </w:rPr>
              <w:t>Helping Behaviours</w:t>
            </w:r>
          </w:p>
        </w:tc>
        <w:tc>
          <w:tcPr>
            <w:tcW w:w="1353" w:type="dxa"/>
            <w:shd w:val="clear" w:color="auto" w:fill="auto"/>
          </w:tcPr>
          <w:p w14:paraId="6C4CB82E" w14:textId="77777777" w:rsidR="00D14119" w:rsidRPr="00BB5480" w:rsidRDefault="00D14119" w:rsidP="00050618">
            <w:pPr>
              <w:pStyle w:val="BodyText"/>
            </w:pPr>
            <w:r w:rsidRPr="00BB5480">
              <w:t>-2</w:t>
            </w:r>
            <w:r w:rsidR="00BB2B5A" w:rsidRPr="00BB5480">
              <w:t>3</w:t>
            </w:r>
            <w:r w:rsidRPr="00BB5480">
              <w:t>***</w:t>
            </w:r>
          </w:p>
          <w:p w14:paraId="5642B8DE" w14:textId="77777777" w:rsidR="00D14119" w:rsidRPr="00BB5480" w:rsidRDefault="00D14119" w:rsidP="00BB2B5A">
            <w:pPr>
              <w:pStyle w:val="BodyText"/>
            </w:pPr>
            <w:r w:rsidRPr="00BB5480">
              <w:t>[-.3</w:t>
            </w:r>
            <w:r w:rsidR="00BB2B5A" w:rsidRPr="00BB5480">
              <w:t>6</w:t>
            </w:r>
            <w:r w:rsidRPr="00BB5480">
              <w:t>, .-0</w:t>
            </w:r>
            <w:r w:rsidR="00BB2B5A" w:rsidRPr="00BB5480">
              <w:t>9</w:t>
            </w:r>
            <w:r w:rsidRPr="00BB5480">
              <w:t>]</w:t>
            </w:r>
          </w:p>
        </w:tc>
        <w:tc>
          <w:tcPr>
            <w:tcW w:w="1354" w:type="dxa"/>
            <w:shd w:val="clear" w:color="auto" w:fill="auto"/>
          </w:tcPr>
          <w:p w14:paraId="58BAF5BD" w14:textId="77777777" w:rsidR="00D14119" w:rsidRPr="00BB5480" w:rsidRDefault="00D14119" w:rsidP="00050618">
            <w:pPr>
              <w:pStyle w:val="BodyText"/>
            </w:pPr>
            <w:r w:rsidRPr="00BB5480">
              <w:t>-.2</w:t>
            </w:r>
            <w:r w:rsidR="00E5632C" w:rsidRPr="00BB5480">
              <w:t>5***</w:t>
            </w:r>
          </w:p>
          <w:p w14:paraId="17722C61" w14:textId="77777777" w:rsidR="00D14119" w:rsidRPr="00BB5480" w:rsidRDefault="00D14119" w:rsidP="00E5632C">
            <w:pPr>
              <w:pStyle w:val="BodyText"/>
            </w:pPr>
            <w:r w:rsidRPr="00BB5480">
              <w:t>[-.3</w:t>
            </w:r>
            <w:r w:rsidR="00E5632C" w:rsidRPr="00BB5480">
              <w:t>7</w:t>
            </w:r>
            <w:r w:rsidRPr="00BB5480">
              <w:t>, -.11]</w:t>
            </w:r>
          </w:p>
        </w:tc>
        <w:tc>
          <w:tcPr>
            <w:tcW w:w="1354" w:type="dxa"/>
            <w:shd w:val="clear" w:color="auto" w:fill="auto"/>
          </w:tcPr>
          <w:p w14:paraId="121D3B1D" w14:textId="77777777" w:rsidR="00D14119" w:rsidRPr="00BB5480" w:rsidRDefault="00D97837" w:rsidP="00050618">
            <w:pPr>
              <w:pStyle w:val="BodyText"/>
            </w:pPr>
            <w:r w:rsidRPr="00BB5480">
              <w:t>-.11</w:t>
            </w:r>
          </w:p>
          <w:p w14:paraId="06719205" w14:textId="77777777" w:rsidR="00D14119" w:rsidRPr="00BB5480" w:rsidRDefault="00D14119" w:rsidP="00D97837">
            <w:pPr>
              <w:pStyle w:val="BodyText"/>
            </w:pPr>
            <w:r w:rsidRPr="00BB5480">
              <w:t>[-.2</w:t>
            </w:r>
            <w:r w:rsidR="00D97837" w:rsidRPr="00BB5480">
              <w:t>4</w:t>
            </w:r>
            <w:r w:rsidRPr="00BB5480">
              <w:t>, .0</w:t>
            </w:r>
            <w:r w:rsidR="00D97837" w:rsidRPr="00BB5480">
              <w:t>4</w:t>
            </w:r>
            <w:r w:rsidRPr="00BB5480">
              <w:t>]</w:t>
            </w:r>
          </w:p>
        </w:tc>
        <w:tc>
          <w:tcPr>
            <w:tcW w:w="1354" w:type="dxa"/>
            <w:shd w:val="clear" w:color="auto" w:fill="auto"/>
          </w:tcPr>
          <w:p w14:paraId="4DFB6C0F" w14:textId="77777777" w:rsidR="00D14119" w:rsidRPr="00BB5480" w:rsidRDefault="00D14119" w:rsidP="00050618">
            <w:pPr>
              <w:pStyle w:val="BodyText"/>
            </w:pPr>
            <w:r w:rsidRPr="00BB5480">
              <w:t>-.</w:t>
            </w:r>
            <w:r w:rsidR="00D97837" w:rsidRPr="00BB5480">
              <w:t>20</w:t>
            </w:r>
            <w:r w:rsidRPr="00BB5480">
              <w:t>**</w:t>
            </w:r>
          </w:p>
          <w:p w14:paraId="416D55AA" w14:textId="77777777" w:rsidR="00D14119" w:rsidRPr="00BB5480" w:rsidRDefault="00D14119" w:rsidP="00D97837">
            <w:pPr>
              <w:pStyle w:val="BodyText"/>
            </w:pPr>
            <w:r w:rsidRPr="00BB5480">
              <w:t>[-.3</w:t>
            </w:r>
            <w:r w:rsidR="00D97837" w:rsidRPr="00BB5480">
              <w:t>2</w:t>
            </w:r>
            <w:r w:rsidRPr="00BB5480">
              <w:t>, -.0</w:t>
            </w:r>
            <w:r w:rsidR="00D97837" w:rsidRPr="00BB5480">
              <w:t>6</w:t>
            </w:r>
            <w:r w:rsidRPr="00BB5480">
              <w:t>]</w:t>
            </w:r>
          </w:p>
        </w:tc>
        <w:tc>
          <w:tcPr>
            <w:tcW w:w="1354" w:type="dxa"/>
            <w:shd w:val="clear" w:color="auto" w:fill="auto"/>
          </w:tcPr>
          <w:p w14:paraId="1A7C28E9" w14:textId="77777777" w:rsidR="00D14119" w:rsidRPr="00BB5480" w:rsidRDefault="00D14119" w:rsidP="00050618">
            <w:pPr>
              <w:pStyle w:val="BodyText"/>
            </w:pPr>
            <w:r w:rsidRPr="00BB5480">
              <w:t>.</w:t>
            </w:r>
            <w:r w:rsidR="00D97837" w:rsidRPr="00BB5480">
              <w:t>45</w:t>
            </w:r>
            <w:r w:rsidRPr="00BB5480">
              <w:t>***</w:t>
            </w:r>
          </w:p>
          <w:p w14:paraId="283A376E" w14:textId="77777777" w:rsidR="00D14119" w:rsidRPr="00BB5480" w:rsidRDefault="00D14119" w:rsidP="00D97837">
            <w:pPr>
              <w:pStyle w:val="BodyText"/>
            </w:pPr>
            <w:r w:rsidRPr="00BB5480">
              <w:t>[.</w:t>
            </w:r>
            <w:r w:rsidR="00D97837" w:rsidRPr="00BB5480">
              <w:t>36</w:t>
            </w:r>
            <w:r w:rsidRPr="00BB5480">
              <w:t>, .5</w:t>
            </w:r>
            <w:r w:rsidR="00D97837" w:rsidRPr="00BB5480">
              <w:t>4</w:t>
            </w:r>
            <w:r w:rsidRPr="00BB5480">
              <w:t>]</w:t>
            </w:r>
          </w:p>
        </w:tc>
        <w:tc>
          <w:tcPr>
            <w:tcW w:w="1354" w:type="dxa"/>
          </w:tcPr>
          <w:p w14:paraId="5C6D470F" w14:textId="1EEE9A00" w:rsidR="00D14119" w:rsidRPr="00BB5480" w:rsidRDefault="00F40605" w:rsidP="00050618">
            <w:pPr>
              <w:pStyle w:val="BodyText"/>
            </w:pPr>
            <w:r>
              <w:t>-</w:t>
            </w:r>
          </w:p>
        </w:tc>
        <w:tc>
          <w:tcPr>
            <w:tcW w:w="1354" w:type="dxa"/>
          </w:tcPr>
          <w:p w14:paraId="674BEAF4" w14:textId="77777777" w:rsidR="00D14119" w:rsidRPr="00BB5480" w:rsidRDefault="00D14119" w:rsidP="00050618">
            <w:pPr>
              <w:pStyle w:val="BodyText"/>
            </w:pPr>
          </w:p>
        </w:tc>
        <w:tc>
          <w:tcPr>
            <w:tcW w:w="1354" w:type="dxa"/>
          </w:tcPr>
          <w:p w14:paraId="6681910B" w14:textId="77777777" w:rsidR="00D14119" w:rsidRPr="00BB5480" w:rsidRDefault="00D14119" w:rsidP="00050618">
            <w:pPr>
              <w:pStyle w:val="BodyText"/>
            </w:pPr>
          </w:p>
        </w:tc>
      </w:tr>
      <w:tr w:rsidR="00BB5480" w:rsidRPr="00BB5480" w14:paraId="5D5B87F1" w14:textId="77777777" w:rsidTr="00D14119">
        <w:trPr>
          <w:trHeight w:val="915"/>
        </w:trPr>
        <w:tc>
          <w:tcPr>
            <w:tcW w:w="1951" w:type="dxa"/>
            <w:shd w:val="clear" w:color="auto" w:fill="auto"/>
          </w:tcPr>
          <w:p w14:paraId="6B886317" w14:textId="77777777" w:rsidR="00806FC7" w:rsidRPr="00BB5480" w:rsidRDefault="00806FC7" w:rsidP="00806FC7">
            <w:pPr>
              <w:rPr>
                <w:sz w:val="24"/>
                <w:szCs w:val="24"/>
              </w:rPr>
            </w:pPr>
            <w:r w:rsidRPr="00BB5480">
              <w:rPr>
                <w:sz w:val="24"/>
                <w:szCs w:val="24"/>
              </w:rPr>
              <w:t>Attitudes</w:t>
            </w:r>
          </w:p>
          <w:p w14:paraId="6A4E54F3" w14:textId="77777777" w:rsidR="00D14119" w:rsidRPr="00BB5480" w:rsidRDefault="00D14119" w:rsidP="00806FC7">
            <w:pPr>
              <w:rPr>
                <w:sz w:val="24"/>
                <w:szCs w:val="24"/>
              </w:rPr>
            </w:pPr>
            <w:r w:rsidRPr="00BB5480">
              <w:rPr>
                <w:sz w:val="24"/>
                <w:szCs w:val="24"/>
              </w:rPr>
              <w:t>Others</w:t>
            </w:r>
          </w:p>
        </w:tc>
        <w:tc>
          <w:tcPr>
            <w:tcW w:w="1353" w:type="dxa"/>
            <w:shd w:val="clear" w:color="auto" w:fill="auto"/>
          </w:tcPr>
          <w:p w14:paraId="5A1DE82F" w14:textId="77777777" w:rsidR="00D14119" w:rsidRPr="00BB5480" w:rsidRDefault="00D14119" w:rsidP="005031B9">
            <w:pPr>
              <w:pStyle w:val="BodyText"/>
            </w:pPr>
            <w:r w:rsidRPr="00BB5480">
              <w:t>-.0</w:t>
            </w:r>
            <w:r w:rsidR="00BB2B5A" w:rsidRPr="00BB5480">
              <w:t>2</w:t>
            </w:r>
          </w:p>
          <w:p w14:paraId="48614138" w14:textId="77777777" w:rsidR="00D14119" w:rsidRPr="00BB5480" w:rsidRDefault="00D14119" w:rsidP="005031B9">
            <w:pPr>
              <w:pStyle w:val="BodyText"/>
            </w:pPr>
            <w:r w:rsidRPr="00BB5480">
              <w:t>[-.17, 12]</w:t>
            </w:r>
          </w:p>
        </w:tc>
        <w:tc>
          <w:tcPr>
            <w:tcW w:w="1354" w:type="dxa"/>
            <w:shd w:val="clear" w:color="auto" w:fill="auto"/>
          </w:tcPr>
          <w:p w14:paraId="560FDBA2" w14:textId="77777777" w:rsidR="00D14119" w:rsidRPr="00BB5480" w:rsidRDefault="00D14119" w:rsidP="005031B9">
            <w:pPr>
              <w:pStyle w:val="BodyText"/>
            </w:pPr>
            <w:r w:rsidRPr="00BB5480">
              <w:t>-.0</w:t>
            </w:r>
            <w:r w:rsidR="00E5632C" w:rsidRPr="00BB5480">
              <w:t>6</w:t>
            </w:r>
          </w:p>
          <w:p w14:paraId="3969AAF9" w14:textId="77777777" w:rsidR="00D14119" w:rsidRPr="00BB5480" w:rsidRDefault="00D14119" w:rsidP="00E5632C">
            <w:pPr>
              <w:pStyle w:val="BodyText"/>
            </w:pPr>
            <w:r w:rsidRPr="00BB5480">
              <w:t>[-.</w:t>
            </w:r>
            <w:r w:rsidR="00E5632C" w:rsidRPr="00BB5480">
              <w:t>20</w:t>
            </w:r>
            <w:r w:rsidRPr="00BB5480">
              <w:t>, .</w:t>
            </w:r>
            <w:r w:rsidR="00E5632C" w:rsidRPr="00BB5480">
              <w:t>07</w:t>
            </w:r>
            <w:r w:rsidRPr="00BB5480">
              <w:t>]</w:t>
            </w:r>
          </w:p>
        </w:tc>
        <w:tc>
          <w:tcPr>
            <w:tcW w:w="1354" w:type="dxa"/>
            <w:shd w:val="clear" w:color="auto" w:fill="auto"/>
          </w:tcPr>
          <w:p w14:paraId="25D0D31F" w14:textId="77777777" w:rsidR="00D14119" w:rsidRPr="00BB5480" w:rsidRDefault="00D14119" w:rsidP="005031B9">
            <w:pPr>
              <w:pStyle w:val="BodyText"/>
            </w:pPr>
            <w:r w:rsidRPr="00BB5480">
              <w:t>.</w:t>
            </w:r>
            <w:r w:rsidR="00D97837" w:rsidRPr="00BB5480">
              <w:t>04</w:t>
            </w:r>
          </w:p>
          <w:p w14:paraId="57401CBC" w14:textId="77777777" w:rsidR="00D14119" w:rsidRPr="00BB5480" w:rsidRDefault="00D14119" w:rsidP="00D97837">
            <w:pPr>
              <w:pStyle w:val="BodyText"/>
            </w:pPr>
            <w:r w:rsidRPr="00BB5480">
              <w:t>[-.</w:t>
            </w:r>
            <w:r w:rsidR="00D97837" w:rsidRPr="00BB5480">
              <w:t>09</w:t>
            </w:r>
            <w:r w:rsidRPr="00BB5480">
              <w:t>, .</w:t>
            </w:r>
            <w:r w:rsidR="00D97837" w:rsidRPr="00BB5480">
              <w:t>15</w:t>
            </w:r>
            <w:r w:rsidRPr="00BB5480">
              <w:t>]</w:t>
            </w:r>
          </w:p>
        </w:tc>
        <w:tc>
          <w:tcPr>
            <w:tcW w:w="1354" w:type="dxa"/>
            <w:shd w:val="clear" w:color="auto" w:fill="auto"/>
          </w:tcPr>
          <w:p w14:paraId="519B3548" w14:textId="77777777" w:rsidR="00D14119" w:rsidRPr="00BB5480" w:rsidRDefault="00D97837" w:rsidP="005031B9">
            <w:pPr>
              <w:pStyle w:val="BodyText"/>
            </w:pPr>
            <w:r w:rsidRPr="00BB5480">
              <w:t>-</w:t>
            </w:r>
            <w:r w:rsidR="00D14119" w:rsidRPr="00BB5480">
              <w:t>.0</w:t>
            </w:r>
            <w:r w:rsidRPr="00BB5480">
              <w:t>3</w:t>
            </w:r>
          </w:p>
          <w:p w14:paraId="4A57F4F4" w14:textId="77777777" w:rsidR="00D14119" w:rsidRPr="00BB5480" w:rsidRDefault="00D14119" w:rsidP="00D97837">
            <w:pPr>
              <w:pStyle w:val="BodyText"/>
            </w:pPr>
            <w:r w:rsidRPr="00BB5480">
              <w:t>[-.1</w:t>
            </w:r>
            <w:r w:rsidR="00D97837" w:rsidRPr="00BB5480">
              <w:t>6</w:t>
            </w:r>
            <w:r w:rsidRPr="00BB5480">
              <w:t>, .1</w:t>
            </w:r>
            <w:r w:rsidR="00D97837" w:rsidRPr="00BB5480">
              <w:t>0</w:t>
            </w:r>
            <w:r w:rsidRPr="00BB5480">
              <w:t>]</w:t>
            </w:r>
          </w:p>
        </w:tc>
        <w:tc>
          <w:tcPr>
            <w:tcW w:w="1354" w:type="dxa"/>
            <w:shd w:val="clear" w:color="auto" w:fill="auto"/>
          </w:tcPr>
          <w:p w14:paraId="2B5D20C4" w14:textId="77777777" w:rsidR="00D14119" w:rsidRPr="00BB5480" w:rsidRDefault="00D14119" w:rsidP="00185360">
            <w:pPr>
              <w:pStyle w:val="BodyText"/>
            </w:pPr>
            <w:r w:rsidRPr="00BB5480">
              <w:t>.6</w:t>
            </w:r>
            <w:r w:rsidR="00D97837" w:rsidRPr="00BB5480">
              <w:t>8</w:t>
            </w:r>
            <w:r w:rsidRPr="00BB5480">
              <w:t>***</w:t>
            </w:r>
          </w:p>
          <w:p w14:paraId="2EBEB6CD" w14:textId="77777777" w:rsidR="00D14119" w:rsidRPr="00BB5480" w:rsidRDefault="00D14119" w:rsidP="00D97837">
            <w:pPr>
              <w:pStyle w:val="BodyText"/>
            </w:pPr>
            <w:r w:rsidRPr="00BB5480">
              <w:t>[.5</w:t>
            </w:r>
            <w:r w:rsidR="00D97837" w:rsidRPr="00BB5480">
              <w:t>8</w:t>
            </w:r>
            <w:r w:rsidRPr="00BB5480">
              <w:t>, .7</w:t>
            </w:r>
            <w:r w:rsidR="00D97837" w:rsidRPr="00BB5480">
              <w:t>5</w:t>
            </w:r>
            <w:r w:rsidRPr="00BB5480">
              <w:t>]</w:t>
            </w:r>
          </w:p>
        </w:tc>
        <w:tc>
          <w:tcPr>
            <w:tcW w:w="1354" w:type="dxa"/>
          </w:tcPr>
          <w:p w14:paraId="6577A7C5" w14:textId="77777777" w:rsidR="00727706" w:rsidRPr="00BB5480" w:rsidRDefault="00727706" w:rsidP="00727706">
            <w:pPr>
              <w:pStyle w:val="BodyText"/>
            </w:pPr>
            <w:r w:rsidRPr="00BB5480">
              <w:t>.37***</w:t>
            </w:r>
          </w:p>
          <w:p w14:paraId="3A6C0D7A" w14:textId="77777777" w:rsidR="00D14119" w:rsidRPr="00BB5480" w:rsidRDefault="00727706" w:rsidP="00727706">
            <w:pPr>
              <w:pStyle w:val="BodyText"/>
            </w:pPr>
            <w:r w:rsidRPr="00BB5480">
              <w:t>[.26, .46]</w:t>
            </w:r>
          </w:p>
        </w:tc>
        <w:tc>
          <w:tcPr>
            <w:tcW w:w="1354" w:type="dxa"/>
          </w:tcPr>
          <w:p w14:paraId="5E4DE426" w14:textId="4296B570" w:rsidR="00D14119" w:rsidRPr="00BB5480" w:rsidRDefault="00F40605" w:rsidP="005031B9">
            <w:pPr>
              <w:pStyle w:val="BodyText"/>
            </w:pPr>
            <w:r>
              <w:t>-</w:t>
            </w:r>
          </w:p>
        </w:tc>
        <w:tc>
          <w:tcPr>
            <w:tcW w:w="1354" w:type="dxa"/>
          </w:tcPr>
          <w:p w14:paraId="6D36760B" w14:textId="77777777" w:rsidR="00D14119" w:rsidRPr="00BB5480" w:rsidRDefault="00D14119" w:rsidP="005031B9">
            <w:pPr>
              <w:pStyle w:val="BodyText"/>
            </w:pPr>
          </w:p>
        </w:tc>
      </w:tr>
      <w:tr w:rsidR="00BB5480" w:rsidRPr="00BB5480" w14:paraId="2CAB6BC0" w14:textId="77777777" w:rsidTr="00D14119">
        <w:tc>
          <w:tcPr>
            <w:tcW w:w="1951" w:type="dxa"/>
            <w:tcBorders>
              <w:bottom w:val="single" w:sz="12" w:space="0" w:color="auto"/>
            </w:tcBorders>
            <w:shd w:val="clear" w:color="auto" w:fill="auto"/>
          </w:tcPr>
          <w:p w14:paraId="1B7B23CF" w14:textId="77777777" w:rsidR="00806FC7" w:rsidRPr="00BB5480" w:rsidRDefault="00806FC7" w:rsidP="005031B9">
            <w:pPr>
              <w:rPr>
                <w:sz w:val="24"/>
                <w:szCs w:val="24"/>
              </w:rPr>
            </w:pPr>
            <w:r w:rsidRPr="00BB5480">
              <w:rPr>
                <w:sz w:val="24"/>
                <w:szCs w:val="24"/>
              </w:rPr>
              <w:t>Attitudes</w:t>
            </w:r>
          </w:p>
          <w:p w14:paraId="5E198E52" w14:textId="77777777" w:rsidR="00D14119" w:rsidRPr="00BB5480" w:rsidRDefault="00D14119" w:rsidP="005031B9">
            <w:pPr>
              <w:rPr>
                <w:sz w:val="24"/>
                <w:szCs w:val="24"/>
              </w:rPr>
            </w:pPr>
            <w:r w:rsidRPr="00BB5480">
              <w:rPr>
                <w:sz w:val="24"/>
                <w:szCs w:val="24"/>
              </w:rPr>
              <w:t>Charity</w:t>
            </w:r>
          </w:p>
        </w:tc>
        <w:tc>
          <w:tcPr>
            <w:tcW w:w="1353" w:type="dxa"/>
            <w:tcBorders>
              <w:bottom w:val="single" w:sz="12" w:space="0" w:color="auto"/>
            </w:tcBorders>
            <w:shd w:val="clear" w:color="auto" w:fill="auto"/>
          </w:tcPr>
          <w:p w14:paraId="1575BCA1" w14:textId="77777777" w:rsidR="00D14119" w:rsidRPr="00BB5480" w:rsidRDefault="00D14119" w:rsidP="005031B9">
            <w:pPr>
              <w:pStyle w:val="BodyText"/>
            </w:pPr>
            <w:r w:rsidRPr="00BB5480">
              <w:t>.1</w:t>
            </w:r>
            <w:r w:rsidR="00E5632C" w:rsidRPr="00BB5480">
              <w:t>2</w:t>
            </w:r>
          </w:p>
          <w:p w14:paraId="60D221FC" w14:textId="77777777" w:rsidR="00D14119" w:rsidRPr="00BB5480" w:rsidRDefault="00D14119" w:rsidP="00E5632C">
            <w:pPr>
              <w:pStyle w:val="BodyText"/>
            </w:pPr>
            <w:r w:rsidRPr="00BB5480">
              <w:t>[.0</w:t>
            </w:r>
            <w:r w:rsidR="00E5632C" w:rsidRPr="00BB5480">
              <w:t>0</w:t>
            </w:r>
            <w:r w:rsidRPr="00BB5480">
              <w:t>, .2</w:t>
            </w:r>
            <w:r w:rsidR="00E5632C" w:rsidRPr="00BB5480">
              <w:t>5</w:t>
            </w:r>
            <w:r w:rsidRPr="00BB5480">
              <w:t>]</w:t>
            </w:r>
          </w:p>
        </w:tc>
        <w:tc>
          <w:tcPr>
            <w:tcW w:w="1354" w:type="dxa"/>
            <w:tcBorders>
              <w:bottom w:val="single" w:sz="12" w:space="0" w:color="auto"/>
            </w:tcBorders>
            <w:shd w:val="clear" w:color="auto" w:fill="auto"/>
          </w:tcPr>
          <w:p w14:paraId="786EB4E8" w14:textId="77777777" w:rsidR="00D14119" w:rsidRPr="00BB5480" w:rsidRDefault="00D14119" w:rsidP="005031B9">
            <w:pPr>
              <w:pStyle w:val="BodyText"/>
            </w:pPr>
            <w:r w:rsidRPr="00BB5480">
              <w:t>.</w:t>
            </w:r>
            <w:r w:rsidR="00E5632C" w:rsidRPr="00BB5480">
              <w:t>09</w:t>
            </w:r>
          </w:p>
          <w:p w14:paraId="4A1F2BDB" w14:textId="77777777" w:rsidR="00D14119" w:rsidRPr="00BB5480" w:rsidRDefault="00D14119" w:rsidP="00E5632C">
            <w:pPr>
              <w:pStyle w:val="BodyText"/>
            </w:pPr>
            <w:r w:rsidRPr="00BB5480">
              <w:t>[-.0</w:t>
            </w:r>
            <w:r w:rsidR="00E5632C" w:rsidRPr="00BB5480">
              <w:t>4</w:t>
            </w:r>
            <w:r w:rsidRPr="00BB5480">
              <w:t>, .2</w:t>
            </w:r>
            <w:r w:rsidR="00E5632C" w:rsidRPr="00BB5480">
              <w:t>0</w:t>
            </w:r>
            <w:r w:rsidRPr="00BB5480">
              <w:t>]</w:t>
            </w:r>
          </w:p>
        </w:tc>
        <w:tc>
          <w:tcPr>
            <w:tcW w:w="1354" w:type="dxa"/>
            <w:tcBorders>
              <w:bottom w:val="single" w:sz="12" w:space="0" w:color="auto"/>
            </w:tcBorders>
            <w:shd w:val="clear" w:color="auto" w:fill="auto"/>
          </w:tcPr>
          <w:p w14:paraId="28E248E7" w14:textId="77777777" w:rsidR="00D14119" w:rsidRPr="00BB5480" w:rsidRDefault="00D14119" w:rsidP="005031B9">
            <w:pPr>
              <w:pStyle w:val="BodyText"/>
            </w:pPr>
            <w:r w:rsidRPr="00BB5480">
              <w:t>.</w:t>
            </w:r>
            <w:r w:rsidR="00D97837" w:rsidRPr="00BB5480">
              <w:t>11</w:t>
            </w:r>
          </w:p>
          <w:p w14:paraId="0C137F51" w14:textId="77777777" w:rsidR="00D14119" w:rsidRPr="00BB5480" w:rsidRDefault="00D14119" w:rsidP="00D97837">
            <w:pPr>
              <w:pStyle w:val="BodyText"/>
            </w:pPr>
            <w:r w:rsidRPr="00BB5480">
              <w:t>[-.0</w:t>
            </w:r>
            <w:r w:rsidR="00D97837" w:rsidRPr="00BB5480">
              <w:t>1</w:t>
            </w:r>
            <w:r w:rsidRPr="00BB5480">
              <w:t>, .2</w:t>
            </w:r>
            <w:r w:rsidR="00D97837" w:rsidRPr="00BB5480">
              <w:t>4</w:t>
            </w:r>
            <w:r w:rsidRPr="00BB5480">
              <w:t>]</w:t>
            </w:r>
          </w:p>
        </w:tc>
        <w:tc>
          <w:tcPr>
            <w:tcW w:w="1354" w:type="dxa"/>
            <w:tcBorders>
              <w:bottom w:val="single" w:sz="12" w:space="0" w:color="auto"/>
            </w:tcBorders>
            <w:shd w:val="clear" w:color="auto" w:fill="auto"/>
          </w:tcPr>
          <w:p w14:paraId="6307FF25" w14:textId="77777777" w:rsidR="00D14119" w:rsidRPr="00BB5480" w:rsidRDefault="00D14119" w:rsidP="005031B9">
            <w:pPr>
              <w:pStyle w:val="BodyText"/>
            </w:pPr>
            <w:r w:rsidRPr="00BB5480">
              <w:t>-</w:t>
            </w:r>
            <w:r w:rsidR="00D97837" w:rsidRPr="00BB5480">
              <w:t>.06</w:t>
            </w:r>
          </w:p>
          <w:p w14:paraId="44D41B89" w14:textId="545D49E4" w:rsidR="00D14119" w:rsidRPr="00BB5480" w:rsidRDefault="00D14119" w:rsidP="00D97837">
            <w:pPr>
              <w:pStyle w:val="BodyText"/>
            </w:pPr>
            <w:r w:rsidRPr="00BB5480">
              <w:t>[-.1</w:t>
            </w:r>
            <w:r w:rsidR="00D97837" w:rsidRPr="00BB5480">
              <w:t>8, .09</w:t>
            </w:r>
            <w:r w:rsidR="007279F7">
              <w:t>]</w:t>
            </w:r>
          </w:p>
        </w:tc>
        <w:tc>
          <w:tcPr>
            <w:tcW w:w="1354" w:type="dxa"/>
            <w:tcBorders>
              <w:bottom w:val="single" w:sz="12" w:space="0" w:color="auto"/>
            </w:tcBorders>
            <w:shd w:val="clear" w:color="auto" w:fill="auto"/>
          </w:tcPr>
          <w:p w14:paraId="18314298" w14:textId="77777777" w:rsidR="00D14119" w:rsidRPr="00BB5480" w:rsidRDefault="00D14119" w:rsidP="00185360">
            <w:pPr>
              <w:pStyle w:val="BodyText"/>
            </w:pPr>
            <w:r w:rsidRPr="00BB5480">
              <w:t>.3</w:t>
            </w:r>
            <w:r w:rsidR="00D97837" w:rsidRPr="00BB5480">
              <w:t>3</w:t>
            </w:r>
            <w:r w:rsidRPr="00BB5480">
              <w:t>***</w:t>
            </w:r>
          </w:p>
          <w:p w14:paraId="34D4834E" w14:textId="77777777" w:rsidR="00D14119" w:rsidRPr="00BB5480" w:rsidRDefault="00D14119" w:rsidP="00D97837">
            <w:pPr>
              <w:pStyle w:val="BodyText"/>
            </w:pPr>
            <w:r w:rsidRPr="00BB5480">
              <w:t>[.2</w:t>
            </w:r>
            <w:r w:rsidR="00D97837" w:rsidRPr="00BB5480">
              <w:t>2</w:t>
            </w:r>
            <w:r w:rsidRPr="00BB5480">
              <w:t>, .4</w:t>
            </w:r>
            <w:r w:rsidR="00D97837" w:rsidRPr="00BB5480">
              <w:t>4</w:t>
            </w:r>
            <w:r w:rsidRPr="00BB5480">
              <w:t>]</w:t>
            </w:r>
          </w:p>
        </w:tc>
        <w:tc>
          <w:tcPr>
            <w:tcW w:w="1354" w:type="dxa"/>
            <w:tcBorders>
              <w:bottom w:val="single" w:sz="12" w:space="0" w:color="auto"/>
            </w:tcBorders>
          </w:tcPr>
          <w:p w14:paraId="57BE291E" w14:textId="77777777" w:rsidR="00727706" w:rsidRPr="00BB5480" w:rsidRDefault="00727706" w:rsidP="00727706">
            <w:pPr>
              <w:pStyle w:val="BodyText"/>
            </w:pPr>
            <w:r w:rsidRPr="00BB5480">
              <w:t>.24***</w:t>
            </w:r>
          </w:p>
          <w:p w14:paraId="353C3F50" w14:textId="77777777" w:rsidR="00D14119" w:rsidRPr="00BB5480" w:rsidRDefault="00727706" w:rsidP="00727706">
            <w:pPr>
              <w:pStyle w:val="BodyText"/>
            </w:pPr>
            <w:r w:rsidRPr="00BB5480">
              <w:t>[.12, .35]</w:t>
            </w:r>
          </w:p>
        </w:tc>
        <w:tc>
          <w:tcPr>
            <w:tcW w:w="1354" w:type="dxa"/>
            <w:tcBorders>
              <w:bottom w:val="single" w:sz="12" w:space="0" w:color="auto"/>
            </w:tcBorders>
          </w:tcPr>
          <w:p w14:paraId="6355AA9D" w14:textId="77777777" w:rsidR="00D14119" w:rsidRPr="00BB5480" w:rsidRDefault="00D14119" w:rsidP="005031B9">
            <w:pPr>
              <w:pStyle w:val="BodyText"/>
            </w:pPr>
            <w:r w:rsidRPr="00BB5480">
              <w:t>.4</w:t>
            </w:r>
            <w:r w:rsidR="00727706" w:rsidRPr="00BB5480">
              <w:t>5</w:t>
            </w:r>
            <w:r w:rsidRPr="00BB5480">
              <w:t>***</w:t>
            </w:r>
          </w:p>
          <w:p w14:paraId="687F3EF8" w14:textId="77777777" w:rsidR="00D14119" w:rsidRPr="00BB5480" w:rsidRDefault="00D14119" w:rsidP="00727706">
            <w:pPr>
              <w:pStyle w:val="BodyText"/>
            </w:pPr>
            <w:r w:rsidRPr="00BB5480">
              <w:t>[.3</w:t>
            </w:r>
            <w:r w:rsidR="00727706" w:rsidRPr="00BB5480">
              <w:t>4</w:t>
            </w:r>
            <w:r w:rsidRPr="00BB5480">
              <w:t>, .5</w:t>
            </w:r>
            <w:r w:rsidR="00727706" w:rsidRPr="00BB5480">
              <w:t>4</w:t>
            </w:r>
            <w:r w:rsidRPr="00BB5480">
              <w:t>]</w:t>
            </w:r>
          </w:p>
        </w:tc>
        <w:tc>
          <w:tcPr>
            <w:tcW w:w="1354" w:type="dxa"/>
            <w:tcBorders>
              <w:bottom w:val="single" w:sz="12" w:space="0" w:color="auto"/>
            </w:tcBorders>
          </w:tcPr>
          <w:p w14:paraId="749FAC8C" w14:textId="77777777" w:rsidR="00D14119" w:rsidRPr="00BB5480" w:rsidRDefault="00D14119" w:rsidP="005031B9">
            <w:pPr>
              <w:pStyle w:val="BodyText"/>
            </w:pPr>
            <w:r w:rsidRPr="00BB5480">
              <w:t>-</w:t>
            </w:r>
          </w:p>
        </w:tc>
      </w:tr>
    </w:tbl>
    <w:p w14:paraId="47516603" w14:textId="36818260" w:rsidR="004A1FB1" w:rsidRPr="00BB5480" w:rsidRDefault="00847B49" w:rsidP="004A1FB1">
      <w:pPr>
        <w:pStyle w:val="BodyText"/>
      </w:pPr>
      <w:r w:rsidRPr="00BB5480">
        <w:rPr>
          <w:rFonts w:cs="Arial"/>
          <w:i/>
          <w:iCs/>
        </w:rPr>
        <w:t>Note.</w:t>
      </w:r>
      <w:r w:rsidRPr="00BB5480">
        <w:rPr>
          <w:rFonts w:cs="Arial"/>
          <w:iCs/>
        </w:rPr>
        <w:t xml:space="preserve"> * p&lt;.05, ** p&lt;.01, *** p&lt;.001.</w:t>
      </w:r>
      <w:r w:rsidR="004A1FB1" w:rsidRPr="00BB5480">
        <w:t xml:space="preserve"> </w:t>
      </w:r>
      <w:proofErr w:type="spellStart"/>
      <w:r w:rsidR="004A1FB1" w:rsidRPr="00BB5480">
        <w:t>BCa</w:t>
      </w:r>
      <w:proofErr w:type="spellEnd"/>
      <w:r w:rsidR="004A1FB1" w:rsidRPr="00BB5480">
        <w:t xml:space="preserve"> bootstrap 95% CIs reported in brackets for significant correlations. N=2</w:t>
      </w:r>
      <w:r w:rsidR="00F54964" w:rsidRPr="00BB5480">
        <w:t>47</w:t>
      </w:r>
      <w:r w:rsidR="004A1FB1" w:rsidRPr="00BB5480">
        <w:t>.</w:t>
      </w:r>
    </w:p>
    <w:p w14:paraId="18C362F3" w14:textId="77777777" w:rsidR="004A1FB1" w:rsidRPr="00BB5480" w:rsidRDefault="004A1FB1">
      <w:pPr>
        <w:pStyle w:val="BodyText"/>
      </w:pPr>
    </w:p>
    <w:p w14:paraId="1AB7C04C" w14:textId="77777777" w:rsidR="004A1FB1" w:rsidRPr="00BB5480" w:rsidRDefault="004A1FB1">
      <w:pPr>
        <w:pStyle w:val="BodyText"/>
        <w:sectPr w:rsidR="004A1FB1" w:rsidRPr="00BB5480" w:rsidSect="004A1FB1">
          <w:pgSz w:w="16838" w:h="11906" w:orient="landscape"/>
          <w:pgMar w:top="2268" w:right="1134" w:bottom="1134" w:left="1693" w:header="720" w:footer="1134" w:gutter="0"/>
          <w:cols w:space="720"/>
          <w:docGrid w:linePitch="600" w:charSpace="40960"/>
        </w:sectPr>
      </w:pPr>
    </w:p>
    <w:p w14:paraId="1658EA0B" w14:textId="49D59D12" w:rsidR="00DA69D9" w:rsidRPr="00BB5480" w:rsidRDefault="00DA69D9">
      <w:pPr>
        <w:pStyle w:val="BodyText"/>
      </w:pPr>
      <w:r w:rsidRPr="00BB5480">
        <w:lastRenderedPageBreak/>
        <w:tab/>
      </w:r>
      <w:r w:rsidR="00A13FA7" w:rsidRPr="00BB5480">
        <w:t>As noted above</w:t>
      </w:r>
      <w:r w:rsidR="0003221C" w:rsidRPr="00BB5480">
        <w:t>, o</w:t>
      </w:r>
      <w:r w:rsidRPr="00BB5480">
        <w:t xml:space="preserve">nly in terms of self-reported </w:t>
      </w:r>
      <w:r w:rsidR="0003221C" w:rsidRPr="00BB5480">
        <w:t>helping behaviours</w:t>
      </w:r>
      <w:r w:rsidRPr="00BB5480">
        <w:t xml:space="preserve"> </w:t>
      </w:r>
      <w:r w:rsidR="00806FC7" w:rsidRPr="00BB5480">
        <w:t>did</w:t>
      </w:r>
      <w:r w:rsidRPr="00BB5480">
        <w:t xml:space="preserve"> both the EPIC and the </w:t>
      </w:r>
      <w:proofErr w:type="spellStart"/>
      <w:r w:rsidRPr="00BB5480">
        <w:t>AAQ</w:t>
      </w:r>
      <w:proofErr w:type="spellEnd"/>
      <w:r w:rsidRPr="00BB5480">
        <w:t>-II result in significant correlations</w:t>
      </w:r>
      <w:r w:rsidR="0078141B" w:rsidRPr="00BB5480">
        <w:t xml:space="preserve">. </w:t>
      </w:r>
      <w:r w:rsidR="00A13FA7" w:rsidRPr="00BB5480">
        <w:t>As such, t</w:t>
      </w:r>
      <w:r w:rsidR="0078141B" w:rsidRPr="00BB5480">
        <w:t>his is the only place that allows</w:t>
      </w:r>
      <w:r w:rsidR="008A69D1" w:rsidRPr="00BB5480">
        <w:t xml:space="preserve"> for any form of comparison</w:t>
      </w:r>
      <w:r w:rsidR="00BF4756" w:rsidRPr="00BB5480">
        <w:t xml:space="preserve"> to be made between the </w:t>
      </w:r>
      <w:r w:rsidR="00F55A28" w:rsidRPr="00BB5480">
        <w:t xml:space="preserve">two </w:t>
      </w:r>
      <w:r w:rsidR="00BF4756" w:rsidRPr="00BB5480">
        <w:t>measures</w:t>
      </w:r>
      <w:r w:rsidR="0078141B" w:rsidRPr="00BB5480">
        <w:t xml:space="preserve"> of psychological </w:t>
      </w:r>
      <w:r w:rsidR="00F55A28" w:rsidRPr="00BB5480">
        <w:t>inflexibility</w:t>
      </w:r>
      <w:r w:rsidRPr="00BB5480">
        <w:t xml:space="preserve">. </w:t>
      </w:r>
      <w:r w:rsidR="00A13FA7" w:rsidRPr="00BB5480">
        <w:t>To further examine this result</w:t>
      </w:r>
      <w:r w:rsidR="0078141B" w:rsidRPr="00BB5480">
        <w:t xml:space="preserve">, </w:t>
      </w:r>
      <w:r w:rsidRPr="00BB5480">
        <w:t>a standard multiple regression was carried out with self</w:t>
      </w:r>
      <w:r w:rsidR="00BF4756" w:rsidRPr="00BB5480">
        <w:t>-</w:t>
      </w:r>
      <w:r w:rsidRPr="00BB5480">
        <w:t xml:space="preserve">reported </w:t>
      </w:r>
      <w:r w:rsidR="0003221C" w:rsidRPr="00BB5480">
        <w:t>helping behaviour</w:t>
      </w:r>
      <w:r w:rsidRPr="00BB5480">
        <w:t xml:space="preserve"> as the dependent variable and the two measures of psychological inflexibility as independent variables (EPIC factors A &amp; B</w:t>
      </w:r>
      <w:r w:rsidR="0003221C" w:rsidRPr="00BB5480">
        <w:t>R</w:t>
      </w:r>
      <w:r w:rsidRPr="00BB5480">
        <w:t xml:space="preserve"> entered separately</w:t>
      </w:r>
      <w:r w:rsidR="00A13CB3">
        <w:t>; see Table 5</w:t>
      </w:r>
      <w:r w:rsidRPr="00BB5480">
        <w:t>).</w:t>
      </w:r>
    </w:p>
    <w:p w14:paraId="6C1777F1" w14:textId="77777777" w:rsidR="00DA69D9" w:rsidRPr="00BB5480" w:rsidRDefault="00DA69D9">
      <w:pPr>
        <w:pStyle w:val="BodyText"/>
      </w:pPr>
    </w:p>
    <w:p w14:paraId="5B61517C" w14:textId="77777777" w:rsidR="00DA69D9" w:rsidRPr="00BB5480" w:rsidRDefault="00DA69D9">
      <w:pPr>
        <w:pStyle w:val="BodyText"/>
      </w:pPr>
      <w:r w:rsidRPr="00BB5480">
        <w:t xml:space="preserve">Table </w:t>
      </w:r>
      <w:r w:rsidR="009719FC" w:rsidRPr="00BB5480">
        <w:t>5</w:t>
      </w:r>
      <w:r w:rsidRPr="00BB5480">
        <w:t xml:space="preserve">: Multiple regression of predictors of </w:t>
      </w:r>
      <w:r w:rsidR="00F55A28" w:rsidRPr="00BB5480">
        <w:t>self-reported</w:t>
      </w:r>
      <w:r w:rsidRPr="00BB5480">
        <w:t xml:space="preserve"> </w:t>
      </w:r>
      <w:r w:rsidR="0003221C" w:rsidRPr="00BB5480">
        <w:t>helping behaviours</w:t>
      </w:r>
      <w:r w:rsidRPr="00BB5480">
        <w:t xml:space="preserve"> (SRA).</w:t>
      </w:r>
    </w:p>
    <w:tbl>
      <w:tblPr>
        <w:tblW w:w="0" w:type="auto"/>
        <w:tblLayout w:type="fixed"/>
        <w:tblLook w:val="0000" w:firstRow="0" w:lastRow="0" w:firstColumn="0" w:lastColumn="0" w:noHBand="0" w:noVBand="0"/>
      </w:tblPr>
      <w:tblGrid>
        <w:gridCol w:w="1951"/>
        <w:gridCol w:w="992"/>
        <w:gridCol w:w="1715"/>
        <w:gridCol w:w="1354"/>
        <w:gridCol w:w="1354"/>
        <w:gridCol w:w="1354"/>
      </w:tblGrid>
      <w:tr w:rsidR="00BB5480" w:rsidRPr="00BB5480" w14:paraId="320BDEE1" w14:textId="77777777">
        <w:tc>
          <w:tcPr>
            <w:tcW w:w="1951" w:type="dxa"/>
            <w:tcBorders>
              <w:top w:val="single" w:sz="12" w:space="0" w:color="000000"/>
              <w:bottom w:val="single" w:sz="12" w:space="0" w:color="000000"/>
            </w:tcBorders>
            <w:shd w:val="clear" w:color="auto" w:fill="auto"/>
          </w:tcPr>
          <w:p w14:paraId="3F7FE27B" w14:textId="77777777" w:rsidR="00DA69D9" w:rsidRPr="00BB5480" w:rsidRDefault="00DA69D9">
            <w:pPr>
              <w:pStyle w:val="BodyText"/>
              <w:snapToGrid w:val="0"/>
            </w:pPr>
          </w:p>
        </w:tc>
        <w:tc>
          <w:tcPr>
            <w:tcW w:w="992" w:type="dxa"/>
            <w:tcBorders>
              <w:top w:val="single" w:sz="12" w:space="0" w:color="000000"/>
              <w:bottom w:val="single" w:sz="12" w:space="0" w:color="000000"/>
            </w:tcBorders>
            <w:shd w:val="clear" w:color="auto" w:fill="auto"/>
          </w:tcPr>
          <w:p w14:paraId="282059C2" w14:textId="77777777" w:rsidR="00DA69D9" w:rsidRPr="00BB5480" w:rsidRDefault="00DA69D9">
            <w:pPr>
              <w:pStyle w:val="BodyText"/>
            </w:pPr>
            <w:r w:rsidRPr="00BB5480">
              <w:t>b</w:t>
            </w:r>
          </w:p>
        </w:tc>
        <w:tc>
          <w:tcPr>
            <w:tcW w:w="1715" w:type="dxa"/>
            <w:tcBorders>
              <w:top w:val="single" w:sz="12" w:space="0" w:color="000000"/>
              <w:bottom w:val="single" w:sz="12" w:space="0" w:color="000000"/>
            </w:tcBorders>
            <w:shd w:val="clear" w:color="auto" w:fill="auto"/>
          </w:tcPr>
          <w:p w14:paraId="7C202F7B" w14:textId="77777777" w:rsidR="00DA69D9" w:rsidRPr="00BB5480" w:rsidRDefault="00DA69D9">
            <w:pPr>
              <w:pStyle w:val="BodyText"/>
            </w:pPr>
            <w:proofErr w:type="spellStart"/>
            <w:r w:rsidRPr="00BB5480">
              <w:t>BCa</w:t>
            </w:r>
            <w:proofErr w:type="spellEnd"/>
            <w:r w:rsidRPr="00BB5480">
              <w:t xml:space="preserve"> 95%</w:t>
            </w:r>
          </w:p>
        </w:tc>
        <w:tc>
          <w:tcPr>
            <w:tcW w:w="1354" w:type="dxa"/>
            <w:tcBorders>
              <w:top w:val="single" w:sz="12" w:space="0" w:color="000000"/>
              <w:bottom w:val="single" w:sz="12" w:space="0" w:color="000000"/>
            </w:tcBorders>
            <w:shd w:val="clear" w:color="auto" w:fill="auto"/>
          </w:tcPr>
          <w:p w14:paraId="79CA70E0" w14:textId="77777777" w:rsidR="00DA69D9" w:rsidRPr="00BB5480" w:rsidRDefault="00DA69D9">
            <w:pPr>
              <w:pStyle w:val="BodyText"/>
            </w:pPr>
            <w:r w:rsidRPr="00BB5480">
              <w:t>SE B</w:t>
            </w:r>
          </w:p>
        </w:tc>
        <w:tc>
          <w:tcPr>
            <w:tcW w:w="1354" w:type="dxa"/>
            <w:tcBorders>
              <w:top w:val="single" w:sz="12" w:space="0" w:color="000000"/>
              <w:bottom w:val="single" w:sz="12" w:space="0" w:color="000000"/>
            </w:tcBorders>
            <w:shd w:val="clear" w:color="auto" w:fill="auto"/>
          </w:tcPr>
          <w:p w14:paraId="6659307E" w14:textId="77777777" w:rsidR="00DA69D9" w:rsidRPr="00BB5480" w:rsidRDefault="00DA69D9">
            <w:pPr>
              <w:pStyle w:val="BodyText"/>
            </w:pPr>
            <w:r w:rsidRPr="00BB5480">
              <w:t>β</w:t>
            </w:r>
          </w:p>
        </w:tc>
        <w:tc>
          <w:tcPr>
            <w:tcW w:w="1354" w:type="dxa"/>
            <w:tcBorders>
              <w:top w:val="single" w:sz="12" w:space="0" w:color="000000"/>
              <w:bottom w:val="single" w:sz="12" w:space="0" w:color="000000"/>
            </w:tcBorders>
            <w:shd w:val="clear" w:color="auto" w:fill="auto"/>
          </w:tcPr>
          <w:p w14:paraId="06A63A01" w14:textId="77777777" w:rsidR="00DA69D9" w:rsidRPr="00BB5480" w:rsidRDefault="00DA69D9">
            <w:pPr>
              <w:pStyle w:val="BodyText"/>
            </w:pPr>
            <w:r w:rsidRPr="00BB5480">
              <w:t>p</w:t>
            </w:r>
          </w:p>
        </w:tc>
      </w:tr>
      <w:tr w:rsidR="00BB5480" w:rsidRPr="00BB5480" w14:paraId="439A0359" w14:textId="77777777">
        <w:tc>
          <w:tcPr>
            <w:tcW w:w="1951" w:type="dxa"/>
            <w:shd w:val="clear" w:color="auto" w:fill="auto"/>
          </w:tcPr>
          <w:p w14:paraId="0C721F27" w14:textId="77777777" w:rsidR="00DA69D9" w:rsidRPr="00BB5480" w:rsidRDefault="00DA69D9">
            <w:pPr>
              <w:pStyle w:val="BodyText"/>
            </w:pPr>
            <w:r w:rsidRPr="00BB5480">
              <w:t>Constant</w:t>
            </w:r>
          </w:p>
        </w:tc>
        <w:tc>
          <w:tcPr>
            <w:tcW w:w="992" w:type="dxa"/>
            <w:shd w:val="clear" w:color="auto" w:fill="auto"/>
          </w:tcPr>
          <w:p w14:paraId="1121E49A" w14:textId="77777777" w:rsidR="00DA69D9" w:rsidRPr="00BB5480" w:rsidRDefault="00DA69D9" w:rsidP="00FC0E78">
            <w:pPr>
              <w:pStyle w:val="BodyText"/>
            </w:pPr>
            <w:r w:rsidRPr="00BB5480">
              <w:t>7</w:t>
            </w:r>
            <w:r w:rsidR="00FC0E78" w:rsidRPr="00BB5480">
              <w:t>2</w:t>
            </w:r>
            <w:r w:rsidRPr="00BB5480">
              <w:t>.</w:t>
            </w:r>
            <w:r w:rsidR="00FC0E78" w:rsidRPr="00BB5480">
              <w:t>26</w:t>
            </w:r>
          </w:p>
        </w:tc>
        <w:tc>
          <w:tcPr>
            <w:tcW w:w="1715" w:type="dxa"/>
            <w:shd w:val="clear" w:color="auto" w:fill="auto"/>
          </w:tcPr>
          <w:p w14:paraId="5C4B9BB8" w14:textId="77777777" w:rsidR="00DA69D9" w:rsidRPr="00BB5480" w:rsidRDefault="00DA69D9" w:rsidP="00FC0E78">
            <w:pPr>
              <w:pStyle w:val="BodyText"/>
            </w:pPr>
            <w:r w:rsidRPr="00BB5480">
              <w:t>[6</w:t>
            </w:r>
            <w:r w:rsidR="00FC0E78" w:rsidRPr="00BB5480">
              <w:t>5</w:t>
            </w:r>
            <w:r w:rsidRPr="00BB5480">
              <w:t>.</w:t>
            </w:r>
            <w:r w:rsidR="00FC0E78" w:rsidRPr="00BB5480">
              <w:t>42</w:t>
            </w:r>
            <w:r w:rsidRPr="00BB5480">
              <w:t>, 7</w:t>
            </w:r>
            <w:r w:rsidR="00FC0E78" w:rsidRPr="00BB5480">
              <w:t>9.10</w:t>
            </w:r>
            <w:r w:rsidRPr="00BB5480">
              <w:t>]</w:t>
            </w:r>
          </w:p>
        </w:tc>
        <w:tc>
          <w:tcPr>
            <w:tcW w:w="1354" w:type="dxa"/>
            <w:shd w:val="clear" w:color="auto" w:fill="auto"/>
          </w:tcPr>
          <w:p w14:paraId="5BA1CF63" w14:textId="77777777" w:rsidR="00DA69D9" w:rsidRPr="00BB5480" w:rsidRDefault="00DA69D9" w:rsidP="00FC0E78">
            <w:pPr>
              <w:pStyle w:val="BodyText"/>
            </w:pPr>
            <w:r w:rsidRPr="00BB5480">
              <w:t>3.</w:t>
            </w:r>
            <w:r w:rsidR="00FC0E78" w:rsidRPr="00BB5480">
              <w:t>48</w:t>
            </w:r>
          </w:p>
        </w:tc>
        <w:tc>
          <w:tcPr>
            <w:tcW w:w="1354" w:type="dxa"/>
            <w:shd w:val="clear" w:color="auto" w:fill="auto"/>
          </w:tcPr>
          <w:p w14:paraId="699DF83B" w14:textId="77777777" w:rsidR="00DA69D9" w:rsidRPr="00BB5480" w:rsidRDefault="00DA69D9">
            <w:pPr>
              <w:pStyle w:val="BodyText"/>
              <w:snapToGrid w:val="0"/>
            </w:pPr>
          </w:p>
        </w:tc>
        <w:tc>
          <w:tcPr>
            <w:tcW w:w="1354" w:type="dxa"/>
            <w:shd w:val="clear" w:color="auto" w:fill="auto"/>
          </w:tcPr>
          <w:p w14:paraId="6C48E585" w14:textId="77777777" w:rsidR="00DA69D9" w:rsidRPr="00BB5480" w:rsidRDefault="00DA69D9">
            <w:pPr>
              <w:pStyle w:val="BodyText"/>
            </w:pPr>
            <w:r w:rsidRPr="00BB5480">
              <w:t>.001</w:t>
            </w:r>
          </w:p>
        </w:tc>
      </w:tr>
      <w:tr w:rsidR="00BB5480" w:rsidRPr="00BB5480" w14:paraId="40DD9362" w14:textId="77777777">
        <w:tc>
          <w:tcPr>
            <w:tcW w:w="1951" w:type="dxa"/>
            <w:shd w:val="clear" w:color="auto" w:fill="auto"/>
          </w:tcPr>
          <w:p w14:paraId="067F33B2" w14:textId="77777777" w:rsidR="00DA69D9" w:rsidRPr="00BB5480" w:rsidRDefault="00DA69D9">
            <w:pPr>
              <w:pStyle w:val="BodyText"/>
            </w:pPr>
            <w:r w:rsidRPr="00BB5480">
              <w:t>EPIC A</w:t>
            </w:r>
          </w:p>
        </w:tc>
        <w:tc>
          <w:tcPr>
            <w:tcW w:w="992" w:type="dxa"/>
            <w:shd w:val="clear" w:color="auto" w:fill="auto"/>
          </w:tcPr>
          <w:p w14:paraId="58EED648" w14:textId="77777777" w:rsidR="00DA69D9" w:rsidRPr="00BB5480" w:rsidRDefault="00DA69D9" w:rsidP="00FC0E78">
            <w:pPr>
              <w:pStyle w:val="BodyText"/>
            </w:pPr>
            <w:r w:rsidRPr="00BB5480">
              <w:t>-.</w:t>
            </w:r>
            <w:r w:rsidR="00FC0E78" w:rsidRPr="00BB5480">
              <w:t>56</w:t>
            </w:r>
          </w:p>
        </w:tc>
        <w:tc>
          <w:tcPr>
            <w:tcW w:w="1715" w:type="dxa"/>
            <w:shd w:val="clear" w:color="auto" w:fill="auto"/>
          </w:tcPr>
          <w:p w14:paraId="5D9F5ED9" w14:textId="77777777" w:rsidR="00DA69D9" w:rsidRPr="00BB5480" w:rsidRDefault="00DA69D9" w:rsidP="00FC0E78">
            <w:pPr>
              <w:pStyle w:val="BodyText"/>
            </w:pPr>
            <w:r w:rsidRPr="00BB5480">
              <w:t>[-.</w:t>
            </w:r>
            <w:r w:rsidR="00FC0E78" w:rsidRPr="00BB5480">
              <w:t>90</w:t>
            </w:r>
            <w:r w:rsidRPr="00BB5480">
              <w:t>, -.</w:t>
            </w:r>
            <w:r w:rsidR="00FC0E78" w:rsidRPr="00BB5480">
              <w:t>21</w:t>
            </w:r>
            <w:r w:rsidRPr="00BB5480">
              <w:t>]</w:t>
            </w:r>
          </w:p>
        </w:tc>
        <w:tc>
          <w:tcPr>
            <w:tcW w:w="1354" w:type="dxa"/>
            <w:shd w:val="clear" w:color="auto" w:fill="auto"/>
          </w:tcPr>
          <w:p w14:paraId="46068ABD" w14:textId="77777777" w:rsidR="00DA69D9" w:rsidRPr="00BB5480" w:rsidRDefault="00DA69D9">
            <w:pPr>
              <w:pStyle w:val="BodyText"/>
            </w:pPr>
            <w:r w:rsidRPr="00BB5480">
              <w:t>.</w:t>
            </w:r>
            <w:r w:rsidR="00FC0E78" w:rsidRPr="00BB5480">
              <w:t>18</w:t>
            </w:r>
          </w:p>
        </w:tc>
        <w:tc>
          <w:tcPr>
            <w:tcW w:w="1354" w:type="dxa"/>
            <w:shd w:val="clear" w:color="auto" w:fill="auto"/>
          </w:tcPr>
          <w:p w14:paraId="040561AF" w14:textId="77777777" w:rsidR="00DA69D9" w:rsidRPr="00BB5480" w:rsidRDefault="00FC0E78">
            <w:pPr>
              <w:pStyle w:val="BodyText"/>
            </w:pPr>
            <w:r w:rsidRPr="00BB5480">
              <w:t>-.21</w:t>
            </w:r>
          </w:p>
        </w:tc>
        <w:tc>
          <w:tcPr>
            <w:tcW w:w="1354" w:type="dxa"/>
            <w:shd w:val="clear" w:color="auto" w:fill="auto"/>
          </w:tcPr>
          <w:p w14:paraId="5D813510" w14:textId="77777777" w:rsidR="00DA69D9" w:rsidRPr="00BB5480" w:rsidRDefault="00FC0E78">
            <w:pPr>
              <w:pStyle w:val="BodyText"/>
            </w:pPr>
            <w:r w:rsidRPr="00BB5480">
              <w:t>.002</w:t>
            </w:r>
          </w:p>
        </w:tc>
      </w:tr>
      <w:tr w:rsidR="00BB5480" w:rsidRPr="00BB5480" w14:paraId="669E22E1" w14:textId="77777777">
        <w:tc>
          <w:tcPr>
            <w:tcW w:w="1951" w:type="dxa"/>
            <w:shd w:val="clear" w:color="auto" w:fill="auto"/>
          </w:tcPr>
          <w:p w14:paraId="0F6BF803" w14:textId="77777777" w:rsidR="00DA69D9" w:rsidRPr="00BB5480" w:rsidRDefault="00DA69D9">
            <w:pPr>
              <w:pStyle w:val="BodyText"/>
            </w:pPr>
            <w:r w:rsidRPr="00BB5480">
              <w:t>EPIC B</w:t>
            </w:r>
            <w:r w:rsidR="008F1E34" w:rsidRPr="00BB5480">
              <w:t>R</w:t>
            </w:r>
          </w:p>
        </w:tc>
        <w:tc>
          <w:tcPr>
            <w:tcW w:w="992" w:type="dxa"/>
            <w:shd w:val="clear" w:color="auto" w:fill="auto"/>
          </w:tcPr>
          <w:p w14:paraId="3C1643A9" w14:textId="77777777" w:rsidR="00DA69D9" w:rsidRPr="00BB5480" w:rsidRDefault="00FC0E78">
            <w:pPr>
              <w:pStyle w:val="BodyText"/>
            </w:pPr>
            <w:r w:rsidRPr="00BB5480">
              <w:t>-.08</w:t>
            </w:r>
          </w:p>
        </w:tc>
        <w:tc>
          <w:tcPr>
            <w:tcW w:w="1715" w:type="dxa"/>
            <w:shd w:val="clear" w:color="auto" w:fill="auto"/>
          </w:tcPr>
          <w:p w14:paraId="3D2E898E" w14:textId="77777777" w:rsidR="00DA69D9" w:rsidRPr="00BB5480" w:rsidRDefault="00FC0E78">
            <w:pPr>
              <w:pStyle w:val="BodyText"/>
            </w:pPr>
            <w:r w:rsidRPr="00BB5480">
              <w:t>[-.50, .35</w:t>
            </w:r>
            <w:r w:rsidR="00DA69D9" w:rsidRPr="00BB5480">
              <w:t>]</w:t>
            </w:r>
          </w:p>
        </w:tc>
        <w:tc>
          <w:tcPr>
            <w:tcW w:w="1354" w:type="dxa"/>
            <w:shd w:val="clear" w:color="auto" w:fill="auto"/>
          </w:tcPr>
          <w:p w14:paraId="3D5FDA49" w14:textId="77777777" w:rsidR="00DA69D9" w:rsidRPr="00BB5480" w:rsidRDefault="00FC0E78">
            <w:pPr>
              <w:pStyle w:val="BodyText"/>
            </w:pPr>
            <w:r w:rsidRPr="00BB5480">
              <w:t>.22</w:t>
            </w:r>
          </w:p>
        </w:tc>
        <w:tc>
          <w:tcPr>
            <w:tcW w:w="1354" w:type="dxa"/>
            <w:shd w:val="clear" w:color="auto" w:fill="auto"/>
          </w:tcPr>
          <w:p w14:paraId="21460A39" w14:textId="77777777" w:rsidR="00DA69D9" w:rsidRPr="00BB5480" w:rsidRDefault="00FC0E78">
            <w:pPr>
              <w:pStyle w:val="BodyText"/>
            </w:pPr>
            <w:r w:rsidRPr="00BB5480">
              <w:t>-.02</w:t>
            </w:r>
          </w:p>
        </w:tc>
        <w:tc>
          <w:tcPr>
            <w:tcW w:w="1354" w:type="dxa"/>
            <w:shd w:val="clear" w:color="auto" w:fill="auto"/>
          </w:tcPr>
          <w:p w14:paraId="1702EF2C" w14:textId="77777777" w:rsidR="00DA69D9" w:rsidRPr="00BB5480" w:rsidRDefault="00FC0E78">
            <w:pPr>
              <w:pStyle w:val="BodyText"/>
            </w:pPr>
            <w:r w:rsidRPr="00BB5480">
              <w:t>.725</w:t>
            </w:r>
          </w:p>
        </w:tc>
      </w:tr>
      <w:tr w:rsidR="00BB5480" w:rsidRPr="00BB5480" w14:paraId="7DEBF18C" w14:textId="77777777">
        <w:tc>
          <w:tcPr>
            <w:tcW w:w="1951" w:type="dxa"/>
            <w:tcBorders>
              <w:bottom w:val="single" w:sz="12" w:space="0" w:color="000000"/>
            </w:tcBorders>
            <w:shd w:val="clear" w:color="auto" w:fill="auto"/>
          </w:tcPr>
          <w:p w14:paraId="5BACFEE8" w14:textId="77777777" w:rsidR="00DA69D9" w:rsidRPr="00BB5480" w:rsidRDefault="00DA69D9">
            <w:pPr>
              <w:pStyle w:val="BodyText"/>
            </w:pPr>
            <w:proofErr w:type="spellStart"/>
            <w:r w:rsidRPr="00BB5480">
              <w:t>AAQ</w:t>
            </w:r>
            <w:proofErr w:type="spellEnd"/>
            <w:r w:rsidRPr="00BB5480">
              <w:t>-II</w:t>
            </w:r>
          </w:p>
        </w:tc>
        <w:tc>
          <w:tcPr>
            <w:tcW w:w="992" w:type="dxa"/>
            <w:tcBorders>
              <w:bottom w:val="single" w:sz="12" w:space="0" w:color="000000"/>
            </w:tcBorders>
            <w:shd w:val="clear" w:color="auto" w:fill="auto"/>
          </w:tcPr>
          <w:p w14:paraId="16BBFD13" w14:textId="77777777" w:rsidR="00DA69D9" w:rsidRPr="00BB5480" w:rsidRDefault="00DA69D9">
            <w:pPr>
              <w:pStyle w:val="BodyText"/>
            </w:pPr>
            <w:r w:rsidRPr="00BB5480">
              <w:t>-.16</w:t>
            </w:r>
          </w:p>
        </w:tc>
        <w:tc>
          <w:tcPr>
            <w:tcW w:w="1715" w:type="dxa"/>
            <w:tcBorders>
              <w:bottom w:val="single" w:sz="12" w:space="0" w:color="000000"/>
            </w:tcBorders>
            <w:shd w:val="clear" w:color="auto" w:fill="auto"/>
          </w:tcPr>
          <w:p w14:paraId="44E87FDE" w14:textId="77777777" w:rsidR="00DA69D9" w:rsidRPr="00BB5480" w:rsidRDefault="00DA69D9" w:rsidP="00FC0E78">
            <w:pPr>
              <w:pStyle w:val="BodyText"/>
            </w:pPr>
            <w:r w:rsidRPr="00BB5480">
              <w:t>[-.</w:t>
            </w:r>
            <w:r w:rsidR="00FC0E78" w:rsidRPr="00BB5480">
              <w:t>32</w:t>
            </w:r>
            <w:r w:rsidRPr="00BB5480">
              <w:t>, .0</w:t>
            </w:r>
            <w:r w:rsidR="00FC0E78" w:rsidRPr="00BB5480">
              <w:t>1</w:t>
            </w:r>
            <w:r w:rsidRPr="00BB5480">
              <w:t>]</w:t>
            </w:r>
          </w:p>
        </w:tc>
        <w:tc>
          <w:tcPr>
            <w:tcW w:w="1354" w:type="dxa"/>
            <w:tcBorders>
              <w:bottom w:val="single" w:sz="12" w:space="0" w:color="000000"/>
            </w:tcBorders>
            <w:shd w:val="clear" w:color="auto" w:fill="auto"/>
          </w:tcPr>
          <w:p w14:paraId="267E49CE" w14:textId="77777777" w:rsidR="00DA69D9" w:rsidRPr="00BB5480" w:rsidRDefault="00DA69D9">
            <w:pPr>
              <w:pStyle w:val="BodyText"/>
            </w:pPr>
            <w:r w:rsidRPr="00BB5480">
              <w:t>.</w:t>
            </w:r>
            <w:r w:rsidR="00FC0E78" w:rsidRPr="00BB5480">
              <w:t>08</w:t>
            </w:r>
          </w:p>
        </w:tc>
        <w:tc>
          <w:tcPr>
            <w:tcW w:w="1354" w:type="dxa"/>
            <w:tcBorders>
              <w:bottom w:val="single" w:sz="12" w:space="0" w:color="000000"/>
            </w:tcBorders>
            <w:shd w:val="clear" w:color="auto" w:fill="auto"/>
          </w:tcPr>
          <w:p w14:paraId="55E23BBA" w14:textId="77777777" w:rsidR="00DA69D9" w:rsidRPr="00BB5480" w:rsidRDefault="00FC0E78">
            <w:pPr>
              <w:pStyle w:val="BodyText"/>
            </w:pPr>
            <w:r w:rsidRPr="00BB5480">
              <w:t>-.13</w:t>
            </w:r>
          </w:p>
        </w:tc>
        <w:tc>
          <w:tcPr>
            <w:tcW w:w="1354" w:type="dxa"/>
            <w:tcBorders>
              <w:bottom w:val="single" w:sz="12" w:space="0" w:color="000000"/>
            </w:tcBorders>
            <w:shd w:val="clear" w:color="auto" w:fill="auto"/>
          </w:tcPr>
          <w:p w14:paraId="631A2AE1" w14:textId="77777777" w:rsidR="00DA69D9" w:rsidRPr="00BB5480" w:rsidRDefault="00FC0E78">
            <w:pPr>
              <w:pStyle w:val="BodyText"/>
            </w:pPr>
            <w:r w:rsidRPr="00BB5480">
              <w:t>.041</w:t>
            </w:r>
          </w:p>
        </w:tc>
      </w:tr>
    </w:tbl>
    <w:p w14:paraId="5F9E72B5" w14:textId="77777777" w:rsidR="00DA69D9" w:rsidRPr="00BB5480" w:rsidRDefault="00DA69D9">
      <w:pPr>
        <w:pStyle w:val="BodyText"/>
      </w:pPr>
      <w:r w:rsidRPr="001E2042">
        <w:rPr>
          <w:i/>
        </w:rPr>
        <w:t>Note.</w:t>
      </w:r>
      <w:r w:rsidRPr="00BB5480">
        <w:t xml:space="preserve"> R = .2</w:t>
      </w:r>
      <w:r w:rsidR="00FC0E78" w:rsidRPr="00BB5480">
        <w:t>8</w:t>
      </w:r>
      <w:r w:rsidRPr="00BB5480">
        <w:t xml:space="preserve">, </w:t>
      </w:r>
      <w:proofErr w:type="spellStart"/>
      <w:r w:rsidRPr="00BB5480">
        <w:t>R²</w:t>
      </w:r>
      <w:proofErr w:type="spellEnd"/>
      <w:r w:rsidRPr="00BB5480">
        <w:t xml:space="preserve"> = .0</w:t>
      </w:r>
      <w:r w:rsidR="00D274E5" w:rsidRPr="00BB5480">
        <w:t>8</w:t>
      </w:r>
      <w:r w:rsidRPr="00BB5480">
        <w:t xml:space="preserve">. </w:t>
      </w:r>
      <w:proofErr w:type="spellStart"/>
      <w:r w:rsidRPr="00BB5480">
        <w:t>BCa</w:t>
      </w:r>
      <w:proofErr w:type="spellEnd"/>
      <w:r w:rsidRPr="00BB5480">
        <w:t xml:space="preserve"> bootstrap 95% CIs reported in brackets, </w:t>
      </w:r>
      <w:r w:rsidR="00B938B9" w:rsidRPr="00BB5480">
        <w:t>N</w:t>
      </w:r>
      <w:r w:rsidRPr="00BB5480">
        <w:t>=2</w:t>
      </w:r>
      <w:r w:rsidR="00FC0E78" w:rsidRPr="00BB5480">
        <w:t>47</w:t>
      </w:r>
    </w:p>
    <w:p w14:paraId="5CA3647E" w14:textId="77777777" w:rsidR="00DA69D9" w:rsidRPr="00BB5480" w:rsidRDefault="00DA69D9">
      <w:pPr>
        <w:pStyle w:val="BodyText"/>
      </w:pPr>
    </w:p>
    <w:p w14:paraId="03530E58" w14:textId="58458060" w:rsidR="00DA69D9" w:rsidRPr="00BB5480" w:rsidRDefault="00DA69D9">
      <w:pPr>
        <w:pStyle w:val="BodyText"/>
        <w:rPr>
          <w:rFonts w:eastAsia="SimSun" w:cs="Arial"/>
        </w:rPr>
      </w:pPr>
      <w:r w:rsidRPr="00BB5480">
        <w:tab/>
        <w:t>While the ANOVA for this regression model was significantly different to zero, F(3, 2</w:t>
      </w:r>
      <w:r w:rsidR="00FC0E78" w:rsidRPr="00BB5480">
        <w:t>43</w:t>
      </w:r>
      <w:r w:rsidRPr="00BB5480">
        <w:t xml:space="preserve">) = </w:t>
      </w:r>
      <w:r w:rsidR="00FC0E78" w:rsidRPr="00BB5480">
        <w:t>6.96</w:t>
      </w:r>
      <w:r w:rsidRPr="00BB5480">
        <w:t>, p=.001, an overall R of .2</w:t>
      </w:r>
      <w:r w:rsidR="00FC0E78" w:rsidRPr="00BB5480">
        <w:t>8</w:t>
      </w:r>
      <w:r w:rsidRPr="00BB5480">
        <w:t xml:space="preserve">, suggests that only </w:t>
      </w:r>
      <w:r w:rsidR="00D274E5" w:rsidRPr="00BB5480">
        <w:t>7.9</w:t>
      </w:r>
      <w:r w:rsidRPr="00BB5480">
        <w:t xml:space="preserve">% of the variance </w:t>
      </w:r>
      <w:r w:rsidR="003848C0" w:rsidRPr="00BB5480">
        <w:t xml:space="preserve">of helping behaviours </w:t>
      </w:r>
      <w:r w:rsidRPr="00BB5480">
        <w:t>was explained by psychological inflexibility variables</w:t>
      </w:r>
      <w:r w:rsidR="00D274E5" w:rsidRPr="00BB5480">
        <w:t xml:space="preserve"> (6.8% adjusted </w:t>
      </w:r>
      <w:proofErr w:type="spellStart"/>
      <w:r w:rsidR="00D274E5" w:rsidRPr="00BB5480">
        <w:t>R²</w:t>
      </w:r>
      <w:proofErr w:type="spellEnd"/>
      <w:r w:rsidR="00D274E5" w:rsidRPr="00BB5480">
        <w:t>)</w:t>
      </w:r>
      <w:r w:rsidRPr="00BB5480">
        <w:t xml:space="preserve">. </w:t>
      </w:r>
      <w:proofErr w:type="spellStart"/>
      <w:r w:rsidRPr="00BB5480">
        <w:t>Tabachnick</w:t>
      </w:r>
      <w:proofErr w:type="spellEnd"/>
      <w:r w:rsidRPr="00BB5480">
        <w:t xml:space="preserve"> and </w:t>
      </w:r>
      <w:proofErr w:type="spellStart"/>
      <w:r w:rsidRPr="00BB5480">
        <w:t>Fidell</w:t>
      </w:r>
      <w:proofErr w:type="spellEnd"/>
      <w:r w:rsidRPr="00BB5480">
        <w:t xml:space="preserve"> (2007; p.</w:t>
      </w:r>
      <w:bookmarkStart w:id="3" w:name="_GoBack"/>
      <w:bookmarkEnd w:id="3"/>
      <w:r w:rsidRPr="00BB5480">
        <w:t>170-3) recommend using semi-partial correlations to help estimate the unique and shared contributions of the IVs. With this in mind, of the 7</w:t>
      </w:r>
      <w:r w:rsidR="00F60974" w:rsidRPr="00BB5480">
        <w:t>.9</w:t>
      </w:r>
      <w:r w:rsidRPr="00BB5480">
        <w:t xml:space="preserve">% of the </w:t>
      </w:r>
      <w:r w:rsidR="00F55A28" w:rsidRPr="00BB5480">
        <w:t>self-reported</w:t>
      </w:r>
      <w:r w:rsidR="0003221C" w:rsidRPr="00BB5480">
        <w:t xml:space="preserve"> helping behaviour</w:t>
      </w:r>
      <w:r w:rsidRPr="00BB5480">
        <w:t xml:space="preserve"> score that was explained by the IVs, only .02 (or 29%</w:t>
      </w:r>
      <w:r w:rsidR="00A13FA7" w:rsidRPr="00BB5480">
        <w:t xml:space="preserve"> of the 7.9%</w:t>
      </w:r>
      <w:r w:rsidRPr="00BB5480">
        <w:t>) is shared variance</w:t>
      </w:r>
      <w:r w:rsidR="00F60974" w:rsidRPr="00BB5480">
        <w:t xml:space="preserve"> (.06 [</w:t>
      </w:r>
      <w:r w:rsidR="00A13FA7" w:rsidRPr="00BB5480">
        <w:t xml:space="preserve">the remaining </w:t>
      </w:r>
      <w:r w:rsidR="00F60974" w:rsidRPr="00BB5480">
        <w:t>71%] is unique variance)</w:t>
      </w:r>
      <w:r w:rsidRPr="00BB5480">
        <w:t>. Looking, more closely at the unique contributions: 4</w:t>
      </w:r>
      <w:r w:rsidR="008F1E34" w:rsidRPr="00BB5480">
        <w:t>9</w:t>
      </w:r>
      <w:r w:rsidRPr="00BB5480">
        <w:t>% (.0</w:t>
      </w:r>
      <w:r w:rsidR="008F1E34" w:rsidRPr="00BB5480">
        <w:t>4</w:t>
      </w:r>
      <w:r w:rsidRPr="00BB5480">
        <w:t xml:space="preserve">) comes from </w:t>
      </w:r>
      <w:r w:rsidR="0003221C" w:rsidRPr="00BB5480">
        <w:t xml:space="preserve">the </w:t>
      </w:r>
      <w:r w:rsidRPr="00BB5480">
        <w:t>EPIC A</w:t>
      </w:r>
      <w:r w:rsidR="008C1465" w:rsidRPr="00BB5480">
        <w:t>,</w:t>
      </w:r>
      <w:r w:rsidRPr="00BB5480">
        <w:t xml:space="preserve"> 2</w:t>
      </w:r>
      <w:r w:rsidR="008F1E34" w:rsidRPr="00BB5480">
        <w:t>2</w:t>
      </w:r>
      <w:r w:rsidRPr="00BB5480">
        <w:t xml:space="preserve">% (.02) from the </w:t>
      </w:r>
      <w:proofErr w:type="spellStart"/>
      <w:r w:rsidRPr="00BB5480">
        <w:t>AAQ</w:t>
      </w:r>
      <w:proofErr w:type="spellEnd"/>
      <w:r w:rsidRPr="00BB5480">
        <w:t>-II</w:t>
      </w:r>
      <w:r w:rsidR="008C1465" w:rsidRPr="00BB5480">
        <w:t xml:space="preserve"> (in total 71%)</w:t>
      </w:r>
      <w:r w:rsidRPr="00BB5480">
        <w:t>.</w:t>
      </w:r>
    </w:p>
    <w:p w14:paraId="2459EDE8" w14:textId="77777777" w:rsidR="00DA69D9" w:rsidRPr="00BB5480" w:rsidRDefault="00DA69D9">
      <w:pPr>
        <w:pStyle w:val="Heading2"/>
        <w:pageBreakBefore/>
        <w:spacing w:line="360" w:lineRule="auto"/>
        <w:jc w:val="center"/>
      </w:pPr>
      <w:r w:rsidRPr="00BB5480">
        <w:rPr>
          <w:rFonts w:eastAsia="SimSun" w:cs="Arial"/>
          <w:sz w:val="24"/>
          <w:szCs w:val="24"/>
        </w:rPr>
        <w:lastRenderedPageBreak/>
        <w:t>Discussion</w:t>
      </w:r>
    </w:p>
    <w:p w14:paraId="2908B002" w14:textId="77777777" w:rsidR="00CE2901" w:rsidRPr="00BB5480" w:rsidRDefault="00DA69D9">
      <w:pPr>
        <w:pStyle w:val="BodyTextFirstIndent"/>
      </w:pPr>
      <w:r w:rsidRPr="00BB5480">
        <w:t xml:space="preserve">The four studies above detail the preliminary construction and </w:t>
      </w:r>
      <w:r w:rsidR="00E079F2" w:rsidRPr="00BB5480">
        <w:t xml:space="preserve">initial </w:t>
      </w:r>
      <w:r w:rsidRPr="00BB5480">
        <w:t xml:space="preserve">validation of a new measure of aspects of psychological inflexibility: the Everyday Psychological Inflexibility Checklist (EPIC). The measure is designed to be a </w:t>
      </w:r>
      <w:r w:rsidR="00E079F2" w:rsidRPr="00BB5480">
        <w:t xml:space="preserve">brief </w:t>
      </w:r>
      <w:r w:rsidRPr="00BB5480">
        <w:t>measure of psychological inflexibility without explicit reference to pain, fear and worry</w:t>
      </w:r>
      <w:r w:rsidR="00874426" w:rsidRPr="00BB5480">
        <w:t xml:space="preserve"> in its item content</w:t>
      </w:r>
      <w:r w:rsidRPr="00BB5480">
        <w:t xml:space="preserve">. </w:t>
      </w:r>
      <w:r w:rsidR="00180EBA" w:rsidRPr="00BB5480">
        <w:t xml:space="preserve">In </w:t>
      </w:r>
      <w:r w:rsidR="00CE2901" w:rsidRPr="00BB5480">
        <w:t xml:space="preserve">summary, </w:t>
      </w:r>
      <w:r w:rsidR="006F530A" w:rsidRPr="00BB5480">
        <w:t xml:space="preserve">an </w:t>
      </w:r>
      <w:proofErr w:type="spellStart"/>
      <w:r w:rsidR="006F530A" w:rsidRPr="00BB5480">
        <w:t>EFA</w:t>
      </w:r>
      <w:proofErr w:type="spellEnd"/>
      <w:r w:rsidR="00180EBA" w:rsidRPr="00BB5480">
        <w:t xml:space="preserve"> </w:t>
      </w:r>
      <w:r w:rsidR="00CE2901" w:rsidRPr="00BB5480">
        <w:t xml:space="preserve">initially resulted in </w:t>
      </w:r>
      <w:r w:rsidR="00F3051E" w:rsidRPr="00BB5480">
        <w:t>an</w:t>
      </w:r>
      <w:r w:rsidR="00180EBA" w:rsidRPr="00BB5480">
        <w:t xml:space="preserve"> </w:t>
      </w:r>
      <w:r w:rsidR="000E2B1B" w:rsidRPr="00BB5480">
        <w:t xml:space="preserve">11 item </w:t>
      </w:r>
      <w:r w:rsidR="00180EBA" w:rsidRPr="00BB5480">
        <w:t>two factor</w:t>
      </w:r>
      <w:r w:rsidR="00A62A8E" w:rsidRPr="00BB5480">
        <w:t xml:space="preserve"> </w:t>
      </w:r>
      <w:r w:rsidR="00CE2901" w:rsidRPr="00BB5480">
        <w:t>measure</w:t>
      </w:r>
      <w:r w:rsidR="000E2B1B" w:rsidRPr="00BB5480">
        <w:t xml:space="preserve">, with the </w:t>
      </w:r>
      <w:r w:rsidR="0082089E" w:rsidRPr="00BB5480">
        <w:t>t</w:t>
      </w:r>
      <w:r w:rsidR="00CE2901" w:rsidRPr="00BB5480">
        <w:t xml:space="preserve">wo </w:t>
      </w:r>
      <w:r w:rsidR="0082089E" w:rsidRPr="00BB5480">
        <w:t>subscales</w:t>
      </w:r>
      <w:r w:rsidR="00B36B6C" w:rsidRPr="00BB5480">
        <w:t>,</w:t>
      </w:r>
      <w:r w:rsidR="00CE2901" w:rsidRPr="00BB5480">
        <w:t xml:space="preserve"> labelled: Avoidance (A) and Behavioural Rigidity (BR)</w:t>
      </w:r>
      <w:r w:rsidR="000E2B1B" w:rsidRPr="00BB5480">
        <w:t>.</w:t>
      </w:r>
      <w:r w:rsidR="00A62A8E" w:rsidRPr="00BB5480">
        <w:t xml:space="preserve"> </w:t>
      </w:r>
      <w:r w:rsidR="00CE2901" w:rsidRPr="00BB5480">
        <w:t>Followin</w:t>
      </w:r>
      <w:r w:rsidR="006F530A" w:rsidRPr="00BB5480">
        <w:t xml:space="preserve">g CFA, the model was revised to form a </w:t>
      </w:r>
      <w:r w:rsidR="00CE2901" w:rsidRPr="00BB5480">
        <w:t xml:space="preserve">measure of 7 items across </w:t>
      </w:r>
      <w:r w:rsidR="00B36B6C" w:rsidRPr="00BB5480">
        <w:t xml:space="preserve">the same </w:t>
      </w:r>
      <w:r w:rsidR="00CE2901" w:rsidRPr="00BB5480">
        <w:t xml:space="preserve">two factors. </w:t>
      </w:r>
      <w:r w:rsidRPr="00BB5480">
        <w:t xml:space="preserve">The fit indices </w:t>
      </w:r>
      <w:r w:rsidR="00CE2901" w:rsidRPr="00BB5480">
        <w:t xml:space="preserve">of this </w:t>
      </w:r>
      <w:r w:rsidR="00B36B6C" w:rsidRPr="00BB5480">
        <w:t xml:space="preserve">revised </w:t>
      </w:r>
      <w:r w:rsidR="00CE2901" w:rsidRPr="00BB5480">
        <w:t xml:space="preserve">model </w:t>
      </w:r>
      <w:r w:rsidRPr="00BB5480">
        <w:t>across three different</w:t>
      </w:r>
      <w:r w:rsidR="00CE2901" w:rsidRPr="00BB5480">
        <w:t xml:space="preserve"> data</w:t>
      </w:r>
      <w:r w:rsidRPr="00BB5480">
        <w:t xml:space="preserve"> samples produced satisfactory levels of fit.</w:t>
      </w:r>
      <w:r w:rsidR="00180EBA" w:rsidRPr="00BB5480">
        <w:t xml:space="preserve"> </w:t>
      </w:r>
    </w:p>
    <w:p w14:paraId="4D54F539" w14:textId="77777777" w:rsidR="00156928" w:rsidRPr="00BB5480" w:rsidRDefault="00DA69D9">
      <w:pPr>
        <w:pStyle w:val="BodyTextFirstIndent"/>
        <w:rPr>
          <w:rFonts w:cs="Arial"/>
        </w:rPr>
      </w:pPr>
      <w:r w:rsidRPr="00BB5480">
        <w:rPr>
          <w:rFonts w:cs="Arial"/>
        </w:rPr>
        <w:t>The items related to the first factor: avoidance, describe occasions when thoughts, memories or events such as conversations that may be difficult are avoided, blocked out or distracted from. The second factor: behavioural rigidity, contains items related to performing tasks in a particular order</w:t>
      </w:r>
      <w:r w:rsidR="00750F89" w:rsidRPr="00BB5480">
        <w:rPr>
          <w:rFonts w:cs="Arial"/>
        </w:rPr>
        <w:t xml:space="preserve"> or</w:t>
      </w:r>
      <w:r w:rsidRPr="00BB5480">
        <w:rPr>
          <w:rFonts w:cs="Arial"/>
        </w:rPr>
        <w:t xml:space="preserve"> rigid pattern.</w:t>
      </w:r>
      <w:r w:rsidR="00750F89" w:rsidRPr="00BB5480">
        <w:rPr>
          <w:rFonts w:cs="Arial"/>
        </w:rPr>
        <w:t xml:space="preserve"> The items were designed to highlight a general inflexibility in behaviour and seem to indicate tasks that are done with a degree of compulsion.</w:t>
      </w:r>
    </w:p>
    <w:p w14:paraId="4F5063E6" w14:textId="77777777" w:rsidR="00DA69D9" w:rsidRPr="00BB5480" w:rsidRDefault="005308E4">
      <w:pPr>
        <w:pStyle w:val="BodyTextFirstIndent"/>
        <w:rPr>
          <w:rFonts w:cs="Arial"/>
        </w:rPr>
      </w:pPr>
      <w:r w:rsidRPr="00BB5480">
        <w:rPr>
          <w:rFonts w:cs="Arial"/>
        </w:rPr>
        <w:t>Interestingly</w:t>
      </w:r>
      <w:r w:rsidR="00944039" w:rsidRPr="00BB5480">
        <w:rPr>
          <w:rFonts w:cs="Arial"/>
        </w:rPr>
        <w:t>, i</w:t>
      </w:r>
      <w:r w:rsidR="00DA69D9" w:rsidRPr="00BB5480">
        <w:rPr>
          <w:rFonts w:cs="Arial"/>
        </w:rPr>
        <w:t xml:space="preserve">t is worth noting that the </w:t>
      </w:r>
      <w:r w:rsidR="00351371" w:rsidRPr="00BB5480">
        <w:rPr>
          <w:rFonts w:cs="Arial"/>
        </w:rPr>
        <w:t>reported</w:t>
      </w:r>
      <w:r w:rsidR="00DA69D9" w:rsidRPr="00BB5480">
        <w:rPr>
          <w:rFonts w:cs="Arial"/>
        </w:rPr>
        <w:t xml:space="preserve"> inter-relationship between </w:t>
      </w:r>
      <w:r w:rsidR="00AA1B08" w:rsidRPr="00BB5480">
        <w:rPr>
          <w:rFonts w:cs="Arial"/>
        </w:rPr>
        <w:t xml:space="preserve">the </w:t>
      </w:r>
      <w:r w:rsidR="00133276" w:rsidRPr="00BB5480">
        <w:rPr>
          <w:rFonts w:cs="Arial"/>
        </w:rPr>
        <w:t xml:space="preserve">EPIC </w:t>
      </w:r>
      <w:r w:rsidR="003616C0" w:rsidRPr="00BB5480">
        <w:rPr>
          <w:rFonts w:cs="Arial"/>
        </w:rPr>
        <w:t>avoidance</w:t>
      </w:r>
      <w:r w:rsidR="00FC2C9A" w:rsidRPr="00BB5480">
        <w:rPr>
          <w:rFonts w:cs="Arial"/>
        </w:rPr>
        <w:t xml:space="preserve"> and </w:t>
      </w:r>
      <w:r w:rsidR="003616C0" w:rsidRPr="00BB5480">
        <w:rPr>
          <w:rFonts w:cs="Arial"/>
        </w:rPr>
        <w:t>behavioural rigidity</w:t>
      </w:r>
      <w:r w:rsidR="00FC2C9A" w:rsidRPr="00BB5480">
        <w:rPr>
          <w:rFonts w:cs="Arial"/>
        </w:rPr>
        <w:t xml:space="preserve"> factors</w:t>
      </w:r>
      <w:r w:rsidR="00DA69D9" w:rsidRPr="00BB5480">
        <w:rPr>
          <w:rFonts w:cs="Arial"/>
        </w:rPr>
        <w:t>, while significant</w:t>
      </w:r>
      <w:r w:rsidR="003616C0" w:rsidRPr="00BB5480">
        <w:rPr>
          <w:rFonts w:cs="Arial"/>
        </w:rPr>
        <w:t xml:space="preserve"> and positive</w:t>
      </w:r>
      <w:r w:rsidR="00DA69D9" w:rsidRPr="00BB5480">
        <w:rPr>
          <w:rFonts w:cs="Arial"/>
        </w:rPr>
        <w:t>, struggle</w:t>
      </w:r>
      <w:r w:rsidR="00CF134E" w:rsidRPr="00BB5480">
        <w:rPr>
          <w:rFonts w:cs="Arial"/>
        </w:rPr>
        <w:t>d</w:t>
      </w:r>
      <w:r w:rsidR="00DA69D9" w:rsidRPr="00BB5480">
        <w:rPr>
          <w:rFonts w:cs="Arial"/>
        </w:rPr>
        <w:t xml:space="preserve"> to achieve even a medium effect size (Cohen, 1992; r=.23</w:t>
      </w:r>
      <w:r w:rsidR="004E56CD" w:rsidRPr="00BB5480">
        <w:rPr>
          <w:rFonts w:cs="Arial"/>
        </w:rPr>
        <w:t>-</w:t>
      </w:r>
      <w:r w:rsidR="00DA69D9" w:rsidRPr="00BB5480">
        <w:rPr>
          <w:rFonts w:cs="Arial"/>
        </w:rPr>
        <w:t>.28)</w:t>
      </w:r>
      <w:r w:rsidR="004E56CD" w:rsidRPr="00BB5480">
        <w:rPr>
          <w:rFonts w:cs="Arial"/>
        </w:rPr>
        <w:t xml:space="preserve">. Similar results were found </w:t>
      </w:r>
      <w:r w:rsidR="002B27F6" w:rsidRPr="00BB5480">
        <w:rPr>
          <w:rFonts w:cs="Arial"/>
        </w:rPr>
        <w:t>between</w:t>
      </w:r>
      <w:r w:rsidR="004E56CD" w:rsidRPr="00BB5480">
        <w:rPr>
          <w:rFonts w:cs="Arial"/>
        </w:rPr>
        <w:t xml:space="preserve"> the behavioural rigidity </w:t>
      </w:r>
      <w:r w:rsidR="002B27F6" w:rsidRPr="00BB5480">
        <w:rPr>
          <w:rFonts w:cs="Arial"/>
        </w:rPr>
        <w:t xml:space="preserve">factor of the EPIC </w:t>
      </w:r>
      <w:r w:rsidR="004E56CD" w:rsidRPr="00BB5480">
        <w:rPr>
          <w:rFonts w:cs="Arial"/>
        </w:rPr>
        <w:t xml:space="preserve">and the </w:t>
      </w:r>
      <w:proofErr w:type="spellStart"/>
      <w:r w:rsidR="004E56CD" w:rsidRPr="00BB5480">
        <w:rPr>
          <w:rFonts w:cs="Arial"/>
        </w:rPr>
        <w:t>AAQ</w:t>
      </w:r>
      <w:proofErr w:type="spellEnd"/>
      <w:r w:rsidR="004E56CD" w:rsidRPr="00BB5480">
        <w:rPr>
          <w:rFonts w:cs="Arial"/>
        </w:rPr>
        <w:t>-II (.23)</w:t>
      </w:r>
      <w:r w:rsidR="00DA69D9" w:rsidRPr="00BB5480">
        <w:rPr>
          <w:rFonts w:cs="Arial"/>
        </w:rPr>
        <w:t>. It will be interesting to monitor this relationship across future data collection episodes</w:t>
      </w:r>
      <w:r w:rsidR="003616C0" w:rsidRPr="00BB5480">
        <w:rPr>
          <w:rFonts w:cs="Arial"/>
        </w:rPr>
        <w:t xml:space="preserve"> </w:t>
      </w:r>
      <w:r w:rsidR="004E56CD" w:rsidRPr="00BB5480">
        <w:rPr>
          <w:rFonts w:cs="Arial"/>
        </w:rPr>
        <w:t>to gain further insights into this relationship</w:t>
      </w:r>
      <w:r w:rsidR="00DA69D9" w:rsidRPr="00BB5480">
        <w:rPr>
          <w:rFonts w:cs="Arial"/>
        </w:rPr>
        <w:t>.</w:t>
      </w:r>
    </w:p>
    <w:p w14:paraId="5A154060" w14:textId="65C6A311" w:rsidR="00DA69D9" w:rsidRPr="00BB5480" w:rsidRDefault="00DA69D9">
      <w:pPr>
        <w:pStyle w:val="BodyTextFirstIndent"/>
        <w:rPr>
          <w:rFonts w:cs="Arial"/>
        </w:rPr>
      </w:pPr>
      <w:r w:rsidRPr="00BB5480">
        <w:rPr>
          <w:rFonts w:cs="Arial"/>
        </w:rPr>
        <w:t xml:space="preserve">Whilst exploring relationships, it is worth examining the relationship between the EPIC </w:t>
      </w:r>
      <w:r w:rsidR="004E56CD" w:rsidRPr="00BB5480">
        <w:rPr>
          <w:rFonts w:cs="Arial"/>
        </w:rPr>
        <w:t xml:space="preserve">total score </w:t>
      </w:r>
      <w:r w:rsidRPr="00BB5480">
        <w:rPr>
          <w:rFonts w:cs="Arial"/>
        </w:rPr>
        <w:t xml:space="preserve">and </w:t>
      </w:r>
      <w:proofErr w:type="spellStart"/>
      <w:r w:rsidRPr="00BB5480">
        <w:rPr>
          <w:rFonts w:cs="Arial"/>
        </w:rPr>
        <w:t>AAQ</w:t>
      </w:r>
      <w:proofErr w:type="spellEnd"/>
      <w:r w:rsidRPr="00BB5480">
        <w:rPr>
          <w:rFonts w:cs="Arial"/>
        </w:rPr>
        <w:t>-II</w:t>
      </w:r>
      <w:r w:rsidR="00750F89" w:rsidRPr="00BB5480">
        <w:rPr>
          <w:rFonts w:cs="Arial"/>
        </w:rPr>
        <w:t xml:space="preserve"> itself</w:t>
      </w:r>
      <w:r w:rsidRPr="00BB5480">
        <w:rPr>
          <w:rFonts w:cs="Arial"/>
        </w:rPr>
        <w:t>. Overall, a significant and positive relationship of medium size (r=.3</w:t>
      </w:r>
      <w:r w:rsidR="004E56CD" w:rsidRPr="00BB5480">
        <w:rPr>
          <w:rFonts w:cs="Arial"/>
        </w:rPr>
        <w:t>2</w:t>
      </w:r>
      <w:r w:rsidRPr="00BB5480">
        <w:rPr>
          <w:rFonts w:cs="Arial"/>
        </w:rPr>
        <w:t xml:space="preserve">) was found. </w:t>
      </w:r>
      <w:r w:rsidR="004A5070" w:rsidRPr="00BB5480">
        <w:rPr>
          <w:rFonts w:cs="Arial"/>
        </w:rPr>
        <w:t>T</w:t>
      </w:r>
      <w:r w:rsidRPr="00BB5480">
        <w:rPr>
          <w:rFonts w:cs="Arial"/>
        </w:rPr>
        <w:t xml:space="preserve">he size of the relationship for the </w:t>
      </w:r>
      <w:r w:rsidR="004A5070" w:rsidRPr="00BB5480">
        <w:rPr>
          <w:rFonts w:cs="Arial"/>
        </w:rPr>
        <w:t>total</w:t>
      </w:r>
      <w:r w:rsidRPr="00BB5480">
        <w:rPr>
          <w:rFonts w:cs="Arial"/>
        </w:rPr>
        <w:t xml:space="preserve"> EPIC </w:t>
      </w:r>
      <w:r w:rsidR="004A5070" w:rsidRPr="00BB5480">
        <w:rPr>
          <w:rFonts w:cs="Arial"/>
        </w:rPr>
        <w:t>score</w:t>
      </w:r>
      <w:r w:rsidRPr="00BB5480">
        <w:rPr>
          <w:rFonts w:cs="Arial"/>
        </w:rPr>
        <w:t xml:space="preserve"> was somewhat greater than the relationship </w:t>
      </w:r>
      <w:r w:rsidR="00351371" w:rsidRPr="00BB5480">
        <w:rPr>
          <w:rFonts w:cs="Arial"/>
        </w:rPr>
        <w:t xml:space="preserve">between the </w:t>
      </w:r>
      <w:proofErr w:type="spellStart"/>
      <w:r w:rsidR="00351371" w:rsidRPr="00BB5480">
        <w:rPr>
          <w:rFonts w:cs="Arial"/>
        </w:rPr>
        <w:t>AAQ</w:t>
      </w:r>
      <w:proofErr w:type="spellEnd"/>
      <w:r w:rsidR="00351371" w:rsidRPr="00BB5480">
        <w:rPr>
          <w:rFonts w:cs="Arial"/>
        </w:rPr>
        <w:t xml:space="preserve">-II and </w:t>
      </w:r>
      <w:r w:rsidRPr="00BB5480">
        <w:rPr>
          <w:rFonts w:cs="Arial"/>
        </w:rPr>
        <w:t>the two individual factors (A, r=.2</w:t>
      </w:r>
      <w:r w:rsidR="009E779E" w:rsidRPr="00BB5480">
        <w:rPr>
          <w:rFonts w:cs="Arial"/>
        </w:rPr>
        <w:t>7</w:t>
      </w:r>
      <w:r w:rsidRPr="00BB5480">
        <w:rPr>
          <w:rFonts w:cs="Arial"/>
        </w:rPr>
        <w:t>, B</w:t>
      </w:r>
      <w:r w:rsidR="0001539A" w:rsidRPr="00BB5480">
        <w:rPr>
          <w:rFonts w:cs="Arial"/>
        </w:rPr>
        <w:t>R</w:t>
      </w:r>
      <w:r w:rsidRPr="00BB5480">
        <w:rPr>
          <w:rFonts w:cs="Arial"/>
        </w:rPr>
        <w:t>, r=.2</w:t>
      </w:r>
      <w:r w:rsidR="009E779E" w:rsidRPr="00BB5480">
        <w:rPr>
          <w:rFonts w:cs="Arial"/>
        </w:rPr>
        <w:t>3</w:t>
      </w:r>
      <w:r w:rsidRPr="00BB5480">
        <w:rPr>
          <w:rFonts w:cs="Arial"/>
        </w:rPr>
        <w:t>)</w:t>
      </w:r>
      <w:r w:rsidR="00086967" w:rsidRPr="00BB5480">
        <w:rPr>
          <w:rFonts w:cs="Arial"/>
        </w:rPr>
        <w:t>.</w:t>
      </w:r>
      <w:r w:rsidR="00056A9B" w:rsidRPr="00BB5480">
        <w:rPr>
          <w:rFonts w:cs="Arial"/>
        </w:rPr>
        <w:t xml:space="preserve"> </w:t>
      </w:r>
      <w:r w:rsidR="006F530A" w:rsidRPr="00BB5480">
        <w:rPr>
          <w:rFonts w:cs="Arial"/>
        </w:rPr>
        <w:t>It must be noted that</w:t>
      </w:r>
      <w:r w:rsidR="00056A9B" w:rsidRPr="00BB5480">
        <w:rPr>
          <w:rFonts w:cs="Arial"/>
        </w:rPr>
        <w:t xml:space="preserve"> this does not represent a significant difference (</w:t>
      </w:r>
      <w:r w:rsidR="00D11B1C" w:rsidRPr="00BB5480">
        <w:rPr>
          <w:rFonts w:cs="Arial"/>
        </w:rPr>
        <w:t xml:space="preserve">using </w:t>
      </w:r>
      <w:r w:rsidR="00056A9B" w:rsidRPr="00BB5480">
        <w:rPr>
          <w:rFonts w:cs="Arial"/>
        </w:rPr>
        <w:t>Fisher's r-to-z transformation)</w:t>
      </w:r>
      <w:r w:rsidR="00086967" w:rsidRPr="00BB5480">
        <w:rPr>
          <w:rFonts w:cs="Arial"/>
        </w:rPr>
        <w:t xml:space="preserve">, and it is not </w:t>
      </w:r>
      <w:r w:rsidR="00086967" w:rsidRPr="00BB5480">
        <w:t>uncommon for longer scale</w:t>
      </w:r>
      <w:r w:rsidR="006F530A" w:rsidRPr="00BB5480">
        <w:t>s</w:t>
      </w:r>
      <w:r w:rsidR="00086967" w:rsidRPr="00BB5480">
        <w:t xml:space="preserve"> to have a higher correlations with a criterion, than shorter ones</w:t>
      </w:r>
      <w:r w:rsidRPr="00BB5480">
        <w:t xml:space="preserve">. </w:t>
      </w:r>
      <w:r w:rsidR="00012EB5" w:rsidRPr="00BB5480">
        <w:t xml:space="preserve">The size of the correlation between the EPIC total score and the </w:t>
      </w:r>
      <w:proofErr w:type="spellStart"/>
      <w:r w:rsidR="00012EB5" w:rsidRPr="00BB5480">
        <w:t>AAQ</w:t>
      </w:r>
      <w:proofErr w:type="spellEnd"/>
      <w:r w:rsidR="00012EB5" w:rsidRPr="00BB5480">
        <w:t xml:space="preserve">-II is comparable to that of the correlation between the </w:t>
      </w:r>
      <w:proofErr w:type="spellStart"/>
      <w:r w:rsidR="00012EB5" w:rsidRPr="00BB5480">
        <w:t>AAQ</w:t>
      </w:r>
      <w:proofErr w:type="spellEnd"/>
      <w:r w:rsidR="00012EB5" w:rsidRPr="00BB5480">
        <w:t xml:space="preserve">-II and the </w:t>
      </w:r>
      <w:proofErr w:type="spellStart"/>
      <w:r w:rsidR="00012EB5" w:rsidRPr="00BB5480">
        <w:t>WAAQ</w:t>
      </w:r>
      <w:proofErr w:type="spellEnd"/>
      <w:r w:rsidR="00012EB5" w:rsidRPr="00BB5480">
        <w:t xml:space="preserve"> (Work-related Acceptance and Action Questionnaire; r=.30 and r=.31, Bond et al</w:t>
      </w:r>
      <w:r w:rsidR="00427415" w:rsidRPr="00BB5480">
        <w:t>.</w:t>
      </w:r>
      <w:r w:rsidR="00012EB5" w:rsidRPr="00BB5480">
        <w:t xml:space="preserve">, 2013). That said, it is still </w:t>
      </w:r>
      <w:r w:rsidRPr="00BB5480">
        <w:t>worth spending a moment considering why the relati</w:t>
      </w:r>
      <w:r w:rsidRPr="00BB5480">
        <w:rPr>
          <w:rFonts w:cs="Arial"/>
        </w:rPr>
        <w:t xml:space="preserve">onship </w:t>
      </w:r>
      <w:r w:rsidR="00056A9B" w:rsidRPr="00BB5480">
        <w:rPr>
          <w:rFonts w:cs="Arial"/>
        </w:rPr>
        <w:t xml:space="preserve">between the EPIC and </w:t>
      </w:r>
      <w:proofErr w:type="spellStart"/>
      <w:r w:rsidR="00056A9B" w:rsidRPr="00BB5480">
        <w:rPr>
          <w:rFonts w:cs="Arial"/>
        </w:rPr>
        <w:t>AAQ</w:t>
      </w:r>
      <w:proofErr w:type="spellEnd"/>
      <w:r w:rsidR="00056A9B" w:rsidRPr="00BB5480">
        <w:rPr>
          <w:rFonts w:cs="Arial"/>
        </w:rPr>
        <w:t xml:space="preserve">-II </w:t>
      </w:r>
      <w:r w:rsidRPr="00BB5480">
        <w:rPr>
          <w:rFonts w:cs="Arial"/>
        </w:rPr>
        <w:t xml:space="preserve">is not greater. As noted, the EPIC makes no reference to pain, fear and worry, while the </w:t>
      </w:r>
      <w:proofErr w:type="spellStart"/>
      <w:r w:rsidRPr="00BB5480">
        <w:rPr>
          <w:rFonts w:cs="Arial"/>
        </w:rPr>
        <w:t>AAQ</w:t>
      </w:r>
      <w:proofErr w:type="spellEnd"/>
      <w:r w:rsidRPr="00BB5480">
        <w:rPr>
          <w:rFonts w:cs="Arial"/>
        </w:rPr>
        <w:t xml:space="preserve">-II does. </w:t>
      </w:r>
      <w:r w:rsidR="001C0AD8" w:rsidRPr="00BB5480">
        <w:rPr>
          <w:rFonts w:cs="Arial"/>
        </w:rPr>
        <w:lastRenderedPageBreak/>
        <w:t xml:space="preserve">This may explain some of the difference. </w:t>
      </w:r>
      <w:r w:rsidRPr="00BB5480">
        <w:rPr>
          <w:rFonts w:cs="Arial"/>
        </w:rPr>
        <w:t>More than this</w:t>
      </w:r>
      <w:r w:rsidR="001F5647" w:rsidRPr="00BB5480">
        <w:rPr>
          <w:rFonts w:cs="Arial"/>
        </w:rPr>
        <w:t>,</w:t>
      </w:r>
      <w:r w:rsidRPr="00BB5480">
        <w:rPr>
          <w:rFonts w:cs="Arial"/>
        </w:rPr>
        <w:t xml:space="preserve"> items 1, 4, 5, 6 and 7 of the </w:t>
      </w:r>
      <w:proofErr w:type="spellStart"/>
      <w:r w:rsidRPr="00BB5480">
        <w:rPr>
          <w:rFonts w:cs="Arial"/>
        </w:rPr>
        <w:t>AAQ</w:t>
      </w:r>
      <w:proofErr w:type="spellEnd"/>
      <w:r w:rsidRPr="00BB5480">
        <w:rPr>
          <w:rFonts w:cs="Arial"/>
        </w:rPr>
        <w:t xml:space="preserve">-II </w:t>
      </w:r>
      <w:r w:rsidR="001F5647" w:rsidRPr="00BB5480">
        <w:rPr>
          <w:rFonts w:cs="Arial"/>
        </w:rPr>
        <w:t xml:space="preserve">suggest that </w:t>
      </w:r>
      <w:r w:rsidR="001C0AD8" w:rsidRPr="00BB5480">
        <w:rPr>
          <w:rFonts w:cs="Arial"/>
        </w:rPr>
        <w:t xml:space="preserve">relationships with </w:t>
      </w:r>
      <w:r w:rsidRPr="00BB5480">
        <w:rPr>
          <w:rFonts w:cs="Arial"/>
        </w:rPr>
        <w:t xml:space="preserve">private events </w:t>
      </w:r>
      <w:r w:rsidR="001F5647" w:rsidRPr="00BB5480">
        <w:rPr>
          <w:rFonts w:cs="Arial"/>
        </w:rPr>
        <w:t xml:space="preserve">are </w:t>
      </w:r>
      <w:r w:rsidRPr="00BB5480">
        <w:rPr>
          <w:rFonts w:cs="Arial"/>
        </w:rPr>
        <w:t xml:space="preserve">getting in the way of valued living. The item content of the EPIC deliberately does </w:t>
      </w:r>
      <w:r w:rsidR="00AA7294">
        <w:rPr>
          <w:rFonts w:cs="Arial"/>
        </w:rPr>
        <w:t xml:space="preserve">not </w:t>
      </w:r>
      <w:r w:rsidRPr="00BB5480">
        <w:rPr>
          <w:rFonts w:cs="Arial"/>
        </w:rPr>
        <w:t xml:space="preserve">make any </w:t>
      </w:r>
      <w:r w:rsidR="00B1275F" w:rsidRPr="00BB5480">
        <w:rPr>
          <w:rFonts w:cs="Arial"/>
        </w:rPr>
        <w:t xml:space="preserve">explicit </w:t>
      </w:r>
      <w:r w:rsidRPr="00BB5480">
        <w:rPr>
          <w:rFonts w:cs="Arial"/>
        </w:rPr>
        <w:t xml:space="preserve">connection between relationships with private events and problems with valued living </w:t>
      </w:r>
      <w:r w:rsidR="00450122">
        <w:t xml:space="preserve">generally (e.g. family, personal and work life) </w:t>
      </w:r>
      <w:r w:rsidRPr="00BB5480">
        <w:rPr>
          <w:rFonts w:cs="Arial"/>
        </w:rPr>
        <w:t xml:space="preserve">as it is trying to measure psychological inflexibility in contexts where </w:t>
      </w:r>
      <w:r w:rsidR="001C0AD8" w:rsidRPr="00BB5480">
        <w:rPr>
          <w:rFonts w:cs="Arial"/>
        </w:rPr>
        <w:t xml:space="preserve">the </w:t>
      </w:r>
      <w:r w:rsidRPr="00BB5480">
        <w:rPr>
          <w:rFonts w:cs="Arial"/>
        </w:rPr>
        <w:t>direct impact on valued living may be less</w:t>
      </w:r>
      <w:r w:rsidR="001C0AD8" w:rsidRPr="00BB5480">
        <w:rPr>
          <w:rFonts w:cs="Arial"/>
        </w:rPr>
        <w:t xml:space="preserve"> (e.g. more prosocial behaviour)</w:t>
      </w:r>
      <w:r w:rsidRPr="00BB5480">
        <w:rPr>
          <w:rFonts w:cs="Arial"/>
        </w:rPr>
        <w:t xml:space="preserve">. </w:t>
      </w:r>
      <w:r w:rsidR="001F5647" w:rsidRPr="00BB5480">
        <w:rPr>
          <w:rFonts w:cs="Arial"/>
        </w:rPr>
        <w:t>Th</w:t>
      </w:r>
      <w:r w:rsidR="001C0AD8" w:rsidRPr="00BB5480">
        <w:rPr>
          <w:rFonts w:cs="Arial"/>
        </w:rPr>
        <w:t>e</w:t>
      </w:r>
      <w:r w:rsidR="001F5647" w:rsidRPr="00BB5480">
        <w:rPr>
          <w:rFonts w:cs="Arial"/>
        </w:rPr>
        <w:t>s</w:t>
      </w:r>
      <w:r w:rsidR="001C0AD8" w:rsidRPr="00BB5480">
        <w:rPr>
          <w:rFonts w:cs="Arial"/>
        </w:rPr>
        <w:t>e</w:t>
      </w:r>
      <w:r w:rsidR="001F5647" w:rsidRPr="00BB5480">
        <w:rPr>
          <w:rFonts w:cs="Arial"/>
        </w:rPr>
        <w:t xml:space="preserve"> may be </w:t>
      </w:r>
      <w:r w:rsidR="001C0AD8" w:rsidRPr="00BB5480">
        <w:rPr>
          <w:rFonts w:cs="Arial"/>
        </w:rPr>
        <w:t>some of the</w:t>
      </w:r>
      <w:r w:rsidR="001F5647" w:rsidRPr="00BB5480">
        <w:rPr>
          <w:rFonts w:cs="Arial"/>
        </w:rPr>
        <w:t xml:space="preserve"> reason</w:t>
      </w:r>
      <w:r w:rsidR="001C0AD8" w:rsidRPr="00BB5480">
        <w:rPr>
          <w:rFonts w:cs="Arial"/>
        </w:rPr>
        <w:t>s</w:t>
      </w:r>
      <w:r w:rsidR="001F5647" w:rsidRPr="00BB5480">
        <w:rPr>
          <w:rFonts w:cs="Arial"/>
        </w:rPr>
        <w:t xml:space="preserve"> why the strength of the EPIC and </w:t>
      </w:r>
      <w:proofErr w:type="spellStart"/>
      <w:r w:rsidR="001F5647" w:rsidRPr="00BB5480">
        <w:rPr>
          <w:rFonts w:cs="Arial"/>
        </w:rPr>
        <w:t>AAQ</w:t>
      </w:r>
      <w:proofErr w:type="spellEnd"/>
      <w:r w:rsidR="001F5647" w:rsidRPr="00BB5480">
        <w:rPr>
          <w:rFonts w:cs="Arial"/>
        </w:rPr>
        <w:t>-II relationship appears the way it does.</w:t>
      </w:r>
      <w:r w:rsidR="004A5070" w:rsidRPr="00BB5480">
        <w:rPr>
          <w:rFonts w:cs="Arial"/>
        </w:rPr>
        <w:t xml:space="preserve"> And again, as noted earlier, it will be interesting to monitor this relationship across future data collection episodes.</w:t>
      </w:r>
    </w:p>
    <w:p w14:paraId="7C538A33" w14:textId="222ADCA1" w:rsidR="004C3C28" w:rsidRPr="00BB5480" w:rsidRDefault="00DA69D9">
      <w:pPr>
        <w:pStyle w:val="BodyTextFirstIndent"/>
      </w:pPr>
      <w:r w:rsidRPr="00BB5480">
        <w:rPr>
          <w:rFonts w:cs="Arial"/>
        </w:rPr>
        <w:t xml:space="preserve">In the final study in this paper, the </w:t>
      </w:r>
      <w:r w:rsidR="004A5070" w:rsidRPr="00BB5480">
        <w:rPr>
          <w:rFonts w:cs="Arial"/>
        </w:rPr>
        <w:t xml:space="preserve">relationship between the </w:t>
      </w:r>
      <w:r w:rsidRPr="00BB5480">
        <w:rPr>
          <w:rFonts w:cs="Arial"/>
        </w:rPr>
        <w:t>EPIC</w:t>
      </w:r>
      <w:r w:rsidR="004A5070" w:rsidRPr="00BB5480">
        <w:rPr>
          <w:rFonts w:cs="Arial"/>
        </w:rPr>
        <w:t>,</w:t>
      </w:r>
      <w:r w:rsidRPr="00BB5480">
        <w:rPr>
          <w:rFonts w:cs="Arial"/>
        </w:rPr>
        <w:t xml:space="preserve"> </w:t>
      </w:r>
      <w:proofErr w:type="spellStart"/>
      <w:r w:rsidRPr="00BB5480">
        <w:rPr>
          <w:rFonts w:cs="Arial"/>
        </w:rPr>
        <w:t>AAQ</w:t>
      </w:r>
      <w:proofErr w:type="spellEnd"/>
      <w:r w:rsidRPr="00BB5480">
        <w:rPr>
          <w:rFonts w:cs="Arial"/>
        </w:rPr>
        <w:t xml:space="preserve">-II </w:t>
      </w:r>
      <w:r w:rsidR="004A5070" w:rsidRPr="00BB5480">
        <w:rPr>
          <w:rFonts w:cs="Arial"/>
        </w:rPr>
        <w:t>and other broadly prosocial measures (</w:t>
      </w:r>
      <w:r w:rsidRPr="00BB5480">
        <w:rPr>
          <w:rFonts w:cs="Arial"/>
        </w:rPr>
        <w:t xml:space="preserve">empathy, self-reported </w:t>
      </w:r>
      <w:r w:rsidR="00711C1F" w:rsidRPr="00BB5480">
        <w:rPr>
          <w:rFonts w:cs="Arial"/>
        </w:rPr>
        <w:t>helping behaviour and attitudes towards helping others and charity</w:t>
      </w:r>
      <w:r w:rsidR="004A5070" w:rsidRPr="00BB5480">
        <w:rPr>
          <w:rFonts w:cs="Arial"/>
        </w:rPr>
        <w:t>) was explored</w:t>
      </w:r>
      <w:r w:rsidRPr="00BB5480">
        <w:rPr>
          <w:rFonts w:cs="Arial"/>
        </w:rPr>
        <w:t xml:space="preserve">. </w:t>
      </w:r>
      <w:r w:rsidR="00CD1E74" w:rsidRPr="00BB5480">
        <w:t>The total score</w:t>
      </w:r>
      <w:r w:rsidR="00336071" w:rsidRPr="00BB5480">
        <w:t>s</w:t>
      </w:r>
      <w:r w:rsidR="00CD1E74" w:rsidRPr="00BB5480">
        <w:t xml:space="preserve"> for both</w:t>
      </w:r>
      <w:r w:rsidR="00E85786" w:rsidRPr="00BB5480">
        <w:t xml:space="preserve"> measures of psychological inflexibility do have significant </w:t>
      </w:r>
      <w:r w:rsidR="00CD1E74" w:rsidRPr="00BB5480">
        <w:t xml:space="preserve">negative </w:t>
      </w:r>
      <w:r w:rsidR="00E85786" w:rsidRPr="00BB5480">
        <w:t xml:space="preserve">relationships with self-reported helping behaviour in the expected direction (more psychological inflexibility, less </w:t>
      </w:r>
      <w:r w:rsidR="00CD1E74" w:rsidRPr="00BB5480">
        <w:t>self-reported</w:t>
      </w:r>
      <w:r w:rsidR="00E85786" w:rsidRPr="00BB5480">
        <w:t xml:space="preserve"> helping behaviour)</w:t>
      </w:r>
      <w:r w:rsidR="00CD1E74" w:rsidRPr="00BB5480">
        <w:t>, however the size of these relationship is not large (-.23, -.20)</w:t>
      </w:r>
      <w:r w:rsidR="00E85786" w:rsidRPr="00BB5480">
        <w:t xml:space="preserve"> </w:t>
      </w:r>
      <w:r w:rsidR="00CD1E74" w:rsidRPr="00BB5480">
        <w:rPr>
          <w:rFonts w:cs="Arial"/>
        </w:rPr>
        <w:t>Although both</w:t>
      </w:r>
      <w:r w:rsidRPr="00BB5480">
        <w:rPr>
          <w:rFonts w:cs="Arial"/>
        </w:rPr>
        <w:t xml:space="preserve"> </w:t>
      </w:r>
      <w:r w:rsidR="00CD1E74" w:rsidRPr="00BB5480">
        <w:rPr>
          <w:rFonts w:cs="Arial"/>
        </w:rPr>
        <w:t>performed roughly equally in zero order correlations, when entered into a regression</w:t>
      </w:r>
      <w:r w:rsidRPr="00BB5480">
        <w:rPr>
          <w:rFonts w:cs="Arial"/>
        </w:rPr>
        <w:t xml:space="preserve">, the avoidance factor of EPIC appeared to perform more strongly than the </w:t>
      </w:r>
      <w:proofErr w:type="spellStart"/>
      <w:r w:rsidRPr="00BB5480">
        <w:rPr>
          <w:rFonts w:cs="Arial"/>
        </w:rPr>
        <w:t>AAQ</w:t>
      </w:r>
      <w:proofErr w:type="spellEnd"/>
      <w:r w:rsidRPr="00BB5480">
        <w:rPr>
          <w:rFonts w:cs="Arial"/>
        </w:rPr>
        <w:t xml:space="preserve">-II. </w:t>
      </w:r>
      <w:r w:rsidR="00CD1E74" w:rsidRPr="00BB5480">
        <w:rPr>
          <w:rFonts w:cs="Arial"/>
        </w:rPr>
        <w:t xml:space="preserve">But again, </w:t>
      </w:r>
      <w:r w:rsidRPr="00BB5480">
        <w:rPr>
          <w:rFonts w:cs="Arial"/>
        </w:rPr>
        <w:t>perhaps surprising</w:t>
      </w:r>
      <w:r w:rsidR="00B1275F" w:rsidRPr="00BB5480">
        <w:rPr>
          <w:rFonts w:cs="Arial"/>
        </w:rPr>
        <w:t>ly</w:t>
      </w:r>
      <w:r w:rsidRPr="00BB5480">
        <w:rPr>
          <w:rFonts w:cs="Arial"/>
        </w:rPr>
        <w:t>, in combinat</w:t>
      </w:r>
      <w:r w:rsidRPr="00BB5480">
        <w:t xml:space="preserve">ion they accounted for only 7% of the variance in terms of self-reported </w:t>
      </w:r>
      <w:r w:rsidR="004C3C28" w:rsidRPr="00BB5480">
        <w:t>helping behaviour</w:t>
      </w:r>
      <w:r w:rsidR="00CD1E74" w:rsidRPr="00BB5480">
        <w:t>.</w:t>
      </w:r>
    </w:p>
    <w:p w14:paraId="2BE9B2E0" w14:textId="0E331329" w:rsidR="00A802D1" w:rsidRPr="00BB5480" w:rsidRDefault="00E85786" w:rsidP="00A802D1">
      <w:pPr>
        <w:pStyle w:val="BodyTextFirstIndent"/>
      </w:pPr>
      <w:r w:rsidRPr="00BB5480">
        <w:t xml:space="preserve">Moreover, in </w:t>
      </w:r>
      <w:r w:rsidR="00F938C5" w:rsidRPr="00BB5480">
        <w:t xml:space="preserve">the relationships with </w:t>
      </w:r>
      <w:r w:rsidR="00B1275F" w:rsidRPr="00BB5480">
        <w:t xml:space="preserve">other </w:t>
      </w:r>
      <w:r w:rsidR="00F938C5" w:rsidRPr="00BB5480">
        <w:t>more prosocial measures</w:t>
      </w:r>
      <w:r w:rsidRPr="00BB5480">
        <w:t>, only the avoidance factor of the EPIC produced a significant relationship with empathy.</w:t>
      </w:r>
      <w:r w:rsidR="00F938C5" w:rsidRPr="00BB5480">
        <w:t xml:space="preserve"> </w:t>
      </w:r>
      <w:r w:rsidR="00B1275F" w:rsidRPr="00BB5480">
        <w:t xml:space="preserve">Not the behavioural rigidity factor, nor the </w:t>
      </w:r>
      <w:proofErr w:type="spellStart"/>
      <w:r w:rsidR="00B1275F" w:rsidRPr="00BB5480">
        <w:t>AAQ</w:t>
      </w:r>
      <w:proofErr w:type="spellEnd"/>
      <w:r w:rsidR="00B1275F" w:rsidRPr="00BB5480">
        <w:t xml:space="preserve">-II. </w:t>
      </w:r>
      <w:r w:rsidR="00DA69D9" w:rsidRPr="00BB5480">
        <w:t xml:space="preserve">It is perhaps interesting to note that non-significant relationships between empathy and measures of psychological </w:t>
      </w:r>
      <w:r w:rsidR="00F938C5" w:rsidRPr="00BB5480">
        <w:t>in</w:t>
      </w:r>
      <w:r w:rsidR="00DA69D9" w:rsidRPr="00BB5480">
        <w:t xml:space="preserve">flexibility have been </w:t>
      </w:r>
      <w:r w:rsidR="00336071" w:rsidRPr="00BB5480">
        <w:t>found</w:t>
      </w:r>
      <w:r w:rsidR="00DA69D9" w:rsidRPr="00BB5480">
        <w:t xml:space="preserve"> before</w:t>
      </w:r>
      <w:r w:rsidR="00682B04" w:rsidRPr="00BB5480">
        <w:t xml:space="preserve">. For example </w:t>
      </w:r>
      <w:proofErr w:type="spellStart"/>
      <w:r w:rsidR="00682B04" w:rsidRPr="00BB5480">
        <w:t>Vilardaga</w:t>
      </w:r>
      <w:proofErr w:type="spellEnd"/>
      <w:r w:rsidR="00682B04" w:rsidRPr="00BB5480">
        <w:t xml:space="preserve"> et al. </w:t>
      </w:r>
      <w:r w:rsidR="00DA69D9" w:rsidRPr="00BB5480">
        <w:t xml:space="preserve">(2012) used the </w:t>
      </w:r>
      <w:proofErr w:type="spellStart"/>
      <w:r w:rsidR="00DA69D9" w:rsidRPr="00BB5480">
        <w:t>AAQ</w:t>
      </w:r>
      <w:proofErr w:type="spellEnd"/>
      <w:r w:rsidR="00DA69D9" w:rsidRPr="00BB5480">
        <w:t>-II and the Interpersonal Reactivity Index - Empathic Concern Sub-scale (</w:t>
      </w:r>
      <w:proofErr w:type="spellStart"/>
      <w:r w:rsidR="00DA69D9" w:rsidRPr="00BB5480">
        <w:t>IRI</w:t>
      </w:r>
      <w:proofErr w:type="spellEnd"/>
      <w:r w:rsidR="00DA69D9" w:rsidRPr="00BB5480">
        <w:t>-EC; Davis, 1983). They found a non-signific</w:t>
      </w:r>
      <w:r w:rsidR="00B938B9" w:rsidRPr="00BB5480">
        <w:t>ant correlation in a sample of N</w:t>
      </w:r>
      <w:r w:rsidR="00DA69D9" w:rsidRPr="00BB5480">
        <w:t xml:space="preserve">=102 (r=.03, </w:t>
      </w:r>
      <w:proofErr w:type="spellStart"/>
      <w:r w:rsidR="00DA69D9" w:rsidRPr="00BB5480">
        <w:t>p.418</w:t>
      </w:r>
      <w:proofErr w:type="spellEnd"/>
      <w:r w:rsidR="00DA69D9" w:rsidRPr="00BB5480">
        <w:t xml:space="preserve">). Similarly, in a 2014 paper by Levin et al., the </w:t>
      </w:r>
      <w:proofErr w:type="spellStart"/>
      <w:r w:rsidR="00DA69D9" w:rsidRPr="00BB5480">
        <w:t>AAQ</w:t>
      </w:r>
      <w:proofErr w:type="spellEnd"/>
      <w:r w:rsidR="00DA69D9" w:rsidRPr="00BB5480">
        <w:t xml:space="preserve">-II and </w:t>
      </w:r>
      <w:proofErr w:type="spellStart"/>
      <w:r w:rsidR="00DA69D9" w:rsidRPr="00BB5480">
        <w:t>IRI</w:t>
      </w:r>
      <w:proofErr w:type="spellEnd"/>
      <w:r w:rsidR="00DA69D9" w:rsidRPr="00BB5480">
        <w:t>-EC produced another non-significant correlation in a sample of 604. However it is worth noting that a relatively new measure of psychological flexibility, specifically targeting stigma (</w:t>
      </w:r>
      <w:proofErr w:type="spellStart"/>
      <w:r w:rsidR="00DA69D9" w:rsidRPr="00BB5480">
        <w:t>AAQ</w:t>
      </w:r>
      <w:proofErr w:type="spellEnd"/>
      <w:r w:rsidR="00DA69D9" w:rsidRPr="00BB5480">
        <w:t xml:space="preserve">-S), used in the same study, did produce a significant negative correlation of r=-.35. Perhaps one thing to note from this current paper is that, there may be some worth in deliberately measuring prosocial behaviours </w:t>
      </w:r>
      <w:r w:rsidR="00B1275F" w:rsidRPr="00BB5480">
        <w:t xml:space="preserve">more </w:t>
      </w:r>
      <w:r w:rsidR="00DA69D9" w:rsidRPr="00BB5480">
        <w:t xml:space="preserve">directly (like </w:t>
      </w:r>
      <w:r w:rsidR="00711C1F" w:rsidRPr="00BB5480">
        <w:t xml:space="preserve">the </w:t>
      </w:r>
      <w:r w:rsidR="000F3CCB" w:rsidRPr="00BB5480">
        <w:t>self-reported</w:t>
      </w:r>
      <w:r w:rsidR="00DA69D9" w:rsidRPr="00BB5480">
        <w:t xml:space="preserve"> </w:t>
      </w:r>
      <w:r w:rsidR="00711C1F" w:rsidRPr="00BB5480">
        <w:t>helping behaviours listed in the SRA</w:t>
      </w:r>
      <w:r w:rsidR="00DA69D9" w:rsidRPr="00BB5480">
        <w:t xml:space="preserve">), </w:t>
      </w:r>
      <w:r w:rsidR="004C3C28" w:rsidRPr="00BB5480">
        <w:t>in addition to measuring</w:t>
      </w:r>
      <w:r w:rsidR="00DA69D9" w:rsidRPr="00BB5480">
        <w:t xml:space="preserve"> </w:t>
      </w:r>
      <w:r w:rsidR="004C3C28" w:rsidRPr="00BB5480">
        <w:t xml:space="preserve">contested </w:t>
      </w:r>
      <w:r w:rsidR="00B1275F" w:rsidRPr="00BB5480">
        <w:t>(</w:t>
      </w:r>
      <w:r w:rsidR="004C3C28" w:rsidRPr="00BB5480">
        <w:t>i.e</w:t>
      </w:r>
      <w:r w:rsidR="00711C1F" w:rsidRPr="00BB5480">
        <w:t xml:space="preserve">. </w:t>
      </w:r>
      <w:proofErr w:type="spellStart"/>
      <w:r w:rsidR="00DA69D9" w:rsidRPr="00BB5480">
        <w:t>Spreng</w:t>
      </w:r>
      <w:proofErr w:type="spellEnd"/>
      <w:r w:rsidR="00DA69D9" w:rsidRPr="00BB5480">
        <w:t xml:space="preserve"> et al., 2009, p. 62) </w:t>
      </w:r>
      <w:r w:rsidR="00711C1F" w:rsidRPr="00BB5480">
        <w:lastRenderedPageBreak/>
        <w:t xml:space="preserve">constructs like empathy that </w:t>
      </w:r>
      <w:r w:rsidR="004C3C28" w:rsidRPr="00BB5480">
        <w:t>are</w:t>
      </w:r>
      <w:r w:rsidR="00711C1F" w:rsidRPr="00BB5480">
        <w:t xml:space="preserve"> </w:t>
      </w:r>
      <w:r w:rsidR="00DA69D9" w:rsidRPr="00BB5480">
        <w:t xml:space="preserve">related to </w:t>
      </w:r>
      <w:r w:rsidR="0079501A" w:rsidRPr="00BB5480">
        <w:t>helping</w:t>
      </w:r>
      <w:r w:rsidR="00DA69D9" w:rsidRPr="00BB5480">
        <w:t xml:space="preserve"> behaviours.</w:t>
      </w:r>
      <w:r w:rsidR="00B1275F" w:rsidRPr="00BB5480">
        <w:t xml:space="preserve"> It must also be acknowledged that there may be an important degree of difference between self-reported helping behaviour in a questionnaire and actual helping behaviour in the real world.</w:t>
      </w:r>
    </w:p>
    <w:p w14:paraId="3F800807" w14:textId="77777777" w:rsidR="00A802D1" w:rsidRPr="00BB5480" w:rsidRDefault="00A802D1" w:rsidP="00A802D1">
      <w:pPr>
        <w:pStyle w:val="BodyTextFirstIndent"/>
        <w:rPr>
          <w:rFonts w:cs="Arial"/>
        </w:rPr>
      </w:pPr>
      <w:r w:rsidRPr="00BB5480">
        <w:rPr>
          <w:rFonts w:cs="Arial"/>
        </w:rPr>
        <w:t>It is important to note that the EPIC makes no claim to measure psychological inflexibility in all of its manifestations. For one, as noted in the introduction and earlier in the discussion, definitions of psychological flexibility / inflexibility tend to note a link between current behaviour and values and goals. Such item content is deliberately missing from the EPIC. More modestly, the two factors simply represent those items and factors which performed most strongly in both the exploratory and confirmatory factor analyses.</w:t>
      </w:r>
    </w:p>
    <w:p w14:paraId="2DC0C76A" w14:textId="43DF17A5" w:rsidR="00DA69D9" w:rsidRPr="00BB5480" w:rsidRDefault="00A802D1">
      <w:pPr>
        <w:pStyle w:val="BodyTextFirstIndent"/>
        <w:rPr>
          <w:rFonts w:cs="Arial"/>
        </w:rPr>
      </w:pPr>
      <w:r w:rsidRPr="00BB5480">
        <w:rPr>
          <w:rFonts w:cs="Arial"/>
        </w:rPr>
        <w:t>It has to be noted, that considerabl</w:t>
      </w:r>
      <w:r w:rsidR="00590901" w:rsidRPr="00BB5480">
        <w:rPr>
          <w:rFonts w:cs="Arial"/>
        </w:rPr>
        <w:t>y</w:t>
      </w:r>
      <w:r w:rsidRPr="00BB5480">
        <w:rPr>
          <w:rFonts w:cs="Arial"/>
        </w:rPr>
        <w:t xml:space="preserve"> more work needs to be done to establish the convergent validity of the behavioural rigidity factor. </w:t>
      </w:r>
      <w:r w:rsidR="0082089E" w:rsidRPr="00BB5480">
        <w:rPr>
          <w:rFonts w:cs="Arial"/>
        </w:rPr>
        <w:t>As reported in the results, a</w:t>
      </w:r>
      <w:r w:rsidRPr="00BB5480">
        <w:rPr>
          <w:rFonts w:cs="Arial"/>
        </w:rPr>
        <w:t>side from modest significant relationships with the EPIC a</w:t>
      </w:r>
      <w:r w:rsidR="00BE1EDD" w:rsidRPr="00BB5480">
        <w:rPr>
          <w:rFonts w:cs="Arial"/>
        </w:rPr>
        <w:t xml:space="preserve">voidance factor and the </w:t>
      </w:r>
      <w:proofErr w:type="spellStart"/>
      <w:r w:rsidR="00BE1EDD" w:rsidRPr="00BB5480">
        <w:rPr>
          <w:rFonts w:cs="Arial"/>
        </w:rPr>
        <w:t>AAQ</w:t>
      </w:r>
      <w:proofErr w:type="spellEnd"/>
      <w:r w:rsidR="00BE1EDD" w:rsidRPr="00BB5480">
        <w:rPr>
          <w:rFonts w:cs="Arial"/>
        </w:rPr>
        <w:t>-II, no significant correlations were found</w:t>
      </w:r>
      <w:r w:rsidR="000246F8" w:rsidRPr="00BB5480">
        <w:rPr>
          <w:rFonts w:cs="Arial"/>
        </w:rPr>
        <w:t xml:space="preserve"> with any of the four more prosocial measures</w:t>
      </w:r>
      <w:r w:rsidR="00BE1EDD" w:rsidRPr="00BB5480">
        <w:rPr>
          <w:rFonts w:cs="Arial"/>
        </w:rPr>
        <w:t xml:space="preserve">. </w:t>
      </w:r>
      <w:r w:rsidR="00BF61DB" w:rsidRPr="00BB5480">
        <w:rPr>
          <w:rFonts w:cs="Arial"/>
        </w:rPr>
        <w:t xml:space="preserve">It may be the case that scores from this factor have limited utility going forward. </w:t>
      </w:r>
      <w:r w:rsidR="00590901" w:rsidRPr="00BB5480">
        <w:rPr>
          <w:rFonts w:cs="Arial"/>
        </w:rPr>
        <w:t xml:space="preserve">That said, </w:t>
      </w:r>
      <w:r w:rsidR="00BF61DB" w:rsidRPr="00BB5480">
        <w:rPr>
          <w:rFonts w:cs="Arial"/>
        </w:rPr>
        <w:t xml:space="preserve">it might be useful to speculate on the potential </w:t>
      </w:r>
      <w:r w:rsidR="00EA5A75" w:rsidRPr="00BB5480">
        <w:rPr>
          <w:rFonts w:cs="Arial"/>
        </w:rPr>
        <w:t xml:space="preserve">usefulness </w:t>
      </w:r>
      <w:r w:rsidR="00BF61DB" w:rsidRPr="00BB5480">
        <w:rPr>
          <w:rFonts w:cs="Arial"/>
        </w:rPr>
        <w:t>of such items</w:t>
      </w:r>
      <w:r w:rsidR="00BE1EDD" w:rsidRPr="00BB5480">
        <w:rPr>
          <w:rFonts w:cs="Arial"/>
        </w:rPr>
        <w:t xml:space="preserve">. For example, there seems to be a possibility that content similar to these items may tap into to </w:t>
      </w:r>
      <w:r w:rsidR="00C26D93" w:rsidRPr="00BB5480">
        <w:rPr>
          <w:rFonts w:cs="Arial"/>
        </w:rPr>
        <w:t xml:space="preserve">rule-governed </w:t>
      </w:r>
      <w:r w:rsidR="00BE1EDD" w:rsidRPr="00BB5480">
        <w:rPr>
          <w:rFonts w:cs="Arial"/>
        </w:rPr>
        <w:t>behaviour that shows “less response to changes in the environment” (Hayes &amp; Gifford, 1997, p. 172)</w:t>
      </w:r>
      <w:r w:rsidR="00C26D93" w:rsidRPr="00BB5480">
        <w:rPr>
          <w:rFonts w:cs="Arial"/>
        </w:rPr>
        <w:t xml:space="preserve">. </w:t>
      </w:r>
      <w:r w:rsidR="00B36B6C" w:rsidRPr="00BB5480">
        <w:rPr>
          <w:rFonts w:cs="Arial"/>
        </w:rPr>
        <w:t>I</w:t>
      </w:r>
      <w:r w:rsidR="00BE1EDD" w:rsidRPr="00BB5480">
        <w:rPr>
          <w:rFonts w:cs="Arial"/>
        </w:rPr>
        <w:t xml:space="preserve">t has been shown experimentally that behaviour that is governed by rules is less sensitive </w:t>
      </w:r>
      <w:r w:rsidR="003154C2" w:rsidRPr="00BB5480">
        <w:rPr>
          <w:rFonts w:cs="Arial"/>
        </w:rPr>
        <w:t>to changes in this way</w:t>
      </w:r>
      <w:r w:rsidR="00BE1EDD" w:rsidRPr="00BB5480">
        <w:rPr>
          <w:rFonts w:cs="Arial"/>
        </w:rPr>
        <w:t xml:space="preserve"> (e.g. Hayes, Brownstein, </w:t>
      </w:r>
      <w:proofErr w:type="spellStart"/>
      <w:r w:rsidR="00BE1EDD" w:rsidRPr="00BB5480">
        <w:rPr>
          <w:rFonts w:cs="Arial"/>
        </w:rPr>
        <w:t>Zettle</w:t>
      </w:r>
      <w:proofErr w:type="spellEnd"/>
      <w:r w:rsidR="00BE1EDD" w:rsidRPr="00BB5480">
        <w:rPr>
          <w:rFonts w:cs="Arial"/>
        </w:rPr>
        <w:t xml:space="preserve">, </w:t>
      </w:r>
      <w:proofErr w:type="spellStart"/>
      <w:r w:rsidR="00BE1EDD" w:rsidRPr="00BB5480">
        <w:rPr>
          <w:rFonts w:cs="Arial"/>
        </w:rPr>
        <w:t>Rosenfarb</w:t>
      </w:r>
      <w:proofErr w:type="spellEnd"/>
      <w:r w:rsidR="00BE1EDD" w:rsidRPr="00BB5480">
        <w:rPr>
          <w:rFonts w:cs="Arial"/>
        </w:rPr>
        <w:t xml:space="preserve">, &amp; </w:t>
      </w:r>
      <w:proofErr w:type="spellStart"/>
      <w:r w:rsidR="00BE1EDD" w:rsidRPr="00BB5480">
        <w:rPr>
          <w:rFonts w:cs="Arial"/>
        </w:rPr>
        <w:t>Korn</w:t>
      </w:r>
      <w:proofErr w:type="spellEnd"/>
      <w:r w:rsidR="00BE1EDD" w:rsidRPr="00BB5480">
        <w:rPr>
          <w:rFonts w:cs="Arial"/>
        </w:rPr>
        <w:t xml:space="preserve">, 1986). Indeed it is suggested by Hayes and Gifford (1997) that “overarching verbal rules”, might lead to a more general “insensitivity effect” in behaviour (Catania, </w:t>
      </w:r>
      <w:proofErr w:type="spellStart"/>
      <w:r w:rsidR="00BE1EDD" w:rsidRPr="00BB5480">
        <w:rPr>
          <w:rFonts w:cs="Arial"/>
        </w:rPr>
        <w:t>Shimoff</w:t>
      </w:r>
      <w:proofErr w:type="spellEnd"/>
      <w:r w:rsidR="00BE1EDD" w:rsidRPr="00BB5480">
        <w:rPr>
          <w:rFonts w:cs="Arial"/>
        </w:rPr>
        <w:t xml:space="preserve">, &amp; Matthews, 1989). Hayes and Gifford (1997) suggest that this effect may help explain why experiential avoidance is maintained despite it potentially causing problems in life (p. 172). </w:t>
      </w:r>
      <w:r w:rsidR="00B36B6C" w:rsidRPr="00BB5480">
        <w:rPr>
          <w:rFonts w:cs="Arial"/>
        </w:rPr>
        <w:t>F</w:t>
      </w:r>
      <w:r w:rsidR="00BE1EDD" w:rsidRPr="00BB5480">
        <w:rPr>
          <w:rFonts w:cs="Arial"/>
        </w:rPr>
        <w:t xml:space="preserve">rom a psychometric point of view, it may be challenging to measure an individual's awareness of the presence of overarching verbal rules in a self-report measure. However </w:t>
      </w:r>
      <w:r w:rsidR="00C26D93" w:rsidRPr="00BB5480">
        <w:rPr>
          <w:rFonts w:cs="Arial"/>
        </w:rPr>
        <w:t>it seems important to try</w:t>
      </w:r>
      <w:r w:rsidR="00BF61DB" w:rsidRPr="00BB5480">
        <w:rPr>
          <w:rFonts w:cs="Arial"/>
        </w:rPr>
        <w:t xml:space="preserve"> – and the items related behavioural rigidity may represent</w:t>
      </w:r>
      <w:r w:rsidR="00B36B6C" w:rsidRPr="00BB5480">
        <w:rPr>
          <w:rFonts w:cs="Arial"/>
        </w:rPr>
        <w:t xml:space="preserve"> a tentative</w:t>
      </w:r>
      <w:r w:rsidR="00BF61DB" w:rsidRPr="00BB5480">
        <w:rPr>
          <w:rFonts w:cs="Arial"/>
        </w:rPr>
        <w:t xml:space="preserve"> step in this direction</w:t>
      </w:r>
      <w:r w:rsidR="00C26D93" w:rsidRPr="00BB5480">
        <w:rPr>
          <w:rFonts w:cs="Arial"/>
        </w:rPr>
        <w:t xml:space="preserve">. </w:t>
      </w:r>
      <w:r w:rsidR="000306B0" w:rsidRPr="00BB5480">
        <w:rPr>
          <w:rFonts w:cs="Arial"/>
        </w:rPr>
        <w:t>That said, a</w:t>
      </w:r>
      <w:r w:rsidR="00C26D93" w:rsidRPr="00BB5480">
        <w:rPr>
          <w:rFonts w:cs="Arial"/>
        </w:rPr>
        <w:t>s noted, considerably more</w:t>
      </w:r>
      <w:r w:rsidR="00BE1EDD" w:rsidRPr="00BB5480">
        <w:rPr>
          <w:rFonts w:cs="Arial"/>
        </w:rPr>
        <w:t xml:space="preserve"> empirical work is needed to assess whether items in </w:t>
      </w:r>
      <w:r w:rsidR="00C26D93" w:rsidRPr="00BB5480">
        <w:rPr>
          <w:rFonts w:cs="Arial"/>
        </w:rPr>
        <w:t>the behavioural rigidity</w:t>
      </w:r>
      <w:r w:rsidR="00BE1EDD" w:rsidRPr="00BB5480">
        <w:rPr>
          <w:rFonts w:cs="Arial"/>
        </w:rPr>
        <w:t xml:space="preserve"> </w:t>
      </w:r>
      <w:r w:rsidR="00450122">
        <w:rPr>
          <w:rFonts w:cs="Arial"/>
        </w:rPr>
        <w:t xml:space="preserve">factor </w:t>
      </w:r>
      <w:r w:rsidR="00BE1EDD" w:rsidRPr="00BB5480">
        <w:rPr>
          <w:rFonts w:cs="Arial"/>
        </w:rPr>
        <w:t xml:space="preserve">relate to </w:t>
      </w:r>
      <w:r w:rsidR="000306B0" w:rsidRPr="00BB5480">
        <w:rPr>
          <w:rFonts w:cs="Arial"/>
        </w:rPr>
        <w:t xml:space="preserve">any form of </w:t>
      </w:r>
      <w:r w:rsidR="00BE1EDD" w:rsidRPr="00BB5480">
        <w:rPr>
          <w:rFonts w:cs="Arial"/>
        </w:rPr>
        <w:t xml:space="preserve">environmental insensitivity and the usefulness of the </w:t>
      </w:r>
      <w:r w:rsidR="00B6376A" w:rsidRPr="00BB5480">
        <w:rPr>
          <w:rFonts w:cs="Arial"/>
        </w:rPr>
        <w:t xml:space="preserve">factor </w:t>
      </w:r>
      <w:r w:rsidR="00C26D93" w:rsidRPr="00BB5480">
        <w:rPr>
          <w:rFonts w:cs="Arial"/>
        </w:rPr>
        <w:t>more generally</w:t>
      </w:r>
      <w:r w:rsidR="00BE1EDD" w:rsidRPr="00BB5480">
        <w:rPr>
          <w:rFonts w:cs="Arial"/>
        </w:rPr>
        <w:t>.</w:t>
      </w:r>
    </w:p>
    <w:p w14:paraId="57AF034D" w14:textId="77777777" w:rsidR="00DA69D9" w:rsidRPr="00BB5480" w:rsidRDefault="00A802D1">
      <w:pPr>
        <w:pStyle w:val="BodyTextFirstIndent"/>
        <w:rPr>
          <w:rFonts w:cs="Arial"/>
        </w:rPr>
      </w:pPr>
      <w:r w:rsidRPr="00BB5480">
        <w:rPr>
          <w:rFonts w:cs="Arial"/>
        </w:rPr>
        <w:t>Finally, i</w:t>
      </w:r>
      <w:r w:rsidR="00DA69D9" w:rsidRPr="00BB5480">
        <w:rPr>
          <w:rFonts w:cs="Arial"/>
        </w:rPr>
        <w:t xml:space="preserve">t may be tempting to describe the </w:t>
      </w:r>
      <w:proofErr w:type="spellStart"/>
      <w:r w:rsidR="00DA69D9" w:rsidRPr="00BB5480">
        <w:rPr>
          <w:rFonts w:cs="Arial"/>
        </w:rPr>
        <w:t>AAQ</w:t>
      </w:r>
      <w:proofErr w:type="spellEnd"/>
      <w:r w:rsidR="00DA69D9" w:rsidRPr="00BB5480">
        <w:rPr>
          <w:rFonts w:cs="Arial"/>
        </w:rPr>
        <w:t xml:space="preserve">-II as being well suited to “clinical populations” and any new measure like the EPIC as being (potentially) more </w:t>
      </w:r>
      <w:r w:rsidR="00DA69D9" w:rsidRPr="00BB5480">
        <w:rPr>
          <w:rFonts w:cs="Arial"/>
        </w:rPr>
        <w:lastRenderedPageBreak/>
        <w:t>suited to “non-clinical populations”. However this is likely a mistake. For example</w:t>
      </w:r>
      <w:r w:rsidR="00EF7232" w:rsidRPr="00BB5480">
        <w:rPr>
          <w:rFonts w:cs="Arial"/>
        </w:rPr>
        <w:t>,</w:t>
      </w:r>
      <w:r w:rsidR="00DA69D9" w:rsidRPr="00BB5480">
        <w:rPr>
          <w:rFonts w:cs="Arial"/>
        </w:rPr>
        <w:t xml:space="preserve"> the </w:t>
      </w:r>
      <w:proofErr w:type="spellStart"/>
      <w:r w:rsidR="00DA69D9" w:rsidRPr="00BB5480">
        <w:rPr>
          <w:rFonts w:cs="Arial"/>
        </w:rPr>
        <w:t>AAQ</w:t>
      </w:r>
      <w:proofErr w:type="spellEnd"/>
      <w:r w:rsidR="00DA69D9" w:rsidRPr="00BB5480">
        <w:rPr>
          <w:rFonts w:cs="Arial"/>
        </w:rPr>
        <w:t xml:space="preserve">-II </w:t>
      </w:r>
      <w:r w:rsidR="0050126B" w:rsidRPr="00BB5480">
        <w:rPr>
          <w:rFonts w:cs="Arial"/>
        </w:rPr>
        <w:t xml:space="preserve">shows strong relationships with relevant other variables </w:t>
      </w:r>
      <w:r w:rsidR="00DA69D9" w:rsidRPr="00BB5480">
        <w:rPr>
          <w:rFonts w:cs="Arial"/>
        </w:rPr>
        <w:t xml:space="preserve">in non-clinical contexts, for example </w:t>
      </w:r>
      <w:r w:rsidR="0050126B" w:rsidRPr="00BB5480">
        <w:rPr>
          <w:rFonts w:cs="Arial"/>
        </w:rPr>
        <w:t xml:space="preserve">the </w:t>
      </w:r>
      <w:r w:rsidR="00DA69D9" w:rsidRPr="00BB5480">
        <w:rPr>
          <w:rFonts w:cs="Arial"/>
        </w:rPr>
        <w:t>workplace (Bond</w:t>
      </w:r>
      <w:r w:rsidR="000E7AEB" w:rsidRPr="00BB5480">
        <w:rPr>
          <w:rFonts w:cs="Arial"/>
        </w:rPr>
        <w:t xml:space="preserve"> et al</w:t>
      </w:r>
      <w:r w:rsidR="00427415" w:rsidRPr="00BB5480">
        <w:rPr>
          <w:rFonts w:cs="Arial"/>
        </w:rPr>
        <w:t>.</w:t>
      </w:r>
      <w:r w:rsidR="000E7AEB" w:rsidRPr="00BB5480">
        <w:rPr>
          <w:rFonts w:cs="Arial"/>
        </w:rPr>
        <w:t>, 2013</w:t>
      </w:r>
      <w:r w:rsidR="00DA69D9" w:rsidRPr="00BB5480">
        <w:rPr>
          <w:rFonts w:cs="Arial"/>
        </w:rPr>
        <w:t>)</w:t>
      </w:r>
      <w:r w:rsidR="00DA69D9" w:rsidRPr="00BB5480">
        <w:t>. In this way, a neat clinical / non-clinical division does not seem appropriate</w:t>
      </w:r>
      <w:r w:rsidR="00DA69D9" w:rsidRPr="00BB5480">
        <w:rPr>
          <w:rFonts w:cs="Arial"/>
        </w:rPr>
        <w:t xml:space="preserve">. </w:t>
      </w:r>
      <w:r w:rsidR="000F3CCB" w:rsidRPr="00BB5480">
        <w:rPr>
          <w:rFonts w:cs="Arial"/>
        </w:rPr>
        <w:t>That said</w:t>
      </w:r>
      <w:r w:rsidR="00DA69D9" w:rsidRPr="00BB5480">
        <w:rPr>
          <w:rFonts w:cs="Arial"/>
        </w:rPr>
        <w:t xml:space="preserve">, it seems possible that a measure like the EPIC may have a potential contribution to make </w:t>
      </w:r>
      <w:r w:rsidR="000246F8" w:rsidRPr="00BB5480">
        <w:rPr>
          <w:rFonts w:cs="Arial"/>
        </w:rPr>
        <w:t xml:space="preserve">in </w:t>
      </w:r>
      <w:r w:rsidR="00EF7232" w:rsidRPr="00BB5480">
        <w:rPr>
          <w:rFonts w:cs="Arial"/>
        </w:rPr>
        <w:t xml:space="preserve">situations where pain, </w:t>
      </w:r>
      <w:r w:rsidR="002C2B61" w:rsidRPr="00BB5480">
        <w:rPr>
          <w:rFonts w:cs="Arial"/>
        </w:rPr>
        <w:t xml:space="preserve">fear and </w:t>
      </w:r>
      <w:r w:rsidR="00EF7232" w:rsidRPr="00BB5480">
        <w:rPr>
          <w:rFonts w:cs="Arial"/>
        </w:rPr>
        <w:t>worry are potentially less</w:t>
      </w:r>
      <w:r w:rsidR="000454B8" w:rsidRPr="00BB5480">
        <w:rPr>
          <w:rFonts w:cs="Arial"/>
        </w:rPr>
        <w:t xml:space="preserve"> influential</w:t>
      </w:r>
      <w:r w:rsidR="00DA69D9" w:rsidRPr="00BB5480">
        <w:rPr>
          <w:rFonts w:cs="Arial"/>
        </w:rPr>
        <w:t>.</w:t>
      </w:r>
    </w:p>
    <w:p w14:paraId="701E79FC" w14:textId="08F1DC13" w:rsidR="00D77AFD" w:rsidRPr="00BB5480" w:rsidRDefault="0043405A" w:rsidP="00760C0B">
      <w:pPr>
        <w:pStyle w:val="BodyTextFirstIndent"/>
        <w:rPr>
          <w:rFonts w:cs="Arial"/>
          <w:iCs/>
        </w:rPr>
      </w:pPr>
      <w:r w:rsidRPr="00BB5480">
        <w:rPr>
          <w:rFonts w:cs="Arial"/>
        </w:rPr>
        <w:t xml:space="preserve">In terms of further limitations a number </w:t>
      </w:r>
      <w:r w:rsidR="008D63A4" w:rsidRPr="00BB5480">
        <w:rPr>
          <w:rFonts w:cs="Arial"/>
        </w:rPr>
        <w:t>more</w:t>
      </w:r>
      <w:r w:rsidRPr="00BB5480">
        <w:rPr>
          <w:rFonts w:cs="Arial"/>
        </w:rPr>
        <w:t xml:space="preserve"> </w:t>
      </w:r>
      <w:r w:rsidR="008D63A4" w:rsidRPr="00BB5480">
        <w:rPr>
          <w:rFonts w:cs="Arial"/>
        </w:rPr>
        <w:t>issues</w:t>
      </w:r>
      <w:r w:rsidRPr="00BB5480">
        <w:rPr>
          <w:rFonts w:cs="Arial"/>
        </w:rPr>
        <w:t xml:space="preserve"> must be noted.</w:t>
      </w:r>
      <w:r w:rsidR="00760C0B" w:rsidRPr="00BB5480">
        <w:rPr>
          <w:rFonts w:cs="Arial"/>
        </w:rPr>
        <w:t xml:space="preserve"> </w:t>
      </w:r>
      <w:r w:rsidRPr="00BB5480">
        <w:rPr>
          <w:rFonts w:cs="Arial"/>
        </w:rPr>
        <w:t xml:space="preserve">Firstly, the original EPIC item pool started with 50 items and the final measure consists of just </w:t>
      </w:r>
      <w:r w:rsidR="00A04743" w:rsidRPr="00BB5480">
        <w:rPr>
          <w:rFonts w:cs="Arial"/>
        </w:rPr>
        <w:t>7</w:t>
      </w:r>
      <w:r w:rsidRPr="00BB5480">
        <w:rPr>
          <w:rFonts w:cs="Arial"/>
        </w:rPr>
        <w:t xml:space="preserve">. </w:t>
      </w:r>
      <w:r w:rsidR="00A04743" w:rsidRPr="00BB5480">
        <w:rPr>
          <w:rFonts w:cs="Arial"/>
        </w:rPr>
        <w:t>While</w:t>
      </w:r>
      <w:r w:rsidR="00B22D14" w:rsidRPr="00BB5480">
        <w:rPr>
          <w:rFonts w:cs="Arial"/>
        </w:rPr>
        <w:t xml:space="preserve"> </w:t>
      </w:r>
      <w:proofErr w:type="spellStart"/>
      <w:r w:rsidR="00A04743" w:rsidRPr="00BB5480">
        <w:t>DeVellis</w:t>
      </w:r>
      <w:proofErr w:type="spellEnd"/>
      <w:r w:rsidR="00A04743" w:rsidRPr="00BB5480">
        <w:t xml:space="preserve"> notes that a 10 item scale might evolve from a 40 item pool (</w:t>
      </w:r>
      <w:proofErr w:type="spellStart"/>
      <w:r w:rsidR="00A04743" w:rsidRPr="00BB5480">
        <w:t>DeVellis</w:t>
      </w:r>
      <w:proofErr w:type="spellEnd"/>
      <w:r w:rsidR="00A04743" w:rsidRPr="00BB5480">
        <w:t xml:space="preserve">, 2012, </w:t>
      </w:r>
      <w:proofErr w:type="spellStart"/>
      <w:r w:rsidR="00A04743" w:rsidRPr="00BB5480">
        <w:t>p.80</w:t>
      </w:r>
      <w:proofErr w:type="spellEnd"/>
      <w:r w:rsidR="00A04743" w:rsidRPr="00BB5480">
        <w:t>), m</w:t>
      </w:r>
      <w:r w:rsidRPr="00BB5480">
        <w:rPr>
          <w:rFonts w:cs="Arial"/>
        </w:rPr>
        <w:t xml:space="preserve">any items were discarded during </w:t>
      </w:r>
      <w:r w:rsidR="0089134B" w:rsidRPr="00BB5480">
        <w:rPr>
          <w:rFonts w:cs="Arial"/>
        </w:rPr>
        <w:t>our</w:t>
      </w:r>
      <w:r w:rsidRPr="00BB5480">
        <w:rPr>
          <w:rFonts w:cs="Arial"/>
        </w:rPr>
        <w:t xml:space="preserve"> </w:t>
      </w:r>
      <w:proofErr w:type="spellStart"/>
      <w:r w:rsidRPr="00BB5480">
        <w:rPr>
          <w:rFonts w:cs="Arial"/>
        </w:rPr>
        <w:t>EFA</w:t>
      </w:r>
      <w:proofErr w:type="spellEnd"/>
      <w:r w:rsidRPr="00BB5480">
        <w:rPr>
          <w:rFonts w:cs="Arial"/>
        </w:rPr>
        <w:t xml:space="preserve"> process</w:t>
      </w:r>
      <w:r w:rsidR="0089134B" w:rsidRPr="00BB5480">
        <w:rPr>
          <w:rFonts w:cs="Arial"/>
        </w:rPr>
        <w:t>. Here we</w:t>
      </w:r>
      <w:r w:rsidR="0088754D" w:rsidRPr="00BB5480">
        <w:rPr>
          <w:rFonts w:cs="Arial"/>
        </w:rPr>
        <w:t xml:space="preserve"> follow</w:t>
      </w:r>
      <w:r w:rsidR="0089134B" w:rsidRPr="00BB5480">
        <w:rPr>
          <w:rFonts w:cs="Arial"/>
        </w:rPr>
        <w:t>ed</w:t>
      </w:r>
      <w:r w:rsidR="0088754D" w:rsidRPr="00BB5480">
        <w:rPr>
          <w:rFonts w:cs="Arial"/>
        </w:rPr>
        <w:t xml:space="preserve"> guidelines adapted from Ferguson and Cox (1993). </w:t>
      </w:r>
      <w:r w:rsidR="0089134B" w:rsidRPr="00BB5480">
        <w:rPr>
          <w:rFonts w:cs="Arial"/>
        </w:rPr>
        <w:t>However a</w:t>
      </w:r>
      <w:r w:rsidR="0088754D" w:rsidRPr="00BB5480">
        <w:rPr>
          <w:rFonts w:cs="Arial"/>
        </w:rPr>
        <w:t>ny excessive</w:t>
      </w:r>
      <w:r w:rsidR="00A04743" w:rsidRPr="00BB5480">
        <w:rPr>
          <w:rFonts w:cs="Arial"/>
        </w:rPr>
        <w:t>,</w:t>
      </w:r>
      <w:r w:rsidR="0088754D" w:rsidRPr="00BB5480">
        <w:rPr>
          <w:rFonts w:cs="Arial"/>
        </w:rPr>
        <w:t xml:space="preserve"> </w:t>
      </w:r>
      <w:r w:rsidR="000D3901" w:rsidRPr="00BB5480">
        <w:rPr>
          <w:rFonts w:cs="Arial"/>
        </w:rPr>
        <w:t xml:space="preserve">rule governed, </w:t>
      </w:r>
      <w:r w:rsidR="0088754D" w:rsidRPr="00BB5480">
        <w:rPr>
          <w:rFonts w:cs="Arial"/>
        </w:rPr>
        <w:t>reduction of item content risks the potential loss of relevant factors and item</w:t>
      </w:r>
      <w:r w:rsidR="000D3901" w:rsidRPr="00BB5480">
        <w:rPr>
          <w:rFonts w:cs="Arial"/>
        </w:rPr>
        <w:t xml:space="preserve">s – especially if a </w:t>
      </w:r>
      <w:proofErr w:type="spellStart"/>
      <w:r w:rsidR="000D3901" w:rsidRPr="00BB5480">
        <w:rPr>
          <w:rFonts w:cs="Arial"/>
        </w:rPr>
        <w:t>uni</w:t>
      </w:r>
      <w:proofErr w:type="spellEnd"/>
      <w:r w:rsidR="000D3901" w:rsidRPr="00BB5480">
        <w:rPr>
          <w:rFonts w:cs="Arial"/>
        </w:rPr>
        <w:t>-dimensional final measure is not produced.</w:t>
      </w:r>
      <w:r w:rsidR="00A04743" w:rsidRPr="00BB5480">
        <w:rPr>
          <w:rFonts w:cs="Arial"/>
        </w:rPr>
        <w:t xml:space="preserve"> Moreover, </w:t>
      </w:r>
      <w:r w:rsidR="00B22D14" w:rsidRPr="00BB5480">
        <w:rPr>
          <w:rFonts w:cs="Arial"/>
        </w:rPr>
        <w:t xml:space="preserve">if </w:t>
      </w:r>
      <w:proofErr w:type="spellStart"/>
      <w:r w:rsidR="00B22D14" w:rsidRPr="00BB5480">
        <w:rPr>
          <w:rFonts w:cs="Arial"/>
        </w:rPr>
        <w:t>EFA</w:t>
      </w:r>
      <w:proofErr w:type="spellEnd"/>
      <w:r w:rsidR="00B22D14" w:rsidRPr="00BB5480">
        <w:rPr>
          <w:rFonts w:cs="Arial"/>
        </w:rPr>
        <w:t xml:space="preserve"> and CFA are reported in the same paper, CFA provide</w:t>
      </w:r>
      <w:r w:rsidR="0089134B" w:rsidRPr="00BB5480">
        <w:rPr>
          <w:rFonts w:cs="Arial"/>
        </w:rPr>
        <w:t>s</w:t>
      </w:r>
      <w:r w:rsidR="00B22D14" w:rsidRPr="00BB5480">
        <w:rPr>
          <w:rFonts w:cs="Arial"/>
        </w:rPr>
        <w:t xml:space="preserve"> a further opportunity to examine </w:t>
      </w:r>
      <w:r w:rsidR="0089134B" w:rsidRPr="00BB5480">
        <w:rPr>
          <w:rFonts w:cs="Arial"/>
        </w:rPr>
        <w:t xml:space="preserve">and adapt </w:t>
      </w:r>
      <w:r w:rsidR="008D63A4" w:rsidRPr="00BB5480">
        <w:rPr>
          <w:rFonts w:cs="Arial"/>
        </w:rPr>
        <w:t xml:space="preserve">model </w:t>
      </w:r>
      <w:r w:rsidR="00B22D14" w:rsidRPr="00BB5480">
        <w:rPr>
          <w:rFonts w:cs="Arial"/>
        </w:rPr>
        <w:t>performance.</w:t>
      </w:r>
      <w:r w:rsidR="0089134B" w:rsidRPr="00BB5480">
        <w:rPr>
          <w:rFonts w:cs="Arial"/>
        </w:rPr>
        <w:t xml:space="preserve"> With this in mind, </w:t>
      </w:r>
      <w:r w:rsidR="001C307D" w:rsidRPr="00BB5480">
        <w:rPr>
          <w:rFonts w:cs="Arial"/>
        </w:rPr>
        <w:t xml:space="preserve">in hindsight, </w:t>
      </w:r>
      <w:r w:rsidR="0089134B" w:rsidRPr="00BB5480">
        <w:rPr>
          <w:rFonts w:cs="Arial"/>
        </w:rPr>
        <w:t xml:space="preserve">our experience suggests tending toward </w:t>
      </w:r>
      <w:r w:rsidR="008D63A4" w:rsidRPr="00BB5480">
        <w:rPr>
          <w:rFonts w:cs="Arial"/>
        </w:rPr>
        <w:t xml:space="preserve">more </w:t>
      </w:r>
      <w:r w:rsidR="0089134B" w:rsidRPr="00BB5480">
        <w:rPr>
          <w:rFonts w:cs="Arial"/>
        </w:rPr>
        <w:t xml:space="preserve">inclusion at </w:t>
      </w:r>
      <w:r w:rsidR="008D63A4" w:rsidRPr="00BB5480">
        <w:rPr>
          <w:rFonts w:cs="Arial"/>
        </w:rPr>
        <w:t xml:space="preserve">the </w:t>
      </w:r>
      <w:proofErr w:type="spellStart"/>
      <w:r w:rsidR="0089134B" w:rsidRPr="00BB5480">
        <w:rPr>
          <w:rFonts w:cs="Arial"/>
        </w:rPr>
        <w:t>EFA</w:t>
      </w:r>
      <w:proofErr w:type="spellEnd"/>
      <w:r w:rsidR="008D63A4" w:rsidRPr="00BB5480">
        <w:rPr>
          <w:rFonts w:cs="Arial"/>
        </w:rPr>
        <w:t xml:space="preserve"> stage</w:t>
      </w:r>
      <w:r w:rsidR="0089134B" w:rsidRPr="00BB5480">
        <w:rPr>
          <w:rFonts w:cs="Arial"/>
        </w:rPr>
        <w:t xml:space="preserve">, knowing </w:t>
      </w:r>
      <w:r w:rsidR="007220D8" w:rsidRPr="00BB5480">
        <w:rPr>
          <w:rFonts w:cs="Arial"/>
        </w:rPr>
        <w:t>that</w:t>
      </w:r>
      <w:r w:rsidR="0089134B" w:rsidRPr="00BB5480">
        <w:rPr>
          <w:rFonts w:cs="Arial"/>
        </w:rPr>
        <w:t xml:space="preserve"> </w:t>
      </w:r>
      <w:r w:rsidR="007220D8" w:rsidRPr="00BB5480">
        <w:rPr>
          <w:rFonts w:cs="Arial"/>
        </w:rPr>
        <w:t xml:space="preserve">CFA allows for </w:t>
      </w:r>
      <w:r w:rsidR="008D63A4" w:rsidRPr="00BB5480">
        <w:rPr>
          <w:rFonts w:cs="Arial"/>
        </w:rPr>
        <w:t>confirmation and if necessary revision</w:t>
      </w:r>
      <w:r w:rsidR="007220D8" w:rsidRPr="00BB5480">
        <w:rPr>
          <w:rFonts w:cs="Arial"/>
        </w:rPr>
        <w:t>.</w:t>
      </w:r>
      <w:r w:rsidR="007220D8" w:rsidRPr="00BB5480">
        <w:rPr>
          <w:rFonts w:cs="Arial"/>
        </w:rPr>
        <w:br/>
      </w:r>
      <w:r w:rsidR="00760C0B" w:rsidRPr="00BB5480">
        <w:rPr>
          <w:rFonts w:cs="Arial"/>
          <w:iCs/>
        </w:rPr>
        <w:tab/>
        <w:t xml:space="preserve">Secondly, as noted above, the relatively low level of relationship between the factor and total scores of the EPIC and the </w:t>
      </w:r>
      <w:proofErr w:type="spellStart"/>
      <w:r w:rsidR="00760C0B" w:rsidRPr="00BB5480">
        <w:rPr>
          <w:rFonts w:cs="Arial"/>
          <w:iCs/>
        </w:rPr>
        <w:t>AAQ</w:t>
      </w:r>
      <w:proofErr w:type="spellEnd"/>
      <w:r w:rsidR="00760C0B" w:rsidRPr="00BB5480">
        <w:rPr>
          <w:rFonts w:cs="Arial"/>
          <w:iCs/>
        </w:rPr>
        <w:t xml:space="preserve">-II was surprising – as, to a degree, was the correlation results between all measures of psychological inflexibility and the broadly prosocial measures. </w:t>
      </w:r>
      <w:r w:rsidR="0014452D" w:rsidRPr="00BB5480">
        <w:rPr>
          <w:rFonts w:cs="Arial"/>
          <w:iCs/>
        </w:rPr>
        <w:t>Of course n</w:t>
      </w:r>
      <w:r w:rsidR="00C87CF3" w:rsidRPr="00BB5480">
        <w:rPr>
          <w:rFonts w:cs="Arial"/>
          <w:iCs/>
        </w:rPr>
        <w:t xml:space="preserve">o new measure will have all aspects of validity established after one paper, however the EPIC does have significant </w:t>
      </w:r>
      <w:r w:rsidR="00D77AFD" w:rsidRPr="00BB5480">
        <w:rPr>
          <w:rFonts w:cs="Arial"/>
          <w:iCs/>
        </w:rPr>
        <w:t>issues</w:t>
      </w:r>
      <w:r w:rsidR="00C87CF3" w:rsidRPr="00BB5480">
        <w:rPr>
          <w:rFonts w:cs="Arial"/>
          <w:iCs/>
        </w:rPr>
        <w:t xml:space="preserve"> to address</w:t>
      </w:r>
      <w:r w:rsidR="00D77AFD" w:rsidRPr="00BB5480">
        <w:rPr>
          <w:rFonts w:cs="Arial"/>
          <w:iCs/>
        </w:rPr>
        <w:t xml:space="preserve"> in terms of convergent and divergent validity</w:t>
      </w:r>
      <w:r w:rsidR="00C87CF3" w:rsidRPr="00BB5480">
        <w:rPr>
          <w:rFonts w:cs="Arial"/>
          <w:iCs/>
        </w:rPr>
        <w:t>. For example, what other measure</w:t>
      </w:r>
      <w:r w:rsidR="00450122">
        <w:rPr>
          <w:rFonts w:cs="Arial"/>
          <w:iCs/>
        </w:rPr>
        <w:t>s</w:t>
      </w:r>
      <w:r w:rsidR="00C87CF3" w:rsidRPr="00BB5480">
        <w:rPr>
          <w:rFonts w:cs="Arial"/>
          <w:iCs/>
        </w:rPr>
        <w:t xml:space="preserve"> do the EPIC </w:t>
      </w:r>
      <w:r w:rsidR="00354167" w:rsidRPr="00BB5480">
        <w:rPr>
          <w:rFonts w:cs="Arial"/>
          <w:iCs/>
        </w:rPr>
        <w:t xml:space="preserve">total scores and factor scores </w:t>
      </w:r>
      <w:r w:rsidR="00C87CF3" w:rsidRPr="00BB5480">
        <w:rPr>
          <w:rFonts w:cs="Arial"/>
          <w:iCs/>
        </w:rPr>
        <w:t xml:space="preserve">have strong relationships with? Equally, despite the EPIC not being </w:t>
      </w:r>
      <w:r w:rsidR="00455778" w:rsidRPr="00BB5480">
        <w:rPr>
          <w:rFonts w:cs="Arial"/>
          <w:iCs/>
        </w:rPr>
        <w:t>designed</w:t>
      </w:r>
      <w:r w:rsidR="00C87CF3" w:rsidRPr="00BB5480">
        <w:rPr>
          <w:rFonts w:cs="Arial"/>
          <w:iCs/>
        </w:rPr>
        <w:t xml:space="preserve"> as a measure for </w:t>
      </w:r>
      <w:r w:rsidR="00354167" w:rsidRPr="00BB5480">
        <w:rPr>
          <w:rFonts w:cs="Arial"/>
          <w:iCs/>
        </w:rPr>
        <w:t>the</w:t>
      </w:r>
      <w:r w:rsidR="0014452D" w:rsidRPr="00BB5480">
        <w:rPr>
          <w:rFonts w:cs="Arial"/>
          <w:iCs/>
        </w:rPr>
        <w:t xml:space="preserve"> </w:t>
      </w:r>
      <w:r w:rsidR="00354167" w:rsidRPr="00BB5480">
        <w:rPr>
          <w:rFonts w:cs="Arial"/>
          <w:iCs/>
        </w:rPr>
        <w:t>clinical</w:t>
      </w:r>
      <w:r w:rsidR="008D63A4" w:rsidRPr="00BB5480">
        <w:rPr>
          <w:rFonts w:cs="Arial"/>
          <w:iCs/>
        </w:rPr>
        <w:t>,</w:t>
      </w:r>
      <w:r w:rsidR="00354167" w:rsidRPr="00BB5480">
        <w:rPr>
          <w:rFonts w:cs="Arial"/>
          <w:iCs/>
        </w:rPr>
        <w:t xml:space="preserve"> </w:t>
      </w:r>
      <w:r w:rsidR="0014452D" w:rsidRPr="00BB5480">
        <w:rPr>
          <w:rFonts w:cs="Arial"/>
          <w:iCs/>
        </w:rPr>
        <w:t xml:space="preserve">health </w:t>
      </w:r>
      <w:r w:rsidR="008D63A4" w:rsidRPr="00BB5480">
        <w:rPr>
          <w:rFonts w:cs="Arial"/>
          <w:iCs/>
        </w:rPr>
        <w:t xml:space="preserve">and well-being </w:t>
      </w:r>
      <w:r w:rsidR="00C87CF3" w:rsidRPr="00BB5480">
        <w:rPr>
          <w:rFonts w:cs="Arial"/>
          <w:iCs/>
        </w:rPr>
        <w:t>context</w:t>
      </w:r>
      <w:r w:rsidR="008D63A4" w:rsidRPr="00BB5480">
        <w:rPr>
          <w:rFonts w:cs="Arial"/>
          <w:iCs/>
        </w:rPr>
        <w:t>s</w:t>
      </w:r>
      <w:r w:rsidR="00C87CF3" w:rsidRPr="00BB5480">
        <w:rPr>
          <w:rFonts w:cs="Arial"/>
          <w:iCs/>
        </w:rPr>
        <w:t xml:space="preserve">, do the </w:t>
      </w:r>
      <w:r w:rsidR="00354167" w:rsidRPr="00BB5480">
        <w:rPr>
          <w:rFonts w:cs="Arial"/>
          <w:iCs/>
        </w:rPr>
        <w:t xml:space="preserve">total or factor scores </w:t>
      </w:r>
      <w:r w:rsidR="00C87CF3" w:rsidRPr="00BB5480">
        <w:rPr>
          <w:rFonts w:cs="Arial"/>
          <w:iCs/>
        </w:rPr>
        <w:t>have significant relationships with measures of functioning an</w:t>
      </w:r>
      <w:r w:rsidR="00354167" w:rsidRPr="00BB5480">
        <w:rPr>
          <w:rFonts w:cs="Arial"/>
          <w:iCs/>
        </w:rPr>
        <w:t>d well-being?</w:t>
      </w:r>
      <w:r w:rsidR="00455778" w:rsidRPr="00BB5480">
        <w:rPr>
          <w:rFonts w:cs="Arial"/>
          <w:iCs/>
        </w:rPr>
        <w:t xml:space="preserve"> These questions can hopefully be addressed in future data collection episodes using the EPIC.</w:t>
      </w:r>
    </w:p>
    <w:p w14:paraId="5C3AB0A8" w14:textId="3A8A7B73" w:rsidR="009B008B" w:rsidRPr="00BB5480" w:rsidRDefault="00455778" w:rsidP="00760C0B">
      <w:pPr>
        <w:pStyle w:val="BodyTextFirstIndent"/>
        <w:rPr>
          <w:rFonts w:cs="Arial"/>
          <w:iCs/>
        </w:rPr>
      </w:pPr>
      <w:r w:rsidRPr="00BB5480">
        <w:rPr>
          <w:rFonts w:cs="Arial"/>
          <w:iCs/>
        </w:rPr>
        <w:t xml:space="preserve">Finally, it must be acknowledged that the majority of the samples utilised in this manuscript tend to centre </w:t>
      </w:r>
      <w:r w:rsidR="008D63A4" w:rsidRPr="00BB5480">
        <w:rPr>
          <w:rFonts w:cs="Arial"/>
          <w:iCs/>
        </w:rPr>
        <w:t>on</w:t>
      </w:r>
      <w:r w:rsidRPr="00BB5480">
        <w:rPr>
          <w:rFonts w:cs="Arial"/>
          <w:iCs/>
        </w:rPr>
        <w:t xml:space="preserve"> university environments where participants </w:t>
      </w:r>
      <w:r w:rsidR="008D63A4" w:rsidRPr="00BB5480">
        <w:rPr>
          <w:rFonts w:cs="Arial"/>
          <w:iCs/>
        </w:rPr>
        <w:t xml:space="preserve">can </w:t>
      </w:r>
      <w:r w:rsidRPr="00BB5480">
        <w:rPr>
          <w:rFonts w:cs="Arial"/>
          <w:iCs/>
        </w:rPr>
        <w:t xml:space="preserve">tend to be both younger and more educated than the </w:t>
      </w:r>
      <w:r w:rsidR="00C60742" w:rsidRPr="00BB5480">
        <w:rPr>
          <w:rFonts w:cs="Arial"/>
          <w:iCs/>
        </w:rPr>
        <w:t>general</w:t>
      </w:r>
      <w:r w:rsidR="00D77AFD" w:rsidRPr="00BB5480">
        <w:rPr>
          <w:rFonts w:cs="Arial"/>
          <w:iCs/>
        </w:rPr>
        <w:t xml:space="preserve"> </w:t>
      </w:r>
      <w:r w:rsidRPr="00BB5480">
        <w:rPr>
          <w:rFonts w:cs="Arial"/>
          <w:iCs/>
        </w:rPr>
        <w:t xml:space="preserve">population. </w:t>
      </w:r>
      <w:r w:rsidR="005337C2" w:rsidRPr="00BB5480">
        <w:rPr>
          <w:rFonts w:cs="Arial"/>
          <w:iCs/>
        </w:rPr>
        <w:t xml:space="preserve">Although samples include </w:t>
      </w:r>
      <w:r w:rsidR="00B36B6C" w:rsidRPr="00BB5480">
        <w:rPr>
          <w:rFonts w:cs="Arial"/>
          <w:iCs/>
        </w:rPr>
        <w:t>friends</w:t>
      </w:r>
      <w:r w:rsidR="005337C2" w:rsidRPr="00BB5480">
        <w:rPr>
          <w:rFonts w:cs="Arial"/>
          <w:iCs/>
        </w:rPr>
        <w:t xml:space="preserve"> and relations of undergraduate researchers, i</w:t>
      </w:r>
      <w:r w:rsidRPr="00BB5480">
        <w:rPr>
          <w:rFonts w:cs="Arial"/>
          <w:iCs/>
        </w:rPr>
        <w:t>t cannot be assumed that these findings will generalise to the population at large</w:t>
      </w:r>
      <w:r w:rsidR="00737681" w:rsidRPr="00BB5480">
        <w:rPr>
          <w:rFonts w:cs="Arial"/>
          <w:iCs/>
        </w:rPr>
        <w:t>, nor to clinical populations</w:t>
      </w:r>
      <w:r w:rsidR="005337C2" w:rsidRPr="00BB5480">
        <w:rPr>
          <w:rFonts w:cs="Arial"/>
          <w:iCs/>
        </w:rPr>
        <w:t xml:space="preserve">. It is </w:t>
      </w:r>
      <w:r w:rsidR="00354167" w:rsidRPr="00BB5480">
        <w:rPr>
          <w:rFonts w:cs="Arial"/>
          <w:iCs/>
        </w:rPr>
        <w:t xml:space="preserve">also </w:t>
      </w:r>
      <w:r w:rsidR="005337C2" w:rsidRPr="00BB5480">
        <w:rPr>
          <w:rFonts w:cs="Arial"/>
          <w:iCs/>
        </w:rPr>
        <w:t xml:space="preserve">salient to note again that </w:t>
      </w:r>
      <w:r w:rsidR="00737681" w:rsidRPr="00BB5480">
        <w:rPr>
          <w:rFonts w:cs="Arial"/>
          <w:iCs/>
        </w:rPr>
        <w:t xml:space="preserve">the EPIC </w:t>
      </w:r>
      <w:r w:rsidR="00450122">
        <w:rPr>
          <w:rFonts w:cs="Arial"/>
          <w:iCs/>
        </w:rPr>
        <w:t>was</w:t>
      </w:r>
      <w:r w:rsidR="00737681" w:rsidRPr="00BB5480">
        <w:rPr>
          <w:rFonts w:cs="Arial"/>
          <w:iCs/>
        </w:rPr>
        <w:t xml:space="preserve"> not </w:t>
      </w:r>
      <w:r w:rsidR="005337C2" w:rsidRPr="00BB5480">
        <w:rPr>
          <w:rFonts w:cs="Arial"/>
          <w:iCs/>
        </w:rPr>
        <w:t xml:space="preserve">primarily </w:t>
      </w:r>
      <w:r w:rsidR="00737681" w:rsidRPr="00BB5480">
        <w:rPr>
          <w:rFonts w:cs="Arial"/>
          <w:iCs/>
        </w:rPr>
        <w:t>de</w:t>
      </w:r>
      <w:r w:rsidR="005337C2" w:rsidRPr="00BB5480">
        <w:rPr>
          <w:rFonts w:cs="Arial"/>
          <w:iCs/>
        </w:rPr>
        <w:t xml:space="preserve">signed for clinical contexts, and </w:t>
      </w:r>
      <w:r w:rsidR="005337C2" w:rsidRPr="00BB5480">
        <w:rPr>
          <w:rFonts w:cs="Arial"/>
          <w:iCs/>
        </w:rPr>
        <w:lastRenderedPageBreak/>
        <w:t>so clinical populations were not targeted as part of recruitment. Moreover, the clinical status of participants was not assessed as part of the</w:t>
      </w:r>
      <w:r w:rsidR="00C00D55" w:rsidRPr="00BB5480">
        <w:rPr>
          <w:rFonts w:cs="Arial"/>
          <w:iCs/>
        </w:rPr>
        <w:t>se</w:t>
      </w:r>
      <w:r w:rsidR="005337C2" w:rsidRPr="00BB5480">
        <w:rPr>
          <w:rFonts w:cs="Arial"/>
          <w:iCs/>
        </w:rPr>
        <w:t xml:space="preserve"> data collection </w:t>
      </w:r>
      <w:r w:rsidR="00C00D55" w:rsidRPr="00BB5480">
        <w:rPr>
          <w:rFonts w:cs="Arial"/>
          <w:iCs/>
        </w:rPr>
        <w:t xml:space="preserve">and analysis </w:t>
      </w:r>
      <w:r w:rsidR="005337C2" w:rsidRPr="00BB5480">
        <w:rPr>
          <w:rFonts w:cs="Arial"/>
          <w:iCs/>
        </w:rPr>
        <w:t>procedures.</w:t>
      </w:r>
    </w:p>
    <w:p w14:paraId="5297FD77" w14:textId="3BF35E52" w:rsidR="00A038F0" w:rsidRPr="00BB5480" w:rsidRDefault="00BB058E" w:rsidP="000246F8">
      <w:pPr>
        <w:pStyle w:val="BodyTextFirstIndent"/>
        <w:ind w:firstLine="709"/>
        <w:rPr>
          <w:rFonts w:cs="Arial"/>
          <w:iCs/>
        </w:rPr>
      </w:pPr>
      <w:r w:rsidRPr="00BB5480">
        <w:t xml:space="preserve">In conclusion, this paper provides </w:t>
      </w:r>
      <w:r w:rsidRPr="00BB5480">
        <w:rPr>
          <w:rFonts w:cs="Arial"/>
        </w:rPr>
        <w:t xml:space="preserve">preliminary data on a new questionnaire that </w:t>
      </w:r>
      <w:r w:rsidR="00351DA1" w:rsidRPr="00BB5480">
        <w:rPr>
          <w:rFonts w:cs="Arial"/>
        </w:rPr>
        <w:t xml:space="preserve">attempts </w:t>
      </w:r>
      <w:r w:rsidRPr="00BB5480">
        <w:rPr>
          <w:rFonts w:cs="Arial"/>
        </w:rPr>
        <w:t>measures certain aspects of psychological inflexibility</w:t>
      </w:r>
      <w:r w:rsidR="00351DA1" w:rsidRPr="00BB5480">
        <w:rPr>
          <w:rFonts w:cs="Arial"/>
        </w:rPr>
        <w:t xml:space="preserve"> in a more everyday context</w:t>
      </w:r>
      <w:r w:rsidRPr="00BB5480">
        <w:rPr>
          <w:rFonts w:cs="Arial"/>
        </w:rPr>
        <w:t xml:space="preserve">. Measures like the EPIC may be of service as CBS expands its remit of research beyond </w:t>
      </w:r>
      <w:r w:rsidR="00351DA1" w:rsidRPr="00BB5480">
        <w:rPr>
          <w:rFonts w:cs="Arial"/>
        </w:rPr>
        <w:t xml:space="preserve">traditional </w:t>
      </w:r>
      <w:r w:rsidRPr="00BB5480">
        <w:rPr>
          <w:rFonts w:cs="Arial"/>
        </w:rPr>
        <w:t>clinical</w:t>
      </w:r>
      <w:r w:rsidR="00B13BDF" w:rsidRPr="00BB5480">
        <w:rPr>
          <w:rFonts w:cs="Arial"/>
        </w:rPr>
        <w:t>,</w:t>
      </w:r>
      <w:r w:rsidRPr="00BB5480">
        <w:rPr>
          <w:rFonts w:cs="Arial"/>
        </w:rPr>
        <w:t xml:space="preserve"> health</w:t>
      </w:r>
      <w:r w:rsidR="00B13BDF" w:rsidRPr="00BB5480">
        <w:rPr>
          <w:rFonts w:cs="Arial"/>
        </w:rPr>
        <w:t xml:space="preserve"> and well-being contexts</w:t>
      </w:r>
      <w:r w:rsidR="00C351BA" w:rsidRPr="00BB5480">
        <w:rPr>
          <w:rFonts w:cs="Arial"/>
        </w:rPr>
        <w:t>,</w:t>
      </w:r>
      <w:r w:rsidRPr="00BB5480">
        <w:rPr>
          <w:rFonts w:cs="Arial"/>
        </w:rPr>
        <w:t xml:space="preserve"> into areas of social concern such as poverty, inequality, </w:t>
      </w:r>
      <w:r w:rsidR="00D058D4" w:rsidRPr="00BB5480">
        <w:rPr>
          <w:rFonts w:cs="Arial"/>
        </w:rPr>
        <w:t xml:space="preserve">climate change and human rights. </w:t>
      </w:r>
      <w:r w:rsidR="00351DA1" w:rsidRPr="00BB5480">
        <w:rPr>
          <w:rFonts w:cs="Arial"/>
        </w:rPr>
        <w:t xml:space="preserve">Moreover, it </w:t>
      </w:r>
      <w:r w:rsidR="000454B8" w:rsidRPr="00BB5480">
        <w:rPr>
          <w:rFonts w:cs="Arial"/>
        </w:rPr>
        <w:t xml:space="preserve">may </w:t>
      </w:r>
      <w:r w:rsidR="00351DA1" w:rsidRPr="00BB5480">
        <w:rPr>
          <w:rFonts w:cs="Arial"/>
        </w:rPr>
        <w:t xml:space="preserve">give those interested in CBS </w:t>
      </w:r>
      <w:r w:rsidR="000454B8" w:rsidRPr="00BB5480">
        <w:rPr>
          <w:rFonts w:cs="Arial"/>
        </w:rPr>
        <w:t>a tool to</w:t>
      </w:r>
      <w:r w:rsidR="00351DA1" w:rsidRPr="00BB5480">
        <w:rPr>
          <w:rFonts w:cs="Arial"/>
        </w:rPr>
        <w:t xml:space="preserve"> </w:t>
      </w:r>
      <w:r w:rsidR="00C351BA" w:rsidRPr="00BB5480">
        <w:rPr>
          <w:rFonts w:cs="Arial"/>
        </w:rPr>
        <w:t>compare</w:t>
      </w:r>
      <w:r w:rsidR="00351DA1" w:rsidRPr="00BB5480">
        <w:rPr>
          <w:rFonts w:cs="Arial"/>
        </w:rPr>
        <w:t xml:space="preserve"> </w:t>
      </w:r>
      <w:r w:rsidR="00C351BA" w:rsidRPr="00BB5480">
        <w:rPr>
          <w:rFonts w:cs="Arial"/>
        </w:rPr>
        <w:t xml:space="preserve">whether the success that </w:t>
      </w:r>
      <w:r w:rsidR="00351DA1" w:rsidRPr="00BB5480">
        <w:rPr>
          <w:rFonts w:cs="Arial"/>
        </w:rPr>
        <w:t>psychological flexibility ha</w:t>
      </w:r>
      <w:r w:rsidR="00C351BA" w:rsidRPr="00BB5480">
        <w:rPr>
          <w:rFonts w:cs="Arial"/>
        </w:rPr>
        <w:t>s</w:t>
      </w:r>
      <w:r w:rsidR="00351DA1" w:rsidRPr="00BB5480">
        <w:rPr>
          <w:rFonts w:cs="Arial"/>
        </w:rPr>
        <w:t xml:space="preserve"> had in clinical</w:t>
      </w:r>
      <w:r w:rsidR="008D63A4" w:rsidRPr="00BB5480">
        <w:rPr>
          <w:rFonts w:cs="Arial"/>
        </w:rPr>
        <w:t xml:space="preserve"> </w:t>
      </w:r>
      <w:r w:rsidR="00351DA1" w:rsidRPr="00BB5480">
        <w:rPr>
          <w:rFonts w:cs="Arial"/>
        </w:rPr>
        <w:t>domains can be replicated in areas more associated with social</w:t>
      </w:r>
      <w:r w:rsidR="00FF24A5" w:rsidRPr="00BB5480">
        <w:rPr>
          <w:rFonts w:cs="Arial"/>
        </w:rPr>
        <w:t>, global</w:t>
      </w:r>
      <w:r w:rsidR="00351DA1" w:rsidRPr="00BB5480">
        <w:rPr>
          <w:rFonts w:cs="Arial"/>
        </w:rPr>
        <w:t xml:space="preserve"> and environmental justice. </w:t>
      </w:r>
      <w:r w:rsidR="00A038F0" w:rsidRPr="00BB5480">
        <w:rPr>
          <w:rFonts w:cs="Arial"/>
        </w:rPr>
        <w:t>I</w:t>
      </w:r>
      <w:r w:rsidR="00A038F0" w:rsidRPr="00BB5480">
        <w:rPr>
          <w:rFonts w:cs="Arial"/>
          <w:iCs/>
        </w:rPr>
        <w:t xml:space="preserve">n contrast to the </w:t>
      </w:r>
      <w:proofErr w:type="spellStart"/>
      <w:r w:rsidR="00A038F0" w:rsidRPr="00BB5480">
        <w:rPr>
          <w:rFonts w:cs="Arial"/>
          <w:iCs/>
        </w:rPr>
        <w:t>AAQ</w:t>
      </w:r>
      <w:proofErr w:type="spellEnd"/>
      <w:r w:rsidR="00A038F0" w:rsidRPr="00BB5480">
        <w:rPr>
          <w:rFonts w:cs="Arial"/>
          <w:iCs/>
        </w:rPr>
        <w:t>-II, the items of the EPIC makes no reference to pain, fear and worry</w:t>
      </w:r>
      <w:r w:rsidR="00A038F0" w:rsidRPr="00BB5480">
        <w:rPr>
          <w:rFonts w:cs="Arial"/>
        </w:rPr>
        <w:t xml:space="preserve">. </w:t>
      </w:r>
      <w:r w:rsidR="00A038F0" w:rsidRPr="00BB5480">
        <w:rPr>
          <w:rFonts w:cs="Arial"/>
          <w:iCs/>
        </w:rPr>
        <w:t>Of course, the presence or absence of certain words is not enough by itself to make a measure more or less sensitive in everyday contexts</w:t>
      </w:r>
      <w:r w:rsidR="008157C7" w:rsidRPr="00BB5480">
        <w:rPr>
          <w:rFonts w:cs="Arial"/>
          <w:iCs/>
        </w:rPr>
        <w:t>:</w:t>
      </w:r>
      <w:r w:rsidR="00A038F0" w:rsidRPr="00BB5480">
        <w:rPr>
          <w:rFonts w:cs="Arial"/>
          <w:iCs/>
        </w:rPr>
        <w:t xml:space="preserve"> </w:t>
      </w:r>
      <w:r w:rsidR="008157C7" w:rsidRPr="00BB5480">
        <w:rPr>
          <w:rFonts w:cs="Arial"/>
          <w:iCs/>
        </w:rPr>
        <w:t>t</w:t>
      </w:r>
      <w:r w:rsidR="00A038F0" w:rsidRPr="00BB5480">
        <w:rPr>
          <w:rFonts w:cs="Arial"/>
          <w:iCs/>
        </w:rPr>
        <w:t xml:space="preserve">his is an empirical question. Future research is necessary to help determine the </w:t>
      </w:r>
      <w:r w:rsidR="00CA2BF7" w:rsidRPr="00BB5480">
        <w:rPr>
          <w:rFonts w:cs="Arial"/>
          <w:iCs/>
        </w:rPr>
        <w:t xml:space="preserve">precise </w:t>
      </w:r>
      <w:r w:rsidR="00094BFF" w:rsidRPr="00BB5480">
        <w:rPr>
          <w:rFonts w:cs="Arial"/>
          <w:iCs/>
        </w:rPr>
        <w:t xml:space="preserve">extent to which </w:t>
      </w:r>
      <w:r w:rsidR="00A038F0" w:rsidRPr="00BB5480">
        <w:rPr>
          <w:rFonts w:cs="Arial"/>
          <w:iCs/>
        </w:rPr>
        <w:t xml:space="preserve">the EPIC may assist CBS </w:t>
      </w:r>
      <w:r w:rsidR="00C60742" w:rsidRPr="00BB5480">
        <w:rPr>
          <w:rFonts w:cs="Arial"/>
          <w:iCs/>
        </w:rPr>
        <w:t xml:space="preserve">address </w:t>
      </w:r>
      <w:r w:rsidR="00C351BA" w:rsidRPr="00BB5480">
        <w:rPr>
          <w:rFonts w:cs="Arial"/>
          <w:iCs/>
        </w:rPr>
        <w:t>more prosocial areas</w:t>
      </w:r>
      <w:r w:rsidR="00A038F0" w:rsidRPr="00BB5480">
        <w:rPr>
          <w:rFonts w:cs="Arial"/>
          <w:iCs/>
        </w:rPr>
        <w:t xml:space="preserve">. As </w:t>
      </w:r>
      <w:proofErr w:type="spellStart"/>
      <w:r w:rsidR="00A038F0" w:rsidRPr="00BB5480">
        <w:rPr>
          <w:rFonts w:cs="Arial"/>
          <w:iCs/>
        </w:rPr>
        <w:t>Holmbeck</w:t>
      </w:r>
      <w:proofErr w:type="spellEnd"/>
      <w:r w:rsidR="00A038F0" w:rsidRPr="00BB5480">
        <w:rPr>
          <w:rFonts w:cs="Arial"/>
          <w:iCs/>
        </w:rPr>
        <w:t xml:space="preserve"> notes, that process of scale development is a “cumulative process” taking place “across many different types of research studies and across research programs” (</w:t>
      </w:r>
      <w:proofErr w:type="spellStart"/>
      <w:r w:rsidR="00A038F0" w:rsidRPr="00BB5480">
        <w:rPr>
          <w:rFonts w:cs="Arial"/>
          <w:iCs/>
        </w:rPr>
        <w:t>Holmbeck</w:t>
      </w:r>
      <w:proofErr w:type="spellEnd"/>
      <w:r w:rsidR="00A038F0" w:rsidRPr="00BB5480">
        <w:rPr>
          <w:rFonts w:cs="Arial"/>
          <w:iCs/>
        </w:rPr>
        <w:t xml:space="preserve"> &amp; Devine, 2009, p. 692). That said, it is hoped that the development of the EPIC can be one small part, of the CBS mission </w:t>
      </w:r>
      <w:r w:rsidR="004F2D53">
        <w:rPr>
          <w:rFonts w:cs="Arial"/>
          <w:iCs/>
        </w:rPr>
        <w:t>to</w:t>
      </w:r>
      <w:r w:rsidR="00A038F0" w:rsidRPr="00BB5480">
        <w:rPr>
          <w:rFonts w:cs="Arial"/>
          <w:iCs/>
        </w:rPr>
        <w:t xml:space="preserve"> help: “create a </w:t>
      </w:r>
      <w:proofErr w:type="spellStart"/>
      <w:r w:rsidR="00A038F0" w:rsidRPr="00BB5480">
        <w:rPr>
          <w:rFonts w:cs="Arial"/>
          <w:iCs/>
        </w:rPr>
        <w:t>behavioral</w:t>
      </w:r>
      <w:proofErr w:type="spellEnd"/>
      <w:r w:rsidR="00A038F0" w:rsidRPr="00BB5480">
        <w:rPr>
          <w:rFonts w:cs="Arial"/>
          <w:iCs/>
        </w:rPr>
        <w:t xml:space="preserve"> science more adequate to the challenges of the human condition” (Hayes et al., 2012, </w:t>
      </w:r>
      <w:proofErr w:type="spellStart"/>
      <w:r w:rsidR="00A038F0" w:rsidRPr="00BB5480">
        <w:rPr>
          <w:rFonts w:cs="Arial"/>
          <w:iCs/>
        </w:rPr>
        <w:t>p.2</w:t>
      </w:r>
      <w:proofErr w:type="spellEnd"/>
      <w:r w:rsidR="00A038F0" w:rsidRPr="00BB5480">
        <w:rPr>
          <w:rFonts w:cs="Arial"/>
          <w:iCs/>
        </w:rPr>
        <w:t>).</w:t>
      </w:r>
    </w:p>
    <w:p w14:paraId="2BE38F4E" w14:textId="77777777" w:rsidR="00094BFF" w:rsidRPr="00BB5480" w:rsidRDefault="00094BFF" w:rsidP="00A038F0">
      <w:pPr>
        <w:pStyle w:val="BodyTextFirstIndent"/>
        <w:rPr>
          <w:rFonts w:cs="Arial"/>
          <w:iCs/>
        </w:rPr>
      </w:pPr>
    </w:p>
    <w:p w14:paraId="53FD6B57" w14:textId="77777777" w:rsidR="00DA69D9" w:rsidRPr="00BB5480" w:rsidRDefault="00DA69D9">
      <w:pPr>
        <w:pageBreakBefore/>
        <w:rPr>
          <w:b/>
          <w:sz w:val="24"/>
          <w:szCs w:val="24"/>
        </w:rPr>
      </w:pPr>
      <w:r w:rsidRPr="00BB5480">
        <w:rPr>
          <w:b/>
          <w:sz w:val="24"/>
          <w:szCs w:val="24"/>
        </w:rPr>
        <w:lastRenderedPageBreak/>
        <w:t>EPIC</w:t>
      </w:r>
    </w:p>
    <w:p w14:paraId="3C0BD7CD" w14:textId="77777777" w:rsidR="00DA69D9" w:rsidRPr="00BB5480" w:rsidRDefault="00DA69D9">
      <w:pPr>
        <w:pStyle w:val="BodyText"/>
        <w:rPr>
          <w:b/>
        </w:rPr>
      </w:pPr>
    </w:p>
    <w:p w14:paraId="2D629C3B" w14:textId="77777777" w:rsidR="00DA69D9" w:rsidRPr="00BB5480" w:rsidRDefault="00DA69D9">
      <w:pPr>
        <w:snapToGrid w:val="0"/>
        <w:rPr>
          <w:b/>
          <w:bCs/>
          <w:sz w:val="24"/>
          <w:szCs w:val="24"/>
        </w:rPr>
      </w:pPr>
      <w:r w:rsidRPr="00BB5480">
        <w:rPr>
          <w:b/>
          <w:bCs/>
          <w:sz w:val="24"/>
          <w:szCs w:val="24"/>
        </w:rPr>
        <w:t>Below you will find a list of statements. Please rate how true each statement is for you by circling a number next to it. Use the scale below to make your choice.</w:t>
      </w:r>
    </w:p>
    <w:p w14:paraId="3B104539" w14:textId="77777777" w:rsidR="00DA69D9" w:rsidRPr="00BB5480" w:rsidRDefault="00DA69D9">
      <w:pPr>
        <w:snapToGrid w:val="0"/>
        <w:rPr>
          <w:b/>
          <w:bCs/>
          <w:sz w:val="24"/>
          <w:szCs w:val="24"/>
        </w:rPr>
      </w:pPr>
    </w:p>
    <w:p w14:paraId="7A3C619D" w14:textId="77777777" w:rsidR="00DA69D9" w:rsidRPr="00BB5480" w:rsidRDefault="00DA69D9">
      <w:pPr>
        <w:snapToGrid w:val="0"/>
        <w:rPr>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04"/>
        <w:gridCol w:w="1205"/>
        <w:gridCol w:w="1205"/>
        <w:gridCol w:w="1205"/>
        <w:gridCol w:w="1205"/>
        <w:gridCol w:w="1205"/>
        <w:gridCol w:w="1335"/>
      </w:tblGrid>
      <w:tr w:rsidR="00BB5480" w:rsidRPr="00BB5480" w14:paraId="0FA9589B" w14:textId="77777777">
        <w:tc>
          <w:tcPr>
            <w:tcW w:w="1204" w:type="dxa"/>
            <w:tcBorders>
              <w:top w:val="single" w:sz="8" w:space="0" w:color="000000"/>
              <w:left w:val="single" w:sz="8" w:space="0" w:color="000000"/>
            </w:tcBorders>
            <w:shd w:val="clear" w:color="auto" w:fill="auto"/>
            <w:vAlign w:val="center"/>
          </w:tcPr>
          <w:p w14:paraId="7979AFEE" w14:textId="77777777" w:rsidR="00DA69D9" w:rsidRPr="00BB5480" w:rsidRDefault="00DA69D9">
            <w:pPr>
              <w:pStyle w:val="TableContents"/>
              <w:snapToGrid w:val="0"/>
              <w:jc w:val="center"/>
            </w:pPr>
            <w:r w:rsidRPr="00BB5480">
              <w:rPr>
                <w:sz w:val="24"/>
                <w:szCs w:val="24"/>
              </w:rPr>
              <w:t>1</w:t>
            </w:r>
          </w:p>
        </w:tc>
        <w:tc>
          <w:tcPr>
            <w:tcW w:w="1205" w:type="dxa"/>
            <w:tcBorders>
              <w:top w:val="single" w:sz="8" w:space="0" w:color="000000"/>
              <w:left w:val="single" w:sz="8" w:space="0" w:color="000000"/>
            </w:tcBorders>
            <w:shd w:val="clear" w:color="auto" w:fill="auto"/>
            <w:vAlign w:val="center"/>
          </w:tcPr>
          <w:p w14:paraId="4C5F2CE1" w14:textId="77777777" w:rsidR="00DA69D9" w:rsidRPr="00BB5480" w:rsidRDefault="00DA69D9">
            <w:pPr>
              <w:pStyle w:val="TableContents"/>
              <w:snapToGrid w:val="0"/>
              <w:jc w:val="center"/>
            </w:pPr>
            <w:r w:rsidRPr="00BB5480">
              <w:rPr>
                <w:sz w:val="24"/>
                <w:szCs w:val="24"/>
              </w:rPr>
              <w:t>2</w:t>
            </w:r>
          </w:p>
        </w:tc>
        <w:tc>
          <w:tcPr>
            <w:tcW w:w="1205" w:type="dxa"/>
            <w:tcBorders>
              <w:top w:val="single" w:sz="8" w:space="0" w:color="000000"/>
              <w:left w:val="single" w:sz="8" w:space="0" w:color="000000"/>
            </w:tcBorders>
            <w:shd w:val="clear" w:color="auto" w:fill="auto"/>
            <w:vAlign w:val="center"/>
          </w:tcPr>
          <w:p w14:paraId="7A499178" w14:textId="77777777" w:rsidR="00DA69D9" w:rsidRPr="00BB5480" w:rsidRDefault="00DA69D9">
            <w:pPr>
              <w:pStyle w:val="TableContents"/>
              <w:snapToGrid w:val="0"/>
              <w:jc w:val="center"/>
            </w:pPr>
            <w:r w:rsidRPr="00BB5480">
              <w:rPr>
                <w:sz w:val="24"/>
                <w:szCs w:val="24"/>
              </w:rPr>
              <w:t>3</w:t>
            </w:r>
          </w:p>
        </w:tc>
        <w:tc>
          <w:tcPr>
            <w:tcW w:w="1205" w:type="dxa"/>
            <w:tcBorders>
              <w:top w:val="single" w:sz="8" w:space="0" w:color="000000"/>
              <w:left w:val="single" w:sz="8" w:space="0" w:color="000000"/>
            </w:tcBorders>
            <w:shd w:val="clear" w:color="auto" w:fill="auto"/>
            <w:vAlign w:val="center"/>
          </w:tcPr>
          <w:p w14:paraId="735EB1B6" w14:textId="77777777" w:rsidR="00DA69D9" w:rsidRPr="00BB5480" w:rsidRDefault="00DA69D9">
            <w:pPr>
              <w:pStyle w:val="TableContents"/>
              <w:snapToGrid w:val="0"/>
              <w:jc w:val="center"/>
            </w:pPr>
            <w:r w:rsidRPr="00BB5480">
              <w:rPr>
                <w:sz w:val="24"/>
                <w:szCs w:val="24"/>
              </w:rPr>
              <w:t>4</w:t>
            </w:r>
          </w:p>
        </w:tc>
        <w:tc>
          <w:tcPr>
            <w:tcW w:w="1205" w:type="dxa"/>
            <w:tcBorders>
              <w:top w:val="single" w:sz="8" w:space="0" w:color="000000"/>
              <w:left w:val="single" w:sz="8" w:space="0" w:color="000000"/>
            </w:tcBorders>
            <w:shd w:val="clear" w:color="auto" w:fill="auto"/>
            <w:vAlign w:val="center"/>
          </w:tcPr>
          <w:p w14:paraId="12D47C8B" w14:textId="77777777" w:rsidR="00DA69D9" w:rsidRPr="00BB5480" w:rsidRDefault="00DA69D9">
            <w:pPr>
              <w:pStyle w:val="TableContents"/>
              <w:snapToGrid w:val="0"/>
              <w:jc w:val="center"/>
            </w:pPr>
            <w:r w:rsidRPr="00BB5480">
              <w:rPr>
                <w:sz w:val="24"/>
                <w:szCs w:val="24"/>
              </w:rPr>
              <w:t>5</w:t>
            </w:r>
          </w:p>
        </w:tc>
        <w:tc>
          <w:tcPr>
            <w:tcW w:w="1205" w:type="dxa"/>
            <w:tcBorders>
              <w:top w:val="single" w:sz="8" w:space="0" w:color="000000"/>
              <w:left w:val="single" w:sz="8" w:space="0" w:color="000000"/>
            </w:tcBorders>
            <w:shd w:val="clear" w:color="auto" w:fill="auto"/>
            <w:vAlign w:val="center"/>
          </w:tcPr>
          <w:p w14:paraId="7CBAA9D9" w14:textId="77777777" w:rsidR="00DA69D9" w:rsidRPr="00BB5480" w:rsidRDefault="00DA69D9">
            <w:pPr>
              <w:pStyle w:val="TableContents"/>
              <w:snapToGrid w:val="0"/>
              <w:jc w:val="center"/>
            </w:pPr>
            <w:r w:rsidRPr="00BB5480">
              <w:rPr>
                <w:sz w:val="24"/>
                <w:szCs w:val="24"/>
              </w:rPr>
              <w:t>6</w:t>
            </w:r>
          </w:p>
        </w:tc>
        <w:tc>
          <w:tcPr>
            <w:tcW w:w="1335" w:type="dxa"/>
            <w:tcBorders>
              <w:top w:val="single" w:sz="8" w:space="0" w:color="000000"/>
              <w:left w:val="single" w:sz="8" w:space="0" w:color="000000"/>
              <w:right w:val="single" w:sz="8" w:space="0" w:color="000000"/>
            </w:tcBorders>
            <w:shd w:val="clear" w:color="auto" w:fill="auto"/>
            <w:vAlign w:val="center"/>
          </w:tcPr>
          <w:p w14:paraId="2012E35E" w14:textId="77777777" w:rsidR="00DA69D9" w:rsidRPr="00BB5480" w:rsidRDefault="00DA69D9">
            <w:pPr>
              <w:pStyle w:val="TableContents"/>
              <w:snapToGrid w:val="0"/>
              <w:jc w:val="center"/>
            </w:pPr>
            <w:r w:rsidRPr="00BB5480">
              <w:rPr>
                <w:sz w:val="24"/>
                <w:szCs w:val="24"/>
              </w:rPr>
              <w:t>7</w:t>
            </w:r>
          </w:p>
        </w:tc>
      </w:tr>
      <w:tr w:rsidR="00DA69D9" w:rsidRPr="00BB5480" w14:paraId="7BA59B59" w14:textId="77777777">
        <w:trPr>
          <w:trHeight w:val="567"/>
        </w:trPr>
        <w:tc>
          <w:tcPr>
            <w:tcW w:w="1204" w:type="dxa"/>
            <w:tcBorders>
              <w:left w:val="single" w:sz="8" w:space="0" w:color="000000"/>
              <w:bottom w:val="single" w:sz="8" w:space="0" w:color="000000"/>
            </w:tcBorders>
            <w:shd w:val="clear" w:color="auto" w:fill="auto"/>
            <w:vAlign w:val="center"/>
          </w:tcPr>
          <w:p w14:paraId="6EB8E269" w14:textId="77777777" w:rsidR="00DA69D9" w:rsidRPr="00BB5480" w:rsidRDefault="00DA69D9">
            <w:pPr>
              <w:snapToGrid w:val="0"/>
              <w:jc w:val="center"/>
              <w:rPr>
                <w:sz w:val="24"/>
                <w:szCs w:val="24"/>
              </w:rPr>
            </w:pPr>
            <w:r w:rsidRPr="00BB5480">
              <w:rPr>
                <w:sz w:val="24"/>
                <w:szCs w:val="24"/>
              </w:rPr>
              <w:t>Never</w:t>
            </w:r>
          </w:p>
          <w:p w14:paraId="45D2C783" w14:textId="77777777" w:rsidR="00DA69D9" w:rsidRPr="00BB5480" w:rsidRDefault="00DA69D9">
            <w:pPr>
              <w:snapToGrid w:val="0"/>
              <w:jc w:val="center"/>
            </w:pPr>
            <w:r w:rsidRPr="00BB5480">
              <w:rPr>
                <w:sz w:val="24"/>
                <w:szCs w:val="24"/>
              </w:rPr>
              <w:t>True</w:t>
            </w:r>
          </w:p>
        </w:tc>
        <w:tc>
          <w:tcPr>
            <w:tcW w:w="1205" w:type="dxa"/>
            <w:tcBorders>
              <w:left w:val="single" w:sz="8" w:space="0" w:color="000000"/>
              <w:bottom w:val="single" w:sz="8" w:space="0" w:color="000000"/>
            </w:tcBorders>
            <w:shd w:val="clear" w:color="auto" w:fill="auto"/>
            <w:vAlign w:val="center"/>
          </w:tcPr>
          <w:p w14:paraId="423CBFAF" w14:textId="77777777" w:rsidR="00DA69D9" w:rsidRPr="00BB5480" w:rsidRDefault="00DA69D9">
            <w:pPr>
              <w:pStyle w:val="TableContents"/>
              <w:snapToGrid w:val="0"/>
              <w:jc w:val="center"/>
            </w:pPr>
            <w:r w:rsidRPr="00BB5480">
              <w:rPr>
                <w:sz w:val="24"/>
                <w:szCs w:val="24"/>
              </w:rPr>
              <w:t>Very Seldom True</w:t>
            </w:r>
          </w:p>
        </w:tc>
        <w:tc>
          <w:tcPr>
            <w:tcW w:w="1205" w:type="dxa"/>
            <w:tcBorders>
              <w:left w:val="single" w:sz="8" w:space="0" w:color="000000"/>
              <w:bottom w:val="single" w:sz="8" w:space="0" w:color="000000"/>
            </w:tcBorders>
            <w:shd w:val="clear" w:color="auto" w:fill="auto"/>
            <w:vAlign w:val="center"/>
          </w:tcPr>
          <w:p w14:paraId="2F928746" w14:textId="77777777" w:rsidR="00DA69D9" w:rsidRPr="00BB5480" w:rsidRDefault="00DA69D9">
            <w:pPr>
              <w:pStyle w:val="TableContents"/>
              <w:snapToGrid w:val="0"/>
              <w:jc w:val="center"/>
            </w:pPr>
            <w:r w:rsidRPr="00BB5480">
              <w:rPr>
                <w:sz w:val="24"/>
                <w:szCs w:val="24"/>
              </w:rPr>
              <w:t>Seldom True</w:t>
            </w:r>
          </w:p>
        </w:tc>
        <w:tc>
          <w:tcPr>
            <w:tcW w:w="1205" w:type="dxa"/>
            <w:tcBorders>
              <w:left w:val="single" w:sz="8" w:space="0" w:color="000000"/>
              <w:bottom w:val="single" w:sz="8" w:space="0" w:color="000000"/>
            </w:tcBorders>
            <w:shd w:val="clear" w:color="auto" w:fill="auto"/>
            <w:vAlign w:val="center"/>
          </w:tcPr>
          <w:p w14:paraId="235C5515" w14:textId="77777777" w:rsidR="00DA69D9" w:rsidRPr="00BB5480" w:rsidRDefault="00DA69D9">
            <w:pPr>
              <w:pStyle w:val="TableContents"/>
              <w:snapToGrid w:val="0"/>
              <w:jc w:val="center"/>
            </w:pPr>
            <w:r w:rsidRPr="00BB5480">
              <w:rPr>
                <w:sz w:val="24"/>
                <w:szCs w:val="24"/>
              </w:rPr>
              <w:t>Sometimes True</w:t>
            </w:r>
          </w:p>
        </w:tc>
        <w:tc>
          <w:tcPr>
            <w:tcW w:w="1205" w:type="dxa"/>
            <w:tcBorders>
              <w:left w:val="single" w:sz="8" w:space="0" w:color="000000"/>
              <w:bottom w:val="single" w:sz="8" w:space="0" w:color="000000"/>
            </w:tcBorders>
            <w:shd w:val="clear" w:color="auto" w:fill="auto"/>
            <w:vAlign w:val="center"/>
          </w:tcPr>
          <w:p w14:paraId="2838D980" w14:textId="77777777" w:rsidR="00DA69D9" w:rsidRPr="00BB5480" w:rsidRDefault="00DA69D9">
            <w:pPr>
              <w:pStyle w:val="TableContents"/>
              <w:snapToGrid w:val="0"/>
              <w:jc w:val="center"/>
            </w:pPr>
            <w:r w:rsidRPr="00BB5480">
              <w:rPr>
                <w:sz w:val="24"/>
                <w:szCs w:val="24"/>
              </w:rPr>
              <w:t>Frequently True</w:t>
            </w:r>
          </w:p>
        </w:tc>
        <w:tc>
          <w:tcPr>
            <w:tcW w:w="1205" w:type="dxa"/>
            <w:tcBorders>
              <w:left w:val="single" w:sz="8" w:space="0" w:color="000000"/>
              <w:bottom w:val="single" w:sz="8" w:space="0" w:color="000000"/>
            </w:tcBorders>
            <w:shd w:val="clear" w:color="auto" w:fill="auto"/>
            <w:vAlign w:val="center"/>
          </w:tcPr>
          <w:p w14:paraId="27FCD94B" w14:textId="77777777" w:rsidR="00DA69D9" w:rsidRPr="00BB5480" w:rsidRDefault="00DA69D9">
            <w:pPr>
              <w:pStyle w:val="TableContents"/>
              <w:snapToGrid w:val="0"/>
              <w:jc w:val="center"/>
            </w:pPr>
            <w:r w:rsidRPr="00BB5480">
              <w:rPr>
                <w:sz w:val="24"/>
                <w:szCs w:val="24"/>
              </w:rPr>
              <w:t>Almost Always True</w:t>
            </w:r>
          </w:p>
        </w:tc>
        <w:tc>
          <w:tcPr>
            <w:tcW w:w="1335" w:type="dxa"/>
            <w:tcBorders>
              <w:left w:val="single" w:sz="8" w:space="0" w:color="000000"/>
              <w:bottom w:val="single" w:sz="8" w:space="0" w:color="000000"/>
              <w:right w:val="single" w:sz="8" w:space="0" w:color="000000"/>
            </w:tcBorders>
            <w:shd w:val="clear" w:color="auto" w:fill="auto"/>
            <w:vAlign w:val="center"/>
          </w:tcPr>
          <w:p w14:paraId="2A28EB43" w14:textId="77777777" w:rsidR="00DA69D9" w:rsidRPr="00BB5480" w:rsidRDefault="00DA69D9">
            <w:pPr>
              <w:snapToGrid w:val="0"/>
              <w:jc w:val="center"/>
              <w:rPr>
                <w:sz w:val="24"/>
                <w:szCs w:val="24"/>
              </w:rPr>
            </w:pPr>
            <w:r w:rsidRPr="00BB5480">
              <w:rPr>
                <w:sz w:val="24"/>
                <w:szCs w:val="24"/>
              </w:rPr>
              <w:t>Always</w:t>
            </w:r>
          </w:p>
          <w:p w14:paraId="7ED63B15" w14:textId="77777777" w:rsidR="00DA69D9" w:rsidRPr="00BB5480" w:rsidRDefault="00DA69D9">
            <w:pPr>
              <w:snapToGrid w:val="0"/>
              <w:jc w:val="center"/>
            </w:pPr>
            <w:r w:rsidRPr="00BB5480">
              <w:rPr>
                <w:sz w:val="24"/>
                <w:szCs w:val="24"/>
              </w:rPr>
              <w:t>True</w:t>
            </w:r>
          </w:p>
        </w:tc>
      </w:tr>
    </w:tbl>
    <w:p w14:paraId="1B4595F4" w14:textId="77777777" w:rsidR="00DA69D9" w:rsidRPr="00BB5480" w:rsidRDefault="00DA69D9">
      <w:pPr>
        <w:rPr>
          <w:sz w:val="24"/>
          <w:szCs w:val="24"/>
        </w:rPr>
      </w:pPr>
    </w:p>
    <w:tbl>
      <w:tblPr>
        <w:tblW w:w="8564" w:type="dxa"/>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262"/>
        <w:gridCol w:w="401"/>
        <w:gridCol w:w="401"/>
        <w:gridCol w:w="401"/>
        <w:gridCol w:w="401"/>
        <w:gridCol w:w="401"/>
        <w:gridCol w:w="401"/>
        <w:gridCol w:w="401"/>
      </w:tblGrid>
      <w:tr w:rsidR="00BB5480" w:rsidRPr="00BB5480" w14:paraId="2AD0B64D" w14:textId="77777777" w:rsidTr="00103F81">
        <w:trPr>
          <w:trHeight w:val="617"/>
        </w:trPr>
        <w:tc>
          <w:tcPr>
            <w:tcW w:w="495" w:type="dxa"/>
            <w:tcBorders>
              <w:top w:val="single" w:sz="8" w:space="0" w:color="000000"/>
              <w:left w:val="single" w:sz="8" w:space="0" w:color="000000"/>
              <w:bottom w:val="single" w:sz="8" w:space="0" w:color="000000"/>
            </w:tcBorders>
            <w:shd w:val="clear" w:color="auto" w:fill="auto"/>
            <w:vAlign w:val="center"/>
          </w:tcPr>
          <w:p w14:paraId="5796656A" w14:textId="77777777" w:rsidR="00DA69D9" w:rsidRPr="00BB5480" w:rsidRDefault="00DA69D9">
            <w:pPr>
              <w:snapToGrid w:val="0"/>
            </w:pPr>
            <w:r w:rsidRPr="00BB5480">
              <w:rPr>
                <w:sz w:val="24"/>
                <w:szCs w:val="24"/>
              </w:rPr>
              <w:t>1</w:t>
            </w:r>
          </w:p>
        </w:tc>
        <w:tc>
          <w:tcPr>
            <w:tcW w:w="5262" w:type="dxa"/>
            <w:tcBorders>
              <w:top w:val="single" w:sz="8" w:space="0" w:color="000000"/>
              <w:bottom w:val="single" w:sz="8" w:space="0" w:color="000000"/>
            </w:tcBorders>
            <w:shd w:val="clear" w:color="auto" w:fill="auto"/>
            <w:vAlign w:val="center"/>
          </w:tcPr>
          <w:p w14:paraId="3FBD810E" w14:textId="77777777" w:rsidR="00DA69D9" w:rsidRPr="00BB5480" w:rsidRDefault="00DA69D9">
            <w:pPr>
              <w:pStyle w:val="BodyText"/>
            </w:pPr>
            <w:r w:rsidRPr="00BB5480">
              <w:t>I try to avoid thinking about difficult topics [A]</w:t>
            </w:r>
          </w:p>
        </w:tc>
        <w:tc>
          <w:tcPr>
            <w:tcW w:w="401" w:type="dxa"/>
            <w:tcBorders>
              <w:top w:val="single" w:sz="8" w:space="0" w:color="000000"/>
              <w:left w:val="single" w:sz="8" w:space="0" w:color="000000"/>
              <w:bottom w:val="single" w:sz="8" w:space="0" w:color="000000"/>
            </w:tcBorders>
            <w:shd w:val="clear" w:color="auto" w:fill="auto"/>
            <w:vAlign w:val="center"/>
          </w:tcPr>
          <w:p w14:paraId="640CBEFD" w14:textId="77777777" w:rsidR="00DA69D9" w:rsidRPr="00BB5480" w:rsidRDefault="00DA69D9">
            <w:pPr>
              <w:snapToGrid w:val="0"/>
              <w:jc w:val="center"/>
            </w:pPr>
            <w:r w:rsidRPr="00BB5480">
              <w:rPr>
                <w:sz w:val="24"/>
                <w:szCs w:val="24"/>
              </w:rPr>
              <w:t>1</w:t>
            </w:r>
          </w:p>
        </w:tc>
        <w:tc>
          <w:tcPr>
            <w:tcW w:w="401" w:type="dxa"/>
            <w:tcBorders>
              <w:top w:val="single" w:sz="8" w:space="0" w:color="000000"/>
              <w:left w:val="single" w:sz="8" w:space="0" w:color="000000"/>
              <w:bottom w:val="single" w:sz="8" w:space="0" w:color="000000"/>
            </w:tcBorders>
            <w:shd w:val="clear" w:color="auto" w:fill="auto"/>
            <w:vAlign w:val="center"/>
          </w:tcPr>
          <w:p w14:paraId="5807E5FF" w14:textId="77777777" w:rsidR="00DA69D9" w:rsidRPr="00BB5480" w:rsidRDefault="00DA69D9">
            <w:pPr>
              <w:snapToGrid w:val="0"/>
              <w:jc w:val="center"/>
            </w:pPr>
            <w:r w:rsidRPr="00BB5480">
              <w:rPr>
                <w:sz w:val="24"/>
                <w:szCs w:val="24"/>
              </w:rPr>
              <w:t>2</w:t>
            </w:r>
          </w:p>
        </w:tc>
        <w:tc>
          <w:tcPr>
            <w:tcW w:w="401" w:type="dxa"/>
            <w:tcBorders>
              <w:top w:val="single" w:sz="8" w:space="0" w:color="000000"/>
              <w:left w:val="single" w:sz="8" w:space="0" w:color="000000"/>
              <w:bottom w:val="single" w:sz="8" w:space="0" w:color="000000"/>
            </w:tcBorders>
            <w:shd w:val="clear" w:color="auto" w:fill="auto"/>
            <w:vAlign w:val="center"/>
          </w:tcPr>
          <w:p w14:paraId="420F4BAB" w14:textId="77777777" w:rsidR="00DA69D9" w:rsidRPr="00BB5480" w:rsidRDefault="00DA69D9">
            <w:pPr>
              <w:snapToGrid w:val="0"/>
              <w:jc w:val="center"/>
            </w:pPr>
            <w:r w:rsidRPr="00BB5480">
              <w:rPr>
                <w:sz w:val="24"/>
                <w:szCs w:val="24"/>
              </w:rPr>
              <w:t>3</w:t>
            </w:r>
          </w:p>
        </w:tc>
        <w:tc>
          <w:tcPr>
            <w:tcW w:w="401" w:type="dxa"/>
            <w:tcBorders>
              <w:top w:val="single" w:sz="8" w:space="0" w:color="000000"/>
              <w:left w:val="single" w:sz="8" w:space="0" w:color="000000"/>
              <w:bottom w:val="single" w:sz="8" w:space="0" w:color="000000"/>
            </w:tcBorders>
            <w:shd w:val="clear" w:color="auto" w:fill="auto"/>
            <w:vAlign w:val="center"/>
          </w:tcPr>
          <w:p w14:paraId="5FD6A567" w14:textId="77777777" w:rsidR="00DA69D9" w:rsidRPr="00BB5480" w:rsidRDefault="00DA69D9">
            <w:pPr>
              <w:snapToGrid w:val="0"/>
              <w:jc w:val="center"/>
            </w:pPr>
            <w:r w:rsidRPr="00BB5480">
              <w:rPr>
                <w:sz w:val="24"/>
                <w:szCs w:val="24"/>
              </w:rPr>
              <w:t>4</w:t>
            </w:r>
          </w:p>
        </w:tc>
        <w:tc>
          <w:tcPr>
            <w:tcW w:w="401" w:type="dxa"/>
            <w:tcBorders>
              <w:top w:val="single" w:sz="8" w:space="0" w:color="000000"/>
              <w:left w:val="single" w:sz="8" w:space="0" w:color="000000"/>
              <w:bottom w:val="single" w:sz="8" w:space="0" w:color="000000"/>
            </w:tcBorders>
            <w:shd w:val="clear" w:color="auto" w:fill="auto"/>
            <w:vAlign w:val="center"/>
          </w:tcPr>
          <w:p w14:paraId="489448CB" w14:textId="77777777" w:rsidR="00DA69D9" w:rsidRPr="00BB5480" w:rsidRDefault="00DA69D9">
            <w:pPr>
              <w:snapToGrid w:val="0"/>
              <w:jc w:val="center"/>
            </w:pPr>
            <w:r w:rsidRPr="00BB5480">
              <w:rPr>
                <w:sz w:val="24"/>
                <w:szCs w:val="24"/>
              </w:rPr>
              <w:t>5</w:t>
            </w:r>
          </w:p>
        </w:tc>
        <w:tc>
          <w:tcPr>
            <w:tcW w:w="401" w:type="dxa"/>
            <w:tcBorders>
              <w:top w:val="single" w:sz="8" w:space="0" w:color="000000"/>
              <w:left w:val="single" w:sz="8" w:space="0" w:color="000000"/>
              <w:bottom w:val="single" w:sz="8" w:space="0" w:color="000000"/>
            </w:tcBorders>
            <w:shd w:val="clear" w:color="auto" w:fill="auto"/>
            <w:vAlign w:val="center"/>
          </w:tcPr>
          <w:p w14:paraId="7BB96E8E" w14:textId="77777777" w:rsidR="00DA69D9" w:rsidRPr="00BB5480" w:rsidRDefault="00DA69D9">
            <w:pPr>
              <w:snapToGrid w:val="0"/>
              <w:jc w:val="center"/>
            </w:pPr>
            <w:r w:rsidRPr="00BB5480">
              <w:rPr>
                <w:sz w:val="24"/>
                <w:szCs w:val="24"/>
              </w:rPr>
              <w:t>6</w:t>
            </w:r>
          </w:p>
        </w:tc>
        <w:tc>
          <w:tcPr>
            <w:tcW w:w="4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D3437C" w14:textId="77777777" w:rsidR="00DA69D9" w:rsidRPr="00BB5480" w:rsidRDefault="00DA69D9">
            <w:pPr>
              <w:snapToGrid w:val="0"/>
              <w:jc w:val="center"/>
            </w:pPr>
            <w:r w:rsidRPr="00BB5480">
              <w:rPr>
                <w:sz w:val="24"/>
                <w:szCs w:val="24"/>
              </w:rPr>
              <w:t>7</w:t>
            </w:r>
          </w:p>
        </w:tc>
      </w:tr>
      <w:tr w:rsidR="00BB5480" w:rsidRPr="00BB5480" w14:paraId="022A9CD2" w14:textId="77777777" w:rsidTr="00103F81">
        <w:trPr>
          <w:trHeight w:val="617"/>
        </w:trPr>
        <w:tc>
          <w:tcPr>
            <w:tcW w:w="495" w:type="dxa"/>
            <w:tcBorders>
              <w:left w:val="single" w:sz="8" w:space="0" w:color="000000"/>
              <w:bottom w:val="single" w:sz="8" w:space="0" w:color="000000"/>
            </w:tcBorders>
            <w:shd w:val="clear" w:color="auto" w:fill="auto"/>
            <w:vAlign w:val="center"/>
          </w:tcPr>
          <w:p w14:paraId="23EE820A" w14:textId="77777777" w:rsidR="00DA69D9" w:rsidRPr="00BB5480" w:rsidRDefault="00DA69D9">
            <w:pPr>
              <w:snapToGrid w:val="0"/>
            </w:pPr>
            <w:r w:rsidRPr="00BB5480">
              <w:rPr>
                <w:sz w:val="24"/>
                <w:szCs w:val="24"/>
              </w:rPr>
              <w:t>2</w:t>
            </w:r>
          </w:p>
        </w:tc>
        <w:tc>
          <w:tcPr>
            <w:tcW w:w="5262" w:type="dxa"/>
            <w:tcBorders>
              <w:bottom w:val="single" w:sz="8" w:space="0" w:color="000000"/>
            </w:tcBorders>
            <w:shd w:val="clear" w:color="auto" w:fill="auto"/>
            <w:vAlign w:val="center"/>
          </w:tcPr>
          <w:p w14:paraId="0FFF79DA" w14:textId="77777777" w:rsidR="00DA69D9" w:rsidRPr="00BB5480" w:rsidRDefault="00DA69D9">
            <w:pPr>
              <w:pStyle w:val="BodyText"/>
            </w:pPr>
            <w:r w:rsidRPr="00BB5480">
              <w:t>I find I follow rigid patterns when doing some tasks [B</w:t>
            </w:r>
            <w:r w:rsidR="006E638D" w:rsidRPr="00BB5480">
              <w:t>R</w:t>
            </w:r>
            <w:r w:rsidRPr="00BB5480">
              <w:t>]</w:t>
            </w:r>
          </w:p>
        </w:tc>
        <w:tc>
          <w:tcPr>
            <w:tcW w:w="401" w:type="dxa"/>
            <w:tcBorders>
              <w:left w:val="single" w:sz="8" w:space="0" w:color="000000"/>
              <w:bottom w:val="single" w:sz="8" w:space="0" w:color="000000"/>
            </w:tcBorders>
            <w:shd w:val="clear" w:color="auto" w:fill="auto"/>
            <w:vAlign w:val="center"/>
          </w:tcPr>
          <w:p w14:paraId="56F246DB" w14:textId="77777777" w:rsidR="00DA69D9" w:rsidRPr="00BB5480" w:rsidRDefault="00DA69D9">
            <w:pPr>
              <w:snapToGrid w:val="0"/>
              <w:jc w:val="center"/>
            </w:pPr>
            <w:r w:rsidRPr="00BB5480">
              <w:rPr>
                <w:sz w:val="24"/>
                <w:szCs w:val="24"/>
              </w:rPr>
              <w:t>1</w:t>
            </w:r>
          </w:p>
        </w:tc>
        <w:tc>
          <w:tcPr>
            <w:tcW w:w="401" w:type="dxa"/>
            <w:tcBorders>
              <w:left w:val="single" w:sz="8" w:space="0" w:color="000000"/>
              <w:bottom w:val="single" w:sz="8" w:space="0" w:color="000000"/>
            </w:tcBorders>
            <w:shd w:val="clear" w:color="auto" w:fill="auto"/>
            <w:vAlign w:val="center"/>
          </w:tcPr>
          <w:p w14:paraId="27953546" w14:textId="77777777" w:rsidR="00DA69D9" w:rsidRPr="00BB5480" w:rsidRDefault="00DA69D9">
            <w:pPr>
              <w:snapToGrid w:val="0"/>
              <w:jc w:val="center"/>
            </w:pPr>
            <w:r w:rsidRPr="00BB5480">
              <w:rPr>
                <w:sz w:val="24"/>
                <w:szCs w:val="24"/>
              </w:rPr>
              <w:t>2</w:t>
            </w:r>
          </w:p>
        </w:tc>
        <w:tc>
          <w:tcPr>
            <w:tcW w:w="401" w:type="dxa"/>
            <w:tcBorders>
              <w:left w:val="single" w:sz="8" w:space="0" w:color="000000"/>
              <w:bottom w:val="single" w:sz="8" w:space="0" w:color="000000"/>
            </w:tcBorders>
            <w:shd w:val="clear" w:color="auto" w:fill="auto"/>
            <w:vAlign w:val="center"/>
          </w:tcPr>
          <w:p w14:paraId="22297F9F" w14:textId="77777777" w:rsidR="00DA69D9" w:rsidRPr="00BB5480" w:rsidRDefault="00DA69D9">
            <w:pPr>
              <w:snapToGrid w:val="0"/>
              <w:jc w:val="center"/>
            </w:pPr>
            <w:r w:rsidRPr="00BB5480">
              <w:rPr>
                <w:sz w:val="24"/>
                <w:szCs w:val="24"/>
              </w:rPr>
              <w:t>3</w:t>
            </w:r>
          </w:p>
        </w:tc>
        <w:tc>
          <w:tcPr>
            <w:tcW w:w="401" w:type="dxa"/>
            <w:tcBorders>
              <w:left w:val="single" w:sz="8" w:space="0" w:color="000000"/>
              <w:bottom w:val="single" w:sz="8" w:space="0" w:color="000000"/>
            </w:tcBorders>
            <w:shd w:val="clear" w:color="auto" w:fill="auto"/>
            <w:vAlign w:val="center"/>
          </w:tcPr>
          <w:p w14:paraId="2D11AB4A" w14:textId="77777777" w:rsidR="00DA69D9" w:rsidRPr="00BB5480" w:rsidRDefault="00DA69D9">
            <w:pPr>
              <w:snapToGrid w:val="0"/>
              <w:jc w:val="center"/>
            </w:pPr>
            <w:r w:rsidRPr="00BB5480">
              <w:rPr>
                <w:sz w:val="24"/>
                <w:szCs w:val="24"/>
              </w:rPr>
              <w:t>4</w:t>
            </w:r>
          </w:p>
        </w:tc>
        <w:tc>
          <w:tcPr>
            <w:tcW w:w="401" w:type="dxa"/>
            <w:tcBorders>
              <w:left w:val="single" w:sz="8" w:space="0" w:color="000000"/>
              <w:bottom w:val="single" w:sz="8" w:space="0" w:color="000000"/>
            </w:tcBorders>
            <w:shd w:val="clear" w:color="auto" w:fill="auto"/>
            <w:vAlign w:val="center"/>
          </w:tcPr>
          <w:p w14:paraId="19E4F606" w14:textId="77777777" w:rsidR="00DA69D9" w:rsidRPr="00BB5480" w:rsidRDefault="00DA69D9">
            <w:pPr>
              <w:snapToGrid w:val="0"/>
              <w:jc w:val="center"/>
            </w:pPr>
            <w:r w:rsidRPr="00BB5480">
              <w:rPr>
                <w:sz w:val="24"/>
                <w:szCs w:val="24"/>
              </w:rPr>
              <w:t>5</w:t>
            </w:r>
          </w:p>
        </w:tc>
        <w:tc>
          <w:tcPr>
            <w:tcW w:w="401" w:type="dxa"/>
            <w:tcBorders>
              <w:left w:val="single" w:sz="8" w:space="0" w:color="000000"/>
              <w:bottom w:val="single" w:sz="8" w:space="0" w:color="000000"/>
            </w:tcBorders>
            <w:shd w:val="clear" w:color="auto" w:fill="auto"/>
            <w:vAlign w:val="center"/>
          </w:tcPr>
          <w:p w14:paraId="7FBF0A3C" w14:textId="77777777" w:rsidR="00DA69D9" w:rsidRPr="00BB5480" w:rsidRDefault="00DA69D9">
            <w:pPr>
              <w:snapToGrid w:val="0"/>
              <w:jc w:val="center"/>
            </w:pPr>
            <w:r w:rsidRPr="00BB5480">
              <w:rPr>
                <w:sz w:val="24"/>
                <w:szCs w:val="24"/>
              </w:rPr>
              <w:t>6</w:t>
            </w:r>
          </w:p>
        </w:tc>
        <w:tc>
          <w:tcPr>
            <w:tcW w:w="401" w:type="dxa"/>
            <w:tcBorders>
              <w:left w:val="single" w:sz="8" w:space="0" w:color="000000"/>
              <w:bottom w:val="single" w:sz="8" w:space="0" w:color="000000"/>
              <w:right w:val="single" w:sz="8" w:space="0" w:color="000000"/>
            </w:tcBorders>
            <w:shd w:val="clear" w:color="auto" w:fill="auto"/>
            <w:vAlign w:val="center"/>
          </w:tcPr>
          <w:p w14:paraId="5EF899A1" w14:textId="77777777" w:rsidR="00DA69D9" w:rsidRPr="00BB5480" w:rsidRDefault="00DA69D9">
            <w:pPr>
              <w:snapToGrid w:val="0"/>
              <w:jc w:val="center"/>
            </w:pPr>
            <w:r w:rsidRPr="00BB5480">
              <w:rPr>
                <w:sz w:val="24"/>
                <w:szCs w:val="24"/>
              </w:rPr>
              <w:t>7</w:t>
            </w:r>
          </w:p>
        </w:tc>
      </w:tr>
      <w:tr w:rsidR="00BB5480" w:rsidRPr="00BB5480" w14:paraId="5FEBD04A" w14:textId="77777777" w:rsidTr="00103F81">
        <w:trPr>
          <w:trHeight w:val="617"/>
        </w:trPr>
        <w:tc>
          <w:tcPr>
            <w:tcW w:w="495" w:type="dxa"/>
            <w:tcBorders>
              <w:left w:val="single" w:sz="8" w:space="0" w:color="000000"/>
              <w:bottom w:val="single" w:sz="8" w:space="0" w:color="000000"/>
            </w:tcBorders>
            <w:shd w:val="clear" w:color="auto" w:fill="auto"/>
            <w:vAlign w:val="center"/>
          </w:tcPr>
          <w:p w14:paraId="37CEC3E9" w14:textId="77777777" w:rsidR="00DA69D9" w:rsidRPr="00BB5480" w:rsidRDefault="00DA69D9">
            <w:pPr>
              <w:snapToGrid w:val="0"/>
            </w:pPr>
            <w:r w:rsidRPr="00BB5480">
              <w:rPr>
                <w:sz w:val="24"/>
                <w:szCs w:val="24"/>
              </w:rPr>
              <w:t>3</w:t>
            </w:r>
          </w:p>
        </w:tc>
        <w:tc>
          <w:tcPr>
            <w:tcW w:w="5262" w:type="dxa"/>
            <w:tcBorders>
              <w:bottom w:val="single" w:sz="8" w:space="0" w:color="000000"/>
            </w:tcBorders>
            <w:shd w:val="clear" w:color="auto" w:fill="auto"/>
            <w:vAlign w:val="center"/>
          </w:tcPr>
          <w:p w14:paraId="123E8E27" w14:textId="77777777" w:rsidR="00DA69D9" w:rsidRPr="00BB5480" w:rsidRDefault="00DA69D9">
            <w:pPr>
              <w:pStyle w:val="BodyText"/>
            </w:pPr>
            <w:r w:rsidRPr="00BB5480">
              <w:t>When awkward thoughts occur I try and block them out [A]</w:t>
            </w:r>
          </w:p>
        </w:tc>
        <w:tc>
          <w:tcPr>
            <w:tcW w:w="401" w:type="dxa"/>
            <w:tcBorders>
              <w:left w:val="single" w:sz="8" w:space="0" w:color="000000"/>
              <w:bottom w:val="single" w:sz="8" w:space="0" w:color="000000"/>
            </w:tcBorders>
            <w:shd w:val="clear" w:color="auto" w:fill="auto"/>
            <w:vAlign w:val="center"/>
          </w:tcPr>
          <w:p w14:paraId="04E023BF" w14:textId="77777777" w:rsidR="00DA69D9" w:rsidRPr="00BB5480" w:rsidRDefault="00DA69D9">
            <w:pPr>
              <w:snapToGrid w:val="0"/>
              <w:jc w:val="center"/>
            </w:pPr>
            <w:r w:rsidRPr="00BB5480">
              <w:rPr>
                <w:sz w:val="24"/>
                <w:szCs w:val="24"/>
              </w:rPr>
              <w:t>1</w:t>
            </w:r>
          </w:p>
        </w:tc>
        <w:tc>
          <w:tcPr>
            <w:tcW w:w="401" w:type="dxa"/>
            <w:tcBorders>
              <w:left w:val="single" w:sz="8" w:space="0" w:color="000000"/>
              <w:bottom w:val="single" w:sz="8" w:space="0" w:color="000000"/>
            </w:tcBorders>
            <w:shd w:val="clear" w:color="auto" w:fill="auto"/>
            <w:vAlign w:val="center"/>
          </w:tcPr>
          <w:p w14:paraId="25C804FE" w14:textId="77777777" w:rsidR="00DA69D9" w:rsidRPr="00BB5480" w:rsidRDefault="00DA69D9">
            <w:pPr>
              <w:snapToGrid w:val="0"/>
              <w:jc w:val="center"/>
            </w:pPr>
            <w:r w:rsidRPr="00BB5480">
              <w:rPr>
                <w:sz w:val="24"/>
                <w:szCs w:val="24"/>
              </w:rPr>
              <w:t>2</w:t>
            </w:r>
          </w:p>
        </w:tc>
        <w:tc>
          <w:tcPr>
            <w:tcW w:w="401" w:type="dxa"/>
            <w:tcBorders>
              <w:left w:val="single" w:sz="8" w:space="0" w:color="000000"/>
              <w:bottom w:val="single" w:sz="8" w:space="0" w:color="000000"/>
            </w:tcBorders>
            <w:shd w:val="clear" w:color="auto" w:fill="auto"/>
            <w:vAlign w:val="center"/>
          </w:tcPr>
          <w:p w14:paraId="05745D5E" w14:textId="77777777" w:rsidR="00DA69D9" w:rsidRPr="00BB5480" w:rsidRDefault="00DA69D9">
            <w:pPr>
              <w:snapToGrid w:val="0"/>
              <w:jc w:val="center"/>
            </w:pPr>
            <w:r w:rsidRPr="00BB5480">
              <w:rPr>
                <w:sz w:val="24"/>
                <w:szCs w:val="24"/>
              </w:rPr>
              <w:t>3</w:t>
            </w:r>
          </w:p>
        </w:tc>
        <w:tc>
          <w:tcPr>
            <w:tcW w:w="401" w:type="dxa"/>
            <w:tcBorders>
              <w:left w:val="single" w:sz="8" w:space="0" w:color="000000"/>
              <w:bottom w:val="single" w:sz="8" w:space="0" w:color="000000"/>
            </w:tcBorders>
            <w:shd w:val="clear" w:color="auto" w:fill="auto"/>
            <w:vAlign w:val="center"/>
          </w:tcPr>
          <w:p w14:paraId="5C2E9180" w14:textId="77777777" w:rsidR="00DA69D9" w:rsidRPr="00BB5480" w:rsidRDefault="00DA69D9">
            <w:pPr>
              <w:snapToGrid w:val="0"/>
              <w:jc w:val="center"/>
            </w:pPr>
            <w:r w:rsidRPr="00BB5480">
              <w:rPr>
                <w:sz w:val="24"/>
                <w:szCs w:val="24"/>
              </w:rPr>
              <w:t>4</w:t>
            </w:r>
          </w:p>
        </w:tc>
        <w:tc>
          <w:tcPr>
            <w:tcW w:w="401" w:type="dxa"/>
            <w:tcBorders>
              <w:left w:val="single" w:sz="8" w:space="0" w:color="000000"/>
              <w:bottom w:val="single" w:sz="8" w:space="0" w:color="000000"/>
            </w:tcBorders>
            <w:shd w:val="clear" w:color="auto" w:fill="auto"/>
            <w:vAlign w:val="center"/>
          </w:tcPr>
          <w:p w14:paraId="0190B7BE" w14:textId="77777777" w:rsidR="00DA69D9" w:rsidRPr="00BB5480" w:rsidRDefault="00DA69D9">
            <w:pPr>
              <w:snapToGrid w:val="0"/>
              <w:jc w:val="center"/>
            </w:pPr>
            <w:r w:rsidRPr="00BB5480">
              <w:rPr>
                <w:sz w:val="24"/>
                <w:szCs w:val="24"/>
              </w:rPr>
              <w:t>5</w:t>
            </w:r>
          </w:p>
        </w:tc>
        <w:tc>
          <w:tcPr>
            <w:tcW w:w="401" w:type="dxa"/>
            <w:tcBorders>
              <w:left w:val="single" w:sz="8" w:space="0" w:color="000000"/>
              <w:bottom w:val="single" w:sz="8" w:space="0" w:color="000000"/>
            </w:tcBorders>
            <w:shd w:val="clear" w:color="auto" w:fill="auto"/>
            <w:vAlign w:val="center"/>
          </w:tcPr>
          <w:p w14:paraId="27E59824" w14:textId="77777777" w:rsidR="00DA69D9" w:rsidRPr="00BB5480" w:rsidRDefault="00DA69D9">
            <w:pPr>
              <w:snapToGrid w:val="0"/>
              <w:jc w:val="center"/>
            </w:pPr>
            <w:r w:rsidRPr="00BB5480">
              <w:rPr>
                <w:sz w:val="24"/>
                <w:szCs w:val="24"/>
              </w:rPr>
              <w:t>6</w:t>
            </w:r>
          </w:p>
        </w:tc>
        <w:tc>
          <w:tcPr>
            <w:tcW w:w="401" w:type="dxa"/>
            <w:tcBorders>
              <w:left w:val="single" w:sz="8" w:space="0" w:color="000000"/>
              <w:bottom w:val="single" w:sz="8" w:space="0" w:color="000000"/>
              <w:right w:val="single" w:sz="8" w:space="0" w:color="000000"/>
            </w:tcBorders>
            <w:shd w:val="clear" w:color="auto" w:fill="auto"/>
            <w:vAlign w:val="center"/>
          </w:tcPr>
          <w:p w14:paraId="2E0A65B0" w14:textId="77777777" w:rsidR="00DA69D9" w:rsidRPr="00BB5480" w:rsidRDefault="00DA69D9">
            <w:pPr>
              <w:snapToGrid w:val="0"/>
              <w:jc w:val="center"/>
            </w:pPr>
            <w:r w:rsidRPr="00BB5480">
              <w:rPr>
                <w:sz w:val="24"/>
                <w:szCs w:val="24"/>
              </w:rPr>
              <w:t>7</w:t>
            </w:r>
          </w:p>
        </w:tc>
      </w:tr>
      <w:tr w:rsidR="00BB5480" w:rsidRPr="00BB5480" w14:paraId="363086B0" w14:textId="77777777" w:rsidTr="00103F81">
        <w:trPr>
          <w:trHeight w:val="617"/>
        </w:trPr>
        <w:tc>
          <w:tcPr>
            <w:tcW w:w="495" w:type="dxa"/>
            <w:tcBorders>
              <w:left w:val="single" w:sz="8" w:space="0" w:color="000000"/>
              <w:bottom w:val="single" w:sz="8" w:space="0" w:color="000000"/>
            </w:tcBorders>
            <w:shd w:val="clear" w:color="auto" w:fill="auto"/>
            <w:vAlign w:val="center"/>
          </w:tcPr>
          <w:p w14:paraId="74A283AE" w14:textId="77777777" w:rsidR="00DA69D9" w:rsidRPr="00BB5480" w:rsidRDefault="00DA69D9">
            <w:pPr>
              <w:snapToGrid w:val="0"/>
            </w:pPr>
            <w:r w:rsidRPr="00BB5480">
              <w:rPr>
                <w:sz w:val="24"/>
                <w:szCs w:val="24"/>
              </w:rPr>
              <w:t>4</w:t>
            </w:r>
          </w:p>
        </w:tc>
        <w:tc>
          <w:tcPr>
            <w:tcW w:w="5262" w:type="dxa"/>
            <w:tcBorders>
              <w:bottom w:val="single" w:sz="8" w:space="0" w:color="000000"/>
            </w:tcBorders>
            <w:shd w:val="clear" w:color="auto" w:fill="auto"/>
            <w:vAlign w:val="center"/>
          </w:tcPr>
          <w:p w14:paraId="19A295D0" w14:textId="77777777" w:rsidR="00DA69D9" w:rsidRPr="00BB5480" w:rsidRDefault="00DA69D9">
            <w:pPr>
              <w:pStyle w:val="BodyText"/>
            </w:pPr>
            <w:r w:rsidRPr="00BB5480">
              <w:t>Although I have never been told to I find I perform certain activities in a set order [B</w:t>
            </w:r>
            <w:r w:rsidR="006E638D" w:rsidRPr="00BB5480">
              <w:t>R</w:t>
            </w:r>
            <w:r w:rsidRPr="00BB5480">
              <w:t>]</w:t>
            </w:r>
          </w:p>
        </w:tc>
        <w:tc>
          <w:tcPr>
            <w:tcW w:w="401" w:type="dxa"/>
            <w:tcBorders>
              <w:left w:val="single" w:sz="8" w:space="0" w:color="000000"/>
              <w:bottom w:val="single" w:sz="8" w:space="0" w:color="000000"/>
            </w:tcBorders>
            <w:shd w:val="clear" w:color="auto" w:fill="auto"/>
            <w:vAlign w:val="center"/>
          </w:tcPr>
          <w:p w14:paraId="0D59F9BF" w14:textId="77777777" w:rsidR="00DA69D9" w:rsidRPr="00BB5480" w:rsidRDefault="00DA69D9">
            <w:pPr>
              <w:snapToGrid w:val="0"/>
              <w:jc w:val="center"/>
            </w:pPr>
            <w:r w:rsidRPr="00BB5480">
              <w:rPr>
                <w:sz w:val="24"/>
                <w:szCs w:val="24"/>
              </w:rPr>
              <w:t>1</w:t>
            </w:r>
          </w:p>
        </w:tc>
        <w:tc>
          <w:tcPr>
            <w:tcW w:w="401" w:type="dxa"/>
            <w:tcBorders>
              <w:left w:val="single" w:sz="8" w:space="0" w:color="000000"/>
              <w:bottom w:val="single" w:sz="8" w:space="0" w:color="000000"/>
            </w:tcBorders>
            <w:shd w:val="clear" w:color="auto" w:fill="auto"/>
            <w:vAlign w:val="center"/>
          </w:tcPr>
          <w:p w14:paraId="4FCEDC2B" w14:textId="77777777" w:rsidR="00DA69D9" w:rsidRPr="00BB5480" w:rsidRDefault="00DA69D9">
            <w:pPr>
              <w:snapToGrid w:val="0"/>
              <w:jc w:val="center"/>
            </w:pPr>
            <w:r w:rsidRPr="00BB5480">
              <w:rPr>
                <w:sz w:val="24"/>
                <w:szCs w:val="24"/>
              </w:rPr>
              <w:t>2</w:t>
            </w:r>
          </w:p>
        </w:tc>
        <w:tc>
          <w:tcPr>
            <w:tcW w:w="401" w:type="dxa"/>
            <w:tcBorders>
              <w:left w:val="single" w:sz="8" w:space="0" w:color="000000"/>
              <w:bottom w:val="single" w:sz="8" w:space="0" w:color="000000"/>
            </w:tcBorders>
            <w:shd w:val="clear" w:color="auto" w:fill="auto"/>
            <w:vAlign w:val="center"/>
          </w:tcPr>
          <w:p w14:paraId="4DE137E9" w14:textId="77777777" w:rsidR="00DA69D9" w:rsidRPr="00BB5480" w:rsidRDefault="00DA69D9">
            <w:pPr>
              <w:snapToGrid w:val="0"/>
              <w:jc w:val="center"/>
            </w:pPr>
            <w:r w:rsidRPr="00BB5480">
              <w:rPr>
                <w:sz w:val="24"/>
                <w:szCs w:val="24"/>
              </w:rPr>
              <w:t>3</w:t>
            </w:r>
          </w:p>
        </w:tc>
        <w:tc>
          <w:tcPr>
            <w:tcW w:w="401" w:type="dxa"/>
            <w:tcBorders>
              <w:left w:val="single" w:sz="8" w:space="0" w:color="000000"/>
              <w:bottom w:val="single" w:sz="8" w:space="0" w:color="000000"/>
            </w:tcBorders>
            <w:shd w:val="clear" w:color="auto" w:fill="auto"/>
            <w:vAlign w:val="center"/>
          </w:tcPr>
          <w:p w14:paraId="542ABAC3" w14:textId="77777777" w:rsidR="00DA69D9" w:rsidRPr="00BB5480" w:rsidRDefault="00DA69D9">
            <w:pPr>
              <w:snapToGrid w:val="0"/>
              <w:jc w:val="center"/>
            </w:pPr>
            <w:r w:rsidRPr="00BB5480">
              <w:rPr>
                <w:sz w:val="24"/>
                <w:szCs w:val="24"/>
              </w:rPr>
              <w:t>4</w:t>
            </w:r>
          </w:p>
        </w:tc>
        <w:tc>
          <w:tcPr>
            <w:tcW w:w="401" w:type="dxa"/>
            <w:tcBorders>
              <w:left w:val="single" w:sz="8" w:space="0" w:color="000000"/>
              <w:bottom w:val="single" w:sz="8" w:space="0" w:color="000000"/>
            </w:tcBorders>
            <w:shd w:val="clear" w:color="auto" w:fill="auto"/>
            <w:vAlign w:val="center"/>
          </w:tcPr>
          <w:p w14:paraId="064BB1DF" w14:textId="77777777" w:rsidR="00DA69D9" w:rsidRPr="00BB5480" w:rsidRDefault="00DA69D9">
            <w:pPr>
              <w:snapToGrid w:val="0"/>
              <w:jc w:val="center"/>
            </w:pPr>
            <w:r w:rsidRPr="00BB5480">
              <w:rPr>
                <w:sz w:val="24"/>
                <w:szCs w:val="24"/>
              </w:rPr>
              <w:t>5</w:t>
            </w:r>
          </w:p>
        </w:tc>
        <w:tc>
          <w:tcPr>
            <w:tcW w:w="401" w:type="dxa"/>
            <w:tcBorders>
              <w:left w:val="single" w:sz="8" w:space="0" w:color="000000"/>
              <w:bottom w:val="single" w:sz="8" w:space="0" w:color="000000"/>
            </w:tcBorders>
            <w:shd w:val="clear" w:color="auto" w:fill="auto"/>
            <w:vAlign w:val="center"/>
          </w:tcPr>
          <w:p w14:paraId="20F36220" w14:textId="77777777" w:rsidR="00DA69D9" w:rsidRPr="00BB5480" w:rsidRDefault="00DA69D9">
            <w:pPr>
              <w:snapToGrid w:val="0"/>
              <w:jc w:val="center"/>
            </w:pPr>
            <w:r w:rsidRPr="00BB5480">
              <w:rPr>
                <w:sz w:val="24"/>
                <w:szCs w:val="24"/>
              </w:rPr>
              <w:t>6</w:t>
            </w:r>
          </w:p>
        </w:tc>
        <w:tc>
          <w:tcPr>
            <w:tcW w:w="401" w:type="dxa"/>
            <w:tcBorders>
              <w:left w:val="single" w:sz="8" w:space="0" w:color="000000"/>
              <w:bottom w:val="single" w:sz="8" w:space="0" w:color="000000"/>
              <w:right w:val="single" w:sz="8" w:space="0" w:color="000000"/>
            </w:tcBorders>
            <w:shd w:val="clear" w:color="auto" w:fill="auto"/>
            <w:vAlign w:val="center"/>
          </w:tcPr>
          <w:p w14:paraId="34081C40" w14:textId="77777777" w:rsidR="00DA69D9" w:rsidRPr="00BB5480" w:rsidRDefault="00DA69D9">
            <w:pPr>
              <w:snapToGrid w:val="0"/>
              <w:jc w:val="center"/>
            </w:pPr>
            <w:r w:rsidRPr="00BB5480">
              <w:rPr>
                <w:sz w:val="24"/>
                <w:szCs w:val="24"/>
              </w:rPr>
              <w:t>7</w:t>
            </w:r>
          </w:p>
        </w:tc>
      </w:tr>
      <w:tr w:rsidR="00BB5480" w:rsidRPr="00BB5480" w14:paraId="3F7EF348" w14:textId="77777777" w:rsidTr="00103F81">
        <w:trPr>
          <w:trHeight w:val="617"/>
        </w:trPr>
        <w:tc>
          <w:tcPr>
            <w:tcW w:w="495" w:type="dxa"/>
            <w:tcBorders>
              <w:left w:val="single" w:sz="8" w:space="0" w:color="000000"/>
              <w:bottom w:val="single" w:sz="8" w:space="0" w:color="000000"/>
            </w:tcBorders>
            <w:shd w:val="clear" w:color="auto" w:fill="auto"/>
            <w:vAlign w:val="center"/>
          </w:tcPr>
          <w:p w14:paraId="7EABD3B1" w14:textId="77777777" w:rsidR="00DA69D9" w:rsidRPr="00BB5480" w:rsidRDefault="00D606E0">
            <w:pPr>
              <w:snapToGrid w:val="0"/>
            </w:pPr>
            <w:r w:rsidRPr="00BB5480">
              <w:rPr>
                <w:sz w:val="24"/>
                <w:szCs w:val="24"/>
              </w:rPr>
              <w:t>5</w:t>
            </w:r>
          </w:p>
        </w:tc>
        <w:tc>
          <w:tcPr>
            <w:tcW w:w="5262" w:type="dxa"/>
            <w:tcBorders>
              <w:bottom w:val="single" w:sz="8" w:space="0" w:color="000000"/>
            </w:tcBorders>
            <w:shd w:val="clear" w:color="auto" w:fill="auto"/>
            <w:vAlign w:val="center"/>
          </w:tcPr>
          <w:p w14:paraId="20E531A0" w14:textId="77777777" w:rsidR="00DA69D9" w:rsidRPr="00BB5480" w:rsidRDefault="00DA69D9">
            <w:pPr>
              <w:pStyle w:val="BodyText"/>
            </w:pPr>
            <w:r w:rsidRPr="00BB5480">
              <w:t>In my personal life I steer clear of conversations that I find uncomfortable [A]</w:t>
            </w:r>
          </w:p>
        </w:tc>
        <w:tc>
          <w:tcPr>
            <w:tcW w:w="401" w:type="dxa"/>
            <w:tcBorders>
              <w:left w:val="single" w:sz="8" w:space="0" w:color="000000"/>
              <w:bottom w:val="single" w:sz="8" w:space="0" w:color="000000"/>
            </w:tcBorders>
            <w:shd w:val="clear" w:color="auto" w:fill="auto"/>
            <w:vAlign w:val="center"/>
          </w:tcPr>
          <w:p w14:paraId="13AD9893" w14:textId="77777777" w:rsidR="00DA69D9" w:rsidRPr="00BB5480" w:rsidRDefault="00DA69D9">
            <w:pPr>
              <w:snapToGrid w:val="0"/>
              <w:jc w:val="center"/>
            </w:pPr>
            <w:r w:rsidRPr="00BB5480">
              <w:rPr>
                <w:sz w:val="24"/>
                <w:szCs w:val="24"/>
              </w:rPr>
              <w:t>1</w:t>
            </w:r>
          </w:p>
        </w:tc>
        <w:tc>
          <w:tcPr>
            <w:tcW w:w="401" w:type="dxa"/>
            <w:tcBorders>
              <w:left w:val="single" w:sz="8" w:space="0" w:color="000000"/>
              <w:bottom w:val="single" w:sz="8" w:space="0" w:color="000000"/>
            </w:tcBorders>
            <w:shd w:val="clear" w:color="auto" w:fill="auto"/>
            <w:vAlign w:val="center"/>
          </w:tcPr>
          <w:p w14:paraId="05C303E4" w14:textId="77777777" w:rsidR="00DA69D9" w:rsidRPr="00BB5480" w:rsidRDefault="00DA69D9">
            <w:pPr>
              <w:snapToGrid w:val="0"/>
              <w:jc w:val="center"/>
            </w:pPr>
            <w:r w:rsidRPr="00BB5480">
              <w:rPr>
                <w:sz w:val="24"/>
                <w:szCs w:val="24"/>
              </w:rPr>
              <w:t>2</w:t>
            </w:r>
          </w:p>
        </w:tc>
        <w:tc>
          <w:tcPr>
            <w:tcW w:w="401" w:type="dxa"/>
            <w:tcBorders>
              <w:left w:val="single" w:sz="8" w:space="0" w:color="000000"/>
              <w:bottom w:val="single" w:sz="8" w:space="0" w:color="000000"/>
            </w:tcBorders>
            <w:shd w:val="clear" w:color="auto" w:fill="auto"/>
            <w:vAlign w:val="center"/>
          </w:tcPr>
          <w:p w14:paraId="2578F60E" w14:textId="77777777" w:rsidR="00DA69D9" w:rsidRPr="00BB5480" w:rsidRDefault="00DA69D9">
            <w:pPr>
              <w:snapToGrid w:val="0"/>
              <w:jc w:val="center"/>
            </w:pPr>
            <w:r w:rsidRPr="00BB5480">
              <w:rPr>
                <w:sz w:val="24"/>
                <w:szCs w:val="24"/>
              </w:rPr>
              <w:t>3</w:t>
            </w:r>
          </w:p>
        </w:tc>
        <w:tc>
          <w:tcPr>
            <w:tcW w:w="401" w:type="dxa"/>
            <w:tcBorders>
              <w:left w:val="single" w:sz="8" w:space="0" w:color="000000"/>
              <w:bottom w:val="single" w:sz="8" w:space="0" w:color="000000"/>
            </w:tcBorders>
            <w:shd w:val="clear" w:color="auto" w:fill="auto"/>
            <w:vAlign w:val="center"/>
          </w:tcPr>
          <w:p w14:paraId="2C8441B7" w14:textId="77777777" w:rsidR="00DA69D9" w:rsidRPr="00BB5480" w:rsidRDefault="00DA69D9">
            <w:pPr>
              <w:snapToGrid w:val="0"/>
              <w:jc w:val="center"/>
            </w:pPr>
            <w:r w:rsidRPr="00BB5480">
              <w:rPr>
                <w:sz w:val="24"/>
                <w:szCs w:val="24"/>
              </w:rPr>
              <w:t>4</w:t>
            </w:r>
          </w:p>
        </w:tc>
        <w:tc>
          <w:tcPr>
            <w:tcW w:w="401" w:type="dxa"/>
            <w:tcBorders>
              <w:left w:val="single" w:sz="8" w:space="0" w:color="000000"/>
              <w:bottom w:val="single" w:sz="8" w:space="0" w:color="000000"/>
            </w:tcBorders>
            <w:shd w:val="clear" w:color="auto" w:fill="auto"/>
            <w:vAlign w:val="center"/>
          </w:tcPr>
          <w:p w14:paraId="68D9E005" w14:textId="77777777" w:rsidR="00DA69D9" w:rsidRPr="00BB5480" w:rsidRDefault="00DA69D9">
            <w:pPr>
              <w:snapToGrid w:val="0"/>
              <w:jc w:val="center"/>
            </w:pPr>
            <w:r w:rsidRPr="00BB5480">
              <w:rPr>
                <w:sz w:val="24"/>
                <w:szCs w:val="24"/>
              </w:rPr>
              <w:t>5</w:t>
            </w:r>
          </w:p>
        </w:tc>
        <w:tc>
          <w:tcPr>
            <w:tcW w:w="401" w:type="dxa"/>
            <w:tcBorders>
              <w:left w:val="single" w:sz="8" w:space="0" w:color="000000"/>
              <w:bottom w:val="single" w:sz="8" w:space="0" w:color="000000"/>
            </w:tcBorders>
            <w:shd w:val="clear" w:color="auto" w:fill="auto"/>
            <w:vAlign w:val="center"/>
          </w:tcPr>
          <w:p w14:paraId="09741828" w14:textId="77777777" w:rsidR="00DA69D9" w:rsidRPr="00BB5480" w:rsidRDefault="00DA69D9">
            <w:pPr>
              <w:snapToGrid w:val="0"/>
              <w:jc w:val="center"/>
            </w:pPr>
            <w:r w:rsidRPr="00BB5480">
              <w:rPr>
                <w:sz w:val="24"/>
                <w:szCs w:val="24"/>
              </w:rPr>
              <w:t>6</w:t>
            </w:r>
          </w:p>
        </w:tc>
        <w:tc>
          <w:tcPr>
            <w:tcW w:w="401" w:type="dxa"/>
            <w:tcBorders>
              <w:left w:val="single" w:sz="8" w:space="0" w:color="000000"/>
              <w:bottom w:val="single" w:sz="8" w:space="0" w:color="000000"/>
              <w:right w:val="single" w:sz="8" w:space="0" w:color="000000"/>
            </w:tcBorders>
            <w:shd w:val="clear" w:color="auto" w:fill="auto"/>
            <w:vAlign w:val="center"/>
          </w:tcPr>
          <w:p w14:paraId="45CF5F11" w14:textId="77777777" w:rsidR="00DA69D9" w:rsidRPr="00BB5480" w:rsidRDefault="00DA69D9">
            <w:pPr>
              <w:snapToGrid w:val="0"/>
              <w:jc w:val="center"/>
            </w:pPr>
            <w:r w:rsidRPr="00BB5480">
              <w:rPr>
                <w:sz w:val="24"/>
                <w:szCs w:val="24"/>
              </w:rPr>
              <w:t>7</w:t>
            </w:r>
          </w:p>
        </w:tc>
      </w:tr>
      <w:tr w:rsidR="00BB5480" w:rsidRPr="00BB5480" w14:paraId="1652EBCD" w14:textId="77777777" w:rsidTr="00103F81">
        <w:trPr>
          <w:trHeight w:val="617"/>
        </w:trPr>
        <w:tc>
          <w:tcPr>
            <w:tcW w:w="495" w:type="dxa"/>
            <w:tcBorders>
              <w:left w:val="single" w:sz="8" w:space="0" w:color="000000"/>
              <w:bottom w:val="single" w:sz="8" w:space="0" w:color="000000"/>
            </w:tcBorders>
            <w:shd w:val="clear" w:color="auto" w:fill="auto"/>
            <w:vAlign w:val="center"/>
          </w:tcPr>
          <w:p w14:paraId="0447DE69" w14:textId="77777777" w:rsidR="00DA69D9" w:rsidRPr="00BB5480" w:rsidRDefault="00D606E0">
            <w:pPr>
              <w:snapToGrid w:val="0"/>
            </w:pPr>
            <w:r w:rsidRPr="00BB5480">
              <w:rPr>
                <w:sz w:val="24"/>
                <w:szCs w:val="24"/>
              </w:rPr>
              <w:t>6</w:t>
            </w:r>
          </w:p>
        </w:tc>
        <w:tc>
          <w:tcPr>
            <w:tcW w:w="5262" w:type="dxa"/>
            <w:tcBorders>
              <w:bottom w:val="single" w:sz="8" w:space="0" w:color="000000"/>
            </w:tcBorders>
            <w:shd w:val="clear" w:color="auto" w:fill="auto"/>
            <w:vAlign w:val="center"/>
          </w:tcPr>
          <w:p w14:paraId="542C2009" w14:textId="77777777" w:rsidR="00DA69D9" w:rsidRPr="00BB5480" w:rsidRDefault="00DA69D9">
            <w:pPr>
              <w:pStyle w:val="BodyText"/>
            </w:pPr>
            <w:r w:rsidRPr="00BB5480">
              <w:t>I notice I do certain everyday tasks in a particular order [B</w:t>
            </w:r>
            <w:r w:rsidR="006E638D" w:rsidRPr="00BB5480">
              <w:t>R</w:t>
            </w:r>
            <w:r w:rsidRPr="00BB5480">
              <w:t>]</w:t>
            </w:r>
          </w:p>
        </w:tc>
        <w:tc>
          <w:tcPr>
            <w:tcW w:w="401" w:type="dxa"/>
            <w:tcBorders>
              <w:left w:val="single" w:sz="8" w:space="0" w:color="000000"/>
              <w:bottom w:val="single" w:sz="8" w:space="0" w:color="000000"/>
            </w:tcBorders>
            <w:shd w:val="clear" w:color="auto" w:fill="auto"/>
            <w:vAlign w:val="center"/>
          </w:tcPr>
          <w:p w14:paraId="3BD5D475" w14:textId="77777777" w:rsidR="00DA69D9" w:rsidRPr="00BB5480" w:rsidRDefault="00DA69D9">
            <w:pPr>
              <w:snapToGrid w:val="0"/>
              <w:jc w:val="center"/>
            </w:pPr>
            <w:r w:rsidRPr="00BB5480">
              <w:rPr>
                <w:sz w:val="24"/>
                <w:szCs w:val="24"/>
              </w:rPr>
              <w:t>1</w:t>
            </w:r>
          </w:p>
        </w:tc>
        <w:tc>
          <w:tcPr>
            <w:tcW w:w="401" w:type="dxa"/>
            <w:tcBorders>
              <w:left w:val="single" w:sz="8" w:space="0" w:color="000000"/>
              <w:bottom w:val="single" w:sz="8" w:space="0" w:color="000000"/>
            </w:tcBorders>
            <w:shd w:val="clear" w:color="auto" w:fill="auto"/>
            <w:vAlign w:val="center"/>
          </w:tcPr>
          <w:p w14:paraId="15446885" w14:textId="77777777" w:rsidR="00DA69D9" w:rsidRPr="00BB5480" w:rsidRDefault="00DA69D9">
            <w:pPr>
              <w:snapToGrid w:val="0"/>
              <w:jc w:val="center"/>
            </w:pPr>
            <w:r w:rsidRPr="00BB5480">
              <w:rPr>
                <w:sz w:val="24"/>
                <w:szCs w:val="24"/>
              </w:rPr>
              <w:t>2</w:t>
            </w:r>
          </w:p>
        </w:tc>
        <w:tc>
          <w:tcPr>
            <w:tcW w:w="401" w:type="dxa"/>
            <w:tcBorders>
              <w:left w:val="single" w:sz="8" w:space="0" w:color="000000"/>
              <w:bottom w:val="single" w:sz="8" w:space="0" w:color="000000"/>
            </w:tcBorders>
            <w:shd w:val="clear" w:color="auto" w:fill="auto"/>
            <w:vAlign w:val="center"/>
          </w:tcPr>
          <w:p w14:paraId="7C6A6BE3" w14:textId="77777777" w:rsidR="00DA69D9" w:rsidRPr="00BB5480" w:rsidRDefault="00DA69D9">
            <w:pPr>
              <w:snapToGrid w:val="0"/>
              <w:jc w:val="center"/>
            </w:pPr>
            <w:r w:rsidRPr="00BB5480">
              <w:rPr>
                <w:sz w:val="24"/>
                <w:szCs w:val="24"/>
              </w:rPr>
              <w:t>3</w:t>
            </w:r>
          </w:p>
        </w:tc>
        <w:tc>
          <w:tcPr>
            <w:tcW w:w="401" w:type="dxa"/>
            <w:tcBorders>
              <w:left w:val="single" w:sz="8" w:space="0" w:color="000000"/>
              <w:bottom w:val="single" w:sz="8" w:space="0" w:color="000000"/>
            </w:tcBorders>
            <w:shd w:val="clear" w:color="auto" w:fill="auto"/>
            <w:vAlign w:val="center"/>
          </w:tcPr>
          <w:p w14:paraId="19B9DECD" w14:textId="77777777" w:rsidR="00DA69D9" w:rsidRPr="00BB5480" w:rsidRDefault="00DA69D9">
            <w:pPr>
              <w:snapToGrid w:val="0"/>
              <w:jc w:val="center"/>
            </w:pPr>
            <w:r w:rsidRPr="00BB5480">
              <w:rPr>
                <w:sz w:val="24"/>
                <w:szCs w:val="24"/>
              </w:rPr>
              <w:t>4</w:t>
            </w:r>
          </w:p>
        </w:tc>
        <w:tc>
          <w:tcPr>
            <w:tcW w:w="401" w:type="dxa"/>
            <w:tcBorders>
              <w:left w:val="single" w:sz="8" w:space="0" w:color="000000"/>
              <w:bottom w:val="single" w:sz="8" w:space="0" w:color="000000"/>
            </w:tcBorders>
            <w:shd w:val="clear" w:color="auto" w:fill="auto"/>
            <w:vAlign w:val="center"/>
          </w:tcPr>
          <w:p w14:paraId="0AA5115A" w14:textId="77777777" w:rsidR="00DA69D9" w:rsidRPr="00BB5480" w:rsidRDefault="00DA69D9">
            <w:pPr>
              <w:snapToGrid w:val="0"/>
              <w:jc w:val="center"/>
            </w:pPr>
            <w:r w:rsidRPr="00BB5480">
              <w:rPr>
                <w:sz w:val="24"/>
                <w:szCs w:val="24"/>
              </w:rPr>
              <w:t>5</w:t>
            </w:r>
          </w:p>
        </w:tc>
        <w:tc>
          <w:tcPr>
            <w:tcW w:w="401" w:type="dxa"/>
            <w:tcBorders>
              <w:left w:val="single" w:sz="8" w:space="0" w:color="000000"/>
              <w:bottom w:val="single" w:sz="8" w:space="0" w:color="000000"/>
            </w:tcBorders>
            <w:shd w:val="clear" w:color="auto" w:fill="auto"/>
            <w:vAlign w:val="center"/>
          </w:tcPr>
          <w:p w14:paraId="799769FB" w14:textId="77777777" w:rsidR="00DA69D9" w:rsidRPr="00BB5480" w:rsidRDefault="00DA69D9">
            <w:pPr>
              <w:snapToGrid w:val="0"/>
              <w:jc w:val="center"/>
            </w:pPr>
            <w:r w:rsidRPr="00BB5480">
              <w:rPr>
                <w:sz w:val="24"/>
                <w:szCs w:val="24"/>
              </w:rPr>
              <w:t>6</w:t>
            </w:r>
          </w:p>
        </w:tc>
        <w:tc>
          <w:tcPr>
            <w:tcW w:w="401" w:type="dxa"/>
            <w:tcBorders>
              <w:left w:val="single" w:sz="8" w:space="0" w:color="000000"/>
              <w:bottom w:val="single" w:sz="8" w:space="0" w:color="000000"/>
              <w:right w:val="single" w:sz="8" w:space="0" w:color="000000"/>
            </w:tcBorders>
            <w:shd w:val="clear" w:color="auto" w:fill="auto"/>
            <w:vAlign w:val="center"/>
          </w:tcPr>
          <w:p w14:paraId="40C9BC8B" w14:textId="77777777" w:rsidR="00DA69D9" w:rsidRPr="00BB5480" w:rsidRDefault="00DA69D9">
            <w:pPr>
              <w:snapToGrid w:val="0"/>
              <w:jc w:val="center"/>
            </w:pPr>
            <w:r w:rsidRPr="00BB5480">
              <w:rPr>
                <w:sz w:val="24"/>
                <w:szCs w:val="24"/>
              </w:rPr>
              <w:t>7</w:t>
            </w:r>
          </w:p>
        </w:tc>
      </w:tr>
      <w:tr w:rsidR="00DA69D9" w:rsidRPr="00BB5480" w14:paraId="03146346" w14:textId="77777777" w:rsidTr="00103F81">
        <w:trPr>
          <w:trHeight w:val="617"/>
        </w:trPr>
        <w:tc>
          <w:tcPr>
            <w:tcW w:w="495" w:type="dxa"/>
            <w:tcBorders>
              <w:left w:val="single" w:sz="8" w:space="0" w:color="000000"/>
              <w:bottom w:val="single" w:sz="8" w:space="0" w:color="000000"/>
            </w:tcBorders>
            <w:shd w:val="clear" w:color="auto" w:fill="auto"/>
            <w:vAlign w:val="center"/>
          </w:tcPr>
          <w:p w14:paraId="062CE002" w14:textId="77777777" w:rsidR="00DA69D9" w:rsidRPr="00BB5480" w:rsidRDefault="00D606E0">
            <w:pPr>
              <w:snapToGrid w:val="0"/>
            </w:pPr>
            <w:r w:rsidRPr="00BB5480">
              <w:rPr>
                <w:sz w:val="24"/>
                <w:szCs w:val="24"/>
              </w:rPr>
              <w:t>7</w:t>
            </w:r>
          </w:p>
        </w:tc>
        <w:tc>
          <w:tcPr>
            <w:tcW w:w="5262" w:type="dxa"/>
            <w:tcBorders>
              <w:bottom w:val="single" w:sz="8" w:space="0" w:color="000000"/>
            </w:tcBorders>
            <w:shd w:val="clear" w:color="auto" w:fill="auto"/>
            <w:vAlign w:val="center"/>
          </w:tcPr>
          <w:p w14:paraId="029A599D" w14:textId="77777777" w:rsidR="00DA69D9" w:rsidRPr="00BB5480" w:rsidRDefault="00DA69D9">
            <w:pPr>
              <w:pStyle w:val="BodyText"/>
            </w:pPr>
            <w:r w:rsidRPr="00BB5480">
              <w:t>If unpleasant situations come to mind I think about something else [A]</w:t>
            </w:r>
          </w:p>
        </w:tc>
        <w:tc>
          <w:tcPr>
            <w:tcW w:w="401" w:type="dxa"/>
            <w:tcBorders>
              <w:left w:val="single" w:sz="8" w:space="0" w:color="000000"/>
              <w:bottom w:val="single" w:sz="8" w:space="0" w:color="000000"/>
            </w:tcBorders>
            <w:shd w:val="clear" w:color="auto" w:fill="auto"/>
            <w:vAlign w:val="center"/>
          </w:tcPr>
          <w:p w14:paraId="766C87F1" w14:textId="77777777" w:rsidR="00DA69D9" w:rsidRPr="00BB5480" w:rsidRDefault="00DA69D9">
            <w:pPr>
              <w:snapToGrid w:val="0"/>
              <w:jc w:val="center"/>
            </w:pPr>
            <w:r w:rsidRPr="00BB5480">
              <w:rPr>
                <w:sz w:val="24"/>
                <w:szCs w:val="24"/>
              </w:rPr>
              <w:t>1</w:t>
            </w:r>
          </w:p>
        </w:tc>
        <w:tc>
          <w:tcPr>
            <w:tcW w:w="401" w:type="dxa"/>
            <w:tcBorders>
              <w:left w:val="single" w:sz="8" w:space="0" w:color="000000"/>
              <w:bottom w:val="single" w:sz="8" w:space="0" w:color="000000"/>
            </w:tcBorders>
            <w:shd w:val="clear" w:color="auto" w:fill="auto"/>
            <w:vAlign w:val="center"/>
          </w:tcPr>
          <w:p w14:paraId="3CA81354" w14:textId="77777777" w:rsidR="00DA69D9" w:rsidRPr="00BB5480" w:rsidRDefault="00DA69D9">
            <w:pPr>
              <w:snapToGrid w:val="0"/>
              <w:jc w:val="center"/>
            </w:pPr>
            <w:r w:rsidRPr="00BB5480">
              <w:rPr>
                <w:sz w:val="24"/>
                <w:szCs w:val="24"/>
              </w:rPr>
              <w:t>2</w:t>
            </w:r>
          </w:p>
        </w:tc>
        <w:tc>
          <w:tcPr>
            <w:tcW w:w="401" w:type="dxa"/>
            <w:tcBorders>
              <w:left w:val="single" w:sz="8" w:space="0" w:color="000000"/>
              <w:bottom w:val="single" w:sz="8" w:space="0" w:color="000000"/>
            </w:tcBorders>
            <w:shd w:val="clear" w:color="auto" w:fill="auto"/>
            <w:vAlign w:val="center"/>
          </w:tcPr>
          <w:p w14:paraId="16FA41C7" w14:textId="77777777" w:rsidR="00DA69D9" w:rsidRPr="00BB5480" w:rsidRDefault="00DA69D9">
            <w:pPr>
              <w:snapToGrid w:val="0"/>
              <w:jc w:val="center"/>
            </w:pPr>
            <w:r w:rsidRPr="00BB5480">
              <w:rPr>
                <w:sz w:val="24"/>
                <w:szCs w:val="24"/>
              </w:rPr>
              <w:t>3</w:t>
            </w:r>
          </w:p>
        </w:tc>
        <w:tc>
          <w:tcPr>
            <w:tcW w:w="401" w:type="dxa"/>
            <w:tcBorders>
              <w:left w:val="single" w:sz="8" w:space="0" w:color="000000"/>
              <w:bottom w:val="single" w:sz="8" w:space="0" w:color="000000"/>
            </w:tcBorders>
            <w:shd w:val="clear" w:color="auto" w:fill="auto"/>
            <w:vAlign w:val="center"/>
          </w:tcPr>
          <w:p w14:paraId="19BA34FB" w14:textId="77777777" w:rsidR="00DA69D9" w:rsidRPr="00BB5480" w:rsidRDefault="00DA69D9">
            <w:pPr>
              <w:snapToGrid w:val="0"/>
              <w:jc w:val="center"/>
            </w:pPr>
            <w:r w:rsidRPr="00BB5480">
              <w:rPr>
                <w:sz w:val="24"/>
                <w:szCs w:val="24"/>
              </w:rPr>
              <w:t>4</w:t>
            </w:r>
          </w:p>
        </w:tc>
        <w:tc>
          <w:tcPr>
            <w:tcW w:w="401" w:type="dxa"/>
            <w:tcBorders>
              <w:left w:val="single" w:sz="8" w:space="0" w:color="000000"/>
              <w:bottom w:val="single" w:sz="8" w:space="0" w:color="000000"/>
            </w:tcBorders>
            <w:shd w:val="clear" w:color="auto" w:fill="auto"/>
            <w:vAlign w:val="center"/>
          </w:tcPr>
          <w:p w14:paraId="178F31D1" w14:textId="77777777" w:rsidR="00DA69D9" w:rsidRPr="00BB5480" w:rsidRDefault="00DA69D9">
            <w:pPr>
              <w:snapToGrid w:val="0"/>
              <w:jc w:val="center"/>
            </w:pPr>
            <w:r w:rsidRPr="00BB5480">
              <w:rPr>
                <w:sz w:val="24"/>
                <w:szCs w:val="24"/>
              </w:rPr>
              <w:t>5</w:t>
            </w:r>
          </w:p>
        </w:tc>
        <w:tc>
          <w:tcPr>
            <w:tcW w:w="401" w:type="dxa"/>
            <w:tcBorders>
              <w:left w:val="single" w:sz="8" w:space="0" w:color="000000"/>
              <w:bottom w:val="single" w:sz="8" w:space="0" w:color="000000"/>
            </w:tcBorders>
            <w:shd w:val="clear" w:color="auto" w:fill="auto"/>
            <w:vAlign w:val="center"/>
          </w:tcPr>
          <w:p w14:paraId="6B76CDFA" w14:textId="77777777" w:rsidR="00DA69D9" w:rsidRPr="00BB5480" w:rsidRDefault="00DA69D9">
            <w:pPr>
              <w:snapToGrid w:val="0"/>
              <w:jc w:val="center"/>
            </w:pPr>
            <w:r w:rsidRPr="00BB5480">
              <w:rPr>
                <w:sz w:val="24"/>
                <w:szCs w:val="24"/>
              </w:rPr>
              <w:t>6</w:t>
            </w:r>
          </w:p>
        </w:tc>
        <w:tc>
          <w:tcPr>
            <w:tcW w:w="401" w:type="dxa"/>
            <w:tcBorders>
              <w:left w:val="single" w:sz="8" w:space="0" w:color="000000"/>
              <w:bottom w:val="single" w:sz="8" w:space="0" w:color="000000"/>
              <w:right w:val="single" w:sz="8" w:space="0" w:color="000000"/>
            </w:tcBorders>
            <w:shd w:val="clear" w:color="auto" w:fill="auto"/>
            <w:vAlign w:val="center"/>
          </w:tcPr>
          <w:p w14:paraId="47C8F2B8" w14:textId="77777777" w:rsidR="00DA69D9" w:rsidRPr="00BB5480" w:rsidRDefault="00DA69D9">
            <w:pPr>
              <w:snapToGrid w:val="0"/>
              <w:jc w:val="center"/>
            </w:pPr>
            <w:r w:rsidRPr="00BB5480">
              <w:rPr>
                <w:sz w:val="24"/>
                <w:szCs w:val="24"/>
              </w:rPr>
              <w:t>7</w:t>
            </w:r>
          </w:p>
        </w:tc>
      </w:tr>
    </w:tbl>
    <w:p w14:paraId="40313385" w14:textId="77777777" w:rsidR="00DA69D9" w:rsidRPr="00BB5480" w:rsidRDefault="00DA69D9">
      <w:pPr>
        <w:pStyle w:val="BodyText"/>
      </w:pPr>
    </w:p>
    <w:p w14:paraId="3A924CE9" w14:textId="77777777" w:rsidR="00DA69D9" w:rsidRPr="00BB5480" w:rsidRDefault="00DA69D9">
      <w:pPr>
        <w:pStyle w:val="BodyText"/>
      </w:pPr>
    </w:p>
    <w:p w14:paraId="199D5E17" w14:textId="77777777" w:rsidR="00DA69D9" w:rsidRPr="00BB5480" w:rsidRDefault="00DA69D9">
      <w:pPr>
        <w:pStyle w:val="BodyTextFirstIndent"/>
        <w:pageBreakBefore/>
        <w:ind w:firstLine="0"/>
        <w:jc w:val="center"/>
      </w:pPr>
      <w:r w:rsidRPr="00BB5480">
        <w:rPr>
          <w:b/>
          <w:bCs/>
        </w:rPr>
        <w:lastRenderedPageBreak/>
        <w:t>References</w:t>
      </w:r>
    </w:p>
    <w:p w14:paraId="452F4ADB" w14:textId="77777777" w:rsidR="00DA69D9" w:rsidRPr="00BB5480" w:rsidRDefault="00DA69D9">
      <w:pPr>
        <w:spacing w:line="480" w:lineRule="auto"/>
        <w:ind w:left="720" w:hanging="720"/>
        <w:rPr>
          <w:sz w:val="24"/>
          <w:szCs w:val="24"/>
        </w:rPr>
      </w:pPr>
      <w:r w:rsidRPr="00BB5480">
        <w:rPr>
          <w:sz w:val="24"/>
          <w:szCs w:val="24"/>
        </w:rPr>
        <w:t>Arbuckle, J. L. (201</w:t>
      </w:r>
      <w:r w:rsidR="00EA6912" w:rsidRPr="00BB5480">
        <w:rPr>
          <w:sz w:val="24"/>
          <w:szCs w:val="24"/>
        </w:rPr>
        <w:t>6</w:t>
      </w:r>
      <w:r w:rsidRPr="00BB5480">
        <w:rPr>
          <w:sz w:val="24"/>
          <w:szCs w:val="24"/>
        </w:rPr>
        <w:t xml:space="preserve">). </w:t>
      </w:r>
      <w:r w:rsidRPr="00BB5480">
        <w:rPr>
          <w:i/>
          <w:sz w:val="24"/>
          <w:szCs w:val="24"/>
        </w:rPr>
        <w:t>IBM SPSS AMOS 2</w:t>
      </w:r>
      <w:r w:rsidR="00EA6912" w:rsidRPr="00BB5480">
        <w:rPr>
          <w:i/>
          <w:sz w:val="24"/>
          <w:szCs w:val="24"/>
        </w:rPr>
        <w:t>4</w:t>
      </w:r>
      <w:r w:rsidRPr="00BB5480">
        <w:rPr>
          <w:i/>
          <w:sz w:val="24"/>
          <w:szCs w:val="24"/>
        </w:rPr>
        <w:t xml:space="preserve"> user’s guide</w:t>
      </w:r>
      <w:r w:rsidRPr="00BB5480">
        <w:rPr>
          <w:sz w:val="24"/>
          <w:szCs w:val="24"/>
        </w:rPr>
        <w:t>. IBM.</w:t>
      </w:r>
    </w:p>
    <w:p w14:paraId="42579DBB" w14:textId="569BF3C5" w:rsidR="00DA69D9" w:rsidRPr="00BB5480" w:rsidRDefault="00DA69D9">
      <w:pPr>
        <w:spacing w:line="480" w:lineRule="auto"/>
        <w:ind w:left="720" w:hanging="720"/>
        <w:rPr>
          <w:sz w:val="24"/>
          <w:szCs w:val="24"/>
        </w:rPr>
      </w:pPr>
      <w:r w:rsidRPr="00BB5480">
        <w:rPr>
          <w:sz w:val="24"/>
          <w:szCs w:val="24"/>
        </w:rPr>
        <w:t>A-</w:t>
      </w:r>
      <w:proofErr w:type="spellStart"/>
      <w:r w:rsidRPr="00BB5480">
        <w:rPr>
          <w:sz w:val="24"/>
          <w:szCs w:val="24"/>
        </w:rPr>
        <w:t>Tjak</w:t>
      </w:r>
      <w:proofErr w:type="spellEnd"/>
      <w:r w:rsidRPr="00BB5480">
        <w:rPr>
          <w:sz w:val="24"/>
          <w:szCs w:val="24"/>
        </w:rPr>
        <w:t xml:space="preserve">, J. G., Davis, M. L., </w:t>
      </w:r>
      <w:proofErr w:type="spellStart"/>
      <w:r w:rsidRPr="00BB5480">
        <w:rPr>
          <w:sz w:val="24"/>
          <w:szCs w:val="24"/>
        </w:rPr>
        <w:t>Morina</w:t>
      </w:r>
      <w:proofErr w:type="spellEnd"/>
      <w:r w:rsidRPr="00BB5480">
        <w:rPr>
          <w:sz w:val="24"/>
          <w:szCs w:val="24"/>
        </w:rPr>
        <w:t xml:space="preserve">, N., Powers, M. B., Smits, J. </w:t>
      </w:r>
      <w:r w:rsidR="00DA246E" w:rsidRPr="00BB5480">
        <w:rPr>
          <w:sz w:val="24"/>
          <w:szCs w:val="24"/>
        </w:rPr>
        <w:t>A</w:t>
      </w:r>
      <w:r w:rsidRPr="00BB5480">
        <w:rPr>
          <w:sz w:val="24"/>
          <w:szCs w:val="24"/>
        </w:rPr>
        <w:t xml:space="preserve">., &amp; </w:t>
      </w:r>
      <w:proofErr w:type="spellStart"/>
      <w:r w:rsidRPr="00BB5480">
        <w:rPr>
          <w:sz w:val="24"/>
          <w:szCs w:val="24"/>
        </w:rPr>
        <w:t>Emmelkamp</w:t>
      </w:r>
      <w:proofErr w:type="spellEnd"/>
      <w:r w:rsidRPr="00BB5480">
        <w:rPr>
          <w:sz w:val="24"/>
          <w:szCs w:val="24"/>
        </w:rPr>
        <w:t xml:space="preserve">, P. M. G. (2015). A meta-analysis of the efficacy of Acceptance and Commitment Therapy for clinically relevant mental and physical health problems. </w:t>
      </w:r>
      <w:r w:rsidRPr="00BB5480">
        <w:rPr>
          <w:i/>
          <w:sz w:val="24"/>
          <w:szCs w:val="24"/>
        </w:rPr>
        <w:t>Psychotherapy and Psychosomatics</w:t>
      </w:r>
      <w:r w:rsidRPr="00BB5480">
        <w:rPr>
          <w:sz w:val="24"/>
          <w:szCs w:val="24"/>
        </w:rPr>
        <w:t xml:space="preserve">, </w:t>
      </w:r>
      <w:r w:rsidRPr="00BB5480">
        <w:rPr>
          <w:i/>
          <w:sz w:val="24"/>
          <w:szCs w:val="24"/>
        </w:rPr>
        <w:t>84</w:t>
      </w:r>
      <w:r w:rsidRPr="00BB5480">
        <w:rPr>
          <w:sz w:val="24"/>
          <w:szCs w:val="24"/>
        </w:rPr>
        <w:t>(1), 30–36. https://doi.org/10.1159/000365764</w:t>
      </w:r>
    </w:p>
    <w:p w14:paraId="364AF789" w14:textId="77777777" w:rsidR="00DA69D9" w:rsidRPr="00BB5480" w:rsidRDefault="00DA69D9">
      <w:pPr>
        <w:spacing w:line="480" w:lineRule="auto"/>
        <w:ind w:left="720" w:hanging="720"/>
        <w:rPr>
          <w:sz w:val="24"/>
          <w:szCs w:val="24"/>
        </w:rPr>
      </w:pPr>
      <w:r w:rsidRPr="00BB5480">
        <w:rPr>
          <w:sz w:val="24"/>
          <w:szCs w:val="24"/>
        </w:rPr>
        <w:t xml:space="preserve">Bond, F. W., Hayes, S. C., Baer, R. A., Carpenter, K. M., </w:t>
      </w:r>
      <w:proofErr w:type="spellStart"/>
      <w:r w:rsidRPr="00BB5480">
        <w:rPr>
          <w:sz w:val="24"/>
          <w:szCs w:val="24"/>
        </w:rPr>
        <w:t>Guenole</w:t>
      </w:r>
      <w:proofErr w:type="spellEnd"/>
      <w:r w:rsidRPr="00BB5480">
        <w:rPr>
          <w:sz w:val="24"/>
          <w:szCs w:val="24"/>
        </w:rPr>
        <w:t xml:space="preserve">, N., </w:t>
      </w:r>
      <w:proofErr w:type="spellStart"/>
      <w:r w:rsidRPr="00BB5480">
        <w:rPr>
          <w:sz w:val="24"/>
          <w:szCs w:val="24"/>
        </w:rPr>
        <w:t>Orcutt</w:t>
      </w:r>
      <w:proofErr w:type="spellEnd"/>
      <w:r w:rsidRPr="00BB5480">
        <w:rPr>
          <w:sz w:val="24"/>
          <w:szCs w:val="24"/>
        </w:rPr>
        <w:t xml:space="preserve">, H. K., … </w:t>
      </w:r>
      <w:proofErr w:type="spellStart"/>
      <w:r w:rsidRPr="00BB5480">
        <w:rPr>
          <w:sz w:val="24"/>
          <w:szCs w:val="24"/>
        </w:rPr>
        <w:t>Zettle</w:t>
      </w:r>
      <w:proofErr w:type="spellEnd"/>
      <w:r w:rsidRPr="00BB5480">
        <w:rPr>
          <w:sz w:val="24"/>
          <w:szCs w:val="24"/>
        </w:rPr>
        <w:t xml:space="preserve">, R. D. (2011). Preliminary psychometric properties of the Acceptance and Action Questionnaire–II: A revised measure of psychological inflexibility and experiential avoidance. </w:t>
      </w:r>
      <w:proofErr w:type="spellStart"/>
      <w:r w:rsidRPr="00BB5480">
        <w:rPr>
          <w:i/>
          <w:sz w:val="24"/>
          <w:szCs w:val="24"/>
        </w:rPr>
        <w:t>Behavior</w:t>
      </w:r>
      <w:proofErr w:type="spellEnd"/>
      <w:r w:rsidRPr="00BB5480">
        <w:rPr>
          <w:i/>
          <w:sz w:val="24"/>
          <w:szCs w:val="24"/>
        </w:rPr>
        <w:t xml:space="preserve"> Therapy</w:t>
      </w:r>
      <w:r w:rsidRPr="00BB5480">
        <w:rPr>
          <w:sz w:val="24"/>
          <w:szCs w:val="24"/>
        </w:rPr>
        <w:t xml:space="preserve">, </w:t>
      </w:r>
      <w:r w:rsidRPr="00BB5480">
        <w:rPr>
          <w:i/>
          <w:sz w:val="24"/>
          <w:szCs w:val="24"/>
        </w:rPr>
        <w:t>42</w:t>
      </w:r>
      <w:r w:rsidRPr="00BB5480">
        <w:rPr>
          <w:sz w:val="24"/>
          <w:szCs w:val="24"/>
        </w:rPr>
        <w:t>(4), 676–688. https://doi.org/10.1016/j.beth.2011.03.007</w:t>
      </w:r>
    </w:p>
    <w:p w14:paraId="75070C1F" w14:textId="77777777" w:rsidR="00DA69D9" w:rsidRPr="00BB5480" w:rsidRDefault="00DA69D9">
      <w:pPr>
        <w:spacing w:line="480" w:lineRule="auto"/>
        <w:ind w:left="720" w:hanging="720"/>
        <w:rPr>
          <w:sz w:val="24"/>
          <w:szCs w:val="24"/>
        </w:rPr>
      </w:pPr>
      <w:r w:rsidRPr="00BB5480">
        <w:rPr>
          <w:sz w:val="24"/>
          <w:szCs w:val="24"/>
        </w:rPr>
        <w:t xml:space="preserve">Bond, F. W., Lloyd, J., &amp; </w:t>
      </w:r>
      <w:proofErr w:type="spellStart"/>
      <w:r w:rsidRPr="00BB5480">
        <w:rPr>
          <w:sz w:val="24"/>
          <w:szCs w:val="24"/>
        </w:rPr>
        <w:t>Guenole</w:t>
      </w:r>
      <w:proofErr w:type="spellEnd"/>
      <w:r w:rsidRPr="00BB5480">
        <w:rPr>
          <w:sz w:val="24"/>
          <w:szCs w:val="24"/>
        </w:rPr>
        <w:t xml:space="preserve">, N. (2013). The work-related acceptance and action questionnaire: Initial psychometric findings and their implications for measuring psychological flexibility in specific contexts. </w:t>
      </w:r>
      <w:r w:rsidRPr="00BB5480">
        <w:rPr>
          <w:i/>
          <w:sz w:val="24"/>
          <w:szCs w:val="24"/>
        </w:rPr>
        <w:t>Journal of Occupational and Organizational Psychology</w:t>
      </w:r>
      <w:r w:rsidRPr="00BB5480">
        <w:rPr>
          <w:sz w:val="24"/>
          <w:szCs w:val="24"/>
        </w:rPr>
        <w:t xml:space="preserve">, </w:t>
      </w:r>
      <w:r w:rsidRPr="00BB5480">
        <w:rPr>
          <w:i/>
          <w:sz w:val="24"/>
          <w:szCs w:val="24"/>
        </w:rPr>
        <w:t>86</w:t>
      </w:r>
      <w:r w:rsidRPr="00BB5480">
        <w:rPr>
          <w:sz w:val="24"/>
          <w:szCs w:val="24"/>
        </w:rPr>
        <w:t>(3), 331–347. https://doi.org/10.1111/joop.12001</w:t>
      </w:r>
    </w:p>
    <w:p w14:paraId="2A68FACC" w14:textId="77777777" w:rsidR="00DA69D9" w:rsidRPr="00BB5480" w:rsidRDefault="00DA69D9">
      <w:pPr>
        <w:spacing w:line="480" w:lineRule="auto"/>
        <w:ind w:left="720" w:hanging="720"/>
        <w:rPr>
          <w:sz w:val="24"/>
          <w:szCs w:val="24"/>
        </w:rPr>
      </w:pPr>
      <w:r w:rsidRPr="00BB5480">
        <w:rPr>
          <w:sz w:val="24"/>
          <w:szCs w:val="24"/>
        </w:rPr>
        <w:t xml:space="preserve">Brown, T. A. (2006). </w:t>
      </w:r>
      <w:r w:rsidRPr="00BB5480">
        <w:rPr>
          <w:i/>
          <w:sz w:val="24"/>
          <w:szCs w:val="24"/>
        </w:rPr>
        <w:t>Confirmatory factor analysis for applied research</w:t>
      </w:r>
      <w:r w:rsidRPr="00BB5480">
        <w:rPr>
          <w:sz w:val="24"/>
          <w:szCs w:val="24"/>
        </w:rPr>
        <w:t xml:space="preserve"> (New Ed edition). New York: Guilford Press.</w:t>
      </w:r>
    </w:p>
    <w:p w14:paraId="186A2F91" w14:textId="6B98C52A" w:rsidR="00DA69D9" w:rsidRPr="00BB5480" w:rsidRDefault="00DA69D9">
      <w:pPr>
        <w:spacing w:line="480" w:lineRule="auto"/>
        <w:ind w:left="720" w:hanging="720"/>
        <w:rPr>
          <w:sz w:val="24"/>
          <w:szCs w:val="24"/>
        </w:rPr>
      </w:pPr>
      <w:r w:rsidRPr="00BB5480">
        <w:rPr>
          <w:sz w:val="24"/>
          <w:szCs w:val="24"/>
        </w:rPr>
        <w:t>Catania, A.</w:t>
      </w:r>
      <w:r w:rsidR="00E319F3" w:rsidRPr="00BB5480">
        <w:rPr>
          <w:sz w:val="24"/>
          <w:szCs w:val="24"/>
        </w:rPr>
        <w:t xml:space="preserve"> C.</w:t>
      </w:r>
      <w:r w:rsidRPr="00BB5480">
        <w:rPr>
          <w:sz w:val="24"/>
          <w:szCs w:val="24"/>
        </w:rPr>
        <w:t xml:space="preserve">, </w:t>
      </w:r>
      <w:proofErr w:type="spellStart"/>
      <w:r w:rsidRPr="00BB5480">
        <w:rPr>
          <w:sz w:val="24"/>
          <w:szCs w:val="24"/>
        </w:rPr>
        <w:t>Shimoff</w:t>
      </w:r>
      <w:proofErr w:type="spellEnd"/>
      <w:r w:rsidRPr="00BB5480">
        <w:rPr>
          <w:sz w:val="24"/>
          <w:szCs w:val="24"/>
        </w:rPr>
        <w:t xml:space="preserve">, E., &amp; Matthews, B. A. (1989). An Experimental Analysis of Rule-Governed </w:t>
      </w:r>
      <w:proofErr w:type="spellStart"/>
      <w:r w:rsidRPr="00BB5480">
        <w:rPr>
          <w:sz w:val="24"/>
          <w:szCs w:val="24"/>
        </w:rPr>
        <w:t>Behavior</w:t>
      </w:r>
      <w:proofErr w:type="spellEnd"/>
      <w:r w:rsidRPr="00BB5480">
        <w:rPr>
          <w:sz w:val="24"/>
          <w:szCs w:val="24"/>
        </w:rPr>
        <w:t xml:space="preserve">. In S. C. Hayes (Ed.), </w:t>
      </w:r>
      <w:r w:rsidRPr="00BB5480">
        <w:rPr>
          <w:i/>
          <w:sz w:val="24"/>
          <w:szCs w:val="24"/>
        </w:rPr>
        <w:t xml:space="preserve">Rule-Governed </w:t>
      </w:r>
      <w:proofErr w:type="spellStart"/>
      <w:r w:rsidRPr="00BB5480">
        <w:rPr>
          <w:i/>
          <w:sz w:val="24"/>
          <w:szCs w:val="24"/>
        </w:rPr>
        <w:t>Behavior</w:t>
      </w:r>
      <w:proofErr w:type="spellEnd"/>
      <w:r w:rsidRPr="00BB5480">
        <w:rPr>
          <w:sz w:val="24"/>
          <w:szCs w:val="24"/>
        </w:rPr>
        <w:t xml:space="preserve"> (pp. 119–150). New York, NY: Plenum Press. Retrieved from </w:t>
      </w:r>
      <w:hyperlink r:id="rId14" w:history="1">
        <w:r w:rsidR="00F146F4" w:rsidRPr="00BB5480">
          <w:rPr>
            <w:rStyle w:val="Hyperlink"/>
            <w:sz w:val="24"/>
            <w:szCs w:val="24"/>
          </w:rPr>
          <w:t>http://dx.doi.org/10.1007/978-1-4757-0447-1_4</w:t>
        </w:r>
      </w:hyperlink>
    </w:p>
    <w:p w14:paraId="72ED3A84" w14:textId="043518EF" w:rsidR="00F146F4" w:rsidRPr="00BB5480" w:rsidRDefault="00F146F4">
      <w:pPr>
        <w:spacing w:line="480" w:lineRule="auto"/>
        <w:ind w:left="720" w:hanging="720"/>
        <w:rPr>
          <w:sz w:val="24"/>
          <w:szCs w:val="24"/>
        </w:rPr>
      </w:pPr>
      <w:r w:rsidRPr="00BB5480">
        <w:rPr>
          <w:sz w:val="24"/>
          <w:szCs w:val="24"/>
        </w:rPr>
        <w:t xml:space="preserve">Chiesa, M. (1994). </w:t>
      </w:r>
      <w:r w:rsidRPr="00BB5480">
        <w:rPr>
          <w:i/>
          <w:sz w:val="24"/>
          <w:szCs w:val="24"/>
        </w:rPr>
        <w:t xml:space="preserve">Radical </w:t>
      </w:r>
      <w:proofErr w:type="spellStart"/>
      <w:r w:rsidRPr="00BB5480">
        <w:rPr>
          <w:i/>
          <w:sz w:val="24"/>
          <w:szCs w:val="24"/>
        </w:rPr>
        <w:t>Behaviorism</w:t>
      </w:r>
      <w:proofErr w:type="spellEnd"/>
      <w:r w:rsidRPr="00BB5480">
        <w:rPr>
          <w:i/>
          <w:sz w:val="24"/>
          <w:szCs w:val="24"/>
        </w:rPr>
        <w:t>: The Philosophy and the Science</w:t>
      </w:r>
      <w:r w:rsidRPr="00BB5480">
        <w:rPr>
          <w:sz w:val="24"/>
          <w:szCs w:val="24"/>
        </w:rPr>
        <w:t xml:space="preserve">. </w:t>
      </w:r>
      <w:proofErr w:type="spellStart"/>
      <w:r w:rsidRPr="00BB5480">
        <w:rPr>
          <w:sz w:val="24"/>
          <w:szCs w:val="24"/>
        </w:rPr>
        <w:t>Sarastoa</w:t>
      </w:r>
      <w:proofErr w:type="spellEnd"/>
      <w:r w:rsidRPr="00BB5480">
        <w:rPr>
          <w:sz w:val="24"/>
          <w:szCs w:val="24"/>
        </w:rPr>
        <w:t xml:space="preserve">, </w:t>
      </w:r>
      <w:proofErr w:type="spellStart"/>
      <w:r w:rsidRPr="00BB5480">
        <w:rPr>
          <w:sz w:val="24"/>
          <w:szCs w:val="24"/>
        </w:rPr>
        <w:t>Flordia</w:t>
      </w:r>
      <w:proofErr w:type="spellEnd"/>
      <w:r w:rsidRPr="00BB5480">
        <w:rPr>
          <w:sz w:val="24"/>
          <w:szCs w:val="24"/>
        </w:rPr>
        <w:t>: Authors Cooperative, Publishers.</w:t>
      </w:r>
    </w:p>
    <w:p w14:paraId="3CAF7DC8" w14:textId="77777777" w:rsidR="00DA69D9" w:rsidRPr="00BB5480" w:rsidRDefault="00DA69D9">
      <w:pPr>
        <w:spacing w:line="480" w:lineRule="auto"/>
        <w:ind w:left="720" w:hanging="720"/>
        <w:rPr>
          <w:sz w:val="24"/>
          <w:szCs w:val="24"/>
        </w:rPr>
      </w:pPr>
      <w:r w:rsidRPr="00BB5480">
        <w:rPr>
          <w:sz w:val="24"/>
          <w:szCs w:val="24"/>
        </w:rPr>
        <w:t xml:space="preserve">Clark, L. A., &amp; Watson, D. (1995). Constructing validity: Basic issues in objective scale development. </w:t>
      </w:r>
      <w:r w:rsidRPr="00BB5480">
        <w:rPr>
          <w:i/>
          <w:sz w:val="24"/>
          <w:szCs w:val="24"/>
        </w:rPr>
        <w:t>Psychological Assessment</w:t>
      </w:r>
      <w:r w:rsidRPr="00BB5480">
        <w:rPr>
          <w:sz w:val="24"/>
          <w:szCs w:val="24"/>
        </w:rPr>
        <w:t xml:space="preserve">, </w:t>
      </w:r>
      <w:r w:rsidRPr="00BB5480">
        <w:rPr>
          <w:i/>
          <w:sz w:val="24"/>
          <w:szCs w:val="24"/>
        </w:rPr>
        <w:t>7</w:t>
      </w:r>
      <w:r w:rsidRPr="00BB5480">
        <w:rPr>
          <w:sz w:val="24"/>
          <w:szCs w:val="24"/>
        </w:rPr>
        <w:t xml:space="preserve">(3), 309–319. </w:t>
      </w:r>
      <w:r w:rsidRPr="00BB5480">
        <w:rPr>
          <w:sz w:val="24"/>
          <w:szCs w:val="24"/>
        </w:rPr>
        <w:lastRenderedPageBreak/>
        <w:t>https://doi.org/10.1037/1040-3590.7.3.309</w:t>
      </w:r>
    </w:p>
    <w:p w14:paraId="33792CA9" w14:textId="77777777" w:rsidR="00DA69D9" w:rsidRPr="00BB5480" w:rsidRDefault="00DA69D9">
      <w:pPr>
        <w:spacing w:line="480" w:lineRule="auto"/>
        <w:ind w:left="720" w:hanging="720"/>
        <w:rPr>
          <w:sz w:val="24"/>
          <w:szCs w:val="24"/>
        </w:rPr>
      </w:pPr>
      <w:r w:rsidRPr="00BB5480">
        <w:rPr>
          <w:sz w:val="24"/>
          <w:szCs w:val="24"/>
        </w:rPr>
        <w:t xml:space="preserve">Cohen, J. (1992). A power primer. </w:t>
      </w:r>
      <w:r w:rsidRPr="00BB5480">
        <w:rPr>
          <w:i/>
          <w:sz w:val="24"/>
          <w:szCs w:val="24"/>
        </w:rPr>
        <w:t>Psychological Bulletin</w:t>
      </w:r>
      <w:r w:rsidRPr="00BB5480">
        <w:rPr>
          <w:sz w:val="24"/>
          <w:szCs w:val="24"/>
        </w:rPr>
        <w:t xml:space="preserve">, </w:t>
      </w:r>
      <w:r w:rsidRPr="00BB5480">
        <w:rPr>
          <w:i/>
          <w:sz w:val="24"/>
          <w:szCs w:val="24"/>
        </w:rPr>
        <w:t>112</w:t>
      </w:r>
      <w:r w:rsidRPr="00BB5480">
        <w:rPr>
          <w:sz w:val="24"/>
          <w:szCs w:val="24"/>
        </w:rPr>
        <w:t>(1), 155–159. https://doi.org/10.1037/0033-2909.112.1.155</w:t>
      </w:r>
    </w:p>
    <w:p w14:paraId="4AB3226A" w14:textId="77777777" w:rsidR="00DA69D9" w:rsidRPr="00BB5480" w:rsidRDefault="00DA69D9">
      <w:pPr>
        <w:spacing w:line="480" w:lineRule="auto"/>
        <w:ind w:left="720" w:hanging="720"/>
        <w:rPr>
          <w:sz w:val="24"/>
          <w:szCs w:val="24"/>
        </w:rPr>
      </w:pPr>
      <w:r w:rsidRPr="00BB5480">
        <w:rPr>
          <w:sz w:val="24"/>
          <w:szCs w:val="24"/>
        </w:rPr>
        <w:t xml:space="preserve">Davis, M. H. (1983). Measuring individual differences in empathy: Evidence for a multidimensional approach. </w:t>
      </w:r>
      <w:r w:rsidRPr="00BB5480">
        <w:rPr>
          <w:i/>
          <w:sz w:val="24"/>
          <w:szCs w:val="24"/>
        </w:rPr>
        <w:t>Journal of Personality and Social Psychology</w:t>
      </w:r>
      <w:r w:rsidRPr="00BB5480">
        <w:rPr>
          <w:sz w:val="24"/>
          <w:szCs w:val="24"/>
        </w:rPr>
        <w:t xml:space="preserve">, </w:t>
      </w:r>
      <w:r w:rsidRPr="00BB5480">
        <w:rPr>
          <w:i/>
          <w:sz w:val="24"/>
          <w:szCs w:val="24"/>
        </w:rPr>
        <w:t>44</w:t>
      </w:r>
      <w:r w:rsidRPr="00BB5480">
        <w:rPr>
          <w:sz w:val="24"/>
          <w:szCs w:val="24"/>
        </w:rPr>
        <w:t>(1), 113–126. https://doi.org/10.1037/0022-3514.44.1.113</w:t>
      </w:r>
    </w:p>
    <w:p w14:paraId="553C203D" w14:textId="77777777" w:rsidR="00DA69D9" w:rsidRPr="00BB5480" w:rsidRDefault="00DA69D9">
      <w:pPr>
        <w:spacing w:line="480" w:lineRule="auto"/>
        <w:ind w:left="720" w:hanging="720"/>
        <w:rPr>
          <w:sz w:val="24"/>
          <w:szCs w:val="24"/>
        </w:rPr>
      </w:pPr>
      <w:proofErr w:type="spellStart"/>
      <w:r w:rsidRPr="00BB5480">
        <w:rPr>
          <w:sz w:val="24"/>
          <w:szCs w:val="24"/>
        </w:rPr>
        <w:t>DeVellis</w:t>
      </w:r>
      <w:proofErr w:type="spellEnd"/>
      <w:r w:rsidRPr="00BB5480">
        <w:rPr>
          <w:sz w:val="24"/>
          <w:szCs w:val="24"/>
        </w:rPr>
        <w:t xml:space="preserve">, R. F. (2012). </w:t>
      </w:r>
      <w:r w:rsidRPr="00BB5480">
        <w:rPr>
          <w:i/>
          <w:sz w:val="24"/>
          <w:szCs w:val="24"/>
        </w:rPr>
        <w:t>Scale development: Theory and applications</w:t>
      </w:r>
      <w:r w:rsidRPr="00BB5480">
        <w:rPr>
          <w:sz w:val="24"/>
          <w:szCs w:val="24"/>
        </w:rPr>
        <w:t xml:space="preserve"> (3rd ed., Vol. 26). Los Angeles: Sage Publications.</w:t>
      </w:r>
    </w:p>
    <w:p w14:paraId="7EAD94EE" w14:textId="77777777" w:rsidR="002C1435" w:rsidRPr="00BB5480" w:rsidRDefault="002C1435">
      <w:pPr>
        <w:spacing w:line="480" w:lineRule="auto"/>
        <w:ind w:left="720" w:hanging="720"/>
        <w:rPr>
          <w:sz w:val="24"/>
          <w:szCs w:val="24"/>
        </w:rPr>
      </w:pPr>
      <w:r w:rsidRPr="00BB5480">
        <w:rPr>
          <w:sz w:val="24"/>
          <w:szCs w:val="24"/>
        </w:rPr>
        <w:t>Ferguson, E., &amp; Cox, T. (1993). Exploratory factor analysis: a user’s guide. International Journal of Selection and Assessment, 1(2), 84–94. https://doi.org/10.1111/j.1468-2389.1993.tb00092.x</w:t>
      </w:r>
    </w:p>
    <w:p w14:paraId="64376752" w14:textId="0B564742" w:rsidR="00DA69D9" w:rsidRPr="00BB5480" w:rsidRDefault="00DA69D9">
      <w:pPr>
        <w:spacing w:line="480" w:lineRule="auto"/>
        <w:ind w:left="720" w:hanging="720"/>
        <w:rPr>
          <w:sz w:val="24"/>
          <w:szCs w:val="24"/>
        </w:rPr>
      </w:pPr>
      <w:r w:rsidRPr="00BB5480">
        <w:rPr>
          <w:sz w:val="24"/>
          <w:szCs w:val="24"/>
        </w:rPr>
        <w:t>Fish, R. A., McGuire, B., Hogan, M., Morrison, T. G., &amp; Stewart, I. (2010). Validation of the Chronic Pain Acceptance Questionnaire (</w:t>
      </w:r>
      <w:proofErr w:type="spellStart"/>
      <w:r w:rsidRPr="00BB5480">
        <w:rPr>
          <w:sz w:val="24"/>
          <w:szCs w:val="24"/>
        </w:rPr>
        <w:t>CPAQ</w:t>
      </w:r>
      <w:proofErr w:type="spellEnd"/>
      <w:r w:rsidRPr="00BB5480">
        <w:rPr>
          <w:sz w:val="24"/>
          <w:szCs w:val="24"/>
        </w:rPr>
        <w:t xml:space="preserve">) in an </w:t>
      </w:r>
      <w:r w:rsidR="00E319F3" w:rsidRPr="00BB5480">
        <w:rPr>
          <w:sz w:val="24"/>
          <w:szCs w:val="24"/>
        </w:rPr>
        <w:t>I</w:t>
      </w:r>
      <w:r w:rsidRPr="00BB5480">
        <w:rPr>
          <w:sz w:val="24"/>
          <w:szCs w:val="24"/>
        </w:rPr>
        <w:t xml:space="preserve">nternet sample and development and preliminary validation of the </w:t>
      </w:r>
      <w:proofErr w:type="spellStart"/>
      <w:r w:rsidRPr="00BB5480">
        <w:rPr>
          <w:sz w:val="24"/>
          <w:szCs w:val="24"/>
        </w:rPr>
        <w:t>CPAQ</w:t>
      </w:r>
      <w:proofErr w:type="spellEnd"/>
      <w:r w:rsidRPr="00BB5480">
        <w:rPr>
          <w:sz w:val="24"/>
          <w:szCs w:val="24"/>
        </w:rPr>
        <w:t xml:space="preserve">-8. </w:t>
      </w:r>
      <w:r w:rsidRPr="00BB5480">
        <w:rPr>
          <w:i/>
          <w:sz w:val="24"/>
          <w:szCs w:val="24"/>
        </w:rPr>
        <w:t>Pain</w:t>
      </w:r>
      <w:r w:rsidRPr="00BB5480">
        <w:rPr>
          <w:sz w:val="24"/>
          <w:szCs w:val="24"/>
        </w:rPr>
        <w:t xml:space="preserve">, </w:t>
      </w:r>
      <w:r w:rsidRPr="00BB5480">
        <w:rPr>
          <w:i/>
          <w:sz w:val="24"/>
          <w:szCs w:val="24"/>
        </w:rPr>
        <w:t>149</w:t>
      </w:r>
      <w:r w:rsidRPr="00BB5480">
        <w:rPr>
          <w:sz w:val="24"/>
          <w:szCs w:val="24"/>
        </w:rPr>
        <w:t>(3), 435–443. https://doi.org/10.1016/j.pain.2009.12.016</w:t>
      </w:r>
    </w:p>
    <w:p w14:paraId="3C838E2E" w14:textId="77777777" w:rsidR="00DA69D9" w:rsidRPr="00BB5480" w:rsidRDefault="00DA69D9">
      <w:pPr>
        <w:spacing w:line="480" w:lineRule="auto"/>
        <w:ind w:left="720" w:hanging="720"/>
        <w:rPr>
          <w:sz w:val="24"/>
          <w:szCs w:val="24"/>
        </w:rPr>
      </w:pPr>
      <w:r w:rsidRPr="00BB5480">
        <w:rPr>
          <w:sz w:val="24"/>
          <w:szCs w:val="24"/>
        </w:rPr>
        <w:t xml:space="preserve">Harrington, D. (2009). </w:t>
      </w:r>
      <w:r w:rsidRPr="00BB5480">
        <w:rPr>
          <w:i/>
          <w:sz w:val="24"/>
          <w:szCs w:val="24"/>
        </w:rPr>
        <w:t>Confirmatory factor analysis</w:t>
      </w:r>
      <w:r w:rsidRPr="00BB5480">
        <w:rPr>
          <w:sz w:val="24"/>
          <w:szCs w:val="24"/>
        </w:rPr>
        <w:t>. Oxford; New York: Oxford University Press.</w:t>
      </w:r>
    </w:p>
    <w:p w14:paraId="1DF248F0" w14:textId="4A924715" w:rsidR="00DA69D9" w:rsidRPr="00BB5480" w:rsidRDefault="00DA69D9">
      <w:pPr>
        <w:spacing w:line="480" w:lineRule="auto"/>
        <w:ind w:left="720" w:hanging="720"/>
        <w:rPr>
          <w:sz w:val="24"/>
          <w:szCs w:val="24"/>
        </w:rPr>
      </w:pPr>
      <w:r w:rsidRPr="00BB5480">
        <w:rPr>
          <w:sz w:val="24"/>
          <w:szCs w:val="24"/>
        </w:rPr>
        <w:t xml:space="preserve">Hayes, S. C., Barnes-Holmes, D., &amp; Wilson, K. G. (2012). Contextual </w:t>
      </w:r>
      <w:r w:rsidR="00F8609C" w:rsidRPr="00BB5480">
        <w:rPr>
          <w:sz w:val="24"/>
          <w:szCs w:val="24"/>
        </w:rPr>
        <w:t>B</w:t>
      </w:r>
      <w:r w:rsidRPr="00BB5480">
        <w:rPr>
          <w:sz w:val="24"/>
          <w:szCs w:val="24"/>
        </w:rPr>
        <w:t xml:space="preserve">ehavioral </w:t>
      </w:r>
      <w:r w:rsidR="00F8609C" w:rsidRPr="00BB5480">
        <w:rPr>
          <w:sz w:val="24"/>
          <w:szCs w:val="24"/>
        </w:rPr>
        <w:t>S</w:t>
      </w:r>
      <w:r w:rsidRPr="00BB5480">
        <w:rPr>
          <w:sz w:val="24"/>
          <w:szCs w:val="24"/>
        </w:rPr>
        <w:t xml:space="preserve">cience: Creating a science more adequate to the challenge of the human condition. </w:t>
      </w:r>
      <w:r w:rsidRPr="00BB5480">
        <w:rPr>
          <w:i/>
          <w:sz w:val="24"/>
          <w:szCs w:val="24"/>
        </w:rPr>
        <w:t>Journal of Contextual Behavioral Science</w:t>
      </w:r>
      <w:r w:rsidRPr="00BB5480">
        <w:rPr>
          <w:sz w:val="24"/>
          <w:szCs w:val="24"/>
        </w:rPr>
        <w:t xml:space="preserve">, </w:t>
      </w:r>
      <w:r w:rsidRPr="00BB5480">
        <w:rPr>
          <w:i/>
          <w:sz w:val="24"/>
          <w:szCs w:val="24"/>
        </w:rPr>
        <w:t>1</w:t>
      </w:r>
      <w:r w:rsidRPr="00BB5480">
        <w:rPr>
          <w:sz w:val="24"/>
          <w:szCs w:val="24"/>
        </w:rPr>
        <w:t>, 1–16. https://doi.org/10.1016/j.jcbs.2012.09.004</w:t>
      </w:r>
    </w:p>
    <w:p w14:paraId="72E4EAF0" w14:textId="77777777" w:rsidR="00DA69D9" w:rsidRPr="00BB5480" w:rsidRDefault="00DA69D9">
      <w:pPr>
        <w:spacing w:line="480" w:lineRule="auto"/>
        <w:ind w:left="720" w:hanging="720"/>
        <w:rPr>
          <w:sz w:val="24"/>
          <w:szCs w:val="24"/>
        </w:rPr>
      </w:pPr>
      <w:r w:rsidRPr="00BB5480">
        <w:rPr>
          <w:sz w:val="24"/>
          <w:szCs w:val="24"/>
        </w:rPr>
        <w:t xml:space="preserve">Hayes, S. C., Brownstein, A. J., </w:t>
      </w:r>
      <w:proofErr w:type="spellStart"/>
      <w:r w:rsidRPr="00BB5480">
        <w:rPr>
          <w:sz w:val="24"/>
          <w:szCs w:val="24"/>
        </w:rPr>
        <w:t>Zettle</w:t>
      </w:r>
      <w:proofErr w:type="spellEnd"/>
      <w:r w:rsidRPr="00BB5480">
        <w:rPr>
          <w:sz w:val="24"/>
          <w:szCs w:val="24"/>
        </w:rPr>
        <w:t xml:space="preserve">, R. D., </w:t>
      </w:r>
      <w:proofErr w:type="spellStart"/>
      <w:r w:rsidRPr="00BB5480">
        <w:rPr>
          <w:sz w:val="24"/>
          <w:szCs w:val="24"/>
        </w:rPr>
        <w:t>Rosenfarb</w:t>
      </w:r>
      <w:proofErr w:type="spellEnd"/>
      <w:r w:rsidRPr="00BB5480">
        <w:rPr>
          <w:sz w:val="24"/>
          <w:szCs w:val="24"/>
        </w:rPr>
        <w:t xml:space="preserve">, I., &amp; </w:t>
      </w:r>
      <w:proofErr w:type="spellStart"/>
      <w:r w:rsidRPr="00BB5480">
        <w:rPr>
          <w:sz w:val="24"/>
          <w:szCs w:val="24"/>
        </w:rPr>
        <w:t>Korn</w:t>
      </w:r>
      <w:proofErr w:type="spellEnd"/>
      <w:r w:rsidRPr="00BB5480">
        <w:rPr>
          <w:sz w:val="24"/>
          <w:szCs w:val="24"/>
        </w:rPr>
        <w:t xml:space="preserve">, Z. (1986). Rule-governed </w:t>
      </w:r>
      <w:proofErr w:type="spellStart"/>
      <w:r w:rsidRPr="00BB5480">
        <w:rPr>
          <w:sz w:val="24"/>
          <w:szCs w:val="24"/>
        </w:rPr>
        <w:t>behavior</w:t>
      </w:r>
      <w:proofErr w:type="spellEnd"/>
      <w:r w:rsidRPr="00BB5480">
        <w:rPr>
          <w:sz w:val="24"/>
          <w:szCs w:val="24"/>
        </w:rPr>
        <w:t xml:space="preserve"> and sensitivity to changing consequences of responding. </w:t>
      </w:r>
      <w:r w:rsidRPr="00BB5480">
        <w:rPr>
          <w:i/>
          <w:sz w:val="24"/>
          <w:szCs w:val="24"/>
        </w:rPr>
        <w:t xml:space="preserve">Journal of the Experimental Analysis of </w:t>
      </w:r>
      <w:proofErr w:type="spellStart"/>
      <w:r w:rsidRPr="00BB5480">
        <w:rPr>
          <w:i/>
          <w:sz w:val="24"/>
          <w:szCs w:val="24"/>
        </w:rPr>
        <w:t>Behavior</w:t>
      </w:r>
      <w:proofErr w:type="spellEnd"/>
      <w:r w:rsidRPr="00BB5480">
        <w:rPr>
          <w:sz w:val="24"/>
          <w:szCs w:val="24"/>
        </w:rPr>
        <w:t xml:space="preserve">, </w:t>
      </w:r>
      <w:r w:rsidRPr="00BB5480">
        <w:rPr>
          <w:i/>
          <w:sz w:val="24"/>
          <w:szCs w:val="24"/>
        </w:rPr>
        <w:t>45</w:t>
      </w:r>
      <w:r w:rsidRPr="00BB5480">
        <w:rPr>
          <w:sz w:val="24"/>
          <w:szCs w:val="24"/>
        </w:rPr>
        <w:t>(3), 237–256. https://doi.org/10.1901/jeab.1986.45-237</w:t>
      </w:r>
    </w:p>
    <w:p w14:paraId="5315EB87" w14:textId="77777777" w:rsidR="00DA69D9" w:rsidRPr="00BB5480" w:rsidRDefault="00DA69D9">
      <w:pPr>
        <w:spacing w:line="480" w:lineRule="auto"/>
        <w:ind w:left="720" w:hanging="720"/>
        <w:rPr>
          <w:sz w:val="24"/>
          <w:szCs w:val="24"/>
        </w:rPr>
      </w:pPr>
      <w:r w:rsidRPr="00BB5480">
        <w:rPr>
          <w:sz w:val="24"/>
          <w:szCs w:val="24"/>
        </w:rPr>
        <w:lastRenderedPageBreak/>
        <w:t xml:space="preserve">Hayes, S. C., &amp; Gifford, E. V. (1997). The trouble with language: Experiential avoidance, rules, and the nature of verbal events. </w:t>
      </w:r>
      <w:r w:rsidRPr="00BB5480">
        <w:rPr>
          <w:i/>
          <w:sz w:val="24"/>
          <w:szCs w:val="24"/>
        </w:rPr>
        <w:t>Psychological Science</w:t>
      </w:r>
      <w:r w:rsidRPr="00BB5480">
        <w:rPr>
          <w:sz w:val="24"/>
          <w:szCs w:val="24"/>
        </w:rPr>
        <w:t xml:space="preserve">, </w:t>
      </w:r>
      <w:r w:rsidRPr="00BB5480">
        <w:rPr>
          <w:i/>
          <w:sz w:val="24"/>
          <w:szCs w:val="24"/>
        </w:rPr>
        <w:t>8</w:t>
      </w:r>
      <w:r w:rsidRPr="00BB5480">
        <w:rPr>
          <w:sz w:val="24"/>
          <w:szCs w:val="24"/>
        </w:rPr>
        <w:t>(3), 170–173. https://doi.org/10.1111/j.1467-9280.1997.tb00405.x</w:t>
      </w:r>
    </w:p>
    <w:p w14:paraId="0AF97B14" w14:textId="68BDBD47" w:rsidR="00DA69D9" w:rsidRPr="00BB5480" w:rsidRDefault="00DA69D9">
      <w:pPr>
        <w:spacing w:line="480" w:lineRule="auto"/>
        <w:ind w:left="720" w:hanging="720"/>
        <w:rPr>
          <w:sz w:val="24"/>
          <w:szCs w:val="24"/>
        </w:rPr>
      </w:pPr>
      <w:r w:rsidRPr="00BB5480">
        <w:rPr>
          <w:sz w:val="24"/>
          <w:szCs w:val="24"/>
        </w:rPr>
        <w:t xml:space="preserve">Hayes, S. C., </w:t>
      </w:r>
      <w:proofErr w:type="spellStart"/>
      <w:r w:rsidRPr="00BB5480">
        <w:rPr>
          <w:sz w:val="24"/>
          <w:szCs w:val="24"/>
        </w:rPr>
        <w:t>Luoma</w:t>
      </w:r>
      <w:proofErr w:type="spellEnd"/>
      <w:r w:rsidRPr="00BB5480">
        <w:rPr>
          <w:sz w:val="24"/>
          <w:szCs w:val="24"/>
        </w:rPr>
        <w:t>, J.</w:t>
      </w:r>
      <w:r w:rsidR="00F8609C" w:rsidRPr="00BB5480">
        <w:rPr>
          <w:sz w:val="24"/>
          <w:szCs w:val="24"/>
        </w:rPr>
        <w:t xml:space="preserve"> B.</w:t>
      </w:r>
      <w:r w:rsidRPr="00BB5480">
        <w:rPr>
          <w:sz w:val="24"/>
          <w:szCs w:val="24"/>
        </w:rPr>
        <w:t xml:space="preserve">, Bond, F., Masuda, A., &amp; Lillis, J. (2006). Acceptance and commitment therapy: Model, processes, and outcomes. </w:t>
      </w:r>
      <w:r w:rsidRPr="00BB5480">
        <w:rPr>
          <w:i/>
          <w:sz w:val="24"/>
          <w:szCs w:val="24"/>
        </w:rPr>
        <w:t>Behaviour Research and Therapy</w:t>
      </w:r>
      <w:r w:rsidRPr="00BB5480">
        <w:rPr>
          <w:sz w:val="24"/>
          <w:szCs w:val="24"/>
        </w:rPr>
        <w:t xml:space="preserve">, </w:t>
      </w:r>
      <w:r w:rsidRPr="00BB5480">
        <w:rPr>
          <w:i/>
          <w:sz w:val="24"/>
          <w:szCs w:val="24"/>
        </w:rPr>
        <w:t>44</w:t>
      </w:r>
      <w:r w:rsidRPr="00BB5480">
        <w:rPr>
          <w:sz w:val="24"/>
          <w:szCs w:val="24"/>
        </w:rPr>
        <w:t>(1), 1–25.</w:t>
      </w:r>
    </w:p>
    <w:p w14:paraId="1FF36A5C" w14:textId="1C165D7A" w:rsidR="00DA69D9" w:rsidRPr="00BB5480" w:rsidRDefault="00DA69D9">
      <w:pPr>
        <w:spacing w:line="480" w:lineRule="auto"/>
        <w:ind w:left="720" w:hanging="720"/>
        <w:rPr>
          <w:sz w:val="24"/>
          <w:szCs w:val="24"/>
        </w:rPr>
      </w:pPr>
      <w:r w:rsidRPr="00BB5480">
        <w:rPr>
          <w:sz w:val="24"/>
          <w:szCs w:val="24"/>
        </w:rPr>
        <w:t xml:space="preserve">Hayes, S. C., </w:t>
      </w:r>
      <w:proofErr w:type="spellStart"/>
      <w:r w:rsidRPr="00BB5480">
        <w:rPr>
          <w:sz w:val="24"/>
          <w:szCs w:val="24"/>
        </w:rPr>
        <w:t>Strosahl</w:t>
      </w:r>
      <w:proofErr w:type="spellEnd"/>
      <w:r w:rsidR="00803C28" w:rsidRPr="00BB5480">
        <w:rPr>
          <w:sz w:val="24"/>
          <w:szCs w:val="24"/>
        </w:rPr>
        <w:t>, K.</w:t>
      </w:r>
      <w:r w:rsidRPr="00BB5480">
        <w:rPr>
          <w:sz w:val="24"/>
          <w:szCs w:val="24"/>
        </w:rPr>
        <w:t xml:space="preserve">, Wilson, K. G., </w:t>
      </w:r>
      <w:proofErr w:type="spellStart"/>
      <w:r w:rsidRPr="00BB5480">
        <w:rPr>
          <w:sz w:val="24"/>
          <w:szCs w:val="24"/>
        </w:rPr>
        <w:t>Bissett</w:t>
      </w:r>
      <w:proofErr w:type="spellEnd"/>
      <w:r w:rsidRPr="00BB5480">
        <w:rPr>
          <w:sz w:val="24"/>
          <w:szCs w:val="24"/>
        </w:rPr>
        <w:t xml:space="preserve">, R. T., </w:t>
      </w:r>
      <w:proofErr w:type="spellStart"/>
      <w:r w:rsidRPr="00BB5480">
        <w:rPr>
          <w:sz w:val="24"/>
          <w:szCs w:val="24"/>
        </w:rPr>
        <w:t>Pistorello</w:t>
      </w:r>
      <w:proofErr w:type="spellEnd"/>
      <w:r w:rsidRPr="00BB5480">
        <w:rPr>
          <w:sz w:val="24"/>
          <w:szCs w:val="24"/>
        </w:rPr>
        <w:t xml:space="preserve">, J., </w:t>
      </w:r>
      <w:proofErr w:type="spellStart"/>
      <w:r w:rsidRPr="00BB5480">
        <w:rPr>
          <w:sz w:val="24"/>
          <w:szCs w:val="24"/>
        </w:rPr>
        <w:t>Toarmino</w:t>
      </w:r>
      <w:proofErr w:type="spellEnd"/>
      <w:r w:rsidRPr="00BB5480">
        <w:rPr>
          <w:sz w:val="24"/>
          <w:szCs w:val="24"/>
        </w:rPr>
        <w:t xml:space="preserve">, D., … McCurry, S. M. (2004). Measuring experiential avoidance: A preliminary test of a working model. </w:t>
      </w:r>
      <w:r w:rsidRPr="00BB5480">
        <w:rPr>
          <w:i/>
          <w:sz w:val="24"/>
          <w:szCs w:val="24"/>
        </w:rPr>
        <w:t>The Psychological Record</w:t>
      </w:r>
      <w:r w:rsidRPr="00BB5480">
        <w:rPr>
          <w:sz w:val="24"/>
          <w:szCs w:val="24"/>
        </w:rPr>
        <w:t xml:space="preserve">, </w:t>
      </w:r>
      <w:r w:rsidRPr="00BB5480">
        <w:rPr>
          <w:i/>
          <w:sz w:val="24"/>
          <w:szCs w:val="24"/>
        </w:rPr>
        <w:t>54</w:t>
      </w:r>
      <w:r w:rsidRPr="00BB5480">
        <w:rPr>
          <w:sz w:val="24"/>
          <w:szCs w:val="24"/>
        </w:rPr>
        <w:t>, 553–578.</w:t>
      </w:r>
    </w:p>
    <w:p w14:paraId="584418D2" w14:textId="77777777" w:rsidR="00DA69D9" w:rsidRPr="00BB5480" w:rsidRDefault="00DA69D9">
      <w:pPr>
        <w:spacing w:line="480" w:lineRule="auto"/>
        <w:ind w:left="720" w:hanging="720"/>
        <w:rPr>
          <w:sz w:val="24"/>
          <w:szCs w:val="24"/>
        </w:rPr>
      </w:pPr>
      <w:r w:rsidRPr="00BB5480">
        <w:rPr>
          <w:sz w:val="24"/>
          <w:szCs w:val="24"/>
        </w:rPr>
        <w:t xml:space="preserve">Hayes, S. C., Villatte, M., Levin, M., &amp; Hildebrandt, M. (2011). Open, aware, and active: Contextual approaches as an emerging trend in the </w:t>
      </w:r>
      <w:proofErr w:type="spellStart"/>
      <w:r w:rsidRPr="00BB5480">
        <w:rPr>
          <w:sz w:val="24"/>
          <w:szCs w:val="24"/>
        </w:rPr>
        <w:t>behavioral</w:t>
      </w:r>
      <w:proofErr w:type="spellEnd"/>
      <w:r w:rsidRPr="00BB5480">
        <w:rPr>
          <w:sz w:val="24"/>
          <w:szCs w:val="24"/>
        </w:rPr>
        <w:t xml:space="preserve"> and cognitive therapies. </w:t>
      </w:r>
      <w:r w:rsidRPr="00BB5480">
        <w:rPr>
          <w:i/>
          <w:sz w:val="24"/>
          <w:szCs w:val="24"/>
        </w:rPr>
        <w:t>Annual Review of Clinical Psychology</w:t>
      </w:r>
      <w:r w:rsidRPr="00BB5480">
        <w:rPr>
          <w:sz w:val="24"/>
          <w:szCs w:val="24"/>
        </w:rPr>
        <w:t xml:space="preserve">, </w:t>
      </w:r>
      <w:r w:rsidRPr="00BB5480">
        <w:rPr>
          <w:i/>
          <w:sz w:val="24"/>
          <w:szCs w:val="24"/>
        </w:rPr>
        <w:t>7</w:t>
      </w:r>
      <w:r w:rsidRPr="00BB5480">
        <w:rPr>
          <w:sz w:val="24"/>
          <w:szCs w:val="24"/>
        </w:rPr>
        <w:t>(1), 141–168. https://doi.org/10.1146/annurev-clinpsy-032210-104449</w:t>
      </w:r>
    </w:p>
    <w:p w14:paraId="4779227B" w14:textId="77777777" w:rsidR="00DA69D9" w:rsidRPr="00BB5480" w:rsidRDefault="00DA69D9">
      <w:pPr>
        <w:spacing w:line="480" w:lineRule="auto"/>
        <w:ind w:left="720" w:hanging="720"/>
        <w:rPr>
          <w:sz w:val="24"/>
          <w:szCs w:val="24"/>
        </w:rPr>
      </w:pPr>
      <w:proofErr w:type="spellStart"/>
      <w:r w:rsidRPr="00BB5480">
        <w:rPr>
          <w:sz w:val="24"/>
          <w:szCs w:val="24"/>
        </w:rPr>
        <w:t>Holmbeck</w:t>
      </w:r>
      <w:proofErr w:type="spellEnd"/>
      <w:r w:rsidRPr="00BB5480">
        <w:rPr>
          <w:sz w:val="24"/>
          <w:szCs w:val="24"/>
        </w:rPr>
        <w:t xml:space="preserve">, G. N., &amp; Devine, K. A. (2009). Editorial: An author’s checklist for measure development and validation manuscripts. </w:t>
      </w:r>
      <w:r w:rsidRPr="00BB5480">
        <w:rPr>
          <w:i/>
          <w:sz w:val="24"/>
          <w:szCs w:val="24"/>
        </w:rPr>
        <w:t xml:space="preserve">Journal of </w:t>
      </w:r>
      <w:proofErr w:type="spellStart"/>
      <w:r w:rsidRPr="00BB5480">
        <w:rPr>
          <w:i/>
          <w:sz w:val="24"/>
          <w:szCs w:val="24"/>
        </w:rPr>
        <w:t>Pediatric</w:t>
      </w:r>
      <w:proofErr w:type="spellEnd"/>
      <w:r w:rsidRPr="00BB5480">
        <w:rPr>
          <w:i/>
          <w:sz w:val="24"/>
          <w:szCs w:val="24"/>
        </w:rPr>
        <w:t xml:space="preserve"> Psychology</w:t>
      </w:r>
      <w:r w:rsidRPr="00BB5480">
        <w:rPr>
          <w:sz w:val="24"/>
          <w:szCs w:val="24"/>
        </w:rPr>
        <w:t xml:space="preserve">, </w:t>
      </w:r>
      <w:r w:rsidRPr="00BB5480">
        <w:rPr>
          <w:i/>
          <w:sz w:val="24"/>
          <w:szCs w:val="24"/>
        </w:rPr>
        <w:t>34</w:t>
      </w:r>
      <w:r w:rsidRPr="00BB5480">
        <w:rPr>
          <w:sz w:val="24"/>
          <w:szCs w:val="24"/>
        </w:rPr>
        <w:t>(7), 691–696. https://doi.org/10.1093/jpepsy/jsp046</w:t>
      </w:r>
    </w:p>
    <w:p w14:paraId="0D2C9BA2" w14:textId="77777777" w:rsidR="00DA69D9" w:rsidRPr="00BB5480" w:rsidRDefault="00DA69D9">
      <w:pPr>
        <w:spacing w:line="480" w:lineRule="auto"/>
        <w:ind w:left="720" w:hanging="720"/>
        <w:rPr>
          <w:sz w:val="24"/>
          <w:szCs w:val="24"/>
        </w:rPr>
      </w:pPr>
      <w:r w:rsidRPr="00BB5480">
        <w:rPr>
          <w:sz w:val="24"/>
          <w:szCs w:val="24"/>
        </w:rPr>
        <w:t xml:space="preserve">Hu, L., &amp; </w:t>
      </w:r>
      <w:proofErr w:type="spellStart"/>
      <w:r w:rsidRPr="00BB5480">
        <w:rPr>
          <w:sz w:val="24"/>
          <w:szCs w:val="24"/>
        </w:rPr>
        <w:t>Bentler</w:t>
      </w:r>
      <w:proofErr w:type="spellEnd"/>
      <w:r w:rsidRPr="00BB5480">
        <w:rPr>
          <w:sz w:val="24"/>
          <w:szCs w:val="24"/>
        </w:rPr>
        <w:t xml:space="preserve">, P. M. (1998). Fit indices in covariance structure </w:t>
      </w:r>
      <w:proofErr w:type="spellStart"/>
      <w:r w:rsidRPr="00BB5480">
        <w:rPr>
          <w:sz w:val="24"/>
          <w:szCs w:val="24"/>
        </w:rPr>
        <w:t>modeling</w:t>
      </w:r>
      <w:proofErr w:type="spellEnd"/>
      <w:r w:rsidRPr="00BB5480">
        <w:rPr>
          <w:sz w:val="24"/>
          <w:szCs w:val="24"/>
        </w:rPr>
        <w:t xml:space="preserve">: Sensitivity to </w:t>
      </w:r>
      <w:proofErr w:type="spellStart"/>
      <w:r w:rsidRPr="00BB5480">
        <w:rPr>
          <w:sz w:val="24"/>
          <w:szCs w:val="24"/>
        </w:rPr>
        <w:t>underparameterized</w:t>
      </w:r>
      <w:proofErr w:type="spellEnd"/>
      <w:r w:rsidRPr="00BB5480">
        <w:rPr>
          <w:sz w:val="24"/>
          <w:szCs w:val="24"/>
        </w:rPr>
        <w:t xml:space="preserve"> model misspecification. </w:t>
      </w:r>
      <w:r w:rsidRPr="00BB5480">
        <w:rPr>
          <w:i/>
          <w:sz w:val="24"/>
          <w:szCs w:val="24"/>
        </w:rPr>
        <w:t>Psychological Methods</w:t>
      </w:r>
      <w:r w:rsidRPr="00BB5480">
        <w:rPr>
          <w:sz w:val="24"/>
          <w:szCs w:val="24"/>
        </w:rPr>
        <w:t xml:space="preserve">, </w:t>
      </w:r>
      <w:r w:rsidRPr="00BB5480">
        <w:rPr>
          <w:i/>
          <w:sz w:val="24"/>
          <w:szCs w:val="24"/>
        </w:rPr>
        <w:t>3</w:t>
      </w:r>
      <w:r w:rsidRPr="00BB5480">
        <w:rPr>
          <w:sz w:val="24"/>
          <w:szCs w:val="24"/>
        </w:rPr>
        <w:t>(4), 424–453. https://doi.org/10.1037/1082-989X.3.4.424</w:t>
      </w:r>
    </w:p>
    <w:p w14:paraId="035B4C41" w14:textId="77777777" w:rsidR="00DA69D9" w:rsidRPr="00BB5480" w:rsidRDefault="00DA69D9">
      <w:pPr>
        <w:spacing w:line="480" w:lineRule="auto"/>
        <w:ind w:left="720" w:hanging="720"/>
        <w:rPr>
          <w:sz w:val="24"/>
          <w:szCs w:val="24"/>
        </w:rPr>
      </w:pPr>
      <w:proofErr w:type="spellStart"/>
      <w:r w:rsidRPr="00BB5480">
        <w:rPr>
          <w:sz w:val="24"/>
          <w:szCs w:val="24"/>
        </w:rPr>
        <w:t>Kabat</w:t>
      </w:r>
      <w:proofErr w:type="spellEnd"/>
      <w:r w:rsidRPr="00BB5480">
        <w:rPr>
          <w:sz w:val="24"/>
          <w:szCs w:val="24"/>
        </w:rPr>
        <w:t xml:space="preserve">-Zinn, J. (1990). </w:t>
      </w:r>
      <w:r w:rsidRPr="00BB5480">
        <w:rPr>
          <w:i/>
          <w:sz w:val="24"/>
          <w:szCs w:val="24"/>
        </w:rPr>
        <w:t>Full catastrophe living: Using the wisdom of your body and mind to face stress, pain, and illness</w:t>
      </w:r>
      <w:r w:rsidRPr="00BB5480">
        <w:rPr>
          <w:sz w:val="24"/>
          <w:szCs w:val="24"/>
        </w:rPr>
        <w:t xml:space="preserve">. New York: </w:t>
      </w:r>
      <w:proofErr w:type="spellStart"/>
      <w:r w:rsidRPr="00BB5480">
        <w:rPr>
          <w:sz w:val="24"/>
          <w:szCs w:val="24"/>
        </w:rPr>
        <w:t>Delacorte</w:t>
      </w:r>
      <w:proofErr w:type="spellEnd"/>
      <w:r w:rsidRPr="00BB5480">
        <w:rPr>
          <w:sz w:val="24"/>
          <w:szCs w:val="24"/>
        </w:rPr>
        <w:t xml:space="preserve"> Press.</w:t>
      </w:r>
    </w:p>
    <w:p w14:paraId="60890824" w14:textId="77777777" w:rsidR="00DA69D9" w:rsidRPr="00BB5480" w:rsidRDefault="00DA69D9">
      <w:pPr>
        <w:spacing w:line="480" w:lineRule="auto"/>
        <w:ind w:left="720" w:hanging="720"/>
        <w:rPr>
          <w:sz w:val="24"/>
          <w:szCs w:val="24"/>
        </w:rPr>
      </w:pPr>
      <w:r w:rsidRPr="00BB5480">
        <w:rPr>
          <w:sz w:val="24"/>
          <w:szCs w:val="24"/>
        </w:rPr>
        <w:t xml:space="preserve">Kline, P. (2000). </w:t>
      </w:r>
      <w:r w:rsidRPr="00BB5480">
        <w:rPr>
          <w:i/>
          <w:sz w:val="24"/>
          <w:szCs w:val="24"/>
        </w:rPr>
        <w:t>The handbook of psychological testing</w:t>
      </w:r>
      <w:r w:rsidRPr="00BB5480">
        <w:rPr>
          <w:sz w:val="24"/>
          <w:szCs w:val="24"/>
        </w:rPr>
        <w:t>. Abingdon, UK: Routledge.</w:t>
      </w:r>
    </w:p>
    <w:p w14:paraId="040A4591" w14:textId="77777777" w:rsidR="00DA69D9" w:rsidRPr="00BB5480" w:rsidRDefault="00DA69D9">
      <w:pPr>
        <w:spacing w:line="480" w:lineRule="auto"/>
        <w:ind w:left="720" w:hanging="720"/>
        <w:rPr>
          <w:sz w:val="24"/>
          <w:szCs w:val="24"/>
        </w:rPr>
      </w:pPr>
      <w:r w:rsidRPr="00BB5480">
        <w:rPr>
          <w:sz w:val="24"/>
          <w:szCs w:val="24"/>
        </w:rPr>
        <w:t xml:space="preserve">Kline, R. B. (2011). </w:t>
      </w:r>
      <w:r w:rsidRPr="00BB5480">
        <w:rPr>
          <w:i/>
          <w:sz w:val="24"/>
          <w:szCs w:val="24"/>
        </w:rPr>
        <w:t xml:space="preserve">Principles and practice of structural equation </w:t>
      </w:r>
      <w:proofErr w:type="spellStart"/>
      <w:r w:rsidRPr="00BB5480">
        <w:rPr>
          <w:i/>
          <w:sz w:val="24"/>
          <w:szCs w:val="24"/>
        </w:rPr>
        <w:t>modeling</w:t>
      </w:r>
      <w:proofErr w:type="spellEnd"/>
      <w:r w:rsidRPr="00BB5480">
        <w:rPr>
          <w:sz w:val="24"/>
          <w:szCs w:val="24"/>
        </w:rPr>
        <w:t>. New York: The Guilford Press.</w:t>
      </w:r>
    </w:p>
    <w:p w14:paraId="191B8227" w14:textId="77777777" w:rsidR="00DA69D9" w:rsidRPr="00BB5480" w:rsidRDefault="00DA69D9">
      <w:pPr>
        <w:spacing w:line="480" w:lineRule="auto"/>
        <w:ind w:left="720" w:hanging="720"/>
        <w:rPr>
          <w:sz w:val="24"/>
          <w:szCs w:val="24"/>
        </w:rPr>
      </w:pPr>
      <w:r w:rsidRPr="00BB5480">
        <w:rPr>
          <w:sz w:val="24"/>
          <w:szCs w:val="24"/>
        </w:rPr>
        <w:t xml:space="preserve">Levin, M. E., </w:t>
      </w:r>
      <w:proofErr w:type="spellStart"/>
      <w:r w:rsidRPr="00BB5480">
        <w:rPr>
          <w:sz w:val="24"/>
          <w:szCs w:val="24"/>
        </w:rPr>
        <w:t>Luoma</w:t>
      </w:r>
      <w:proofErr w:type="spellEnd"/>
      <w:r w:rsidRPr="00BB5480">
        <w:rPr>
          <w:sz w:val="24"/>
          <w:szCs w:val="24"/>
        </w:rPr>
        <w:t xml:space="preserve">, J. B., Lillis, J., Hayes, S. C., &amp; </w:t>
      </w:r>
      <w:proofErr w:type="spellStart"/>
      <w:r w:rsidRPr="00BB5480">
        <w:rPr>
          <w:sz w:val="24"/>
          <w:szCs w:val="24"/>
        </w:rPr>
        <w:t>Vilardaga</w:t>
      </w:r>
      <w:proofErr w:type="spellEnd"/>
      <w:r w:rsidRPr="00BB5480">
        <w:rPr>
          <w:sz w:val="24"/>
          <w:szCs w:val="24"/>
        </w:rPr>
        <w:t xml:space="preserve">, R. (2014). The </w:t>
      </w:r>
      <w:r w:rsidRPr="00BB5480">
        <w:rPr>
          <w:sz w:val="24"/>
          <w:szCs w:val="24"/>
        </w:rPr>
        <w:lastRenderedPageBreak/>
        <w:t>Acceptance and Action Questionnaire – Stigma (</w:t>
      </w:r>
      <w:proofErr w:type="spellStart"/>
      <w:r w:rsidRPr="00BB5480">
        <w:rPr>
          <w:sz w:val="24"/>
          <w:szCs w:val="24"/>
        </w:rPr>
        <w:t>AAQ</w:t>
      </w:r>
      <w:proofErr w:type="spellEnd"/>
      <w:r w:rsidRPr="00BB5480">
        <w:rPr>
          <w:sz w:val="24"/>
          <w:szCs w:val="24"/>
        </w:rPr>
        <w:t xml:space="preserve">-S): Developing a measure of psychological flexibility with stigmatizing thoughts. </w:t>
      </w:r>
      <w:r w:rsidRPr="00BB5480">
        <w:rPr>
          <w:i/>
          <w:sz w:val="24"/>
          <w:szCs w:val="24"/>
        </w:rPr>
        <w:t>Journal of Contextual Behavioral Science</w:t>
      </w:r>
      <w:r w:rsidRPr="00BB5480">
        <w:rPr>
          <w:sz w:val="24"/>
          <w:szCs w:val="24"/>
        </w:rPr>
        <w:t xml:space="preserve">, </w:t>
      </w:r>
      <w:r w:rsidRPr="00BB5480">
        <w:rPr>
          <w:i/>
          <w:sz w:val="24"/>
          <w:szCs w:val="24"/>
        </w:rPr>
        <w:t>3</w:t>
      </w:r>
      <w:r w:rsidRPr="00BB5480">
        <w:rPr>
          <w:sz w:val="24"/>
          <w:szCs w:val="24"/>
        </w:rPr>
        <w:t>(1), 21–26. https://doi.org/10.1016/j.jcbs.2013.11.003</w:t>
      </w:r>
    </w:p>
    <w:p w14:paraId="4F5CC7AB" w14:textId="77777777" w:rsidR="00DA69D9" w:rsidRPr="00BB5480" w:rsidRDefault="00DA69D9">
      <w:pPr>
        <w:spacing w:line="480" w:lineRule="auto"/>
        <w:ind w:left="720" w:hanging="720"/>
        <w:rPr>
          <w:sz w:val="24"/>
          <w:szCs w:val="24"/>
        </w:rPr>
      </w:pPr>
      <w:proofErr w:type="spellStart"/>
      <w:r w:rsidRPr="00BB5480">
        <w:rPr>
          <w:sz w:val="24"/>
          <w:szCs w:val="24"/>
        </w:rPr>
        <w:t>Linehan</w:t>
      </w:r>
      <w:proofErr w:type="spellEnd"/>
      <w:r w:rsidRPr="00BB5480">
        <w:rPr>
          <w:sz w:val="24"/>
          <w:szCs w:val="24"/>
        </w:rPr>
        <w:t xml:space="preserve">, M. M. (1993). </w:t>
      </w:r>
      <w:r w:rsidRPr="00BB5480">
        <w:rPr>
          <w:i/>
          <w:sz w:val="24"/>
          <w:szCs w:val="24"/>
        </w:rPr>
        <w:t>Cognitive-</w:t>
      </w:r>
      <w:proofErr w:type="spellStart"/>
      <w:r w:rsidRPr="00BB5480">
        <w:rPr>
          <w:i/>
          <w:sz w:val="24"/>
          <w:szCs w:val="24"/>
        </w:rPr>
        <w:t>behavioral</w:t>
      </w:r>
      <w:proofErr w:type="spellEnd"/>
      <w:r w:rsidRPr="00BB5480">
        <w:rPr>
          <w:i/>
          <w:sz w:val="24"/>
          <w:szCs w:val="24"/>
        </w:rPr>
        <w:t xml:space="preserve"> treatment of Borderline Personality Disorder</w:t>
      </w:r>
      <w:r w:rsidRPr="00BB5480">
        <w:rPr>
          <w:sz w:val="24"/>
          <w:szCs w:val="24"/>
        </w:rPr>
        <w:t>. New York: Guilford Press.</w:t>
      </w:r>
    </w:p>
    <w:p w14:paraId="3564B91F" w14:textId="77777777" w:rsidR="00DA69D9" w:rsidRPr="00BB5480" w:rsidRDefault="00DA69D9">
      <w:pPr>
        <w:spacing w:line="480" w:lineRule="auto"/>
        <w:ind w:left="720" w:hanging="720"/>
        <w:rPr>
          <w:sz w:val="24"/>
          <w:szCs w:val="24"/>
        </w:rPr>
      </w:pPr>
      <w:r w:rsidRPr="00BB5480">
        <w:rPr>
          <w:sz w:val="24"/>
          <w:szCs w:val="24"/>
        </w:rPr>
        <w:t xml:space="preserve">McCracken, L. M., </w:t>
      </w:r>
      <w:proofErr w:type="spellStart"/>
      <w:r w:rsidRPr="00BB5480">
        <w:rPr>
          <w:sz w:val="24"/>
          <w:szCs w:val="24"/>
        </w:rPr>
        <w:t>Vowles</w:t>
      </w:r>
      <w:proofErr w:type="spellEnd"/>
      <w:r w:rsidRPr="00BB5480">
        <w:rPr>
          <w:sz w:val="24"/>
          <w:szCs w:val="24"/>
        </w:rPr>
        <w:t xml:space="preserve">, K. E., &amp; </w:t>
      </w:r>
      <w:proofErr w:type="spellStart"/>
      <w:r w:rsidRPr="00BB5480">
        <w:rPr>
          <w:sz w:val="24"/>
          <w:szCs w:val="24"/>
        </w:rPr>
        <w:t>Eccleston</w:t>
      </w:r>
      <w:proofErr w:type="spellEnd"/>
      <w:r w:rsidRPr="00BB5480">
        <w:rPr>
          <w:sz w:val="24"/>
          <w:szCs w:val="24"/>
        </w:rPr>
        <w:t xml:space="preserve">, C. (2004). Acceptance of chronic pain: Component analysis and a revised assessment method. </w:t>
      </w:r>
      <w:r w:rsidRPr="00BB5480">
        <w:rPr>
          <w:i/>
          <w:sz w:val="24"/>
          <w:szCs w:val="24"/>
        </w:rPr>
        <w:t>Pain</w:t>
      </w:r>
      <w:r w:rsidRPr="00BB5480">
        <w:rPr>
          <w:sz w:val="24"/>
          <w:szCs w:val="24"/>
        </w:rPr>
        <w:t xml:space="preserve">, </w:t>
      </w:r>
      <w:r w:rsidRPr="00BB5480">
        <w:rPr>
          <w:i/>
          <w:sz w:val="24"/>
          <w:szCs w:val="24"/>
        </w:rPr>
        <w:t>107</w:t>
      </w:r>
      <w:r w:rsidRPr="00BB5480">
        <w:rPr>
          <w:sz w:val="24"/>
          <w:szCs w:val="24"/>
        </w:rPr>
        <w:t>(1–2), 159–166.</w:t>
      </w:r>
    </w:p>
    <w:p w14:paraId="741EB778" w14:textId="77777777" w:rsidR="000F48C1" w:rsidRPr="00BB5480" w:rsidRDefault="000F48C1">
      <w:pPr>
        <w:spacing w:line="480" w:lineRule="auto"/>
        <w:ind w:left="720" w:hanging="720"/>
        <w:rPr>
          <w:sz w:val="24"/>
          <w:szCs w:val="24"/>
        </w:rPr>
      </w:pPr>
      <w:proofErr w:type="spellStart"/>
      <w:r w:rsidRPr="00BB5480">
        <w:rPr>
          <w:sz w:val="24"/>
          <w:szCs w:val="24"/>
        </w:rPr>
        <w:t>Monestès</w:t>
      </w:r>
      <w:proofErr w:type="spellEnd"/>
      <w:r w:rsidRPr="00BB5480">
        <w:rPr>
          <w:sz w:val="24"/>
          <w:szCs w:val="24"/>
        </w:rPr>
        <w:t xml:space="preserve">, J.-L., </w:t>
      </w:r>
      <w:proofErr w:type="spellStart"/>
      <w:r w:rsidRPr="00BB5480">
        <w:rPr>
          <w:sz w:val="24"/>
          <w:szCs w:val="24"/>
        </w:rPr>
        <w:t>Karekla</w:t>
      </w:r>
      <w:proofErr w:type="spellEnd"/>
      <w:r w:rsidRPr="00BB5480">
        <w:rPr>
          <w:sz w:val="24"/>
          <w:szCs w:val="24"/>
        </w:rPr>
        <w:t xml:space="preserve">, M., Jacobs, N., </w:t>
      </w:r>
      <w:proofErr w:type="spellStart"/>
      <w:r w:rsidRPr="00BB5480">
        <w:rPr>
          <w:sz w:val="24"/>
          <w:szCs w:val="24"/>
        </w:rPr>
        <w:t>Michaelides</w:t>
      </w:r>
      <w:proofErr w:type="spellEnd"/>
      <w:r w:rsidRPr="00BB5480">
        <w:rPr>
          <w:sz w:val="24"/>
          <w:szCs w:val="24"/>
        </w:rPr>
        <w:t xml:space="preserve">, M. P., Hooper, N., </w:t>
      </w:r>
      <w:proofErr w:type="spellStart"/>
      <w:r w:rsidRPr="00BB5480">
        <w:rPr>
          <w:sz w:val="24"/>
          <w:szCs w:val="24"/>
        </w:rPr>
        <w:t>Kleen</w:t>
      </w:r>
      <w:proofErr w:type="spellEnd"/>
      <w:r w:rsidRPr="00BB5480">
        <w:rPr>
          <w:sz w:val="24"/>
          <w:szCs w:val="24"/>
        </w:rPr>
        <w:t>, M., … Hayes, S. C. (2016). Experiential avoidance as a common psychological process in European cultures. European Journal of Psychological Assessment, 1–11. https://doi.org/10.1027/1015-5759/a000327</w:t>
      </w:r>
    </w:p>
    <w:p w14:paraId="5971754C" w14:textId="77777777" w:rsidR="00DA69D9" w:rsidRPr="00BB5480" w:rsidRDefault="00DA69D9">
      <w:pPr>
        <w:spacing w:line="480" w:lineRule="auto"/>
        <w:ind w:left="720" w:hanging="720"/>
        <w:rPr>
          <w:sz w:val="24"/>
          <w:szCs w:val="24"/>
        </w:rPr>
      </w:pPr>
      <w:proofErr w:type="spellStart"/>
      <w:r w:rsidRPr="00BB5480">
        <w:rPr>
          <w:sz w:val="24"/>
          <w:szCs w:val="24"/>
        </w:rPr>
        <w:t>Rovner</w:t>
      </w:r>
      <w:proofErr w:type="spellEnd"/>
      <w:r w:rsidRPr="00BB5480">
        <w:rPr>
          <w:sz w:val="24"/>
          <w:szCs w:val="24"/>
        </w:rPr>
        <w:t xml:space="preserve">, G. S., </w:t>
      </w:r>
      <w:proofErr w:type="spellStart"/>
      <w:r w:rsidRPr="00BB5480">
        <w:rPr>
          <w:sz w:val="24"/>
          <w:szCs w:val="24"/>
        </w:rPr>
        <w:t>Årestedt</w:t>
      </w:r>
      <w:proofErr w:type="spellEnd"/>
      <w:r w:rsidRPr="00BB5480">
        <w:rPr>
          <w:sz w:val="24"/>
          <w:szCs w:val="24"/>
        </w:rPr>
        <w:t xml:space="preserve">, K., </w:t>
      </w:r>
      <w:proofErr w:type="spellStart"/>
      <w:r w:rsidRPr="00BB5480">
        <w:rPr>
          <w:sz w:val="24"/>
          <w:szCs w:val="24"/>
        </w:rPr>
        <w:t>Gerdle</w:t>
      </w:r>
      <w:proofErr w:type="spellEnd"/>
      <w:r w:rsidRPr="00BB5480">
        <w:rPr>
          <w:sz w:val="24"/>
          <w:szCs w:val="24"/>
        </w:rPr>
        <w:t xml:space="preserve">, B., </w:t>
      </w:r>
      <w:proofErr w:type="spellStart"/>
      <w:r w:rsidRPr="00BB5480">
        <w:rPr>
          <w:sz w:val="24"/>
          <w:szCs w:val="24"/>
        </w:rPr>
        <w:t>Börsbo</w:t>
      </w:r>
      <w:proofErr w:type="spellEnd"/>
      <w:r w:rsidRPr="00BB5480">
        <w:rPr>
          <w:sz w:val="24"/>
          <w:szCs w:val="24"/>
        </w:rPr>
        <w:t>, B., &amp; McCracken, L. M. (2014). Psychometric properties of the 8-item Chronic Pain Acceptance Questionnaire (</w:t>
      </w:r>
      <w:proofErr w:type="spellStart"/>
      <w:r w:rsidRPr="00BB5480">
        <w:rPr>
          <w:sz w:val="24"/>
          <w:szCs w:val="24"/>
        </w:rPr>
        <w:t>CPAQ</w:t>
      </w:r>
      <w:proofErr w:type="spellEnd"/>
      <w:r w:rsidRPr="00BB5480">
        <w:rPr>
          <w:sz w:val="24"/>
          <w:szCs w:val="24"/>
        </w:rPr>
        <w:t xml:space="preserve">-8) in a Swedish chronic pain cohort. </w:t>
      </w:r>
      <w:r w:rsidRPr="00BB5480">
        <w:rPr>
          <w:i/>
          <w:sz w:val="24"/>
          <w:szCs w:val="24"/>
        </w:rPr>
        <w:t>Journal of Rehabilitation Medicine</w:t>
      </w:r>
      <w:r w:rsidRPr="00BB5480">
        <w:rPr>
          <w:sz w:val="24"/>
          <w:szCs w:val="24"/>
        </w:rPr>
        <w:t xml:space="preserve">, </w:t>
      </w:r>
      <w:r w:rsidRPr="00BB5480">
        <w:rPr>
          <w:i/>
          <w:sz w:val="24"/>
          <w:szCs w:val="24"/>
        </w:rPr>
        <w:t>46</w:t>
      </w:r>
      <w:r w:rsidRPr="00BB5480">
        <w:rPr>
          <w:sz w:val="24"/>
          <w:szCs w:val="24"/>
        </w:rPr>
        <w:t xml:space="preserve">(1), 73–80. </w:t>
      </w:r>
      <w:hyperlink r:id="rId15" w:history="1">
        <w:r w:rsidRPr="00BB5480">
          <w:rPr>
            <w:rStyle w:val="Hyperlink"/>
            <w:sz w:val="24"/>
            <w:szCs w:val="24"/>
          </w:rPr>
          <w:t>https://doi.org/10.2340/16501977-1227</w:t>
        </w:r>
      </w:hyperlink>
    </w:p>
    <w:p w14:paraId="70ADC471" w14:textId="77777777" w:rsidR="00DA69D9" w:rsidRPr="00BB5480" w:rsidRDefault="00DA69D9">
      <w:pPr>
        <w:spacing w:line="480" w:lineRule="auto"/>
        <w:ind w:left="720" w:hanging="720"/>
        <w:rPr>
          <w:sz w:val="24"/>
          <w:szCs w:val="24"/>
        </w:rPr>
      </w:pPr>
      <w:r w:rsidRPr="00BB5480">
        <w:rPr>
          <w:sz w:val="24"/>
          <w:szCs w:val="24"/>
        </w:rPr>
        <w:t xml:space="preserve">Rushton, J. P., </w:t>
      </w:r>
      <w:proofErr w:type="spellStart"/>
      <w:r w:rsidRPr="00BB5480">
        <w:rPr>
          <w:sz w:val="24"/>
          <w:szCs w:val="24"/>
        </w:rPr>
        <w:t>Chrisjohn</w:t>
      </w:r>
      <w:proofErr w:type="spellEnd"/>
      <w:r w:rsidRPr="00BB5480">
        <w:rPr>
          <w:sz w:val="24"/>
          <w:szCs w:val="24"/>
        </w:rPr>
        <w:t xml:space="preserve">, R. D., &amp; </w:t>
      </w:r>
      <w:proofErr w:type="spellStart"/>
      <w:r w:rsidRPr="00BB5480">
        <w:rPr>
          <w:sz w:val="24"/>
          <w:szCs w:val="24"/>
        </w:rPr>
        <w:t>Fekken</w:t>
      </w:r>
      <w:proofErr w:type="spellEnd"/>
      <w:r w:rsidRPr="00BB5480">
        <w:rPr>
          <w:sz w:val="24"/>
          <w:szCs w:val="24"/>
        </w:rPr>
        <w:t xml:space="preserve">, G. C. (1981). The altruistic personality and the self-report altruism scale. </w:t>
      </w:r>
      <w:r w:rsidRPr="00BB5480">
        <w:rPr>
          <w:i/>
          <w:sz w:val="24"/>
          <w:szCs w:val="24"/>
        </w:rPr>
        <w:t>Personality and Individual Differences</w:t>
      </w:r>
      <w:r w:rsidRPr="00BB5480">
        <w:rPr>
          <w:sz w:val="24"/>
          <w:szCs w:val="24"/>
        </w:rPr>
        <w:t xml:space="preserve">, </w:t>
      </w:r>
      <w:r w:rsidRPr="00BB5480">
        <w:rPr>
          <w:i/>
          <w:sz w:val="24"/>
          <w:szCs w:val="24"/>
        </w:rPr>
        <w:t>2</w:t>
      </w:r>
      <w:r w:rsidRPr="00BB5480">
        <w:rPr>
          <w:sz w:val="24"/>
          <w:szCs w:val="24"/>
        </w:rPr>
        <w:t>(4), 293–302. https://doi.org/10.1016/0191-8869(81)90084-2</w:t>
      </w:r>
    </w:p>
    <w:p w14:paraId="5556091A" w14:textId="77777777" w:rsidR="00DA69D9" w:rsidRPr="00BB5480" w:rsidRDefault="00DA69D9">
      <w:pPr>
        <w:spacing w:line="480" w:lineRule="auto"/>
        <w:ind w:left="720" w:hanging="720"/>
        <w:rPr>
          <w:sz w:val="24"/>
          <w:szCs w:val="24"/>
        </w:rPr>
      </w:pPr>
      <w:r w:rsidRPr="00BB5480">
        <w:rPr>
          <w:sz w:val="24"/>
          <w:szCs w:val="24"/>
        </w:rPr>
        <w:t xml:space="preserve">Sandoz, E. K., Wilson, K. G., </w:t>
      </w:r>
      <w:proofErr w:type="spellStart"/>
      <w:r w:rsidRPr="00BB5480">
        <w:rPr>
          <w:sz w:val="24"/>
          <w:szCs w:val="24"/>
        </w:rPr>
        <w:t>Merwin</w:t>
      </w:r>
      <w:proofErr w:type="spellEnd"/>
      <w:r w:rsidRPr="00BB5480">
        <w:rPr>
          <w:sz w:val="24"/>
          <w:szCs w:val="24"/>
        </w:rPr>
        <w:t xml:space="preserve">, R. M., &amp; Kellum, K. K. (2013). Assessment of body image flexibility: The body image-acceptance and action questionnaire. </w:t>
      </w:r>
      <w:r w:rsidRPr="00BB5480">
        <w:rPr>
          <w:i/>
          <w:sz w:val="24"/>
          <w:szCs w:val="24"/>
        </w:rPr>
        <w:t>Journal of Contextual Behavioral Science</w:t>
      </w:r>
      <w:r w:rsidRPr="00BB5480">
        <w:rPr>
          <w:sz w:val="24"/>
          <w:szCs w:val="24"/>
        </w:rPr>
        <w:t xml:space="preserve">, </w:t>
      </w:r>
      <w:r w:rsidRPr="00BB5480">
        <w:rPr>
          <w:i/>
          <w:sz w:val="24"/>
          <w:szCs w:val="24"/>
        </w:rPr>
        <w:t>2</w:t>
      </w:r>
      <w:r w:rsidRPr="00BB5480">
        <w:rPr>
          <w:sz w:val="24"/>
          <w:szCs w:val="24"/>
        </w:rPr>
        <w:t>(1–2), 39–48. https://doi.org/10.1016/j.jcbs.2013.03.002</w:t>
      </w:r>
    </w:p>
    <w:p w14:paraId="60A81391" w14:textId="77777777" w:rsidR="00DA69D9" w:rsidRPr="00BB5480" w:rsidRDefault="00DA69D9">
      <w:pPr>
        <w:spacing w:line="480" w:lineRule="auto"/>
        <w:ind w:left="720" w:hanging="720"/>
        <w:rPr>
          <w:sz w:val="24"/>
          <w:szCs w:val="24"/>
        </w:rPr>
      </w:pPr>
      <w:proofErr w:type="spellStart"/>
      <w:r w:rsidRPr="00BB5480">
        <w:rPr>
          <w:sz w:val="24"/>
          <w:szCs w:val="24"/>
        </w:rPr>
        <w:t>Smout</w:t>
      </w:r>
      <w:proofErr w:type="spellEnd"/>
      <w:r w:rsidRPr="00BB5480">
        <w:rPr>
          <w:sz w:val="24"/>
          <w:szCs w:val="24"/>
        </w:rPr>
        <w:t xml:space="preserve">, M. F., Hayes, L., Atkins, P. W. B., </w:t>
      </w:r>
      <w:proofErr w:type="spellStart"/>
      <w:r w:rsidRPr="00BB5480">
        <w:rPr>
          <w:sz w:val="24"/>
          <w:szCs w:val="24"/>
        </w:rPr>
        <w:t>Klausen</w:t>
      </w:r>
      <w:proofErr w:type="spellEnd"/>
      <w:r w:rsidRPr="00BB5480">
        <w:rPr>
          <w:sz w:val="24"/>
          <w:szCs w:val="24"/>
        </w:rPr>
        <w:t xml:space="preserve">, J., &amp; </w:t>
      </w:r>
      <w:proofErr w:type="spellStart"/>
      <w:r w:rsidRPr="00BB5480">
        <w:rPr>
          <w:sz w:val="24"/>
          <w:szCs w:val="24"/>
        </w:rPr>
        <w:t>Duguid</w:t>
      </w:r>
      <w:proofErr w:type="spellEnd"/>
      <w:r w:rsidRPr="00BB5480">
        <w:rPr>
          <w:sz w:val="24"/>
          <w:szCs w:val="24"/>
        </w:rPr>
        <w:t xml:space="preserve">, J. E. (2012). The empirically supported status of acceptance and commitment therapy: An update. </w:t>
      </w:r>
      <w:r w:rsidRPr="00BB5480">
        <w:rPr>
          <w:i/>
          <w:sz w:val="24"/>
          <w:szCs w:val="24"/>
        </w:rPr>
        <w:lastRenderedPageBreak/>
        <w:t>Clinical Psychologist</w:t>
      </w:r>
      <w:r w:rsidRPr="00BB5480">
        <w:rPr>
          <w:sz w:val="24"/>
          <w:szCs w:val="24"/>
        </w:rPr>
        <w:t xml:space="preserve">, </w:t>
      </w:r>
      <w:r w:rsidRPr="00BB5480">
        <w:rPr>
          <w:i/>
          <w:sz w:val="24"/>
          <w:szCs w:val="24"/>
        </w:rPr>
        <w:t>16</w:t>
      </w:r>
      <w:r w:rsidRPr="00BB5480">
        <w:rPr>
          <w:sz w:val="24"/>
          <w:szCs w:val="24"/>
        </w:rPr>
        <w:t>(3), 97–109. https://doi.org/10.1111/j.1742-9552.2012.00051.x</w:t>
      </w:r>
    </w:p>
    <w:p w14:paraId="2B039BCF" w14:textId="77777777" w:rsidR="00DA69D9" w:rsidRPr="00BB5480" w:rsidRDefault="00DA69D9">
      <w:pPr>
        <w:spacing w:line="480" w:lineRule="auto"/>
        <w:ind w:left="720" w:hanging="720"/>
        <w:rPr>
          <w:sz w:val="24"/>
          <w:szCs w:val="24"/>
        </w:rPr>
      </w:pPr>
      <w:proofErr w:type="spellStart"/>
      <w:r w:rsidRPr="00BB5480">
        <w:rPr>
          <w:sz w:val="24"/>
          <w:szCs w:val="24"/>
        </w:rPr>
        <w:t>Spreng</w:t>
      </w:r>
      <w:proofErr w:type="spellEnd"/>
      <w:r w:rsidRPr="00BB5480">
        <w:rPr>
          <w:sz w:val="24"/>
          <w:szCs w:val="24"/>
        </w:rPr>
        <w:t xml:space="preserve">, R. N., McKinnon, M. C., Mar, R. A., &amp; Levine, B. (2009). The Toronto empathy questionnaire: Scale development and initial validation of a factor-analytic solution to multiple empathy measures. </w:t>
      </w:r>
      <w:r w:rsidRPr="00BB5480">
        <w:rPr>
          <w:i/>
          <w:sz w:val="24"/>
          <w:szCs w:val="24"/>
        </w:rPr>
        <w:t>Journal of Personality Assessment</w:t>
      </w:r>
      <w:r w:rsidRPr="00BB5480">
        <w:rPr>
          <w:sz w:val="24"/>
          <w:szCs w:val="24"/>
        </w:rPr>
        <w:t xml:space="preserve">, </w:t>
      </w:r>
      <w:r w:rsidRPr="00BB5480">
        <w:rPr>
          <w:i/>
          <w:sz w:val="24"/>
          <w:szCs w:val="24"/>
        </w:rPr>
        <w:t>91</w:t>
      </w:r>
      <w:r w:rsidRPr="00BB5480">
        <w:rPr>
          <w:sz w:val="24"/>
          <w:szCs w:val="24"/>
        </w:rPr>
        <w:t>(1), 62–71. https://doi.org/10.1080/00223890802484381</w:t>
      </w:r>
    </w:p>
    <w:p w14:paraId="447D30E3" w14:textId="77777777" w:rsidR="00DA69D9" w:rsidRPr="00BB5480" w:rsidRDefault="00DA69D9">
      <w:pPr>
        <w:spacing w:line="480" w:lineRule="auto"/>
        <w:ind w:left="720" w:hanging="720"/>
        <w:rPr>
          <w:sz w:val="24"/>
          <w:szCs w:val="24"/>
        </w:rPr>
      </w:pPr>
      <w:proofErr w:type="spellStart"/>
      <w:r w:rsidRPr="00BB5480">
        <w:rPr>
          <w:sz w:val="24"/>
          <w:szCs w:val="24"/>
        </w:rPr>
        <w:t>Tabachnick</w:t>
      </w:r>
      <w:proofErr w:type="spellEnd"/>
      <w:r w:rsidRPr="00BB5480">
        <w:rPr>
          <w:sz w:val="24"/>
          <w:szCs w:val="24"/>
        </w:rPr>
        <w:t xml:space="preserve">, B. G., &amp; </w:t>
      </w:r>
      <w:proofErr w:type="spellStart"/>
      <w:r w:rsidRPr="00BB5480">
        <w:rPr>
          <w:sz w:val="24"/>
          <w:szCs w:val="24"/>
        </w:rPr>
        <w:t>Fidell</w:t>
      </w:r>
      <w:proofErr w:type="spellEnd"/>
      <w:r w:rsidRPr="00BB5480">
        <w:rPr>
          <w:sz w:val="24"/>
          <w:szCs w:val="24"/>
        </w:rPr>
        <w:t xml:space="preserve">, L. S. (2007). </w:t>
      </w:r>
      <w:r w:rsidRPr="00BB5480">
        <w:rPr>
          <w:i/>
          <w:sz w:val="24"/>
          <w:szCs w:val="24"/>
        </w:rPr>
        <w:t>Using multivariate statistics</w:t>
      </w:r>
      <w:r w:rsidRPr="00BB5480">
        <w:rPr>
          <w:sz w:val="24"/>
          <w:szCs w:val="24"/>
        </w:rPr>
        <w:t xml:space="preserve"> (5th edition). Boston, MA: </w:t>
      </w:r>
      <w:proofErr w:type="spellStart"/>
      <w:r w:rsidRPr="00BB5480">
        <w:rPr>
          <w:sz w:val="24"/>
          <w:szCs w:val="24"/>
        </w:rPr>
        <w:t>Allyn</w:t>
      </w:r>
      <w:proofErr w:type="spellEnd"/>
      <w:r w:rsidRPr="00BB5480">
        <w:rPr>
          <w:sz w:val="24"/>
          <w:szCs w:val="24"/>
        </w:rPr>
        <w:t xml:space="preserve"> and Bacon.</w:t>
      </w:r>
    </w:p>
    <w:p w14:paraId="11C94265" w14:textId="77777777" w:rsidR="00DA69D9" w:rsidRPr="00BB5480" w:rsidRDefault="00DA69D9">
      <w:pPr>
        <w:spacing w:line="480" w:lineRule="auto"/>
        <w:ind w:left="720" w:hanging="720"/>
        <w:rPr>
          <w:sz w:val="24"/>
          <w:szCs w:val="24"/>
        </w:rPr>
      </w:pPr>
      <w:r w:rsidRPr="00BB5480">
        <w:rPr>
          <w:sz w:val="24"/>
          <w:szCs w:val="24"/>
        </w:rPr>
        <w:t xml:space="preserve">Thompson, M., &amp; McCracken, L. (2011). Acceptance and related processes in adjustment to chronic pain. </w:t>
      </w:r>
      <w:r w:rsidRPr="00BB5480">
        <w:rPr>
          <w:i/>
          <w:sz w:val="24"/>
          <w:szCs w:val="24"/>
        </w:rPr>
        <w:t>Current Pain and Headache Reports</w:t>
      </w:r>
      <w:r w:rsidRPr="00BB5480">
        <w:rPr>
          <w:sz w:val="24"/>
          <w:szCs w:val="24"/>
        </w:rPr>
        <w:t xml:space="preserve">, </w:t>
      </w:r>
      <w:r w:rsidRPr="00BB5480">
        <w:rPr>
          <w:i/>
          <w:sz w:val="24"/>
          <w:szCs w:val="24"/>
        </w:rPr>
        <w:t>15</w:t>
      </w:r>
      <w:r w:rsidRPr="00BB5480">
        <w:rPr>
          <w:sz w:val="24"/>
          <w:szCs w:val="24"/>
        </w:rPr>
        <w:t xml:space="preserve">(2), 144–151. </w:t>
      </w:r>
      <w:hyperlink r:id="rId16" w:history="1">
        <w:r w:rsidRPr="00BB5480">
          <w:rPr>
            <w:rStyle w:val="Hyperlink"/>
            <w:sz w:val="24"/>
            <w:szCs w:val="24"/>
          </w:rPr>
          <w:t>https://doi.org/10.1007/s11916-010-0170-2</w:t>
        </w:r>
      </w:hyperlink>
    </w:p>
    <w:p w14:paraId="7104CC91" w14:textId="0C00D143" w:rsidR="00DA69D9" w:rsidRPr="00BB5480" w:rsidRDefault="00DA69D9">
      <w:pPr>
        <w:spacing w:line="480" w:lineRule="auto"/>
        <w:ind w:left="720" w:hanging="720"/>
        <w:rPr>
          <w:sz w:val="24"/>
          <w:szCs w:val="24"/>
        </w:rPr>
      </w:pPr>
      <w:proofErr w:type="spellStart"/>
      <w:r w:rsidRPr="00BB5480">
        <w:rPr>
          <w:sz w:val="24"/>
          <w:szCs w:val="24"/>
        </w:rPr>
        <w:t>Vilardaga</w:t>
      </w:r>
      <w:proofErr w:type="spellEnd"/>
      <w:r w:rsidRPr="00BB5480">
        <w:rPr>
          <w:sz w:val="24"/>
          <w:szCs w:val="24"/>
        </w:rPr>
        <w:t xml:space="preserve">, R., </w:t>
      </w:r>
      <w:proofErr w:type="spellStart"/>
      <w:r w:rsidRPr="00BB5480">
        <w:rPr>
          <w:sz w:val="24"/>
          <w:szCs w:val="24"/>
        </w:rPr>
        <w:t>Est</w:t>
      </w:r>
      <w:r w:rsidR="006D0583" w:rsidRPr="00BB5480">
        <w:rPr>
          <w:sz w:val="24"/>
          <w:szCs w:val="24"/>
        </w:rPr>
        <w:t>é</w:t>
      </w:r>
      <w:r w:rsidRPr="00BB5480">
        <w:rPr>
          <w:sz w:val="24"/>
          <w:szCs w:val="24"/>
        </w:rPr>
        <w:t>vez</w:t>
      </w:r>
      <w:proofErr w:type="spellEnd"/>
      <w:r w:rsidRPr="00BB5480">
        <w:rPr>
          <w:sz w:val="24"/>
          <w:szCs w:val="24"/>
        </w:rPr>
        <w:t xml:space="preserve">, A., Levin, M. E., &amp; Hayes, S. C. (2012). Deictic relational responding, empathy, and experiential avoidance as predictors of social anhedonia: Further contributions from relational frame theory. </w:t>
      </w:r>
      <w:r w:rsidRPr="00BB5480">
        <w:rPr>
          <w:i/>
          <w:sz w:val="24"/>
          <w:szCs w:val="24"/>
        </w:rPr>
        <w:t>The Psychological Record</w:t>
      </w:r>
      <w:r w:rsidRPr="00BB5480">
        <w:rPr>
          <w:sz w:val="24"/>
          <w:szCs w:val="24"/>
        </w:rPr>
        <w:t xml:space="preserve">, </w:t>
      </w:r>
      <w:r w:rsidRPr="00BB5480">
        <w:rPr>
          <w:i/>
          <w:sz w:val="24"/>
          <w:szCs w:val="24"/>
        </w:rPr>
        <w:t>62</w:t>
      </w:r>
      <w:r w:rsidRPr="00BB5480">
        <w:rPr>
          <w:sz w:val="24"/>
          <w:szCs w:val="24"/>
        </w:rPr>
        <w:t>, 409–432. https://doi.org/10.1177/0011000012460836</w:t>
      </w:r>
    </w:p>
    <w:p w14:paraId="6028D980" w14:textId="7EC5B74C" w:rsidR="00DA69D9" w:rsidRPr="00BB5480" w:rsidRDefault="00DA69D9">
      <w:pPr>
        <w:spacing w:line="480" w:lineRule="auto"/>
        <w:ind w:left="720" w:hanging="720"/>
        <w:rPr>
          <w:sz w:val="24"/>
          <w:szCs w:val="24"/>
        </w:rPr>
      </w:pPr>
      <w:proofErr w:type="spellStart"/>
      <w:r w:rsidRPr="00BB5480">
        <w:rPr>
          <w:sz w:val="24"/>
          <w:szCs w:val="24"/>
        </w:rPr>
        <w:t>Vowles</w:t>
      </w:r>
      <w:proofErr w:type="spellEnd"/>
      <w:r w:rsidRPr="00BB5480">
        <w:rPr>
          <w:sz w:val="24"/>
          <w:szCs w:val="24"/>
        </w:rPr>
        <w:t>, K.</w:t>
      </w:r>
      <w:r w:rsidR="00AA52C8" w:rsidRPr="00BB5480">
        <w:rPr>
          <w:sz w:val="24"/>
          <w:szCs w:val="24"/>
        </w:rPr>
        <w:t xml:space="preserve"> E.</w:t>
      </w:r>
      <w:r w:rsidRPr="00BB5480">
        <w:rPr>
          <w:sz w:val="24"/>
          <w:szCs w:val="24"/>
        </w:rPr>
        <w:t xml:space="preserve">, &amp; Thompson, M. (2012). The Patient-Provider Relationship in Chronic Pain. </w:t>
      </w:r>
      <w:r w:rsidRPr="00BB5480">
        <w:rPr>
          <w:i/>
          <w:sz w:val="24"/>
          <w:szCs w:val="24"/>
        </w:rPr>
        <w:t>Current Pain and Headache Reports</w:t>
      </w:r>
      <w:r w:rsidRPr="00BB5480">
        <w:rPr>
          <w:sz w:val="24"/>
          <w:szCs w:val="24"/>
        </w:rPr>
        <w:t xml:space="preserve">, </w:t>
      </w:r>
      <w:r w:rsidRPr="00BB5480">
        <w:rPr>
          <w:i/>
          <w:sz w:val="24"/>
          <w:szCs w:val="24"/>
        </w:rPr>
        <w:t>16</w:t>
      </w:r>
      <w:r w:rsidRPr="00BB5480">
        <w:rPr>
          <w:sz w:val="24"/>
          <w:szCs w:val="24"/>
        </w:rPr>
        <w:t>(2), 133–138. https://doi.org/10.1007/s11916-012-0244-4</w:t>
      </w:r>
    </w:p>
    <w:p w14:paraId="1A2CE309" w14:textId="77777777" w:rsidR="00DA69D9" w:rsidRPr="00BB5480" w:rsidRDefault="00DA69D9">
      <w:pPr>
        <w:spacing w:line="480" w:lineRule="auto"/>
        <w:ind w:left="720" w:hanging="720"/>
        <w:rPr>
          <w:sz w:val="24"/>
          <w:szCs w:val="24"/>
        </w:rPr>
      </w:pPr>
      <w:r w:rsidRPr="00BB5480">
        <w:rPr>
          <w:sz w:val="24"/>
          <w:szCs w:val="24"/>
        </w:rPr>
        <w:t xml:space="preserve">Webb, D. J., Green, C. L., &amp; Brashear, T. G. (2000). Development and validation of scales to measure attitudes influencing monetary donations to charitable organizations. </w:t>
      </w:r>
      <w:r w:rsidRPr="00BB5480">
        <w:rPr>
          <w:i/>
          <w:sz w:val="24"/>
          <w:szCs w:val="24"/>
        </w:rPr>
        <w:t>Journal of the Academy of Marketing Science</w:t>
      </w:r>
      <w:r w:rsidRPr="00BB5480">
        <w:rPr>
          <w:sz w:val="24"/>
          <w:szCs w:val="24"/>
        </w:rPr>
        <w:t xml:space="preserve">, </w:t>
      </w:r>
      <w:r w:rsidRPr="00BB5480">
        <w:rPr>
          <w:i/>
          <w:sz w:val="24"/>
          <w:szCs w:val="24"/>
        </w:rPr>
        <w:t>28</w:t>
      </w:r>
      <w:r w:rsidRPr="00BB5480">
        <w:rPr>
          <w:sz w:val="24"/>
          <w:szCs w:val="24"/>
        </w:rPr>
        <w:t>(2), 299–309. https://doi.org/10.1177/0092070300282010</w:t>
      </w:r>
    </w:p>
    <w:p w14:paraId="470E9A73" w14:textId="77777777" w:rsidR="00DA69D9" w:rsidRPr="00BB5480" w:rsidRDefault="00DA69D9">
      <w:pPr>
        <w:pStyle w:val="BodyTextFirstIndent"/>
        <w:ind w:firstLine="0"/>
      </w:pPr>
    </w:p>
    <w:p w14:paraId="164800E0" w14:textId="77777777" w:rsidR="00DA69D9" w:rsidRPr="00BB5480" w:rsidRDefault="00DA69D9">
      <w:pPr>
        <w:rPr>
          <w:sz w:val="24"/>
          <w:szCs w:val="24"/>
        </w:rPr>
      </w:pPr>
    </w:p>
    <w:p w14:paraId="635655B5" w14:textId="77777777" w:rsidR="00DA69D9" w:rsidRPr="00BB5480" w:rsidRDefault="00DA69D9">
      <w:pPr>
        <w:pStyle w:val="BodyTextFirstIndent"/>
        <w:ind w:firstLine="0"/>
      </w:pPr>
    </w:p>
    <w:sectPr w:rsidR="00DA69D9" w:rsidRPr="00BB5480">
      <w:pgSz w:w="11906" w:h="16838"/>
      <w:pgMar w:top="1134" w:right="1134" w:bottom="1693" w:left="2268" w:header="720" w:footer="1134"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6EE2" w14:textId="77777777" w:rsidR="00B27B08" w:rsidRDefault="00B27B08">
      <w:r>
        <w:separator/>
      </w:r>
    </w:p>
  </w:endnote>
  <w:endnote w:type="continuationSeparator" w:id="0">
    <w:p w14:paraId="0282ED96" w14:textId="77777777" w:rsidR="00B27B08" w:rsidRDefault="00B27B08">
      <w:r>
        <w:continuationSeparator/>
      </w:r>
    </w:p>
  </w:endnote>
  <w:endnote w:type="continuationNotice" w:id="1">
    <w:p w14:paraId="088C4B4D" w14:textId="77777777" w:rsidR="00B27B08" w:rsidRDefault="00B27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434F" w14:textId="77777777" w:rsidR="00B27B08" w:rsidRDefault="00B27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C041" w14:textId="77777777" w:rsidR="00B27B08" w:rsidRDefault="00B27B08">
    <w:pPr>
      <w:pStyle w:val="Footer"/>
      <w:jc w:val="right"/>
    </w:pPr>
    <w:r>
      <w:fldChar w:fldCharType="begin"/>
    </w:r>
    <w:r>
      <w:instrText xml:space="preserve"> PAGE </w:instrText>
    </w:r>
    <w:r>
      <w:fldChar w:fldCharType="separate"/>
    </w:r>
    <w:r w:rsidR="00DB4F87">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43FB" w14:textId="77777777" w:rsidR="00B27B08" w:rsidRDefault="00B27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F032E" w14:textId="77777777" w:rsidR="00B27B08" w:rsidRDefault="00B27B08">
      <w:r>
        <w:separator/>
      </w:r>
    </w:p>
  </w:footnote>
  <w:footnote w:type="continuationSeparator" w:id="0">
    <w:p w14:paraId="162D9938" w14:textId="77777777" w:rsidR="00B27B08" w:rsidRDefault="00B27B08">
      <w:r>
        <w:continuationSeparator/>
      </w:r>
    </w:p>
  </w:footnote>
  <w:footnote w:type="continuationNotice" w:id="1">
    <w:p w14:paraId="3F19CF44" w14:textId="77777777" w:rsidR="00B27B08" w:rsidRDefault="00B27B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617D" w14:textId="77777777" w:rsidR="00B27B08" w:rsidRDefault="00B27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1111" w14:textId="77777777" w:rsidR="00B27B08" w:rsidRDefault="00B27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4401" w14:textId="77777777" w:rsidR="00B27B08" w:rsidRDefault="00B27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b/>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Heading10"/>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A8"/>
    <w:rsid w:val="000016F2"/>
    <w:rsid w:val="00001791"/>
    <w:rsid w:val="0000260B"/>
    <w:rsid w:val="0000719E"/>
    <w:rsid w:val="00007BFE"/>
    <w:rsid w:val="00011B6E"/>
    <w:rsid w:val="00012EB5"/>
    <w:rsid w:val="00013228"/>
    <w:rsid w:val="00013240"/>
    <w:rsid w:val="00015355"/>
    <w:rsid w:val="0001539A"/>
    <w:rsid w:val="000204E8"/>
    <w:rsid w:val="00020CDB"/>
    <w:rsid w:val="0002121B"/>
    <w:rsid w:val="000216AA"/>
    <w:rsid w:val="00022B51"/>
    <w:rsid w:val="0002312B"/>
    <w:rsid w:val="0002442D"/>
    <w:rsid w:val="000246F8"/>
    <w:rsid w:val="00024B2F"/>
    <w:rsid w:val="00025A24"/>
    <w:rsid w:val="00027205"/>
    <w:rsid w:val="000274D1"/>
    <w:rsid w:val="000306B0"/>
    <w:rsid w:val="00030D6A"/>
    <w:rsid w:val="0003221C"/>
    <w:rsid w:val="00032B7F"/>
    <w:rsid w:val="0003336B"/>
    <w:rsid w:val="00036669"/>
    <w:rsid w:val="0004302E"/>
    <w:rsid w:val="000454B8"/>
    <w:rsid w:val="00050618"/>
    <w:rsid w:val="00050AF2"/>
    <w:rsid w:val="000512A9"/>
    <w:rsid w:val="0005366A"/>
    <w:rsid w:val="00056A9B"/>
    <w:rsid w:val="00063A44"/>
    <w:rsid w:val="000730FF"/>
    <w:rsid w:val="00074161"/>
    <w:rsid w:val="000753EF"/>
    <w:rsid w:val="0007641C"/>
    <w:rsid w:val="000776EC"/>
    <w:rsid w:val="00081515"/>
    <w:rsid w:val="00081A1F"/>
    <w:rsid w:val="000855DC"/>
    <w:rsid w:val="00086967"/>
    <w:rsid w:val="00094BFF"/>
    <w:rsid w:val="000B314C"/>
    <w:rsid w:val="000B55AD"/>
    <w:rsid w:val="000B6442"/>
    <w:rsid w:val="000B66EE"/>
    <w:rsid w:val="000C14F2"/>
    <w:rsid w:val="000C1B01"/>
    <w:rsid w:val="000D262B"/>
    <w:rsid w:val="000D2C4B"/>
    <w:rsid w:val="000D3901"/>
    <w:rsid w:val="000D5135"/>
    <w:rsid w:val="000D7B86"/>
    <w:rsid w:val="000E2B1B"/>
    <w:rsid w:val="000E7AEB"/>
    <w:rsid w:val="000F3CCB"/>
    <w:rsid w:val="000F48C1"/>
    <w:rsid w:val="00103F81"/>
    <w:rsid w:val="00104904"/>
    <w:rsid w:val="00105E9F"/>
    <w:rsid w:val="00106F52"/>
    <w:rsid w:val="00110E83"/>
    <w:rsid w:val="00116682"/>
    <w:rsid w:val="00117782"/>
    <w:rsid w:val="00126498"/>
    <w:rsid w:val="001270A5"/>
    <w:rsid w:val="00133276"/>
    <w:rsid w:val="001338AC"/>
    <w:rsid w:val="001355A0"/>
    <w:rsid w:val="00141819"/>
    <w:rsid w:val="00141892"/>
    <w:rsid w:val="00141D31"/>
    <w:rsid w:val="0014452D"/>
    <w:rsid w:val="00144935"/>
    <w:rsid w:val="00144F56"/>
    <w:rsid w:val="001510FF"/>
    <w:rsid w:val="00152216"/>
    <w:rsid w:val="00156928"/>
    <w:rsid w:val="0016231C"/>
    <w:rsid w:val="00162E6A"/>
    <w:rsid w:val="001644F6"/>
    <w:rsid w:val="001701FF"/>
    <w:rsid w:val="00173FD7"/>
    <w:rsid w:val="001763C7"/>
    <w:rsid w:val="00180EBA"/>
    <w:rsid w:val="00181B55"/>
    <w:rsid w:val="00185360"/>
    <w:rsid w:val="00185DEC"/>
    <w:rsid w:val="001934DD"/>
    <w:rsid w:val="001A05E2"/>
    <w:rsid w:val="001A4681"/>
    <w:rsid w:val="001B350F"/>
    <w:rsid w:val="001B54BC"/>
    <w:rsid w:val="001B5F6B"/>
    <w:rsid w:val="001B66DA"/>
    <w:rsid w:val="001B6A9E"/>
    <w:rsid w:val="001C0AD8"/>
    <w:rsid w:val="001C307D"/>
    <w:rsid w:val="001C7EA6"/>
    <w:rsid w:val="001D13FF"/>
    <w:rsid w:val="001D63CF"/>
    <w:rsid w:val="001E2042"/>
    <w:rsid w:val="001F5647"/>
    <w:rsid w:val="002054D0"/>
    <w:rsid w:val="00222855"/>
    <w:rsid w:val="0022286E"/>
    <w:rsid w:val="00225FC6"/>
    <w:rsid w:val="0022685C"/>
    <w:rsid w:val="00226EA8"/>
    <w:rsid w:val="002324EB"/>
    <w:rsid w:val="00244EF5"/>
    <w:rsid w:val="00247F32"/>
    <w:rsid w:val="0025086D"/>
    <w:rsid w:val="00252E7B"/>
    <w:rsid w:val="00253740"/>
    <w:rsid w:val="0026137B"/>
    <w:rsid w:val="00263903"/>
    <w:rsid w:val="00272A87"/>
    <w:rsid w:val="00273179"/>
    <w:rsid w:val="00282121"/>
    <w:rsid w:val="00282773"/>
    <w:rsid w:val="00283C79"/>
    <w:rsid w:val="00296A68"/>
    <w:rsid w:val="002A110A"/>
    <w:rsid w:val="002A48BF"/>
    <w:rsid w:val="002B27F6"/>
    <w:rsid w:val="002B5BC5"/>
    <w:rsid w:val="002C1435"/>
    <w:rsid w:val="002C2B61"/>
    <w:rsid w:val="002C40F6"/>
    <w:rsid w:val="002C5B3E"/>
    <w:rsid w:val="002C6FAC"/>
    <w:rsid w:val="002D141F"/>
    <w:rsid w:val="002D2708"/>
    <w:rsid w:val="002D2F46"/>
    <w:rsid w:val="002D5EF9"/>
    <w:rsid w:val="002D5FE0"/>
    <w:rsid w:val="002E2177"/>
    <w:rsid w:val="002E27C6"/>
    <w:rsid w:val="002E485F"/>
    <w:rsid w:val="002F487D"/>
    <w:rsid w:val="002F76C9"/>
    <w:rsid w:val="00300B4A"/>
    <w:rsid w:val="003014F2"/>
    <w:rsid w:val="0030300B"/>
    <w:rsid w:val="00307AF4"/>
    <w:rsid w:val="003118D6"/>
    <w:rsid w:val="003154C2"/>
    <w:rsid w:val="00326741"/>
    <w:rsid w:val="00326D9C"/>
    <w:rsid w:val="00336071"/>
    <w:rsid w:val="0033736D"/>
    <w:rsid w:val="003472B7"/>
    <w:rsid w:val="00347777"/>
    <w:rsid w:val="00351371"/>
    <w:rsid w:val="00351DA1"/>
    <w:rsid w:val="00354167"/>
    <w:rsid w:val="00354FAD"/>
    <w:rsid w:val="003600CE"/>
    <w:rsid w:val="003616C0"/>
    <w:rsid w:val="00365BD5"/>
    <w:rsid w:val="003726D6"/>
    <w:rsid w:val="0037480D"/>
    <w:rsid w:val="00380606"/>
    <w:rsid w:val="00383589"/>
    <w:rsid w:val="003848C0"/>
    <w:rsid w:val="003853CD"/>
    <w:rsid w:val="00397F4A"/>
    <w:rsid w:val="003A0B27"/>
    <w:rsid w:val="003A1DB0"/>
    <w:rsid w:val="003A260E"/>
    <w:rsid w:val="003A47F8"/>
    <w:rsid w:val="003A4C4B"/>
    <w:rsid w:val="003A6D3B"/>
    <w:rsid w:val="003B0484"/>
    <w:rsid w:val="003B7653"/>
    <w:rsid w:val="003C404F"/>
    <w:rsid w:val="003C4543"/>
    <w:rsid w:val="003C6219"/>
    <w:rsid w:val="003D3AF9"/>
    <w:rsid w:val="003E046A"/>
    <w:rsid w:val="003E39FC"/>
    <w:rsid w:val="003E45C4"/>
    <w:rsid w:val="00400987"/>
    <w:rsid w:val="00401036"/>
    <w:rsid w:val="00404106"/>
    <w:rsid w:val="004043C3"/>
    <w:rsid w:val="004178FB"/>
    <w:rsid w:val="00417BCC"/>
    <w:rsid w:val="00421153"/>
    <w:rsid w:val="00422D6F"/>
    <w:rsid w:val="00422E66"/>
    <w:rsid w:val="00425E8A"/>
    <w:rsid w:val="00427415"/>
    <w:rsid w:val="0043405A"/>
    <w:rsid w:val="00437180"/>
    <w:rsid w:val="00443276"/>
    <w:rsid w:val="00443A84"/>
    <w:rsid w:val="00447523"/>
    <w:rsid w:val="00450122"/>
    <w:rsid w:val="00455778"/>
    <w:rsid w:val="00471789"/>
    <w:rsid w:val="0047301C"/>
    <w:rsid w:val="004734FD"/>
    <w:rsid w:val="00474BB9"/>
    <w:rsid w:val="00491EDC"/>
    <w:rsid w:val="00493B28"/>
    <w:rsid w:val="00495B5F"/>
    <w:rsid w:val="004975B1"/>
    <w:rsid w:val="004A1FB1"/>
    <w:rsid w:val="004A263D"/>
    <w:rsid w:val="004A2C26"/>
    <w:rsid w:val="004A5070"/>
    <w:rsid w:val="004A5BBD"/>
    <w:rsid w:val="004B254A"/>
    <w:rsid w:val="004B295D"/>
    <w:rsid w:val="004C01D5"/>
    <w:rsid w:val="004C3C28"/>
    <w:rsid w:val="004D5808"/>
    <w:rsid w:val="004D5D96"/>
    <w:rsid w:val="004D66CB"/>
    <w:rsid w:val="004E3D78"/>
    <w:rsid w:val="004E56CD"/>
    <w:rsid w:val="004E6E37"/>
    <w:rsid w:val="004F2D53"/>
    <w:rsid w:val="004F3AF8"/>
    <w:rsid w:val="004F4F88"/>
    <w:rsid w:val="004F7559"/>
    <w:rsid w:val="0050126B"/>
    <w:rsid w:val="005031B9"/>
    <w:rsid w:val="00511988"/>
    <w:rsid w:val="00513193"/>
    <w:rsid w:val="005131FD"/>
    <w:rsid w:val="00520716"/>
    <w:rsid w:val="005224AA"/>
    <w:rsid w:val="005241A8"/>
    <w:rsid w:val="00525E4C"/>
    <w:rsid w:val="00527859"/>
    <w:rsid w:val="005308E4"/>
    <w:rsid w:val="005337C2"/>
    <w:rsid w:val="00540CCC"/>
    <w:rsid w:val="00540FB8"/>
    <w:rsid w:val="00543EC3"/>
    <w:rsid w:val="00543EC7"/>
    <w:rsid w:val="00544F4C"/>
    <w:rsid w:val="00546C2A"/>
    <w:rsid w:val="00550BE1"/>
    <w:rsid w:val="00551C69"/>
    <w:rsid w:val="005623A1"/>
    <w:rsid w:val="00562E19"/>
    <w:rsid w:val="00565D9F"/>
    <w:rsid w:val="00572E5D"/>
    <w:rsid w:val="00573201"/>
    <w:rsid w:val="00580958"/>
    <w:rsid w:val="00590901"/>
    <w:rsid w:val="00593963"/>
    <w:rsid w:val="005941CA"/>
    <w:rsid w:val="00594879"/>
    <w:rsid w:val="005A0C78"/>
    <w:rsid w:val="005A42FD"/>
    <w:rsid w:val="005A4441"/>
    <w:rsid w:val="005A500B"/>
    <w:rsid w:val="005B10BD"/>
    <w:rsid w:val="005B274D"/>
    <w:rsid w:val="005B4662"/>
    <w:rsid w:val="005B52CE"/>
    <w:rsid w:val="005B7C68"/>
    <w:rsid w:val="005C145C"/>
    <w:rsid w:val="005C1D65"/>
    <w:rsid w:val="005C4EF6"/>
    <w:rsid w:val="005D1212"/>
    <w:rsid w:val="005D4C55"/>
    <w:rsid w:val="005D7177"/>
    <w:rsid w:val="005E6C37"/>
    <w:rsid w:val="005F0A65"/>
    <w:rsid w:val="005F0D04"/>
    <w:rsid w:val="00611E5F"/>
    <w:rsid w:val="00612030"/>
    <w:rsid w:val="00613BBE"/>
    <w:rsid w:val="0062533A"/>
    <w:rsid w:val="0062561D"/>
    <w:rsid w:val="006307FB"/>
    <w:rsid w:val="00632C46"/>
    <w:rsid w:val="00633FA9"/>
    <w:rsid w:val="0064079C"/>
    <w:rsid w:val="0064654F"/>
    <w:rsid w:val="00647CFB"/>
    <w:rsid w:val="006510B0"/>
    <w:rsid w:val="006533C9"/>
    <w:rsid w:val="006538CE"/>
    <w:rsid w:val="00664452"/>
    <w:rsid w:val="006665E6"/>
    <w:rsid w:val="00666856"/>
    <w:rsid w:val="00673159"/>
    <w:rsid w:val="00677689"/>
    <w:rsid w:val="00682B04"/>
    <w:rsid w:val="00684336"/>
    <w:rsid w:val="00687691"/>
    <w:rsid w:val="00687E13"/>
    <w:rsid w:val="006B1BF0"/>
    <w:rsid w:val="006B5AC7"/>
    <w:rsid w:val="006C4E30"/>
    <w:rsid w:val="006C6F3B"/>
    <w:rsid w:val="006D0583"/>
    <w:rsid w:val="006D24AC"/>
    <w:rsid w:val="006D6A30"/>
    <w:rsid w:val="006E0E9B"/>
    <w:rsid w:val="006E246E"/>
    <w:rsid w:val="006E638D"/>
    <w:rsid w:val="006E6B2C"/>
    <w:rsid w:val="006F1D71"/>
    <w:rsid w:val="006F530A"/>
    <w:rsid w:val="006F68AB"/>
    <w:rsid w:val="006F68D8"/>
    <w:rsid w:val="00701D22"/>
    <w:rsid w:val="007040D3"/>
    <w:rsid w:val="0071115E"/>
    <w:rsid w:val="00711C1F"/>
    <w:rsid w:val="007147B6"/>
    <w:rsid w:val="007220D8"/>
    <w:rsid w:val="00727706"/>
    <w:rsid w:val="007279F7"/>
    <w:rsid w:val="007359F6"/>
    <w:rsid w:val="00737681"/>
    <w:rsid w:val="007414DE"/>
    <w:rsid w:val="00744E68"/>
    <w:rsid w:val="00747C76"/>
    <w:rsid w:val="00750F89"/>
    <w:rsid w:val="00752261"/>
    <w:rsid w:val="00754426"/>
    <w:rsid w:val="00760C0B"/>
    <w:rsid w:val="0076215C"/>
    <w:rsid w:val="00774C71"/>
    <w:rsid w:val="00776D5F"/>
    <w:rsid w:val="0078141B"/>
    <w:rsid w:val="00781628"/>
    <w:rsid w:val="007846E5"/>
    <w:rsid w:val="0079501A"/>
    <w:rsid w:val="007A1B44"/>
    <w:rsid w:val="007A359F"/>
    <w:rsid w:val="007A6F0D"/>
    <w:rsid w:val="007B0E9B"/>
    <w:rsid w:val="007B3B7A"/>
    <w:rsid w:val="007C131D"/>
    <w:rsid w:val="007C13A5"/>
    <w:rsid w:val="007C1BA0"/>
    <w:rsid w:val="007C2A62"/>
    <w:rsid w:val="007D1B3A"/>
    <w:rsid w:val="007E6D87"/>
    <w:rsid w:val="007F2C3C"/>
    <w:rsid w:val="007F30ED"/>
    <w:rsid w:val="007F37EF"/>
    <w:rsid w:val="007F4F2A"/>
    <w:rsid w:val="007F501F"/>
    <w:rsid w:val="00800139"/>
    <w:rsid w:val="00803C28"/>
    <w:rsid w:val="00804D63"/>
    <w:rsid w:val="00806FC7"/>
    <w:rsid w:val="008075E5"/>
    <w:rsid w:val="00812CB9"/>
    <w:rsid w:val="00814F27"/>
    <w:rsid w:val="008157C7"/>
    <w:rsid w:val="0082089E"/>
    <w:rsid w:val="00846895"/>
    <w:rsid w:val="00847B49"/>
    <w:rsid w:val="00854F28"/>
    <w:rsid w:val="00856E4B"/>
    <w:rsid w:val="00857460"/>
    <w:rsid w:val="00860E5C"/>
    <w:rsid w:val="008660CF"/>
    <w:rsid w:val="00872AF9"/>
    <w:rsid w:val="008735DC"/>
    <w:rsid w:val="00874426"/>
    <w:rsid w:val="00880F8B"/>
    <w:rsid w:val="008818B0"/>
    <w:rsid w:val="00882640"/>
    <w:rsid w:val="008831DD"/>
    <w:rsid w:val="0088754D"/>
    <w:rsid w:val="0089134B"/>
    <w:rsid w:val="008A1B38"/>
    <w:rsid w:val="008A69D1"/>
    <w:rsid w:val="008B23DA"/>
    <w:rsid w:val="008B27D8"/>
    <w:rsid w:val="008C1465"/>
    <w:rsid w:val="008C24AF"/>
    <w:rsid w:val="008D51DB"/>
    <w:rsid w:val="008D63A4"/>
    <w:rsid w:val="008D7130"/>
    <w:rsid w:val="008E6635"/>
    <w:rsid w:val="008E74CE"/>
    <w:rsid w:val="008F1E34"/>
    <w:rsid w:val="00901A2D"/>
    <w:rsid w:val="00904282"/>
    <w:rsid w:val="00910C51"/>
    <w:rsid w:val="009146A7"/>
    <w:rsid w:val="009160DB"/>
    <w:rsid w:val="00916B00"/>
    <w:rsid w:val="00925BCF"/>
    <w:rsid w:val="0092675A"/>
    <w:rsid w:val="009345F6"/>
    <w:rsid w:val="00937EC0"/>
    <w:rsid w:val="0094047B"/>
    <w:rsid w:val="00940D76"/>
    <w:rsid w:val="00944039"/>
    <w:rsid w:val="00945899"/>
    <w:rsid w:val="009537C3"/>
    <w:rsid w:val="009621F5"/>
    <w:rsid w:val="00964CDA"/>
    <w:rsid w:val="00964DB8"/>
    <w:rsid w:val="00964E1B"/>
    <w:rsid w:val="009652E9"/>
    <w:rsid w:val="009719FC"/>
    <w:rsid w:val="00972FB5"/>
    <w:rsid w:val="009753DE"/>
    <w:rsid w:val="009815C1"/>
    <w:rsid w:val="00993E34"/>
    <w:rsid w:val="00996B0E"/>
    <w:rsid w:val="009A4CCB"/>
    <w:rsid w:val="009A55B6"/>
    <w:rsid w:val="009B0024"/>
    <w:rsid w:val="009B008B"/>
    <w:rsid w:val="009B50D0"/>
    <w:rsid w:val="009B6BED"/>
    <w:rsid w:val="009C6447"/>
    <w:rsid w:val="009D42EC"/>
    <w:rsid w:val="009D57A8"/>
    <w:rsid w:val="009E779E"/>
    <w:rsid w:val="009F6462"/>
    <w:rsid w:val="00A038F0"/>
    <w:rsid w:val="00A04743"/>
    <w:rsid w:val="00A05B27"/>
    <w:rsid w:val="00A07A9D"/>
    <w:rsid w:val="00A11650"/>
    <w:rsid w:val="00A13CB3"/>
    <w:rsid w:val="00A13FA7"/>
    <w:rsid w:val="00A16148"/>
    <w:rsid w:val="00A27E09"/>
    <w:rsid w:val="00A34BA6"/>
    <w:rsid w:val="00A354BA"/>
    <w:rsid w:val="00A369B3"/>
    <w:rsid w:val="00A44B13"/>
    <w:rsid w:val="00A5030F"/>
    <w:rsid w:val="00A54174"/>
    <w:rsid w:val="00A54D35"/>
    <w:rsid w:val="00A56DFF"/>
    <w:rsid w:val="00A57974"/>
    <w:rsid w:val="00A57D76"/>
    <w:rsid w:val="00A62A8E"/>
    <w:rsid w:val="00A6731A"/>
    <w:rsid w:val="00A73646"/>
    <w:rsid w:val="00A7426D"/>
    <w:rsid w:val="00A751E9"/>
    <w:rsid w:val="00A802D1"/>
    <w:rsid w:val="00A83D2A"/>
    <w:rsid w:val="00A91F6C"/>
    <w:rsid w:val="00A92D3F"/>
    <w:rsid w:val="00A93036"/>
    <w:rsid w:val="00AA1B08"/>
    <w:rsid w:val="00AA52C8"/>
    <w:rsid w:val="00AA7294"/>
    <w:rsid w:val="00AB3019"/>
    <w:rsid w:val="00AB4B99"/>
    <w:rsid w:val="00AC0811"/>
    <w:rsid w:val="00AC3109"/>
    <w:rsid w:val="00AD72B9"/>
    <w:rsid w:val="00AE5639"/>
    <w:rsid w:val="00AF1837"/>
    <w:rsid w:val="00AF4F2C"/>
    <w:rsid w:val="00AF611C"/>
    <w:rsid w:val="00B000F2"/>
    <w:rsid w:val="00B0511D"/>
    <w:rsid w:val="00B067EA"/>
    <w:rsid w:val="00B11A8D"/>
    <w:rsid w:val="00B1275F"/>
    <w:rsid w:val="00B13BDF"/>
    <w:rsid w:val="00B14D4A"/>
    <w:rsid w:val="00B22D14"/>
    <w:rsid w:val="00B24C0E"/>
    <w:rsid w:val="00B24FD2"/>
    <w:rsid w:val="00B250AC"/>
    <w:rsid w:val="00B2542C"/>
    <w:rsid w:val="00B27B08"/>
    <w:rsid w:val="00B36B6C"/>
    <w:rsid w:val="00B42374"/>
    <w:rsid w:val="00B42BAA"/>
    <w:rsid w:val="00B433DC"/>
    <w:rsid w:val="00B442D9"/>
    <w:rsid w:val="00B450E0"/>
    <w:rsid w:val="00B471C2"/>
    <w:rsid w:val="00B51683"/>
    <w:rsid w:val="00B6376A"/>
    <w:rsid w:val="00B65C08"/>
    <w:rsid w:val="00B66FD1"/>
    <w:rsid w:val="00B71742"/>
    <w:rsid w:val="00B75D91"/>
    <w:rsid w:val="00B76D1F"/>
    <w:rsid w:val="00B80385"/>
    <w:rsid w:val="00B9368F"/>
    <w:rsid w:val="00B938B9"/>
    <w:rsid w:val="00B94804"/>
    <w:rsid w:val="00BA0675"/>
    <w:rsid w:val="00BA3F0F"/>
    <w:rsid w:val="00BB058E"/>
    <w:rsid w:val="00BB2AC6"/>
    <w:rsid w:val="00BB2B5A"/>
    <w:rsid w:val="00BB5480"/>
    <w:rsid w:val="00BC48BB"/>
    <w:rsid w:val="00BC6423"/>
    <w:rsid w:val="00BC6E55"/>
    <w:rsid w:val="00BC7991"/>
    <w:rsid w:val="00BD0469"/>
    <w:rsid w:val="00BD5D65"/>
    <w:rsid w:val="00BE1EDD"/>
    <w:rsid w:val="00BE3E21"/>
    <w:rsid w:val="00BE7F90"/>
    <w:rsid w:val="00BF1A2F"/>
    <w:rsid w:val="00BF32F6"/>
    <w:rsid w:val="00BF4756"/>
    <w:rsid w:val="00BF61DB"/>
    <w:rsid w:val="00BF7184"/>
    <w:rsid w:val="00C00D55"/>
    <w:rsid w:val="00C05AD3"/>
    <w:rsid w:val="00C12008"/>
    <w:rsid w:val="00C12D97"/>
    <w:rsid w:val="00C14C59"/>
    <w:rsid w:val="00C17723"/>
    <w:rsid w:val="00C22545"/>
    <w:rsid w:val="00C23EB5"/>
    <w:rsid w:val="00C24B72"/>
    <w:rsid w:val="00C26D93"/>
    <w:rsid w:val="00C330C1"/>
    <w:rsid w:val="00C351BA"/>
    <w:rsid w:val="00C40F87"/>
    <w:rsid w:val="00C41BD3"/>
    <w:rsid w:val="00C42F10"/>
    <w:rsid w:val="00C437A4"/>
    <w:rsid w:val="00C44B61"/>
    <w:rsid w:val="00C50028"/>
    <w:rsid w:val="00C503B2"/>
    <w:rsid w:val="00C516C1"/>
    <w:rsid w:val="00C522B3"/>
    <w:rsid w:val="00C5479E"/>
    <w:rsid w:val="00C55996"/>
    <w:rsid w:val="00C60742"/>
    <w:rsid w:val="00C761E8"/>
    <w:rsid w:val="00C803B7"/>
    <w:rsid w:val="00C81D09"/>
    <w:rsid w:val="00C83455"/>
    <w:rsid w:val="00C87CF3"/>
    <w:rsid w:val="00CA1756"/>
    <w:rsid w:val="00CA28F0"/>
    <w:rsid w:val="00CA2BF7"/>
    <w:rsid w:val="00CA32FF"/>
    <w:rsid w:val="00CB71EB"/>
    <w:rsid w:val="00CC2D73"/>
    <w:rsid w:val="00CC4299"/>
    <w:rsid w:val="00CC4D74"/>
    <w:rsid w:val="00CC7DC8"/>
    <w:rsid w:val="00CD00DF"/>
    <w:rsid w:val="00CD1E74"/>
    <w:rsid w:val="00CD6FA8"/>
    <w:rsid w:val="00CD7DAA"/>
    <w:rsid w:val="00CE2901"/>
    <w:rsid w:val="00CE43F3"/>
    <w:rsid w:val="00CE4A5C"/>
    <w:rsid w:val="00CE6106"/>
    <w:rsid w:val="00CF134E"/>
    <w:rsid w:val="00CF5049"/>
    <w:rsid w:val="00CF5E51"/>
    <w:rsid w:val="00CF645F"/>
    <w:rsid w:val="00D058D4"/>
    <w:rsid w:val="00D06DE6"/>
    <w:rsid w:val="00D11406"/>
    <w:rsid w:val="00D11B1C"/>
    <w:rsid w:val="00D13438"/>
    <w:rsid w:val="00D14119"/>
    <w:rsid w:val="00D14BFD"/>
    <w:rsid w:val="00D274E5"/>
    <w:rsid w:val="00D34032"/>
    <w:rsid w:val="00D43BDC"/>
    <w:rsid w:val="00D45596"/>
    <w:rsid w:val="00D52079"/>
    <w:rsid w:val="00D606E0"/>
    <w:rsid w:val="00D641CE"/>
    <w:rsid w:val="00D6716C"/>
    <w:rsid w:val="00D67972"/>
    <w:rsid w:val="00D7012A"/>
    <w:rsid w:val="00D7353D"/>
    <w:rsid w:val="00D77AFD"/>
    <w:rsid w:val="00D80711"/>
    <w:rsid w:val="00D84810"/>
    <w:rsid w:val="00D852E0"/>
    <w:rsid w:val="00D9567C"/>
    <w:rsid w:val="00D95D3B"/>
    <w:rsid w:val="00D97837"/>
    <w:rsid w:val="00DA185B"/>
    <w:rsid w:val="00DA246E"/>
    <w:rsid w:val="00DA69D9"/>
    <w:rsid w:val="00DA7B32"/>
    <w:rsid w:val="00DB0D41"/>
    <w:rsid w:val="00DB2BF9"/>
    <w:rsid w:val="00DB4F87"/>
    <w:rsid w:val="00DC45A9"/>
    <w:rsid w:val="00DD2849"/>
    <w:rsid w:val="00DD5CBB"/>
    <w:rsid w:val="00DE68A1"/>
    <w:rsid w:val="00DE6FE6"/>
    <w:rsid w:val="00DF71E0"/>
    <w:rsid w:val="00E02299"/>
    <w:rsid w:val="00E05760"/>
    <w:rsid w:val="00E079F2"/>
    <w:rsid w:val="00E24494"/>
    <w:rsid w:val="00E25052"/>
    <w:rsid w:val="00E25A98"/>
    <w:rsid w:val="00E25E19"/>
    <w:rsid w:val="00E319F3"/>
    <w:rsid w:val="00E36B15"/>
    <w:rsid w:val="00E43FF2"/>
    <w:rsid w:val="00E44913"/>
    <w:rsid w:val="00E47743"/>
    <w:rsid w:val="00E51F37"/>
    <w:rsid w:val="00E5632C"/>
    <w:rsid w:val="00E56D75"/>
    <w:rsid w:val="00E74C8F"/>
    <w:rsid w:val="00E77539"/>
    <w:rsid w:val="00E83CEC"/>
    <w:rsid w:val="00E84C57"/>
    <w:rsid w:val="00E85786"/>
    <w:rsid w:val="00EA48C9"/>
    <w:rsid w:val="00EA5A75"/>
    <w:rsid w:val="00EA6912"/>
    <w:rsid w:val="00EC02DC"/>
    <w:rsid w:val="00EC0CEA"/>
    <w:rsid w:val="00EC2434"/>
    <w:rsid w:val="00ED0E6D"/>
    <w:rsid w:val="00ED2DDA"/>
    <w:rsid w:val="00EE2CF6"/>
    <w:rsid w:val="00EE79AA"/>
    <w:rsid w:val="00EF7232"/>
    <w:rsid w:val="00F042A8"/>
    <w:rsid w:val="00F10D4A"/>
    <w:rsid w:val="00F10E96"/>
    <w:rsid w:val="00F12173"/>
    <w:rsid w:val="00F146F4"/>
    <w:rsid w:val="00F14D01"/>
    <w:rsid w:val="00F1618C"/>
    <w:rsid w:val="00F163D9"/>
    <w:rsid w:val="00F20364"/>
    <w:rsid w:val="00F3051E"/>
    <w:rsid w:val="00F328B2"/>
    <w:rsid w:val="00F3346A"/>
    <w:rsid w:val="00F34351"/>
    <w:rsid w:val="00F40605"/>
    <w:rsid w:val="00F547DE"/>
    <w:rsid w:val="00F54964"/>
    <w:rsid w:val="00F55452"/>
    <w:rsid w:val="00F55A28"/>
    <w:rsid w:val="00F60974"/>
    <w:rsid w:val="00F647DC"/>
    <w:rsid w:val="00F65CE2"/>
    <w:rsid w:val="00F67990"/>
    <w:rsid w:val="00F728D7"/>
    <w:rsid w:val="00F756D6"/>
    <w:rsid w:val="00F76CB3"/>
    <w:rsid w:val="00F77594"/>
    <w:rsid w:val="00F82085"/>
    <w:rsid w:val="00F827B9"/>
    <w:rsid w:val="00F8609C"/>
    <w:rsid w:val="00F93757"/>
    <w:rsid w:val="00F938C5"/>
    <w:rsid w:val="00F94196"/>
    <w:rsid w:val="00F94A8C"/>
    <w:rsid w:val="00FA0F63"/>
    <w:rsid w:val="00FA1C05"/>
    <w:rsid w:val="00FA6535"/>
    <w:rsid w:val="00FA764C"/>
    <w:rsid w:val="00FB1876"/>
    <w:rsid w:val="00FB25F4"/>
    <w:rsid w:val="00FB3AC3"/>
    <w:rsid w:val="00FB7B7B"/>
    <w:rsid w:val="00FC0E78"/>
    <w:rsid w:val="00FC2C9A"/>
    <w:rsid w:val="00FD25D9"/>
    <w:rsid w:val="00FD425D"/>
    <w:rsid w:val="00FF047E"/>
    <w:rsid w:val="00FF2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ind w:left="0" w:firstLine="0"/>
      <w:jc w:val="center"/>
      <w:outlineLvl w:val="0"/>
    </w:pPr>
    <w:rPr>
      <w:b/>
    </w:rPr>
  </w:style>
  <w:style w:type="paragraph" w:styleId="Heading2">
    <w:name w:val="heading 2"/>
    <w:basedOn w:val="Heading"/>
    <w:next w:val="BodyText"/>
    <w:qFormat/>
    <w:pPr>
      <w:numPr>
        <w:ilvl w:val="1"/>
        <w:numId w:val="1"/>
      </w:numPr>
      <w:ind w:left="0" w:firstLine="0"/>
      <w:outlineLvl w:val="1"/>
    </w:pPr>
    <w:rPr>
      <w:b/>
    </w:rPr>
  </w:style>
  <w:style w:type="paragraph" w:styleId="Heading3">
    <w:name w:val="heading 3"/>
    <w:basedOn w:val="Heading"/>
    <w:next w:val="BodyText"/>
    <w:qFormat/>
    <w:pPr>
      <w:numPr>
        <w:ilvl w:val="2"/>
        <w:numId w:val="1"/>
      </w:numPr>
      <w:ind w:left="0" w:firstLine="720"/>
      <w:outlineLvl w:val="2"/>
    </w:pPr>
    <w:rPr>
      <w:b/>
    </w:rPr>
  </w:style>
  <w:style w:type="paragraph" w:styleId="Heading4">
    <w:name w:val="heading 4"/>
    <w:basedOn w:val="Heading"/>
    <w:next w:val="BodyText"/>
    <w:qFormat/>
    <w:pPr>
      <w:numPr>
        <w:ilvl w:val="3"/>
        <w:numId w:val="1"/>
      </w:numPr>
      <w:ind w:left="0" w:firstLine="720"/>
      <w:outlineLvl w:val="3"/>
    </w:pPr>
  </w:style>
  <w:style w:type="paragraph" w:styleId="Heading5">
    <w:name w:val="heading 5"/>
    <w:basedOn w:val="Heading"/>
    <w:next w:val="BodyText"/>
    <w:qFormat/>
    <w:pPr>
      <w:numPr>
        <w:ilvl w:val="4"/>
        <w:numId w:val="1"/>
      </w:numPr>
      <w:ind w:left="0" w:firstLine="720"/>
      <w:outlineLvl w:val="4"/>
    </w:pPr>
    <w:rPr>
      <w:i/>
    </w:rPr>
  </w:style>
  <w:style w:type="paragraph" w:styleId="Heading6">
    <w:name w:val="heading 6"/>
    <w:basedOn w:val="Heading"/>
    <w:next w:val="BodyText"/>
    <w:qFormat/>
    <w:pPr>
      <w:numPr>
        <w:ilvl w:val="5"/>
        <w:numId w:val="1"/>
      </w:numPr>
      <w:outlineLvl w:val="5"/>
    </w:pPr>
  </w:style>
  <w:style w:type="paragraph" w:styleId="Heading7">
    <w:name w:val="heading 7"/>
    <w:basedOn w:val="Heading"/>
    <w:next w:val="BodyText"/>
    <w:qFormat/>
    <w:pPr>
      <w:outlineLvl w:val="6"/>
    </w:pPr>
  </w:style>
  <w:style w:type="paragraph" w:styleId="Heading8">
    <w:name w:val="heading 8"/>
    <w:basedOn w:val="Heading"/>
    <w:next w:val="BodyText"/>
    <w:qFormat/>
    <w:pPr>
      <w:outlineLvl w:val="7"/>
    </w:pPr>
  </w:style>
  <w:style w:type="paragraph" w:styleId="Heading9">
    <w:name w:val="heading 9"/>
    <w:basedOn w:val="Heading"/>
    <w:next w:val="BodyTe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style>
  <w:style w:type="character" w:customStyle="1" w:styleId="WW-DefaultParagraphFont11">
    <w:name w:val="WW-Default Paragraph Font11"/>
  </w:style>
  <w:style w:type="character" w:customStyle="1" w:styleId="definedword">
    <w:name w:val="definedword"/>
    <w:basedOn w:val="WW-DefaultParagraphFont11"/>
  </w:style>
  <w:style w:type="character" w:customStyle="1" w:styleId="IndexLink">
    <w:name w:val="Index Link"/>
  </w:style>
  <w:style w:type="character" w:customStyle="1" w:styleId="NumberingSymbols">
    <w:name w:val="Numbering Symbols"/>
  </w:style>
  <w:style w:type="character" w:styleId="Emphasis">
    <w:name w:val="Emphasis"/>
    <w:qFormat/>
    <w:rPr>
      <w:i/>
      <w:iCs/>
    </w:rPr>
  </w:style>
  <w:style w:type="character" w:customStyle="1" w:styleId="BalloonTextChar">
    <w:name w:val="Balloon Text Char"/>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style>
  <w:style w:type="character" w:customStyle="1" w:styleId="ListLabel6">
    <w:name w:val="ListLabel 6"/>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BodyTextChar">
    <w:name w:val="Body Text Char"/>
  </w:style>
  <w:style w:type="character" w:customStyle="1" w:styleId="BodyTextFirstIndentChar">
    <w:name w:val="Body Text First Indent Char"/>
  </w:style>
  <w:style w:type="paragraph" w:customStyle="1" w:styleId="Heading">
    <w:name w:val="Heading"/>
    <w:basedOn w:val="Normal"/>
    <w:next w:val="BodyText"/>
  </w:style>
  <w:style w:type="paragraph" w:styleId="BodyText">
    <w:name w:val="Body Text"/>
    <w:basedOn w:val="Normal"/>
    <w:pPr>
      <w:spacing w:line="360" w:lineRule="auto"/>
    </w:pPr>
    <w:rPr>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AHeading">
    <w:name w:val="toa heading"/>
    <w:basedOn w:val="Heading"/>
    <w:pPr>
      <w:suppressLineNumbers/>
    </w:pPr>
  </w:style>
  <w:style w:type="paragraph" w:styleId="TOC1">
    <w:name w:val="toc 1"/>
    <w:basedOn w:val="Index"/>
    <w:pPr>
      <w:tabs>
        <w:tab w:val="right" w:leader="dot" w:pos="9638"/>
      </w:tabs>
    </w:pPr>
    <w:rPr>
      <w:sz w:val="24"/>
    </w:rPr>
  </w:style>
  <w:style w:type="paragraph" w:styleId="TOC2">
    <w:name w:val="toc 2"/>
    <w:basedOn w:val="Index"/>
    <w:pPr>
      <w:tabs>
        <w:tab w:val="right" w:leader="dot" w:pos="9355"/>
      </w:tabs>
      <w:ind w:left="283"/>
    </w:pPr>
    <w:rPr>
      <w:sz w:val="24"/>
    </w:r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styleId="NormalWeb">
    <w:name w:val="Normal (Web)"/>
    <w:basedOn w:val="Normal"/>
    <w:pPr>
      <w:spacing w:before="280" w:after="119"/>
    </w:pPr>
  </w:style>
  <w:style w:type="paragraph" w:styleId="BodyTextIndent">
    <w:name w:val="Body Text Indent"/>
    <w:basedOn w:val="BodyText"/>
    <w:pPr>
      <w:ind w:left="283"/>
    </w:pPr>
  </w:style>
  <w:style w:type="paragraph" w:styleId="Footer">
    <w:name w:val="footer"/>
    <w:basedOn w:val="Normal"/>
    <w:pPr>
      <w:suppressLineNumbers/>
      <w:tabs>
        <w:tab w:val="center" w:pos="4819"/>
        <w:tab w:val="right" w:pos="9638"/>
      </w:tabs>
    </w:pPr>
  </w:style>
  <w:style w:type="paragraph" w:styleId="BalloonText">
    <w:name w:val="Balloon Text"/>
    <w:basedOn w:val="Normal"/>
  </w:style>
  <w:style w:type="paragraph" w:styleId="CommentText">
    <w:name w:val="annotation text"/>
    <w:basedOn w:val="Normal"/>
    <w:rPr>
      <w:sz w:val="24"/>
      <w:szCs w:val="24"/>
    </w:rPr>
  </w:style>
  <w:style w:type="paragraph" w:styleId="CommentSubject">
    <w:name w:val="annotation subject"/>
    <w:basedOn w:val="CommentText"/>
    <w:next w:val="CommentText"/>
  </w:style>
  <w:style w:type="paragraph" w:styleId="Header">
    <w:name w:val="header"/>
    <w:basedOn w:val="Normal"/>
    <w:pPr>
      <w:suppressLineNumbers/>
      <w:tabs>
        <w:tab w:val="center" w:pos="4819"/>
        <w:tab w:val="right" w:pos="9638"/>
      </w:tab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style>
  <w:style w:type="paragraph" w:styleId="Subtitle">
    <w:name w:val="Subtitle"/>
    <w:basedOn w:val="Heading"/>
    <w:next w:val="BodyText"/>
    <w:qFormat/>
    <w:pPr>
      <w:spacing w:before="60" w:after="120"/>
      <w:jc w:val="center"/>
    </w:pPr>
    <w:rPr>
      <w:sz w:val="36"/>
      <w:szCs w:val="36"/>
    </w:rPr>
  </w:style>
  <w:style w:type="paragraph" w:customStyle="1" w:styleId="TableIndexHeading">
    <w:name w:val="Table Index Heading"/>
    <w:basedOn w:val="Heading"/>
  </w:style>
  <w:style w:type="paragraph" w:customStyle="1" w:styleId="TableIndex1">
    <w:name w:val="Table Index 1"/>
    <w:basedOn w:val="Index"/>
    <w:rPr>
      <w:sz w:val="24"/>
    </w:rPr>
  </w:style>
  <w:style w:type="paragraph" w:customStyle="1" w:styleId="Table">
    <w:name w:val="Table"/>
    <w:basedOn w:val="Caption"/>
  </w:style>
  <w:style w:type="paragraph" w:customStyle="1" w:styleId="MediumGrid21">
    <w:name w:val="Medium Grid 21"/>
    <w:qFormat/>
    <w:pPr>
      <w:suppressAutoHyphens/>
    </w:pPr>
  </w:style>
  <w:style w:type="paragraph" w:styleId="BodyTextFirstIndent">
    <w:name w:val="Body Text First Indent"/>
    <w:basedOn w:val="BodyText"/>
    <w:pPr>
      <w:ind w:firstLine="720"/>
    </w:pPr>
  </w:style>
  <w:style w:type="paragraph" w:customStyle="1" w:styleId="Heading10">
    <w:name w:val="Heading 10"/>
    <w:basedOn w:val="Heading"/>
    <w:next w:val="BodyText"/>
    <w:pPr>
      <w:numPr>
        <w:numId w:val="3"/>
      </w:numPr>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customStyle="1" w:styleId="Textbody">
    <w:name w:val="Text body"/>
    <w:basedOn w:val="Default"/>
  </w:style>
  <w:style w:type="paragraph" w:customStyle="1" w:styleId="Textbodyjustified">
    <w:name w:val="Text body justified"/>
    <w:basedOn w:val="Default"/>
  </w:style>
  <w:style w:type="paragraph" w:customStyle="1" w:styleId="Title1">
    <w:name w:val="Title1"/>
    <w:basedOn w:val="Default"/>
    <w:pPr>
      <w:jc w:val="center"/>
    </w:pPr>
  </w:style>
  <w:style w:type="paragraph" w:customStyle="1" w:styleId="Title2">
    <w:name w:val="Title2"/>
    <w:basedOn w:val="Default"/>
    <w:pPr>
      <w:spacing w:before="57" w:after="57"/>
      <w:ind w:right="113"/>
      <w:jc w:val="center"/>
    </w:pPr>
  </w:style>
  <w:style w:type="paragraph" w:customStyle="1" w:styleId="DimensionLine">
    <w:name w:val="Dimension Line"/>
    <w:basedOn w:val="Default"/>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2" w:line="216" w:lineRule="auto"/>
      <w:ind w:left="540" w:hanging="540"/>
    </w:p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line="216" w:lineRule="auto"/>
      <w:ind w:left="540" w:hanging="540"/>
      <w:jc w:val="center"/>
    </w:p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style>
  <w:style w:type="paragraph" w:customStyle="1" w:styleId="DefaultLTHintergrund">
    <w:name w:val="Default~LT~Hintergrund"/>
    <w:pPr>
      <w:suppressAutoHyphens/>
      <w:jc w:val="center"/>
    </w:pPr>
  </w:style>
  <w:style w:type="paragraph" w:customStyle="1" w:styleId="default0">
    <w:name w:val="default"/>
    <w:pPr>
      <w:suppressAutoHyphens/>
      <w:spacing w:line="200" w:lineRule="atLeast"/>
    </w:pPr>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oise1">
    <w:name w:val="turquoise1"/>
    <w:basedOn w:val="default0"/>
  </w:style>
  <w:style w:type="paragraph" w:customStyle="1" w:styleId="turquoise2">
    <w:name w:val="turquoise2"/>
    <w:basedOn w:val="default0"/>
  </w:style>
  <w:style w:type="paragraph" w:customStyle="1" w:styleId="turquoise3">
    <w:name w:val="turquoise3"/>
    <w:basedOn w:val="default0"/>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style>
  <w:style w:type="paragraph" w:customStyle="1" w:styleId="Background">
    <w:name w:val="Background"/>
    <w:pPr>
      <w:suppressAutoHyphens/>
      <w:jc w:val="center"/>
    </w:p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2" w:line="216" w:lineRule="auto"/>
      <w:ind w:left="540" w:hanging="540"/>
    </w:p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70"/>
      <w:ind w:left="1800" w:hanging="360"/>
    </w:p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15"/>
      <w:ind w:left="2520"/>
    </w:p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7"/>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Revision">
    <w:name w:val="Revision"/>
    <w:hidden/>
    <w:uiPriority w:val="71"/>
    <w:unhideWhenUsed/>
    <w:rsid w:val="002C40F6"/>
  </w:style>
  <w:style w:type="paragraph" w:styleId="PlainText">
    <w:name w:val="Plain Text"/>
    <w:basedOn w:val="Normal"/>
    <w:link w:val="PlainTextChar"/>
    <w:uiPriority w:val="99"/>
    <w:unhideWhenUsed/>
    <w:rsid w:val="00A5030F"/>
    <w:pPr>
      <w:widowControl/>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A503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s11916-010-017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2340/16501977-1227"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1007/978-1-4757-0447-1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4382-929C-4618-8D76-B84DFC13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9519</Words>
  <Characters>54260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63652</CharactersWithSpaces>
  <SharedDoc>false</SharedDoc>
  <HLinks>
    <vt:vector size="12" baseType="variant">
      <vt:variant>
        <vt:i4>458782</vt:i4>
      </vt:variant>
      <vt:variant>
        <vt:i4>3</vt:i4>
      </vt:variant>
      <vt:variant>
        <vt:i4>0</vt:i4>
      </vt:variant>
      <vt:variant>
        <vt:i4>5</vt:i4>
      </vt:variant>
      <vt:variant>
        <vt:lpwstr>https://doi.org/10.1007/s11916-010-0170-2</vt:lpwstr>
      </vt:variant>
      <vt:variant>
        <vt:lpwstr/>
      </vt:variant>
      <vt:variant>
        <vt:i4>2031684</vt:i4>
      </vt:variant>
      <vt:variant>
        <vt:i4>0</vt:i4>
      </vt:variant>
      <vt:variant>
        <vt:i4>0</vt:i4>
      </vt:variant>
      <vt:variant>
        <vt:i4>5</vt:i4>
      </vt:variant>
      <vt:variant>
        <vt:lpwstr>https://doi.org/10.2340/16501977-1227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2018-08-08T14:28:00Z</dcterms:created>
  <dcterms:modified xsi:type="dcterms:W3CDTF">2018-10-04T16:11:00Z</dcterms:modified>
</cp:coreProperties>
</file>