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6B" w:rsidRPr="0001476B" w:rsidRDefault="0001476B" w:rsidP="0001476B">
      <w:pPr>
        <w:numPr>
          <w:ilvl w:val="0"/>
          <w:numId w:val="24"/>
        </w:numPr>
        <w:spacing w:after="0" w:line="360" w:lineRule="auto"/>
        <w:rPr>
          <w:rFonts w:ascii="Arial" w:eastAsia="Times New Roman" w:hAnsi="Arial" w:cs="Arial"/>
          <w:bCs/>
          <w:kern w:val="32"/>
          <w:sz w:val="20"/>
          <w:szCs w:val="20"/>
          <w:lang w:val="en-US" w:eastAsia="en-GB"/>
        </w:rPr>
      </w:pPr>
      <w:bookmarkStart w:id="0" w:name="_Ref203645757"/>
      <w:bookmarkStart w:id="1" w:name="_Toc211237669"/>
      <w:bookmarkStart w:id="2" w:name="_Toc220890605"/>
      <w:bookmarkStart w:id="3" w:name="_GoBack"/>
      <w:bookmarkEnd w:id="3"/>
      <w:r w:rsidRPr="0001476B">
        <w:rPr>
          <w:rFonts w:ascii="Arial" w:eastAsia="Times New Roman" w:hAnsi="Arial" w:cs="Arial"/>
          <w:bCs/>
          <w:kern w:val="32"/>
          <w:sz w:val="20"/>
          <w:szCs w:val="20"/>
          <w:lang w:val="en-US" w:eastAsia="en-GB"/>
        </w:rPr>
        <w:t>Word count 3106 (excluding referencing)</w:t>
      </w:r>
    </w:p>
    <w:p w:rsidR="0001476B" w:rsidRPr="0001476B" w:rsidRDefault="0001476B" w:rsidP="0001476B">
      <w:pPr>
        <w:numPr>
          <w:ilvl w:val="0"/>
          <w:numId w:val="24"/>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Date revised: 17/07/2017</w:t>
      </w:r>
    </w:p>
    <w:p w:rsidR="0001476B" w:rsidRPr="0001476B" w:rsidRDefault="0001476B" w:rsidP="0001476B">
      <w:pPr>
        <w:numPr>
          <w:ilvl w:val="0"/>
          <w:numId w:val="24"/>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Number of tables: 4, number of figures: 7.</w:t>
      </w:r>
    </w:p>
    <w:p w:rsidR="0001476B" w:rsidRPr="0001476B" w:rsidRDefault="0001476B" w:rsidP="0001476B">
      <w:pPr>
        <w:spacing w:after="0" w:line="360" w:lineRule="auto"/>
        <w:rPr>
          <w:rFonts w:ascii="Arial" w:eastAsia="Times New Roman" w:hAnsi="Arial" w:cs="Arial"/>
          <w:b/>
          <w:bCs/>
          <w:kern w:val="32"/>
          <w:sz w:val="20"/>
          <w:szCs w:val="20"/>
          <w:lang w:val="en-US" w:eastAsia="en-GB"/>
        </w:rPr>
      </w:pPr>
    </w:p>
    <w:p w:rsidR="0001476B" w:rsidRPr="0001476B" w:rsidRDefault="0001476B" w:rsidP="0001476B">
      <w:pPr>
        <w:spacing w:after="0" w:line="360" w:lineRule="auto"/>
        <w:rPr>
          <w:rFonts w:ascii="Arial" w:eastAsia="Times New Roman" w:hAnsi="Arial" w:cs="Arial"/>
          <w:b/>
          <w:bCs/>
          <w:kern w:val="32"/>
          <w:sz w:val="20"/>
          <w:szCs w:val="20"/>
          <w:lang w:val="en-US" w:eastAsia="en-GB"/>
        </w:rPr>
      </w:pPr>
      <w:r w:rsidRPr="0001476B">
        <w:rPr>
          <w:rFonts w:ascii="Arial" w:eastAsia="Times New Roman" w:hAnsi="Arial" w:cs="Arial"/>
          <w:b/>
          <w:bCs/>
          <w:kern w:val="32"/>
          <w:sz w:val="20"/>
          <w:szCs w:val="20"/>
          <w:lang w:val="en-US" w:eastAsia="en-GB"/>
        </w:rPr>
        <w:t xml:space="preserve">Title:  Environmentally </w:t>
      </w:r>
      <w:r w:rsidRPr="0001476B">
        <w:rPr>
          <w:rFonts w:ascii="Arial" w:eastAsia="Times New Roman" w:hAnsi="Arial" w:cs="Arial"/>
          <w:b/>
          <w:bCs/>
          <w:kern w:val="32"/>
          <w:sz w:val="20"/>
          <w:szCs w:val="20"/>
          <w:lang w:eastAsia="en-GB"/>
        </w:rPr>
        <w:t>sustainable bridge solution from a maintenance perspective</w:t>
      </w:r>
    </w:p>
    <w:p w:rsidR="0001476B" w:rsidRPr="0001476B" w:rsidRDefault="0001476B" w:rsidP="0001476B">
      <w:pPr>
        <w:spacing w:after="0" w:line="360" w:lineRule="auto"/>
        <w:rPr>
          <w:rFonts w:ascii="Arial" w:eastAsia="Times New Roman" w:hAnsi="Arial" w:cs="Arial"/>
          <w:sz w:val="20"/>
          <w:szCs w:val="20"/>
          <w:lang w:val="en-US" w:eastAsia="en-GB"/>
        </w:rPr>
      </w:pPr>
    </w:p>
    <w:p w:rsidR="0001476B" w:rsidRPr="0001476B" w:rsidRDefault="0001476B" w:rsidP="0001476B">
      <w:p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Author 1</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Teslim B. Balogun, BSc, MSc</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Department of Architecture and Built Environment, University of the West of England, Bristol, United Kingdom</w:t>
      </w:r>
    </w:p>
    <w:p w:rsidR="0001476B" w:rsidRPr="0001476B" w:rsidRDefault="00860B2D" w:rsidP="0001476B">
      <w:pPr>
        <w:spacing w:after="0" w:line="360" w:lineRule="auto"/>
        <w:rPr>
          <w:rFonts w:ascii="Arial" w:eastAsia="Times New Roman" w:hAnsi="Arial" w:cs="Arial"/>
          <w:b/>
          <w:sz w:val="20"/>
          <w:szCs w:val="20"/>
          <w:lang w:val="de-DE" w:eastAsia="en-GB"/>
        </w:rPr>
      </w:pPr>
      <w:hyperlink r:id="rId8" w:history="1">
        <w:r w:rsidR="0001476B" w:rsidRPr="0001476B">
          <w:rPr>
            <w:rFonts w:ascii="Arial" w:eastAsia="Times New Roman" w:hAnsi="Arial" w:cs="Arial"/>
            <w:sz w:val="20"/>
            <w:szCs w:val="20"/>
            <w:u w:val="single"/>
            <w:lang w:val="de-DE" w:eastAsia="en-GB"/>
          </w:rPr>
          <w:t>Teslim2.Balogun@live,uwe,ac.uk</w:t>
        </w:r>
      </w:hyperlink>
      <w:r w:rsidR="0001476B" w:rsidRPr="0001476B">
        <w:rPr>
          <w:rFonts w:ascii="Arial" w:eastAsia="Times New Roman" w:hAnsi="Arial" w:cs="Arial"/>
          <w:b/>
          <w:sz w:val="20"/>
          <w:szCs w:val="20"/>
          <w:lang w:val="de-DE" w:eastAsia="en-GB"/>
        </w:rPr>
        <w:t>, Tel 01173286494</w:t>
      </w:r>
    </w:p>
    <w:p w:rsidR="0001476B" w:rsidRPr="0001476B" w:rsidRDefault="0001476B" w:rsidP="0001476B">
      <w:pPr>
        <w:spacing w:after="0" w:line="240" w:lineRule="auto"/>
        <w:rPr>
          <w:rFonts w:ascii="Arial" w:eastAsia="Times New Roman" w:hAnsi="Arial" w:cs="Arial"/>
          <w:lang w:val="de-DE" w:eastAsia="en-GB"/>
        </w:rPr>
      </w:pPr>
    </w:p>
    <w:p w:rsidR="0001476B" w:rsidRPr="0001476B" w:rsidRDefault="0001476B" w:rsidP="0001476B">
      <w:pPr>
        <w:spacing w:after="0" w:line="240" w:lineRule="auto"/>
        <w:rPr>
          <w:rFonts w:ascii="Arial" w:eastAsia="Times New Roman" w:hAnsi="Arial" w:cs="Arial"/>
          <w:lang w:val="de-DE" w:eastAsia="en-GB"/>
        </w:rPr>
      </w:pPr>
    </w:p>
    <w:p w:rsidR="0001476B" w:rsidRPr="0001476B" w:rsidRDefault="0001476B" w:rsidP="0001476B">
      <w:pPr>
        <w:spacing w:after="0" w:line="360" w:lineRule="auto"/>
        <w:rPr>
          <w:rFonts w:ascii="Arial" w:eastAsia="Times New Roman" w:hAnsi="Arial" w:cs="Arial"/>
          <w:sz w:val="20"/>
          <w:szCs w:val="20"/>
          <w:lang w:val="en-US" w:eastAsia="en-GB"/>
        </w:rPr>
      </w:pPr>
      <w:bookmarkStart w:id="4" w:name="_Hlk487539174"/>
      <w:r w:rsidRPr="0001476B">
        <w:rPr>
          <w:rFonts w:ascii="Arial" w:eastAsia="Times New Roman" w:hAnsi="Arial" w:cs="Arial"/>
          <w:sz w:val="20"/>
          <w:szCs w:val="20"/>
          <w:lang w:val="en-US" w:eastAsia="en-GB"/>
        </w:rPr>
        <w:t>Author 2</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Adrienn Tomor, PhD</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Department of Architecture and Built Environment, University of the West of England, Bristol, United Kingdom</w:t>
      </w:r>
    </w:p>
    <w:bookmarkEnd w:id="4"/>
    <w:p w:rsidR="0001476B" w:rsidRPr="0001476B" w:rsidRDefault="0001476B" w:rsidP="0001476B">
      <w:pPr>
        <w:spacing w:after="0" w:line="240" w:lineRule="auto"/>
        <w:rPr>
          <w:rFonts w:ascii="Arial" w:eastAsia="Times New Roman" w:hAnsi="Arial" w:cs="Arial"/>
          <w:lang w:val="en-US" w:eastAsia="en-GB"/>
        </w:rPr>
      </w:pPr>
    </w:p>
    <w:p w:rsidR="0001476B" w:rsidRPr="0001476B" w:rsidRDefault="0001476B" w:rsidP="0001476B">
      <w:p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Author 3</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Jessica Lamond, PhD</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Department of Architecture and Built Environment, University of the West of England, Bristol, United Kingdom</w:t>
      </w:r>
    </w:p>
    <w:p w:rsidR="0001476B" w:rsidRPr="0001476B" w:rsidRDefault="0001476B" w:rsidP="0001476B">
      <w:pPr>
        <w:spacing w:after="0" w:line="360" w:lineRule="auto"/>
        <w:rPr>
          <w:rFonts w:ascii="Arial" w:eastAsia="Times New Roman" w:hAnsi="Arial" w:cs="Arial"/>
          <w:sz w:val="20"/>
          <w:szCs w:val="20"/>
          <w:lang w:val="en-US" w:eastAsia="en-GB"/>
        </w:rPr>
      </w:pPr>
    </w:p>
    <w:p w:rsidR="0001476B" w:rsidRPr="0001476B" w:rsidRDefault="0001476B" w:rsidP="0001476B">
      <w:p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Author 4</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Hazeem Gaoza, PhD</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Department of Architecture and Built Environment, University of the West of England, Bristol, United Kingdom</w:t>
      </w:r>
    </w:p>
    <w:p w:rsidR="0001476B" w:rsidRPr="0001476B" w:rsidRDefault="0001476B" w:rsidP="0001476B">
      <w:pPr>
        <w:spacing w:after="0" w:line="360" w:lineRule="auto"/>
        <w:rPr>
          <w:rFonts w:ascii="Arial" w:eastAsia="Times New Roman" w:hAnsi="Arial" w:cs="Arial"/>
          <w:sz w:val="20"/>
          <w:szCs w:val="20"/>
          <w:lang w:val="en-US" w:eastAsia="en-GB"/>
        </w:rPr>
      </w:pPr>
    </w:p>
    <w:p w:rsidR="0001476B" w:rsidRPr="0001476B" w:rsidRDefault="0001476B" w:rsidP="0001476B">
      <w:p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Author 5</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Colin A. Booth, PhD</w:t>
      </w:r>
    </w:p>
    <w:p w:rsidR="0001476B" w:rsidRPr="0001476B" w:rsidRDefault="0001476B" w:rsidP="0001476B">
      <w:pPr>
        <w:numPr>
          <w:ilvl w:val="0"/>
          <w:numId w:val="25"/>
        </w:numPr>
        <w:spacing w:after="0" w:line="360" w:lineRule="auto"/>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Department of Architecture and Built Environment, University of the West of England, Bristol, United Kingdom</w:t>
      </w:r>
    </w:p>
    <w:p w:rsidR="0001476B" w:rsidRPr="0001476B" w:rsidRDefault="0001476B" w:rsidP="0001476B">
      <w:pPr>
        <w:spacing w:after="0" w:line="360" w:lineRule="auto"/>
        <w:outlineLvl w:val="0"/>
        <w:rPr>
          <w:rFonts w:ascii="Arial" w:eastAsia="Times New Roman" w:hAnsi="Arial" w:cs="Arial"/>
          <w:b/>
          <w:sz w:val="20"/>
          <w:szCs w:val="20"/>
          <w:lang w:eastAsia="en-GB"/>
        </w:rPr>
      </w:pPr>
    </w:p>
    <w:p w:rsidR="0001476B" w:rsidRPr="0001476B" w:rsidRDefault="0001476B" w:rsidP="0001476B">
      <w:pPr>
        <w:spacing w:after="0" w:line="360" w:lineRule="auto"/>
        <w:outlineLvl w:val="0"/>
        <w:rPr>
          <w:rFonts w:ascii="Arial" w:eastAsia="Times New Roman" w:hAnsi="Arial" w:cs="Arial"/>
          <w:b/>
          <w:sz w:val="20"/>
          <w:szCs w:val="20"/>
          <w:lang w:eastAsia="en-GB"/>
        </w:rPr>
      </w:pPr>
    </w:p>
    <w:p w:rsidR="0001476B" w:rsidRPr="0001476B" w:rsidRDefault="0001476B" w:rsidP="0001476B">
      <w:pPr>
        <w:spacing w:after="0" w:line="360" w:lineRule="auto"/>
        <w:outlineLvl w:val="0"/>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r w:rsidRPr="0001476B">
        <w:rPr>
          <w:rFonts w:ascii="Arial" w:eastAsia="Times New Roman" w:hAnsi="Arial" w:cs="Arial"/>
          <w:b/>
          <w:sz w:val="20"/>
          <w:szCs w:val="20"/>
          <w:lang w:eastAsia="en-GB"/>
        </w:rPr>
        <w:br w:type="page"/>
      </w:r>
    </w:p>
    <w:p w:rsidR="0001476B" w:rsidRPr="0001476B" w:rsidRDefault="0001476B" w:rsidP="0001476B">
      <w:pPr>
        <w:spacing w:after="0" w:line="360" w:lineRule="auto"/>
        <w:outlineLvl w:val="0"/>
        <w:rPr>
          <w:rFonts w:ascii="Arial" w:eastAsia="Times New Roman" w:hAnsi="Arial" w:cs="Arial"/>
          <w:b/>
          <w:sz w:val="20"/>
          <w:szCs w:val="20"/>
          <w:lang w:eastAsia="en-GB"/>
        </w:rPr>
      </w:pPr>
      <w:r w:rsidRPr="0001476B">
        <w:rPr>
          <w:rFonts w:ascii="Arial" w:eastAsia="Times New Roman" w:hAnsi="Arial" w:cs="Arial"/>
          <w:b/>
          <w:sz w:val="20"/>
          <w:szCs w:val="20"/>
          <w:lang w:eastAsia="en-GB"/>
        </w:rPr>
        <w:lastRenderedPageBreak/>
        <w:t xml:space="preserve">Abstract </w:t>
      </w:r>
    </w:p>
    <w:p w:rsidR="0001476B" w:rsidRPr="0001476B" w:rsidRDefault="0001476B" w:rsidP="0001476B">
      <w:pPr>
        <w:spacing w:after="0" w:line="360" w:lineRule="auto"/>
        <w:outlineLvl w:val="0"/>
        <w:rPr>
          <w:rFonts w:ascii="Arial" w:eastAsia="Times New Roman" w:hAnsi="Arial" w:cs="Arial"/>
          <w:b/>
          <w:sz w:val="20"/>
          <w:szCs w:val="20"/>
          <w:lang w:eastAsia="en-GB"/>
        </w:rPr>
      </w:pPr>
    </w:p>
    <w:p w:rsidR="0001476B" w:rsidRPr="0001476B" w:rsidRDefault="0001476B" w:rsidP="0001476B">
      <w:pPr>
        <w:widowControl w:val="0"/>
        <w:autoSpaceDE w:val="0"/>
        <w:autoSpaceDN w:val="0"/>
        <w:adjustRightInd w:val="0"/>
        <w:spacing w:after="0" w:line="360" w:lineRule="auto"/>
        <w:ind w:right="567"/>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The maintenance phase is crucial in determining a sustainable structure. Bridge maintenance contributes to sustainable development matters emerging from cost and environmental impact associated with various maintenance activities. Comparisons have been made between different bridge structural form, based on materials, components and construction method, but less information is available on bridge maintenance activities to help decide a sustainable structural form. Concrete, steel and masonry bridge maintenance activities was considered in this study to reveal the structural form with more sustainable maintenance qualities on the basis of their material, energy and transportation impact on human health, ecosystem and energy. Masonry bridge emerged more sustainable on the account of life cycle environmental impact of its maintenance activities. Concrete and steel bridge emerged least sustainable. The paper concludes that masonry bridge should be considered more for new structural solutions rather than the automatic preference for concrete and steel options </w:t>
      </w:r>
    </w:p>
    <w:p w:rsidR="0001476B" w:rsidRPr="0001476B" w:rsidRDefault="0001476B" w:rsidP="0001476B">
      <w:pPr>
        <w:widowControl w:val="0"/>
        <w:autoSpaceDE w:val="0"/>
        <w:autoSpaceDN w:val="0"/>
        <w:adjustRightInd w:val="0"/>
        <w:spacing w:after="0" w:line="360" w:lineRule="auto"/>
        <w:ind w:right="567"/>
        <w:rPr>
          <w:rFonts w:ascii="Arial" w:eastAsia="Times New Roman" w:hAnsi="Arial" w:cs="Arial"/>
          <w:sz w:val="20"/>
          <w:szCs w:val="20"/>
          <w:lang w:val="en-US" w:eastAsia="en-GB"/>
        </w:rPr>
      </w:pPr>
    </w:p>
    <w:p w:rsidR="0001476B" w:rsidRPr="0001476B" w:rsidRDefault="0001476B" w:rsidP="0001476B">
      <w:pPr>
        <w:widowControl w:val="0"/>
        <w:autoSpaceDE w:val="0"/>
        <w:autoSpaceDN w:val="0"/>
        <w:adjustRightInd w:val="0"/>
        <w:spacing w:after="0" w:line="360" w:lineRule="auto"/>
        <w:ind w:right="567"/>
        <w:rPr>
          <w:rFonts w:ascii="Arial" w:eastAsia="Times New Roman" w:hAnsi="Arial" w:cs="Arial"/>
          <w:sz w:val="20"/>
          <w:szCs w:val="20"/>
          <w:lang w:val="en-US" w:eastAsia="en-GB"/>
        </w:rPr>
      </w:pPr>
      <w:r w:rsidRPr="0001476B">
        <w:rPr>
          <w:rFonts w:ascii="Arial" w:eastAsia="Times New Roman" w:hAnsi="Arial" w:cs="Arial"/>
          <w:b/>
          <w:sz w:val="20"/>
          <w:szCs w:val="20"/>
          <w:lang w:val="en-US" w:eastAsia="en-GB"/>
        </w:rPr>
        <w:t>Keywords</w:t>
      </w:r>
      <w:r w:rsidRPr="0001476B">
        <w:rPr>
          <w:rFonts w:ascii="Arial" w:eastAsia="Times New Roman" w:hAnsi="Arial" w:cs="Arial"/>
          <w:sz w:val="20"/>
          <w:szCs w:val="20"/>
          <w:lang w:val="en-US" w:eastAsia="en-GB"/>
        </w:rPr>
        <w:t xml:space="preserve"> </w:t>
      </w:r>
    </w:p>
    <w:p w:rsidR="0001476B" w:rsidRPr="0001476B" w:rsidRDefault="0001476B" w:rsidP="0001476B">
      <w:pPr>
        <w:widowControl w:val="0"/>
        <w:autoSpaceDE w:val="0"/>
        <w:autoSpaceDN w:val="0"/>
        <w:adjustRightInd w:val="0"/>
        <w:spacing w:after="0" w:line="360" w:lineRule="auto"/>
        <w:ind w:right="567"/>
        <w:rPr>
          <w:rFonts w:ascii="Arial" w:eastAsia="Times New Roman" w:hAnsi="Arial" w:cs="Arial"/>
          <w:sz w:val="20"/>
          <w:szCs w:val="20"/>
          <w:lang w:val="en-US" w:eastAsia="en-GB"/>
        </w:rPr>
      </w:pPr>
      <w:r w:rsidRPr="0001476B">
        <w:rPr>
          <w:rFonts w:ascii="Arial" w:eastAsia="Times New Roman" w:hAnsi="Arial" w:cs="Arial"/>
          <w:sz w:val="20"/>
          <w:szCs w:val="20"/>
          <w:lang w:val="en-US" w:eastAsia="en-GB"/>
        </w:rPr>
        <w:t xml:space="preserve">Bridge; sustainability; life cycle assessment; bridge maintenance </w:t>
      </w: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pPr>
    </w:p>
    <w:p w:rsidR="0001476B" w:rsidRPr="0001476B" w:rsidRDefault="0001476B" w:rsidP="0001476B">
      <w:pPr>
        <w:spacing w:after="0" w:line="360" w:lineRule="auto"/>
        <w:rPr>
          <w:rFonts w:ascii="Arial" w:eastAsia="Times New Roman" w:hAnsi="Arial" w:cs="Arial"/>
          <w:b/>
          <w:sz w:val="20"/>
          <w:szCs w:val="20"/>
          <w:lang w:eastAsia="en-GB"/>
        </w:rPr>
        <w:sectPr w:rsidR="0001476B" w:rsidRPr="0001476B" w:rsidSect="0001476B">
          <w:footerReference w:type="default" r:id="rId9"/>
          <w:footerReference w:type="first" r:id="rId10"/>
          <w:footnotePr>
            <w:numFmt w:val="chicago"/>
          </w:footnotePr>
          <w:pgSz w:w="11906" w:h="16838" w:code="9"/>
          <w:pgMar w:top="1560" w:right="1701" w:bottom="1560" w:left="1701" w:header="709" w:footer="0" w:gutter="0"/>
          <w:pgNumType w:start="1"/>
          <w:cols w:space="708"/>
          <w:titlePg/>
          <w:docGrid w:linePitch="360"/>
        </w:sectPr>
      </w:pP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b/>
          <w:sz w:val="20"/>
          <w:szCs w:val="20"/>
          <w:lang w:eastAsia="en-GB"/>
        </w:rPr>
        <w:lastRenderedPageBreak/>
        <w:t>Introduction</w:t>
      </w: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Sustainable development has been a focus of construction industry for the last two decades owing to issues of limited resources and climate change.</w:t>
      </w:r>
      <w:bookmarkStart w:id="5" w:name="_Hlk488653904"/>
      <w:r w:rsidRPr="0001476B">
        <w:rPr>
          <w:rFonts w:ascii="Arial" w:eastAsia="Batang" w:hAnsi="Arial" w:cs="Arial"/>
          <w:sz w:val="20"/>
          <w:szCs w:val="20"/>
          <w:lang w:eastAsia="en-GB"/>
        </w:rPr>
        <w:t xml:space="preserve"> Infrastructures like bridges, roads, railways and so on cannot be ruled out of such issues emerging from the amount of materials and resources they consume during their construction and maintenance life cycle phase (Pollalis et al., 2012)</w:t>
      </w:r>
      <w:bookmarkEnd w:id="5"/>
      <w:r w:rsidRPr="0001476B">
        <w:rPr>
          <w:rFonts w:ascii="Arial" w:eastAsia="Batang" w:hAnsi="Arial" w:cs="Arial"/>
          <w:sz w:val="20"/>
          <w:szCs w:val="20"/>
          <w:lang w:eastAsia="en-GB"/>
        </w:rPr>
        <w:t xml:space="preserve">.  The local highway network includes over 50,000 bridges in the UK with a limited maintenance budget of £6 billion for 2015 to 2021 (DOT, 2013). Bridge maintenance is therefore a life cycle. However, it is worth investigating whether less maintenance schemes equals less environmental impact to decide a sustainable structural form. This emerges from increasing emphasis on environmental matters of climate change and limited resources (DECC, 2016).  It is envisaged that a structural form with less environmental impact (i.e. consumes less resources, limited impact on climate change, consumes less energy and so on) from maintenance point of view could allow more sustainable bridges to be constructed. </w:t>
      </w:r>
    </w:p>
    <w:p w:rsidR="0001476B" w:rsidRPr="0001476B" w:rsidRDefault="0001476B" w:rsidP="0001476B">
      <w:pPr>
        <w:spacing w:after="0" w:line="480" w:lineRule="auto"/>
        <w:rPr>
          <w:rFonts w:ascii="Arial" w:eastAsia="Batang" w:hAnsi="Arial" w:cs="Arial"/>
          <w:sz w:val="20"/>
          <w:szCs w:val="20"/>
          <w:lang w:eastAsia="en-GB"/>
        </w:rPr>
      </w:pPr>
    </w:p>
    <w:p w:rsidR="0001476B" w:rsidRPr="0001476B" w:rsidRDefault="0001476B" w:rsidP="0001476B">
      <w:pPr>
        <w:spacing w:after="0" w:line="480" w:lineRule="auto"/>
        <w:rPr>
          <w:rFonts w:ascii="Arial" w:eastAsia="Batang" w:hAnsi="Arial" w:cs="Arial"/>
          <w:b/>
          <w:sz w:val="20"/>
          <w:szCs w:val="20"/>
          <w:lang w:eastAsia="en-GB"/>
        </w:rPr>
      </w:pPr>
      <w:r w:rsidRPr="0001476B">
        <w:rPr>
          <w:rFonts w:ascii="Arial" w:eastAsia="Batang" w:hAnsi="Arial" w:cs="Arial"/>
          <w:b/>
          <w:sz w:val="20"/>
          <w:szCs w:val="20"/>
          <w:lang w:eastAsia="en-GB"/>
        </w:rPr>
        <w:t xml:space="preserve">2. Literature review </w:t>
      </w: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Sustainability of bridges has mostly been considered in terms of design, construction and material type (Du et al., 2014) but little attention has been given to sustainability of bridges from maintenance perspective. Sustainability in bridge maintenance is only starting to be explored for new construction through the application of Life-cycle Assessment (LCA) which is beginning to gain ground across the built environment to improve sustainability (Pang et al., 2015), but only to a limited extent to bridge maintenance. </w:t>
      </w:r>
      <w:r w:rsidRPr="0001476B">
        <w:rPr>
          <w:rFonts w:ascii="Arial" w:eastAsia="Times New Roman" w:hAnsi="Arial" w:cs="Arial"/>
          <w:sz w:val="20"/>
          <w:szCs w:val="20"/>
          <w:lang w:eastAsia="en-GB"/>
        </w:rPr>
        <w:t xml:space="preserve">LCA can provide </w:t>
      </w:r>
      <w:r w:rsidRPr="0001476B">
        <w:rPr>
          <w:rFonts w:ascii="Arial" w:eastAsia="Batang" w:hAnsi="Arial" w:cs="Arial"/>
          <w:sz w:val="20"/>
          <w:szCs w:val="20"/>
          <w:lang w:eastAsia="en-GB"/>
        </w:rPr>
        <w:t xml:space="preserve">indicators </w:t>
      </w:r>
      <w:r w:rsidRPr="0001476B">
        <w:rPr>
          <w:rFonts w:ascii="Arial" w:eastAsia="Times New Roman" w:hAnsi="Arial" w:cs="Arial"/>
          <w:sz w:val="20"/>
          <w:szCs w:val="20"/>
          <w:lang w:eastAsia="en-GB"/>
        </w:rPr>
        <w:t>for environmental impact</w:t>
      </w:r>
      <w:r w:rsidRPr="0001476B">
        <w:rPr>
          <w:rFonts w:ascii="Arial" w:eastAsia="Batang" w:hAnsi="Arial" w:cs="Arial"/>
          <w:sz w:val="20"/>
          <w:szCs w:val="20"/>
          <w:lang w:eastAsia="en-GB"/>
        </w:rPr>
        <w:t xml:space="preserve"> (e.g. climate change, resource use, metal depletion, water consumption) </w:t>
      </w:r>
      <w:r w:rsidRPr="0001476B">
        <w:rPr>
          <w:rFonts w:ascii="Arial" w:eastAsia="Times New Roman" w:hAnsi="Arial" w:cs="Arial"/>
          <w:sz w:val="20"/>
          <w:szCs w:val="20"/>
          <w:lang w:eastAsia="en-GB"/>
        </w:rPr>
        <w:t xml:space="preserve">arising from construction, maintenance. </w:t>
      </w:r>
      <w:r w:rsidRPr="0001476B">
        <w:rPr>
          <w:rFonts w:ascii="Arial" w:eastAsia="Batang" w:hAnsi="Arial" w:cs="Arial"/>
          <w:sz w:val="20"/>
          <w:szCs w:val="20"/>
          <w:lang w:eastAsia="en-GB"/>
        </w:rPr>
        <w:t>LCA indicators are currently widely considered in bridge design regarding bridge form (Horvath and Hendrickson, 1998; Itoh and Kitagawa, 2003; Gervásio and Da Silva, 2008; Hammervold et al. 2013; Du et al., 2014), materials (Keoleian et al. 2005; Lounis and Daigle 2007; Bouhaya et al. 2009) or components (Steele et al., 2003; Martin, 2004; Keoleian et al., 2005; Collings, 2006; Du and Kar</w:t>
      </w:r>
      <w:r w:rsidR="00DD3E06">
        <w:rPr>
          <w:rFonts w:ascii="Arial" w:eastAsia="Batang" w:hAnsi="Arial" w:cs="Arial"/>
          <w:sz w:val="20"/>
          <w:szCs w:val="20"/>
          <w:lang w:eastAsia="en-GB"/>
        </w:rPr>
        <w:t>oumi, 2014</w:t>
      </w:r>
      <w:r w:rsidRPr="0001476B">
        <w:rPr>
          <w:rFonts w:ascii="Arial" w:eastAsia="Batang" w:hAnsi="Arial" w:cs="Arial"/>
          <w:sz w:val="20"/>
          <w:szCs w:val="20"/>
          <w:lang w:eastAsia="en-GB"/>
        </w:rPr>
        <w:t xml:space="preserve">), but </w:t>
      </w:r>
      <w:r w:rsidRPr="0001476B">
        <w:rPr>
          <w:rFonts w:ascii="Arial" w:eastAsia="Times New Roman" w:hAnsi="Arial" w:cs="Arial"/>
          <w:sz w:val="20"/>
          <w:szCs w:val="20"/>
          <w:lang w:eastAsia="en-GB"/>
        </w:rPr>
        <w:t xml:space="preserve">are </w:t>
      </w:r>
      <w:r w:rsidRPr="0001476B">
        <w:rPr>
          <w:rFonts w:ascii="Arial" w:eastAsia="Batang" w:hAnsi="Arial" w:cs="Arial"/>
          <w:sz w:val="20"/>
          <w:szCs w:val="20"/>
          <w:lang w:eastAsia="en-GB"/>
        </w:rPr>
        <w:t>rarely considered for bridge maintenance decisions.</w:t>
      </w: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The majority of studies used assumed figures due to lack of data (Keolein et al., 2005). For example, Itoh and Kitagawa (2003) derived maintenance information from inspection manual, Du and Karoumi 2013; 2014) gathered information from the industry and literatures, while other studies assumed no maintenance (Bouhaya et al. 2009). Only few studies have considered maintenance options in detail. For example, Steele </w:t>
      </w:r>
      <w:r w:rsidRPr="0001476B">
        <w:rPr>
          <w:rFonts w:ascii="Arial" w:eastAsia="Batang" w:hAnsi="Arial" w:cs="Arial"/>
          <w:i/>
          <w:sz w:val="20"/>
          <w:szCs w:val="20"/>
          <w:lang w:eastAsia="en-GB"/>
        </w:rPr>
        <w:t>et al</w:t>
      </w:r>
      <w:r w:rsidRPr="0001476B">
        <w:rPr>
          <w:rFonts w:ascii="Arial" w:eastAsia="Batang" w:hAnsi="Arial" w:cs="Arial"/>
          <w:sz w:val="20"/>
          <w:szCs w:val="20"/>
          <w:lang w:eastAsia="en-GB"/>
        </w:rPr>
        <w:t xml:space="preserve">. (2003) compared concrete saddle construction with anchor bracing and found out that saddling had great impact due to structure closure and traffic diversion. Pang et al. (2015) compared strengthening options for steel, carbon fiber-reinforced polymer (CFRP) and prestressing tendons. No literature is however available for comparing maintenance options for concrete, steel and masonry bridges. The current study explores the life-cycle environmental impact for common maintenance actions for concrete, steel and masonry bridges with the help of LCA methodology and aims to identify the most sustainable structural form in terms of bridge maintenance. </w:t>
      </w:r>
    </w:p>
    <w:p w:rsidR="0001476B" w:rsidRPr="0001476B" w:rsidRDefault="0001476B" w:rsidP="0001476B">
      <w:pPr>
        <w:spacing w:after="0" w:line="480" w:lineRule="auto"/>
        <w:outlineLvl w:val="0"/>
        <w:rPr>
          <w:rFonts w:ascii="Arial" w:eastAsia="Times New Roman" w:hAnsi="Arial" w:cs="Arial"/>
          <w:b/>
          <w:sz w:val="20"/>
          <w:szCs w:val="20"/>
          <w:lang w:eastAsia="en-GB"/>
        </w:rPr>
      </w:pPr>
    </w:p>
    <w:p w:rsidR="0001476B" w:rsidRPr="0001476B" w:rsidRDefault="0001476B" w:rsidP="0001476B">
      <w:pPr>
        <w:spacing w:after="0" w:line="480" w:lineRule="auto"/>
        <w:outlineLvl w:val="0"/>
        <w:rPr>
          <w:rFonts w:ascii="Arial" w:eastAsia="Times New Roman" w:hAnsi="Arial" w:cs="Arial"/>
          <w:b/>
          <w:sz w:val="20"/>
          <w:szCs w:val="20"/>
          <w:lang w:eastAsia="en-GB"/>
        </w:rPr>
      </w:pPr>
      <w:bookmarkStart w:id="6" w:name="_Hlk487539497"/>
      <w:r w:rsidRPr="0001476B">
        <w:rPr>
          <w:rFonts w:ascii="Arial" w:eastAsia="Times New Roman" w:hAnsi="Arial" w:cs="Arial"/>
          <w:b/>
          <w:sz w:val="20"/>
          <w:szCs w:val="20"/>
          <w:lang w:eastAsia="en-GB"/>
        </w:rPr>
        <w:t xml:space="preserve">3. Methodology </w:t>
      </w:r>
    </w:p>
    <w:bookmarkEnd w:id="6"/>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Batang" w:hAnsi="Arial" w:cs="Arial"/>
          <w:sz w:val="20"/>
          <w:szCs w:val="20"/>
          <w:lang w:eastAsia="en-GB"/>
        </w:rPr>
        <w:t xml:space="preserve">LCA is used to identify the environmental impact of commonly used concrete, steel and masonry bridge maintenance activities. </w:t>
      </w:r>
      <w:r w:rsidRPr="0001476B">
        <w:rPr>
          <w:rFonts w:ascii="Arial" w:eastAsia="Times New Roman" w:hAnsi="Arial" w:cs="Arial"/>
          <w:sz w:val="20"/>
          <w:szCs w:val="20"/>
          <w:lang w:eastAsia="en-GB"/>
        </w:rPr>
        <w:t xml:space="preserve">LCA is rooted in ISO 14040 (2006) and ISO 14044 (2006) international standards and systematically follows the framework. A generic application of LCA involves an iterative process with four phases (as shown in Figure 1): </w:t>
      </w:r>
    </w:p>
    <w:p w:rsidR="0001476B" w:rsidRPr="0001476B" w:rsidRDefault="0001476B" w:rsidP="0001476B">
      <w:pPr>
        <w:numPr>
          <w:ilvl w:val="0"/>
          <w:numId w:val="29"/>
        </w:num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goal and scope definition</w:t>
      </w:r>
    </w:p>
    <w:p w:rsidR="0001476B" w:rsidRPr="0001476B" w:rsidRDefault="0001476B" w:rsidP="0001476B">
      <w:pPr>
        <w:numPr>
          <w:ilvl w:val="0"/>
          <w:numId w:val="29"/>
        </w:num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life-cycle inventory</w:t>
      </w:r>
    </w:p>
    <w:p w:rsidR="0001476B" w:rsidRPr="0001476B" w:rsidRDefault="0001476B" w:rsidP="0001476B">
      <w:pPr>
        <w:numPr>
          <w:ilvl w:val="0"/>
          <w:numId w:val="29"/>
        </w:num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life-cycle impact assessment </w:t>
      </w:r>
    </w:p>
    <w:p w:rsidR="0001476B" w:rsidRPr="0001476B" w:rsidRDefault="0001476B" w:rsidP="0001476B">
      <w:pPr>
        <w:numPr>
          <w:ilvl w:val="0"/>
          <w:numId w:val="29"/>
        </w:num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analysis. </w:t>
      </w:r>
    </w:p>
    <w:p w:rsidR="0001476B" w:rsidRPr="0001476B" w:rsidRDefault="0001476B" w:rsidP="0001476B">
      <w:pPr>
        <w:spacing w:after="0" w:line="480" w:lineRule="auto"/>
        <w:rPr>
          <w:rFonts w:ascii="Arial" w:eastAsia="Batang" w:hAnsi="Arial" w:cs="Arial"/>
          <w:sz w:val="20"/>
          <w:szCs w:val="20"/>
          <w:lang w:eastAsia="en-GB"/>
        </w:rPr>
      </w:pP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Five maintenance methods were selected for each bridge type (listed in Table 1) based on three criteria used by Ashurst’s (1993), such as: </w:t>
      </w:r>
    </w:p>
    <w:p w:rsidR="0001476B" w:rsidRPr="0001476B" w:rsidRDefault="0001476B" w:rsidP="0001476B">
      <w:pPr>
        <w:numPr>
          <w:ilvl w:val="0"/>
          <w:numId w:val="27"/>
        </w:num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effectiveness: essential maintenance activity for the overall safety and performance of the bridge</w:t>
      </w:r>
    </w:p>
    <w:p w:rsidR="0001476B" w:rsidRPr="0001476B" w:rsidRDefault="0001476B" w:rsidP="0001476B">
      <w:pPr>
        <w:numPr>
          <w:ilvl w:val="0"/>
          <w:numId w:val="27"/>
        </w:num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cost: greater than £10,000 </w:t>
      </w:r>
    </w:p>
    <w:p w:rsidR="0001476B" w:rsidRPr="0001476B" w:rsidRDefault="0001476B" w:rsidP="0001476B">
      <w:pPr>
        <w:numPr>
          <w:ilvl w:val="0"/>
          <w:numId w:val="27"/>
        </w:num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time interval: greater than 10 years.  </w:t>
      </w: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Preventative maintenance actions are considered in the current study, but have been included in other LCA studies, e.g. repainting (Horvath and Hendrickson, 1998), re-asphalting and replacing steel in parapets (Hammervold et al. 2013), resurfacing, and re-waterproofing (Collings, 2006). </w:t>
      </w: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Data required for the LCA analysis were sought from the literature which was consistent with previous LCA studies (Du and Karoumi, 2013; 2014; Pang et al., 2015). Literature sources where data had been derived are presented in Table 2. Data derived from the literature were verified by bridge designers and engineers to ascertain their reliability. The study involved an online survey that allowed data gathered from online sources to be agreed, disagreed with or alternative data suggested. Average Percent of Majority Opinions (APMO) used in similar expert related research (Cottam et al., 2004), was used to a nominal scale (yes or no response), where percentage of agreed and disagreed responses, including percentage of no responses is calculated to achieve a specific cut-off percentage to determine consensus. Consensus was reached on a statement or value when the percentage of “agreed” or “disagreed” value was higher than the APMO cut-off percentage (Kapoor, 1987). Cut-of-rate is determined by:</w:t>
      </w:r>
    </w:p>
    <w:p w:rsidR="0001476B" w:rsidRPr="0001476B" w:rsidRDefault="0001476B" w:rsidP="0001476B">
      <w:pPr>
        <w:spacing w:after="0" w:line="480" w:lineRule="auto"/>
        <w:rPr>
          <w:rFonts w:ascii="Arial" w:eastAsia="Batang" w:hAnsi="Arial" w:cs="Arial"/>
          <w:sz w:val="20"/>
          <w:szCs w:val="20"/>
          <w:lang w:eastAsia="en-GB"/>
        </w:rPr>
      </w:pPr>
      <m:oMathPara>
        <m:oMath>
          <m:r>
            <m:rPr>
              <m:sty m:val="b"/>
            </m:rPr>
            <w:rPr>
              <w:rFonts w:ascii="Cambria Math" w:eastAsia="Batang" w:hAnsi="Cambria Math" w:cs="Arial"/>
            </w:rPr>
            <m:t>APMO</m:t>
          </m:r>
          <m:r>
            <w:rPr>
              <w:rFonts w:ascii="Cambria Math" w:eastAsia="Batang" w:hAnsi="Cambria Math" w:cs="Arial"/>
            </w:rPr>
            <m:t xml:space="preserve">= </m:t>
          </m:r>
          <m:f>
            <m:fPr>
              <m:ctrlPr>
                <w:rPr>
                  <w:rFonts w:ascii="Cambria Math" w:eastAsia="Batang" w:hAnsi="Cambria Math" w:cs="Arial"/>
                </w:rPr>
              </m:ctrlPr>
            </m:fPr>
            <m:num>
              <m:r>
                <m:rPr>
                  <m:sty m:val="p"/>
                </m:rPr>
                <w:rPr>
                  <w:rFonts w:ascii="Cambria Math" w:eastAsia="Batang" w:hAnsi="Cambria Math" w:cs="Arial"/>
                </w:rPr>
                <m:t>Majority Agreements+Majority Disagreements</m:t>
              </m:r>
            </m:num>
            <m:den>
              <m:r>
                <m:rPr>
                  <m:sty m:val="p"/>
                </m:rPr>
                <w:rPr>
                  <w:rFonts w:ascii="Cambria Math" w:eastAsia="Batang" w:hAnsi="Cambria Math" w:cs="Arial"/>
                </w:rPr>
                <m:t xml:space="preserve">S of Opinions expressed </m:t>
              </m:r>
            </m:den>
          </m:f>
          <m:r>
            <w:rPr>
              <w:rFonts w:ascii="Cambria Math" w:eastAsia="Batang" w:hAnsi="Cambria Math" w:cs="Arial"/>
            </w:rPr>
            <m:t xml:space="preserve">                                                      (1)</m:t>
          </m:r>
        </m:oMath>
      </m:oMathPara>
    </w:p>
    <w:p w:rsidR="0001476B" w:rsidRPr="0001476B" w:rsidRDefault="0001476B" w:rsidP="0001476B">
      <w:pPr>
        <w:spacing w:after="0" w:line="480" w:lineRule="auto"/>
        <w:rPr>
          <w:rFonts w:ascii="Arial" w:eastAsia="Batang" w:hAnsi="Arial" w:cs="Arial"/>
          <w:sz w:val="20"/>
          <w:szCs w:val="20"/>
          <w:lang w:eastAsia="en-GB"/>
        </w:rPr>
      </w:pPr>
    </w:p>
    <w:p w:rsidR="0001476B" w:rsidRPr="0001476B" w:rsidRDefault="0001476B" w:rsidP="0001476B">
      <w:pPr>
        <w:spacing w:after="0" w:line="480" w:lineRule="auto"/>
        <w:rPr>
          <w:rFonts w:ascii="Arial" w:eastAsia="Batang" w:hAnsi="Arial" w:cs="Arial"/>
          <w:sz w:val="20"/>
          <w:szCs w:val="20"/>
          <w:lang w:eastAsia="en-GB"/>
        </w:rPr>
      </w:pPr>
      <w:r w:rsidRPr="0001476B">
        <w:rPr>
          <w:rFonts w:ascii="Arial" w:eastAsia="Batang" w:hAnsi="Arial" w:cs="Arial"/>
          <w:sz w:val="20"/>
          <w:szCs w:val="20"/>
          <w:lang w:eastAsia="en-GB"/>
        </w:rPr>
        <w:t xml:space="preserve">Where APMO did not provide clear consensus, the mean value was adopted (Cottam </w:t>
      </w:r>
      <w:r w:rsidRPr="0001476B">
        <w:rPr>
          <w:rFonts w:ascii="Arial" w:eastAsia="Batang" w:hAnsi="Arial" w:cs="Arial"/>
          <w:i/>
          <w:sz w:val="20"/>
          <w:szCs w:val="20"/>
          <w:lang w:eastAsia="en-GB"/>
        </w:rPr>
        <w:t>et al</w:t>
      </w:r>
      <w:r w:rsidRPr="0001476B">
        <w:rPr>
          <w:rFonts w:ascii="Arial" w:eastAsia="Batang" w:hAnsi="Arial" w:cs="Arial"/>
          <w:sz w:val="20"/>
          <w:szCs w:val="20"/>
          <w:lang w:eastAsia="en-GB"/>
        </w:rPr>
        <w:t xml:space="preserve">., 2004; Henning and Jordan, 2016). Participants were asked to supply alternative estimates for disagreed data that compromised APMO. The mean value of the suggested data was however taken as consensus (Field and Hole, 2003), as used by </w:t>
      </w:r>
      <w:bookmarkStart w:id="7" w:name="_Hlk484110064"/>
      <w:r w:rsidRPr="0001476B">
        <w:rPr>
          <w:rFonts w:ascii="Arial" w:eastAsia="Batang" w:hAnsi="Arial" w:cs="Arial"/>
          <w:sz w:val="20"/>
          <w:szCs w:val="20"/>
          <w:lang w:eastAsia="en-GB"/>
        </w:rPr>
        <w:t>English and Kernan 1976; Grobbelaar, 2006; Henning and Jordan, 2016</w:t>
      </w:r>
      <w:bookmarkEnd w:id="7"/>
      <w:r w:rsidRPr="0001476B">
        <w:rPr>
          <w:rFonts w:ascii="Arial" w:eastAsia="Batang" w:hAnsi="Arial" w:cs="Arial"/>
          <w:sz w:val="20"/>
          <w:szCs w:val="20"/>
          <w:lang w:eastAsia="en-GB"/>
        </w:rPr>
        <w:t xml:space="preserve">. The mean value is only considered accurate if the dataset was normally distributed, otherwise the median and mode of the distribution should be applied (Field and Hole, 2003). Statistical Package for Social Science (SPSS) 13 was used to identify the distribution of the collected data.  Shapiro Wik significance value of 0.05 was used, as universally used for Normality test. The null hypothesis that the dataset was normally distributed is accepted or rejected if the mean of the distribution is greater or less than the </w:t>
      </w:r>
      <w:bookmarkStart w:id="8" w:name="_Hlk487547311"/>
      <w:r w:rsidRPr="0001476B">
        <w:rPr>
          <w:rFonts w:ascii="Arial" w:eastAsia="Batang" w:hAnsi="Arial" w:cs="Arial"/>
          <w:sz w:val="20"/>
          <w:szCs w:val="20"/>
          <w:lang w:eastAsia="en-GB"/>
        </w:rPr>
        <w:t xml:space="preserve">Shapiro Wik </w:t>
      </w:r>
      <w:bookmarkEnd w:id="8"/>
      <w:r w:rsidRPr="0001476B">
        <w:rPr>
          <w:rFonts w:ascii="Arial" w:eastAsia="Batang" w:hAnsi="Arial" w:cs="Arial"/>
          <w:sz w:val="20"/>
          <w:szCs w:val="20"/>
          <w:lang w:eastAsia="en-GB"/>
        </w:rPr>
        <w:t>significance value respectively. The mean however is still subject to error but the error can be minimized by calculating the standard deviations (Field and Hole, 2003). Standard deviation (SD) is used to assess the variation in a population and for a normal distribution (Grobbelaar, 2006), and allows the boundaries of the mean to be calculated, known as confidence intervals. A 95% or 99% confidence interval is statistically acceptable (Fellow and Liu, 2008). SPSS was used to calculate the mean, SD and confidence interval of suggested data and all agreed data are presented in Table 3, which were used as input data for the SimaPro LCA software to evaluate the environmental impact of selected maintenance activities.</w:t>
      </w:r>
    </w:p>
    <w:p w:rsidR="0001476B" w:rsidRPr="0001476B" w:rsidRDefault="0001476B" w:rsidP="0001476B">
      <w:pPr>
        <w:spacing w:after="0" w:line="480" w:lineRule="auto"/>
        <w:rPr>
          <w:rFonts w:ascii="Arial" w:eastAsia="Calibri" w:hAnsi="Arial" w:cs="Arial"/>
          <w:b/>
          <w:i/>
          <w:sz w:val="20"/>
          <w:szCs w:val="20"/>
          <w:lang w:eastAsia="en-GB"/>
        </w:rPr>
      </w:pPr>
      <w:r w:rsidRPr="0001476B">
        <w:rPr>
          <w:rFonts w:ascii="Arial" w:eastAsia="Calibri" w:hAnsi="Arial" w:cs="Arial"/>
          <w:b/>
          <w:sz w:val="20"/>
          <w:szCs w:val="20"/>
          <w:lang w:eastAsia="en-GB"/>
        </w:rPr>
        <w:t xml:space="preserve"> </w:t>
      </w:r>
    </w:p>
    <w:p w:rsidR="0001476B" w:rsidRPr="0001476B" w:rsidRDefault="0001476B" w:rsidP="0001476B">
      <w:pPr>
        <w:spacing w:after="0" w:line="480" w:lineRule="auto"/>
        <w:rPr>
          <w:rFonts w:ascii="Arial" w:eastAsia="Times New Roman" w:hAnsi="Arial" w:cs="Arial"/>
          <w:b/>
          <w:bCs/>
          <w:i/>
          <w:iCs/>
          <w:sz w:val="20"/>
          <w:szCs w:val="20"/>
          <w:lang w:eastAsia="en-GB"/>
        </w:rPr>
      </w:pPr>
      <w:r w:rsidRPr="0001476B">
        <w:rPr>
          <w:rFonts w:ascii="Arial" w:eastAsia="Times New Roman" w:hAnsi="Arial" w:cs="Arial"/>
          <w:b/>
          <w:i/>
          <w:sz w:val="20"/>
          <w:szCs w:val="20"/>
          <w:lang w:eastAsia="en-GB"/>
        </w:rPr>
        <w:t xml:space="preserve">3.1 </w:t>
      </w:r>
      <w:r w:rsidRPr="0001476B">
        <w:rPr>
          <w:rFonts w:ascii="Arial" w:eastAsia="Times New Roman" w:hAnsi="Arial" w:cs="Arial"/>
          <w:b/>
          <w:bCs/>
          <w:i/>
          <w:iCs/>
          <w:sz w:val="20"/>
          <w:szCs w:val="20"/>
          <w:lang w:eastAsia="en-GB"/>
        </w:rPr>
        <w:t>Goal and scope definition</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The first stage of LCA analysis is the goal and scope definition. The goal of the LCA study is to reveal the environmental impact of selected maintenance actions of concrete, steel and masonry bridges in terms of life cycle emission and energy consumption. The scope of the LCA study includes materials consumption, transportation, energy and resources associated with each maintenance activity. Materials accounted for in the LCA analysis are concrete of various grades, asphalt concrete, steel, and sand. Whilst transportation of all materials from factories to site was assumed, consumption of petrol, diesel, water, and electricity were modelled as a background system. Background and foreground systems are described by Clift et al. (1998) and are applicable to complex structures like bridges. While background system uses site-specific data, background system supplies the foreground system with the necessary material and energy required through a homogenous market where individual plant processes and operations are unidentifiable (Clift et al., 1998). Both processes from a system approach are reliable (Finnveden et al., 2009). Data for the foreground systems were derived from relevant literature sources and were verified by experts. Background data (on energy, plants and electricity) were derived from SimaPro data-set, gathered by SimaPro from across Europe, United States, and China. The Europe background data-set was used for the current study. System boundaries (illustrating the background and foreground system) for all selected maintenance methods are shown in Figure 2. All LCA studies were conducted based on a functional unit which allows a fair comparison between the systems under study (Heijungs and Guinée, 1994; Rebitzer et al., 2004; Finnveden et al., 2009). Functional units are best specified under foreground and background system (Clift et al. 1998), as has been applied in this study. Two common functional units have been applied in LCA studies for bridges, 1m</w:t>
      </w:r>
      <w:r w:rsidRPr="0001476B">
        <w:rPr>
          <w:rFonts w:ascii="Arial" w:eastAsia="Times New Roman" w:hAnsi="Arial" w:cs="Arial"/>
          <w:sz w:val="20"/>
          <w:szCs w:val="20"/>
          <w:vertAlign w:val="superscript"/>
          <w:lang w:eastAsia="en-GB"/>
        </w:rPr>
        <w:t>2</w:t>
      </w:r>
      <w:r w:rsidRPr="0001476B">
        <w:rPr>
          <w:rFonts w:ascii="Arial" w:eastAsia="Times New Roman" w:hAnsi="Arial" w:cs="Arial"/>
          <w:sz w:val="20"/>
          <w:szCs w:val="20"/>
          <w:lang w:eastAsia="en-GB"/>
        </w:rPr>
        <w:t xml:space="preserve"> of bridge deck (Collings 2006; Hammervold et al. 2009) and 1 m unit length of the bridge (Du and Karoumi, 2012). Steele et al. (2003) however suggests that the functional unit is best defined in terms of service life. Functional unit was therefore defined as</w:t>
      </w:r>
      <w:r w:rsidRPr="0001476B">
        <w:rPr>
          <w:rFonts w:ascii="Arial" w:eastAsia="Times New Roman" w:hAnsi="Arial" w:cs="Arial"/>
          <w:b/>
          <w:sz w:val="20"/>
          <w:szCs w:val="20"/>
          <w:lang w:eastAsia="en-GB"/>
        </w:rPr>
        <w:t xml:space="preserve"> “</w:t>
      </w:r>
      <w:r w:rsidRPr="0001476B">
        <w:rPr>
          <w:rFonts w:ascii="Arial" w:eastAsia="Times New Roman" w:hAnsi="Arial" w:cs="Arial"/>
          <w:sz w:val="20"/>
          <w:szCs w:val="20"/>
          <w:lang w:eastAsia="en-GB"/>
        </w:rPr>
        <w:t>one square meter bridge deck area over a 120-year life span”</w:t>
      </w:r>
      <w:r w:rsidRPr="0001476B">
        <w:rPr>
          <w:rFonts w:ascii="Arial" w:eastAsia="Times New Roman" w:hAnsi="Arial" w:cs="Arial"/>
          <w:b/>
          <w:sz w:val="20"/>
          <w:szCs w:val="20"/>
          <w:lang w:eastAsia="en-GB"/>
        </w:rPr>
        <w:t xml:space="preserve"> </w:t>
      </w:r>
      <w:r w:rsidRPr="0001476B">
        <w:rPr>
          <w:rFonts w:ascii="Arial" w:eastAsia="Times New Roman" w:hAnsi="Arial" w:cs="Arial"/>
          <w:sz w:val="20"/>
          <w:szCs w:val="20"/>
          <w:lang w:eastAsia="en-GB"/>
        </w:rPr>
        <w:t>in the current study, that was consistent with 120 years average design life of UK bridges (BS 5400, 1999).</w:t>
      </w:r>
    </w:p>
    <w:p w:rsidR="0001476B" w:rsidRPr="0001476B" w:rsidRDefault="0001476B" w:rsidP="0001476B">
      <w:pPr>
        <w:spacing w:after="0" w:line="480" w:lineRule="auto"/>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bCs/>
          <w:i/>
          <w:iCs/>
          <w:sz w:val="20"/>
          <w:szCs w:val="20"/>
          <w:lang w:eastAsia="en-GB"/>
        </w:rPr>
      </w:pPr>
      <w:r w:rsidRPr="0001476B">
        <w:rPr>
          <w:rFonts w:ascii="Arial" w:eastAsia="Times New Roman" w:hAnsi="Arial" w:cs="Arial"/>
          <w:b/>
          <w:i/>
          <w:sz w:val="20"/>
          <w:szCs w:val="20"/>
          <w:lang w:eastAsia="en-GB"/>
        </w:rPr>
        <w:t xml:space="preserve">3.2 </w:t>
      </w:r>
      <w:r w:rsidRPr="0001476B">
        <w:rPr>
          <w:rFonts w:ascii="Arial" w:eastAsia="Times New Roman" w:hAnsi="Arial" w:cs="Arial"/>
          <w:b/>
          <w:bCs/>
          <w:i/>
          <w:iCs/>
          <w:sz w:val="20"/>
          <w:szCs w:val="20"/>
          <w:lang w:eastAsia="en-GB"/>
        </w:rPr>
        <w:t xml:space="preserve">Life-cycle inventory </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The second stage of LCA analysis is the life-cycle inventory. Sources of input data used in the study are presented in Table 4. Calculating inventories of material, energy consumption and emission during transportation for selected maintenance actions allows potential environmental impact associated with each action to be identified. The following assumptions were made. Transportation of materials to site taken was assumed to be 16km which falls within the range of average transportation of materials in the UK (Zhang et al., 2011). Average fuel consumption was assumed to be 10 litre /100 km which has also been used by Pang et al</w:t>
      </w:r>
      <w:r w:rsidRPr="0001476B">
        <w:rPr>
          <w:rFonts w:ascii="Arial" w:eastAsia="Times New Roman" w:hAnsi="Arial" w:cs="Arial"/>
          <w:i/>
          <w:sz w:val="20"/>
          <w:szCs w:val="20"/>
          <w:lang w:eastAsia="en-GB"/>
        </w:rPr>
        <w:t>.</w:t>
      </w:r>
      <w:r w:rsidRPr="0001476B">
        <w:rPr>
          <w:rFonts w:ascii="Arial" w:eastAsia="Times New Roman" w:hAnsi="Arial" w:cs="Arial"/>
          <w:sz w:val="20"/>
          <w:szCs w:val="20"/>
          <w:lang w:eastAsia="en-GB"/>
        </w:rPr>
        <w:t xml:space="preserve"> (2015).</w:t>
      </w:r>
    </w:p>
    <w:p w:rsidR="0001476B" w:rsidRPr="0001476B" w:rsidRDefault="0001476B" w:rsidP="0001476B">
      <w:pPr>
        <w:spacing w:after="0" w:line="480" w:lineRule="auto"/>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bCs/>
          <w:i/>
          <w:iCs/>
          <w:sz w:val="20"/>
          <w:szCs w:val="20"/>
          <w:lang w:eastAsia="en-GB"/>
        </w:rPr>
      </w:pPr>
      <w:r w:rsidRPr="0001476B">
        <w:rPr>
          <w:rFonts w:ascii="Arial" w:eastAsia="Times New Roman" w:hAnsi="Arial" w:cs="Arial"/>
          <w:b/>
          <w:i/>
          <w:sz w:val="20"/>
          <w:szCs w:val="20"/>
          <w:lang w:eastAsia="en-GB"/>
        </w:rPr>
        <w:t xml:space="preserve">3.3 </w:t>
      </w:r>
      <w:r w:rsidRPr="0001476B">
        <w:rPr>
          <w:rFonts w:ascii="Arial" w:eastAsia="Times New Roman" w:hAnsi="Arial" w:cs="Arial"/>
          <w:b/>
          <w:bCs/>
          <w:i/>
          <w:iCs/>
          <w:sz w:val="20"/>
          <w:szCs w:val="20"/>
          <w:lang w:eastAsia="en-GB"/>
        </w:rPr>
        <w:t>Life cycle impact assessment</w:t>
      </w:r>
    </w:p>
    <w:p w:rsidR="0001476B" w:rsidRPr="0001476B" w:rsidRDefault="0001476B" w:rsidP="0001476B">
      <w:pPr>
        <w:spacing w:after="0" w:line="480" w:lineRule="auto"/>
        <w:jc w:val="both"/>
        <w:rPr>
          <w:rFonts w:ascii="Arial" w:eastAsia="Times New Roman" w:hAnsi="Arial" w:cs="Arial"/>
          <w:sz w:val="20"/>
          <w:szCs w:val="20"/>
          <w:lang w:eastAsia="en-GB"/>
        </w:rPr>
      </w:pPr>
      <w:r w:rsidRPr="0001476B">
        <w:rPr>
          <w:rFonts w:ascii="Arial" w:eastAsia="Times New Roman" w:hAnsi="Arial" w:cs="Arial"/>
          <w:sz w:val="20"/>
          <w:szCs w:val="20"/>
          <w:lang w:eastAsia="en-GB"/>
        </w:rPr>
        <w:t>Life-cycle impact assessment is the third phase of an LCA study that identifies emission associated with the life-cycle inventory to be converted into damage indicators (Jolliet et al., 2003; Pennington et al., 2004). It identifies the environmental impact from emitted substances (e.g. CO</w:t>
      </w:r>
      <w:r w:rsidRPr="0001476B">
        <w:rPr>
          <w:rFonts w:ascii="Arial" w:eastAsia="Times New Roman" w:hAnsi="Arial" w:cs="Arial"/>
          <w:sz w:val="20"/>
          <w:szCs w:val="20"/>
          <w:vertAlign w:val="subscript"/>
          <w:lang w:eastAsia="en-GB"/>
        </w:rPr>
        <w:t>2</w:t>
      </w:r>
      <w:r w:rsidRPr="0001476B">
        <w:rPr>
          <w:rFonts w:ascii="Arial" w:eastAsia="Times New Roman" w:hAnsi="Arial" w:cs="Arial"/>
          <w:sz w:val="20"/>
          <w:szCs w:val="20"/>
          <w:lang w:eastAsia="en-GB"/>
        </w:rPr>
        <w:t>, CO, NOx, etc.) and resources (e.g. water and land use) (Finnveden et al</w:t>
      </w:r>
      <w:r w:rsidRPr="0001476B">
        <w:rPr>
          <w:rFonts w:ascii="Arial" w:eastAsia="Times New Roman" w:hAnsi="Arial" w:cs="Arial"/>
          <w:i/>
          <w:sz w:val="20"/>
          <w:szCs w:val="20"/>
          <w:lang w:eastAsia="en-GB"/>
        </w:rPr>
        <w:t>.,</w:t>
      </w:r>
      <w:r w:rsidRPr="0001476B">
        <w:rPr>
          <w:rFonts w:ascii="Arial" w:eastAsia="Times New Roman" w:hAnsi="Arial" w:cs="Arial"/>
          <w:sz w:val="20"/>
          <w:szCs w:val="20"/>
          <w:lang w:eastAsia="en-GB"/>
        </w:rPr>
        <w:t xml:space="preserve"> 2009). Impact assessment is considered at two main points (midpoint and endpoint), at which classification and characterization are carried out. The output can also be normalised, grouped and weighed. For the current study the LCIA processes carried out are classification, characterization and normalization. Classification involves selecting relevant impact categories that are related to emitted substances and resource (otherwise known as environmental indicators). For the study CO</w:t>
      </w:r>
      <w:r w:rsidRPr="0001476B">
        <w:rPr>
          <w:rFonts w:ascii="Arial" w:eastAsia="Times New Roman" w:hAnsi="Arial" w:cs="Arial"/>
          <w:sz w:val="20"/>
          <w:szCs w:val="20"/>
          <w:vertAlign w:val="subscript"/>
          <w:lang w:eastAsia="en-GB"/>
        </w:rPr>
        <w:t>2</w:t>
      </w:r>
      <w:r w:rsidRPr="0001476B">
        <w:rPr>
          <w:rFonts w:ascii="Arial" w:eastAsia="Times New Roman" w:hAnsi="Arial" w:cs="Arial"/>
          <w:sz w:val="20"/>
          <w:szCs w:val="20"/>
          <w:lang w:eastAsia="en-GB"/>
        </w:rPr>
        <w:t>, NO</w:t>
      </w:r>
      <w:r w:rsidRPr="0001476B">
        <w:rPr>
          <w:rFonts w:ascii="Arial" w:eastAsia="Times New Roman" w:hAnsi="Arial" w:cs="Arial"/>
          <w:sz w:val="20"/>
          <w:szCs w:val="20"/>
          <w:vertAlign w:val="subscript"/>
          <w:lang w:eastAsia="en-GB"/>
        </w:rPr>
        <w:t>2</w:t>
      </w:r>
      <w:r w:rsidRPr="0001476B">
        <w:rPr>
          <w:rFonts w:ascii="Arial" w:eastAsia="Times New Roman" w:hAnsi="Arial" w:cs="Arial"/>
          <w:sz w:val="20"/>
          <w:szCs w:val="20"/>
          <w:lang w:eastAsia="en-GB"/>
        </w:rPr>
        <w:t>, SO</w:t>
      </w:r>
      <w:r w:rsidRPr="0001476B">
        <w:rPr>
          <w:rFonts w:ascii="Arial" w:eastAsia="Times New Roman" w:hAnsi="Arial" w:cs="Arial"/>
          <w:sz w:val="20"/>
          <w:szCs w:val="20"/>
          <w:vertAlign w:val="subscript"/>
          <w:lang w:eastAsia="en-GB"/>
        </w:rPr>
        <w:t>2</w:t>
      </w:r>
      <w:r w:rsidRPr="0001476B">
        <w:rPr>
          <w:rFonts w:ascii="Arial" w:eastAsia="Times New Roman" w:hAnsi="Arial" w:cs="Arial"/>
          <w:sz w:val="20"/>
          <w:szCs w:val="20"/>
          <w:lang w:eastAsia="en-GB"/>
        </w:rPr>
        <w:t xml:space="preserve"> and energy were considered as environmental indicators, as they are widely considered internationally (UN, 2015) and have also been used in other LCA studies on bridges (Itoh and Kitagawa 2003; Keolein et al., 2005; Collings 2006; Gervásio and da Silva, 2008). Suitable impact categories are those that relate to resource depletion, human health, and ecosystem (Consoli et al., 1993). Selected impact categories for the study are Terrestrial acidification (TA), freshwater eutrophication (FE), climate change (CC), ozone depletion (OD), photochemical oxidation formation (POF), fossil fuel depletion (FE), metal depletion (MD) and particulate matter (PMF). Characterisation of substances was conducted with the Recipe methodology within the SimaPro 8.0.4 version. Subsequent normalization revealed the size of the impact category on human health, ecosystem quality, and resources on the European scale. Note that, normalised points are dimensionless and are applied to for scoring purpose to enable comparison (Steele et al., 2003).</w:t>
      </w:r>
    </w:p>
    <w:p w:rsidR="0001476B" w:rsidRPr="0001476B" w:rsidRDefault="0001476B" w:rsidP="0001476B">
      <w:pPr>
        <w:spacing w:after="0" w:line="480" w:lineRule="auto"/>
        <w:jc w:val="both"/>
        <w:rPr>
          <w:rFonts w:ascii="Arial" w:eastAsia="Times New Roman" w:hAnsi="Arial" w:cs="Arial"/>
          <w:sz w:val="20"/>
          <w:szCs w:val="20"/>
          <w:lang w:eastAsia="en-GB"/>
        </w:rPr>
      </w:pPr>
    </w:p>
    <w:p w:rsidR="0001476B" w:rsidRPr="0001476B" w:rsidRDefault="0001476B" w:rsidP="0001476B">
      <w:pPr>
        <w:spacing w:after="0" w:line="480" w:lineRule="auto"/>
        <w:jc w:val="both"/>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sz w:val="20"/>
          <w:szCs w:val="20"/>
          <w:lang w:eastAsia="en-GB"/>
        </w:rPr>
      </w:pPr>
      <w:r w:rsidRPr="0001476B">
        <w:rPr>
          <w:rFonts w:ascii="Arial" w:eastAsia="Times New Roman" w:hAnsi="Arial" w:cs="Arial"/>
          <w:b/>
          <w:sz w:val="20"/>
          <w:szCs w:val="20"/>
          <w:lang w:eastAsia="en-GB"/>
        </w:rPr>
        <w:t>4. LCA analysis</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Environmental assessment results for the combined maintenance methods for concrete, steel and masonry bridges are considered at midpoint, endpoint and in terms of models are presented in the following sub-sections.</w:t>
      </w:r>
    </w:p>
    <w:p w:rsidR="0001476B" w:rsidRPr="0001476B" w:rsidRDefault="0001476B" w:rsidP="0001476B">
      <w:pPr>
        <w:spacing w:after="0" w:line="480" w:lineRule="auto"/>
        <w:rPr>
          <w:rFonts w:ascii="Arial" w:eastAsia="Times New Roman" w:hAnsi="Arial" w:cs="Arial"/>
          <w:b/>
          <w:i/>
          <w:sz w:val="20"/>
          <w:szCs w:val="20"/>
          <w:lang w:eastAsia="en-GB"/>
        </w:rPr>
      </w:pPr>
    </w:p>
    <w:p w:rsidR="0001476B" w:rsidRPr="0001476B" w:rsidRDefault="0001476B" w:rsidP="0001476B">
      <w:pPr>
        <w:spacing w:after="0" w:line="480" w:lineRule="auto"/>
        <w:rPr>
          <w:rFonts w:ascii="Arial" w:eastAsia="Times New Roman" w:hAnsi="Arial" w:cs="Arial"/>
          <w:b/>
          <w:i/>
          <w:sz w:val="20"/>
          <w:szCs w:val="20"/>
          <w:lang w:eastAsia="en-GB"/>
        </w:rPr>
      </w:pPr>
      <w:r w:rsidRPr="0001476B">
        <w:rPr>
          <w:rFonts w:ascii="Arial" w:eastAsia="Times New Roman" w:hAnsi="Arial" w:cs="Arial"/>
          <w:b/>
          <w:i/>
          <w:sz w:val="20"/>
          <w:szCs w:val="20"/>
          <w:lang w:eastAsia="en-GB"/>
        </w:rPr>
        <w:t xml:space="preserve">4.1 Midpoint analysis </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Eight environmental impact indicators have been selected for the midpoint analysis for the selected maintenance activities for concrete, steel and masonry bridges, as shown in Figure 3.  Steel had a high relative impact on CC, OD, POF, PMF, TA, FE, MD and FD with a percentage of 46%, 42%, 45%, 49%, 48%, 49%,48% and 42% respectively. While concrete had a percentage of 41%, 44%, 41%, 41%. 41%, 41%. 41% and 42% </w:t>
      </w:r>
      <w:bookmarkStart w:id="9" w:name="_Hlk488658955"/>
      <w:r w:rsidRPr="0001476B">
        <w:rPr>
          <w:rFonts w:ascii="Arial" w:eastAsia="Times New Roman" w:hAnsi="Arial" w:cs="Arial"/>
          <w:sz w:val="20"/>
          <w:szCs w:val="20"/>
          <w:lang w:eastAsia="en-GB"/>
        </w:rPr>
        <w:t>across the same category</w:t>
      </w:r>
      <w:bookmarkEnd w:id="9"/>
      <w:r w:rsidRPr="0001476B">
        <w:rPr>
          <w:rFonts w:ascii="Arial" w:eastAsia="Times New Roman" w:hAnsi="Arial" w:cs="Arial"/>
          <w:sz w:val="20"/>
          <w:szCs w:val="20"/>
          <w:lang w:eastAsia="en-GB"/>
        </w:rPr>
        <w:t xml:space="preserve">. Meanwhile masonry had 13%. 14%, 14%, 10%, 11%, 10%, 11% and 16% across the same category. The result therefore indicate that steel and concrete maintenance had more impact across all uncertainty and limitations. </w:t>
      </w:r>
    </w:p>
    <w:p w:rsidR="0001476B" w:rsidRPr="0001476B" w:rsidRDefault="0001476B" w:rsidP="0001476B">
      <w:pPr>
        <w:spacing w:after="0" w:line="480" w:lineRule="auto"/>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i/>
          <w:sz w:val="20"/>
          <w:szCs w:val="20"/>
          <w:lang w:eastAsia="en-GB"/>
        </w:rPr>
      </w:pPr>
      <w:r w:rsidRPr="0001476B">
        <w:rPr>
          <w:rFonts w:ascii="Arial" w:eastAsia="Times New Roman" w:hAnsi="Arial" w:cs="Arial"/>
          <w:b/>
          <w:i/>
          <w:sz w:val="20"/>
          <w:szCs w:val="20"/>
          <w:lang w:eastAsia="en-GB"/>
        </w:rPr>
        <w:t xml:space="preserve">4.2 Endpoint analysis </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The end-point result on damage to human health, ecosystem and resource for concrete, steel and masonry bridge maintenance actions - based on the European normalised scale – is presented in Figure 4. Damage to resources during maintenance, measured in surplus energy is shown to be greater for concrete and steel bridge maintenance has they both attained a normalised point of 3, compared to masonry which attained a normalised point of 0.6. Similarly, concrete and steel bridge maintenance had higher impact on human health with a normalised point of 1 and 1.2 respectively, compared to masonry bridge maintenance which attained a normalised point of 0.3 based on disability-adjusted life years (DALYs) scale.  DALYs express the number of year life lost and the number of years lived disabled. Concrete and steel maintenance even though had less impact on ecosystem with a normalised point almost approaching 0.5, yet masonry had much less impact with a normalised point of 0.1 based on (</w:t>
      </w:r>
      <w:bookmarkStart w:id="10" w:name="_Hlk488660094"/>
      <w:r w:rsidRPr="0001476B">
        <w:rPr>
          <w:rFonts w:ascii="Arial" w:eastAsia="Times New Roman" w:hAnsi="Arial" w:cs="Arial"/>
          <w:sz w:val="20"/>
          <w:szCs w:val="20"/>
          <w:lang w:eastAsia="en-GB"/>
        </w:rPr>
        <w:t>PDF m</w:t>
      </w:r>
      <w:r w:rsidRPr="0001476B">
        <w:rPr>
          <w:rFonts w:ascii="Arial" w:eastAsia="Times New Roman" w:hAnsi="Arial" w:cs="Arial"/>
          <w:sz w:val="20"/>
          <w:szCs w:val="20"/>
          <w:vertAlign w:val="superscript"/>
          <w:lang w:eastAsia="en-GB"/>
        </w:rPr>
        <w:t>2</w:t>
      </w:r>
      <w:r w:rsidRPr="0001476B">
        <w:rPr>
          <w:rFonts w:ascii="Arial" w:eastAsia="Times New Roman" w:hAnsi="Arial" w:cs="Arial"/>
          <w:sz w:val="20"/>
          <w:szCs w:val="20"/>
          <w:lang w:eastAsia="en-GB"/>
        </w:rPr>
        <w:t xml:space="preserve"> year</w:t>
      </w:r>
      <w:bookmarkEnd w:id="10"/>
      <w:r w:rsidRPr="0001476B">
        <w:rPr>
          <w:rFonts w:ascii="Arial" w:eastAsia="Times New Roman" w:hAnsi="Arial" w:cs="Arial"/>
          <w:sz w:val="20"/>
          <w:szCs w:val="20"/>
          <w:lang w:eastAsia="en-GB"/>
        </w:rPr>
        <w:t>). PDF m</w:t>
      </w:r>
      <w:r w:rsidRPr="0001476B">
        <w:rPr>
          <w:rFonts w:ascii="Arial" w:eastAsia="Times New Roman" w:hAnsi="Arial" w:cs="Arial"/>
          <w:sz w:val="20"/>
          <w:szCs w:val="20"/>
          <w:vertAlign w:val="superscript"/>
          <w:lang w:eastAsia="en-GB"/>
        </w:rPr>
        <w:t>2</w:t>
      </w:r>
      <w:r w:rsidRPr="0001476B">
        <w:rPr>
          <w:rFonts w:ascii="Arial" w:eastAsia="Times New Roman" w:hAnsi="Arial" w:cs="Arial"/>
          <w:sz w:val="20"/>
          <w:szCs w:val="20"/>
          <w:lang w:eastAsia="en-GB"/>
        </w:rPr>
        <w:t xml:space="preserve"> year</w:t>
      </w:r>
      <w:r w:rsidRPr="0001476B" w:rsidDel="000054BB">
        <w:rPr>
          <w:rFonts w:ascii="Arial" w:eastAsia="Times New Roman" w:hAnsi="Arial" w:cs="Arial"/>
          <w:sz w:val="20"/>
          <w:szCs w:val="20"/>
          <w:lang w:eastAsia="en-GB"/>
        </w:rPr>
        <w:t xml:space="preserve"> </w:t>
      </w:r>
      <w:r w:rsidRPr="0001476B">
        <w:rPr>
          <w:rFonts w:ascii="Arial" w:eastAsia="Times New Roman" w:hAnsi="Arial" w:cs="Arial"/>
          <w:sz w:val="20"/>
          <w:szCs w:val="20"/>
          <w:lang w:eastAsia="en-GB"/>
        </w:rPr>
        <w:t xml:space="preserve">expresses the loss of species over a certain area and time duration, using the unit potentially disappeared fraction of species. The result characterisation and normalised result therefore indicate </w:t>
      </w:r>
      <w:r>
        <w:rPr>
          <w:rFonts w:ascii="Arial" w:eastAsia="Times New Roman" w:hAnsi="Arial" w:cs="Arial"/>
          <w:sz w:val="20"/>
          <w:szCs w:val="20"/>
          <w:lang w:eastAsia="en-GB"/>
        </w:rPr>
        <w:t>that</w:t>
      </w:r>
      <w:r w:rsidRPr="0001476B">
        <w:rPr>
          <w:rFonts w:ascii="Arial" w:eastAsia="Times New Roman" w:hAnsi="Arial" w:cs="Arial"/>
          <w:sz w:val="20"/>
          <w:szCs w:val="20"/>
          <w:lang w:eastAsia="en-GB"/>
        </w:rPr>
        <w:t xml:space="preserve"> masonry bridge maintenance activities is considerably less lower than concrete and steel bridges.</w:t>
      </w:r>
    </w:p>
    <w:p w:rsidR="0001476B" w:rsidRPr="0001476B" w:rsidRDefault="0001476B" w:rsidP="0001476B">
      <w:pPr>
        <w:spacing w:after="0" w:line="480" w:lineRule="auto"/>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i/>
          <w:sz w:val="20"/>
          <w:szCs w:val="20"/>
          <w:lang w:eastAsia="en-GB"/>
        </w:rPr>
      </w:pPr>
      <w:r w:rsidRPr="0001476B">
        <w:rPr>
          <w:rFonts w:ascii="Arial" w:eastAsia="Times New Roman" w:hAnsi="Arial" w:cs="Arial"/>
          <w:b/>
          <w:i/>
          <w:sz w:val="20"/>
          <w:szCs w:val="20"/>
          <w:lang w:eastAsia="en-GB"/>
        </w:rPr>
        <w:t xml:space="preserve">4.3 Uncertainty and limitations </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Input data for the current LCA study were obtained from the literature, expert advice and SimaPro database. Assumptions were however made for input data that could not be easily accessed, such as average distance for transportation materials was assumed to be 16km for all maintenance activities and average fuel consumption was assumed to be 10 L/100 km for all vehicles. The assumed data will ensure fair comparison between selected maintenance methods but would be different for specific case studies. Maintenance was assumed to take place at scheduled intervals, however timing of maintenance activities varies for structures due to additional accidental damage or environmental impact. Specific case studies will also use local data instead of the European database available by SimaPro. Monte Carlo simulation was performed to identify for the variability of the input parameters and the environmental impact, associated with distance for transportation, frequency of maintenance activities, differences in fuel consumption and other input parameters. The SimaPro software allowed the Monte Carlo simulation at a statistical confidence interval of 95% to be carried out.  A lognormal distribution was assumed for selected variables to allow the Monte Carlo simulation to identify the parameter with variation in respect to the result obtained in Figure 3 (i.e. characterisation result for compared maintenance methods of concrete, steel and masonry bridges). One thousand iterations were conducted based on previous studies (Parsons, 2016) and the output is shown for the Monte Carlo simulation comparing concrete and masonry bridge maintenance (Figure 5), masonry and steel bridge maintenance (Figure 6) and concrete and steel bridge maintenance (Figure 7) at characterisation level. No new result emerged from the simulation compared to results presented in Figure 3 and can be assumed that the uncertainty has limited impact on the test results.</w:t>
      </w:r>
    </w:p>
    <w:p w:rsidR="0001476B" w:rsidRPr="0001476B" w:rsidRDefault="0001476B" w:rsidP="0001476B">
      <w:pPr>
        <w:spacing w:after="0" w:line="480" w:lineRule="auto"/>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sz w:val="20"/>
          <w:szCs w:val="20"/>
          <w:lang w:eastAsia="en-GB"/>
        </w:rPr>
      </w:pPr>
      <w:r w:rsidRPr="0001476B">
        <w:rPr>
          <w:rFonts w:ascii="Arial" w:eastAsia="Times New Roman" w:hAnsi="Arial" w:cs="Arial"/>
          <w:b/>
          <w:sz w:val="20"/>
          <w:szCs w:val="20"/>
          <w:lang w:eastAsia="en-GB"/>
        </w:rPr>
        <w:t xml:space="preserve">5. Discussion </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On the average, masonry bridge maintenance only accounted for 12% impact while concrete and steel bridge maintenance accounted for 42% and 46% impact. It therefore indicates that masonry bridges are 90% more sustainab</w:t>
      </w:r>
      <w:r w:rsidR="00E77372">
        <w:rPr>
          <w:rFonts w:ascii="Arial" w:eastAsia="Times New Roman" w:hAnsi="Arial" w:cs="Arial"/>
          <w:sz w:val="20"/>
          <w:szCs w:val="20"/>
          <w:lang w:eastAsia="en-GB"/>
        </w:rPr>
        <w:t xml:space="preserve">le from maintenance perspective. </w:t>
      </w:r>
      <w:r w:rsidR="00E77372" w:rsidRPr="00E77372">
        <w:rPr>
          <w:rFonts w:ascii="Arial" w:eastAsia="Times New Roman" w:hAnsi="Arial" w:cs="Arial"/>
          <w:sz w:val="20"/>
          <w:szCs w:val="20"/>
          <w:lang w:eastAsia="en-GB"/>
        </w:rPr>
        <w:t xml:space="preserve">In support of this, literature reports that 40% of Surrey County bridge stocks undertook major refurbishment at an average age of 190 years into the service life. However, only masonry bridges exceeded current design life without significant repairs (Steele </w:t>
      </w:r>
      <w:r w:rsidR="00E77372" w:rsidRPr="00E77372">
        <w:rPr>
          <w:rFonts w:ascii="Arial" w:eastAsia="Times New Roman" w:hAnsi="Arial" w:cs="Arial"/>
          <w:i/>
          <w:sz w:val="20"/>
          <w:szCs w:val="20"/>
          <w:lang w:eastAsia="en-GB"/>
        </w:rPr>
        <w:t>et al</w:t>
      </w:r>
      <w:r w:rsidR="00E77372" w:rsidRPr="00E77372">
        <w:rPr>
          <w:rFonts w:ascii="Arial" w:eastAsia="Times New Roman" w:hAnsi="Arial" w:cs="Arial"/>
          <w:sz w:val="20"/>
          <w:szCs w:val="20"/>
          <w:lang w:eastAsia="en-GB"/>
        </w:rPr>
        <w:t>., 2002)</w:t>
      </w:r>
      <w:r w:rsidR="00E77372">
        <w:rPr>
          <w:rFonts w:ascii="Arial" w:eastAsia="Times New Roman" w:hAnsi="Arial" w:cs="Arial"/>
          <w:sz w:val="20"/>
          <w:szCs w:val="20"/>
          <w:lang w:eastAsia="en-GB"/>
        </w:rPr>
        <w:t xml:space="preserve">. </w:t>
      </w:r>
      <w:r w:rsidRPr="0001476B">
        <w:rPr>
          <w:rFonts w:ascii="Arial" w:eastAsia="Times New Roman" w:hAnsi="Arial" w:cs="Arial"/>
          <w:sz w:val="20"/>
          <w:szCs w:val="20"/>
          <w:lang w:eastAsia="en-GB"/>
        </w:rPr>
        <w:t>In order to assess the sustainability of bridges over their life span, cradle to grave assessment has to be carried out to include raw material extraction, material processing, manufacturing, transportation, construction, preventative maintenance, disposal, recycling, etc. The actual service life also needs to be taken into consideration in the analysis. Although new bridges are designed for 120 years, most masonry bridges are well over 100 years and are expected to continue carrying traffic for the foreseeable future. In terms of new construction, masonry bridges are not considered as alternatives any longer and new bridges are generally limited to concrete, steel and composite structures (Co</w:t>
      </w:r>
      <w:r w:rsidR="00E77372">
        <w:rPr>
          <w:rFonts w:ascii="Arial" w:eastAsia="Times New Roman" w:hAnsi="Arial" w:cs="Arial"/>
          <w:sz w:val="20"/>
          <w:szCs w:val="20"/>
          <w:lang w:eastAsia="en-GB"/>
        </w:rPr>
        <w:t>l</w:t>
      </w:r>
      <w:r w:rsidRPr="0001476B">
        <w:rPr>
          <w:rFonts w:ascii="Arial" w:eastAsia="Times New Roman" w:hAnsi="Arial" w:cs="Arial"/>
          <w:sz w:val="20"/>
          <w:szCs w:val="20"/>
          <w:lang w:eastAsia="en-GB"/>
        </w:rPr>
        <w:t xml:space="preserve">lings, 2006). As the importance of sustainability is likely to increase in future, masonry bridges may attract more interest as a viable choice of bridge form. </w:t>
      </w:r>
    </w:p>
    <w:p w:rsidR="0001476B" w:rsidRPr="0001476B" w:rsidRDefault="0001476B" w:rsidP="0001476B">
      <w:pPr>
        <w:spacing w:after="0" w:line="480" w:lineRule="auto"/>
        <w:rPr>
          <w:rFonts w:ascii="Arial" w:eastAsia="Times New Roman" w:hAnsi="Arial" w:cs="Arial"/>
          <w:sz w:val="20"/>
          <w:szCs w:val="20"/>
          <w:lang w:eastAsia="en-GB"/>
        </w:rPr>
      </w:pPr>
    </w:p>
    <w:p w:rsidR="0001476B" w:rsidRPr="0001476B" w:rsidRDefault="0001476B" w:rsidP="0001476B">
      <w:pPr>
        <w:spacing w:after="0" w:line="480" w:lineRule="auto"/>
        <w:rPr>
          <w:rFonts w:ascii="Arial" w:eastAsia="Times New Roman" w:hAnsi="Arial" w:cs="Arial"/>
          <w:b/>
          <w:sz w:val="20"/>
          <w:szCs w:val="20"/>
          <w:lang w:eastAsia="en-GB"/>
        </w:rPr>
      </w:pPr>
      <w:r w:rsidRPr="0001476B">
        <w:rPr>
          <w:rFonts w:ascii="Arial" w:eastAsia="Times New Roman" w:hAnsi="Arial" w:cs="Arial"/>
          <w:b/>
          <w:sz w:val="20"/>
          <w:szCs w:val="20"/>
          <w:lang w:eastAsia="en-GB"/>
        </w:rPr>
        <w:t>6. Conclusions</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A comparison of environmental impact of concrete, steel and masonry bridge maintenance activities was carried out in this study. The study considered preventive and corrective maintenance on the bases of effectiveness, cost and intervals. A life cycle assessment methodology was used to evaluate the environmental impact of selected maintenance action which accounted for associated material, energy and transportation used. Material quantities were derived from the literature and confirmed by industry experts</w:t>
      </w:r>
      <w:r>
        <w:rPr>
          <w:rFonts w:ascii="Arial" w:eastAsia="Times New Roman" w:hAnsi="Arial" w:cs="Arial"/>
          <w:sz w:val="20"/>
          <w:szCs w:val="20"/>
          <w:lang w:eastAsia="en-GB"/>
        </w:rPr>
        <w:t xml:space="preserve"> as well as SimaPro data</w:t>
      </w:r>
      <w:r w:rsidRPr="0001476B">
        <w:rPr>
          <w:rFonts w:ascii="Arial" w:eastAsia="Times New Roman" w:hAnsi="Arial" w:cs="Arial"/>
          <w:sz w:val="20"/>
          <w:szCs w:val="20"/>
          <w:lang w:eastAsia="en-GB"/>
        </w:rPr>
        <w:t xml:space="preserve">. </w:t>
      </w:r>
      <w:r>
        <w:rPr>
          <w:rFonts w:ascii="Arial" w:eastAsia="Times New Roman" w:hAnsi="Arial" w:cs="Arial"/>
          <w:sz w:val="20"/>
          <w:szCs w:val="20"/>
          <w:lang w:eastAsia="en-GB"/>
        </w:rPr>
        <w:t>Selected maintenance actions were evaluated on the basis of e</w:t>
      </w:r>
      <w:r w:rsidRPr="0001476B">
        <w:rPr>
          <w:rFonts w:ascii="Arial" w:eastAsia="Times New Roman" w:hAnsi="Arial" w:cs="Arial"/>
          <w:sz w:val="20"/>
          <w:szCs w:val="20"/>
          <w:lang w:eastAsia="en-GB"/>
        </w:rPr>
        <w:t xml:space="preserve">ight impact categories and the significance of their impact was </w:t>
      </w:r>
      <w:r>
        <w:rPr>
          <w:rFonts w:ascii="Arial" w:eastAsia="Times New Roman" w:hAnsi="Arial" w:cs="Arial"/>
          <w:sz w:val="20"/>
          <w:szCs w:val="20"/>
          <w:lang w:eastAsia="en-GB"/>
        </w:rPr>
        <w:t>based on</w:t>
      </w:r>
      <w:r w:rsidRPr="0001476B">
        <w:rPr>
          <w:rFonts w:ascii="Arial" w:eastAsia="Times New Roman" w:hAnsi="Arial" w:cs="Arial"/>
          <w:sz w:val="20"/>
          <w:szCs w:val="20"/>
          <w:lang w:eastAsia="en-GB"/>
        </w:rPr>
        <w:t xml:space="preserve"> human health, ecosystem and resources based on European scale. </w:t>
      </w:r>
    </w:p>
    <w:p w:rsidR="0001476B" w:rsidRPr="0001476B" w:rsidRDefault="0001476B" w:rsidP="0001476B">
      <w:pPr>
        <w:spacing w:after="0" w:line="480" w:lineRule="auto"/>
        <w:rPr>
          <w:rFonts w:ascii="Arial" w:eastAsia="Times New Roman" w:hAnsi="Arial" w:cs="Arial"/>
          <w:sz w:val="20"/>
          <w:szCs w:val="20"/>
          <w:lang w:eastAsia="en-GB"/>
        </w:rPr>
      </w:pPr>
      <w:r w:rsidRPr="0001476B">
        <w:rPr>
          <w:rFonts w:ascii="Arial" w:eastAsia="Times New Roman" w:hAnsi="Arial" w:cs="Arial"/>
          <w:sz w:val="20"/>
          <w:szCs w:val="20"/>
          <w:lang w:eastAsia="en-GB"/>
        </w:rPr>
        <w:t>Findings from the stu</w:t>
      </w:r>
      <w:r w:rsidR="00E77372">
        <w:rPr>
          <w:rFonts w:ascii="Arial" w:eastAsia="Times New Roman" w:hAnsi="Arial" w:cs="Arial"/>
          <w:sz w:val="20"/>
          <w:szCs w:val="20"/>
          <w:lang w:eastAsia="en-GB"/>
        </w:rPr>
        <w:t>dy has led to the conclusion that</w:t>
      </w:r>
      <w:r w:rsidRPr="0001476B">
        <w:rPr>
          <w:rFonts w:ascii="Arial" w:eastAsia="Times New Roman" w:hAnsi="Arial" w:cs="Arial"/>
          <w:sz w:val="20"/>
          <w:szCs w:val="20"/>
          <w:lang w:eastAsia="en-GB"/>
        </w:rPr>
        <w:t xml:space="preserve">: </w:t>
      </w:r>
    </w:p>
    <w:p w:rsidR="0001476B" w:rsidRPr="0001476B" w:rsidRDefault="0001476B" w:rsidP="0001476B">
      <w:pPr>
        <w:numPr>
          <w:ilvl w:val="0"/>
          <w:numId w:val="32"/>
        </w:numPr>
        <w:spacing w:after="0" w:line="48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Concrete and steel bridge maintenance activities have an average impact of 42% and 46% compared to 12% impact of masonry bridge</w:t>
      </w:r>
      <w:r w:rsidRPr="0001476B" w:rsidDel="00CA3A65">
        <w:rPr>
          <w:rFonts w:ascii="Arial" w:eastAsia="Times New Roman" w:hAnsi="Arial" w:cs="Arial"/>
          <w:sz w:val="20"/>
          <w:szCs w:val="20"/>
          <w:lang w:eastAsia="en-GB"/>
        </w:rPr>
        <w:t xml:space="preserve"> </w:t>
      </w:r>
      <w:r w:rsidRPr="0001476B">
        <w:rPr>
          <w:rFonts w:ascii="Arial" w:eastAsia="Times New Roman" w:hAnsi="Arial" w:cs="Arial"/>
          <w:sz w:val="20"/>
          <w:szCs w:val="20"/>
          <w:lang w:eastAsia="en-GB"/>
        </w:rPr>
        <w:t>maintenance. As such, the automatic preference for concrete and steel bridges should be reviewed</w:t>
      </w:r>
      <w:r w:rsidR="00E77372">
        <w:rPr>
          <w:rFonts w:ascii="Arial" w:eastAsia="Times New Roman" w:hAnsi="Arial" w:cs="Arial"/>
          <w:sz w:val="20"/>
          <w:szCs w:val="20"/>
          <w:lang w:eastAsia="en-GB"/>
        </w:rPr>
        <w:t>.</w:t>
      </w:r>
      <w:r w:rsidRPr="0001476B">
        <w:rPr>
          <w:rFonts w:ascii="Arial" w:eastAsia="Times New Roman" w:hAnsi="Arial" w:cs="Arial"/>
          <w:sz w:val="20"/>
          <w:szCs w:val="20"/>
          <w:lang w:eastAsia="en-GB"/>
        </w:rPr>
        <w:t xml:space="preserve">  </w:t>
      </w:r>
    </w:p>
    <w:bookmarkEnd w:id="0"/>
    <w:bookmarkEnd w:id="1"/>
    <w:bookmarkEnd w:id="2"/>
    <w:p w:rsidR="0001476B" w:rsidRPr="0001476B" w:rsidRDefault="0001476B" w:rsidP="0001476B">
      <w:pPr>
        <w:spacing w:after="0" w:line="480" w:lineRule="auto"/>
        <w:rPr>
          <w:rFonts w:ascii="Arial" w:eastAsia="Times New Roman" w:hAnsi="Arial" w:cs="Arial"/>
          <w:b/>
          <w:sz w:val="20"/>
          <w:szCs w:val="20"/>
          <w:lang w:eastAsia="en-GB"/>
        </w:rPr>
      </w:pPr>
    </w:p>
    <w:p w:rsidR="0001476B" w:rsidRPr="0001476B" w:rsidRDefault="0001476B" w:rsidP="0001476B">
      <w:pPr>
        <w:spacing w:after="0" w:line="480" w:lineRule="auto"/>
        <w:rPr>
          <w:rFonts w:ascii="Arial" w:eastAsia="Times New Roman" w:hAnsi="Arial" w:cs="Arial"/>
          <w:b/>
          <w:sz w:val="20"/>
          <w:szCs w:val="20"/>
          <w:lang w:eastAsia="en-GB"/>
        </w:rPr>
      </w:pPr>
      <w:bookmarkStart w:id="11" w:name="_Hlk487629525"/>
      <w:r w:rsidRPr="0001476B">
        <w:rPr>
          <w:rFonts w:ascii="Arial" w:eastAsia="Times New Roman" w:hAnsi="Arial" w:cs="Arial"/>
          <w:b/>
          <w:sz w:val="20"/>
          <w:szCs w:val="20"/>
          <w:lang w:eastAsia="en-GB"/>
        </w:rPr>
        <w:t>References</w:t>
      </w:r>
      <w:r w:rsidRPr="0001476B">
        <w:rPr>
          <w:rFonts w:ascii="Arial" w:eastAsia="Times New Roman" w:hAnsi="Arial" w:cs="Arial"/>
          <w:sz w:val="20"/>
          <w:szCs w:val="20"/>
          <w:lang w:eastAsia="en-GB"/>
        </w:rPr>
        <w:t xml:space="preserve">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Ashurst, D. (1993) An assessment of repair and strengthening techniques for brick and stone masonry arch bridges. 1</w:t>
      </w:r>
      <w:r w:rsidRPr="0001476B">
        <w:rPr>
          <w:rFonts w:ascii="Arial" w:eastAsia="Times New Roman" w:hAnsi="Arial" w:cs="Arial"/>
          <w:sz w:val="20"/>
          <w:szCs w:val="20"/>
          <w:vertAlign w:val="superscript"/>
          <w:lang w:eastAsia="en-GB"/>
        </w:rPr>
        <w:t>st</w:t>
      </w:r>
      <w:r w:rsidRPr="0001476B">
        <w:rPr>
          <w:rFonts w:ascii="Arial" w:eastAsia="Times New Roman" w:hAnsi="Arial" w:cs="Arial"/>
          <w:sz w:val="20"/>
          <w:szCs w:val="20"/>
          <w:lang w:eastAsia="en-GB"/>
        </w:rPr>
        <w:t xml:space="preserve"> ed. ISSN 0266-7045, contractor report 284. Transport and road research laboratory department of transport: Berkshire UK</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Bouhaya, L., Roy, R. and Feraille-Fresnet, F. (2009) Simplified Environmental Study on Innovative Bridge Structure. Journal of Environmental Science and Technology. </w:t>
      </w:r>
      <w:r w:rsidRPr="0001476B">
        <w:rPr>
          <w:rFonts w:ascii="Arial" w:eastAsia="Times New Roman" w:hAnsi="Arial" w:cs="Arial"/>
          <w:b/>
          <w:sz w:val="20"/>
          <w:szCs w:val="20"/>
          <w:lang w:eastAsia="en-GB"/>
        </w:rPr>
        <w:t>43 (1)</w:t>
      </w:r>
      <w:r w:rsidRPr="0001476B">
        <w:rPr>
          <w:rFonts w:ascii="Arial" w:eastAsia="Times New Roman" w:hAnsi="Arial" w:cs="Arial"/>
          <w:sz w:val="20"/>
          <w:szCs w:val="20"/>
          <w:lang w:eastAsia="en-GB"/>
        </w:rPr>
        <w:t>: 2066-2071s</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BS 5400 (1999) British standard: Steel, concrete and composite – part 2 specification for loads. ISBN 0 580 09939 3: BSi publications.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Clift, R., Frischknecht, R., Huppes, G., Tillman, A. and Weidema, B. (1998) Towards a coherent approach to life cycle inventory analysis. Brussels: SETAC</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iCs/>
          <w:sz w:val="20"/>
          <w:szCs w:val="20"/>
          <w:lang w:eastAsia="en-GB"/>
        </w:rPr>
      </w:pPr>
      <w:r w:rsidRPr="0001476B">
        <w:rPr>
          <w:rFonts w:ascii="Arial" w:eastAsia="Times New Roman" w:hAnsi="Arial" w:cs="Arial"/>
          <w:iCs/>
          <w:sz w:val="20"/>
          <w:szCs w:val="20"/>
          <w:lang w:eastAsia="en-GB"/>
        </w:rPr>
        <w:t>CIRIA Guide (2006) Masonry arch bridges: Condition appraisal and remedial treatment. Report CIRIA C656: UK London</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Collings, D. (2003) Sustainable development and strategy for cement and concrete construction sector. British cement association and University of Surry, pp 625-637</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Collings, D. (2006) An environmental comparison of bridge forms. Proceedings of the Institution of Civil Engineers – Journal of Bridge Engineering. </w:t>
      </w:r>
      <w:r w:rsidRPr="0001476B">
        <w:rPr>
          <w:rFonts w:ascii="Arial" w:eastAsia="Times New Roman" w:hAnsi="Arial" w:cs="Arial"/>
          <w:b/>
          <w:sz w:val="20"/>
          <w:szCs w:val="20"/>
          <w:lang w:eastAsia="en-GB"/>
        </w:rPr>
        <w:t>159 (4)</w:t>
      </w:r>
      <w:r w:rsidRPr="0001476B">
        <w:rPr>
          <w:rFonts w:ascii="Arial" w:eastAsia="Times New Roman" w:hAnsi="Arial" w:cs="Arial"/>
          <w:sz w:val="20"/>
          <w:szCs w:val="20"/>
          <w:lang w:eastAsia="en-GB"/>
        </w:rPr>
        <w:t>: 163-168</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Consoli, F., Allen, D., Boustead, I., Fava, J., Franklin, W., Jensen, A. (1993) Code of Practice: Guidelines for life-cycle assessment. Pensacola, USA: SETAC</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iCs/>
          <w:sz w:val="20"/>
          <w:szCs w:val="20"/>
          <w:lang w:eastAsia="en-GB"/>
        </w:rPr>
      </w:pPr>
      <w:r w:rsidRPr="0001476B">
        <w:rPr>
          <w:rFonts w:ascii="Arial" w:eastAsia="Times New Roman" w:hAnsi="Arial" w:cs="Arial"/>
          <w:sz w:val="20"/>
          <w:szCs w:val="20"/>
          <w:lang w:eastAsia="en-GB"/>
        </w:rPr>
        <w:t xml:space="preserve">Cottam, H., Roe, M and Challacombe, J. (2004) Outsourcing of trucking activities by relief organisations. </w:t>
      </w:r>
      <w:r w:rsidRPr="0001476B">
        <w:rPr>
          <w:rFonts w:ascii="Arial" w:eastAsia="Times New Roman" w:hAnsi="Arial" w:cs="Arial"/>
          <w:iCs/>
          <w:sz w:val="20"/>
          <w:szCs w:val="20"/>
          <w:lang w:eastAsia="en-GB"/>
        </w:rPr>
        <w:t>Journal of Humanitarian Assistance</w:t>
      </w:r>
      <w:r w:rsidRPr="0001476B">
        <w:rPr>
          <w:rFonts w:ascii="Arial" w:eastAsia="Times New Roman" w:hAnsi="Arial" w:cs="Arial"/>
          <w:i/>
          <w:iCs/>
          <w:sz w:val="20"/>
          <w:szCs w:val="20"/>
          <w:lang w:eastAsia="en-GB"/>
        </w:rPr>
        <w:t xml:space="preserve">. </w:t>
      </w:r>
      <w:r w:rsidRPr="0001476B">
        <w:rPr>
          <w:rFonts w:ascii="Arial" w:eastAsia="Times New Roman" w:hAnsi="Arial" w:cs="Arial"/>
          <w:b/>
          <w:iCs/>
          <w:sz w:val="20"/>
          <w:szCs w:val="20"/>
          <w:lang w:eastAsia="en-GB"/>
        </w:rPr>
        <w:t>1(1)</w:t>
      </w:r>
      <w:r w:rsidRPr="0001476B">
        <w:rPr>
          <w:rFonts w:ascii="Arial" w:eastAsia="Times New Roman" w:hAnsi="Arial" w:cs="Arial"/>
          <w:iCs/>
          <w:sz w:val="20"/>
          <w:szCs w:val="20"/>
          <w:lang w:eastAsia="en-GB"/>
        </w:rPr>
        <w:t>:1-26.</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DOT (2013) Action for Roads. A network for the 21st century. Department for Transport. Norwich: The stationary Office. ISBN: 9780101 867924. See: </w:t>
      </w:r>
      <w:hyperlink r:id="rId11" w:history="1">
        <w:r w:rsidRPr="0001476B">
          <w:rPr>
            <w:rFonts w:ascii="Arial" w:eastAsia="Times New Roman" w:hAnsi="Arial" w:cs="Arial"/>
            <w:sz w:val="20"/>
            <w:szCs w:val="20"/>
            <w:u w:val="single"/>
            <w:lang w:eastAsia="en-GB"/>
          </w:rPr>
          <w:t>https://www.gov.uk/government/uploads/system/uploads/attachment_data/file/212590/action-for-roads.pdf</w:t>
        </w:r>
      </w:hyperlink>
      <w:r w:rsidRPr="0001476B">
        <w:rPr>
          <w:rFonts w:ascii="Arial" w:eastAsia="Times New Roman" w:hAnsi="Arial" w:cs="Arial"/>
          <w:sz w:val="20"/>
          <w:szCs w:val="20"/>
          <w:lang w:eastAsia="en-GB"/>
        </w:rPr>
        <w:t xml:space="preserve"> (accessed 12 July 2017)</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bCs/>
          <w:iCs/>
          <w:sz w:val="20"/>
          <w:szCs w:val="20"/>
          <w:lang w:eastAsia="en-GB"/>
        </w:rPr>
      </w:pPr>
      <w:r w:rsidRPr="0001476B">
        <w:rPr>
          <w:rFonts w:ascii="Arial" w:eastAsia="Times New Roman" w:hAnsi="Arial" w:cs="Arial"/>
          <w:bCs/>
          <w:iCs/>
          <w:sz w:val="20"/>
          <w:szCs w:val="20"/>
          <w:lang w:eastAsia="en-GB"/>
        </w:rPr>
        <w:t>Department of Energy and climate change (DECC) (2016) 2014 UK greenhouse gas emissions, final figures: London. Crown publications</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Du, G. (2012) Towards Sustainability Construction: Life Cycle Assessment of Railway Bridges. PhD. Royal Institute of Technology, Sweden.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Du, G.  and Karoumi, R. (2013) Life cycle assessment of a railway bridge: comparison of two superstructure designs. Journal of Structure and Infrastructure Engineering: Maintenance, Management, Life Cycle Design and Performance. </w:t>
      </w:r>
      <w:r w:rsidRPr="0001476B">
        <w:rPr>
          <w:rFonts w:ascii="Arial" w:eastAsia="Times New Roman" w:hAnsi="Arial" w:cs="Arial"/>
          <w:b/>
          <w:sz w:val="20"/>
          <w:szCs w:val="20"/>
          <w:lang w:eastAsia="en-GB"/>
        </w:rPr>
        <w:t>9 (11)</w:t>
      </w:r>
      <w:r w:rsidRPr="0001476B">
        <w:rPr>
          <w:rFonts w:ascii="Arial" w:eastAsia="Times New Roman" w:hAnsi="Arial" w:cs="Arial"/>
          <w:sz w:val="20"/>
          <w:szCs w:val="20"/>
          <w:lang w:eastAsia="en-GB"/>
        </w:rPr>
        <w:t>: 1149-1160.</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Du, G. and Karoumi, R. (2014) Life cycle assessment framework for railway bridges: literature survey and critical issues. Journal of structure and infrastructure Engineering. </w:t>
      </w:r>
      <w:r w:rsidRPr="0001476B">
        <w:rPr>
          <w:rFonts w:ascii="Arial" w:eastAsia="Times New Roman" w:hAnsi="Arial" w:cs="Arial"/>
          <w:b/>
          <w:sz w:val="20"/>
          <w:szCs w:val="20"/>
          <w:lang w:eastAsia="en-GB"/>
        </w:rPr>
        <w:t>10 (3)</w:t>
      </w:r>
      <w:r w:rsidRPr="0001476B">
        <w:rPr>
          <w:rFonts w:ascii="Arial" w:eastAsia="Times New Roman" w:hAnsi="Arial" w:cs="Arial"/>
          <w:sz w:val="20"/>
          <w:szCs w:val="20"/>
          <w:lang w:eastAsia="en-GB"/>
        </w:rPr>
        <w:t>: pp. 277-294.</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English, J and Kernan, G. (1976) The prediction of air travel and aircraft technology to the year 2000 using the delphi method. Journal of transport and research. </w:t>
      </w:r>
      <w:r w:rsidRPr="0001476B">
        <w:rPr>
          <w:rFonts w:ascii="Arial" w:eastAsia="Times New Roman" w:hAnsi="Arial" w:cs="Arial"/>
          <w:b/>
          <w:sz w:val="20"/>
          <w:szCs w:val="20"/>
          <w:lang w:eastAsia="en-GB"/>
        </w:rPr>
        <w:t>10 (1)</w:t>
      </w:r>
      <w:r w:rsidRPr="0001476B">
        <w:rPr>
          <w:rFonts w:ascii="Arial" w:eastAsia="Times New Roman" w:hAnsi="Arial" w:cs="Arial"/>
          <w:sz w:val="20"/>
          <w:szCs w:val="20"/>
          <w:lang w:eastAsia="en-GB"/>
        </w:rPr>
        <w:t>: pp 1–8.</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Fellows, R. and Liu, A. (2008) Research Methods for Construction.3rd ed. United Kingdom: Blackwell publishing.</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Field, A and Hole, G. (2003) How to design and report experiments. London: Sage publications</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Finnveden, G., Hauschild, M., Ekvall, T., Guinee, J., Heijungd, R., Hellweg, S., Koehler, A., Pennington, D. and Suh, S. (2009) Recent developments in life cycle assessment. Journal of Environmental Management. </w:t>
      </w:r>
      <w:r w:rsidRPr="0001476B">
        <w:rPr>
          <w:rFonts w:ascii="Arial" w:eastAsia="Times New Roman" w:hAnsi="Arial" w:cs="Arial"/>
          <w:b/>
          <w:sz w:val="20"/>
          <w:szCs w:val="20"/>
          <w:lang w:eastAsia="en-GB"/>
        </w:rPr>
        <w:t>91 (1)</w:t>
      </w:r>
      <w:r w:rsidRPr="0001476B">
        <w:rPr>
          <w:rFonts w:ascii="Arial" w:eastAsia="Times New Roman" w:hAnsi="Arial" w:cs="Arial"/>
          <w:sz w:val="20"/>
          <w:szCs w:val="20"/>
          <w:lang w:eastAsia="en-GB"/>
        </w:rPr>
        <w:t>: 1-21</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Gervásio, H. and Simões da Silva, L. (2008) Comparative life-cycle analysis of steel-concrete composite bridges. Journal of Structure and Infrastructure Engineering. </w:t>
      </w:r>
      <w:r w:rsidRPr="0001476B">
        <w:rPr>
          <w:rFonts w:ascii="Arial" w:eastAsia="Times New Roman" w:hAnsi="Arial" w:cs="Arial"/>
          <w:b/>
          <w:sz w:val="20"/>
          <w:szCs w:val="20"/>
          <w:lang w:eastAsia="en-GB"/>
        </w:rPr>
        <w:t>4 (4)</w:t>
      </w:r>
      <w:r w:rsidRPr="0001476B">
        <w:rPr>
          <w:rFonts w:ascii="Arial" w:eastAsia="Times New Roman" w:hAnsi="Arial" w:cs="Arial"/>
          <w:sz w:val="20"/>
          <w:szCs w:val="20"/>
          <w:lang w:eastAsia="en-GB"/>
        </w:rPr>
        <w:t>: 251-269.</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Giustozzi, F., Crispino, M and Flintsch, G. (2012) Multi-attribute life cycle assessment of preventive maintenance treatments on road pavements for achieving environmental sustainability. Journal of Life Cycle Assessment. </w:t>
      </w:r>
      <w:r w:rsidRPr="0001476B">
        <w:rPr>
          <w:rFonts w:ascii="Arial" w:eastAsia="Times New Roman" w:hAnsi="Arial" w:cs="Arial"/>
          <w:b/>
          <w:sz w:val="20"/>
          <w:szCs w:val="20"/>
          <w:lang w:eastAsia="en-GB"/>
        </w:rPr>
        <w:t>17 (1)</w:t>
      </w:r>
      <w:r w:rsidRPr="0001476B">
        <w:rPr>
          <w:rFonts w:ascii="Arial" w:eastAsia="Times New Roman" w:hAnsi="Arial" w:cs="Arial"/>
          <w:sz w:val="20"/>
          <w:szCs w:val="20"/>
          <w:lang w:eastAsia="en-GB"/>
        </w:rPr>
        <w:t>: 409-419.</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Grobbelaar, S. (2006) R&amp;D in the National System of Innovation: A System Dynamics Model. Ph.D. Thesis. University of Pretoria, South Africa.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Guettala, A and Abibsi, A. (2006) Corrosion degradation and repair of a concrete bridge. Journal of materials and structures. </w:t>
      </w:r>
      <w:r w:rsidRPr="0001476B">
        <w:rPr>
          <w:rFonts w:ascii="Arial" w:eastAsia="Times New Roman" w:hAnsi="Arial" w:cs="Arial"/>
          <w:b/>
          <w:sz w:val="20"/>
          <w:szCs w:val="20"/>
          <w:lang w:eastAsia="en-GB"/>
        </w:rPr>
        <w:t>39 (1)</w:t>
      </w:r>
      <w:r w:rsidRPr="0001476B">
        <w:rPr>
          <w:rFonts w:ascii="Arial" w:eastAsia="Times New Roman" w:hAnsi="Arial" w:cs="Arial"/>
          <w:sz w:val="20"/>
          <w:szCs w:val="20"/>
          <w:lang w:eastAsia="en-GB"/>
        </w:rPr>
        <w:t>: 471-478.</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Hammervold, J., Reenaas, M. and Brattebø, H. (2013) Environmental Life Cycle Assessment of bridges. Proceedings of the institution of civil engineers - Journal of Bridge Engineering. </w:t>
      </w:r>
      <w:r w:rsidRPr="0001476B">
        <w:rPr>
          <w:rFonts w:ascii="Arial" w:eastAsia="Times New Roman" w:hAnsi="Arial" w:cs="Arial"/>
          <w:b/>
          <w:sz w:val="20"/>
          <w:szCs w:val="20"/>
          <w:lang w:eastAsia="en-GB"/>
        </w:rPr>
        <w:t>18 (2)</w:t>
      </w:r>
      <w:r w:rsidRPr="0001476B">
        <w:rPr>
          <w:rFonts w:ascii="Arial" w:eastAsia="Times New Roman" w:hAnsi="Arial" w:cs="Arial"/>
          <w:sz w:val="20"/>
          <w:szCs w:val="20"/>
          <w:lang w:eastAsia="en-GB"/>
        </w:rPr>
        <w:t xml:space="preserve">: 153-161.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Hammond, G. and Jones, C. (2008) Embodied energy and carbon in construction materials. Proceedings of the Institution of Civil Engineers – Journal of Energy. </w:t>
      </w:r>
      <w:r w:rsidRPr="0001476B">
        <w:rPr>
          <w:rFonts w:ascii="Arial" w:eastAsia="Times New Roman" w:hAnsi="Arial" w:cs="Arial"/>
          <w:b/>
          <w:sz w:val="20"/>
          <w:szCs w:val="20"/>
          <w:lang w:eastAsia="en-GB"/>
        </w:rPr>
        <w:t>161(2)</w:t>
      </w:r>
      <w:r w:rsidRPr="0001476B">
        <w:rPr>
          <w:rFonts w:ascii="Arial" w:eastAsia="Times New Roman" w:hAnsi="Arial" w:cs="Arial"/>
          <w:sz w:val="20"/>
          <w:szCs w:val="20"/>
          <w:lang w:eastAsia="en-GB"/>
        </w:rPr>
        <w:t>: 87–98.</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Henning, J. and Jordan, H. (2016) Determinants of Financial Sustainability for Farm Credit Applications—A Delphi Study. Journal of sustainability. </w:t>
      </w:r>
      <w:r w:rsidRPr="0001476B">
        <w:rPr>
          <w:rFonts w:ascii="Arial" w:eastAsia="Times New Roman" w:hAnsi="Arial" w:cs="Arial"/>
          <w:b/>
          <w:sz w:val="20"/>
          <w:szCs w:val="20"/>
          <w:lang w:eastAsia="en-GB"/>
        </w:rPr>
        <w:t>8 (77)</w:t>
      </w:r>
      <w:r w:rsidRPr="0001476B">
        <w:rPr>
          <w:rFonts w:ascii="Arial" w:eastAsia="Times New Roman" w:hAnsi="Arial" w:cs="Arial"/>
          <w:sz w:val="20"/>
          <w:szCs w:val="20"/>
          <w:lang w:eastAsia="en-GB"/>
        </w:rPr>
        <w:t xml:space="preserve">: 1-15.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Heijungs, R and Guinée, J. (1994) Software as a bridge between theory and practice in life cycle assessment. Journal of cleaner product. </w:t>
      </w:r>
      <w:r w:rsidRPr="0001476B">
        <w:rPr>
          <w:rFonts w:ascii="Arial" w:eastAsia="Times New Roman" w:hAnsi="Arial" w:cs="Arial"/>
          <w:b/>
          <w:sz w:val="20"/>
          <w:szCs w:val="20"/>
          <w:lang w:eastAsia="en-GB"/>
        </w:rPr>
        <w:t>1(3-4)</w:t>
      </w:r>
      <w:r w:rsidRPr="0001476B">
        <w:rPr>
          <w:rFonts w:ascii="Arial" w:eastAsia="Times New Roman" w:hAnsi="Arial" w:cs="Arial"/>
          <w:sz w:val="20"/>
          <w:szCs w:val="20"/>
          <w:lang w:eastAsia="en-GB"/>
        </w:rPr>
        <w:t>: 85-189.</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Horvath, A and Hendrickson, C. (1998) Steel versus steel-reinforced concrete bridges: Environmental assessment. Journal of infrastructure system. </w:t>
      </w:r>
      <w:r w:rsidRPr="0001476B">
        <w:rPr>
          <w:rFonts w:ascii="Arial" w:eastAsia="Times New Roman" w:hAnsi="Arial" w:cs="Arial"/>
          <w:b/>
          <w:sz w:val="20"/>
          <w:szCs w:val="20"/>
          <w:lang w:eastAsia="en-GB"/>
        </w:rPr>
        <w:t>4 (3)</w:t>
      </w:r>
      <w:r w:rsidRPr="0001476B">
        <w:rPr>
          <w:rFonts w:ascii="Arial" w:eastAsia="Times New Roman" w:hAnsi="Arial" w:cs="Arial"/>
          <w:sz w:val="20"/>
          <w:szCs w:val="20"/>
          <w:lang w:eastAsia="en-GB"/>
        </w:rPr>
        <w:t>: 111-117.</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ISO 14040 (2006) Environmental management – life cycle assessment – principles and framework. Geneva: International Organisation for Standardization (ISO).</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bookmarkStart w:id="12" w:name="_Hlk487631063"/>
      <w:r w:rsidRPr="0001476B">
        <w:rPr>
          <w:rFonts w:ascii="Arial" w:eastAsia="Times New Roman" w:hAnsi="Arial" w:cs="Arial"/>
          <w:sz w:val="20"/>
          <w:szCs w:val="20"/>
          <w:lang w:eastAsia="en-GB"/>
        </w:rPr>
        <w:t>ISO 14044 (2006) Environmental management – Requirements and guidelines. Geneva: International Organisation for Standardization (ISO).</w:t>
      </w:r>
    </w:p>
    <w:bookmarkEnd w:id="12"/>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Itoh, Y and Kitagawa, T. (2003) Using CO2 emission quantities in bridge lifecycle analysis. Journal of Engineering Structures. </w:t>
      </w:r>
      <w:r w:rsidRPr="0001476B">
        <w:rPr>
          <w:rFonts w:ascii="Arial" w:eastAsia="Times New Roman" w:hAnsi="Arial" w:cs="Arial"/>
          <w:b/>
          <w:sz w:val="20"/>
          <w:szCs w:val="20"/>
          <w:lang w:eastAsia="en-GB"/>
        </w:rPr>
        <w:t>25 (5)</w:t>
      </w:r>
      <w:r w:rsidRPr="0001476B">
        <w:rPr>
          <w:rFonts w:ascii="Arial" w:eastAsia="Times New Roman" w:hAnsi="Arial" w:cs="Arial"/>
          <w:sz w:val="20"/>
          <w:szCs w:val="20"/>
          <w:lang w:eastAsia="en-GB"/>
        </w:rPr>
        <w:t>: 565-577.</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Jolliet, O., Margni, M., Charles, R., Humbert, S., Payet, J., Rebitzer, G. and Rosenbaum, R. (2003) IMPACT 2002+: A New Life Cycle Impact Assessment Methodology. International journal of LCA. </w:t>
      </w:r>
      <w:r w:rsidRPr="0001476B">
        <w:rPr>
          <w:rFonts w:ascii="Arial" w:eastAsia="Times New Roman" w:hAnsi="Arial" w:cs="Arial"/>
          <w:b/>
          <w:sz w:val="20"/>
          <w:szCs w:val="20"/>
          <w:lang w:eastAsia="en-GB"/>
        </w:rPr>
        <w:t>8 (6)</w:t>
      </w:r>
      <w:r w:rsidRPr="0001476B">
        <w:rPr>
          <w:rFonts w:ascii="Arial" w:eastAsia="Times New Roman" w:hAnsi="Arial" w:cs="Arial"/>
          <w:sz w:val="20"/>
          <w:szCs w:val="20"/>
          <w:lang w:eastAsia="en-GB"/>
        </w:rPr>
        <w:t>: 324-330</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Kapoor, P. (1987) A systems approach to documentary fraud. PhD. University of Plymouth, Plymouth.</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Keoleian, G., Kendall, A., Dettling, J., Smith, V., Chandler, R., Lepech, M., and Li, V. (2005) Life cycle modelling of concrete bridge design: Comparison of engineered cementitious composite link slabs and conventional steel expansion joints. Journal of Infrastructure Systems. </w:t>
      </w:r>
      <w:r w:rsidRPr="0001476B">
        <w:rPr>
          <w:rFonts w:ascii="Arial" w:eastAsia="Times New Roman" w:hAnsi="Arial" w:cs="Arial"/>
          <w:b/>
          <w:sz w:val="20"/>
          <w:szCs w:val="20"/>
          <w:lang w:eastAsia="en-GB"/>
        </w:rPr>
        <w:t>11 (1)</w:t>
      </w:r>
      <w:r w:rsidRPr="0001476B">
        <w:rPr>
          <w:rFonts w:ascii="Arial" w:eastAsia="Times New Roman" w:hAnsi="Arial" w:cs="Arial"/>
          <w:sz w:val="20"/>
          <w:szCs w:val="20"/>
          <w:lang w:eastAsia="en-GB"/>
        </w:rPr>
        <w:t>: 51-60</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Lounis, Z. and Daigle, L. (2007) Environmental benefits of life cycle design of concrete bridges. Proceedings of the 3rd International Conference on Life Cycle Management, Zurich, Switzerland. August 27-29, 2007, pp. 1-6.</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Martin, A.J. (2004) “Concrete bridges in sustainable development”. Proceedings of the Institute of Civil Engineers – Journal of Bridge Engineering. </w:t>
      </w:r>
      <w:r w:rsidRPr="0001476B">
        <w:rPr>
          <w:rFonts w:ascii="Arial" w:eastAsia="Times New Roman" w:hAnsi="Arial" w:cs="Arial"/>
          <w:b/>
          <w:sz w:val="20"/>
          <w:szCs w:val="20"/>
          <w:lang w:eastAsia="en-GB"/>
        </w:rPr>
        <w:t>157 (4)</w:t>
      </w:r>
      <w:r w:rsidRPr="0001476B">
        <w:rPr>
          <w:rFonts w:ascii="Arial" w:eastAsia="Times New Roman" w:hAnsi="Arial" w:cs="Arial"/>
          <w:sz w:val="20"/>
          <w:szCs w:val="20"/>
          <w:lang w:eastAsia="en-GB"/>
        </w:rPr>
        <w:t>: 219-230</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Pacheco, P., Antonio, P., Fonseca, A., Resende, A and Campos, R. (2010) Sustainability in bridge construction processes. Journal of Clean Technology and Environmental Policy. </w:t>
      </w:r>
      <w:r w:rsidRPr="0001476B">
        <w:rPr>
          <w:rFonts w:ascii="Arial" w:eastAsia="Times New Roman" w:hAnsi="Arial" w:cs="Arial"/>
          <w:b/>
          <w:sz w:val="20"/>
          <w:szCs w:val="20"/>
          <w:lang w:eastAsia="en-GB"/>
        </w:rPr>
        <w:t>12 (1)</w:t>
      </w:r>
      <w:r w:rsidRPr="0001476B">
        <w:rPr>
          <w:rFonts w:ascii="Arial" w:eastAsia="Times New Roman" w:hAnsi="Arial" w:cs="Arial"/>
          <w:sz w:val="20"/>
          <w:szCs w:val="20"/>
          <w:lang w:eastAsia="en-GB"/>
        </w:rPr>
        <w:t>: 75-82</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Page, J. (1996) A guide to repair and strengthening of masonry arch highway bridges.1st ed. Berkshire UK: Transport Research Foundation Group of companies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Pang, B., Yang, P., Wang, Y., Kendall, A., Xie, H. and Zhang, Y (2015) Life cycle environmental impact assessment of a bridge with different strengthening scheme. International journal of life cycle assessment. </w:t>
      </w:r>
      <w:r w:rsidRPr="0001476B">
        <w:rPr>
          <w:rFonts w:ascii="Arial" w:eastAsia="Times New Roman" w:hAnsi="Arial" w:cs="Arial"/>
          <w:b/>
          <w:sz w:val="20"/>
          <w:szCs w:val="20"/>
          <w:lang w:eastAsia="en-GB"/>
        </w:rPr>
        <w:t>20 (1)</w:t>
      </w:r>
      <w:r w:rsidRPr="0001476B">
        <w:rPr>
          <w:rFonts w:ascii="Arial" w:eastAsia="Times New Roman" w:hAnsi="Arial" w:cs="Arial"/>
          <w:sz w:val="20"/>
          <w:szCs w:val="20"/>
          <w:lang w:eastAsia="en-GB"/>
        </w:rPr>
        <w:t>: 1300-1311.</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Parke, Gand Hewson, N. (2008) ICE manual of bridge engineering. 2nd edition. London UK: ICE publisher.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Parsons, S. (2016) Interpreting life cycle assessment for decision-making on emerging materials. PhD. University of Surrey, UK.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Pennington, D., Potting, J., Finnveden, G., Lindeijer, E., Jolliet, O., Rydberg, T and Rebitzer, G (2004) Life cycle assessment Part 2: Current impact assessment practice. Journal of Environment International. </w:t>
      </w:r>
      <w:r w:rsidRPr="0001476B">
        <w:rPr>
          <w:rFonts w:ascii="Arial" w:eastAsia="Times New Roman" w:hAnsi="Arial" w:cs="Arial"/>
          <w:b/>
          <w:sz w:val="20"/>
          <w:szCs w:val="20"/>
          <w:lang w:eastAsia="en-GB"/>
        </w:rPr>
        <w:t>30(1)</w:t>
      </w:r>
      <w:r w:rsidRPr="0001476B">
        <w:rPr>
          <w:rFonts w:ascii="Arial" w:eastAsia="Times New Roman" w:hAnsi="Arial" w:cs="Arial"/>
          <w:sz w:val="20"/>
          <w:szCs w:val="20"/>
          <w:lang w:eastAsia="en-GB"/>
        </w:rPr>
        <w:t>: 721-739.</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Pollalis, S., Georgoulias, A., Ramos, S. and Schodek, D. (Ed) (2012) Infrastructure sustainability and design. 1st edition. New York: Taylor and Francis</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Rebitzer, G., Ekvall, T., Frischknecht, R., Hunkeler, D., Norris, G., Rydberg, T.,Schmidt, W., Suh, S., Weidema, B.P., Pennington, D. (2004) Life cycle assessment – Part 1: Framework, goal &amp; scope definition, inventory analysis, and applications. International journal of Environment. </w:t>
      </w:r>
      <w:r w:rsidRPr="0001476B">
        <w:rPr>
          <w:rFonts w:ascii="Arial" w:eastAsia="Times New Roman" w:hAnsi="Arial" w:cs="Arial"/>
          <w:b/>
          <w:sz w:val="20"/>
          <w:szCs w:val="20"/>
          <w:lang w:eastAsia="en-GB"/>
        </w:rPr>
        <w:t>30 (1)</w:t>
      </w:r>
      <w:r w:rsidRPr="0001476B">
        <w:rPr>
          <w:rFonts w:ascii="Arial" w:eastAsia="Times New Roman" w:hAnsi="Arial" w:cs="Arial"/>
          <w:sz w:val="20"/>
          <w:szCs w:val="20"/>
          <w:lang w:eastAsia="en-GB"/>
        </w:rPr>
        <w:t>: 701–720.</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Sarhosis, V., De Santis, S and de Felice, G. (2016) A review of experimental investigations and assessment methods for masonry arch bridges. Journal of Structure and Infrastructure Engineering. </w:t>
      </w:r>
      <w:r w:rsidRPr="0001476B">
        <w:rPr>
          <w:rFonts w:ascii="Arial" w:eastAsia="Times New Roman" w:hAnsi="Arial" w:cs="Arial"/>
          <w:b/>
          <w:sz w:val="20"/>
          <w:szCs w:val="20"/>
          <w:lang w:eastAsia="en-GB"/>
        </w:rPr>
        <w:t>12 (11)</w:t>
      </w:r>
      <w:r w:rsidRPr="0001476B">
        <w:rPr>
          <w:rFonts w:ascii="Arial" w:eastAsia="Times New Roman" w:hAnsi="Arial" w:cs="Arial"/>
          <w:sz w:val="20"/>
          <w:szCs w:val="20"/>
          <w:lang w:eastAsia="en-GB"/>
        </w:rPr>
        <w:t>: 1439-1464.</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Steele, K., Cole. G., Parke. G., Clarke. B and Harding, J. (2003) Highway bridges and environment – sustainable perspective. Proceedings of the Institution of Civil Engineers. </w:t>
      </w:r>
      <w:r w:rsidRPr="0001476B">
        <w:rPr>
          <w:rFonts w:ascii="Arial" w:eastAsia="Times New Roman" w:hAnsi="Arial" w:cs="Arial"/>
          <w:b/>
          <w:sz w:val="20"/>
          <w:szCs w:val="20"/>
          <w:lang w:eastAsia="en-GB"/>
        </w:rPr>
        <w:t>156 (4)</w:t>
      </w:r>
      <w:r w:rsidRPr="0001476B">
        <w:rPr>
          <w:rFonts w:ascii="Arial" w:eastAsia="Times New Roman" w:hAnsi="Arial" w:cs="Arial"/>
          <w:sz w:val="20"/>
          <w:szCs w:val="20"/>
          <w:lang w:eastAsia="en-GB"/>
        </w:rPr>
        <w:t>: 176-182.</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Steele, K. and Cole. G (2005) Environmental sustainability management. Bridge management 5. In Parke, G and Disney, P Eds. Thomas Telford. London. Pp 385-392.</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Sustainable bridges (2004) European railway bridge demography. Report TIP3-CT-2003-001653, Doc no. DI.2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Swoden, A. (1990) The maintenance and repair of brick and stone masonry structures. 1st ed. London: Spon.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TAMP (2005) Management of Highway Structures – A code of practice for highway bridge and structures maintenance management. Highway code of practice: UK</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 xml:space="preserve">United Nations (UN) (2015) Transforming our world: the 2030 Agenda for sustainable development. Report A/RES/70/1 </w:t>
      </w:r>
    </w:p>
    <w:p w:rsidR="0001476B" w:rsidRPr="0001476B" w:rsidRDefault="0001476B" w:rsidP="0001476B">
      <w:pPr>
        <w:autoSpaceDE w:val="0"/>
        <w:autoSpaceDN w:val="0"/>
        <w:adjustRightInd w:val="0"/>
        <w:spacing w:after="0" w:line="360" w:lineRule="auto"/>
        <w:ind w:left="284" w:hanging="284"/>
        <w:rPr>
          <w:rFonts w:ascii="Arial" w:eastAsia="Times New Roman" w:hAnsi="Arial" w:cs="Arial"/>
          <w:sz w:val="20"/>
          <w:szCs w:val="20"/>
          <w:lang w:eastAsia="en-GB"/>
        </w:rPr>
      </w:pPr>
      <w:r w:rsidRPr="0001476B">
        <w:rPr>
          <w:rFonts w:ascii="Arial" w:eastAsia="Times New Roman" w:hAnsi="Arial" w:cs="Arial"/>
          <w:sz w:val="20"/>
          <w:szCs w:val="20"/>
          <w:lang w:eastAsia="en-GB"/>
        </w:rPr>
        <w:t>Zhang, C., Amaduddin, M and Canning, L. (2011) Carbon dioxide evaluation in a typical bridge deck replacement. Proceedings of the Institution of Civil Engineers – Journal of Engineering   162 (4):183-194</w:t>
      </w:r>
      <w:bookmarkEnd w:id="11"/>
    </w:p>
    <w:p w:rsidR="004D2592" w:rsidRPr="0001476B" w:rsidRDefault="004D2592">
      <w:pPr>
        <w:rPr>
          <w:rFonts w:ascii="Arial" w:hAnsi="Arial" w:cs="Arial"/>
        </w:rPr>
      </w:pPr>
    </w:p>
    <w:sectPr w:rsidR="004D2592" w:rsidRPr="0001476B" w:rsidSect="0001476B">
      <w:footerReference w:type="default" r:id="rId12"/>
      <w:footerReference w:type="first" r:id="rId13"/>
      <w:footnotePr>
        <w:numFmt w:val="chicago"/>
      </w:footnotePr>
      <w:pgSz w:w="11906" w:h="16838" w:code="9"/>
      <w:pgMar w:top="1555" w:right="1699" w:bottom="1555" w:left="1699" w:header="706" w:footer="0"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2D" w:rsidRDefault="00860B2D">
      <w:pPr>
        <w:spacing w:after="0" w:line="240" w:lineRule="auto"/>
      </w:pPr>
      <w:r>
        <w:separator/>
      </w:r>
    </w:p>
  </w:endnote>
  <w:endnote w:type="continuationSeparator" w:id="0">
    <w:p w:rsidR="00860B2D" w:rsidRDefault="0086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6B" w:rsidRDefault="0001476B">
    <w:pPr>
      <w:pStyle w:val="Footer"/>
      <w:jc w:val="right"/>
    </w:pPr>
    <w:r>
      <w:fldChar w:fldCharType="begin"/>
    </w:r>
    <w:r>
      <w:instrText xml:space="preserve"> PAGE   \* MERGEFORMAT </w:instrText>
    </w:r>
    <w:r>
      <w:fldChar w:fldCharType="separate"/>
    </w:r>
    <w:r w:rsidR="006C12FF">
      <w:rPr>
        <w:noProof/>
      </w:rPr>
      <w:t>2</w:t>
    </w:r>
    <w:r>
      <w:rPr>
        <w:noProof/>
      </w:rPr>
      <w:fldChar w:fldCharType="end"/>
    </w:r>
  </w:p>
  <w:p w:rsidR="0001476B" w:rsidRPr="00652B19" w:rsidRDefault="0001476B" w:rsidP="0001476B">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6B" w:rsidRDefault="0001476B">
    <w:pPr>
      <w:pStyle w:val="Footer"/>
    </w:pPr>
  </w:p>
  <w:p w:rsidR="0001476B" w:rsidRDefault="00014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6B" w:rsidRDefault="0001476B">
    <w:pPr>
      <w:pStyle w:val="Footer"/>
      <w:jc w:val="right"/>
    </w:pPr>
    <w:r>
      <w:fldChar w:fldCharType="begin"/>
    </w:r>
    <w:r>
      <w:instrText xml:space="preserve"> PAGE   \* MERGEFORMAT </w:instrText>
    </w:r>
    <w:r>
      <w:fldChar w:fldCharType="separate"/>
    </w:r>
    <w:r w:rsidR="000B6529">
      <w:rPr>
        <w:noProof/>
      </w:rPr>
      <w:t>12</w:t>
    </w:r>
    <w:r>
      <w:rPr>
        <w:noProof/>
      </w:rPr>
      <w:fldChar w:fldCharType="end"/>
    </w:r>
  </w:p>
  <w:p w:rsidR="0001476B" w:rsidRPr="00652B19" w:rsidRDefault="0001476B" w:rsidP="0001476B">
    <w:pPr>
      <w:pStyle w:val="Footer"/>
      <w:jc w:val="righ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6B" w:rsidRDefault="0001476B">
    <w:pPr>
      <w:pStyle w:val="Footer"/>
    </w:pPr>
  </w:p>
  <w:p w:rsidR="0001476B" w:rsidRDefault="0001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2D" w:rsidRDefault="00860B2D">
      <w:pPr>
        <w:spacing w:after="0" w:line="240" w:lineRule="auto"/>
      </w:pPr>
      <w:r>
        <w:separator/>
      </w:r>
    </w:p>
  </w:footnote>
  <w:footnote w:type="continuationSeparator" w:id="0">
    <w:p w:rsidR="00860B2D" w:rsidRDefault="0086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9DA"/>
    <w:multiLevelType w:val="hybridMultilevel"/>
    <w:tmpl w:val="70B66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D00F7"/>
    <w:multiLevelType w:val="hybridMultilevel"/>
    <w:tmpl w:val="AA8AF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FA0111"/>
    <w:multiLevelType w:val="hybridMultilevel"/>
    <w:tmpl w:val="3C04C33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9535FC"/>
    <w:multiLevelType w:val="hybridMultilevel"/>
    <w:tmpl w:val="F39891EE"/>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B2746"/>
    <w:multiLevelType w:val="hybridMultilevel"/>
    <w:tmpl w:val="A97C7E9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25D77"/>
    <w:multiLevelType w:val="hybridMultilevel"/>
    <w:tmpl w:val="ECBEF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2195"/>
    <w:multiLevelType w:val="hybridMultilevel"/>
    <w:tmpl w:val="2376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B4E55"/>
    <w:multiLevelType w:val="hybridMultilevel"/>
    <w:tmpl w:val="2B604786"/>
    <w:lvl w:ilvl="0" w:tplc="CA72327C">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73BEE"/>
    <w:multiLevelType w:val="hybridMultilevel"/>
    <w:tmpl w:val="B406C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54A94"/>
    <w:multiLevelType w:val="hybridMultilevel"/>
    <w:tmpl w:val="8B5E2B1A"/>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23D"/>
    <w:multiLevelType w:val="hybridMultilevel"/>
    <w:tmpl w:val="A586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0B10"/>
    <w:multiLevelType w:val="hybridMultilevel"/>
    <w:tmpl w:val="21EE28CC"/>
    <w:lvl w:ilvl="0" w:tplc="FFFFFFFF">
      <w:start w:val="1"/>
      <w:numFmt w:val="bullet"/>
      <w:lvlText w:val=""/>
      <w:lvlJc w:val="left"/>
      <w:pPr>
        <w:tabs>
          <w:tab w:val="num" w:pos="1179"/>
        </w:tabs>
        <w:ind w:left="1179" w:hanging="360"/>
      </w:pPr>
      <w:rPr>
        <w:rFonts w:ascii="Symbol" w:hAnsi="Symbol" w:hint="default"/>
      </w:rPr>
    </w:lvl>
    <w:lvl w:ilvl="1" w:tplc="FFFFFFFF" w:tentative="1">
      <w:start w:val="1"/>
      <w:numFmt w:val="bullet"/>
      <w:lvlText w:val="o"/>
      <w:lvlJc w:val="left"/>
      <w:pPr>
        <w:tabs>
          <w:tab w:val="num" w:pos="1899"/>
        </w:tabs>
        <w:ind w:left="1899" w:hanging="360"/>
      </w:pPr>
      <w:rPr>
        <w:rFonts w:ascii="Courier New" w:hAnsi="Courier New" w:hint="default"/>
      </w:rPr>
    </w:lvl>
    <w:lvl w:ilvl="2" w:tplc="FFFFFFFF" w:tentative="1">
      <w:start w:val="1"/>
      <w:numFmt w:val="bullet"/>
      <w:lvlText w:val=""/>
      <w:lvlJc w:val="left"/>
      <w:pPr>
        <w:tabs>
          <w:tab w:val="num" w:pos="2619"/>
        </w:tabs>
        <w:ind w:left="2619" w:hanging="360"/>
      </w:pPr>
      <w:rPr>
        <w:rFonts w:ascii="Wingdings" w:hAnsi="Wingdings" w:hint="default"/>
      </w:rPr>
    </w:lvl>
    <w:lvl w:ilvl="3" w:tplc="FFFFFFFF" w:tentative="1">
      <w:start w:val="1"/>
      <w:numFmt w:val="bullet"/>
      <w:lvlText w:val=""/>
      <w:lvlJc w:val="left"/>
      <w:pPr>
        <w:tabs>
          <w:tab w:val="num" w:pos="3339"/>
        </w:tabs>
        <w:ind w:left="3339" w:hanging="360"/>
      </w:pPr>
      <w:rPr>
        <w:rFonts w:ascii="Symbol" w:hAnsi="Symbol" w:hint="default"/>
      </w:rPr>
    </w:lvl>
    <w:lvl w:ilvl="4" w:tplc="FFFFFFFF" w:tentative="1">
      <w:start w:val="1"/>
      <w:numFmt w:val="bullet"/>
      <w:lvlText w:val="o"/>
      <w:lvlJc w:val="left"/>
      <w:pPr>
        <w:tabs>
          <w:tab w:val="num" w:pos="4059"/>
        </w:tabs>
        <w:ind w:left="4059" w:hanging="360"/>
      </w:pPr>
      <w:rPr>
        <w:rFonts w:ascii="Courier New" w:hAnsi="Courier New" w:hint="default"/>
      </w:rPr>
    </w:lvl>
    <w:lvl w:ilvl="5" w:tplc="FFFFFFFF" w:tentative="1">
      <w:start w:val="1"/>
      <w:numFmt w:val="bullet"/>
      <w:lvlText w:val=""/>
      <w:lvlJc w:val="left"/>
      <w:pPr>
        <w:tabs>
          <w:tab w:val="num" w:pos="4779"/>
        </w:tabs>
        <w:ind w:left="4779" w:hanging="360"/>
      </w:pPr>
      <w:rPr>
        <w:rFonts w:ascii="Wingdings" w:hAnsi="Wingdings" w:hint="default"/>
      </w:rPr>
    </w:lvl>
    <w:lvl w:ilvl="6" w:tplc="FFFFFFFF" w:tentative="1">
      <w:start w:val="1"/>
      <w:numFmt w:val="bullet"/>
      <w:lvlText w:val=""/>
      <w:lvlJc w:val="left"/>
      <w:pPr>
        <w:tabs>
          <w:tab w:val="num" w:pos="5499"/>
        </w:tabs>
        <w:ind w:left="5499" w:hanging="360"/>
      </w:pPr>
      <w:rPr>
        <w:rFonts w:ascii="Symbol" w:hAnsi="Symbol" w:hint="default"/>
      </w:rPr>
    </w:lvl>
    <w:lvl w:ilvl="7" w:tplc="FFFFFFFF" w:tentative="1">
      <w:start w:val="1"/>
      <w:numFmt w:val="bullet"/>
      <w:lvlText w:val="o"/>
      <w:lvlJc w:val="left"/>
      <w:pPr>
        <w:tabs>
          <w:tab w:val="num" w:pos="6219"/>
        </w:tabs>
        <w:ind w:left="6219" w:hanging="360"/>
      </w:pPr>
      <w:rPr>
        <w:rFonts w:ascii="Courier New" w:hAnsi="Courier New" w:hint="default"/>
      </w:rPr>
    </w:lvl>
    <w:lvl w:ilvl="8" w:tplc="FFFFFFFF" w:tentative="1">
      <w:start w:val="1"/>
      <w:numFmt w:val="bullet"/>
      <w:lvlText w:val=""/>
      <w:lvlJc w:val="left"/>
      <w:pPr>
        <w:tabs>
          <w:tab w:val="num" w:pos="6939"/>
        </w:tabs>
        <w:ind w:left="6939" w:hanging="360"/>
      </w:pPr>
      <w:rPr>
        <w:rFonts w:ascii="Wingdings" w:hAnsi="Wingdings" w:hint="default"/>
      </w:rPr>
    </w:lvl>
  </w:abstractNum>
  <w:abstractNum w:abstractNumId="12" w15:restartNumberingAfterBreak="0">
    <w:nsid w:val="304C1584"/>
    <w:multiLevelType w:val="hybridMultilevel"/>
    <w:tmpl w:val="1B50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C4357"/>
    <w:multiLevelType w:val="hybridMultilevel"/>
    <w:tmpl w:val="333A85B8"/>
    <w:lvl w:ilvl="0" w:tplc="BF107CA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C76BE"/>
    <w:multiLevelType w:val="multilevel"/>
    <w:tmpl w:val="A786349C"/>
    <w:lvl w:ilvl="0">
      <w:start w:val="7"/>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438E6522"/>
    <w:multiLevelType w:val="multilevel"/>
    <w:tmpl w:val="3C807C10"/>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6" w15:restartNumberingAfterBreak="0">
    <w:nsid w:val="44CE65C7"/>
    <w:multiLevelType w:val="hybridMultilevel"/>
    <w:tmpl w:val="7DAA8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2016D7"/>
    <w:multiLevelType w:val="hybridMultilevel"/>
    <w:tmpl w:val="EF4CD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B07DE"/>
    <w:multiLevelType w:val="hybridMultilevel"/>
    <w:tmpl w:val="FD40248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E543C0"/>
    <w:multiLevelType w:val="hybridMultilevel"/>
    <w:tmpl w:val="DE3074F0"/>
    <w:lvl w:ilvl="0" w:tplc="70A25D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C0BF9"/>
    <w:multiLevelType w:val="hybridMultilevel"/>
    <w:tmpl w:val="038449A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A71DF3"/>
    <w:multiLevelType w:val="hybridMultilevel"/>
    <w:tmpl w:val="4AB22456"/>
    <w:lvl w:ilvl="0" w:tplc="C9987D32">
      <w:start w:val="1"/>
      <w:numFmt w:val="bullet"/>
      <w:lvlText w:val="●"/>
      <w:lvlJc w:val="left"/>
      <w:pPr>
        <w:tabs>
          <w:tab w:val="num" w:pos="360"/>
        </w:tabs>
        <w:ind w:left="360" w:hanging="360"/>
      </w:pPr>
      <w:rPr>
        <w:rFonts w:ascii="Arial" w:hAnsi="Arial" w:hint="default"/>
        <w:color w:val="00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2162D"/>
    <w:multiLevelType w:val="multilevel"/>
    <w:tmpl w:val="CAF6C4AE"/>
    <w:lvl w:ilvl="0">
      <w:start w:val="1"/>
      <w:numFmt w:val="decimal"/>
      <w:pStyle w:val="Style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15:restartNumberingAfterBreak="0">
    <w:nsid w:val="64AC700E"/>
    <w:multiLevelType w:val="hybridMultilevel"/>
    <w:tmpl w:val="4EB62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970BF"/>
    <w:multiLevelType w:val="hybridMultilevel"/>
    <w:tmpl w:val="4D2AD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EB3A84"/>
    <w:multiLevelType w:val="hybridMultilevel"/>
    <w:tmpl w:val="3FD09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D5C3B"/>
    <w:multiLevelType w:val="multilevel"/>
    <w:tmpl w:val="FD4E4854"/>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A044326"/>
    <w:multiLevelType w:val="hybridMultilevel"/>
    <w:tmpl w:val="92C2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A45EF"/>
    <w:multiLevelType w:val="hybridMultilevel"/>
    <w:tmpl w:val="46FE037C"/>
    <w:lvl w:ilvl="0" w:tplc="F10CEEE0">
      <w:start w:val="1"/>
      <w:numFmt w:val="bullet"/>
      <w:lvlText w:val=""/>
      <w:lvlJc w:val="left"/>
      <w:pPr>
        <w:tabs>
          <w:tab w:val="num" w:pos="720"/>
        </w:tabs>
        <w:ind w:left="720" w:hanging="360"/>
      </w:pPr>
      <w:rPr>
        <w:rFonts w:ascii="Symbol" w:hAnsi="Symbol" w:hint="default"/>
      </w:rPr>
    </w:lvl>
    <w:lvl w:ilvl="1" w:tplc="99B6776A" w:tentative="1">
      <w:start w:val="1"/>
      <w:numFmt w:val="bullet"/>
      <w:lvlText w:val="o"/>
      <w:lvlJc w:val="left"/>
      <w:pPr>
        <w:tabs>
          <w:tab w:val="num" w:pos="1440"/>
        </w:tabs>
        <w:ind w:left="1440" w:hanging="360"/>
      </w:pPr>
      <w:rPr>
        <w:rFonts w:ascii="Courier New" w:hAnsi="Courier New" w:hint="default"/>
      </w:rPr>
    </w:lvl>
    <w:lvl w:ilvl="2" w:tplc="8A58B8EC" w:tentative="1">
      <w:start w:val="1"/>
      <w:numFmt w:val="bullet"/>
      <w:lvlText w:val=""/>
      <w:lvlJc w:val="left"/>
      <w:pPr>
        <w:tabs>
          <w:tab w:val="num" w:pos="2160"/>
        </w:tabs>
        <w:ind w:left="2160" w:hanging="360"/>
      </w:pPr>
      <w:rPr>
        <w:rFonts w:ascii="Wingdings" w:hAnsi="Wingdings" w:hint="default"/>
      </w:rPr>
    </w:lvl>
    <w:lvl w:ilvl="3" w:tplc="AA68F21C" w:tentative="1">
      <w:start w:val="1"/>
      <w:numFmt w:val="bullet"/>
      <w:lvlText w:val=""/>
      <w:lvlJc w:val="left"/>
      <w:pPr>
        <w:tabs>
          <w:tab w:val="num" w:pos="2880"/>
        </w:tabs>
        <w:ind w:left="2880" w:hanging="360"/>
      </w:pPr>
      <w:rPr>
        <w:rFonts w:ascii="Symbol" w:hAnsi="Symbol" w:hint="default"/>
      </w:rPr>
    </w:lvl>
    <w:lvl w:ilvl="4" w:tplc="B1244312" w:tentative="1">
      <w:start w:val="1"/>
      <w:numFmt w:val="bullet"/>
      <w:lvlText w:val="o"/>
      <w:lvlJc w:val="left"/>
      <w:pPr>
        <w:tabs>
          <w:tab w:val="num" w:pos="3600"/>
        </w:tabs>
        <w:ind w:left="3600" w:hanging="360"/>
      </w:pPr>
      <w:rPr>
        <w:rFonts w:ascii="Courier New" w:hAnsi="Courier New" w:hint="default"/>
      </w:rPr>
    </w:lvl>
    <w:lvl w:ilvl="5" w:tplc="8724F4CC" w:tentative="1">
      <w:start w:val="1"/>
      <w:numFmt w:val="bullet"/>
      <w:lvlText w:val=""/>
      <w:lvlJc w:val="left"/>
      <w:pPr>
        <w:tabs>
          <w:tab w:val="num" w:pos="4320"/>
        </w:tabs>
        <w:ind w:left="4320" w:hanging="360"/>
      </w:pPr>
      <w:rPr>
        <w:rFonts w:ascii="Wingdings" w:hAnsi="Wingdings" w:hint="default"/>
      </w:rPr>
    </w:lvl>
    <w:lvl w:ilvl="6" w:tplc="D862CFE4" w:tentative="1">
      <w:start w:val="1"/>
      <w:numFmt w:val="bullet"/>
      <w:lvlText w:val=""/>
      <w:lvlJc w:val="left"/>
      <w:pPr>
        <w:tabs>
          <w:tab w:val="num" w:pos="5040"/>
        </w:tabs>
        <w:ind w:left="5040" w:hanging="360"/>
      </w:pPr>
      <w:rPr>
        <w:rFonts w:ascii="Symbol" w:hAnsi="Symbol" w:hint="default"/>
      </w:rPr>
    </w:lvl>
    <w:lvl w:ilvl="7" w:tplc="09EAB72E" w:tentative="1">
      <w:start w:val="1"/>
      <w:numFmt w:val="bullet"/>
      <w:lvlText w:val="o"/>
      <w:lvlJc w:val="left"/>
      <w:pPr>
        <w:tabs>
          <w:tab w:val="num" w:pos="5760"/>
        </w:tabs>
        <w:ind w:left="5760" w:hanging="360"/>
      </w:pPr>
      <w:rPr>
        <w:rFonts w:ascii="Courier New" w:hAnsi="Courier New" w:hint="default"/>
      </w:rPr>
    </w:lvl>
    <w:lvl w:ilvl="8" w:tplc="DBD2B08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A23739"/>
    <w:multiLevelType w:val="hybridMultilevel"/>
    <w:tmpl w:val="AB2657D2"/>
    <w:lvl w:ilvl="0" w:tplc="08090001">
      <w:start w:val="1"/>
      <w:numFmt w:val="decimal"/>
      <w:lvlText w:val="[%1]"/>
      <w:lvlJc w:val="left"/>
      <w:pPr>
        <w:tabs>
          <w:tab w:val="num" w:pos="796"/>
        </w:tabs>
        <w:ind w:left="796" w:hanging="436"/>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3A4637"/>
    <w:multiLevelType w:val="hybridMultilevel"/>
    <w:tmpl w:val="67E2C792"/>
    <w:lvl w:ilvl="0" w:tplc="A3CAFE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37560"/>
    <w:multiLevelType w:val="hybridMultilevel"/>
    <w:tmpl w:val="7690FFA4"/>
    <w:lvl w:ilvl="0" w:tplc="F17EF500">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1"/>
  </w:num>
  <w:num w:numId="3">
    <w:abstractNumId w:val="15"/>
  </w:num>
  <w:num w:numId="4">
    <w:abstractNumId w:val="19"/>
  </w:num>
  <w:num w:numId="5">
    <w:abstractNumId w:val="20"/>
  </w:num>
  <w:num w:numId="6">
    <w:abstractNumId w:val="2"/>
  </w:num>
  <w:num w:numId="7">
    <w:abstractNumId w:val="4"/>
  </w:num>
  <w:num w:numId="8">
    <w:abstractNumId w:val="24"/>
  </w:num>
  <w:num w:numId="9">
    <w:abstractNumId w:val="17"/>
  </w:num>
  <w:num w:numId="10">
    <w:abstractNumId w:val="14"/>
  </w:num>
  <w:num w:numId="11">
    <w:abstractNumId w:val="0"/>
  </w:num>
  <w:num w:numId="12">
    <w:abstractNumId w:val="31"/>
  </w:num>
  <w:num w:numId="13">
    <w:abstractNumId w:val="5"/>
  </w:num>
  <w:num w:numId="14">
    <w:abstractNumId w:val="8"/>
  </w:num>
  <w:num w:numId="15">
    <w:abstractNumId w:val="23"/>
  </w:num>
  <w:num w:numId="16">
    <w:abstractNumId w:val="26"/>
  </w:num>
  <w:num w:numId="17">
    <w:abstractNumId w:val="18"/>
  </w:num>
  <w:num w:numId="18">
    <w:abstractNumId w:val="28"/>
  </w:num>
  <w:num w:numId="19">
    <w:abstractNumId w:val="29"/>
  </w:num>
  <w:num w:numId="20">
    <w:abstractNumId w:val="25"/>
  </w:num>
  <w:num w:numId="21">
    <w:abstractNumId w:val="10"/>
  </w:num>
  <w:num w:numId="22">
    <w:abstractNumId w:val="1"/>
  </w:num>
  <w:num w:numId="23">
    <w:abstractNumId w:val="30"/>
  </w:num>
  <w:num w:numId="24">
    <w:abstractNumId w:val="3"/>
  </w:num>
  <w:num w:numId="25">
    <w:abstractNumId w:val="21"/>
  </w:num>
  <w:num w:numId="26">
    <w:abstractNumId w:val="9"/>
  </w:num>
  <w:num w:numId="27">
    <w:abstractNumId w:val="12"/>
  </w:num>
  <w:num w:numId="28">
    <w:abstractNumId w:val="27"/>
  </w:num>
  <w:num w:numId="29">
    <w:abstractNumId w:val="16"/>
  </w:num>
  <w:num w:numId="30">
    <w:abstractNumId w:val="7"/>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6B"/>
    <w:rsid w:val="0001476B"/>
    <w:rsid w:val="000B6529"/>
    <w:rsid w:val="001553CD"/>
    <w:rsid w:val="00344BFA"/>
    <w:rsid w:val="0047449B"/>
    <w:rsid w:val="004D2592"/>
    <w:rsid w:val="00506FB1"/>
    <w:rsid w:val="00534DE7"/>
    <w:rsid w:val="00557049"/>
    <w:rsid w:val="0065543A"/>
    <w:rsid w:val="00673C58"/>
    <w:rsid w:val="006C12FF"/>
    <w:rsid w:val="00804636"/>
    <w:rsid w:val="00860B2D"/>
    <w:rsid w:val="00864986"/>
    <w:rsid w:val="00DD3E06"/>
    <w:rsid w:val="00E35275"/>
    <w:rsid w:val="00E541A9"/>
    <w:rsid w:val="00E77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A67F5-046D-4A8E-9766-B14C04B1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1476B"/>
    <w:pPr>
      <w:keepNext/>
      <w:numPr>
        <w:numId w:val="3"/>
      </w:numPr>
      <w:spacing w:before="240" w:after="48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iPriority w:val="99"/>
    <w:qFormat/>
    <w:rsid w:val="0001476B"/>
    <w:pPr>
      <w:keepNext/>
      <w:numPr>
        <w:ilvl w:val="1"/>
        <w:numId w:val="3"/>
      </w:numPr>
      <w:spacing w:before="480" w:after="120" w:line="240" w:lineRule="auto"/>
      <w:outlineLvl w:val="1"/>
    </w:pPr>
    <w:rPr>
      <w:rFonts w:ascii="Arial" w:eastAsia="Times New Roman" w:hAnsi="Arial" w:cs="Arial"/>
      <w:b/>
      <w:bCs/>
      <w:iCs/>
      <w:sz w:val="28"/>
      <w:szCs w:val="28"/>
      <w:lang w:eastAsia="en-GB"/>
    </w:rPr>
  </w:style>
  <w:style w:type="paragraph" w:styleId="Heading3">
    <w:name w:val="heading 3"/>
    <w:basedOn w:val="Normal"/>
    <w:next w:val="Normal"/>
    <w:link w:val="Heading3Char"/>
    <w:uiPriority w:val="99"/>
    <w:qFormat/>
    <w:rsid w:val="0001476B"/>
    <w:pPr>
      <w:keepNext/>
      <w:numPr>
        <w:ilvl w:val="2"/>
        <w:numId w:val="3"/>
      </w:numPr>
      <w:spacing w:before="360" w:after="12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01476B"/>
    <w:pPr>
      <w:keepNext/>
      <w:numPr>
        <w:ilvl w:val="3"/>
        <w:numId w:val="3"/>
      </w:numPr>
      <w:spacing w:before="240" w:after="60" w:line="240" w:lineRule="auto"/>
      <w:outlineLvl w:val="3"/>
    </w:pPr>
    <w:rPr>
      <w:rFonts w:ascii="Arial" w:eastAsia="Times New Roman" w:hAnsi="Arial" w:cs="Arial"/>
      <w:b/>
      <w:bCs/>
      <w:szCs w:val="28"/>
      <w:lang w:eastAsia="en-GB"/>
    </w:rPr>
  </w:style>
  <w:style w:type="paragraph" w:styleId="Heading5">
    <w:name w:val="heading 5"/>
    <w:basedOn w:val="Normal"/>
    <w:next w:val="Normal"/>
    <w:link w:val="Heading5Char"/>
    <w:uiPriority w:val="99"/>
    <w:qFormat/>
    <w:rsid w:val="0001476B"/>
    <w:pPr>
      <w:numPr>
        <w:ilvl w:val="4"/>
        <w:numId w:val="3"/>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9"/>
    <w:qFormat/>
    <w:rsid w:val="0001476B"/>
    <w:pPr>
      <w:numPr>
        <w:ilvl w:val="5"/>
        <w:numId w:val="3"/>
      </w:numPr>
      <w:spacing w:before="240" w:after="60" w:line="240" w:lineRule="auto"/>
      <w:outlineLvl w:val="5"/>
    </w:pPr>
    <w:rPr>
      <w:rFonts w:ascii="Arial" w:eastAsia="Times New Roman" w:hAnsi="Arial" w:cs="Arial"/>
      <w:b/>
      <w:bCs/>
      <w:lang w:eastAsia="en-GB"/>
    </w:rPr>
  </w:style>
  <w:style w:type="paragraph" w:styleId="Heading7">
    <w:name w:val="heading 7"/>
    <w:basedOn w:val="Normal"/>
    <w:next w:val="Normal"/>
    <w:link w:val="Heading7Char"/>
    <w:uiPriority w:val="99"/>
    <w:qFormat/>
    <w:rsid w:val="0001476B"/>
    <w:pPr>
      <w:numPr>
        <w:ilvl w:val="6"/>
        <w:numId w:val="3"/>
      </w:numPr>
      <w:spacing w:before="240" w:after="60" w:line="240" w:lineRule="auto"/>
      <w:outlineLvl w:val="6"/>
    </w:pPr>
    <w:rPr>
      <w:rFonts w:ascii="Arial" w:eastAsia="Times New Roman" w:hAnsi="Arial" w:cs="Arial"/>
      <w:lang w:eastAsia="en-GB"/>
    </w:rPr>
  </w:style>
  <w:style w:type="paragraph" w:styleId="Heading8">
    <w:name w:val="heading 8"/>
    <w:basedOn w:val="Normal"/>
    <w:next w:val="Normal"/>
    <w:link w:val="Heading8Char"/>
    <w:uiPriority w:val="99"/>
    <w:qFormat/>
    <w:rsid w:val="0001476B"/>
    <w:pPr>
      <w:numPr>
        <w:ilvl w:val="7"/>
        <w:numId w:val="3"/>
      </w:numPr>
      <w:spacing w:before="240" w:after="60" w:line="240" w:lineRule="auto"/>
      <w:outlineLvl w:val="7"/>
    </w:pPr>
    <w:rPr>
      <w:rFonts w:ascii="Arial" w:eastAsia="Times New Roman" w:hAnsi="Arial" w:cs="Arial"/>
      <w:i/>
      <w:iCs/>
      <w:lang w:eastAsia="en-GB"/>
    </w:rPr>
  </w:style>
  <w:style w:type="paragraph" w:styleId="Heading9">
    <w:name w:val="heading 9"/>
    <w:basedOn w:val="Normal"/>
    <w:next w:val="Normal"/>
    <w:link w:val="Heading9Char"/>
    <w:uiPriority w:val="99"/>
    <w:qFormat/>
    <w:rsid w:val="0001476B"/>
    <w:pPr>
      <w:numPr>
        <w:ilvl w:val="8"/>
        <w:numId w:val="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476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9"/>
    <w:rsid w:val="0001476B"/>
    <w:rPr>
      <w:rFonts w:ascii="Arial" w:eastAsia="Times New Roman" w:hAnsi="Arial" w:cs="Arial"/>
      <w:b/>
      <w:bCs/>
      <w:iCs/>
      <w:sz w:val="28"/>
      <w:szCs w:val="28"/>
      <w:lang w:eastAsia="en-GB"/>
    </w:rPr>
  </w:style>
  <w:style w:type="character" w:customStyle="1" w:styleId="Heading3Char">
    <w:name w:val="Heading 3 Char"/>
    <w:basedOn w:val="DefaultParagraphFont"/>
    <w:link w:val="Heading3"/>
    <w:uiPriority w:val="99"/>
    <w:rsid w:val="0001476B"/>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01476B"/>
    <w:rPr>
      <w:rFonts w:ascii="Arial" w:eastAsia="Times New Roman" w:hAnsi="Arial" w:cs="Arial"/>
      <w:b/>
      <w:bCs/>
      <w:szCs w:val="28"/>
      <w:lang w:eastAsia="en-GB"/>
    </w:rPr>
  </w:style>
  <w:style w:type="character" w:customStyle="1" w:styleId="Heading5Char">
    <w:name w:val="Heading 5 Char"/>
    <w:basedOn w:val="DefaultParagraphFont"/>
    <w:link w:val="Heading5"/>
    <w:uiPriority w:val="99"/>
    <w:rsid w:val="0001476B"/>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9"/>
    <w:rsid w:val="0001476B"/>
    <w:rPr>
      <w:rFonts w:ascii="Arial" w:eastAsia="Times New Roman" w:hAnsi="Arial" w:cs="Arial"/>
      <w:b/>
      <w:bCs/>
      <w:lang w:eastAsia="en-GB"/>
    </w:rPr>
  </w:style>
  <w:style w:type="character" w:customStyle="1" w:styleId="Heading7Char">
    <w:name w:val="Heading 7 Char"/>
    <w:basedOn w:val="DefaultParagraphFont"/>
    <w:link w:val="Heading7"/>
    <w:uiPriority w:val="99"/>
    <w:rsid w:val="0001476B"/>
    <w:rPr>
      <w:rFonts w:ascii="Arial" w:eastAsia="Times New Roman" w:hAnsi="Arial" w:cs="Arial"/>
      <w:lang w:eastAsia="en-GB"/>
    </w:rPr>
  </w:style>
  <w:style w:type="character" w:customStyle="1" w:styleId="Heading8Char">
    <w:name w:val="Heading 8 Char"/>
    <w:basedOn w:val="DefaultParagraphFont"/>
    <w:link w:val="Heading8"/>
    <w:uiPriority w:val="99"/>
    <w:rsid w:val="0001476B"/>
    <w:rPr>
      <w:rFonts w:ascii="Arial" w:eastAsia="Times New Roman" w:hAnsi="Arial" w:cs="Arial"/>
      <w:i/>
      <w:iCs/>
      <w:lang w:eastAsia="en-GB"/>
    </w:rPr>
  </w:style>
  <w:style w:type="character" w:customStyle="1" w:styleId="Heading9Char">
    <w:name w:val="Heading 9 Char"/>
    <w:basedOn w:val="DefaultParagraphFont"/>
    <w:link w:val="Heading9"/>
    <w:uiPriority w:val="99"/>
    <w:rsid w:val="0001476B"/>
    <w:rPr>
      <w:rFonts w:ascii="Arial" w:eastAsia="Times New Roman" w:hAnsi="Arial" w:cs="Arial"/>
      <w:lang w:eastAsia="en-GB"/>
    </w:rPr>
  </w:style>
  <w:style w:type="numbering" w:customStyle="1" w:styleId="NoList1">
    <w:name w:val="No List1"/>
    <w:next w:val="NoList"/>
    <w:uiPriority w:val="99"/>
    <w:semiHidden/>
    <w:unhideWhenUsed/>
    <w:rsid w:val="0001476B"/>
  </w:style>
  <w:style w:type="paragraph" w:customStyle="1" w:styleId="Style2">
    <w:name w:val="Style2"/>
    <w:basedOn w:val="Normal"/>
    <w:autoRedefine/>
    <w:uiPriority w:val="99"/>
    <w:rsid w:val="0001476B"/>
    <w:pPr>
      <w:numPr>
        <w:numId w:val="1"/>
      </w:numPr>
      <w:spacing w:after="0" w:line="240" w:lineRule="auto"/>
    </w:pPr>
    <w:rPr>
      <w:rFonts w:ascii="Arial" w:eastAsia="Times New Roman" w:hAnsi="Arial" w:cs="Arial"/>
      <w:b/>
      <w:bCs/>
      <w:sz w:val="20"/>
      <w:szCs w:val="20"/>
      <w:lang w:eastAsia="en-GB"/>
    </w:rPr>
  </w:style>
  <w:style w:type="paragraph" w:customStyle="1" w:styleId="TOC1">
    <w:name w:val="TOC1"/>
    <w:basedOn w:val="TOC10"/>
    <w:autoRedefine/>
    <w:uiPriority w:val="99"/>
    <w:rsid w:val="0001476B"/>
    <w:rPr>
      <w:b w:val="0"/>
      <w:sz w:val="28"/>
      <w:szCs w:val="28"/>
      <w:lang w:val="en-US" w:eastAsia="en-US"/>
    </w:rPr>
  </w:style>
  <w:style w:type="paragraph" w:styleId="TOC10">
    <w:name w:val="toc 1"/>
    <w:basedOn w:val="Normal"/>
    <w:next w:val="Normal"/>
    <w:autoRedefine/>
    <w:uiPriority w:val="99"/>
    <w:semiHidden/>
    <w:rsid w:val="0001476B"/>
    <w:pPr>
      <w:tabs>
        <w:tab w:val="right" w:leader="dot" w:pos="8494"/>
      </w:tabs>
      <w:spacing w:after="0" w:line="360" w:lineRule="auto"/>
    </w:pPr>
    <w:rPr>
      <w:rFonts w:ascii="Arial" w:eastAsia="Times New Roman" w:hAnsi="Arial" w:cs="Arial"/>
      <w:b/>
      <w:noProof/>
      <w:lang w:eastAsia="en-GB"/>
    </w:rPr>
  </w:style>
  <w:style w:type="paragraph" w:styleId="Header">
    <w:name w:val="header"/>
    <w:basedOn w:val="Normal"/>
    <w:link w:val="HeaderChar"/>
    <w:uiPriority w:val="99"/>
    <w:rsid w:val="0001476B"/>
    <w:pPr>
      <w:tabs>
        <w:tab w:val="center" w:pos="4153"/>
        <w:tab w:val="right" w:pos="8306"/>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uiPriority w:val="99"/>
    <w:rsid w:val="0001476B"/>
    <w:rPr>
      <w:rFonts w:ascii="Arial" w:eastAsia="Times New Roman" w:hAnsi="Arial" w:cs="Arial"/>
      <w:lang w:eastAsia="en-GB"/>
    </w:rPr>
  </w:style>
  <w:style w:type="paragraph" w:styleId="Footer">
    <w:name w:val="footer"/>
    <w:basedOn w:val="Normal"/>
    <w:link w:val="FooterChar"/>
    <w:uiPriority w:val="99"/>
    <w:rsid w:val="0001476B"/>
    <w:pPr>
      <w:tabs>
        <w:tab w:val="center" w:pos="4153"/>
        <w:tab w:val="right" w:pos="8306"/>
      </w:tabs>
      <w:spacing w:after="0" w:line="240" w:lineRule="auto"/>
    </w:pPr>
    <w:rPr>
      <w:rFonts w:ascii="Arial" w:eastAsia="Times New Roman" w:hAnsi="Arial" w:cs="Arial"/>
      <w:lang w:eastAsia="en-GB"/>
    </w:rPr>
  </w:style>
  <w:style w:type="character" w:customStyle="1" w:styleId="FooterChar">
    <w:name w:val="Footer Char"/>
    <w:basedOn w:val="DefaultParagraphFont"/>
    <w:link w:val="Footer"/>
    <w:uiPriority w:val="99"/>
    <w:rsid w:val="0001476B"/>
    <w:rPr>
      <w:rFonts w:ascii="Arial" w:eastAsia="Times New Roman" w:hAnsi="Arial" w:cs="Arial"/>
      <w:lang w:eastAsia="en-GB"/>
    </w:rPr>
  </w:style>
  <w:style w:type="paragraph" w:customStyle="1" w:styleId="Referencetext">
    <w:name w:val="Reference text"/>
    <w:basedOn w:val="Normal"/>
    <w:uiPriority w:val="99"/>
    <w:rsid w:val="0001476B"/>
    <w:pPr>
      <w:overflowPunct w:val="0"/>
      <w:autoSpaceDE w:val="0"/>
      <w:autoSpaceDN w:val="0"/>
      <w:adjustRightInd w:val="0"/>
      <w:spacing w:after="0" w:line="220" w:lineRule="exact"/>
      <w:ind w:left="284" w:hanging="284"/>
      <w:jc w:val="both"/>
      <w:textAlignment w:val="baseline"/>
    </w:pPr>
    <w:rPr>
      <w:rFonts w:ascii="Arial" w:eastAsia="Times New Roman" w:hAnsi="Arial" w:cs="Arial"/>
      <w:sz w:val="20"/>
      <w:szCs w:val="20"/>
    </w:rPr>
  </w:style>
  <w:style w:type="character" w:styleId="PageNumber">
    <w:name w:val="page number"/>
    <w:uiPriority w:val="99"/>
    <w:rsid w:val="0001476B"/>
    <w:rPr>
      <w:rFonts w:cs="Times New Roman"/>
    </w:rPr>
  </w:style>
  <w:style w:type="paragraph" w:customStyle="1" w:styleId="BREbodytext">
    <w:name w:val="BRE body text"/>
    <w:basedOn w:val="Normal"/>
    <w:uiPriority w:val="99"/>
    <w:rsid w:val="0001476B"/>
    <w:pPr>
      <w:spacing w:after="180" w:line="260" w:lineRule="atLeast"/>
      <w:jc w:val="both"/>
    </w:pPr>
    <w:rPr>
      <w:rFonts w:ascii="Arial" w:eastAsia="Times New Roman" w:hAnsi="Arial" w:cs="Arial"/>
      <w:sz w:val="20"/>
      <w:szCs w:val="20"/>
      <w:lang w:eastAsia="cs-CZ"/>
    </w:rPr>
  </w:style>
  <w:style w:type="paragraph" w:styleId="Caption">
    <w:name w:val="caption"/>
    <w:basedOn w:val="Normal"/>
    <w:next w:val="Normal"/>
    <w:uiPriority w:val="99"/>
    <w:qFormat/>
    <w:rsid w:val="0001476B"/>
    <w:pPr>
      <w:spacing w:after="0" w:line="240" w:lineRule="auto"/>
    </w:pPr>
    <w:rPr>
      <w:rFonts w:ascii="Arial" w:eastAsia="Times New Roman" w:hAnsi="Arial" w:cs="Arial"/>
      <w:b/>
      <w:bCs/>
      <w:sz w:val="20"/>
      <w:szCs w:val="20"/>
      <w:lang w:eastAsia="en-GB"/>
    </w:rPr>
  </w:style>
  <w:style w:type="paragraph" w:customStyle="1" w:styleId="Firstparagraph">
    <w:name w:val="First paragraph"/>
    <w:basedOn w:val="Normal"/>
    <w:next w:val="Normal"/>
    <w:uiPriority w:val="99"/>
    <w:rsid w:val="0001476B"/>
    <w:pPr>
      <w:overflowPunct w:val="0"/>
      <w:autoSpaceDE w:val="0"/>
      <w:autoSpaceDN w:val="0"/>
      <w:adjustRightInd w:val="0"/>
      <w:spacing w:after="0" w:line="260" w:lineRule="exact"/>
      <w:jc w:val="both"/>
      <w:textAlignment w:val="baseline"/>
    </w:pPr>
    <w:rPr>
      <w:rFonts w:ascii="Arial" w:eastAsia="Times New Roman" w:hAnsi="Arial" w:cs="Arial"/>
      <w:szCs w:val="20"/>
    </w:rPr>
  </w:style>
  <w:style w:type="paragraph" w:customStyle="1" w:styleId="Figure">
    <w:name w:val="Figure"/>
    <w:basedOn w:val="Normal"/>
    <w:next w:val="Normal"/>
    <w:uiPriority w:val="99"/>
    <w:rsid w:val="0001476B"/>
    <w:pPr>
      <w:overflowPunct w:val="0"/>
      <w:autoSpaceDE w:val="0"/>
      <w:autoSpaceDN w:val="0"/>
      <w:adjustRightInd w:val="0"/>
      <w:spacing w:after="0" w:line="240" w:lineRule="auto"/>
      <w:jc w:val="both"/>
      <w:textAlignment w:val="baseline"/>
    </w:pPr>
    <w:rPr>
      <w:rFonts w:ascii="Arial" w:eastAsia="Times New Roman" w:hAnsi="Arial" w:cs="Arial"/>
      <w:szCs w:val="20"/>
    </w:rPr>
  </w:style>
  <w:style w:type="paragraph" w:customStyle="1" w:styleId="Tabletext">
    <w:name w:val="Table text"/>
    <w:basedOn w:val="Normal"/>
    <w:uiPriority w:val="99"/>
    <w:rsid w:val="0001476B"/>
    <w:pPr>
      <w:overflowPunct w:val="0"/>
      <w:autoSpaceDE w:val="0"/>
      <w:autoSpaceDN w:val="0"/>
      <w:adjustRightInd w:val="0"/>
      <w:spacing w:after="0" w:line="220" w:lineRule="exact"/>
      <w:textAlignment w:val="baseline"/>
    </w:pPr>
    <w:rPr>
      <w:rFonts w:ascii="Arial" w:eastAsia="Times New Roman" w:hAnsi="Arial" w:cs="Arial"/>
      <w:sz w:val="20"/>
      <w:szCs w:val="20"/>
    </w:rPr>
  </w:style>
  <w:style w:type="paragraph" w:customStyle="1" w:styleId="FigureCaption">
    <w:name w:val="FigureCaption"/>
    <w:basedOn w:val="Normal"/>
    <w:uiPriority w:val="99"/>
    <w:rsid w:val="0001476B"/>
    <w:pPr>
      <w:spacing w:after="0" w:line="240" w:lineRule="auto"/>
      <w:jc w:val="center"/>
    </w:pPr>
    <w:rPr>
      <w:rFonts w:ascii="Arial" w:eastAsia="Times New Roman" w:hAnsi="Arial" w:cs="Arial"/>
      <w:sz w:val="20"/>
      <w:szCs w:val="32"/>
      <w:lang w:eastAsia="en-GB"/>
    </w:rPr>
  </w:style>
  <w:style w:type="paragraph" w:customStyle="1" w:styleId="Figurecaption0">
    <w:name w:val="Figure caption"/>
    <w:basedOn w:val="Normal"/>
    <w:next w:val="Normal"/>
    <w:uiPriority w:val="99"/>
    <w:rsid w:val="0001476B"/>
    <w:pPr>
      <w:overflowPunct w:val="0"/>
      <w:autoSpaceDE w:val="0"/>
      <w:autoSpaceDN w:val="0"/>
      <w:adjustRightInd w:val="0"/>
      <w:spacing w:after="0" w:line="220" w:lineRule="exact"/>
      <w:jc w:val="both"/>
      <w:textAlignment w:val="baseline"/>
    </w:pPr>
    <w:rPr>
      <w:rFonts w:ascii="Arial" w:eastAsia="Times New Roman" w:hAnsi="Arial" w:cs="Arial"/>
      <w:sz w:val="20"/>
      <w:szCs w:val="20"/>
    </w:rPr>
  </w:style>
  <w:style w:type="paragraph" w:customStyle="1" w:styleId="StyleHeading3Italic">
    <w:name w:val="Style Heading 3 + Italic"/>
    <w:basedOn w:val="Heading3"/>
    <w:link w:val="StyleHeading3ItalicChar"/>
    <w:autoRedefine/>
    <w:uiPriority w:val="99"/>
    <w:rsid w:val="0001476B"/>
    <w:pPr>
      <w:jc w:val="both"/>
    </w:pPr>
    <w:rPr>
      <w:b w:val="0"/>
      <w:bCs w:val="0"/>
      <w:i/>
      <w:iCs/>
      <w:sz w:val="22"/>
      <w:szCs w:val="22"/>
      <w:u w:val="single"/>
    </w:rPr>
  </w:style>
  <w:style w:type="character" w:customStyle="1" w:styleId="StyleHeading3ItalicChar">
    <w:name w:val="Style Heading 3 + Italic Char"/>
    <w:link w:val="StyleHeading3Italic"/>
    <w:uiPriority w:val="99"/>
    <w:locked/>
    <w:rsid w:val="0001476B"/>
    <w:rPr>
      <w:rFonts w:ascii="Arial" w:eastAsia="Times New Roman" w:hAnsi="Arial" w:cs="Arial"/>
      <w:i/>
      <w:iCs/>
      <w:u w:val="single"/>
      <w:lang w:eastAsia="en-GB"/>
    </w:rPr>
  </w:style>
  <w:style w:type="paragraph" w:styleId="NormalWeb">
    <w:name w:val="Normal (Web)"/>
    <w:basedOn w:val="Normal"/>
    <w:uiPriority w:val="99"/>
    <w:rsid w:val="00014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99"/>
    <w:qFormat/>
    <w:rsid w:val="0001476B"/>
    <w:rPr>
      <w:rFonts w:cs="Times New Roman"/>
      <w:i/>
      <w:iCs/>
    </w:rPr>
  </w:style>
  <w:style w:type="character" w:styleId="Strong">
    <w:name w:val="Strong"/>
    <w:uiPriority w:val="99"/>
    <w:qFormat/>
    <w:rsid w:val="0001476B"/>
    <w:rPr>
      <w:rFonts w:cs="Times New Roman"/>
      <w:b/>
      <w:bCs/>
    </w:rPr>
  </w:style>
  <w:style w:type="character" w:styleId="Hyperlink">
    <w:name w:val="Hyperlink"/>
    <w:uiPriority w:val="99"/>
    <w:rsid w:val="0001476B"/>
    <w:rPr>
      <w:rFonts w:cs="Times New Roman"/>
      <w:color w:val="0000FF"/>
      <w:u w:val="single"/>
    </w:rPr>
  </w:style>
  <w:style w:type="character" w:styleId="CommentReference">
    <w:name w:val="annotation reference"/>
    <w:uiPriority w:val="99"/>
    <w:semiHidden/>
    <w:rsid w:val="0001476B"/>
    <w:rPr>
      <w:rFonts w:cs="Times New Roman"/>
      <w:sz w:val="16"/>
      <w:szCs w:val="16"/>
    </w:rPr>
  </w:style>
  <w:style w:type="paragraph" w:styleId="CommentText">
    <w:name w:val="annotation text"/>
    <w:basedOn w:val="Normal"/>
    <w:link w:val="CommentTextChar"/>
    <w:uiPriority w:val="99"/>
    <w:semiHidden/>
    <w:rsid w:val="0001476B"/>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1476B"/>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rsid w:val="0001476B"/>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01476B"/>
    <w:rPr>
      <w:rFonts w:ascii="Tahoma" w:eastAsia="Times New Roman" w:hAnsi="Tahoma" w:cs="Tahoma"/>
      <w:sz w:val="16"/>
      <w:szCs w:val="16"/>
      <w:lang w:eastAsia="en-GB"/>
    </w:rPr>
  </w:style>
  <w:style w:type="paragraph" w:styleId="DocumentMap">
    <w:name w:val="Document Map"/>
    <w:basedOn w:val="Normal"/>
    <w:link w:val="DocumentMapChar"/>
    <w:uiPriority w:val="99"/>
    <w:semiHidden/>
    <w:rsid w:val="0001476B"/>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uiPriority w:val="99"/>
    <w:semiHidden/>
    <w:rsid w:val="0001476B"/>
    <w:rPr>
      <w:rFonts w:ascii="Tahoma" w:eastAsia="Times New Roman" w:hAnsi="Tahoma" w:cs="Tahoma"/>
      <w:sz w:val="20"/>
      <w:szCs w:val="20"/>
      <w:shd w:val="clear" w:color="auto" w:fill="000080"/>
      <w:lang w:eastAsia="en-GB"/>
    </w:rPr>
  </w:style>
  <w:style w:type="table" w:styleId="TableGrid">
    <w:name w:val="Table Grid"/>
    <w:basedOn w:val="TableNormal"/>
    <w:uiPriority w:val="99"/>
    <w:rsid w:val="000147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1476B"/>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semiHidden/>
    <w:rsid w:val="0001476B"/>
    <w:rPr>
      <w:rFonts w:ascii="Arial" w:eastAsia="Times New Roman" w:hAnsi="Arial" w:cs="Arial"/>
      <w:sz w:val="20"/>
      <w:szCs w:val="20"/>
      <w:lang w:eastAsia="en-GB"/>
    </w:rPr>
  </w:style>
  <w:style w:type="character" w:styleId="FootnoteReference">
    <w:name w:val="footnote reference"/>
    <w:uiPriority w:val="99"/>
    <w:semiHidden/>
    <w:rsid w:val="0001476B"/>
    <w:rPr>
      <w:rFonts w:cs="Times New Roman"/>
      <w:vertAlign w:val="superscript"/>
    </w:rPr>
  </w:style>
  <w:style w:type="paragraph" w:styleId="CommentSubject">
    <w:name w:val="annotation subject"/>
    <w:basedOn w:val="CommentText"/>
    <w:next w:val="CommentText"/>
    <w:link w:val="CommentSubjectChar"/>
    <w:uiPriority w:val="99"/>
    <w:semiHidden/>
    <w:rsid w:val="0001476B"/>
    <w:rPr>
      <w:rFonts w:cs="Arial"/>
      <w:b/>
      <w:bCs/>
    </w:rPr>
  </w:style>
  <w:style w:type="character" w:customStyle="1" w:styleId="CommentSubjectChar">
    <w:name w:val="Comment Subject Char"/>
    <w:basedOn w:val="CommentTextChar"/>
    <w:link w:val="CommentSubject"/>
    <w:uiPriority w:val="99"/>
    <w:semiHidden/>
    <w:rsid w:val="0001476B"/>
    <w:rPr>
      <w:rFonts w:ascii="Arial" w:eastAsia="Times New Roman" w:hAnsi="Arial" w:cs="Arial"/>
      <w:b/>
      <w:bCs/>
      <w:sz w:val="20"/>
      <w:szCs w:val="20"/>
      <w:lang w:eastAsia="en-GB"/>
    </w:rPr>
  </w:style>
  <w:style w:type="paragraph" w:styleId="Revision">
    <w:name w:val="Revision"/>
    <w:hidden/>
    <w:uiPriority w:val="99"/>
    <w:semiHidden/>
    <w:rsid w:val="0001476B"/>
    <w:pPr>
      <w:spacing w:after="0" w:line="240" w:lineRule="auto"/>
    </w:pPr>
    <w:rPr>
      <w:rFonts w:ascii="Arial" w:eastAsia="Times New Roman" w:hAnsi="Arial" w:cs="Arial"/>
      <w:lang w:eastAsia="en-GB"/>
    </w:rPr>
  </w:style>
  <w:style w:type="paragraph" w:customStyle="1" w:styleId="Keywords">
    <w:name w:val="Keywords"/>
    <w:basedOn w:val="Normal"/>
    <w:uiPriority w:val="99"/>
    <w:rsid w:val="0001476B"/>
    <w:pPr>
      <w:widowControl w:val="0"/>
      <w:autoSpaceDE w:val="0"/>
      <w:autoSpaceDN w:val="0"/>
      <w:adjustRightInd w:val="0"/>
      <w:spacing w:before="240" w:after="0" w:line="240" w:lineRule="auto"/>
      <w:ind w:left="567" w:right="567"/>
    </w:pPr>
    <w:rPr>
      <w:rFonts w:ascii="Arial" w:eastAsia="Times New Roman" w:hAnsi="Arial" w:cs="Arial"/>
      <w:sz w:val="18"/>
      <w:szCs w:val="18"/>
      <w:lang w:val="en-US" w:eastAsia="en-GB"/>
    </w:rPr>
  </w:style>
  <w:style w:type="paragraph" w:customStyle="1" w:styleId="Authorname">
    <w:name w:val="Author name"/>
    <w:next w:val="Authoraffiliations"/>
    <w:autoRedefine/>
    <w:uiPriority w:val="99"/>
    <w:rsid w:val="0001476B"/>
    <w:pPr>
      <w:spacing w:after="120" w:line="240" w:lineRule="auto"/>
    </w:pPr>
    <w:rPr>
      <w:rFonts w:ascii="Arial" w:eastAsia="Times New Roman" w:hAnsi="Arial" w:cs="Arial"/>
      <w:szCs w:val="20"/>
      <w:lang w:val="en-US" w:eastAsia="en-GB"/>
    </w:rPr>
  </w:style>
  <w:style w:type="paragraph" w:customStyle="1" w:styleId="Authoraffiliations">
    <w:name w:val="Author affiliations"/>
    <w:next w:val="Normal"/>
    <w:autoRedefine/>
    <w:uiPriority w:val="99"/>
    <w:rsid w:val="0001476B"/>
    <w:pPr>
      <w:spacing w:after="0" w:line="360" w:lineRule="auto"/>
    </w:pPr>
    <w:rPr>
      <w:rFonts w:ascii="Arial" w:eastAsia="Times New Roman" w:hAnsi="Arial" w:cs="Arial"/>
      <w:sz w:val="20"/>
      <w:szCs w:val="20"/>
      <w:lang w:val="en-US" w:eastAsia="en-GB"/>
    </w:rPr>
  </w:style>
  <w:style w:type="paragraph" w:customStyle="1" w:styleId="Articletitle">
    <w:name w:val="Article title"/>
    <w:next w:val="Authorname"/>
    <w:autoRedefine/>
    <w:uiPriority w:val="99"/>
    <w:rsid w:val="0001476B"/>
    <w:pPr>
      <w:spacing w:after="240" w:line="240" w:lineRule="auto"/>
    </w:pPr>
    <w:rPr>
      <w:rFonts w:ascii="Arial" w:eastAsia="Times New Roman" w:hAnsi="Arial" w:cs="Arial"/>
      <w:b/>
      <w:bCs/>
      <w:kern w:val="32"/>
      <w:sz w:val="52"/>
      <w:szCs w:val="52"/>
      <w:lang w:val="en-US" w:eastAsia="en-GB"/>
    </w:rPr>
  </w:style>
  <w:style w:type="character" w:styleId="FollowedHyperlink">
    <w:name w:val="FollowedHyperlink"/>
    <w:uiPriority w:val="99"/>
    <w:semiHidden/>
    <w:unhideWhenUsed/>
    <w:rsid w:val="0001476B"/>
    <w:rPr>
      <w:color w:val="800080"/>
      <w:u w:val="single"/>
    </w:rPr>
  </w:style>
  <w:style w:type="paragraph" w:customStyle="1" w:styleId="Default">
    <w:name w:val="Default"/>
    <w:rsid w:val="0001476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LineNumber">
    <w:name w:val="line number"/>
    <w:uiPriority w:val="99"/>
    <w:semiHidden/>
    <w:unhideWhenUsed/>
    <w:rsid w:val="0001476B"/>
  </w:style>
  <w:style w:type="character" w:customStyle="1" w:styleId="Mention">
    <w:name w:val="Mention"/>
    <w:uiPriority w:val="99"/>
    <w:semiHidden/>
    <w:unhideWhenUsed/>
    <w:rsid w:val="0001476B"/>
    <w:rPr>
      <w:color w:val="2B579A"/>
      <w:shd w:val="clear" w:color="auto" w:fill="E6E6E6"/>
    </w:rPr>
  </w:style>
  <w:style w:type="character" w:customStyle="1" w:styleId="UnresolvedMention">
    <w:name w:val="Unresolved Mention"/>
    <w:uiPriority w:val="99"/>
    <w:semiHidden/>
    <w:unhideWhenUsed/>
    <w:rsid w:val="000147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lim2.Balogun@live,uwe,ac.uk"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212590/action-for-road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1819-8331-4697-AB2C-D27A03AC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Teslim Balogun</dc:creator>
  <cp:keywords/>
  <dc:description/>
  <cp:lastModifiedBy>Adrienn Tomor</cp:lastModifiedBy>
  <cp:revision>2</cp:revision>
  <dcterms:created xsi:type="dcterms:W3CDTF">2018-06-11T14:40:00Z</dcterms:created>
  <dcterms:modified xsi:type="dcterms:W3CDTF">2018-06-11T14:40:00Z</dcterms:modified>
</cp:coreProperties>
</file>