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F5" w:rsidRPr="00597A5F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b/>
          <w:sz w:val="20"/>
          <w:szCs w:val="20"/>
        </w:rPr>
      </w:pPr>
      <w:r w:rsidRPr="00597A5F">
        <w:rPr>
          <w:rFonts w:cstheme="minorHAnsi"/>
          <w:b/>
          <w:sz w:val="20"/>
          <w:szCs w:val="20"/>
        </w:rPr>
        <w:t>Paediatric intentional head injuries in the emergency department: A multicentre prospective cohort study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Franz E BABL</w:t>
      </w:r>
      <w:r w:rsidRPr="00597A5F">
        <w:rPr>
          <w:rFonts w:cstheme="minorHAnsi"/>
          <w:sz w:val="20"/>
          <w:szCs w:val="20"/>
          <w:vertAlign w:val="superscript"/>
        </w:rPr>
        <w:t>1,2,3</w:t>
      </w:r>
      <w:r w:rsidRPr="001D40F5">
        <w:rPr>
          <w:rFonts w:cstheme="minorHAnsi"/>
          <w:sz w:val="20"/>
          <w:szCs w:val="20"/>
        </w:rPr>
        <w:t xml:space="preserve"> Helena PFEIFFER</w:t>
      </w:r>
      <w:r w:rsidRPr="00597A5F">
        <w:rPr>
          <w:rFonts w:cstheme="minorHAnsi"/>
          <w:sz w:val="20"/>
          <w:szCs w:val="20"/>
          <w:vertAlign w:val="superscript"/>
        </w:rPr>
        <w:t>1,2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Stuart R DALZIEL</w:t>
      </w:r>
      <w:r w:rsidRPr="00597A5F">
        <w:rPr>
          <w:rFonts w:cstheme="minorHAnsi"/>
          <w:sz w:val="20"/>
          <w:szCs w:val="20"/>
          <w:vertAlign w:val="superscript"/>
        </w:rPr>
        <w:t>4,5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Ed OAKLEY</w:t>
      </w:r>
      <w:r w:rsidRPr="00597A5F">
        <w:rPr>
          <w:rFonts w:cstheme="minorHAnsi"/>
          <w:sz w:val="20"/>
          <w:szCs w:val="20"/>
          <w:vertAlign w:val="superscript"/>
        </w:rPr>
        <w:t>1,2,3</w:t>
      </w:r>
      <w:r w:rsidR="00597A5F" w:rsidRPr="00597A5F">
        <w:rPr>
          <w:rFonts w:cstheme="minorHAnsi"/>
          <w:sz w:val="20"/>
          <w:szCs w:val="20"/>
          <w:vertAlign w:val="superscript"/>
        </w:rPr>
        <w:t>,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Vicki ANDERSON</w:t>
      </w:r>
      <w:r w:rsidRPr="00597A5F">
        <w:rPr>
          <w:rFonts w:cstheme="minorHAnsi"/>
          <w:sz w:val="20"/>
          <w:szCs w:val="20"/>
          <w:vertAlign w:val="superscript"/>
        </w:rPr>
        <w:t>,1,2,3</w:t>
      </w:r>
      <w:r w:rsidR="00597A5F">
        <w:rPr>
          <w:rFonts w:cstheme="minorHAnsi"/>
          <w:sz w:val="20"/>
          <w:szCs w:val="20"/>
        </w:rPr>
        <w:t xml:space="preserve"> Meredith L BORLAND</w:t>
      </w:r>
      <w:r w:rsidR="00597A5F" w:rsidRPr="00597A5F">
        <w:rPr>
          <w:rFonts w:cstheme="minorHAnsi"/>
          <w:sz w:val="20"/>
          <w:szCs w:val="20"/>
          <w:vertAlign w:val="superscript"/>
        </w:rPr>
        <w:t>6,7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Natalie PHILLIPS</w:t>
      </w:r>
      <w:r w:rsidRPr="00597A5F">
        <w:rPr>
          <w:rFonts w:cstheme="minorHAnsi"/>
          <w:sz w:val="20"/>
          <w:szCs w:val="20"/>
          <w:vertAlign w:val="superscript"/>
        </w:rPr>
        <w:t>8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Amit KOCHAR</w:t>
      </w:r>
      <w:r w:rsidRPr="00597A5F">
        <w:rPr>
          <w:rFonts w:cstheme="minorHAnsi"/>
          <w:sz w:val="20"/>
          <w:szCs w:val="20"/>
          <w:vertAlign w:val="superscript"/>
        </w:rPr>
        <w:t>9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Sarah DALTON</w:t>
      </w:r>
      <w:r w:rsidRPr="00597A5F">
        <w:rPr>
          <w:rFonts w:cstheme="minorHAnsi"/>
          <w:sz w:val="20"/>
          <w:szCs w:val="20"/>
          <w:vertAlign w:val="superscript"/>
        </w:rPr>
        <w:t>10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John A CHEEK</w:t>
      </w:r>
      <w:r w:rsidRPr="00597A5F">
        <w:rPr>
          <w:rFonts w:cstheme="minorHAnsi"/>
          <w:sz w:val="20"/>
          <w:szCs w:val="20"/>
          <w:vertAlign w:val="superscript"/>
        </w:rPr>
        <w:t>1,2,11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Yuri GILHOTRA</w:t>
      </w:r>
      <w:r w:rsidRPr="00597A5F">
        <w:rPr>
          <w:rFonts w:cstheme="minorHAnsi"/>
          <w:sz w:val="20"/>
          <w:szCs w:val="20"/>
          <w:vertAlign w:val="superscript"/>
        </w:rPr>
        <w:t>8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Jeremy FURYK</w:t>
      </w:r>
      <w:r w:rsidRPr="00597A5F">
        <w:rPr>
          <w:rFonts w:cstheme="minorHAnsi"/>
          <w:sz w:val="20"/>
          <w:szCs w:val="20"/>
          <w:vertAlign w:val="superscript"/>
        </w:rPr>
        <w:t>12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Jocelyn NEUTZE</w:t>
      </w:r>
      <w:r w:rsidRPr="00597A5F">
        <w:rPr>
          <w:rFonts w:cstheme="minorHAnsi"/>
          <w:sz w:val="20"/>
          <w:szCs w:val="20"/>
          <w:vertAlign w:val="superscript"/>
        </w:rPr>
        <w:t>13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Mark D LYTTLE</w:t>
      </w:r>
      <w:r w:rsidRPr="00597A5F">
        <w:rPr>
          <w:rFonts w:cstheme="minorHAnsi"/>
          <w:sz w:val="20"/>
          <w:szCs w:val="20"/>
          <w:vertAlign w:val="superscript"/>
        </w:rPr>
        <w:t>2,14,15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Silvia BRESSAN</w:t>
      </w:r>
      <w:r w:rsidRPr="00597A5F">
        <w:rPr>
          <w:rFonts w:cstheme="minorHAnsi"/>
          <w:sz w:val="20"/>
          <w:szCs w:val="20"/>
          <w:vertAlign w:val="superscript"/>
        </w:rPr>
        <w:t>2,16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Susan DONATH</w:t>
      </w:r>
      <w:r w:rsidRPr="00597A5F">
        <w:rPr>
          <w:rFonts w:cstheme="minorHAnsi"/>
          <w:sz w:val="20"/>
          <w:szCs w:val="20"/>
          <w:vertAlign w:val="superscript"/>
        </w:rPr>
        <w:t>2,3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Stephen JC HEARPS</w:t>
      </w:r>
      <w:r w:rsidRPr="00597A5F">
        <w:rPr>
          <w:rFonts w:cstheme="minorHAnsi"/>
          <w:sz w:val="20"/>
          <w:szCs w:val="20"/>
          <w:vertAlign w:val="superscript"/>
        </w:rPr>
        <w:t>2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Louise CROWE</w:t>
      </w:r>
      <w:r w:rsidRPr="00597A5F">
        <w:rPr>
          <w:rFonts w:cstheme="minorHAnsi"/>
          <w:sz w:val="20"/>
          <w:szCs w:val="20"/>
          <w:vertAlign w:val="superscript"/>
        </w:rPr>
        <w:t>2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on behalf of </w:t>
      </w:r>
      <w:r>
        <w:rPr>
          <w:rFonts w:cstheme="minorHAnsi"/>
          <w:sz w:val="20"/>
          <w:szCs w:val="20"/>
        </w:rPr>
        <w:t xml:space="preserve">Paediatric Research in </w:t>
      </w:r>
      <w:r w:rsidRPr="001D40F5">
        <w:rPr>
          <w:rFonts w:cstheme="minorHAnsi"/>
          <w:sz w:val="20"/>
          <w:szCs w:val="20"/>
        </w:rPr>
        <w:t>Emergency Departments International Collaborative (PREDICT)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597A5F">
        <w:rPr>
          <w:rFonts w:cstheme="minorHAnsi"/>
          <w:sz w:val="20"/>
          <w:szCs w:val="20"/>
          <w:vertAlign w:val="superscript"/>
        </w:rPr>
        <w:t>1</w:t>
      </w:r>
      <w:r w:rsidRPr="001D40F5">
        <w:rPr>
          <w:rFonts w:cstheme="minorHAnsi"/>
          <w:sz w:val="20"/>
          <w:szCs w:val="20"/>
        </w:rPr>
        <w:t xml:space="preserve">Emergency Department, Royal Children’s Hospital, </w:t>
      </w:r>
      <w:r w:rsidR="00597A5F">
        <w:rPr>
          <w:rFonts w:cstheme="minorHAnsi"/>
          <w:sz w:val="20"/>
          <w:szCs w:val="20"/>
        </w:rPr>
        <w:t>Melbourne, Victoria, Australia</w:t>
      </w:r>
    </w:p>
    <w:p w:rsidR="00597A5F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597A5F">
        <w:rPr>
          <w:rFonts w:cstheme="minorHAnsi"/>
          <w:sz w:val="20"/>
          <w:szCs w:val="20"/>
          <w:vertAlign w:val="superscript"/>
        </w:rPr>
        <w:t>2</w:t>
      </w:r>
      <w:r w:rsidRPr="001D40F5">
        <w:rPr>
          <w:rFonts w:cstheme="minorHAnsi"/>
          <w:sz w:val="20"/>
          <w:szCs w:val="20"/>
        </w:rPr>
        <w:t>Emergency Research Group, Murdoch Children’s Research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Institute, Melbourne, Victoria, Australia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597A5F">
        <w:rPr>
          <w:rFonts w:cstheme="minorHAnsi"/>
          <w:sz w:val="20"/>
          <w:szCs w:val="20"/>
          <w:vertAlign w:val="superscript"/>
        </w:rPr>
        <w:t>3</w:t>
      </w:r>
      <w:r w:rsidRPr="001D40F5">
        <w:rPr>
          <w:rFonts w:cstheme="minorHAnsi"/>
          <w:sz w:val="20"/>
          <w:szCs w:val="20"/>
        </w:rPr>
        <w:t>Department of Paediatrics, Faculty of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Medicine, Dentistry and Hea</w:t>
      </w:r>
      <w:r w:rsidR="00597A5F">
        <w:rPr>
          <w:rFonts w:cstheme="minorHAnsi"/>
          <w:sz w:val="20"/>
          <w:szCs w:val="20"/>
        </w:rPr>
        <w:t xml:space="preserve">lth Sciences, </w:t>
      </w:r>
      <w:proofErr w:type="gramStart"/>
      <w:r w:rsidR="00597A5F">
        <w:rPr>
          <w:rFonts w:cstheme="minorHAnsi"/>
          <w:sz w:val="20"/>
          <w:szCs w:val="20"/>
        </w:rPr>
        <w:t>The</w:t>
      </w:r>
      <w:proofErr w:type="gramEnd"/>
      <w:r w:rsidR="00597A5F">
        <w:rPr>
          <w:rFonts w:cstheme="minorHAnsi"/>
          <w:sz w:val="20"/>
          <w:szCs w:val="20"/>
        </w:rPr>
        <w:t xml:space="preserve"> University of </w:t>
      </w:r>
      <w:r w:rsidRPr="001D40F5">
        <w:rPr>
          <w:rFonts w:cstheme="minorHAnsi"/>
          <w:sz w:val="20"/>
          <w:szCs w:val="20"/>
        </w:rPr>
        <w:t xml:space="preserve">Melbourne, </w:t>
      </w:r>
      <w:r w:rsidR="00597A5F">
        <w:rPr>
          <w:rFonts w:cstheme="minorHAnsi"/>
          <w:sz w:val="20"/>
          <w:szCs w:val="20"/>
        </w:rPr>
        <w:t>Melbourne, Victoria, Australia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597A5F">
        <w:rPr>
          <w:rFonts w:cstheme="minorHAnsi"/>
          <w:sz w:val="20"/>
          <w:szCs w:val="20"/>
          <w:vertAlign w:val="superscript"/>
        </w:rPr>
        <w:t>4</w:t>
      </w:r>
      <w:r w:rsidRPr="001D40F5">
        <w:rPr>
          <w:rFonts w:cstheme="minorHAnsi"/>
          <w:sz w:val="20"/>
          <w:szCs w:val="20"/>
        </w:rPr>
        <w:t xml:space="preserve">Emergency Department, </w:t>
      </w:r>
      <w:proofErr w:type="spellStart"/>
      <w:r w:rsidRPr="001D40F5">
        <w:rPr>
          <w:rFonts w:cstheme="minorHAnsi"/>
          <w:sz w:val="20"/>
          <w:szCs w:val="20"/>
        </w:rPr>
        <w:t>Starship</w:t>
      </w:r>
      <w:proofErr w:type="spellEnd"/>
      <w:r w:rsidRPr="001D40F5">
        <w:rPr>
          <w:rFonts w:cstheme="minorHAnsi"/>
          <w:sz w:val="20"/>
          <w:szCs w:val="20"/>
        </w:rPr>
        <w:t xml:space="preserve"> Children’s Health, Auckland, New Zealand 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597A5F">
        <w:rPr>
          <w:rFonts w:cstheme="minorHAnsi"/>
          <w:sz w:val="20"/>
          <w:szCs w:val="20"/>
          <w:vertAlign w:val="superscript"/>
        </w:rPr>
        <w:t>5</w:t>
      </w:r>
      <w:r w:rsidRPr="001D40F5">
        <w:rPr>
          <w:rFonts w:cstheme="minorHAnsi"/>
          <w:sz w:val="20"/>
          <w:szCs w:val="20"/>
        </w:rPr>
        <w:t>Liggins Institute,</w:t>
      </w:r>
      <w:r w:rsidR="00597A5F">
        <w:rPr>
          <w:rFonts w:cstheme="minorHAnsi"/>
          <w:sz w:val="20"/>
          <w:szCs w:val="20"/>
        </w:rPr>
        <w:t xml:space="preserve"> </w:t>
      </w:r>
      <w:proofErr w:type="gramStart"/>
      <w:r w:rsidRPr="001D40F5">
        <w:rPr>
          <w:rFonts w:cstheme="minorHAnsi"/>
          <w:sz w:val="20"/>
          <w:szCs w:val="20"/>
        </w:rPr>
        <w:t>The</w:t>
      </w:r>
      <w:proofErr w:type="gramEnd"/>
      <w:r w:rsidRPr="001D40F5">
        <w:rPr>
          <w:rFonts w:cstheme="minorHAnsi"/>
          <w:sz w:val="20"/>
          <w:szCs w:val="20"/>
        </w:rPr>
        <w:t xml:space="preserve"> University of </w:t>
      </w:r>
      <w:r w:rsidR="00597A5F">
        <w:rPr>
          <w:rFonts w:cstheme="minorHAnsi"/>
          <w:sz w:val="20"/>
          <w:szCs w:val="20"/>
        </w:rPr>
        <w:t>Auckland, Auckland, New Zealand</w:t>
      </w:r>
      <w:r w:rsidRPr="001D40F5">
        <w:rPr>
          <w:rFonts w:cstheme="minorHAnsi"/>
          <w:sz w:val="20"/>
          <w:szCs w:val="20"/>
        </w:rPr>
        <w:t xml:space="preserve"> 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597A5F">
        <w:rPr>
          <w:rFonts w:cstheme="minorHAnsi"/>
          <w:sz w:val="20"/>
          <w:szCs w:val="20"/>
          <w:vertAlign w:val="superscript"/>
        </w:rPr>
        <w:t>6</w:t>
      </w:r>
      <w:r w:rsidRPr="001D40F5">
        <w:rPr>
          <w:rFonts w:cstheme="minorHAnsi"/>
          <w:sz w:val="20"/>
          <w:szCs w:val="20"/>
        </w:rPr>
        <w:t xml:space="preserve">Emergency Department, Princess Margaret Hospital for Children, Perth, Western Australia 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597A5F">
        <w:rPr>
          <w:rFonts w:cstheme="minorHAnsi"/>
          <w:sz w:val="20"/>
          <w:szCs w:val="20"/>
          <w:vertAlign w:val="superscript"/>
        </w:rPr>
        <w:t>7</w:t>
      </w:r>
      <w:r w:rsidRPr="001D40F5">
        <w:rPr>
          <w:rFonts w:cstheme="minorHAnsi"/>
          <w:sz w:val="20"/>
          <w:szCs w:val="20"/>
        </w:rPr>
        <w:t xml:space="preserve">Divisions of Paediatrics and </w:t>
      </w:r>
      <w:proofErr w:type="spellStart"/>
      <w:r w:rsidRPr="001D40F5">
        <w:rPr>
          <w:rFonts w:cstheme="minorHAnsi"/>
          <w:sz w:val="20"/>
          <w:szCs w:val="20"/>
        </w:rPr>
        <w:t>EmergencyMedicine</w:t>
      </w:r>
      <w:proofErr w:type="spellEnd"/>
      <w:r w:rsidRPr="001D40F5">
        <w:rPr>
          <w:rFonts w:cstheme="minorHAnsi"/>
          <w:sz w:val="20"/>
          <w:szCs w:val="20"/>
        </w:rPr>
        <w:t xml:space="preserve">, School </w:t>
      </w:r>
      <w:proofErr w:type="spellStart"/>
      <w:r w:rsidRPr="001D40F5">
        <w:rPr>
          <w:rFonts w:cstheme="minorHAnsi"/>
          <w:sz w:val="20"/>
          <w:szCs w:val="20"/>
        </w:rPr>
        <w:t>ofMedicine</w:t>
      </w:r>
      <w:proofErr w:type="spellEnd"/>
      <w:r w:rsidRPr="001D40F5">
        <w:rPr>
          <w:rFonts w:cstheme="minorHAnsi"/>
          <w:sz w:val="20"/>
          <w:szCs w:val="20"/>
        </w:rPr>
        <w:t xml:space="preserve">, The University of Western Australia, </w:t>
      </w:r>
      <w:proofErr w:type="spellStart"/>
      <w:r w:rsidRPr="001D40F5">
        <w:rPr>
          <w:rFonts w:cstheme="minorHAnsi"/>
          <w:sz w:val="20"/>
          <w:szCs w:val="20"/>
        </w:rPr>
        <w:t>Perth</w:t>
      </w:r>
      <w:proofErr w:type="gramStart"/>
      <w:r w:rsidRPr="001D40F5">
        <w:rPr>
          <w:rFonts w:cstheme="minorHAnsi"/>
          <w:sz w:val="20"/>
          <w:szCs w:val="20"/>
        </w:rPr>
        <w:t>,Western</w:t>
      </w:r>
      <w:proofErr w:type="spellEnd"/>
      <w:proofErr w:type="gramEnd"/>
      <w:r w:rsidRPr="001D40F5">
        <w:rPr>
          <w:rFonts w:cstheme="minorHAnsi"/>
          <w:sz w:val="20"/>
          <w:szCs w:val="20"/>
        </w:rPr>
        <w:t xml:space="preserve"> Australia 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597A5F">
        <w:rPr>
          <w:rFonts w:cstheme="minorHAnsi"/>
          <w:sz w:val="20"/>
          <w:szCs w:val="20"/>
          <w:vertAlign w:val="superscript"/>
        </w:rPr>
        <w:t>8</w:t>
      </w:r>
      <w:r w:rsidRPr="001D40F5">
        <w:rPr>
          <w:rFonts w:cstheme="minorHAnsi"/>
          <w:sz w:val="20"/>
          <w:szCs w:val="20"/>
        </w:rPr>
        <w:t xml:space="preserve">Lady </w:t>
      </w:r>
      <w:proofErr w:type="spellStart"/>
      <w:r w:rsidRPr="001D40F5">
        <w:rPr>
          <w:rFonts w:cstheme="minorHAnsi"/>
          <w:sz w:val="20"/>
          <w:szCs w:val="20"/>
        </w:rPr>
        <w:t>Cilento</w:t>
      </w:r>
      <w:proofErr w:type="spellEnd"/>
      <w:r w:rsidRPr="001D40F5">
        <w:rPr>
          <w:rFonts w:cstheme="minorHAnsi"/>
          <w:sz w:val="20"/>
          <w:szCs w:val="20"/>
        </w:rPr>
        <w:t xml:space="preserve"> Children’s Hospital, Brisbane and Child Health Research Centre, School </w:t>
      </w:r>
      <w:proofErr w:type="spellStart"/>
      <w:r w:rsidRPr="001D40F5">
        <w:rPr>
          <w:rFonts w:cstheme="minorHAnsi"/>
          <w:sz w:val="20"/>
          <w:szCs w:val="20"/>
        </w:rPr>
        <w:t>ofMedicine</w:t>
      </w:r>
      <w:proofErr w:type="spellEnd"/>
      <w:r w:rsidRPr="001D40F5">
        <w:rPr>
          <w:rFonts w:cstheme="minorHAnsi"/>
          <w:sz w:val="20"/>
          <w:szCs w:val="20"/>
        </w:rPr>
        <w:t>, The University of Queensland, Brisbane,</w:t>
      </w:r>
      <w:r w:rsidR="00597A5F">
        <w:rPr>
          <w:rFonts w:cstheme="minorHAnsi"/>
          <w:sz w:val="20"/>
          <w:szCs w:val="20"/>
        </w:rPr>
        <w:t xml:space="preserve"> Queensland, Australia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597A5F">
        <w:rPr>
          <w:rFonts w:cstheme="minorHAnsi"/>
          <w:sz w:val="20"/>
          <w:szCs w:val="20"/>
          <w:vertAlign w:val="superscript"/>
        </w:rPr>
        <w:t>9</w:t>
      </w:r>
      <w:r w:rsidRPr="001D40F5">
        <w:rPr>
          <w:rFonts w:cstheme="minorHAnsi"/>
          <w:sz w:val="20"/>
          <w:szCs w:val="20"/>
        </w:rPr>
        <w:t>Emergency Department, Women’s and Children’s Hospital, Adelai</w:t>
      </w:r>
      <w:r w:rsidR="00597A5F">
        <w:rPr>
          <w:rFonts w:cstheme="minorHAnsi"/>
          <w:sz w:val="20"/>
          <w:szCs w:val="20"/>
        </w:rPr>
        <w:t>de, South Australia, Australia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597A5F">
        <w:rPr>
          <w:rFonts w:cstheme="minorHAnsi"/>
          <w:sz w:val="20"/>
          <w:szCs w:val="20"/>
          <w:vertAlign w:val="superscript"/>
        </w:rPr>
        <w:t>10</w:t>
      </w:r>
      <w:r w:rsidRPr="001D40F5">
        <w:rPr>
          <w:rFonts w:cstheme="minorHAnsi"/>
          <w:sz w:val="20"/>
          <w:szCs w:val="20"/>
        </w:rPr>
        <w:t>Emergency Department,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The Children’s Hospital at </w:t>
      </w:r>
      <w:proofErr w:type="spellStart"/>
      <w:r w:rsidRPr="001D40F5">
        <w:rPr>
          <w:rFonts w:cstheme="minorHAnsi"/>
          <w:sz w:val="20"/>
          <w:szCs w:val="20"/>
        </w:rPr>
        <w:t>Westmead</w:t>
      </w:r>
      <w:proofErr w:type="spellEnd"/>
      <w:r w:rsidRPr="001D40F5">
        <w:rPr>
          <w:rFonts w:cstheme="minorHAnsi"/>
          <w:sz w:val="20"/>
          <w:szCs w:val="20"/>
        </w:rPr>
        <w:t>, Sydn</w:t>
      </w:r>
      <w:r w:rsidR="00597A5F">
        <w:rPr>
          <w:rFonts w:cstheme="minorHAnsi"/>
          <w:sz w:val="20"/>
          <w:szCs w:val="20"/>
        </w:rPr>
        <w:t>ey, New South Wales, Australia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597A5F">
        <w:rPr>
          <w:rFonts w:cstheme="minorHAnsi"/>
          <w:sz w:val="20"/>
          <w:szCs w:val="20"/>
          <w:vertAlign w:val="superscript"/>
        </w:rPr>
        <w:t>11</w:t>
      </w:r>
      <w:r w:rsidRPr="001D40F5">
        <w:rPr>
          <w:rFonts w:cstheme="minorHAnsi"/>
          <w:sz w:val="20"/>
          <w:szCs w:val="20"/>
        </w:rPr>
        <w:t>Emergency Department, Monash Medical Centre, Melbourne, Victoria,</w:t>
      </w:r>
      <w:r w:rsidR="00597A5F">
        <w:rPr>
          <w:rFonts w:cstheme="minorHAnsi"/>
          <w:sz w:val="20"/>
          <w:szCs w:val="20"/>
        </w:rPr>
        <w:t xml:space="preserve"> Australia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597A5F">
        <w:rPr>
          <w:rFonts w:cstheme="minorHAnsi"/>
          <w:sz w:val="20"/>
          <w:szCs w:val="20"/>
          <w:vertAlign w:val="superscript"/>
        </w:rPr>
        <w:t>12</w:t>
      </w:r>
      <w:r w:rsidRPr="001D40F5">
        <w:rPr>
          <w:rFonts w:cstheme="minorHAnsi"/>
          <w:sz w:val="20"/>
          <w:szCs w:val="20"/>
        </w:rPr>
        <w:t xml:space="preserve">Emergency Department, </w:t>
      </w:r>
      <w:proofErr w:type="gramStart"/>
      <w:r w:rsidRPr="001D40F5">
        <w:rPr>
          <w:rFonts w:cstheme="minorHAnsi"/>
          <w:sz w:val="20"/>
          <w:szCs w:val="20"/>
        </w:rPr>
        <w:t>The</w:t>
      </w:r>
      <w:proofErr w:type="gramEnd"/>
      <w:r w:rsidRPr="001D40F5">
        <w:rPr>
          <w:rFonts w:cstheme="minorHAnsi"/>
          <w:sz w:val="20"/>
          <w:szCs w:val="20"/>
        </w:rPr>
        <w:t xml:space="preserve"> Townsville Hospital, Tow</w:t>
      </w:r>
      <w:r w:rsidR="00597A5F">
        <w:rPr>
          <w:rFonts w:cstheme="minorHAnsi"/>
          <w:sz w:val="20"/>
          <w:szCs w:val="20"/>
        </w:rPr>
        <w:t>nsville, Queensland, Australia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597A5F">
        <w:rPr>
          <w:rFonts w:cstheme="minorHAnsi"/>
          <w:sz w:val="20"/>
          <w:szCs w:val="20"/>
          <w:vertAlign w:val="superscript"/>
        </w:rPr>
        <w:t>13</w:t>
      </w:r>
      <w:r w:rsidRPr="001D40F5">
        <w:rPr>
          <w:rFonts w:cstheme="minorHAnsi"/>
          <w:sz w:val="20"/>
          <w:szCs w:val="20"/>
        </w:rPr>
        <w:t xml:space="preserve">Emergency Department, </w:t>
      </w:r>
      <w:proofErr w:type="spellStart"/>
      <w:r w:rsidRPr="001D40F5">
        <w:rPr>
          <w:rFonts w:cstheme="minorHAnsi"/>
          <w:sz w:val="20"/>
          <w:szCs w:val="20"/>
        </w:rPr>
        <w:t>Kidzfirst</w:t>
      </w:r>
      <w:proofErr w:type="spellEnd"/>
      <w:r w:rsidRPr="001D40F5">
        <w:rPr>
          <w:rFonts w:cstheme="minorHAnsi"/>
          <w:sz w:val="20"/>
          <w:szCs w:val="20"/>
        </w:rPr>
        <w:t xml:space="preserve"> Middlemore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Hospital, Auckland, New Zealand, 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597A5F">
        <w:rPr>
          <w:rFonts w:cstheme="minorHAnsi"/>
          <w:sz w:val="20"/>
          <w:szCs w:val="20"/>
          <w:vertAlign w:val="superscript"/>
        </w:rPr>
        <w:t>14</w:t>
      </w:r>
      <w:r w:rsidRPr="001D40F5">
        <w:rPr>
          <w:rFonts w:cstheme="minorHAnsi"/>
          <w:sz w:val="20"/>
          <w:szCs w:val="20"/>
        </w:rPr>
        <w:t xml:space="preserve">Emergency Department, Bristol Royal Hospital for Children, Bristol, UK 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597A5F">
        <w:rPr>
          <w:rFonts w:cstheme="minorHAnsi"/>
          <w:sz w:val="20"/>
          <w:szCs w:val="20"/>
          <w:vertAlign w:val="superscript"/>
        </w:rPr>
        <w:t>15</w:t>
      </w:r>
      <w:r w:rsidRPr="001D40F5">
        <w:rPr>
          <w:rFonts w:cstheme="minorHAnsi"/>
          <w:sz w:val="20"/>
          <w:szCs w:val="20"/>
        </w:rPr>
        <w:t>Academic Department of Emergency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Care, University of the West of England, Bristol, UK 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597A5F">
        <w:rPr>
          <w:rFonts w:cstheme="minorHAnsi"/>
          <w:sz w:val="20"/>
          <w:szCs w:val="20"/>
          <w:vertAlign w:val="superscript"/>
        </w:rPr>
        <w:t>16</w:t>
      </w:r>
      <w:r w:rsidRPr="001D40F5">
        <w:rPr>
          <w:rFonts w:cstheme="minorHAnsi"/>
          <w:sz w:val="20"/>
          <w:szCs w:val="20"/>
        </w:rPr>
        <w:t xml:space="preserve">Department of Women’s and Children’s Health, University of </w:t>
      </w:r>
      <w:proofErr w:type="spellStart"/>
      <w:r w:rsidRPr="001D40F5">
        <w:rPr>
          <w:rFonts w:cstheme="minorHAnsi"/>
          <w:sz w:val="20"/>
          <w:szCs w:val="20"/>
        </w:rPr>
        <w:t>Padova</w:t>
      </w:r>
      <w:proofErr w:type="spellEnd"/>
      <w:r w:rsidRPr="001D40F5">
        <w:rPr>
          <w:rFonts w:cstheme="minorHAnsi"/>
          <w:sz w:val="20"/>
          <w:szCs w:val="20"/>
        </w:rPr>
        <w:t xml:space="preserve">, </w:t>
      </w:r>
      <w:proofErr w:type="spellStart"/>
      <w:r w:rsidRPr="001D40F5">
        <w:rPr>
          <w:rFonts w:cstheme="minorHAnsi"/>
          <w:sz w:val="20"/>
          <w:szCs w:val="20"/>
        </w:rPr>
        <w:t>Padova</w:t>
      </w:r>
      <w:proofErr w:type="spellEnd"/>
      <w:r w:rsidRPr="001D40F5">
        <w:rPr>
          <w:rFonts w:cstheme="minorHAnsi"/>
          <w:sz w:val="20"/>
          <w:szCs w:val="20"/>
        </w:rPr>
        <w:t>, Italy</w:t>
      </w:r>
    </w:p>
    <w:p w:rsidR="001D40F5" w:rsidRDefault="001D40F5" w:rsidP="00597A5F">
      <w:pPr>
        <w:spacing w:after="2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1D40F5" w:rsidRPr="00597A5F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b/>
          <w:sz w:val="20"/>
          <w:szCs w:val="20"/>
        </w:rPr>
      </w:pPr>
      <w:r w:rsidRPr="00597A5F">
        <w:rPr>
          <w:rFonts w:cstheme="minorHAnsi"/>
          <w:b/>
          <w:sz w:val="20"/>
          <w:szCs w:val="20"/>
        </w:rPr>
        <w:lastRenderedPageBreak/>
        <w:t>Abstract</w:t>
      </w:r>
    </w:p>
    <w:p w:rsidR="001D40F5" w:rsidRPr="004575B6" w:rsidRDefault="001D40F5" w:rsidP="004575B6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  <w:szCs w:val="20"/>
        </w:rPr>
      </w:pPr>
      <w:r w:rsidRPr="004575B6">
        <w:rPr>
          <w:rFonts w:cstheme="minorHAnsi"/>
          <w:i/>
          <w:sz w:val="20"/>
          <w:szCs w:val="20"/>
        </w:rPr>
        <w:t>Objective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Although there is a large </w:t>
      </w:r>
      <w:r w:rsidRPr="001D40F5">
        <w:rPr>
          <w:rFonts w:cstheme="minorHAnsi"/>
          <w:sz w:val="20"/>
          <w:szCs w:val="20"/>
        </w:rPr>
        <w:t>body of research on head injury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(HI) inflicted by caregivers in young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children, little is known about intentional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HI in older children and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inflicted HI by perpetrators other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than carers. Therefore, we set out to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describe epidemiology, demographics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and severity of intentional HIs in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childhood.</w:t>
      </w:r>
    </w:p>
    <w:p w:rsidR="001D40F5" w:rsidRPr="004575B6" w:rsidRDefault="001D40F5" w:rsidP="004575B6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  <w:szCs w:val="20"/>
        </w:rPr>
      </w:pPr>
      <w:r w:rsidRPr="004575B6">
        <w:rPr>
          <w:rFonts w:cstheme="minorHAnsi"/>
          <w:i/>
          <w:sz w:val="20"/>
          <w:szCs w:val="20"/>
        </w:rPr>
        <w:t>Methods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planned secondary analysis </w:t>
      </w:r>
      <w:r w:rsidRPr="001D40F5">
        <w:rPr>
          <w:rFonts w:cstheme="minorHAnsi"/>
          <w:sz w:val="20"/>
          <w:szCs w:val="20"/>
        </w:rPr>
        <w:t>of a prospective multicentre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cohort study was conducted in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10 EDs in Australia and New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Zealand, including children aged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&lt;18 years with HIs. Epidemiology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</w:t>
      </w:r>
      <w:r>
        <w:rPr>
          <w:rFonts w:cstheme="minorHAnsi"/>
          <w:sz w:val="20"/>
          <w:szCs w:val="20"/>
        </w:rPr>
        <w:t xml:space="preserve">odes were used to prospectively </w:t>
      </w:r>
      <w:r w:rsidRPr="001D40F5">
        <w:rPr>
          <w:rFonts w:cstheme="minorHAnsi"/>
          <w:sz w:val="20"/>
          <w:szCs w:val="20"/>
        </w:rPr>
        <w:t>cod</w:t>
      </w:r>
      <w:r>
        <w:rPr>
          <w:rFonts w:cstheme="minorHAnsi"/>
          <w:sz w:val="20"/>
          <w:szCs w:val="20"/>
        </w:rPr>
        <w:t xml:space="preserve">e the injuries. Demographic and </w:t>
      </w:r>
      <w:r w:rsidRPr="001D40F5">
        <w:rPr>
          <w:rFonts w:cstheme="minorHAnsi"/>
          <w:sz w:val="20"/>
          <w:szCs w:val="20"/>
        </w:rPr>
        <w:t>clinical information including the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rate of clinically important traumatic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brain injury (</w:t>
      </w:r>
      <w:proofErr w:type="spellStart"/>
      <w:r w:rsidRPr="001D40F5">
        <w:rPr>
          <w:rFonts w:cstheme="minorHAnsi"/>
          <w:sz w:val="20"/>
          <w:szCs w:val="20"/>
        </w:rPr>
        <w:t>ciTBI</w:t>
      </w:r>
      <w:proofErr w:type="spellEnd"/>
      <w:r w:rsidRPr="001D40F5">
        <w:rPr>
          <w:rFonts w:cstheme="minorHAnsi"/>
          <w:sz w:val="20"/>
          <w:szCs w:val="20"/>
        </w:rPr>
        <w:t>: HI leading to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death, neurosurgery, intubation &gt;1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day or admission </w:t>
      </w:r>
      <w:r w:rsidRPr="001D40F5">
        <w:rPr>
          <w:rFonts w:eastAsia="AdvOTbc475f09+22" w:cstheme="minorHAnsi"/>
          <w:sz w:val="20"/>
          <w:szCs w:val="20"/>
        </w:rPr>
        <w:t>≥</w:t>
      </w:r>
      <w:r w:rsidRPr="001D40F5">
        <w:rPr>
          <w:rFonts w:cstheme="minorHAnsi"/>
          <w:sz w:val="20"/>
          <w:szCs w:val="20"/>
        </w:rPr>
        <w:t>2 days with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abnormal</w:t>
      </w:r>
      <w:r w:rsidR="004575B6">
        <w:rPr>
          <w:rFonts w:cstheme="minorHAnsi"/>
          <w:sz w:val="20"/>
          <w:szCs w:val="20"/>
        </w:rPr>
        <w:t xml:space="preserve"> c</w:t>
      </w:r>
      <w:r w:rsidRPr="001D40F5">
        <w:rPr>
          <w:rFonts w:cstheme="minorHAnsi"/>
          <w:sz w:val="20"/>
          <w:szCs w:val="20"/>
        </w:rPr>
        <w:t>omputed tomography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[CT]) was descriptively analysed.</w:t>
      </w:r>
      <w:r>
        <w:rPr>
          <w:rFonts w:cstheme="minorHAnsi"/>
          <w:sz w:val="20"/>
          <w:szCs w:val="20"/>
        </w:rPr>
        <w:t xml:space="preserve"> </w:t>
      </w:r>
    </w:p>
    <w:p w:rsidR="001D40F5" w:rsidRPr="004575B6" w:rsidRDefault="001D40F5" w:rsidP="004575B6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  <w:szCs w:val="20"/>
        </w:rPr>
      </w:pPr>
      <w:r w:rsidRPr="004575B6">
        <w:rPr>
          <w:rFonts w:cstheme="minorHAnsi"/>
          <w:i/>
          <w:sz w:val="20"/>
          <w:szCs w:val="20"/>
        </w:rPr>
        <w:t>Results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Intentional injuries were</w:t>
      </w:r>
      <w:r>
        <w:rPr>
          <w:rFonts w:cstheme="minorHAnsi"/>
          <w:sz w:val="20"/>
          <w:szCs w:val="20"/>
        </w:rPr>
        <w:t xml:space="preserve"> i</w:t>
      </w:r>
      <w:r w:rsidRPr="001D40F5">
        <w:rPr>
          <w:rFonts w:cstheme="minorHAnsi"/>
          <w:sz w:val="20"/>
          <w:szCs w:val="20"/>
        </w:rPr>
        <w:t>dentified in 372 of 20 137 (1.8%)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head-injured children. Injuries were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caused by</w:t>
      </w:r>
      <w:r w:rsidR="004575B6">
        <w:rPr>
          <w:rFonts w:cstheme="minorHAnsi"/>
          <w:sz w:val="20"/>
          <w:szCs w:val="20"/>
        </w:rPr>
        <w:t xml:space="preserve"> c</w:t>
      </w:r>
      <w:r w:rsidRPr="001D40F5">
        <w:rPr>
          <w:rFonts w:cstheme="minorHAnsi"/>
          <w:sz w:val="20"/>
          <w:szCs w:val="20"/>
        </w:rPr>
        <w:t>aregivers (103, 27.7%),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by peers (97, 26.1%), by siblings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(47, 12.6%), by strangers (35, 9.4%),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by persons with </w:t>
      </w:r>
      <w:r>
        <w:rPr>
          <w:rFonts w:cstheme="minorHAnsi"/>
          <w:sz w:val="20"/>
          <w:szCs w:val="20"/>
        </w:rPr>
        <w:t>u</w:t>
      </w:r>
      <w:r w:rsidRPr="001D40F5">
        <w:rPr>
          <w:rFonts w:cstheme="minorHAnsi"/>
          <w:sz w:val="20"/>
          <w:szCs w:val="20"/>
        </w:rPr>
        <w:t>nknown relation to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 patient (21, 5.6%), other intentional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injuries (8, 2.2%) or undetermined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intent (61, 6.4%). About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75.7% of victims of assault by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caregivers were &lt;2 years, whereas in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other categories, only 4.9% </w:t>
      </w:r>
      <w:r>
        <w:rPr>
          <w:rFonts w:cstheme="minorHAnsi"/>
          <w:sz w:val="20"/>
          <w:szCs w:val="20"/>
        </w:rPr>
        <w:t>w</w:t>
      </w:r>
      <w:r w:rsidRPr="001D40F5">
        <w:rPr>
          <w:rFonts w:cstheme="minorHAnsi"/>
          <w:sz w:val="20"/>
          <w:szCs w:val="20"/>
        </w:rPr>
        <w:t>ere &lt;2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years. Overall, 66.9% of victims were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male. Rates of CT performance and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abnormal CT varied: assault </w:t>
      </w:r>
      <w:r w:rsidR="004575B6">
        <w:rPr>
          <w:rFonts w:cstheme="minorHAnsi"/>
          <w:sz w:val="20"/>
          <w:szCs w:val="20"/>
        </w:rPr>
        <w:t>b</w:t>
      </w:r>
      <w:r w:rsidRPr="001D40F5">
        <w:rPr>
          <w:rFonts w:cstheme="minorHAnsi"/>
          <w:sz w:val="20"/>
          <w:szCs w:val="20"/>
        </w:rPr>
        <w:t>y caregivers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68.9%/47.6%, by peers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18.6%/27.8%, by strangers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37.1%/5.7%. </w:t>
      </w:r>
      <w:proofErr w:type="spellStart"/>
      <w:proofErr w:type="gramStart"/>
      <w:r w:rsidRPr="001D40F5">
        <w:rPr>
          <w:rFonts w:cstheme="minorHAnsi"/>
          <w:sz w:val="20"/>
          <w:szCs w:val="20"/>
        </w:rPr>
        <w:t>ciTBI</w:t>
      </w:r>
      <w:proofErr w:type="spellEnd"/>
      <w:proofErr w:type="gramEnd"/>
      <w:r w:rsidRPr="001D40F5">
        <w:rPr>
          <w:rFonts w:cstheme="minorHAnsi"/>
          <w:sz w:val="20"/>
          <w:szCs w:val="20"/>
        </w:rPr>
        <w:t xml:space="preserve"> rate was 22.3%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 assault by caregivers, 3.1% when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caused by peers and 0.0% with other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perpetrators.</w:t>
      </w:r>
    </w:p>
    <w:p w:rsidR="001D40F5" w:rsidRPr="004575B6" w:rsidRDefault="001D40F5" w:rsidP="004575B6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  <w:szCs w:val="20"/>
        </w:rPr>
      </w:pPr>
      <w:r w:rsidRPr="004575B6">
        <w:rPr>
          <w:rFonts w:cstheme="minorHAnsi"/>
          <w:i/>
          <w:sz w:val="20"/>
          <w:szCs w:val="20"/>
        </w:rPr>
        <w:t>Conclusions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Intentional HI is infrequent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 children. The most frequently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identified perpetrators are caregivers and peers. Caregiver injuries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are particularly severe.</w:t>
      </w:r>
    </w:p>
    <w:p w:rsidR="001D40F5" w:rsidRPr="004575B6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b/>
          <w:sz w:val="20"/>
          <w:szCs w:val="20"/>
        </w:rPr>
      </w:pPr>
      <w:r w:rsidRPr="004575B6">
        <w:rPr>
          <w:rFonts w:cstheme="minorHAnsi"/>
          <w:b/>
          <w:sz w:val="20"/>
          <w:szCs w:val="20"/>
        </w:rPr>
        <w:t>Key findings</w:t>
      </w:r>
    </w:p>
    <w:p w:rsidR="001D40F5" w:rsidRDefault="001D40F5" w:rsidP="004575B6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• There is limited data on intentional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head injuries in children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beyond abusive head trauma.</w:t>
      </w:r>
    </w:p>
    <w:p w:rsidR="001D40F5" w:rsidRPr="001D40F5" w:rsidRDefault="001D40F5" w:rsidP="004575B6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• In an ED based multicentre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prospective data set from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Australia and New Zealand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intentional head injuries </w:t>
      </w:r>
      <w:r>
        <w:rPr>
          <w:rFonts w:cstheme="minorHAnsi"/>
          <w:sz w:val="20"/>
          <w:szCs w:val="20"/>
        </w:rPr>
        <w:t>w</w:t>
      </w:r>
      <w:r w:rsidRPr="001D40F5">
        <w:rPr>
          <w:rFonts w:cstheme="minorHAnsi"/>
          <w:sz w:val="20"/>
          <w:szCs w:val="20"/>
        </w:rPr>
        <w:t>ere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overall infrequent.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• Head injuries caused by caregivers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had high morbidity and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mortality, whereas head injuries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caused by peers and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strangers infrequently caused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clinically important traumatic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brain injuries.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</w:p>
    <w:p w:rsidR="001D40F5" w:rsidRDefault="001D40F5" w:rsidP="00597A5F">
      <w:pPr>
        <w:spacing w:after="2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1D40F5" w:rsidRPr="004575B6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b/>
          <w:sz w:val="20"/>
          <w:szCs w:val="20"/>
        </w:rPr>
      </w:pPr>
      <w:r w:rsidRPr="004575B6">
        <w:rPr>
          <w:rFonts w:cstheme="minorHAnsi"/>
          <w:b/>
          <w:sz w:val="20"/>
          <w:szCs w:val="20"/>
        </w:rPr>
        <w:lastRenderedPageBreak/>
        <w:t>Introduction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Intentional traumatic injuries in children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are associated with higher mortality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compared with accidental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paediatric trauma.1 Abusive head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trauma (AHT), or head injuries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(HIs) inflicted by caregivers, is the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leading cause of traumatic death in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 first year of life and the most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common cause of death due to child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abuse.2 Only 22% of victims of</w:t>
      </w:r>
      <w:r>
        <w:rPr>
          <w:rFonts w:cstheme="minorHAnsi"/>
          <w:sz w:val="20"/>
          <w:szCs w:val="20"/>
        </w:rPr>
        <w:t xml:space="preserve">  </w:t>
      </w:r>
      <w:r w:rsidRPr="001D40F5">
        <w:rPr>
          <w:rFonts w:cstheme="minorHAnsi"/>
          <w:sz w:val="20"/>
          <w:szCs w:val="20"/>
        </w:rPr>
        <w:t>AHT survive without any impairment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social, cognitive or motor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abilities.3 However, as research has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to date focussed on HIs due to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assault by caregivers or AHT,4 there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is limited understanding of intentional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HIs in general.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 studies of paediatric trauma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patients in the UK, Israel, Malawi and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Australia, intentional injuries made up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3.1–10.5%1</w:t>
      </w:r>
      <w:proofErr w:type="gramStart"/>
      <w:r w:rsidRPr="001D40F5">
        <w:rPr>
          <w:rFonts w:cstheme="minorHAnsi"/>
          <w:sz w:val="20"/>
          <w:szCs w:val="20"/>
        </w:rPr>
        <w:t>,5</w:t>
      </w:r>
      <w:proofErr w:type="gramEnd"/>
      <w:r w:rsidRPr="001D40F5">
        <w:rPr>
          <w:rFonts w:cstheme="minorHAnsi"/>
          <w:sz w:val="20"/>
          <w:szCs w:val="20"/>
        </w:rPr>
        <w:t>–7 of all injuries. ED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reports of HIs describe variable but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low rates of intentional causation;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however, these are often hampered by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their single centre and retrospective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methodology.8–13 Reports from the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USA show high levels of intentional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HIs, many in adolescents, and many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caused by weapons.12 Specifi</w:t>
      </w:r>
      <w:r>
        <w:rPr>
          <w:rFonts w:cstheme="minorHAnsi"/>
          <w:sz w:val="20"/>
          <w:szCs w:val="20"/>
        </w:rPr>
        <w:t xml:space="preserve">c information </w:t>
      </w:r>
      <w:r w:rsidRPr="001D40F5">
        <w:rPr>
          <w:rFonts w:cstheme="minorHAnsi"/>
          <w:sz w:val="20"/>
          <w:szCs w:val="20"/>
        </w:rPr>
        <w:t>on perpetrators and circumstances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surrounding intentional His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outside AHT is very limited.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 xml:space="preserve">We set out </w:t>
      </w:r>
      <w:r>
        <w:rPr>
          <w:rFonts w:cstheme="minorHAnsi"/>
          <w:sz w:val="20"/>
          <w:szCs w:val="20"/>
        </w:rPr>
        <w:t xml:space="preserve">to investigate in a prospective </w:t>
      </w:r>
      <w:r w:rsidRPr="001D40F5">
        <w:rPr>
          <w:rFonts w:cstheme="minorHAnsi"/>
          <w:sz w:val="20"/>
          <w:szCs w:val="20"/>
        </w:rPr>
        <w:t>multicentre study the characteristics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intentional HIs in children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presenting to the EDs of 10 hospitals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 Australia and New Zealand, focusing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on epidemiology, demographics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and severity of intentional HIs.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</w:p>
    <w:p w:rsidR="001D40F5" w:rsidRPr="004575B6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b/>
          <w:sz w:val="20"/>
          <w:szCs w:val="20"/>
        </w:rPr>
      </w:pPr>
      <w:r w:rsidRPr="004575B6">
        <w:rPr>
          <w:rFonts w:cstheme="minorHAnsi"/>
          <w:b/>
          <w:sz w:val="20"/>
          <w:szCs w:val="20"/>
        </w:rPr>
        <w:t>Methods</w:t>
      </w:r>
    </w:p>
    <w:p w:rsidR="004575B6" w:rsidRPr="004575B6" w:rsidRDefault="001D40F5" w:rsidP="004575B6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  <w:szCs w:val="20"/>
        </w:rPr>
      </w:pPr>
      <w:r w:rsidRPr="004575B6">
        <w:rPr>
          <w:rFonts w:cstheme="minorHAnsi"/>
          <w:i/>
          <w:sz w:val="20"/>
          <w:szCs w:val="20"/>
        </w:rPr>
        <w:t xml:space="preserve">Study design, setting and patients 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We performed a planned secondary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analysis of children with intentional</w:t>
      </w:r>
      <w:r w:rsidR="004575B6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HIs enrolled into a prospective multicentre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observational study performed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 10 paediatric EDs in Australia and</w:t>
      </w:r>
      <w:r w:rsidR="004575B6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New Zealand between April 2011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and November 2014. All EDs are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members of the Paediatric Research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 Emergency Departments International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Collaborative (PREDICT)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research network.14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 the primary study, we aimed to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externally validate clinical decision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rules (CDRs) for neuroimaging in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mild traumatic brain injury (TBI); as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such we collected and analysed the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CDR-specific predictor and outcome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variables in all children aged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&lt;18 years presenting with HI.15,16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The parent study enrolled patients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with HIs of any severity, but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excluded the following: trivial facial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injury only, patient/family refusal to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participate, referral from ED triage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to an external provider (i.e. not seen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 the ED), did not wait to be seen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or neuroimaging done prior to the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transfer to a study site.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The study was approved by </w:t>
      </w:r>
      <w:r>
        <w:rPr>
          <w:rFonts w:cstheme="minorHAnsi"/>
          <w:sz w:val="20"/>
          <w:szCs w:val="20"/>
        </w:rPr>
        <w:t>t</w:t>
      </w:r>
      <w:r w:rsidRPr="001D40F5">
        <w:rPr>
          <w:rFonts w:cstheme="minorHAnsi"/>
          <w:sz w:val="20"/>
          <w:szCs w:val="20"/>
        </w:rPr>
        <w:t>he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institutional ethics committee at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each participating site. We obtained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informed verbal consent from parents/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guardians. However, in instances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significant life-threatening or fatal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injuries, ethics committees granted a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waiver of consent. The study was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registered with the Australian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New Z</w:t>
      </w:r>
      <w:r w:rsidR="004575B6">
        <w:rPr>
          <w:rFonts w:cstheme="minorHAnsi"/>
          <w:sz w:val="20"/>
          <w:szCs w:val="20"/>
        </w:rPr>
        <w:t xml:space="preserve">ealand Clinical Trials Registry </w:t>
      </w:r>
      <w:r w:rsidRPr="001D40F5">
        <w:rPr>
          <w:rFonts w:cstheme="minorHAnsi"/>
          <w:sz w:val="20"/>
          <w:szCs w:val="20"/>
        </w:rPr>
        <w:t>(ANZCTR) ACTRN12614000463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</w:p>
    <w:p w:rsidR="001D40F5" w:rsidRPr="004575B6" w:rsidRDefault="001D40F5" w:rsidP="004575B6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  <w:szCs w:val="20"/>
        </w:rPr>
      </w:pPr>
      <w:r w:rsidRPr="004575B6">
        <w:rPr>
          <w:rFonts w:cstheme="minorHAnsi"/>
          <w:i/>
          <w:sz w:val="20"/>
          <w:szCs w:val="20"/>
        </w:rPr>
        <w:lastRenderedPageBreak/>
        <w:t>Study procedures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The study protocol is described in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detail elsewhere.16 Children were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enrolled by the treating ED clinician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who collected data points for the HI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1D40F5">
        <w:rPr>
          <w:rFonts w:cstheme="minorHAnsi"/>
          <w:sz w:val="20"/>
          <w:szCs w:val="20"/>
        </w:rPr>
        <w:t>CDRs.</w:t>
      </w:r>
      <w:proofErr w:type="spellEnd"/>
      <w:r w:rsidRPr="001D40F5">
        <w:rPr>
          <w:rFonts w:cstheme="minorHAnsi"/>
          <w:sz w:val="20"/>
          <w:szCs w:val="20"/>
        </w:rPr>
        <w:t xml:space="preserve"> A research assistant (RA)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recorded ED and hospital management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data after the visit and conducted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 telephone follow up for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patients who had not undergone neuroimaging.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 addition to data related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to CDRs, we collected </w:t>
      </w:r>
      <w:proofErr w:type="gramStart"/>
      <w:r w:rsidRPr="001D40F5">
        <w:rPr>
          <w:rFonts w:cstheme="minorHAnsi"/>
          <w:sz w:val="20"/>
          <w:szCs w:val="20"/>
        </w:rPr>
        <w:t>demographic</w:t>
      </w:r>
      <w:r>
        <w:rPr>
          <w:rFonts w:cstheme="minorHAnsi"/>
          <w:sz w:val="20"/>
          <w:szCs w:val="20"/>
        </w:rPr>
        <w:t xml:space="preserve">  </w:t>
      </w:r>
      <w:r w:rsidRPr="001D40F5">
        <w:rPr>
          <w:rFonts w:cstheme="minorHAnsi"/>
          <w:sz w:val="20"/>
          <w:szCs w:val="20"/>
        </w:rPr>
        <w:t>and</w:t>
      </w:r>
      <w:proofErr w:type="gramEnd"/>
      <w:r w:rsidRPr="001D40F5">
        <w:rPr>
          <w:rFonts w:cstheme="minorHAnsi"/>
          <w:sz w:val="20"/>
          <w:szCs w:val="20"/>
        </w:rPr>
        <w:t xml:space="preserve"> epidemiological information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about </w:t>
      </w:r>
      <w:r>
        <w:rPr>
          <w:rFonts w:cstheme="minorHAnsi"/>
          <w:sz w:val="20"/>
          <w:szCs w:val="20"/>
        </w:rPr>
        <w:t xml:space="preserve"> n</w:t>
      </w:r>
      <w:r w:rsidRPr="001D40F5">
        <w:rPr>
          <w:rFonts w:cstheme="minorHAnsi"/>
          <w:sz w:val="20"/>
          <w:szCs w:val="20"/>
        </w:rPr>
        <w:t>euroimaging, admission and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neurosurgery.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To identify the intentional injuries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among our population, we searched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 study database for all cases with a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human intent code other than nonintentional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codes. These codes are part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routinely collected epidemiology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codes in several Australasian jurisdictions;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standardised epidemiology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codes based on Victorian state codes17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were incorporated into the clinical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report forms (CRFs) across all study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sites. In addition, the CRFs included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the question ‘Do you suspect </w:t>
      </w:r>
      <w:proofErr w:type="spellStart"/>
      <w:r w:rsidRPr="001D40F5">
        <w:rPr>
          <w:rFonts w:cstheme="minorHAnsi"/>
          <w:sz w:val="20"/>
          <w:szCs w:val="20"/>
        </w:rPr>
        <w:t>nonaccidental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injury (physical abuse of a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child, not other assault)?’ as this was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 feature in some of the CDR derivation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studies we investigated in the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parent study. We reviewed the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309 cases where the clinicians ticked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‘yes’ or ‘unknown’. CRFs and radiology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reports of all identified cases were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manually reviewed.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For this analysis, we excluded cases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coded as intentional injury caused by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peer where the activity code related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to sports, as the historical determination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accidental versus intentional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HI is difficult in game play.</w:t>
      </w:r>
    </w:p>
    <w:p w:rsidR="001D40F5" w:rsidRPr="004575B6" w:rsidRDefault="001D40F5" w:rsidP="004575B6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  <w:szCs w:val="20"/>
        </w:rPr>
      </w:pPr>
      <w:r w:rsidRPr="004575B6">
        <w:rPr>
          <w:rFonts w:cstheme="minorHAnsi"/>
          <w:i/>
          <w:sz w:val="20"/>
          <w:szCs w:val="20"/>
        </w:rPr>
        <w:t>Definitions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Pr="001D40F5">
        <w:rPr>
          <w:rFonts w:cstheme="minorHAnsi"/>
          <w:sz w:val="20"/>
          <w:szCs w:val="20"/>
        </w:rPr>
        <w:t>e used the Glasgow Coma Scale as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initially assigned by the ED clinician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 the analysis, or if not available, used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 Glasgow Coma Scale at triage.18</w:t>
      </w:r>
      <w:r>
        <w:rPr>
          <w:rFonts w:cstheme="minorHAnsi"/>
          <w:sz w:val="20"/>
          <w:szCs w:val="20"/>
        </w:rPr>
        <w:t xml:space="preserve"> </w:t>
      </w:r>
      <w:proofErr w:type="gramStart"/>
      <w:r w:rsidRPr="001D40F5">
        <w:rPr>
          <w:rFonts w:cstheme="minorHAnsi"/>
          <w:sz w:val="20"/>
          <w:szCs w:val="20"/>
        </w:rPr>
        <w:t>Senior</w:t>
      </w:r>
      <w:proofErr w:type="gramEnd"/>
      <w:r w:rsidRPr="001D40F5">
        <w:rPr>
          <w:rFonts w:cstheme="minorHAnsi"/>
          <w:sz w:val="20"/>
          <w:szCs w:val="20"/>
        </w:rPr>
        <w:t xml:space="preserve"> radiologist reports were</w:t>
      </w:r>
      <w:r>
        <w:rPr>
          <w:rFonts w:cstheme="minorHAnsi"/>
          <w:sz w:val="20"/>
          <w:szCs w:val="20"/>
        </w:rPr>
        <w:t xml:space="preserve"> u</w:t>
      </w:r>
      <w:r w:rsidRPr="001D40F5">
        <w:rPr>
          <w:rFonts w:cstheme="minorHAnsi"/>
          <w:sz w:val="20"/>
          <w:szCs w:val="20"/>
        </w:rPr>
        <w:t>sed to determine the results of computed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tomography (CT) scans and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operative reports for patients who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underwent neurosurgery.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Abnormal CT was defined as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intracranial haemorrhage or contusion,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cerebral oedema, traumatic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infarction, diffuse axonal injury,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shearing injury, sigmoid sinus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thrombosis, midline shift of intracranial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contents or signs of brain herniation,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diastasis of the skull,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pneumocephalus19 or any skull fracture</w:t>
      </w:r>
      <w:r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(depressed, non-depressed, basal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proofErr w:type="gramStart"/>
      <w:r w:rsidRPr="001D40F5">
        <w:rPr>
          <w:rFonts w:cstheme="minorHAnsi"/>
          <w:sz w:val="20"/>
          <w:szCs w:val="20"/>
        </w:rPr>
        <w:t>and</w:t>
      </w:r>
      <w:proofErr w:type="gramEnd"/>
      <w:r w:rsidRPr="001D40F5">
        <w:rPr>
          <w:rFonts w:cstheme="minorHAnsi"/>
          <w:sz w:val="20"/>
          <w:szCs w:val="20"/>
        </w:rPr>
        <w:t xml:space="preserve"> unknown type).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Clinically important TBI (</w:t>
      </w:r>
      <w:proofErr w:type="spellStart"/>
      <w:r w:rsidRPr="001D40F5">
        <w:rPr>
          <w:rFonts w:cstheme="minorHAnsi"/>
          <w:sz w:val="20"/>
          <w:szCs w:val="20"/>
        </w:rPr>
        <w:t>ciTBI</w:t>
      </w:r>
      <w:proofErr w:type="spellEnd"/>
      <w:r w:rsidRPr="001D40F5">
        <w:rPr>
          <w:rFonts w:cstheme="minorHAnsi"/>
          <w:sz w:val="20"/>
          <w:szCs w:val="20"/>
        </w:rPr>
        <w:t>)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was defined as death, neurosurgical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intervention, intubation &gt;24 h for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TBI or hospital admission of two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nights or more for traumatic HI associated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with abnormality on CT.19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Neurosurgical intervention was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defined as intracranial pressure monitoring,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elevation of depressed skull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fracture, </w:t>
      </w:r>
      <w:proofErr w:type="spellStart"/>
      <w:r w:rsidRPr="001D40F5">
        <w:rPr>
          <w:rFonts w:cstheme="minorHAnsi"/>
          <w:sz w:val="20"/>
          <w:szCs w:val="20"/>
        </w:rPr>
        <w:t>ventriculostomy</w:t>
      </w:r>
      <w:proofErr w:type="spellEnd"/>
      <w:r w:rsidRPr="001D40F5">
        <w:rPr>
          <w:rFonts w:cstheme="minorHAnsi"/>
          <w:sz w:val="20"/>
          <w:szCs w:val="20"/>
        </w:rPr>
        <w:t>, haematoma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evacuation, lobectomy, tissue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debridement or dura </w:t>
      </w:r>
      <w:r w:rsidR="006B615A">
        <w:rPr>
          <w:rFonts w:cstheme="minorHAnsi"/>
          <w:sz w:val="20"/>
          <w:szCs w:val="20"/>
        </w:rPr>
        <w:t xml:space="preserve"> r</w:t>
      </w:r>
      <w:r w:rsidRPr="001D40F5">
        <w:rPr>
          <w:rFonts w:cstheme="minorHAnsi"/>
          <w:sz w:val="20"/>
          <w:szCs w:val="20"/>
        </w:rPr>
        <w:t>epair.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The categorisation of intentio</w:t>
      </w:r>
      <w:r w:rsidR="006B615A">
        <w:rPr>
          <w:rFonts w:cstheme="minorHAnsi"/>
          <w:sz w:val="20"/>
          <w:szCs w:val="20"/>
        </w:rPr>
        <w:t xml:space="preserve">nal </w:t>
      </w:r>
      <w:r w:rsidRPr="001D40F5">
        <w:rPr>
          <w:rFonts w:cstheme="minorHAnsi"/>
          <w:sz w:val="20"/>
          <w:szCs w:val="20"/>
        </w:rPr>
        <w:t>injuries was based on the judgement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of the treating ED clinician </w:t>
      </w:r>
      <w:proofErr w:type="gramStart"/>
      <w:r w:rsidRPr="001D40F5">
        <w:rPr>
          <w:rFonts w:cstheme="minorHAnsi"/>
          <w:sz w:val="20"/>
          <w:szCs w:val="20"/>
        </w:rPr>
        <w:t xml:space="preserve">or </w:t>
      </w:r>
      <w:r w:rsidR="006B615A">
        <w:rPr>
          <w:rFonts w:cstheme="minorHAnsi"/>
          <w:sz w:val="20"/>
          <w:szCs w:val="20"/>
        </w:rPr>
        <w:t xml:space="preserve"> s</w:t>
      </w:r>
      <w:r w:rsidRPr="001D40F5">
        <w:rPr>
          <w:rFonts w:cstheme="minorHAnsi"/>
          <w:sz w:val="20"/>
          <w:szCs w:val="20"/>
        </w:rPr>
        <w:t>ubsequent</w:t>
      </w:r>
      <w:proofErr w:type="gramEnd"/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hospital clinician based on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information collected in the CRFs.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These included information from the</w:t>
      </w:r>
    </w:p>
    <w:p w:rsidR="006B615A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ED visit and medical records, but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records were only accessed by site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RAs immediately after the visit</w:t>
      </w:r>
      <w:proofErr w:type="gramStart"/>
      <w:r w:rsidRPr="001D40F5">
        <w:rPr>
          <w:rFonts w:cstheme="minorHAnsi"/>
          <w:sz w:val="20"/>
          <w:szCs w:val="20"/>
        </w:rPr>
        <w:t xml:space="preserve">; </w:t>
      </w:r>
      <w:r w:rsidR="006B615A">
        <w:rPr>
          <w:rFonts w:cstheme="minorHAnsi"/>
          <w:sz w:val="20"/>
          <w:szCs w:val="20"/>
        </w:rPr>
        <w:t xml:space="preserve"> subsequent</w:t>
      </w:r>
      <w:proofErr w:type="gramEnd"/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assessments in case conferences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or as assessed by external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agencies (police, courts) were in general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not available at the time of RA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data extraction to determine whether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 presumed diagnosis or initial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lastRenderedPageBreak/>
        <w:t>assessment was confirmed. For ease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description in abstract and manuscript,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we use the term ‘caused by x’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instead of ‘presumed assault by x’.</w:t>
      </w:r>
      <w:r w:rsidR="006B615A">
        <w:rPr>
          <w:rFonts w:cstheme="minorHAnsi"/>
          <w:sz w:val="20"/>
          <w:szCs w:val="20"/>
        </w:rPr>
        <w:t xml:space="preserve"> </w:t>
      </w:r>
    </w:p>
    <w:p w:rsidR="006B615A" w:rsidRPr="004575B6" w:rsidRDefault="001D40F5" w:rsidP="004575B6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  <w:szCs w:val="20"/>
        </w:rPr>
      </w:pPr>
      <w:r w:rsidRPr="004575B6">
        <w:rPr>
          <w:rFonts w:cstheme="minorHAnsi"/>
          <w:i/>
          <w:sz w:val="20"/>
          <w:szCs w:val="20"/>
        </w:rPr>
        <w:t>Epidemiology codes</w:t>
      </w:r>
      <w:r w:rsidR="006B615A" w:rsidRPr="004575B6">
        <w:rPr>
          <w:rFonts w:cstheme="minorHAnsi"/>
          <w:i/>
          <w:sz w:val="20"/>
          <w:szCs w:val="20"/>
        </w:rPr>
        <w:t xml:space="preserve"> 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We used epidemiology codes based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on Victorian government codes17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that included activity, place, </w:t>
      </w:r>
      <w:proofErr w:type="gramStart"/>
      <w:r w:rsidRPr="001D40F5">
        <w:rPr>
          <w:rFonts w:cstheme="minorHAnsi"/>
          <w:sz w:val="20"/>
          <w:szCs w:val="20"/>
        </w:rPr>
        <w:t>mechanism</w:t>
      </w:r>
      <w:proofErr w:type="gramEnd"/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proofErr w:type="gramStart"/>
      <w:r w:rsidRPr="001D40F5">
        <w:rPr>
          <w:rFonts w:cstheme="minorHAnsi"/>
          <w:sz w:val="20"/>
          <w:szCs w:val="20"/>
        </w:rPr>
        <w:t>of</w:t>
      </w:r>
      <w:proofErr w:type="gramEnd"/>
      <w:r w:rsidRPr="001D40F5">
        <w:rPr>
          <w:rFonts w:cstheme="minorHAnsi"/>
          <w:sz w:val="20"/>
          <w:szCs w:val="20"/>
        </w:rPr>
        <w:t xml:space="preserve"> injury and human intent.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Codes were assigned by trained RAs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at each site based on information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recorded by the clinician at the time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the ED visit and by RAs during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 follow-up call. Table 1 shows the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human </w:t>
      </w:r>
      <w:proofErr w:type="gramStart"/>
      <w:r w:rsidRPr="001D40F5">
        <w:rPr>
          <w:rFonts w:cstheme="minorHAnsi"/>
          <w:sz w:val="20"/>
          <w:szCs w:val="20"/>
        </w:rPr>
        <w:t xml:space="preserve">intent </w:t>
      </w:r>
      <w:r w:rsidR="006B615A">
        <w:rPr>
          <w:rFonts w:cstheme="minorHAnsi"/>
          <w:sz w:val="20"/>
          <w:szCs w:val="20"/>
        </w:rPr>
        <w:t xml:space="preserve"> c</w:t>
      </w:r>
      <w:r w:rsidRPr="001D40F5">
        <w:rPr>
          <w:rFonts w:cstheme="minorHAnsi"/>
          <w:sz w:val="20"/>
          <w:szCs w:val="20"/>
        </w:rPr>
        <w:t>odes</w:t>
      </w:r>
      <w:proofErr w:type="gramEnd"/>
      <w:r w:rsidRPr="001D40F5">
        <w:rPr>
          <w:rFonts w:cstheme="minorHAnsi"/>
          <w:sz w:val="20"/>
          <w:szCs w:val="20"/>
        </w:rPr>
        <w:t xml:space="preserve"> used. We combined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 small number of cases of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intentional HIs due to self-harm,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legal intervention and other causes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into a category of ‘other intentional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injuries’ to avoid case identification.</w:t>
      </w:r>
    </w:p>
    <w:p w:rsidR="001D40F5" w:rsidRPr="004575B6" w:rsidRDefault="001D40F5" w:rsidP="004575B6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  <w:szCs w:val="20"/>
        </w:rPr>
      </w:pPr>
      <w:r w:rsidRPr="004575B6">
        <w:rPr>
          <w:rFonts w:cstheme="minorHAnsi"/>
          <w:i/>
          <w:sz w:val="20"/>
          <w:szCs w:val="20"/>
        </w:rPr>
        <w:t>Statistical analysis</w:t>
      </w:r>
    </w:p>
    <w:p w:rsidR="006B615A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 xml:space="preserve">Data were entered into </w:t>
      </w:r>
      <w:proofErr w:type="spellStart"/>
      <w:r w:rsidRPr="001D40F5">
        <w:rPr>
          <w:rFonts w:cstheme="minorHAnsi"/>
          <w:sz w:val="20"/>
          <w:szCs w:val="20"/>
        </w:rPr>
        <w:t>Epidata</w:t>
      </w:r>
      <w:proofErr w:type="spellEnd"/>
      <w:r w:rsidRPr="001D40F5">
        <w:rPr>
          <w:rFonts w:cstheme="minorHAnsi"/>
          <w:sz w:val="20"/>
          <w:szCs w:val="20"/>
        </w:rPr>
        <w:t xml:space="preserve"> (The</w:t>
      </w:r>
      <w:r w:rsidR="006B615A">
        <w:rPr>
          <w:rFonts w:cstheme="minorHAnsi"/>
          <w:sz w:val="20"/>
          <w:szCs w:val="20"/>
        </w:rPr>
        <w:t xml:space="preserve"> </w:t>
      </w:r>
      <w:proofErr w:type="spellStart"/>
      <w:r w:rsidRPr="001D40F5">
        <w:rPr>
          <w:rFonts w:cstheme="minorHAnsi"/>
          <w:sz w:val="20"/>
          <w:szCs w:val="20"/>
        </w:rPr>
        <w:t>Epidata</w:t>
      </w:r>
      <w:proofErr w:type="spellEnd"/>
      <w:r w:rsidRPr="001D40F5">
        <w:rPr>
          <w:rFonts w:cstheme="minorHAnsi"/>
          <w:sz w:val="20"/>
          <w:szCs w:val="20"/>
        </w:rPr>
        <w:t xml:space="preserve"> Association, Odense, Denmark),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and later REDCap</w:t>
      </w:r>
      <w:proofErr w:type="gramStart"/>
      <w:r w:rsidRPr="001D40F5">
        <w:rPr>
          <w:rFonts w:cstheme="minorHAnsi"/>
          <w:sz w:val="20"/>
          <w:szCs w:val="20"/>
        </w:rPr>
        <w:t>,20</w:t>
      </w:r>
      <w:proofErr w:type="gramEnd"/>
      <w:r w:rsidRPr="001D40F5">
        <w:rPr>
          <w:rFonts w:cstheme="minorHAnsi"/>
          <w:sz w:val="20"/>
          <w:szCs w:val="20"/>
        </w:rPr>
        <w:t xml:space="preserve"> and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analysed using Stata 13 (</w:t>
      </w:r>
      <w:proofErr w:type="spellStart"/>
      <w:r w:rsidRPr="001D40F5">
        <w:rPr>
          <w:rFonts w:cstheme="minorHAnsi"/>
          <w:sz w:val="20"/>
          <w:szCs w:val="20"/>
        </w:rPr>
        <w:t>StataCorp</w:t>
      </w:r>
      <w:proofErr w:type="spellEnd"/>
      <w:r w:rsidRPr="001D40F5">
        <w:rPr>
          <w:rFonts w:cstheme="minorHAnsi"/>
          <w:sz w:val="20"/>
          <w:szCs w:val="20"/>
        </w:rPr>
        <w:t>,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College Station, TX, USA).</w:t>
      </w:r>
      <w:r w:rsidR="006B615A">
        <w:rPr>
          <w:rFonts w:cstheme="minorHAnsi"/>
          <w:sz w:val="20"/>
          <w:szCs w:val="20"/>
        </w:rPr>
        <w:t xml:space="preserve"> </w:t>
      </w:r>
    </w:p>
    <w:p w:rsidR="001D40F5" w:rsidRPr="004575B6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b/>
          <w:sz w:val="20"/>
          <w:szCs w:val="20"/>
        </w:rPr>
      </w:pPr>
      <w:r w:rsidRPr="004575B6">
        <w:rPr>
          <w:rFonts w:cstheme="minorHAnsi"/>
          <w:b/>
          <w:sz w:val="20"/>
          <w:szCs w:val="20"/>
        </w:rPr>
        <w:t>Results</w:t>
      </w:r>
    </w:p>
    <w:p w:rsidR="006B615A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Of t</w:t>
      </w:r>
      <w:r w:rsidR="006B615A">
        <w:rPr>
          <w:rFonts w:cstheme="minorHAnsi"/>
          <w:sz w:val="20"/>
          <w:szCs w:val="20"/>
        </w:rPr>
        <w:t xml:space="preserve">he 20 137 head-injured children </w:t>
      </w:r>
      <w:r w:rsidRPr="001D40F5">
        <w:rPr>
          <w:rFonts w:cstheme="minorHAnsi"/>
          <w:sz w:val="20"/>
          <w:szCs w:val="20"/>
        </w:rPr>
        <w:t>recruited, we identified 372 children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(1.8%) who had suffered intentional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injuries, based on clinician suspicion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or RA-assigned </w:t>
      </w:r>
      <w:proofErr w:type="spellStart"/>
      <w:r w:rsidRPr="001D40F5">
        <w:rPr>
          <w:rFonts w:cstheme="minorHAnsi"/>
          <w:sz w:val="20"/>
          <w:szCs w:val="20"/>
        </w:rPr>
        <w:t>epicodes</w:t>
      </w:r>
      <w:proofErr w:type="spellEnd"/>
      <w:r w:rsidRPr="001D40F5">
        <w:rPr>
          <w:rFonts w:cstheme="minorHAnsi"/>
          <w:sz w:val="20"/>
          <w:szCs w:val="20"/>
        </w:rPr>
        <w:t xml:space="preserve"> (Fig. 1). Injuries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caused by caregiver (103, 27.7%)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was most common, followed by injuries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caused by peers (97, 26.1%), siblings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(47, 12.6%), street attacks by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strangers (35, 9.4%), attacks by person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with unknown relation to the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patient (21, 5.6%) and other intentional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injuries (8, 2.3%). In 61 cases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(16.4%), human intent could not be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determined (Fig. 1). Overall, 66.9%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victims were male, and in every category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intentional injuries, male victims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predominated with largest male</w:t>
      </w:r>
      <w:r w:rsidR="004575B6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domina</w:t>
      </w:r>
      <w:r w:rsidR="006B615A">
        <w:rPr>
          <w:rFonts w:cstheme="minorHAnsi"/>
          <w:sz w:val="20"/>
          <w:szCs w:val="20"/>
        </w:rPr>
        <w:t xml:space="preserve">nce in adolescent peer injuries </w:t>
      </w:r>
      <w:r w:rsidRPr="001D40F5">
        <w:rPr>
          <w:rFonts w:cstheme="minorHAnsi"/>
          <w:sz w:val="20"/>
          <w:szCs w:val="20"/>
        </w:rPr>
        <w:t>and street attacks (Table 2).</w:t>
      </w:r>
      <w:r w:rsidR="006B615A">
        <w:rPr>
          <w:rFonts w:cstheme="minorHAnsi"/>
          <w:sz w:val="20"/>
          <w:szCs w:val="20"/>
        </w:rPr>
        <w:t xml:space="preserve"> </w:t>
      </w:r>
    </w:p>
    <w:p w:rsid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In children &lt;2 years, caregiver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assault accounted for 89.7% of intentional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</w:t>
      </w:r>
      <w:r w:rsidR="004575B6">
        <w:rPr>
          <w:rFonts w:cstheme="minorHAnsi"/>
          <w:sz w:val="20"/>
          <w:szCs w:val="20"/>
        </w:rPr>
        <w:t xml:space="preserve">Is. In the age group of 2 to </w:t>
      </w:r>
      <w:r w:rsidRPr="001D40F5">
        <w:rPr>
          <w:rFonts w:cstheme="minorHAnsi"/>
          <w:sz w:val="20"/>
          <w:szCs w:val="20"/>
        </w:rPr>
        <w:t>10 years, intentional injuries were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mainly caused by peers (47.1%) and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siblings (29.4%) and less by caregivers</w:t>
      </w:r>
      <w:r w:rsidR="004575B6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(20.0%). In children aged 11 to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18 years, injuries were predominantly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peer assaults (41.0%) and attacks by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</w:t>
      </w:r>
      <w:r w:rsidR="006B615A">
        <w:rPr>
          <w:rFonts w:cstheme="minorHAnsi"/>
          <w:sz w:val="20"/>
          <w:szCs w:val="20"/>
        </w:rPr>
        <w:t xml:space="preserve">trangers (25.2%). Children aged </w:t>
      </w:r>
      <w:r w:rsidRPr="001D40F5">
        <w:rPr>
          <w:rFonts w:cstheme="minorHAnsi"/>
          <w:sz w:val="20"/>
          <w:szCs w:val="20"/>
        </w:rPr>
        <w:t>&lt;2 years accounted for 75.7%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(78 out of 103) of cases of caregiver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assault and only 4.9% (9 of 208) of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cases of assault by other perpetrators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(Fig. 2, Table 2). None of the HIs was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caused by gunshot wounds.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Where the place of injury was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specified, the places where the highest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number of intentional injuries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occurred were school grounds and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home living area (Fig. 3).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Victims of assault by caregivers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underwent CT in 68.9% (71 out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103) of cases, and 69.0% (49 of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71) were abnormal. The most common</w:t>
      </w:r>
      <w:r w:rsidR="006B615A">
        <w:rPr>
          <w:rFonts w:cstheme="minorHAnsi"/>
          <w:sz w:val="20"/>
          <w:szCs w:val="20"/>
        </w:rPr>
        <w:t xml:space="preserve"> </w:t>
      </w:r>
      <w:r w:rsidR="004575B6">
        <w:rPr>
          <w:rFonts w:cstheme="minorHAnsi"/>
          <w:sz w:val="20"/>
          <w:szCs w:val="20"/>
        </w:rPr>
        <w:t xml:space="preserve">injuries were skull fractures </w:t>
      </w:r>
      <w:r w:rsidRPr="001D40F5">
        <w:rPr>
          <w:rFonts w:cstheme="minorHAnsi"/>
          <w:sz w:val="20"/>
          <w:szCs w:val="20"/>
        </w:rPr>
        <w:t>(69.4% of abnormal CT scans) and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intra-cranial haemorrhage/contusion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(61.2%). Of children and adolescents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attacked by strangers, 37.1%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(13 of 35) had a CT scan, and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15.4% of these scans were abnormal.</w:t>
      </w:r>
    </w:p>
    <w:p w:rsidR="006B615A" w:rsidRDefault="006B615A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</w:p>
    <w:p w:rsidR="001D40F5" w:rsidRPr="001D40F5" w:rsidRDefault="006B615A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O</w:t>
      </w:r>
      <w:r w:rsidR="001D40F5" w:rsidRPr="001D40F5">
        <w:rPr>
          <w:rFonts w:cstheme="minorHAnsi"/>
          <w:sz w:val="20"/>
          <w:szCs w:val="20"/>
        </w:rPr>
        <w:t>ut of 97 peer-injured children,</w:t>
      </w:r>
      <w:r>
        <w:rPr>
          <w:rFonts w:cstheme="minorHAnsi"/>
          <w:sz w:val="20"/>
          <w:szCs w:val="20"/>
        </w:rPr>
        <w:t xml:space="preserve"> </w:t>
      </w:r>
      <w:r w:rsidR="001D40F5" w:rsidRPr="001D40F5">
        <w:rPr>
          <w:rFonts w:cstheme="minorHAnsi"/>
          <w:sz w:val="20"/>
          <w:szCs w:val="20"/>
        </w:rPr>
        <w:t>only 18 (18.6%) underwent CT, and</w:t>
      </w:r>
      <w:r>
        <w:rPr>
          <w:rFonts w:cstheme="minorHAnsi"/>
          <w:sz w:val="20"/>
          <w:szCs w:val="20"/>
        </w:rPr>
        <w:t xml:space="preserve"> </w:t>
      </w:r>
      <w:r w:rsidR="001D40F5" w:rsidRPr="001D40F5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n 27.8% of these, abnormalities </w:t>
      </w:r>
      <w:r w:rsidR="001D40F5" w:rsidRPr="001D40F5">
        <w:rPr>
          <w:rFonts w:cstheme="minorHAnsi"/>
          <w:sz w:val="20"/>
          <w:szCs w:val="20"/>
        </w:rPr>
        <w:t>were detected. Only 1 out of 47 children</w:t>
      </w:r>
      <w:r>
        <w:rPr>
          <w:rFonts w:cstheme="minorHAnsi"/>
          <w:sz w:val="20"/>
          <w:szCs w:val="20"/>
        </w:rPr>
        <w:t xml:space="preserve"> </w:t>
      </w:r>
      <w:r w:rsidR="001D40F5" w:rsidRPr="001D40F5">
        <w:rPr>
          <w:rFonts w:cstheme="minorHAnsi"/>
          <w:sz w:val="20"/>
          <w:szCs w:val="20"/>
        </w:rPr>
        <w:t>injured by their siblings underwent</w:t>
      </w:r>
      <w:r>
        <w:rPr>
          <w:rFonts w:cstheme="minorHAnsi"/>
          <w:sz w:val="20"/>
          <w:szCs w:val="20"/>
        </w:rPr>
        <w:t xml:space="preserve"> </w:t>
      </w:r>
      <w:r w:rsidR="001D40F5" w:rsidRPr="001D40F5">
        <w:rPr>
          <w:rFonts w:cstheme="minorHAnsi"/>
          <w:sz w:val="20"/>
          <w:szCs w:val="20"/>
        </w:rPr>
        <w:t>a CT scan (Table 3, Fig. 4).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Major signs and symptoms are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shown in Table 2. A high rate of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known or suspected loss of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consciousness was found in </w:t>
      </w:r>
      <w:proofErr w:type="spellStart"/>
      <w:r w:rsidRPr="001D40F5">
        <w:rPr>
          <w:rFonts w:cstheme="minorHAnsi"/>
          <w:sz w:val="20"/>
          <w:szCs w:val="20"/>
        </w:rPr>
        <w:t>attacksby</w:t>
      </w:r>
      <w:proofErr w:type="spellEnd"/>
      <w:r w:rsidRPr="001D40F5">
        <w:rPr>
          <w:rFonts w:cstheme="minorHAnsi"/>
          <w:sz w:val="20"/>
          <w:szCs w:val="20"/>
        </w:rPr>
        <w:t xml:space="preserve"> strangers (51.4%) and attacks by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persons with unknown relation to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 patient (42.9%).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Admission rates varied from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77.7% for injuries caused by caregivers,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37.1% attack by strangers,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23.7% by peers and 8.5% by siblings.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About 22% of injuries by caregivers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were categorised as </w:t>
      </w:r>
      <w:proofErr w:type="spellStart"/>
      <w:r w:rsidRPr="001D40F5">
        <w:rPr>
          <w:rFonts w:cstheme="minorHAnsi"/>
          <w:sz w:val="20"/>
          <w:szCs w:val="20"/>
        </w:rPr>
        <w:t>ciTBI</w:t>
      </w:r>
      <w:proofErr w:type="spellEnd"/>
      <w:r w:rsidRPr="001D40F5">
        <w:rPr>
          <w:rFonts w:cstheme="minorHAnsi"/>
          <w:sz w:val="20"/>
          <w:szCs w:val="20"/>
        </w:rPr>
        <w:t>.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Three cases (3.0%) of injury by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peers were the only other cases with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an injury meeting our </w:t>
      </w:r>
      <w:proofErr w:type="spellStart"/>
      <w:r w:rsidRPr="001D40F5">
        <w:rPr>
          <w:rFonts w:cstheme="minorHAnsi"/>
          <w:sz w:val="20"/>
          <w:szCs w:val="20"/>
        </w:rPr>
        <w:t>ciTBI</w:t>
      </w:r>
      <w:proofErr w:type="spellEnd"/>
      <w:r w:rsidRPr="001D40F5">
        <w:rPr>
          <w:rFonts w:cstheme="minorHAnsi"/>
          <w:sz w:val="20"/>
          <w:szCs w:val="20"/>
        </w:rPr>
        <w:t xml:space="preserve"> definition.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There were two fatalities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(1.9%), both from injury by caregivers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(Table 2).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Peer assault occurred mainly on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school days (93.8%), </w:t>
      </w:r>
      <w:proofErr w:type="gramStart"/>
      <w:r w:rsidRPr="001D40F5">
        <w:rPr>
          <w:rFonts w:cstheme="minorHAnsi"/>
          <w:sz w:val="20"/>
          <w:szCs w:val="20"/>
        </w:rPr>
        <w:t xml:space="preserve">assault </w:t>
      </w:r>
      <w:r w:rsidR="006B615A">
        <w:rPr>
          <w:rFonts w:cstheme="minorHAnsi"/>
          <w:sz w:val="20"/>
          <w:szCs w:val="20"/>
        </w:rPr>
        <w:t xml:space="preserve"> </w:t>
      </w:r>
      <w:proofErr w:type="spellStart"/>
      <w:r w:rsidRPr="001D40F5">
        <w:rPr>
          <w:rFonts w:cstheme="minorHAnsi"/>
          <w:sz w:val="20"/>
          <w:szCs w:val="20"/>
        </w:rPr>
        <w:t>y</w:t>
      </w:r>
      <w:proofErr w:type="spellEnd"/>
      <w:proofErr w:type="gramEnd"/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strangers peaked on weekends, especially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on Saturdays (28.1%), whereas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caregiver assaults presented evenly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across the days of the week. In terms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reported time of injury, peer injuries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peaked between 10.00 and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15.00 hours, whereas most </w:t>
      </w:r>
      <w:proofErr w:type="spellStart"/>
      <w:r w:rsidRPr="001D40F5">
        <w:rPr>
          <w:rFonts w:cstheme="minorHAnsi"/>
          <w:sz w:val="20"/>
          <w:szCs w:val="20"/>
        </w:rPr>
        <w:t>siblinginjuries</w:t>
      </w:r>
      <w:proofErr w:type="spellEnd"/>
      <w:r w:rsidRPr="001D40F5">
        <w:rPr>
          <w:rFonts w:cstheme="minorHAnsi"/>
          <w:sz w:val="20"/>
          <w:szCs w:val="20"/>
        </w:rPr>
        <w:t xml:space="preserve"> occurred after school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between 16.00 and 21.00 hours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(Fig. 5). In assaults by caregivers, the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timing of the injury was missing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 27.2%.</w:t>
      </w:r>
    </w:p>
    <w:p w:rsidR="001D40F5" w:rsidRPr="004575B6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b/>
          <w:sz w:val="20"/>
          <w:szCs w:val="20"/>
        </w:rPr>
      </w:pPr>
      <w:r w:rsidRPr="004575B6">
        <w:rPr>
          <w:rFonts w:cstheme="minorHAnsi"/>
          <w:b/>
          <w:sz w:val="20"/>
          <w:szCs w:val="20"/>
        </w:rPr>
        <w:t>Discussion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In this large multicentre prospective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data set, we have provided detailed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information about intentional HIs in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children and adolescents presenting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to </w:t>
      </w:r>
      <w:proofErr w:type="spellStart"/>
      <w:r w:rsidRPr="001D40F5">
        <w:rPr>
          <w:rFonts w:cstheme="minorHAnsi"/>
          <w:sz w:val="20"/>
          <w:szCs w:val="20"/>
        </w:rPr>
        <w:t>EDs.</w:t>
      </w:r>
      <w:proofErr w:type="spellEnd"/>
      <w:r w:rsidRPr="001D40F5">
        <w:rPr>
          <w:rFonts w:cstheme="minorHAnsi"/>
          <w:sz w:val="20"/>
          <w:szCs w:val="20"/>
        </w:rPr>
        <w:t xml:space="preserve"> In this population, intentional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HIs were infrequent, accounting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for only 1.8% of all H</w:t>
      </w:r>
      <w:r w:rsidR="006B615A" w:rsidRPr="001D40F5">
        <w:rPr>
          <w:rFonts w:cstheme="minorHAnsi"/>
          <w:sz w:val="20"/>
          <w:szCs w:val="20"/>
        </w:rPr>
        <w:t>i</w:t>
      </w:r>
      <w:r w:rsidRPr="001D40F5">
        <w:rPr>
          <w:rFonts w:cstheme="minorHAnsi"/>
          <w:sz w:val="20"/>
          <w:szCs w:val="20"/>
        </w:rPr>
        <w:t>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presenting to major EDs in Australia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and New Zealand. Adolescents aged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11–18 years were most likely to sustain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intentional HIs overall. The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most common perpetrators were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caregivers in young children and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peers in adolescent patients. The rate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intentional injuries in the present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study was similar to the 3.3%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reported in an earlier retrospective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review of head-injured children presenting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to one of the tertiary referral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centres included in the present study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 2004.8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Although CT imaging was completed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based on the concern of individual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clinicians for intracranial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injury and in assaults by </w:t>
      </w:r>
      <w:proofErr w:type="spellStart"/>
      <w:r w:rsidRPr="001D40F5">
        <w:rPr>
          <w:rFonts w:cstheme="minorHAnsi"/>
          <w:sz w:val="20"/>
          <w:szCs w:val="20"/>
        </w:rPr>
        <w:t>caregiversmay</w:t>
      </w:r>
      <w:proofErr w:type="spellEnd"/>
      <w:r w:rsidRPr="001D40F5">
        <w:rPr>
          <w:rFonts w:cstheme="minorHAnsi"/>
          <w:sz w:val="20"/>
          <w:szCs w:val="20"/>
        </w:rPr>
        <w:t xml:space="preserve"> also have been driven by local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protocols or practices for the work</w:t>
      </w:r>
      <w:r w:rsidR="006B615A">
        <w:rPr>
          <w:rFonts w:cstheme="minorHAnsi"/>
          <w:sz w:val="20"/>
          <w:szCs w:val="20"/>
        </w:rPr>
        <w:t xml:space="preserve"> up these patients. </w:t>
      </w:r>
      <w:r w:rsidRPr="001D40F5">
        <w:rPr>
          <w:rFonts w:cstheme="minorHAnsi"/>
          <w:sz w:val="20"/>
          <w:szCs w:val="20"/>
        </w:rPr>
        <w:t>D</w:t>
      </w:r>
      <w:r w:rsidR="006B615A">
        <w:rPr>
          <w:rFonts w:cstheme="minorHAnsi"/>
          <w:sz w:val="20"/>
          <w:szCs w:val="20"/>
        </w:rPr>
        <w:t>e</w:t>
      </w:r>
      <w:r w:rsidRPr="001D40F5">
        <w:rPr>
          <w:rFonts w:cstheme="minorHAnsi"/>
          <w:sz w:val="20"/>
          <w:szCs w:val="20"/>
        </w:rPr>
        <w:t>tected abnormalities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and the uneven distribution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of </w:t>
      </w:r>
      <w:proofErr w:type="spellStart"/>
      <w:r w:rsidRPr="001D40F5">
        <w:rPr>
          <w:rFonts w:cstheme="minorHAnsi"/>
          <w:sz w:val="20"/>
          <w:szCs w:val="20"/>
        </w:rPr>
        <w:t>ciTBIs</w:t>
      </w:r>
      <w:proofErr w:type="spellEnd"/>
      <w:r w:rsidRPr="001D40F5">
        <w:rPr>
          <w:rFonts w:cstheme="minorHAnsi"/>
          <w:sz w:val="20"/>
          <w:szCs w:val="20"/>
        </w:rPr>
        <w:t xml:space="preserve"> and fatalities show that the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severity of injuries are associated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with the perpetrator and the age of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 child victim. Assaults by caregivers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were associated with </w:t>
      </w:r>
      <w:proofErr w:type="spellStart"/>
      <w:r w:rsidRPr="001D40F5">
        <w:rPr>
          <w:rFonts w:cstheme="minorHAnsi"/>
          <w:sz w:val="20"/>
          <w:szCs w:val="20"/>
        </w:rPr>
        <w:t>moresevere</w:t>
      </w:r>
      <w:proofErr w:type="spellEnd"/>
      <w:r w:rsidRPr="001D40F5">
        <w:rPr>
          <w:rFonts w:cstheme="minorHAnsi"/>
          <w:sz w:val="20"/>
          <w:szCs w:val="20"/>
        </w:rPr>
        <w:t xml:space="preserve"> injuries, whereas injuries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inflicted by peers and siblings were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less likely to involve detectable cranial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or intracranial abnormalities.</w:t>
      </w:r>
    </w:p>
    <w:p w:rsidR="006B615A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This is broadly in keeping with several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studies reporting higher severity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TBI associated with caregiver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assaults compared with accidental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injuries21 and research showing that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paediatric trauma caused by child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abuse is more severe than trauma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from other causes.1</w:t>
      </w:r>
      <w:r w:rsidR="006B615A">
        <w:rPr>
          <w:rFonts w:cstheme="minorHAnsi"/>
          <w:sz w:val="20"/>
          <w:szCs w:val="20"/>
        </w:rPr>
        <w:t xml:space="preserve"> 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Assaults by strangers or persons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with unknown relation to the patient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were associated with a higher rate of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CT scanning compared with attacks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by peers or siblings (20/56 [35.7%] vs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19/144 [13.2%]). Yet, the rate of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abnormal neuroimaging was about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 same in these groups (3/56 [5.4%]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vs 6/144 [4.2%]), and symptoms were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similar between the two groups. The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reasons for the higher rate of CT scanning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are unclear. However, </w:t>
      </w:r>
      <w:r w:rsidRPr="001D40F5">
        <w:rPr>
          <w:rFonts w:cstheme="minorHAnsi"/>
          <w:sz w:val="20"/>
          <w:szCs w:val="20"/>
        </w:rPr>
        <w:lastRenderedPageBreak/>
        <w:t>those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attacked by a stranger or a person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with unknown relationship were older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and less likely to have a fall as mechanism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their HI.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 xml:space="preserve">There </w:t>
      </w:r>
      <w:r w:rsidR="006B615A">
        <w:rPr>
          <w:rFonts w:cstheme="minorHAnsi"/>
          <w:sz w:val="20"/>
          <w:szCs w:val="20"/>
        </w:rPr>
        <w:t xml:space="preserve">were very obvious relationships </w:t>
      </w:r>
      <w:r w:rsidRPr="001D40F5">
        <w:rPr>
          <w:rFonts w:cstheme="minorHAnsi"/>
          <w:sz w:val="20"/>
          <w:szCs w:val="20"/>
        </w:rPr>
        <w:t>between age at injury and type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intentional injuries. The median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age for suspected assault by caregiver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was 0.8 years, by peer 13 years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and by stranger 15 years, whereas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 median age for non-accidental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trauma overall was 4 years. This is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consistent with studies of paediatric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trauma, which have reported that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caregiver abuse almost exclusively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occurs during the first years of life,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whereas peer </w:t>
      </w:r>
      <w:r w:rsidR="006B615A">
        <w:rPr>
          <w:rFonts w:cstheme="minorHAnsi"/>
          <w:sz w:val="20"/>
          <w:szCs w:val="20"/>
        </w:rPr>
        <w:t xml:space="preserve">and stranger assault is </w:t>
      </w:r>
      <w:r w:rsidRPr="001D40F5">
        <w:rPr>
          <w:rFonts w:cstheme="minorHAnsi"/>
          <w:sz w:val="20"/>
          <w:szCs w:val="20"/>
        </w:rPr>
        <w:t>more common in teenagers.1</w:t>
      </w:r>
      <w:proofErr w:type="gramStart"/>
      <w:r w:rsidRPr="001D40F5">
        <w:rPr>
          <w:rFonts w:cstheme="minorHAnsi"/>
          <w:sz w:val="20"/>
          <w:szCs w:val="20"/>
        </w:rPr>
        <w:t>,5</w:t>
      </w:r>
      <w:proofErr w:type="gramEnd"/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Almost all intentional peer injuries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happened during weekdays at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school. In some cases, bullying was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explicitly mentioned in the CRF, yet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this information was not systematically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elicited. In the clinical setting, it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is important to consider and ask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about this issue, as bullying victimisation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may also be associated with a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high level of psychosomatic or psychosocial</w:t>
      </w:r>
      <w:r w:rsidR="006B615A">
        <w:rPr>
          <w:rFonts w:cstheme="minorHAnsi"/>
          <w:sz w:val="20"/>
          <w:szCs w:val="20"/>
        </w:rPr>
        <w:t xml:space="preserve"> </w:t>
      </w:r>
      <w:r w:rsidR="004575B6">
        <w:rPr>
          <w:rFonts w:cstheme="minorHAnsi"/>
          <w:sz w:val="20"/>
          <w:szCs w:val="20"/>
        </w:rPr>
        <w:t>h</w:t>
      </w:r>
      <w:r w:rsidRPr="001D40F5">
        <w:rPr>
          <w:rFonts w:cstheme="minorHAnsi"/>
          <w:sz w:val="20"/>
          <w:szCs w:val="20"/>
        </w:rPr>
        <w:t xml:space="preserve">ealth </w:t>
      </w:r>
      <w:proofErr w:type="gramStart"/>
      <w:r w:rsidRPr="001D40F5">
        <w:rPr>
          <w:rFonts w:cstheme="minorHAnsi"/>
          <w:sz w:val="20"/>
          <w:szCs w:val="20"/>
        </w:rPr>
        <w:t xml:space="preserve">problems.22 </w:t>
      </w:r>
      <w:r w:rsidR="004575B6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Most</w:t>
      </w:r>
      <w:proofErr w:type="gramEnd"/>
      <w:r w:rsidR="006B615A">
        <w:rPr>
          <w:rFonts w:cstheme="minorHAnsi"/>
          <w:sz w:val="20"/>
          <w:szCs w:val="20"/>
        </w:rPr>
        <w:t xml:space="preserve"> </w:t>
      </w:r>
      <w:r w:rsidR="004575B6">
        <w:rPr>
          <w:rFonts w:cstheme="minorHAnsi"/>
          <w:sz w:val="20"/>
          <w:szCs w:val="20"/>
        </w:rPr>
        <w:t>in</w:t>
      </w:r>
      <w:r w:rsidRPr="001D40F5">
        <w:rPr>
          <w:rFonts w:cstheme="minorHAnsi"/>
          <w:sz w:val="20"/>
          <w:szCs w:val="20"/>
        </w:rPr>
        <w:t>cidents occurred during lunchtime.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Locations of assaults by strangers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included street, railway station and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park and most frequently happened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during the weekend.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Assaults by caregivers were characterised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by a high rate of unknown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place and time (27.2%) recordings.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This is consistent with a missing,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vague, variable or possibly false history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provided by caregivers and an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inability to gain this information accurately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from young children and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infants. This is also in keeping with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Hettler and </w:t>
      </w:r>
      <w:proofErr w:type="spellStart"/>
      <w:r w:rsidRPr="001D40F5">
        <w:rPr>
          <w:rFonts w:cstheme="minorHAnsi"/>
          <w:sz w:val="20"/>
          <w:szCs w:val="20"/>
        </w:rPr>
        <w:t>Greenes</w:t>
      </w:r>
      <w:proofErr w:type="spellEnd"/>
      <w:r w:rsidRPr="001D40F5">
        <w:rPr>
          <w:rFonts w:cstheme="minorHAnsi"/>
          <w:sz w:val="20"/>
          <w:szCs w:val="20"/>
        </w:rPr>
        <w:t>’ finding that no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history of trauma had a high specificity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for the detection of injuries inflicted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by caregivers.23 In young patients with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HI and unclear history of trauma, clinical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prediction rules for AHT may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assist clinicians in deciding which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patients to evaluate for abuse.20</w:t>
      </w:r>
      <w:proofErr w:type="gramStart"/>
      <w:r w:rsidRPr="001D40F5">
        <w:rPr>
          <w:rFonts w:cstheme="minorHAnsi"/>
          <w:sz w:val="20"/>
          <w:szCs w:val="20"/>
        </w:rPr>
        <w:t>,24</w:t>
      </w:r>
      <w:proofErr w:type="gramEnd"/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 striking finding in our data set is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 complete lack of gunshot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wounds among the over 20 000 children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enrolled in APHIRST.</w:t>
      </w:r>
    </w:p>
    <w:p w:rsidR="001D40F5" w:rsidRPr="004575B6" w:rsidRDefault="001D40F5" w:rsidP="004575B6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  <w:szCs w:val="20"/>
        </w:rPr>
      </w:pPr>
      <w:r w:rsidRPr="004575B6">
        <w:rPr>
          <w:rFonts w:cstheme="minorHAnsi"/>
          <w:i/>
          <w:sz w:val="20"/>
          <w:szCs w:val="20"/>
        </w:rPr>
        <w:t>Limitations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The present study has several limitations.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It relies on epidemiology coding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by trained site RAs, which is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depen</w:t>
      </w:r>
      <w:r w:rsidR="006B615A">
        <w:rPr>
          <w:rFonts w:cstheme="minorHAnsi"/>
          <w:sz w:val="20"/>
          <w:szCs w:val="20"/>
        </w:rPr>
        <w:t xml:space="preserve">dent on the accuracy and detail </w:t>
      </w:r>
      <w:r w:rsidRPr="001D40F5">
        <w:rPr>
          <w:rFonts w:cstheme="minorHAnsi"/>
          <w:sz w:val="20"/>
          <w:szCs w:val="20"/>
        </w:rPr>
        <w:t>of the history recorded by nursing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and medical staff during the ED and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hospital stay. We included all cases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 which assault by the caregiver was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considered and/or investigated, not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cases in which abusive head trauma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was confirmed. This methodology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varies from many previous reports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on</w:t>
      </w:r>
      <w:r w:rsidR="004575B6">
        <w:rPr>
          <w:rFonts w:cstheme="minorHAnsi"/>
          <w:sz w:val="20"/>
          <w:szCs w:val="20"/>
        </w:rPr>
        <w:t xml:space="preserve"> c</w:t>
      </w:r>
      <w:r w:rsidRPr="001D40F5">
        <w:rPr>
          <w:rFonts w:cstheme="minorHAnsi"/>
          <w:sz w:val="20"/>
          <w:szCs w:val="20"/>
        </w:rPr>
        <w:t>hild abuse that have included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only cases of confirmed AHT. The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finding that injuries are especially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severe in children abused by caregivers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could be influenced by an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increased consideration of suspected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abuse in severely injured children. It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is also possible that patients with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intentional HIs were not identified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by clinicians as such and assumed to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be non-intentional HIs on the basis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a false history by the caregiver or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the patients. </w:t>
      </w:r>
      <w:r w:rsidR="006B615A">
        <w:rPr>
          <w:rFonts w:cstheme="minorHAnsi"/>
          <w:sz w:val="20"/>
          <w:szCs w:val="20"/>
        </w:rPr>
        <w:t>F</w:t>
      </w:r>
      <w:r w:rsidRPr="001D40F5">
        <w:rPr>
          <w:rFonts w:cstheme="minorHAnsi"/>
          <w:sz w:val="20"/>
          <w:szCs w:val="20"/>
        </w:rPr>
        <w:t>urthermore, a small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number of caregiver assaults may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have presented with HIs in the care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child protection officers or caregivers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who may have declined consent,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or were unable to give consent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to participate in the study. In addition,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children assaulted by caregivers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may also have been admitted with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initial medical diagnosis and diagnosed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as intentional injuries later in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 hospital course. Our study would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not have identified these children as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our entry point was the ED setting.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Although we included all assaults by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siblings and peers, the perpetrators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may have been relatively young; we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were unable to determine at what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perpetrator age these should be considered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genuine safeguarding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concerns.</w:t>
      </w:r>
    </w:p>
    <w:p w:rsidR="001D40F5" w:rsidRPr="004575B6" w:rsidRDefault="001D40F5" w:rsidP="004575B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0"/>
          <w:szCs w:val="20"/>
        </w:rPr>
      </w:pPr>
      <w:r w:rsidRPr="004575B6">
        <w:rPr>
          <w:rFonts w:cstheme="minorHAnsi"/>
          <w:b/>
          <w:sz w:val="20"/>
          <w:szCs w:val="20"/>
        </w:rPr>
        <w:lastRenderedPageBreak/>
        <w:t>Conclusions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Intentional HIs are infrequent in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children presenting to the ED in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Australia and New Zealand. The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most frequent causes are assault by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caregivers and by peers. Suspected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assaults by caregivers are associated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with high rates of CT abnormalities,</w:t>
      </w:r>
      <w:r w:rsidR="006B615A">
        <w:rPr>
          <w:rFonts w:cstheme="minorHAnsi"/>
          <w:sz w:val="20"/>
          <w:szCs w:val="20"/>
        </w:rPr>
        <w:t xml:space="preserve"> </w:t>
      </w:r>
      <w:proofErr w:type="spellStart"/>
      <w:r w:rsidRPr="001D40F5">
        <w:rPr>
          <w:rFonts w:cstheme="minorHAnsi"/>
          <w:sz w:val="20"/>
          <w:szCs w:val="20"/>
        </w:rPr>
        <w:t>ciTBI</w:t>
      </w:r>
      <w:proofErr w:type="spellEnd"/>
      <w:r w:rsidRPr="001D40F5">
        <w:rPr>
          <w:rFonts w:cstheme="minorHAnsi"/>
          <w:sz w:val="20"/>
          <w:szCs w:val="20"/>
        </w:rPr>
        <w:t xml:space="preserve"> and mortality.</w:t>
      </w:r>
    </w:p>
    <w:p w:rsidR="006B615A" w:rsidRDefault="006B615A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</w:p>
    <w:p w:rsidR="001D40F5" w:rsidRPr="004575B6" w:rsidRDefault="001D40F5" w:rsidP="004575B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0"/>
          <w:szCs w:val="20"/>
        </w:rPr>
      </w:pPr>
      <w:r w:rsidRPr="004575B6">
        <w:rPr>
          <w:rFonts w:cstheme="minorHAnsi"/>
          <w:b/>
          <w:sz w:val="20"/>
          <w:szCs w:val="20"/>
        </w:rPr>
        <w:t>Acknowledgements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The authors thank the families and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ED staff at participating sites. They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also thank the research staff from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participating sites.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 study was funded by grants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from the National Health and Medical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Research Council (project grant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GNT1046727, Centre of Research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Excellence for Paediatric Emergency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Medicine GNT1058560), Canberra,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Australia; the Murdoch </w:t>
      </w:r>
      <w:proofErr w:type="spellStart"/>
      <w:r w:rsidRPr="001D40F5">
        <w:rPr>
          <w:rFonts w:cstheme="minorHAnsi"/>
          <w:sz w:val="20"/>
          <w:szCs w:val="20"/>
        </w:rPr>
        <w:t>Childrens</w:t>
      </w:r>
      <w:proofErr w:type="spellEnd"/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Research Institute, Melbourne,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Australia; the Emergency Medicine</w:t>
      </w:r>
      <w:r w:rsidR="004575B6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Foundation (EMPJ-11162), Brisbane,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Australia; Perpetual Philanthropic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Services (2012/1140),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Australia; the Auckland Medical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Research Foundation (No. 3112011)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and the A+ Trust (Auckland District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Health Board), Auckland, New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Zealand; WA Health Targeted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Research Funds 2013, Perth,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Australia; the Townsville Hospital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and Health Service Private Practice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Research and Education Trust Fund,</w:t>
      </w:r>
      <w:r w:rsidR="006B615A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Towns</w:t>
      </w:r>
      <w:r w:rsidR="00597A5F">
        <w:rPr>
          <w:rFonts w:cstheme="minorHAnsi"/>
          <w:sz w:val="20"/>
          <w:szCs w:val="20"/>
        </w:rPr>
        <w:t>ville, Australia; and supported</w:t>
      </w:r>
      <w:r w:rsidR="004575B6">
        <w:rPr>
          <w:rFonts w:cstheme="minorHAnsi"/>
          <w:sz w:val="20"/>
          <w:szCs w:val="20"/>
        </w:rPr>
        <w:t xml:space="preserve"> b</w:t>
      </w:r>
      <w:r w:rsidRPr="001D40F5">
        <w:rPr>
          <w:rFonts w:cstheme="minorHAnsi"/>
          <w:sz w:val="20"/>
          <w:szCs w:val="20"/>
        </w:rPr>
        <w:t>y the State Government of Victoria’s</w:t>
      </w:r>
      <w:r w:rsidR="00597A5F">
        <w:rPr>
          <w:rFonts w:cstheme="minorHAnsi"/>
          <w:sz w:val="20"/>
          <w:szCs w:val="20"/>
        </w:rPr>
        <w:t xml:space="preserve"> </w:t>
      </w:r>
      <w:r w:rsidR="004575B6">
        <w:rPr>
          <w:rFonts w:cstheme="minorHAnsi"/>
          <w:sz w:val="20"/>
          <w:szCs w:val="20"/>
        </w:rPr>
        <w:t>i</w:t>
      </w:r>
      <w:r w:rsidRPr="001D40F5">
        <w:rPr>
          <w:rFonts w:cstheme="minorHAnsi"/>
          <w:sz w:val="20"/>
          <w:szCs w:val="20"/>
        </w:rPr>
        <w:t>nfrastructure Support Programme,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Melbourne, Australia.</w:t>
      </w:r>
      <w:r w:rsidR="00597A5F">
        <w:rPr>
          <w:rFonts w:cstheme="minorHAnsi"/>
          <w:sz w:val="20"/>
          <w:szCs w:val="20"/>
        </w:rPr>
        <w:t xml:space="preserve"> </w:t>
      </w:r>
      <w:r w:rsidR="004575B6">
        <w:rPr>
          <w:rFonts w:cstheme="minorHAnsi"/>
          <w:sz w:val="20"/>
          <w:szCs w:val="20"/>
        </w:rPr>
        <w:t>FEB’s time was p</w:t>
      </w:r>
      <w:r w:rsidRPr="001D40F5">
        <w:rPr>
          <w:rFonts w:cstheme="minorHAnsi"/>
          <w:sz w:val="20"/>
          <w:szCs w:val="20"/>
        </w:rPr>
        <w:t>art funded by a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grant from the Royal Children’s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Hospital Foundation, Melbourne,</w:t>
      </w:r>
      <w:r w:rsidR="00597A5F">
        <w:rPr>
          <w:rFonts w:cstheme="minorHAnsi"/>
          <w:sz w:val="20"/>
          <w:szCs w:val="20"/>
        </w:rPr>
        <w:t xml:space="preserve"> </w:t>
      </w:r>
      <w:r w:rsidR="004575B6">
        <w:rPr>
          <w:rFonts w:cstheme="minorHAnsi"/>
          <w:sz w:val="20"/>
          <w:szCs w:val="20"/>
        </w:rPr>
        <w:t>Australia, an NHMRC p</w:t>
      </w:r>
      <w:r w:rsidRPr="001D40F5">
        <w:rPr>
          <w:rFonts w:cstheme="minorHAnsi"/>
          <w:sz w:val="20"/>
          <w:szCs w:val="20"/>
        </w:rPr>
        <w:t>ractitioner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Fellowship and a Melbourne Campus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Clinician–Scientist-Fellowship.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SRD’s time was part funded by the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Health Research Council of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New Zealand (HRC13/556). The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authors have no financial relationships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relevant to this article to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disclose.</w:t>
      </w:r>
    </w:p>
    <w:p w:rsidR="001D40F5" w:rsidRPr="001D40F5" w:rsidRDefault="001D40F5" w:rsidP="004575B6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Author contributions</w:t>
      </w:r>
    </w:p>
    <w:p w:rsidR="00597A5F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FEB conceived the study, obtained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grant funding, designed the study,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provided overall supervision, interpreted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 data, gave final approval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to be published and agreed to be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accountable for all aspects of the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work. HP identified the patients for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this secondary analysis, wrote the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initial draft and revised the article.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SRD, EO, VA, MLB, NP, AK, SD,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JAC, YG, JF, JN, MDL, SB and LC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designed the study, obtained the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data, provided supervision, interpreted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 data and drafted or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revised it critically. SD and SJCH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designed the study, analysed the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data, contributed to the interpretation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the data and revised the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paper critically.</w:t>
      </w:r>
      <w:r w:rsidR="00597A5F">
        <w:rPr>
          <w:rFonts w:cstheme="minorHAnsi"/>
          <w:sz w:val="20"/>
          <w:szCs w:val="20"/>
        </w:rPr>
        <w:t xml:space="preserve"> </w:t>
      </w:r>
    </w:p>
    <w:p w:rsidR="001D40F5" w:rsidRPr="001D40F5" w:rsidRDefault="001D40F5" w:rsidP="004575B6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Compe</w:t>
      </w:r>
      <w:bookmarkStart w:id="0" w:name="_GoBack"/>
      <w:bookmarkEnd w:id="0"/>
      <w:r w:rsidRPr="001D40F5">
        <w:rPr>
          <w:rFonts w:cstheme="minorHAnsi"/>
          <w:sz w:val="20"/>
          <w:szCs w:val="20"/>
        </w:rPr>
        <w:t>ting interests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None declared.</w:t>
      </w:r>
    </w:p>
    <w:p w:rsidR="00597A5F" w:rsidRDefault="00597A5F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</w:p>
    <w:p w:rsidR="004575B6" w:rsidRDefault="004575B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1D40F5" w:rsidRPr="004575B6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b/>
          <w:sz w:val="20"/>
          <w:szCs w:val="20"/>
        </w:rPr>
      </w:pPr>
      <w:r w:rsidRPr="004575B6">
        <w:rPr>
          <w:rFonts w:cstheme="minorHAnsi"/>
          <w:b/>
          <w:sz w:val="20"/>
          <w:szCs w:val="20"/>
        </w:rPr>
        <w:lastRenderedPageBreak/>
        <w:t>References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1. Davies FC, Coats TJ, Fisher R,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Lawrence T, Lecky FE. A profile of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suspected child abuse as a subgroup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of major trauma patients. </w:t>
      </w:r>
      <w:proofErr w:type="spellStart"/>
      <w:r w:rsidRPr="001D40F5">
        <w:rPr>
          <w:rFonts w:cstheme="minorHAnsi"/>
          <w:sz w:val="20"/>
          <w:szCs w:val="20"/>
        </w:rPr>
        <w:t>Emerg</w:t>
      </w:r>
      <w:proofErr w:type="spellEnd"/>
      <w:r w:rsidRPr="001D40F5">
        <w:rPr>
          <w:rFonts w:cstheme="minorHAnsi"/>
          <w:sz w:val="20"/>
          <w:szCs w:val="20"/>
        </w:rPr>
        <w:t>.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Med. J. 2015; 32: 921–5.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 xml:space="preserve">2. </w:t>
      </w:r>
      <w:proofErr w:type="spellStart"/>
      <w:r w:rsidRPr="001D40F5">
        <w:rPr>
          <w:rFonts w:cstheme="minorHAnsi"/>
          <w:sz w:val="20"/>
          <w:szCs w:val="20"/>
        </w:rPr>
        <w:t>Duhaime</w:t>
      </w:r>
      <w:proofErr w:type="spellEnd"/>
      <w:r w:rsidRPr="001D40F5">
        <w:rPr>
          <w:rFonts w:cstheme="minorHAnsi"/>
          <w:sz w:val="20"/>
          <w:szCs w:val="20"/>
        </w:rPr>
        <w:t xml:space="preserve"> AC, Christian CW,</w:t>
      </w:r>
      <w:r w:rsidR="00597A5F">
        <w:rPr>
          <w:rFonts w:cstheme="minorHAnsi"/>
          <w:sz w:val="20"/>
          <w:szCs w:val="20"/>
        </w:rPr>
        <w:t xml:space="preserve"> </w:t>
      </w:r>
      <w:proofErr w:type="spellStart"/>
      <w:r w:rsidRPr="001D40F5">
        <w:rPr>
          <w:rFonts w:cstheme="minorHAnsi"/>
          <w:sz w:val="20"/>
          <w:szCs w:val="20"/>
        </w:rPr>
        <w:t>Rorke</w:t>
      </w:r>
      <w:proofErr w:type="spellEnd"/>
      <w:r w:rsidRPr="001D40F5">
        <w:rPr>
          <w:rFonts w:cstheme="minorHAnsi"/>
          <w:sz w:val="20"/>
          <w:szCs w:val="20"/>
        </w:rPr>
        <w:t xml:space="preserve"> LR, Zimmerman RA. </w:t>
      </w:r>
      <w:proofErr w:type="spellStart"/>
      <w:r w:rsidRPr="001D40F5">
        <w:rPr>
          <w:rFonts w:cstheme="minorHAnsi"/>
          <w:sz w:val="20"/>
          <w:szCs w:val="20"/>
        </w:rPr>
        <w:t>Nonaccidental</w:t>
      </w:r>
      <w:proofErr w:type="spellEnd"/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head trauma in infants the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‘shaken baby syndrome’. N. Engl.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J. Med. 1998; 338: 1822–9.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 xml:space="preserve">3. </w:t>
      </w:r>
      <w:proofErr w:type="spellStart"/>
      <w:r w:rsidRPr="001D40F5">
        <w:rPr>
          <w:rFonts w:cstheme="minorHAnsi"/>
          <w:sz w:val="20"/>
          <w:szCs w:val="20"/>
        </w:rPr>
        <w:t>Makaroff</w:t>
      </w:r>
      <w:proofErr w:type="spellEnd"/>
      <w:r w:rsidRPr="001D40F5">
        <w:rPr>
          <w:rFonts w:cstheme="minorHAnsi"/>
          <w:sz w:val="20"/>
          <w:szCs w:val="20"/>
        </w:rPr>
        <w:t xml:space="preserve"> KL, Putnam FW. Outcomes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infants and children with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inflicted traumatic brain injury.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Dev. Med. Child Neurol. 2003; 45: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497–502.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4. Xiang J, Shi J, Wheeler KK,</w:t>
      </w:r>
      <w:r w:rsidR="00597A5F">
        <w:rPr>
          <w:rFonts w:cstheme="minorHAnsi"/>
          <w:sz w:val="20"/>
          <w:szCs w:val="20"/>
        </w:rPr>
        <w:t xml:space="preserve"> </w:t>
      </w:r>
      <w:proofErr w:type="spellStart"/>
      <w:r w:rsidRPr="001D40F5">
        <w:rPr>
          <w:rFonts w:cstheme="minorHAnsi"/>
          <w:sz w:val="20"/>
          <w:szCs w:val="20"/>
        </w:rPr>
        <w:t>Yeates</w:t>
      </w:r>
      <w:proofErr w:type="spellEnd"/>
      <w:r w:rsidRPr="001D40F5">
        <w:rPr>
          <w:rFonts w:cstheme="minorHAnsi"/>
          <w:sz w:val="20"/>
          <w:szCs w:val="20"/>
        </w:rPr>
        <w:t xml:space="preserve"> KO, Taylor HG, Smith GA.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Paediatric patients with abusive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head trauma treated in US emergency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departments, 2006–2009.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Brain Inj. 2013; 27: 1555–61.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 xml:space="preserve">5. </w:t>
      </w:r>
      <w:proofErr w:type="spellStart"/>
      <w:r w:rsidRPr="001D40F5">
        <w:rPr>
          <w:rFonts w:cstheme="minorHAnsi"/>
          <w:sz w:val="20"/>
          <w:szCs w:val="20"/>
        </w:rPr>
        <w:t>Deasy</w:t>
      </w:r>
      <w:proofErr w:type="spellEnd"/>
      <w:r w:rsidRPr="001D40F5">
        <w:rPr>
          <w:rFonts w:cstheme="minorHAnsi"/>
          <w:sz w:val="20"/>
          <w:szCs w:val="20"/>
        </w:rPr>
        <w:t xml:space="preserve"> C, </w:t>
      </w:r>
      <w:proofErr w:type="spellStart"/>
      <w:r w:rsidRPr="001D40F5">
        <w:rPr>
          <w:rFonts w:cstheme="minorHAnsi"/>
          <w:sz w:val="20"/>
          <w:szCs w:val="20"/>
        </w:rPr>
        <w:t>Gabbe</w:t>
      </w:r>
      <w:proofErr w:type="spellEnd"/>
      <w:r w:rsidRPr="001D40F5">
        <w:rPr>
          <w:rFonts w:cstheme="minorHAnsi"/>
          <w:sz w:val="20"/>
          <w:szCs w:val="20"/>
        </w:rPr>
        <w:t xml:space="preserve"> B, Palmer C et al.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Paediatric and adolescent trauma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care within an integrated trauma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system. Injury 2012; 43: 2006–11.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 xml:space="preserve">6. </w:t>
      </w:r>
      <w:proofErr w:type="spellStart"/>
      <w:r w:rsidRPr="001D40F5">
        <w:rPr>
          <w:rFonts w:cstheme="minorHAnsi"/>
          <w:sz w:val="20"/>
          <w:szCs w:val="20"/>
        </w:rPr>
        <w:t>Rozenfeld</w:t>
      </w:r>
      <w:proofErr w:type="spellEnd"/>
      <w:r w:rsidRPr="001D40F5">
        <w:rPr>
          <w:rFonts w:cstheme="minorHAnsi"/>
          <w:sz w:val="20"/>
          <w:szCs w:val="20"/>
        </w:rPr>
        <w:t xml:space="preserve"> M, Peleg K. </w:t>
      </w:r>
      <w:proofErr w:type="spellStart"/>
      <w:r w:rsidRPr="001D40F5">
        <w:rPr>
          <w:rFonts w:cstheme="minorHAnsi"/>
          <w:sz w:val="20"/>
          <w:szCs w:val="20"/>
        </w:rPr>
        <w:t>Violencerelated</w:t>
      </w:r>
      <w:proofErr w:type="spellEnd"/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injury of children in Israel: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age-dependent pattern. Bull. World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Health Organ. 2009; 87: 362–8.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 xml:space="preserve">7. Gallaher JR, Wildfire B, </w:t>
      </w:r>
      <w:proofErr w:type="spellStart"/>
      <w:r w:rsidRPr="001D40F5">
        <w:rPr>
          <w:rFonts w:cstheme="minorHAnsi"/>
          <w:sz w:val="20"/>
          <w:szCs w:val="20"/>
        </w:rPr>
        <w:t>Mabedi</w:t>
      </w:r>
      <w:proofErr w:type="spellEnd"/>
      <w:r w:rsidRPr="001D40F5">
        <w:rPr>
          <w:rFonts w:cstheme="minorHAnsi"/>
          <w:sz w:val="20"/>
          <w:szCs w:val="20"/>
        </w:rPr>
        <w:t xml:space="preserve"> C,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Cairns BA, Charles AG. Intentional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injury against children in sub-Saharan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Africa: a tertiary trauma centre experience.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Injury 2016; 47: 837–41.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 xml:space="preserve">8. Crowe L, </w:t>
      </w:r>
      <w:proofErr w:type="spellStart"/>
      <w:r w:rsidRPr="001D40F5">
        <w:rPr>
          <w:rFonts w:cstheme="minorHAnsi"/>
          <w:sz w:val="20"/>
          <w:szCs w:val="20"/>
        </w:rPr>
        <w:t>Babl</w:t>
      </w:r>
      <w:proofErr w:type="spellEnd"/>
      <w:r w:rsidRPr="001D40F5">
        <w:rPr>
          <w:rFonts w:cstheme="minorHAnsi"/>
          <w:sz w:val="20"/>
          <w:szCs w:val="20"/>
        </w:rPr>
        <w:t xml:space="preserve"> F, Anderson V,</w:t>
      </w:r>
      <w:r w:rsidR="00597A5F">
        <w:rPr>
          <w:rFonts w:cstheme="minorHAnsi"/>
          <w:sz w:val="20"/>
          <w:szCs w:val="20"/>
        </w:rPr>
        <w:t xml:space="preserve"> </w:t>
      </w:r>
      <w:proofErr w:type="spellStart"/>
      <w:r w:rsidRPr="001D40F5">
        <w:rPr>
          <w:rFonts w:cstheme="minorHAnsi"/>
          <w:sz w:val="20"/>
          <w:szCs w:val="20"/>
        </w:rPr>
        <w:t>Catroppa</w:t>
      </w:r>
      <w:proofErr w:type="spellEnd"/>
      <w:r w:rsidRPr="001D40F5">
        <w:rPr>
          <w:rFonts w:cstheme="minorHAnsi"/>
          <w:sz w:val="20"/>
          <w:szCs w:val="20"/>
        </w:rPr>
        <w:t xml:space="preserve"> C. The epidemiology of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paediatric head injuries: data from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 referral centre in Victoria,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Australia. J. </w:t>
      </w:r>
      <w:proofErr w:type="spellStart"/>
      <w:r w:rsidRPr="001D40F5">
        <w:rPr>
          <w:rFonts w:cstheme="minorHAnsi"/>
          <w:sz w:val="20"/>
          <w:szCs w:val="20"/>
        </w:rPr>
        <w:t>Paediatr</w:t>
      </w:r>
      <w:proofErr w:type="spellEnd"/>
      <w:r w:rsidRPr="001D40F5">
        <w:rPr>
          <w:rFonts w:cstheme="minorHAnsi"/>
          <w:sz w:val="20"/>
          <w:szCs w:val="20"/>
        </w:rPr>
        <w:t>. Child Health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2009; 45: 346–50.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 xml:space="preserve">9. Hawley C, Wilson J, </w:t>
      </w:r>
      <w:proofErr w:type="spellStart"/>
      <w:r w:rsidRPr="001D40F5">
        <w:rPr>
          <w:rFonts w:cstheme="minorHAnsi"/>
          <w:sz w:val="20"/>
          <w:szCs w:val="20"/>
        </w:rPr>
        <w:t>Hickson</w:t>
      </w:r>
      <w:proofErr w:type="spellEnd"/>
      <w:r w:rsidRPr="001D40F5">
        <w:rPr>
          <w:rFonts w:cstheme="minorHAnsi"/>
          <w:sz w:val="20"/>
          <w:szCs w:val="20"/>
        </w:rPr>
        <w:t xml:space="preserve"> C,</w:t>
      </w:r>
      <w:r w:rsidR="00597A5F">
        <w:rPr>
          <w:rFonts w:cstheme="minorHAnsi"/>
          <w:sz w:val="20"/>
          <w:szCs w:val="20"/>
        </w:rPr>
        <w:t xml:space="preserve"> </w:t>
      </w:r>
      <w:proofErr w:type="spellStart"/>
      <w:r w:rsidRPr="001D40F5">
        <w:rPr>
          <w:rFonts w:cstheme="minorHAnsi"/>
          <w:sz w:val="20"/>
          <w:szCs w:val="20"/>
        </w:rPr>
        <w:t>Mills</w:t>
      </w:r>
      <w:proofErr w:type="spellEnd"/>
      <w:r w:rsidRPr="001D40F5">
        <w:rPr>
          <w:rFonts w:cstheme="minorHAnsi"/>
          <w:sz w:val="20"/>
          <w:szCs w:val="20"/>
        </w:rPr>
        <w:t xml:space="preserve"> S, </w:t>
      </w:r>
      <w:proofErr w:type="spellStart"/>
      <w:r w:rsidRPr="001D40F5">
        <w:rPr>
          <w:rFonts w:cstheme="minorHAnsi"/>
          <w:sz w:val="20"/>
          <w:szCs w:val="20"/>
        </w:rPr>
        <w:t>Ekeocha</w:t>
      </w:r>
      <w:proofErr w:type="spellEnd"/>
      <w:r w:rsidRPr="001D40F5">
        <w:rPr>
          <w:rFonts w:cstheme="minorHAnsi"/>
          <w:sz w:val="20"/>
          <w:szCs w:val="20"/>
        </w:rPr>
        <w:t xml:space="preserve"> S, </w:t>
      </w:r>
      <w:proofErr w:type="spellStart"/>
      <w:r w:rsidRPr="001D40F5">
        <w:rPr>
          <w:rFonts w:cstheme="minorHAnsi"/>
          <w:sz w:val="20"/>
          <w:szCs w:val="20"/>
        </w:rPr>
        <w:t>Sakr</w:t>
      </w:r>
      <w:proofErr w:type="spellEnd"/>
      <w:r w:rsidRPr="001D40F5">
        <w:rPr>
          <w:rFonts w:cstheme="minorHAnsi"/>
          <w:sz w:val="20"/>
          <w:szCs w:val="20"/>
        </w:rPr>
        <w:t xml:space="preserve"> M. Epidemiology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paediatric minor head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injury: comparison of injury characteristics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with indices of multiple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deprivation. Injury 2013; 44: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1855–61.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 xml:space="preserve">10. </w:t>
      </w:r>
      <w:proofErr w:type="spellStart"/>
      <w:r w:rsidRPr="001D40F5">
        <w:rPr>
          <w:rFonts w:cstheme="minorHAnsi"/>
          <w:sz w:val="20"/>
          <w:szCs w:val="20"/>
        </w:rPr>
        <w:t>Bayreuther</w:t>
      </w:r>
      <w:proofErr w:type="spellEnd"/>
      <w:r w:rsidRPr="001D40F5">
        <w:rPr>
          <w:rFonts w:cstheme="minorHAnsi"/>
          <w:sz w:val="20"/>
          <w:szCs w:val="20"/>
        </w:rPr>
        <w:t xml:space="preserve"> J, Wagener S,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Woodford M et al. Paediatric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trauma: injury pattern and mortality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 the UK. Arch. Dis. Child.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2009; 94: 37–41.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11. Falk A. Current incidence and management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children with traumatic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head injuries: the Stockholm experience.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Dev. </w:t>
      </w:r>
      <w:proofErr w:type="spellStart"/>
      <w:r w:rsidRPr="001D40F5">
        <w:rPr>
          <w:rFonts w:cstheme="minorHAnsi"/>
          <w:sz w:val="20"/>
          <w:szCs w:val="20"/>
        </w:rPr>
        <w:t>Neurorehabil</w:t>
      </w:r>
      <w:proofErr w:type="spellEnd"/>
      <w:r w:rsidRPr="001D40F5">
        <w:rPr>
          <w:rFonts w:cstheme="minorHAnsi"/>
          <w:sz w:val="20"/>
          <w:szCs w:val="20"/>
        </w:rPr>
        <w:t>. 2007; 10: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49–55.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12. Durkin M, Olsen S, Barlow B,</w:t>
      </w:r>
      <w:r w:rsidR="00597A5F">
        <w:rPr>
          <w:rFonts w:cstheme="minorHAnsi"/>
          <w:sz w:val="20"/>
          <w:szCs w:val="20"/>
        </w:rPr>
        <w:t xml:space="preserve"> </w:t>
      </w:r>
      <w:proofErr w:type="spellStart"/>
      <w:r w:rsidRPr="001D40F5">
        <w:rPr>
          <w:rFonts w:cstheme="minorHAnsi"/>
          <w:sz w:val="20"/>
          <w:szCs w:val="20"/>
        </w:rPr>
        <w:t>Virella</w:t>
      </w:r>
      <w:proofErr w:type="spellEnd"/>
      <w:r w:rsidRPr="001D40F5">
        <w:rPr>
          <w:rFonts w:cstheme="minorHAnsi"/>
          <w:sz w:val="20"/>
          <w:szCs w:val="20"/>
        </w:rPr>
        <w:t xml:space="preserve"> A, Connolly E. The epidemiology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of urban </w:t>
      </w:r>
      <w:proofErr w:type="spellStart"/>
      <w:r w:rsidRPr="001D40F5">
        <w:rPr>
          <w:rFonts w:cstheme="minorHAnsi"/>
          <w:sz w:val="20"/>
          <w:szCs w:val="20"/>
        </w:rPr>
        <w:t>pediatric</w:t>
      </w:r>
      <w:proofErr w:type="spellEnd"/>
      <w:r w:rsidRPr="001D40F5">
        <w:rPr>
          <w:rFonts w:cstheme="minorHAnsi"/>
          <w:sz w:val="20"/>
          <w:szCs w:val="20"/>
        </w:rPr>
        <w:t xml:space="preserve"> neurological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trauma: evaluation of, and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implications for, injury prevention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programs. Neurosurgery 1998; 42: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300–10.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13. Bowman S, Bird T, Aitken M,</w:t>
      </w:r>
      <w:r w:rsidR="00597A5F">
        <w:rPr>
          <w:rFonts w:cstheme="minorHAnsi"/>
          <w:sz w:val="20"/>
          <w:szCs w:val="20"/>
        </w:rPr>
        <w:t xml:space="preserve"> </w:t>
      </w:r>
      <w:proofErr w:type="spellStart"/>
      <w:r w:rsidRPr="001D40F5">
        <w:rPr>
          <w:rFonts w:cstheme="minorHAnsi"/>
          <w:sz w:val="20"/>
          <w:szCs w:val="20"/>
        </w:rPr>
        <w:t>Tilford</w:t>
      </w:r>
      <w:proofErr w:type="spellEnd"/>
      <w:r w:rsidRPr="001D40F5">
        <w:rPr>
          <w:rFonts w:cstheme="minorHAnsi"/>
          <w:sz w:val="20"/>
          <w:szCs w:val="20"/>
        </w:rPr>
        <w:t xml:space="preserve"> J. Trends in hospitalizations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associated with </w:t>
      </w:r>
      <w:proofErr w:type="spellStart"/>
      <w:r w:rsidRPr="001D40F5">
        <w:rPr>
          <w:rFonts w:cstheme="minorHAnsi"/>
          <w:sz w:val="20"/>
          <w:szCs w:val="20"/>
        </w:rPr>
        <w:t>pediatric</w:t>
      </w:r>
      <w:proofErr w:type="spellEnd"/>
      <w:r w:rsidRPr="001D40F5">
        <w:rPr>
          <w:rFonts w:cstheme="minorHAnsi"/>
          <w:sz w:val="20"/>
          <w:szCs w:val="20"/>
        </w:rPr>
        <w:t xml:space="preserve"> traumatic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brain </w:t>
      </w:r>
      <w:r w:rsidR="00597A5F">
        <w:rPr>
          <w:rFonts w:cstheme="minorHAnsi"/>
          <w:sz w:val="20"/>
          <w:szCs w:val="20"/>
        </w:rPr>
        <w:t xml:space="preserve">injuries. </w:t>
      </w:r>
      <w:proofErr w:type="spellStart"/>
      <w:r w:rsidR="00597A5F">
        <w:rPr>
          <w:rFonts w:cstheme="minorHAnsi"/>
          <w:sz w:val="20"/>
          <w:szCs w:val="20"/>
        </w:rPr>
        <w:t>Pediatrics</w:t>
      </w:r>
      <w:proofErr w:type="spellEnd"/>
      <w:r w:rsidR="00597A5F">
        <w:rPr>
          <w:rFonts w:cstheme="minorHAnsi"/>
          <w:sz w:val="20"/>
          <w:szCs w:val="20"/>
        </w:rPr>
        <w:t xml:space="preserve"> 2008; 122: </w:t>
      </w:r>
      <w:r w:rsidRPr="001D40F5">
        <w:rPr>
          <w:rFonts w:cstheme="minorHAnsi"/>
          <w:sz w:val="20"/>
          <w:szCs w:val="20"/>
        </w:rPr>
        <w:t>988–93.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lastRenderedPageBreak/>
        <w:t xml:space="preserve">14. </w:t>
      </w:r>
      <w:proofErr w:type="spellStart"/>
      <w:r w:rsidRPr="001D40F5">
        <w:rPr>
          <w:rFonts w:cstheme="minorHAnsi"/>
          <w:sz w:val="20"/>
          <w:szCs w:val="20"/>
        </w:rPr>
        <w:t>Babl</w:t>
      </w:r>
      <w:proofErr w:type="spellEnd"/>
      <w:r w:rsidRPr="001D40F5">
        <w:rPr>
          <w:rFonts w:cstheme="minorHAnsi"/>
          <w:sz w:val="20"/>
          <w:szCs w:val="20"/>
        </w:rPr>
        <w:t xml:space="preserve"> F, Borland M, Ngo P et al.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Paediatric research in emergency</w:t>
      </w:r>
      <w:r w:rsidR="00597A5F">
        <w:rPr>
          <w:rFonts w:cstheme="minorHAnsi"/>
          <w:sz w:val="20"/>
          <w:szCs w:val="20"/>
        </w:rPr>
        <w:t xml:space="preserve"> </w:t>
      </w:r>
      <w:proofErr w:type="gramStart"/>
      <w:r w:rsidRPr="001D40F5">
        <w:rPr>
          <w:rFonts w:cstheme="minorHAnsi"/>
          <w:sz w:val="20"/>
          <w:szCs w:val="20"/>
        </w:rPr>
        <w:t>departments</w:t>
      </w:r>
      <w:proofErr w:type="gramEnd"/>
      <w:r w:rsidRPr="001D40F5">
        <w:rPr>
          <w:rFonts w:cstheme="minorHAnsi"/>
          <w:sz w:val="20"/>
          <w:szCs w:val="20"/>
        </w:rPr>
        <w:t xml:space="preserve"> international collaborative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(PREDICT): first steps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towards the development of an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Australian and New Zealand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research network. </w:t>
      </w:r>
      <w:proofErr w:type="spellStart"/>
      <w:r w:rsidRPr="001D40F5">
        <w:rPr>
          <w:rFonts w:cstheme="minorHAnsi"/>
          <w:sz w:val="20"/>
          <w:szCs w:val="20"/>
        </w:rPr>
        <w:t>Emerg</w:t>
      </w:r>
      <w:proofErr w:type="spellEnd"/>
      <w:r w:rsidRPr="001D40F5">
        <w:rPr>
          <w:rFonts w:cstheme="minorHAnsi"/>
          <w:sz w:val="20"/>
          <w:szCs w:val="20"/>
        </w:rPr>
        <w:t>. Med.</w:t>
      </w:r>
      <w:r w:rsidR="00597A5F">
        <w:rPr>
          <w:rFonts w:cstheme="minorHAnsi"/>
          <w:sz w:val="20"/>
          <w:szCs w:val="20"/>
        </w:rPr>
        <w:t xml:space="preserve"> </w:t>
      </w:r>
      <w:proofErr w:type="spellStart"/>
      <w:r w:rsidRPr="001D40F5">
        <w:rPr>
          <w:rFonts w:cstheme="minorHAnsi"/>
          <w:sz w:val="20"/>
          <w:szCs w:val="20"/>
        </w:rPr>
        <w:t>Australas</w:t>
      </w:r>
      <w:proofErr w:type="spellEnd"/>
      <w:r w:rsidRPr="001D40F5">
        <w:rPr>
          <w:rFonts w:cstheme="minorHAnsi"/>
          <w:sz w:val="20"/>
          <w:szCs w:val="20"/>
        </w:rPr>
        <w:t>. 2006; 18: 143–7.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 xml:space="preserve">15. </w:t>
      </w:r>
      <w:proofErr w:type="spellStart"/>
      <w:r w:rsidRPr="001D40F5">
        <w:rPr>
          <w:rFonts w:cstheme="minorHAnsi"/>
          <w:sz w:val="20"/>
          <w:szCs w:val="20"/>
        </w:rPr>
        <w:t>Babl</w:t>
      </w:r>
      <w:proofErr w:type="spellEnd"/>
      <w:r w:rsidRPr="001D40F5">
        <w:rPr>
          <w:rFonts w:cstheme="minorHAnsi"/>
          <w:sz w:val="20"/>
          <w:szCs w:val="20"/>
        </w:rPr>
        <w:t xml:space="preserve"> FE, Borland ML, Phillips N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et al. Accuracy of PECARN,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CATCH, and CHALICE head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injury decision rules in children: a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prospective cohort study. Lancet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2017; 389: 2393–402.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 xml:space="preserve">16. </w:t>
      </w:r>
      <w:proofErr w:type="spellStart"/>
      <w:r w:rsidRPr="001D40F5">
        <w:rPr>
          <w:rFonts w:cstheme="minorHAnsi"/>
          <w:sz w:val="20"/>
          <w:szCs w:val="20"/>
        </w:rPr>
        <w:t>Babl</w:t>
      </w:r>
      <w:proofErr w:type="spellEnd"/>
      <w:r w:rsidRPr="001D40F5">
        <w:rPr>
          <w:rFonts w:cstheme="minorHAnsi"/>
          <w:sz w:val="20"/>
          <w:szCs w:val="20"/>
        </w:rPr>
        <w:t xml:space="preserve"> FE, Lyttle MD, </w:t>
      </w:r>
      <w:proofErr w:type="spellStart"/>
      <w:r w:rsidRPr="001D40F5">
        <w:rPr>
          <w:rFonts w:cstheme="minorHAnsi"/>
          <w:sz w:val="20"/>
          <w:szCs w:val="20"/>
        </w:rPr>
        <w:t>Bressan</w:t>
      </w:r>
      <w:proofErr w:type="spellEnd"/>
      <w:r w:rsidRPr="001D40F5">
        <w:rPr>
          <w:rFonts w:cstheme="minorHAnsi"/>
          <w:sz w:val="20"/>
          <w:szCs w:val="20"/>
        </w:rPr>
        <w:t xml:space="preserve"> S et al.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 prospective observational study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to assess the diagnostic accuracy of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clinical decision rules for chi</w:t>
      </w:r>
      <w:r w:rsidR="00597A5F">
        <w:rPr>
          <w:rFonts w:cstheme="minorHAnsi"/>
          <w:sz w:val="20"/>
          <w:szCs w:val="20"/>
        </w:rPr>
        <w:t xml:space="preserve">ldren </w:t>
      </w:r>
      <w:r w:rsidRPr="001D40F5">
        <w:rPr>
          <w:rFonts w:cstheme="minorHAnsi"/>
          <w:sz w:val="20"/>
          <w:szCs w:val="20"/>
        </w:rPr>
        <w:t>presenting to emergency departments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after head injuries (protocol):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the Australasian paediatric head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injury rules study (APHIRST). BMC</w:t>
      </w:r>
      <w:r w:rsidR="00597A5F">
        <w:rPr>
          <w:rFonts w:cstheme="minorHAnsi"/>
          <w:sz w:val="20"/>
          <w:szCs w:val="20"/>
        </w:rPr>
        <w:t xml:space="preserve"> </w:t>
      </w:r>
      <w:proofErr w:type="spellStart"/>
      <w:r w:rsidRPr="001D40F5">
        <w:rPr>
          <w:rFonts w:cstheme="minorHAnsi"/>
          <w:sz w:val="20"/>
          <w:szCs w:val="20"/>
        </w:rPr>
        <w:t>Pediatr</w:t>
      </w:r>
      <w:proofErr w:type="spellEnd"/>
      <w:r w:rsidRPr="001D40F5">
        <w:rPr>
          <w:rFonts w:cstheme="minorHAnsi"/>
          <w:sz w:val="20"/>
          <w:szCs w:val="20"/>
        </w:rPr>
        <w:t>. 2014; 14: 148.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17. The Department of Health and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Human Services. Victorian Emergency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Minimum Dataset (VEMD)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User Manual. In: The Department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Health and Human Services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Victoria, Australia, 2016.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 xml:space="preserve">18. Teasdale G, </w:t>
      </w:r>
      <w:proofErr w:type="spellStart"/>
      <w:r w:rsidRPr="001D40F5">
        <w:rPr>
          <w:rFonts w:cstheme="minorHAnsi"/>
          <w:sz w:val="20"/>
          <w:szCs w:val="20"/>
        </w:rPr>
        <w:t>Jennett</w:t>
      </w:r>
      <w:proofErr w:type="spellEnd"/>
      <w:r w:rsidRPr="001D40F5">
        <w:rPr>
          <w:rFonts w:cstheme="minorHAnsi"/>
          <w:sz w:val="20"/>
          <w:szCs w:val="20"/>
        </w:rPr>
        <w:t xml:space="preserve"> B. Assessment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of coma and impaired consciousness.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 practical scale. Lancet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1974; 2: 81–4.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 xml:space="preserve">19. </w:t>
      </w:r>
      <w:proofErr w:type="spellStart"/>
      <w:r w:rsidRPr="001D40F5">
        <w:rPr>
          <w:rFonts w:cstheme="minorHAnsi"/>
          <w:sz w:val="20"/>
          <w:szCs w:val="20"/>
        </w:rPr>
        <w:t>Kuppermann</w:t>
      </w:r>
      <w:proofErr w:type="spellEnd"/>
      <w:r w:rsidRPr="001D40F5">
        <w:rPr>
          <w:rFonts w:cstheme="minorHAnsi"/>
          <w:sz w:val="20"/>
          <w:szCs w:val="20"/>
        </w:rPr>
        <w:t xml:space="preserve"> N, Holmes JF,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Dayan PS et al. Identification of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children at very low risk of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clinically-important brain injuries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after head trauma: a prospective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cohort study. Lancet 2009; 374: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1160–70.</w:t>
      </w:r>
    </w:p>
    <w:p w:rsidR="00597A5F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20. Pfeiffer H, Smith A, Kemp AM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et al. External validation of the</w:t>
      </w:r>
      <w:r w:rsidR="00597A5F">
        <w:rPr>
          <w:rFonts w:cstheme="minorHAnsi"/>
          <w:sz w:val="20"/>
          <w:szCs w:val="20"/>
        </w:rPr>
        <w:t xml:space="preserve"> </w:t>
      </w:r>
      <w:proofErr w:type="spellStart"/>
      <w:r w:rsidRPr="001D40F5">
        <w:rPr>
          <w:rFonts w:cstheme="minorHAnsi"/>
          <w:sz w:val="20"/>
          <w:szCs w:val="20"/>
        </w:rPr>
        <w:t>PediBIRN</w:t>
      </w:r>
      <w:proofErr w:type="spellEnd"/>
      <w:r w:rsidRPr="001D40F5">
        <w:rPr>
          <w:rFonts w:cstheme="minorHAnsi"/>
          <w:sz w:val="20"/>
          <w:szCs w:val="20"/>
        </w:rPr>
        <w:t xml:space="preserve"> clinical prediction rule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 xml:space="preserve">for abusive head trauma. </w:t>
      </w:r>
      <w:proofErr w:type="spellStart"/>
      <w:r w:rsidRPr="001D40F5">
        <w:rPr>
          <w:rFonts w:cstheme="minorHAnsi"/>
          <w:sz w:val="20"/>
          <w:szCs w:val="20"/>
        </w:rPr>
        <w:t>Pediatrics</w:t>
      </w:r>
      <w:proofErr w:type="spellEnd"/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2018; 141: e20173674.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21. Sills MR, Libby AM, Orton HD.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Prehospital and in-hospital mortality: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 comparison of intentional and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unintentional traumatic brain injuries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in Colorado children. Arch.</w:t>
      </w:r>
      <w:r w:rsidR="00597A5F">
        <w:rPr>
          <w:rFonts w:cstheme="minorHAnsi"/>
          <w:sz w:val="20"/>
          <w:szCs w:val="20"/>
        </w:rPr>
        <w:t xml:space="preserve"> </w:t>
      </w:r>
      <w:proofErr w:type="spellStart"/>
      <w:r w:rsidRPr="001D40F5">
        <w:rPr>
          <w:rFonts w:cstheme="minorHAnsi"/>
          <w:sz w:val="20"/>
          <w:szCs w:val="20"/>
        </w:rPr>
        <w:t>Pediatr</w:t>
      </w:r>
      <w:proofErr w:type="spellEnd"/>
      <w:r w:rsidRPr="001D40F5">
        <w:rPr>
          <w:rFonts w:cstheme="minorHAnsi"/>
          <w:sz w:val="20"/>
          <w:szCs w:val="20"/>
        </w:rPr>
        <w:t xml:space="preserve">. </w:t>
      </w:r>
      <w:proofErr w:type="spellStart"/>
      <w:r w:rsidRPr="001D40F5">
        <w:rPr>
          <w:rFonts w:cstheme="minorHAnsi"/>
          <w:sz w:val="20"/>
          <w:szCs w:val="20"/>
        </w:rPr>
        <w:t>Adolesc</w:t>
      </w:r>
      <w:proofErr w:type="spellEnd"/>
      <w:r w:rsidRPr="001D40F5">
        <w:rPr>
          <w:rFonts w:cstheme="minorHAnsi"/>
          <w:sz w:val="20"/>
          <w:szCs w:val="20"/>
        </w:rPr>
        <w:t>. Med. 2005; 159: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665–70.</w:t>
      </w:r>
    </w:p>
    <w:p w:rsidR="00597A5F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 xml:space="preserve">22. </w:t>
      </w:r>
      <w:proofErr w:type="spellStart"/>
      <w:r w:rsidRPr="001D40F5">
        <w:rPr>
          <w:rFonts w:cstheme="minorHAnsi"/>
          <w:sz w:val="20"/>
          <w:szCs w:val="20"/>
        </w:rPr>
        <w:t>Fekkes</w:t>
      </w:r>
      <w:proofErr w:type="spellEnd"/>
      <w:r w:rsidRPr="001D40F5">
        <w:rPr>
          <w:rFonts w:cstheme="minorHAnsi"/>
          <w:sz w:val="20"/>
          <w:szCs w:val="20"/>
        </w:rPr>
        <w:t xml:space="preserve"> M, </w:t>
      </w:r>
      <w:proofErr w:type="spellStart"/>
      <w:r w:rsidRPr="001D40F5">
        <w:rPr>
          <w:rFonts w:cstheme="minorHAnsi"/>
          <w:sz w:val="20"/>
          <w:szCs w:val="20"/>
        </w:rPr>
        <w:t>Pijpers</w:t>
      </w:r>
      <w:proofErr w:type="spellEnd"/>
      <w:r w:rsidRPr="001D40F5">
        <w:rPr>
          <w:rFonts w:cstheme="minorHAnsi"/>
          <w:sz w:val="20"/>
          <w:szCs w:val="20"/>
        </w:rPr>
        <w:t xml:space="preserve"> FI, </w:t>
      </w:r>
      <w:proofErr w:type="spellStart"/>
      <w:r w:rsidRPr="001D40F5">
        <w:rPr>
          <w:rFonts w:cstheme="minorHAnsi"/>
          <w:sz w:val="20"/>
          <w:szCs w:val="20"/>
        </w:rPr>
        <w:t>Fredriks</w:t>
      </w:r>
      <w:proofErr w:type="spellEnd"/>
      <w:r w:rsidRPr="001D40F5">
        <w:rPr>
          <w:rFonts w:cstheme="minorHAnsi"/>
          <w:sz w:val="20"/>
          <w:szCs w:val="20"/>
        </w:rPr>
        <w:t xml:space="preserve"> AM,</w:t>
      </w:r>
      <w:r w:rsidR="00597A5F">
        <w:rPr>
          <w:rFonts w:cstheme="minorHAnsi"/>
          <w:sz w:val="20"/>
          <w:szCs w:val="20"/>
        </w:rPr>
        <w:t xml:space="preserve"> </w:t>
      </w:r>
      <w:proofErr w:type="spellStart"/>
      <w:r w:rsidRPr="001D40F5">
        <w:rPr>
          <w:rFonts w:cstheme="minorHAnsi"/>
          <w:sz w:val="20"/>
          <w:szCs w:val="20"/>
        </w:rPr>
        <w:t>Vogels</w:t>
      </w:r>
      <w:proofErr w:type="spellEnd"/>
      <w:r w:rsidRPr="001D40F5">
        <w:rPr>
          <w:rFonts w:cstheme="minorHAnsi"/>
          <w:sz w:val="20"/>
          <w:szCs w:val="20"/>
        </w:rPr>
        <w:t xml:space="preserve"> T, </w:t>
      </w:r>
      <w:proofErr w:type="spellStart"/>
      <w:r w:rsidRPr="001D40F5">
        <w:rPr>
          <w:rFonts w:cstheme="minorHAnsi"/>
          <w:sz w:val="20"/>
          <w:szCs w:val="20"/>
        </w:rPr>
        <w:t>Verloove-Vanhorick</w:t>
      </w:r>
      <w:proofErr w:type="spellEnd"/>
      <w:r w:rsidRPr="001D40F5">
        <w:rPr>
          <w:rFonts w:cstheme="minorHAnsi"/>
          <w:sz w:val="20"/>
          <w:szCs w:val="20"/>
        </w:rPr>
        <w:t xml:space="preserve"> SP. Do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bullied children get ill, or do ill children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get bullied? A prospective cohort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study on the relationship between bullying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and health-related symptoms.</w:t>
      </w:r>
      <w:r w:rsidR="00597A5F">
        <w:rPr>
          <w:rFonts w:cstheme="minorHAnsi"/>
          <w:sz w:val="20"/>
          <w:szCs w:val="20"/>
        </w:rPr>
        <w:t xml:space="preserve"> </w:t>
      </w:r>
      <w:proofErr w:type="spellStart"/>
      <w:r w:rsidRPr="001D40F5">
        <w:rPr>
          <w:rFonts w:cstheme="minorHAnsi"/>
          <w:sz w:val="20"/>
          <w:szCs w:val="20"/>
        </w:rPr>
        <w:t>Pediatrics</w:t>
      </w:r>
      <w:proofErr w:type="spellEnd"/>
      <w:r w:rsidRPr="001D40F5">
        <w:rPr>
          <w:rFonts w:cstheme="minorHAnsi"/>
          <w:sz w:val="20"/>
          <w:szCs w:val="20"/>
        </w:rPr>
        <w:t xml:space="preserve"> 2006; 117: 1568–74.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 xml:space="preserve">23. Hettler J, </w:t>
      </w:r>
      <w:proofErr w:type="spellStart"/>
      <w:r w:rsidRPr="001D40F5">
        <w:rPr>
          <w:rFonts w:cstheme="minorHAnsi"/>
          <w:sz w:val="20"/>
          <w:szCs w:val="20"/>
        </w:rPr>
        <w:t>Greenes</w:t>
      </w:r>
      <w:proofErr w:type="spellEnd"/>
      <w:r w:rsidRPr="001D40F5">
        <w:rPr>
          <w:rFonts w:cstheme="minorHAnsi"/>
          <w:sz w:val="20"/>
          <w:szCs w:val="20"/>
        </w:rPr>
        <w:t xml:space="preserve"> DS. Can the initial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history predict whether a child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with a head injury has been abused?</w:t>
      </w:r>
    </w:p>
    <w:p w:rsidR="001D40F5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proofErr w:type="spellStart"/>
      <w:r w:rsidRPr="001D40F5">
        <w:rPr>
          <w:rFonts w:cstheme="minorHAnsi"/>
          <w:sz w:val="20"/>
          <w:szCs w:val="20"/>
        </w:rPr>
        <w:t>Pediatrics</w:t>
      </w:r>
      <w:proofErr w:type="spellEnd"/>
      <w:r w:rsidRPr="001D40F5">
        <w:rPr>
          <w:rFonts w:cstheme="minorHAnsi"/>
          <w:sz w:val="20"/>
          <w:szCs w:val="20"/>
        </w:rPr>
        <w:t xml:space="preserve"> 2003; 111: 602–7.</w:t>
      </w:r>
    </w:p>
    <w:p w:rsidR="004C69EF" w:rsidRPr="001D40F5" w:rsidRDefault="001D40F5" w:rsidP="00597A5F">
      <w:pPr>
        <w:autoSpaceDE w:val="0"/>
        <w:autoSpaceDN w:val="0"/>
        <w:adjustRightInd w:val="0"/>
        <w:spacing w:after="240" w:line="360" w:lineRule="auto"/>
        <w:rPr>
          <w:rFonts w:cstheme="minorHAnsi"/>
          <w:sz w:val="20"/>
          <w:szCs w:val="20"/>
        </w:rPr>
      </w:pPr>
      <w:r w:rsidRPr="001D40F5">
        <w:rPr>
          <w:rFonts w:cstheme="minorHAnsi"/>
          <w:sz w:val="20"/>
          <w:szCs w:val="20"/>
        </w:rPr>
        <w:t>24. Pfeiffer H, Crowe L, Kemp AM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et al. Clinical prediction rules for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abusive head trauma: a systematic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review. Arch. Dis. Child. 2018;</w:t>
      </w:r>
      <w:r w:rsidR="00597A5F">
        <w:rPr>
          <w:rFonts w:cstheme="minorHAnsi"/>
          <w:sz w:val="20"/>
          <w:szCs w:val="20"/>
        </w:rPr>
        <w:t xml:space="preserve"> </w:t>
      </w:r>
      <w:r w:rsidRPr="001D40F5">
        <w:rPr>
          <w:rFonts w:cstheme="minorHAnsi"/>
          <w:sz w:val="20"/>
          <w:szCs w:val="20"/>
        </w:rPr>
        <w:t>103: 776–83.</w:t>
      </w:r>
    </w:p>
    <w:sectPr w:rsidR="004C69EF" w:rsidRPr="001D4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bc475f09+2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F5"/>
    <w:rsid w:val="001D40F5"/>
    <w:rsid w:val="004575B6"/>
    <w:rsid w:val="004C69EF"/>
    <w:rsid w:val="00597A5F"/>
    <w:rsid w:val="006B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4428"/>
  <w15:chartTrackingRefBased/>
  <w15:docId w15:val="{35CA01FB-31C1-4E3F-B08F-677A820D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3900</Words>
  <Characters>22232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Lyttle</dc:creator>
  <cp:keywords/>
  <dc:description/>
  <cp:lastModifiedBy>Mark Lyttle</cp:lastModifiedBy>
  <cp:revision>1</cp:revision>
  <dcterms:created xsi:type="dcterms:W3CDTF">2018-12-03T14:38:00Z</dcterms:created>
  <dcterms:modified xsi:type="dcterms:W3CDTF">2018-12-03T15:17:00Z</dcterms:modified>
</cp:coreProperties>
</file>