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4742D5" w14:textId="77777777" w:rsidR="000C0C84" w:rsidRPr="00183044" w:rsidRDefault="000C0C84" w:rsidP="000C0C84">
      <w:pPr>
        <w:spacing w:after="0" w:line="360" w:lineRule="auto"/>
        <w:jc w:val="center"/>
        <w:rPr>
          <w:b/>
        </w:rPr>
      </w:pPr>
      <w:r w:rsidRPr="009C09E4">
        <w:rPr>
          <w:b/>
          <w:spacing w:val="-6"/>
        </w:rPr>
        <w:t xml:space="preserve">Title: </w:t>
      </w:r>
      <w:r w:rsidRPr="00183044">
        <w:rPr>
          <w:b/>
        </w:rPr>
        <w:t xml:space="preserve">Dynamic Relationship between Embodied and Operational Impacts of Buildings: </w:t>
      </w:r>
      <w:r>
        <w:rPr>
          <w:b/>
        </w:rPr>
        <w:t xml:space="preserve">An Evaluation of </w:t>
      </w:r>
      <w:r w:rsidRPr="00183044">
        <w:rPr>
          <w:b/>
        </w:rPr>
        <w:t>Sustainable Design Appraisal</w:t>
      </w:r>
      <w:r>
        <w:rPr>
          <w:b/>
        </w:rPr>
        <w:t xml:space="preserve"> Tools</w:t>
      </w:r>
    </w:p>
    <w:p w14:paraId="0ADBB7F4" w14:textId="77777777" w:rsidR="000C0C84" w:rsidRPr="009C09E4" w:rsidRDefault="000C0C84" w:rsidP="000C0C84">
      <w:pPr>
        <w:spacing w:after="0" w:line="360" w:lineRule="auto"/>
        <w:ind w:left="1134" w:right="674"/>
        <w:jc w:val="center"/>
        <w:rPr>
          <w:b/>
          <w:spacing w:val="-6"/>
        </w:rPr>
      </w:pPr>
    </w:p>
    <w:p w14:paraId="2A2CC590" w14:textId="77777777" w:rsidR="000C0C84" w:rsidRPr="009C09E4" w:rsidRDefault="000C0C84" w:rsidP="000C0C84">
      <w:pPr>
        <w:spacing w:after="0" w:line="360" w:lineRule="auto"/>
        <w:jc w:val="both"/>
        <w:rPr>
          <w:i/>
        </w:rPr>
      </w:pPr>
    </w:p>
    <w:p w14:paraId="12A3E874" w14:textId="77777777" w:rsidR="000C0C84" w:rsidRDefault="000C0C84" w:rsidP="000C0C84">
      <w:pPr>
        <w:spacing w:after="0" w:line="360" w:lineRule="auto"/>
        <w:jc w:val="both"/>
        <w:rPr>
          <w:i/>
        </w:rPr>
      </w:pPr>
      <w:proofErr w:type="spellStart"/>
      <w:r w:rsidRPr="009C09E4">
        <w:rPr>
          <w:i/>
        </w:rPr>
        <w:t>Saheed</w:t>
      </w:r>
      <w:proofErr w:type="spellEnd"/>
      <w:r w:rsidRPr="009C09E4">
        <w:rPr>
          <w:i/>
        </w:rPr>
        <w:t xml:space="preserve"> O. Ajayi</w:t>
      </w:r>
      <w:r w:rsidRPr="009C09E4">
        <w:rPr>
          <w:b/>
          <w:i/>
          <w:vertAlign w:val="superscript"/>
        </w:rPr>
        <w:t>1</w:t>
      </w:r>
      <w:r>
        <w:rPr>
          <w:b/>
          <w:i/>
          <w:vertAlign w:val="superscript"/>
        </w:rPr>
        <w:t>*</w:t>
      </w:r>
      <w:r w:rsidRPr="009C09E4">
        <w:rPr>
          <w:i/>
        </w:rPr>
        <w:t>, Lukumon O. Oyedele</w:t>
      </w:r>
      <w:r w:rsidRPr="00897AEA">
        <w:rPr>
          <w:b/>
          <w:i/>
          <w:vertAlign w:val="superscript"/>
        </w:rPr>
        <w:t>2</w:t>
      </w:r>
      <w:r w:rsidRPr="009C09E4">
        <w:rPr>
          <w:i/>
        </w:rPr>
        <w:t xml:space="preserve">, </w:t>
      </w:r>
      <w:proofErr w:type="spellStart"/>
      <w:r>
        <w:rPr>
          <w:i/>
        </w:rPr>
        <w:t>Jamiu</w:t>
      </w:r>
      <w:proofErr w:type="spellEnd"/>
      <w:r>
        <w:rPr>
          <w:i/>
        </w:rPr>
        <w:t xml:space="preserve"> A. Dauda</w:t>
      </w:r>
      <w:r w:rsidRPr="009E4B55">
        <w:rPr>
          <w:i/>
          <w:vertAlign w:val="superscript"/>
        </w:rPr>
        <w:t>3</w:t>
      </w:r>
    </w:p>
    <w:p w14:paraId="35195407" w14:textId="77777777" w:rsidR="000C0C84" w:rsidRPr="009C09E4" w:rsidRDefault="000C0C84" w:rsidP="000C0C84">
      <w:pPr>
        <w:spacing w:after="0" w:line="360" w:lineRule="auto"/>
        <w:jc w:val="both"/>
        <w:rPr>
          <w:b/>
          <w:spacing w:val="6"/>
        </w:rPr>
      </w:pPr>
    </w:p>
    <w:p w14:paraId="27B958A0" w14:textId="77777777" w:rsidR="000C0C84" w:rsidRPr="009C09E4" w:rsidRDefault="000C0C84" w:rsidP="000C0C84">
      <w:pPr>
        <w:spacing w:after="0" w:line="360" w:lineRule="auto"/>
        <w:jc w:val="both"/>
        <w:rPr>
          <w:i/>
        </w:rPr>
      </w:pPr>
      <w:r w:rsidRPr="009C09E4">
        <w:rPr>
          <w:b/>
          <w:i/>
          <w:vertAlign w:val="superscript"/>
        </w:rPr>
        <w:t>1</w:t>
      </w:r>
      <w:r>
        <w:rPr>
          <w:i/>
        </w:rPr>
        <w:t>School of Built Environment and Engineering, Leeds Beckett University, Leeds</w:t>
      </w:r>
      <w:r w:rsidRPr="009C09E4">
        <w:rPr>
          <w:i/>
        </w:rPr>
        <w:t>, UK.</w:t>
      </w:r>
    </w:p>
    <w:p w14:paraId="0C89C1ED" w14:textId="77777777" w:rsidR="000C0C84" w:rsidRDefault="000C0C84" w:rsidP="000C0C84">
      <w:pPr>
        <w:spacing w:after="0" w:line="360" w:lineRule="auto"/>
        <w:jc w:val="both"/>
        <w:rPr>
          <w:i/>
        </w:rPr>
      </w:pPr>
    </w:p>
    <w:p w14:paraId="1BE165BC" w14:textId="77777777" w:rsidR="000C0C84" w:rsidRDefault="000C0C84" w:rsidP="000C0C84">
      <w:pPr>
        <w:spacing w:after="0" w:line="360" w:lineRule="auto"/>
        <w:jc w:val="both"/>
        <w:rPr>
          <w:i/>
        </w:rPr>
      </w:pPr>
      <w:r>
        <w:rPr>
          <w:b/>
          <w:i/>
          <w:vertAlign w:val="superscript"/>
        </w:rPr>
        <w:t>2</w:t>
      </w:r>
      <w:r w:rsidRPr="009C09E4">
        <w:rPr>
          <w:i/>
        </w:rPr>
        <w:t xml:space="preserve">Bristol Enterprise, Research and Innovation Centre (BERIC), </w:t>
      </w:r>
      <w:r w:rsidRPr="009E4B55">
        <w:rPr>
          <w:i/>
          <w:noProof/>
        </w:rPr>
        <w:t>University</w:t>
      </w:r>
      <w:r w:rsidRPr="009C09E4">
        <w:rPr>
          <w:i/>
        </w:rPr>
        <w:t xml:space="preserve"> of the West of England, Bristol, UK.</w:t>
      </w:r>
    </w:p>
    <w:p w14:paraId="31089F76" w14:textId="77777777" w:rsidR="000C0C84" w:rsidRDefault="000C0C84" w:rsidP="000C0C84">
      <w:pPr>
        <w:spacing w:after="0" w:line="360" w:lineRule="auto"/>
        <w:jc w:val="both"/>
        <w:rPr>
          <w:i/>
        </w:rPr>
      </w:pPr>
    </w:p>
    <w:p w14:paraId="32DA3441" w14:textId="77777777" w:rsidR="000C0C84" w:rsidRPr="009C09E4" w:rsidRDefault="000C0C84" w:rsidP="000C0C84">
      <w:pPr>
        <w:spacing w:after="0" w:line="360" w:lineRule="auto"/>
        <w:jc w:val="both"/>
        <w:rPr>
          <w:i/>
        </w:rPr>
      </w:pPr>
      <w:r w:rsidRPr="009E4B55">
        <w:rPr>
          <w:i/>
          <w:vertAlign w:val="superscript"/>
        </w:rPr>
        <w:t>3</w:t>
      </w:r>
      <w:r>
        <w:rPr>
          <w:i/>
        </w:rPr>
        <w:t xml:space="preserve">School of Civil Engineering, University of Leeds, UK. </w:t>
      </w:r>
    </w:p>
    <w:p w14:paraId="781378E7" w14:textId="77777777" w:rsidR="000C0C84" w:rsidRPr="009C09E4" w:rsidRDefault="000C0C84" w:rsidP="000C0C84">
      <w:pPr>
        <w:spacing w:after="0" w:line="360" w:lineRule="auto"/>
        <w:jc w:val="both"/>
        <w:rPr>
          <w:i/>
        </w:rPr>
      </w:pPr>
    </w:p>
    <w:p w14:paraId="1E122736" w14:textId="77777777" w:rsidR="000C0C84" w:rsidRPr="009C09E4" w:rsidRDefault="000C0C84" w:rsidP="000C0C84">
      <w:pPr>
        <w:pStyle w:val="NoSpacing"/>
        <w:spacing w:line="276" w:lineRule="auto"/>
        <w:jc w:val="both"/>
        <w:rPr>
          <w:rFonts w:ascii="Times New Roman" w:hAnsi="Times New Roman"/>
          <w:i/>
          <w:sz w:val="24"/>
          <w:szCs w:val="24"/>
        </w:rPr>
      </w:pPr>
      <w:r w:rsidRPr="009C09E4">
        <w:rPr>
          <w:rFonts w:ascii="Times New Roman" w:hAnsi="Times New Roman"/>
          <w:b/>
          <w:i/>
          <w:sz w:val="24"/>
          <w:szCs w:val="24"/>
        </w:rPr>
        <w:t>*</w:t>
      </w:r>
      <w:r w:rsidRPr="009C09E4">
        <w:rPr>
          <w:rFonts w:ascii="Times New Roman" w:hAnsi="Times New Roman"/>
          <w:i/>
          <w:sz w:val="24"/>
          <w:szCs w:val="24"/>
        </w:rPr>
        <w:t xml:space="preserve">Corresponding Author: </w:t>
      </w:r>
    </w:p>
    <w:p w14:paraId="39770EAC" w14:textId="77777777" w:rsidR="000C0C84" w:rsidRPr="009E4B55" w:rsidRDefault="000C0C84" w:rsidP="000C0C84">
      <w:pPr>
        <w:spacing w:after="0" w:line="360" w:lineRule="auto"/>
        <w:jc w:val="both"/>
        <w:rPr>
          <w:b/>
          <w:i/>
        </w:rPr>
      </w:pPr>
      <w:r w:rsidRPr="009E4B55">
        <w:rPr>
          <w:b/>
          <w:i/>
        </w:rPr>
        <w:t xml:space="preserve">Dr </w:t>
      </w:r>
      <w:proofErr w:type="spellStart"/>
      <w:r w:rsidRPr="009E4B55">
        <w:rPr>
          <w:b/>
          <w:i/>
        </w:rPr>
        <w:t>Saheed</w:t>
      </w:r>
      <w:proofErr w:type="spellEnd"/>
      <w:r w:rsidRPr="009E4B55">
        <w:rPr>
          <w:b/>
          <w:i/>
        </w:rPr>
        <w:t xml:space="preserve"> O. Ajayi</w:t>
      </w:r>
    </w:p>
    <w:p w14:paraId="277A9DF9" w14:textId="77777777" w:rsidR="000C0C84" w:rsidRDefault="000C0C84" w:rsidP="000C0C84">
      <w:pPr>
        <w:spacing w:after="0" w:line="360" w:lineRule="auto"/>
        <w:jc w:val="both"/>
        <w:rPr>
          <w:i/>
        </w:rPr>
      </w:pPr>
      <w:r>
        <w:rPr>
          <w:i/>
        </w:rPr>
        <w:t>Senior Lecturer in Construction Management</w:t>
      </w:r>
    </w:p>
    <w:p w14:paraId="260B29DB" w14:textId="77777777" w:rsidR="000C0C84" w:rsidRDefault="000C0C84" w:rsidP="000C0C84">
      <w:pPr>
        <w:spacing w:after="0" w:line="360" w:lineRule="auto"/>
        <w:jc w:val="both"/>
        <w:rPr>
          <w:i/>
        </w:rPr>
      </w:pPr>
      <w:r>
        <w:rPr>
          <w:i/>
        </w:rPr>
        <w:t xml:space="preserve">School of Built Environment and Engineering, </w:t>
      </w:r>
      <w:r w:rsidRPr="009E4B55">
        <w:rPr>
          <w:i/>
        </w:rPr>
        <w:t>Leeds Beckett University</w:t>
      </w:r>
      <w:r>
        <w:rPr>
          <w:i/>
        </w:rPr>
        <w:t>, UK</w:t>
      </w:r>
    </w:p>
    <w:p w14:paraId="7D847433" w14:textId="75FDD703" w:rsidR="000C0C84" w:rsidRPr="000C0C84" w:rsidRDefault="000C0C84" w:rsidP="000C0C84">
      <w:pPr>
        <w:spacing w:after="0" w:line="360" w:lineRule="auto"/>
        <w:jc w:val="both"/>
        <w:rPr>
          <w:i/>
        </w:rPr>
      </w:pPr>
      <w:r>
        <w:rPr>
          <w:i/>
        </w:rPr>
        <w:t xml:space="preserve">Email: </w:t>
      </w:r>
      <w:hyperlink r:id="rId8" w:history="1">
        <w:r w:rsidRPr="00B27C2E">
          <w:rPr>
            <w:rStyle w:val="Hyperlink"/>
            <w:i/>
          </w:rPr>
          <w:t>arcileogbo@outlook.com</w:t>
        </w:r>
      </w:hyperlink>
      <w:r>
        <w:rPr>
          <w:i/>
        </w:rPr>
        <w:t xml:space="preserve">; </w:t>
      </w:r>
      <w:hyperlink r:id="rId9" w:history="1">
        <w:r w:rsidRPr="00B27C2E">
          <w:rPr>
            <w:rStyle w:val="Hyperlink"/>
            <w:i/>
          </w:rPr>
          <w:t>S.Ajayi@leedsbeckett.ac.uk</w:t>
        </w:r>
      </w:hyperlink>
      <w:r>
        <w:rPr>
          <w:i/>
        </w:rPr>
        <w:t xml:space="preserve"> </w:t>
      </w:r>
      <w:r>
        <w:rPr>
          <w:b/>
        </w:rPr>
        <w:br w:type="page"/>
      </w:r>
    </w:p>
    <w:p w14:paraId="01E556BF" w14:textId="2C636E1F" w:rsidR="005316ED" w:rsidRPr="00280550" w:rsidRDefault="005316ED" w:rsidP="00EB7D6E">
      <w:pPr>
        <w:spacing w:after="0" w:line="360" w:lineRule="auto"/>
        <w:jc w:val="center"/>
        <w:rPr>
          <w:b/>
        </w:rPr>
      </w:pPr>
      <w:bookmarkStart w:id="0" w:name="_GoBack"/>
      <w:r w:rsidRPr="00280550">
        <w:rPr>
          <w:b/>
        </w:rPr>
        <w:lastRenderedPageBreak/>
        <w:t xml:space="preserve">Dynamic Relationship </w:t>
      </w:r>
      <w:r w:rsidR="00EB7D6E" w:rsidRPr="00280550">
        <w:rPr>
          <w:b/>
        </w:rPr>
        <w:t>between</w:t>
      </w:r>
      <w:r w:rsidRPr="00280550">
        <w:rPr>
          <w:b/>
        </w:rPr>
        <w:t xml:space="preserve"> Embodied and Operational Impacts of Buildings</w:t>
      </w:r>
      <w:bookmarkEnd w:id="0"/>
      <w:r w:rsidRPr="00280550">
        <w:rPr>
          <w:b/>
        </w:rPr>
        <w:t xml:space="preserve">: </w:t>
      </w:r>
      <w:r w:rsidR="00EB7D6E" w:rsidRPr="00280550">
        <w:rPr>
          <w:b/>
        </w:rPr>
        <w:t xml:space="preserve">An Evaluation of </w:t>
      </w:r>
      <w:r w:rsidRPr="00280550">
        <w:rPr>
          <w:b/>
        </w:rPr>
        <w:t>Sustainable Design Appraisal</w:t>
      </w:r>
      <w:r w:rsidR="00EB7D6E" w:rsidRPr="00280550">
        <w:rPr>
          <w:b/>
        </w:rPr>
        <w:t xml:space="preserve"> Tools</w:t>
      </w:r>
    </w:p>
    <w:p w14:paraId="563D9B34" w14:textId="77777777" w:rsidR="005316ED" w:rsidRPr="00280550" w:rsidRDefault="005316ED" w:rsidP="00F63368">
      <w:pPr>
        <w:spacing w:after="0" w:line="360" w:lineRule="auto"/>
        <w:jc w:val="both"/>
      </w:pPr>
    </w:p>
    <w:p w14:paraId="1477EE1E" w14:textId="48AB2F30" w:rsidR="005316ED" w:rsidRPr="00280550" w:rsidRDefault="005316ED" w:rsidP="00403C62">
      <w:pPr>
        <w:spacing w:after="0" w:line="360" w:lineRule="auto"/>
        <w:jc w:val="center"/>
        <w:rPr>
          <w:b/>
        </w:rPr>
      </w:pPr>
      <w:r w:rsidRPr="00280550">
        <w:rPr>
          <w:b/>
        </w:rPr>
        <w:t>Abstract</w:t>
      </w:r>
    </w:p>
    <w:p w14:paraId="57F69F4F" w14:textId="14F0448C" w:rsidR="005316ED" w:rsidRPr="00280550" w:rsidRDefault="00D511E2" w:rsidP="00F63368">
      <w:pPr>
        <w:spacing w:after="0" w:line="360" w:lineRule="auto"/>
        <w:jc w:val="both"/>
      </w:pPr>
      <w:r w:rsidRPr="00280550">
        <w:rPr>
          <w:b/>
        </w:rPr>
        <w:t>Purpose:</w:t>
      </w:r>
      <w:r w:rsidRPr="00280550">
        <w:t xml:space="preserve"> </w:t>
      </w:r>
      <w:r w:rsidR="00403C62" w:rsidRPr="00280550">
        <w:t>Buildings and their</w:t>
      </w:r>
      <w:r w:rsidR="005316ED" w:rsidRPr="00280550">
        <w:t xml:space="preserve"> construction activities consume </w:t>
      </w:r>
      <w:r w:rsidR="0050152D" w:rsidRPr="00280550">
        <w:t xml:space="preserve">a </w:t>
      </w:r>
      <w:r w:rsidR="005316ED" w:rsidRPr="00280550">
        <w:rPr>
          <w:noProof/>
        </w:rPr>
        <w:t>significant</w:t>
      </w:r>
      <w:r w:rsidR="005316ED" w:rsidRPr="00280550">
        <w:t xml:space="preserve"> proportion of mineral resources excavated from nature and contribute </w:t>
      </w:r>
      <w:r w:rsidR="0050152D" w:rsidRPr="00280550">
        <w:t xml:space="preserve">a </w:t>
      </w:r>
      <w:r w:rsidR="005316ED" w:rsidRPr="00280550">
        <w:rPr>
          <w:noProof/>
        </w:rPr>
        <w:t>large</w:t>
      </w:r>
      <w:r w:rsidR="005316ED" w:rsidRPr="00280550">
        <w:t xml:space="preserve"> percentage of CO2 in the atmosphere. As a way of improving </w:t>
      </w:r>
      <w:r w:rsidR="0050152D" w:rsidRPr="00280550">
        <w:t xml:space="preserve">the </w:t>
      </w:r>
      <w:r w:rsidR="005316ED" w:rsidRPr="00280550">
        <w:rPr>
          <w:noProof/>
        </w:rPr>
        <w:t>sustainability</w:t>
      </w:r>
      <w:r w:rsidR="005316ED" w:rsidRPr="00280550">
        <w:t xml:space="preserve"> of building construction and operation, various sustainable design appraisal standards have been developed across nations. Albeit criticism of the appraisal standards, evidence shows that increasing sustainability of the built environment has been engendered by such appraisal tools as BREEAM, Code for sustainable homes, LEED and CASBEE, among others. This study evaluates the effectiveness of the appraisal standards in engendering whole lifecycle environmental sustainability of the built environment.</w:t>
      </w:r>
    </w:p>
    <w:p w14:paraId="2B4A6C32" w14:textId="77777777" w:rsidR="00F63368" w:rsidRPr="00280550" w:rsidRDefault="00F63368" w:rsidP="00F63368">
      <w:pPr>
        <w:spacing w:after="0" w:line="360" w:lineRule="auto"/>
        <w:jc w:val="both"/>
      </w:pPr>
    </w:p>
    <w:p w14:paraId="52AD8B7B" w14:textId="15C78769" w:rsidR="00D511E2" w:rsidRPr="00280550" w:rsidRDefault="00D511E2" w:rsidP="00F63368">
      <w:pPr>
        <w:spacing w:after="0" w:line="360" w:lineRule="auto"/>
        <w:jc w:val="both"/>
      </w:pPr>
      <w:r w:rsidRPr="00280550">
        <w:rPr>
          <w:b/>
        </w:rPr>
        <w:t>Design/methodology/approach:</w:t>
      </w:r>
      <w:r w:rsidRPr="00280550">
        <w:t xml:space="preserve"> I</w:t>
      </w:r>
      <w:r w:rsidR="005316ED" w:rsidRPr="00280550">
        <w:t xml:space="preserve">n order to evaluate </w:t>
      </w:r>
      <w:r w:rsidR="007A561B" w:rsidRPr="00280550">
        <w:t xml:space="preserve">the </w:t>
      </w:r>
      <w:r w:rsidR="005316ED" w:rsidRPr="00280550">
        <w:t xml:space="preserve">adequacy of sustainability scores assigned to various lifecycle stages of buildings in the appraisal standards, </w:t>
      </w:r>
      <w:r w:rsidR="00403C62" w:rsidRPr="00280550">
        <w:t>four</w:t>
      </w:r>
      <w:r w:rsidR="005316ED" w:rsidRPr="00280550">
        <w:t xml:space="preserve"> case studies of a block of </w:t>
      </w:r>
      <w:r w:rsidR="005316ED" w:rsidRPr="00280550">
        <w:rPr>
          <w:noProof/>
        </w:rPr>
        <w:t>classroom</w:t>
      </w:r>
      <w:r w:rsidR="005316ED" w:rsidRPr="00280550">
        <w:t xml:space="preserve"> were modelled.  Using Revit as a modelling platform, stage by stage lifecycle environmental impact</w:t>
      </w:r>
      <w:r w:rsidR="00403C62" w:rsidRPr="00280550">
        <w:t>s of the building were</w:t>
      </w:r>
      <w:r w:rsidR="005316ED" w:rsidRPr="00280550">
        <w:t xml:space="preserve"> simulated through Green Building Studio and ATHENA Impact estimator. The resulting environmental impacts were then compared against the assessment score associated with each stage of building lifecycle in BREAAM and code for sustainable homes. </w:t>
      </w:r>
    </w:p>
    <w:p w14:paraId="3EFB6608" w14:textId="77777777" w:rsidR="00D511E2" w:rsidRPr="00280550" w:rsidRDefault="00D511E2" w:rsidP="00F63368">
      <w:pPr>
        <w:spacing w:after="0" w:line="360" w:lineRule="auto"/>
        <w:jc w:val="both"/>
      </w:pPr>
    </w:p>
    <w:p w14:paraId="36240F79" w14:textId="4FF73DDF" w:rsidR="00D511E2" w:rsidRPr="00280550" w:rsidRDefault="00D511E2" w:rsidP="00F63368">
      <w:pPr>
        <w:spacing w:after="0" w:line="360" w:lineRule="auto"/>
        <w:jc w:val="both"/>
      </w:pPr>
      <w:r w:rsidRPr="00280550">
        <w:rPr>
          <w:b/>
        </w:rPr>
        <w:t>Findings:</w:t>
      </w:r>
      <w:r w:rsidRPr="00280550">
        <w:t xml:space="preserve"> </w:t>
      </w:r>
      <w:r w:rsidR="005316ED" w:rsidRPr="00280550">
        <w:t xml:space="preserve">Results </w:t>
      </w:r>
      <w:r w:rsidR="005316ED" w:rsidRPr="00280550">
        <w:rPr>
          <w:noProof/>
        </w:rPr>
        <w:t>show</w:t>
      </w:r>
      <w:r w:rsidR="005316ED" w:rsidRPr="00280550">
        <w:t xml:space="preserve"> that albeit the consensus that the appraisal standards engender sustainability practices in the AEC industry, total scores assigned to impacts at each stage of building lifecycle is disproportionate to the simulated whole-life environmental impacts associated with the stages</w:t>
      </w:r>
      <w:r w:rsidR="00403C62" w:rsidRPr="00280550">
        <w:t xml:space="preserve"> in some instances</w:t>
      </w:r>
      <w:r w:rsidR="005316ED" w:rsidRPr="00280550">
        <w:t xml:space="preserve">. </w:t>
      </w:r>
    </w:p>
    <w:p w14:paraId="6179D57E" w14:textId="77777777" w:rsidR="00D511E2" w:rsidRPr="00280550" w:rsidRDefault="00D511E2" w:rsidP="00F63368">
      <w:pPr>
        <w:spacing w:after="0" w:line="360" w:lineRule="auto"/>
        <w:jc w:val="both"/>
      </w:pPr>
    </w:p>
    <w:p w14:paraId="6125937A" w14:textId="1B8BC141" w:rsidR="005316ED" w:rsidRPr="00280550" w:rsidRDefault="00D511E2" w:rsidP="00F63368">
      <w:pPr>
        <w:spacing w:after="0" w:line="360" w:lineRule="auto"/>
        <w:jc w:val="both"/>
      </w:pPr>
      <w:r w:rsidRPr="00280550">
        <w:rPr>
          <w:b/>
        </w:rPr>
        <w:t>Originality/Value</w:t>
      </w:r>
      <w:r w:rsidRPr="00280550">
        <w:t xml:space="preserve">: </w:t>
      </w:r>
      <w:r w:rsidR="005316ED" w:rsidRPr="00280550">
        <w:t xml:space="preserve">As the study reveals </w:t>
      </w:r>
      <w:r w:rsidR="00403C62" w:rsidRPr="00280550">
        <w:t xml:space="preserve">both </w:t>
      </w:r>
      <w:r w:rsidR="00403C62" w:rsidRPr="00280550">
        <w:rPr>
          <w:noProof/>
        </w:rPr>
        <w:t>strengths</w:t>
      </w:r>
      <w:r w:rsidR="00403C62" w:rsidRPr="00280550">
        <w:t xml:space="preserve"> and </w:t>
      </w:r>
      <w:r w:rsidR="005316ED" w:rsidRPr="00280550">
        <w:t xml:space="preserve">weaknesses in the existing sustainability appraisal standards, measures through which they can be tailored to resource efficiency and </w:t>
      </w:r>
      <w:r w:rsidR="00403C62" w:rsidRPr="00280550">
        <w:t xml:space="preserve">lifecycle </w:t>
      </w:r>
      <w:r w:rsidR="005316ED" w:rsidRPr="00280550">
        <w:t>environmental sustainability of the built environment are suggested.</w:t>
      </w:r>
    </w:p>
    <w:p w14:paraId="79979CF0" w14:textId="77777777" w:rsidR="00815028" w:rsidRPr="00280550" w:rsidRDefault="00815028" w:rsidP="00F63368">
      <w:pPr>
        <w:spacing w:after="0" w:line="360" w:lineRule="auto"/>
        <w:jc w:val="both"/>
      </w:pPr>
    </w:p>
    <w:p w14:paraId="486C996D" w14:textId="77777777" w:rsidR="005316ED" w:rsidRPr="00280550" w:rsidRDefault="005316ED" w:rsidP="00F63368">
      <w:pPr>
        <w:spacing w:after="0" w:line="360" w:lineRule="auto"/>
        <w:jc w:val="both"/>
      </w:pPr>
      <w:r w:rsidRPr="00280550">
        <w:rPr>
          <w:b/>
        </w:rPr>
        <w:t>Keywords:</w:t>
      </w:r>
      <w:r w:rsidRPr="00280550">
        <w:t xml:space="preserve"> </w:t>
      </w:r>
      <w:r w:rsidRPr="00280550">
        <w:rPr>
          <w:i/>
        </w:rPr>
        <w:t>Sustainability, Simulation, Lifecycle Analysis, BREAAM, CO2 emission, Global Warming Potential.</w:t>
      </w:r>
    </w:p>
    <w:p w14:paraId="0946B65B" w14:textId="77777777" w:rsidR="005316ED" w:rsidRPr="00280550" w:rsidRDefault="005316ED" w:rsidP="00F63368">
      <w:pPr>
        <w:spacing w:after="0" w:line="360" w:lineRule="auto"/>
        <w:jc w:val="both"/>
      </w:pPr>
    </w:p>
    <w:p w14:paraId="78CE66AB" w14:textId="77777777" w:rsidR="005316ED" w:rsidRPr="00280550" w:rsidRDefault="005316ED" w:rsidP="00F63368">
      <w:pPr>
        <w:spacing w:after="0" w:line="360" w:lineRule="auto"/>
        <w:jc w:val="both"/>
      </w:pPr>
    </w:p>
    <w:p w14:paraId="2145B55E" w14:textId="4BE34A2F" w:rsidR="005316ED" w:rsidRPr="00280550" w:rsidRDefault="005316ED" w:rsidP="00CB579D">
      <w:pPr>
        <w:pStyle w:val="SectionHeading"/>
        <w:numPr>
          <w:ilvl w:val="0"/>
          <w:numId w:val="1"/>
        </w:numPr>
        <w:spacing w:after="0" w:line="360" w:lineRule="auto"/>
        <w:jc w:val="both"/>
      </w:pPr>
      <w:r w:rsidRPr="00280550">
        <w:t>Introduction</w:t>
      </w:r>
    </w:p>
    <w:p w14:paraId="0A4BABBF" w14:textId="77777777" w:rsidR="005316ED" w:rsidRPr="00280550" w:rsidRDefault="005316ED" w:rsidP="00F63368">
      <w:pPr>
        <w:spacing w:after="0" w:line="360" w:lineRule="auto"/>
        <w:jc w:val="both"/>
      </w:pPr>
      <w:r w:rsidRPr="00280550">
        <w:t>In addition to its consumption of largest proportion of mineral resources excavated from nature (</w:t>
      </w:r>
      <w:proofErr w:type="spellStart"/>
      <w:r w:rsidRPr="00280550">
        <w:t>Anink</w:t>
      </w:r>
      <w:proofErr w:type="spellEnd"/>
      <w:r w:rsidRPr="00280550">
        <w:t xml:space="preserve"> et al., 1996), building and construction activities contribute large percentage of CO2 in the atmosphere (</w:t>
      </w:r>
      <w:proofErr w:type="spellStart"/>
      <w:r w:rsidRPr="00280550">
        <w:t>Baek</w:t>
      </w:r>
      <w:proofErr w:type="spellEnd"/>
      <w:r w:rsidRPr="00280550">
        <w:t xml:space="preserve"> et al., 2013), and produce the largest portion of waste to landfill (Oyedele et al., 2014). Due to this, it has often been argued that the sustainability of the built environment is indispensable to achieving the global sustainability agenda (Anderson and Thornhill, 2002). Since the initiation of official movement for sustainability was raised through Brundtland Report, concerns raised by the awareness of climate change has become an important political priority across the globe (O’Neill and Oppenheimer, 2002; Brundtland, 1987).  Consequently, building performance, green buildings, eco-labelling, lifecycle impacts, sustainable building and environmental impacts, among others are some of the concepts that have changed, and are continuously changing, the teaching and professional practices within the built environment (Ding, 2008; Ajayi et al., 2014; Ortiz et al., 2009). </w:t>
      </w:r>
    </w:p>
    <w:p w14:paraId="140874A3" w14:textId="77777777" w:rsidR="005316ED" w:rsidRPr="00280550" w:rsidRDefault="005316ED" w:rsidP="00F63368">
      <w:pPr>
        <w:spacing w:after="0" w:line="360" w:lineRule="auto"/>
        <w:jc w:val="both"/>
      </w:pPr>
    </w:p>
    <w:p w14:paraId="236F582D" w14:textId="277F0CF8" w:rsidR="005316ED" w:rsidRPr="00280550" w:rsidRDefault="005316ED" w:rsidP="00F63368">
      <w:pPr>
        <w:spacing w:after="0" w:line="360" w:lineRule="auto"/>
        <w:jc w:val="both"/>
      </w:pPr>
      <w:r w:rsidRPr="00280550">
        <w:t xml:space="preserve">Congruently, the governments and other concerned bodies across the globe have introduced the concept of sustainable design appraisal frameworks, which are being used to engender sustainable design and construction of built infrastructures (Kajikawa et al., 2011). Due to the need of the diverse group of stakeholders involved in building lifecycle process, including owners, construction professionals, designers and users, the development of the assessment framework is </w:t>
      </w:r>
      <w:r w:rsidR="00521C5D" w:rsidRPr="00280550">
        <w:t>a complex</w:t>
      </w:r>
      <w:r w:rsidRPr="00280550">
        <w:t xml:space="preserve"> task (Cole, 2005). This is as a result of conflicting priority among the different groups of stakeholders, with </w:t>
      </w:r>
      <w:r w:rsidR="00F90929" w:rsidRPr="00280550">
        <w:t xml:space="preserve">the </w:t>
      </w:r>
      <w:r w:rsidRPr="00280550">
        <w:rPr>
          <w:noProof/>
        </w:rPr>
        <w:t>government</w:t>
      </w:r>
      <w:r w:rsidRPr="00280550">
        <w:t xml:space="preserve"> </w:t>
      </w:r>
      <w:r w:rsidR="00521C5D" w:rsidRPr="00280550">
        <w:t xml:space="preserve">usually </w:t>
      </w:r>
      <w:r w:rsidRPr="00280550">
        <w:t xml:space="preserve">being the major driver of the sustainability agenda. Nonetheless, since the introduction of the UK Building Research Establishment Environmental Assessment Method (BREEAM) in 1990, buildings environmental performance assessment frameworks have become rife within the construction industry (Cole, 2005). These sets of </w:t>
      </w:r>
      <w:r w:rsidR="004C6892" w:rsidRPr="00280550">
        <w:t>frameworks</w:t>
      </w:r>
      <w:r w:rsidRPr="00280550">
        <w:t xml:space="preserve"> include the US Leadership in Energy and Environmental Design (LEED), the Comprehensive Assessment System for Built Environment Efficacy (CASBEE), the Code for Sustainable Homes (</w:t>
      </w:r>
      <w:proofErr w:type="spellStart"/>
      <w:r w:rsidRPr="00280550">
        <w:t>CfSH</w:t>
      </w:r>
      <w:proofErr w:type="spellEnd"/>
      <w:r w:rsidRPr="00280550">
        <w:t xml:space="preserve">), Comprehensive Environmental Performance Assessment Scheme (CEPAS), and many others (Poveda and Lipsett, 2011; Cole, 2005). These performance assessment tools require that </w:t>
      </w:r>
      <w:r w:rsidR="0075321E" w:rsidRPr="00280550">
        <w:t xml:space="preserve">social development, environmental protection </w:t>
      </w:r>
      <w:r w:rsidRPr="00280550">
        <w:t xml:space="preserve">and economic development </w:t>
      </w:r>
      <w:r w:rsidR="0075321E" w:rsidRPr="00280550">
        <w:t xml:space="preserve">should </w:t>
      </w:r>
      <w:r w:rsidRPr="00280550">
        <w:t xml:space="preserve">be </w:t>
      </w:r>
      <w:r w:rsidR="0075321E" w:rsidRPr="00280550">
        <w:rPr>
          <w:noProof/>
        </w:rPr>
        <w:t>appropriately</w:t>
      </w:r>
      <w:r w:rsidRPr="00280550">
        <w:t xml:space="preserve"> considered in the </w:t>
      </w:r>
      <w:r w:rsidR="0075321E" w:rsidRPr="00280550">
        <w:t>decision about locating</w:t>
      </w:r>
      <w:r w:rsidRPr="00280550">
        <w:t>, design</w:t>
      </w:r>
      <w:r w:rsidR="0075321E" w:rsidRPr="00280550">
        <w:t>ing, constructing, operating as well as the end</w:t>
      </w:r>
      <w:r w:rsidRPr="00280550">
        <w:t xml:space="preserve"> of life d</w:t>
      </w:r>
      <w:r w:rsidR="0075321E" w:rsidRPr="00280550">
        <w:t xml:space="preserve">econstruction or </w:t>
      </w:r>
      <w:r w:rsidR="0075321E" w:rsidRPr="00280550">
        <w:lastRenderedPageBreak/>
        <w:t>demolition</w:t>
      </w:r>
      <w:r w:rsidRPr="00280550">
        <w:t xml:space="preserve"> of the buildings. As such, </w:t>
      </w:r>
      <w:r w:rsidRPr="00280550">
        <w:rPr>
          <w:noProof/>
        </w:rPr>
        <w:t>score</w:t>
      </w:r>
      <w:r w:rsidR="009A3F57" w:rsidRPr="00280550">
        <w:rPr>
          <w:noProof/>
        </w:rPr>
        <w:t>s were</w:t>
      </w:r>
      <w:r w:rsidRPr="00280550">
        <w:t xml:space="preserve"> assigned to various aspects of project lifecycle in a bid to calculate the overall sustainability of the buildings. </w:t>
      </w:r>
    </w:p>
    <w:p w14:paraId="50215598" w14:textId="77777777" w:rsidR="00521C5D" w:rsidRPr="00280550" w:rsidRDefault="00521C5D" w:rsidP="00F63368">
      <w:pPr>
        <w:spacing w:after="0" w:line="360" w:lineRule="auto"/>
        <w:jc w:val="both"/>
      </w:pPr>
    </w:p>
    <w:p w14:paraId="01966A5A" w14:textId="0A4A62CE" w:rsidR="00732976" w:rsidRPr="00280550" w:rsidRDefault="005316ED" w:rsidP="00F63368">
      <w:pPr>
        <w:spacing w:after="0" w:line="360" w:lineRule="auto"/>
        <w:jc w:val="both"/>
        <w:rPr>
          <w:lang w:eastAsia="en-US"/>
        </w:rPr>
      </w:pPr>
      <w:r w:rsidRPr="00280550">
        <w:rPr>
          <w:lang w:eastAsia="en-US"/>
        </w:rPr>
        <w:t xml:space="preserve">Evidence suggests that significant progress made in driving environmental sustainability agenda is majorly due to </w:t>
      </w:r>
      <w:r w:rsidR="009A3F57" w:rsidRPr="00280550">
        <w:rPr>
          <w:lang w:eastAsia="en-US"/>
        </w:rPr>
        <w:t xml:space="preserve">the </w:t>
      </w:r>
      <w:r w:rsidRPr="00280550">
        <w:rPr>
          <w:noProof/>
          <w:lang w:eastAsia="en-US"/>
        </w:rPr>
        <w:t>implementation</w:t>
      </w:r>
      <w:r w:rsidRPr="00280550">
        <w:rPr>
          <w:lang w:eastAsia="en-US"/>
        </w:rPr>
        <w:t xml:space="preserve"> of the sustainability appraisal frameworks (</w:t>
      </w:r>
      <w:r w:rsidRPr="00280550">
        <w:rPr>
          <w:rFonts w:eastAsia="Calibri"/>
        </w:rPr>
        <w:t>Ding, 2008; Ajayi et al., 2015</w:t>
      </w:r>
      <w:r w:rsidRPr="00280550">
        <w:rPr>
          <w:lang w:eastAsia="en-US"/>
        </w:rPr>
        <w:t>). Albeit this success, claims ha</w:t>
      </w:r>
      <w:r w:rsidRPr="00280550">
        <w:t>ve</w:t>
      </w:r>
      <w:r w:rsidRPr="00280550">
        <w:rPr>
          <w:lang w:eastAsia="en-US"/>
        </w:rPr>
        <w:t xml:space="preserve"> been made that wide acceptance of the framework is not necessarily due to its effectiveness but largely due to the legislative requirement for its implementation (</w:t>
      </w:r>
      <w:r w:rsidRPr="00280550">
        <w:rPr>
          <w:rFonts w:eastAsia="Calibri"/>
        </w:rPr>
        <w:t xml:space="preserve">Cole, 2005; </w:t>
      </w:r>
      <w:r w:rsidRPr="00280550">
        <w:t>Poveda and Lipsett, 2011</w:t>
      </w:r>
      <w:r w:rsidRPr="00280550">
        <w:rPr>
          <w:lang w:eastAsia="en-US"/>
        </w:rPr>
        <w:t xml:space="preserve">). </w:t>
      </w:r>
      <w:r w:rsidR="00F63368" w:rsidRPr="00280550">
        <w:rPr>
          <w:lang w:eastAsia="en-US"/>
        </w:rPr>
        <w:t>Scores are often assigned to the different aspects of design and construction processes, but there is lack of study that evaluates the overall effectiveness of the sustainable design appraisal tools in engendering sustainability of the whole built processes</w:t>
      </w:r>
      <w:r w:rsidR="00521C5D" w:rsidRPr="00280550">
        <w:rPr>
          <w:lang w:eastAsia="en-US"/>
        </w:rPr>
        <w:t xml:space="preserve"> throughout the building lifecycle</w:t>
      </w:r>
      <w:r w:rsidR="00F63368" w:rsidRPr="00280550">
        <w:rPr>
          <w:lang w:eastAsia="en-US"/>
        </w:rPr>
        <w:t>.</w:t>
      </w:r>
    </w:p>
    <w:p w14:paraId="027AB46C" w14:textId="77777777" w:rsidR="00732976" w:rsidRPr="00280550" w:rsidRDefault="00732976" w:rsidP="00F63368">
      <w:pPr>
        <w:spacing w:after="0" w:line="360" w:lineRule="auto"/>
        <w:jc w:val="both"/>
        <w:rPr>
          <w:lang w:eastAsia="en-US"/>
        </w:rPr>
      </w:pPr>
    </w:p>
    <w:p w14:paraId="38684FC7" w14:textId="34A75924" w:rsidR="005316ED" w:rsidRPr="00280550" w:rsidRDefault="00F63368" w:rsidP="00F63368">
      <w:pPr>
        <w:spacing w:after="0" w:line="360" w:lineRule="auto"/>
        <w:jc w:val="both"/>
        <w:rPr>
          <w:rFonts w:eastAsia="Calibri"/>
        </w:rPr>
      </w:pPr>
      <w:r w:rsidRPr="00280550">
        <w:rPr>
          <w:lang w:eastAsia="en-US"/>
        </w:rPr>
        <w:t>Based on this gap, t</w:t>
      </w:r>
      <w:r w:rsidR="005316ED" w:rsidRPr="00280550">
        <w:rPr>
          <w:lang w:eastAsia="en-US"/>
        </w:rPr>
        <w:t xml:space="preserve">his study evaluates the effectiveness of the appraisal standards in engendering whole lifecycle </w:t>
      </w:r>
      <w:r w:rsidR="005316ED" w:rsidRPr="00280550">
        <w:t xml:space="preserve">environmental </w:t>
      </w:r>
      <w:r w:rsidR="005316ED" w:rsidRPr="00280550">
        <w:rPr>
          <w:lang w:eastAsia="en-US"/>
        </w:rPr>
        <w:t>sustainability of the built environment.</w:t>
      </w:r>
      <w:r w:rsidRPr="00280550">
        <w:rPr>
          <w:rFonts w:eastAsia="Calibri"/>
        </w:rPr>
        <w:t xml:space="preserve"> The study</w:t>
      </w:r>
      <w:r w:rsidR="005316ED" w:rsidRPr="00280550">
        <w:rPr>
          <w:rFonts w:eastAsia="Calibri"/>
        </w:rPr>
        <w:t xml:space="preserve"> estimates the total environmental weight assigned to different lifecycle stages of buildings in the UK BREAAM and </w:t>
      </w:r>
      <w:proofErr w:type="spellStart"/>
      <w:r w:rsidR="005316ED" w:rsidRPr="00280550">
        <w:rPr>
          <w:rFonts w:eastAsia="Calibri"/>
        </w:rPr>
        <w:t>CfSH</w:t>
      </w:r>
      <w:proofErr w:type="spellEnd"/>
      <w:r w:rsidR="005316ED" w:rsidRPr="00280550">
        <w:rPr>
          <w:rFonts w:eastAsia="Calibri"/>
        </w:rPr>
        <w:t xml:space="preserve">. The proportional weight per building lifecycle stages </w:t>
      </w:r>
      <w:r w:rsidR="005316ED" w:rsidRPr="00280550">
        <w:rPr>
          <w:rFonts w:eastAsia="Calibri"/>
          <w:noProof/>
        </w:rPr>
        <w:t>w</w:t>
      </w:r>
      <w:r w:rsidR="00EF7185" w:rsidRPr="00280550">
        <w:rPr>
          <w:rFonts w:eastAsia="Calibri"/>
          <w:noProof/>
        </w:rPr>
        <w:t>as</w:t>
      </w:r>
      <w:r w:rsidR="005316ED" w:rsidRPr="00280550">
        <w:rPr>
          <w:rFonts w:eastAsia="Calibri"/>
        </w:rPr>
        <w:t xml:space="preserve"> then compared with simulated environmental impacts of individual lifecycle stage, which were assessed using Lifecycle Assessment (LCA) methodology.  The study offers insights into changes required of the sustainable design assessment fram</w:t>
      </w:r>
      <w:r w:rsidRPr="00280550">
        <w:rPr>
          <w:rFonts w:eastAsia="Calibri"/>
        </w:rPr>
        <w:t>eworks for increased efficiency. It also suggests the aspects of the built processes that are expected to be further targeted by the sustainable design appraisal tools.</w:t>
      </w:r>
    </w:p>
    <w:p w14:paraId="13137C8B" w14:textId="3C5BA4DB" w:rsidR="0059422B" w:rsidRPr="00280550" w:rsidRDefault="0059422B" w:rsidP="00F63368">
      <w:pPr>
        <w:spacing w:after="0" w:line="360" w:lineRule="auto"/>
        <w:jc w:val="both"/>
        <w:rPr>
          <w:rFonts w:eastAsia="Calibri"/>
        </w:rPr>
      </w:pPr>
    </w:p>
    <w:p w14:paraId="22D03A3B" w14:textId="31452B5A" w:rsidR="0059422B" w:rsidRPr="00280550" w:rsidRDefault="00E82A03" w:rsidP="00F63368">
      <w:pPr>
        <w:spacing w:after="0" w:line="360" w:lineRule="auto"/>
        <w:jc w:val="both"/>
        <w:rPr>
          <w:rFonts w:eastAsia="Calibri"/>
        </w:rPr>
      </w:pPr>
      <w:r w:rsidRPr="00280550">
        <w:rPr>
          <w:b/>
          <w:caps/>
          <w:sz w:val="28"/>
          <w:szCs w:val="20"/>
          <w:lang w:eastAsia="en-US"/>
        </w:rPr>
        <w:t xml:space="preserve">2.0. </w:t>
      </w:r>
      <w:r w:rsidR="0059422B" w:rsidRPr="00280550">
        <w:rPr>
          <w:b/>
          <w:caps/>
          <w:sz w:val="28"/>
          <w:szCs w:val="20"/>
          <w:lang w:eastAsia="en-US"/>
        </w:rPr>
        <w:t>Literature review</w:t>
      </w:r>
    </w:p>
    <w:p w14:paraId="72D80268" w14:textId="405F4FEE" w:rsidR="00E82A03" w:rsidRPr="00280550" w:rsidRDefault="00E82A03" w:rsidP="00F63368">
      <w:pPr>
        <w:spacing w:after="0" w:line="360" w:lineRule="auto"/>
        <w:jc w:val="both"/>
        <w:rPr>
          <w:rFonts w:eastAsia="Calibri"/>
        </w:rPr>
      </w:pPr>
      <w:r w:rsidRPr="00280550">
        <w:rPr>
          <w:rFonts w:eastAsia="Calibri"/>
        </w:rPr>
        <w:t xml:space="preserve">The construction industry is one of the least sustainable industry, accounting </w:t>
      </w:r>
      <w:r w:rsidR="00105151" w:rsidRPr="00280550">
        <w:rPr>
          <w:rFonts w:eastAsia="Calibri"/>
        </w:rPr>
        <w:t>for about</w:t>
      </w:r>
      <w:r w:rsidRPr="00280550">
        <w:rPr>
          <w:rFonts w:eastAsia="Calibri"/>
        </w:rPr>
        <w:t xml:space="preserve"> half of all non-renewable resources consumed by mankind (</w:t>
      </w:r>
      <w:r w:rsidR="00105151" w:rsidRPr="00280550">
        <w:rPr>
          <w:rFonts w:eastAsia="Calibri"/>
        </w:rPr>
        <w:t>Edwards, 2014</w:t>
      </w:r>
      <w:r w:rsidRPr="00280550">
        <w:rPr>
          <w:rFonts w:eastAsia="Calibri"/>
        </w:rPr>
        <w:t>). This is especially as all other human activities are built around buildings and other constructed infrastructures such as roads, bridges, etc. Apart from its consumption of the substantial proportion of resources excavated from nature, and the subsequent CO2 emission and materials depletion (</w:t>
      </w:r>
      <w:r w:rsidR="004D3C08" w:rsidRPr="00280550">
        <w:rPr>
          <w:rFonts w:eastAsia="Calibri"/>
        </w:rPr>
        <w:t>Dixon et al., 2018</w:t>
      </w:r>
      <w:r w:rsidRPr="00280550">
        <w:rPr>
          <w:rFonts w:eastAsia="Calibri"/>
        </w:rPr>
        <w:t>), the industry also accounts for vario</w:t>
      </w:r>
      <w:r w:rsidR="00521C5D" w:rsidRPr="00280550">
        <w:rPr>
          <w:rFonts w:eastAsia="Calibri"/>
        </w:rPr>
        <w:t xml:space="preserve">us other environmental impacts. These include </w:t>
      </w:r>
      <w:r w:rsidRPr="00280550">
        <w:rPr>
          <w:rFonts w:eastAsia="Calibri"/>
        </w:rPr>
        <w:t>energy consumption, agricultural land loss,</w:t>
      </w:r>
      <w:r w:rsidR="001C6D44" w:rsidRPr="00280550">
        <w:rPr>
          <w:rFonts w:eastAsia="Calibri"/>
        </w:rPr>
        <w:t xml:space="preserve"> air pollution, waste generation, use of CFC generating materials, deforestation</w:t>
      </w:r>
      <w:r w:rsidRPr="00280550">
        <w:rPr>
          <w:rFonts w:eastAsia="Calibri"/>
        </w:rPr>
        <w:t xml:space="preserve"> </w:t>
      </w:r>
      <w:r w:rsidR="001C6D44" w:rsidRPr="00280550">
        <w:rPr>
          <w:rFonts w:eastAsia="Calibri"/>
        </w:rPr>
        <w:t xml:space="preserve">and </w:t>
      </w:r>
      <w:r w:rsidRPr="00280550">
        <w:rPr>
          <w:rFonts w:eastAsia="Calibri"/>
        </w:rPr>
        <w:t xml:space="preserve">water consumption, </w:t>
      </w:r>
      <w:r w:rsidR="001C6D44" w:rsidRPr="00280550">
        <w:rPr>
          <w:rFonts w:eastAsia="Calibri"/>
        </w:rPr>
        <w:t>among others (</w:t>
      </w:r>
      <w:proofErr w:type="spellStart"/>
      <w:r w:rsidR="00E176C0" w:rsidRPr="00280550">
        <w:rPr>
          <w:rFonts w:eastAsia="Calibri"/>
        </w:rPr>
        <w:t>Säynäjoki</w:t>
      </w:r>
      <w:proofErr w:type="spellEnd"/>
      <w:r w:rsidR="00E176C0" w:rsidRPr="00280550">
        <w:rPr>
          <w:rFonts w:eastAsia="Calibri"/>
        </w:rPr>
        <w:t xml:space="preserve"> et al., 2017; Soares et al., 2017</w:t>
      </w:r>
      <w:r w:rsidR="001C6D44" w:rsidRPr="00280550">
        <w:rPr>
          <w:rFonts w:eastAsia="Calibri"/>
        </w:rPr>
        <w:t xml:space="preserve">). With all these impacts contributing to </w:t>
      </w:r>
      <w:r w:rsidR="001C6D44" w:rsidRPr="00280550">
        <w:rPr>
          <w:rFonts w:eastAsia="Calibri"/>
          <w:noProof/>
        </w:rPr>
        <w:t>climate</w:t>
      </w:r>
      <w:r w:rsidR="001C6D44" w:rsidRPr="00280550">
        <w:rPr>
          <w:rFonts w:eastAsia="Calibri"/>
        </w:rPr>
        <w:t xml:space="preserve"> change, the </w:t>
      </w:r>
      <w:r w:rsidR="001C6D44" w:rsidRPr="00280550">
        <w:rPr>
          <w:rFonts w:eastAsia="Calibri"/>
        </w:rPr>
        <w:lastRenderedPageBreak/>
        <w:t>construction industry has remained under considerable pre</w:t>
      </w:r>
      <w:r w:rsidR="00521C5D" w:rsidRPr="00280550">
        <w:rPr>
          <w:rFonts w:eastAsia="Calibri"/>
        </w:rPr>
        <w:t>ssure to improve its sustainability profile</w:t>
      </w:r>
      <w:r w:rsidR="001C6D44" w:rsidRPr="00280550">
        <w:rPr>
          <w:rFonts w:eastAsia="Calibri"/>
        </w:rPr>
        <w:t xml:space="preserve"> (</w:t>
      </w:r>
      <w:r w:rsidR="00C3688C" w:rsidRPr="00280550">
        <w:rPr>
          <w:rFonts w:eastAsia="Calibri"/>
        </w:rPr>
        <w:t>Ajayi and Oyedele, 2017</w:t>
      </w:r>
      <w:r w:rsidR="001C6D44" w:rsidRPr="00280550">
        <w:rPr>
          <w:rFonts w:eastAsia="Calibri"/>
        </w:rPr>
        <w:t>)</w:t>
      </w:r>
      <w:r w:rsidR="00521C5D" w:rsidRPr="00280550">
        <w:rPr>
          <w:rFonts w:eastAsia="Calibri"/>
        </w:rPr>
        <w:t xml:space="preserve">. </w:t>
      </w:r>
    </w:p>
    <w:p w14:paraId="47C11D2B" w14:textId="3D43D1F0" w:rsidR="00E82A03" w:rsidRPr="00280550" w:rsidRDefault="00E82A03" w:rsidP="00F63368">
      <w:pPr>
        <w:spacing w:after="0" w:line="360" w:lineRule="auto"/>
        <w:jc w:val="both"/>
        <w:rPr>
          <w:rFonts w:eastAsia="Calibri"/>
        </w:rPr>
      </w:pPr>
    </w:p>
    <w:p w14:paraId="45EDD8D9" w14:textId="7CBB4EB3" w:rsidR="0055032D" w:rsidRPr="00280550" w:rsidRDefault="001C6D44" w:rsidP="0055032D">
      <w:pPr>
        <w:spacing w:after="0" w:line="360" w:lineRule="auto"/>
        <w:jc w:val="both"/>
        <w:rPr>
          <w:rFonts w:eastAsia="Calibri"/>
        </w:rPr>
      </w:pPr>
      <w:r w:rsidRPr="00280550">
        <w:rPr>
          <w:rFonts w:eastAsia="Calibri"/>
        </w:rPr>
        <w:t>In line with the global</w:t>
      </w:r>
      <w:r w:rsidR="00521C5D" w:rsidRPr="00280550">
        <w:rPr>
          <w:rFonts w:eastAsia="Calibri"/>
        </w:rPr>
        <w:t xml:space="preserve"> sustainability agenda, as entrenched in</w:t>
      </w:r>
      <w:r w:rsidRPr="00280550">
        <w:rPr>
          <w:rFonts w:eastAsia="Calibri"/>
        </w:rPr>
        <w:t xml:space="preserve"> “Our Common Future”, sustainable construction has become the buzzword that is driving the activities of the industry towards achieving the social, economic and environmental sustainability (</w:t>
      </w:r>
      <w:r w:rsidR="004D3C08" w:rsidRPr="00280550">
        <w:t>Brundtland Commission, 1987</w:t>
      </w:r>
      <w:r w:rsidRPr="00280550">
        <w:rPr>
          <w:rFonts w:eastAsia="Calibri"/>
        </w:rPr>
        <w:t xml:space="preserve">). </w:t>
      </w:r>
      <w:r w:rsidR="0055032D" w:rsidRPr="00280550">
        <w:rPr>
          <w:rFonts w:eastAsia="Calibri"/>
        </w:rPr>
        <w:t>The impact of the construction industry touches the three pillars of sustainability, which are economic, social and environmental. For instance, the UK construct</w:t>
      </w:r>
      <w:r w:rsidR="00C3688C" w:rsidRPr="00280550">
        <w:rPr>
          <w:rFonts w:eastAsia="Calibri"/>
        </w:rPr>
        <w:t xml:space="preserve">ion industry contributes about </w:t>
      </w:r>
      <w:r w:rsidR="00B94E9D" w:rsidRPr="00280550">
        <w:rPr>
          <w:rFonts w:eastAsia="Calibri"/>
        </w:rPr>
        <w:t>6–</w:t>
      </w:r>
      <w:r w:rsidR="00C3688C" w:rsidRPr="00280550">
        <w:rPr>
          <w:rFonts w:eastAsia="Calibri"/>
        </w:rPr>
        <w:t>10</w:t>
      </w:r>
      <w:r w:rsidR="0055032D" w:rsidRPr="00280550">
        <w:rPr>
          <w:rFonts w:eastAsia="Calibri"/>
        </w:rPr>
        <w:t>% of the nation’s GDP and provides employment for over 3 million people</w:t>
      </w:r>
      <w:r w:rsidR="00C3688C" w:rsidRPr="00280550">
        <w:rPr>
          <w:rFonts w:eastAsia="Calibri"/>
        </w:rPr>
        <w:t xml:space="preserve"> (Edwards, 2014</w:t>
      </w:r>
      <w:r w:rsidR="00B94E9D" w:rsidRPr="00280550">
        <w:rPr>
          <w:rFonts w:eastAsia="Calibri"/>
        </w:rPr>
        <w:t>; ONS, 2017</w:t>
      </w:r>
      <w:r w:rsidR="00C3688C" w:rsidRPr="00280550">
        <w:rPr>
          <w:rFonts w:eastAsia="Calibri"/>
        </w:rPr>
        <w:t>)</w:t>
      </w:r>
      <w:r w:rsidR="0055032D" w:rsidRPr="00280550">
        <w:rPr>
          <w:rFonts w:eastAsia="Calibri"/>
        </w:rPr>
        <w:t>. At the environmental level, the industry is responsible for almost half of carbon emissions, generates large portions of waste to landfill, and consumes about half of mineral and water resources</w:t>
      </w:r>
      <w:r w:rsidR="00C3688C" w:rsidRPr="00280550">
        <w:rPr>
          <w:rFonts w:eastAsia="Calibri"/>
        </w:rPr>
        <w:t xml:space="preserve"> (Edwards, 2014; </w:t>
      </w:r>
      <w:proofErr w:type="spellStart"/>
      <w:r w:rsidR="00C3688C" w:rsidRPr="00280550">
        <w:rPr>
          <w:rFonts w:eastAsia="Calibri"/>
        </w:rPr>
        <w:t>Säynäjoki</w:t>
      </w:r>
      <w:proofErr w:type="spellEnd"/>
      <w:r w:rsidR="00C3688C" w:rsidRPr="00280550">
        <w:rPr>
          <w:rFonts w:eastAsia="Calibri"/>
        </w:rPr>
        <w:t xml:space="preserve"> et al., 2017)</w:t>
      </w:r>
      <w:r w:rsidR="0055032D" w:rsidRPr="00280550">
        <w:rPr>
          <w:rFonts w:eastAsia="Calibri"/>
        </w:rPr>
        <w:t xml:space="preserve">. The social significance of the industry is also evident in terms of its significance in enhancing the quality of life in terms of housing, workspace, utilities and transport infrastructure. As such, a truly sustainable construction project should </w:t>
      </w:r>
      <w:r w:rsidR="0075321E" w:rsidRPr="00280550">
        <w:rPr>
          <w:rFonts w:eastAsia="Calibri"/>
        </w:rPr>
        <w:t xml:space="preserve">address the </w:t>
      </w:r>
      <w:r w:rsidR="0075321E" w:rsidRPr="00280550">
        <w:rPr>
          <w:rFonts w:eastAsia="Calibri"/>
          <w:noProof/>
        </w:rPr>
        <w:t>environmental</w:t>
      </w:r>
      <w:r w:rsidR="0075321E" w:rsidRPr="00280550">
        <w:rPr>
          <w:rFonts w:eastAsia="Calibri"/>
        </w:rPr>
        <w:t>, economic</w:t>
      </w:r>
      <w:r w:rsidR="0055032D" w:rsidRPr="00280550">
        <w:rPr>
          <w:rFonts w:eastAsia="Calibri"/>
        </w:rPr>
        <w:t xml:space="preserve"> and </w:t>
      </w:r>
      <w:r w:rsidR="0075321E" w:rsidRPr="00280550">
        <w:rPr>
          <w:rFonts w:eastAsia="Calibri"/>
        </w:rPr>
        <w:t xml:space="preserve">social pillars of sustainability at all </w:t>
      </w:r>
      <w:r w:rsidR="0055032D" w:rsidRPr="00280550">
        <w:rPr>
          <w:rFonts w:eastAsia="Calibri"/>
        </w:rPr>
        <w:t>stages</w:t>
      </w:r>
      <w:r w:rsidR="004D3C08" w:rsidRPr="00280550">
        <w:rPr>
          <w:rFonts w:eastAsia="Calibri"/>
        </w:rPr>
        <w:t xml:space="preserve"> of the building lifecycle</w:t>
      </w:r>
      <w:r w:rsidR="0055032D" w:rsidRPr="00280550">
        <w:rPr>
          <w:rFonts w:eastAsia="Calibri"/>
        </w:rPr>
        <w:t xml:space="preserve">. </w:t>
      </w:r>
      <w:r w:rsidR="00E15641" w:rsidRPr="00280550">
        <w:rPr>
          <w:rFonts w:eastAsia="Calibri"/>
        </w:rPr>
        <w:t>According to Halliday (2008), a sustainable</w:t>
      </w:r>
      <w:r w:rsidR="00521C5D" w:rsidRPr="00280550">
        <w:rPr>
          <w:rFonts w:eastAsia="Calibri"/>
        </w:rPr>
        <w:t xml:space="preserve"> construction</w:t>
      </w:r>
      <w:r w:rsidR="00E15641" w:rsidRPr="00280550">
        <w:rPr>
          <w:rFonts w:eastAsia="Calibri"/>
        </w:rPr>
        <w:t xml:space="preserve"> enhances biodiversity, </w:t>
      </w:r>
      <w:r w:rsidR="001946E2" w:rsidRPr="00280550">
        <w:rPr>
          <w:rFonts w:eastAsia="Calibri"/>
        </w:rPr>
        <w:t xml:space="preserve">support communities, uses resources effectively, minimizes pollution, managed responsibly, energy efficient and creates healthy environments. </w:t>
      </w:r>
      <w:r w:rsidR="0055032D" w:rsidRPr="00280550">
        <w:rPr>
          <w:rFonts w:eastAsia="Calibri"/>
        </w:rPr>
        <w:t>Such construction project would aim at providing a building that is affordable, accessible and environmentally conscious</w:t>
      </w:r>
      <w:r w:rsidR="004D3C08" w:rsidRPr="00280550">
        <w:rPr>
          <w:rFonts w:eastAsia="Calibri"/>
        </w:rPr>
        <w:t>, covering the three pillars of sustainability</w:t>
      </w:r>
      <w:r w:rsidR="008D6223" w:rsidRPr="00280550">
        <w:rPr>
          <w:rFonts w:eastAsia="Calibri"/>
        </w:rPr>
        <w:t xml:space="preserve"> (</w:t>
      </w:r>
      <w:r w:rsidR="004D3C08" w:rsidRPr="00280550">
        <w:rPr>
          <w:rFonts w:eastAsia="Calibri"/>
        </w:rPr>
        <w:t>Dixon et al., 2018; Chong et al., 2017</w:t>
      </w:r>
      <w:r w:rsidR="008D6223" w:rsidRPr="00280550">
        <w:rPr>
          <w:rFonts w:eastAsia="Calibri"/>
        </w:rPr>
        <w:t>)</w:t>
      </w:r>
      <w:r w:rsidR="0055032D" w:rsidRPr="00280550">
        <w:rPr>
          <w:rFonts w:eastAsia="Calibri"/>
        </w:rPr>
        <w:t>. In addition to the traditional project performance indicators – cost, time and quality – sustainable construction adds sustainability as another key project performance indicator.</w:t>
      </w:r>
    </w:p>
    <w:p w14:paraId="7380EF96" w14:textId="1D1BD28D" w:rsidR="008D6223" w:rsidRPr="00280550" w:rsidRDefault="008D6223" w:rsidP="0055032D">
      <w:pPr>
        <w:spacing w:after="0" w:line="360" w:lineRule="auto"/>
        <w:jc w:val="both"/>
        <w:rPr>
          <w:rFonts w:eastAsia="Calibri"/>
        </w:rPr>
      </w:pPr>
    </w:p>
    <w:p w14:paraId="4F693780" w14:textId="18200EB3" w:rsidR="008D6223" w:rsidRPr="00280550" w:rsidRDefault="008D6223" w:rsidP="0055032D">
      <w:pPr>
        <w:spacing w:after="0" w:line="360" w:lineRule="auto"/>
        <w:jc w:val="both"/>
        <w:rPr>
          <w:rFonts w:eastAsia="Calibri"/>
        </w:rPr>
      </w:pPr>
      <w:r w:rsidRPr="00280550">
        <w:rPr>
          <w:rFonts w:eastAsia="Calibri"/>
        </w:rPr>
        <w:t xml:space="preserve">Apart from the sustainability of the actual construction process, </w:t>
      </w:r>
      <w:r w:rsidR="00521C5D" w:rsidRPr="00280550">
        <w:rPr>
          <w:rFonts w:eastAsia="Calibri"/>
        </w:rPr>
        <w:t xml:space="preserve">the </w:t>
      </w:r>
      <w:r w:rsidRPr="00280550">
        <w:rPr>
          <w:rFonts w:eastAsia="Calibri"/>
          <w:noProof/>
        </w:rPr>
        <w:t>sustainability</w:t>
      </w:r>
      <w:r w:rsidRPr="00280550">
        <w:rPr>
          <w:rFonts w:eastAsia="Calibri"/>
        </w:rPr>
        <w:t xml:space="preserve"> of the building is essential to achieving the sustainability of the built environment (</w:t>
      </w:r>
      <w:r w:rsidR="004D3C08" w:rsidRPr="00280550">
        <w:rPr>
          <w:rFonts w:eastAsia="Calibri"/>
        </w:rPr>
        <w:t>Chong et al., 2017</w:t>
      </w:r>
      <w:r w:rsidRPr="00280550">
        <w:rPr>
          <w:rFonts w:eastAsia="Calibri"/>
        </w:rPr>
        <w:t xml:space="preserve">). </w:t>
      </w:r>
      <w:r w:rsidR="00D13C09" w:rsidRPr="00280550">
        <w:rPr>
          <w:rFonts w:eastAsia="Calibri"/>
          <w:noProof/>
        </w:rPr>
        <w:t>The l</w:t>
      </w:r>
      <w:r w:rsidR="00CA0651" w:rsidRPr="00280550">
        <w:rPr>
          <w:rFonts w:eastAsia="Calibri"/>
          <w:noProof/>
        </w:rPr>
        <w:t>ifecycle</w:t>
      </w:r>
      <w:r w:rsidR="00CA0651" w:rsidRPr="00280550">
        <w:rPr>
          <w:rFonts w:eastAsia="Calibri"/>
        </w:rPr>
        <w:t xml:space="preserve"> of a typical building is divided into various stages, covering raw materials and manufacturing, construction, operation and maintenance </w:t>
      </w:r>
      <w:r w:rsidR="00C3688C" w:rsidRPr="00280550">
        <w:rPr>
          <w:rFonts w:eastAsia="Calibri"/>
        </w:rPr>
        <w:t>(Ajayi et al., 2015</w:t>
      </w:r>
      <w:r w:rsidR="00CA0651" w:rsidRPr="00280550">
        <w:rPr>
          <w:rFonts w:eastAsia="Calibri"/>
        </w:rPr>
        <w:t xml:space="preserve">). Out of all these stages, the operational stage of the building accounts for the larger impacts </w:t>
      </w:r>
      <w:r w:rsidR="00CA0651" w:rsidRPr="00280550">
        <w:rPr>
          <w:rFonts w:eastAsia="Calibri"/>
          <w:noProof/>
        </w:rPr>
        <w:t>o</w:t>
      </w:r>
      <w:r w:rsidR="00D13C09" w:rsidRPr="00280550">
        <w:rPr>
          <w:rFonts w:eastAsia="Calibri"/>
          <w:noProof/>
        </w:rPr>
        <w:t>f</w:t>
      </w:r>
      <w:r w:rsidR="00CA0651" w:rsidRPr="00280550">
        <w:rPr>
          <w:rFonts w:eastAsia="Calibri"/>
        </w:rPr>
        <w:t xml:space="preserve"> the entire lifecycle </w:t>
      </w:r>
      <w:r w:rsidR="002D6607" w:rsidRPr="00280550">
        <w:rPr>
          <w:rFonts w:eastAsia="Calibri"/>
        </w:rPr>
        <w:t>(</w:t>
      </w:r>
      <w:r w:rsidR="0048150A" w:rsidRPr="00280550">
        <w:rPr>
          <w:rFonts w:eastAsia="Calibri"/>
        </w:rPr>
        <w:t>Soares et al., 2017</w:t>
      </w:r>
      <w:r w:rsidR="002D6607" w:rsidRPr="00280550">
        <w:rPr>
          <w:rFonts w:eastAsia="Calibri"/>
        </w:rPr>
        <w:t>). Depending on building use, construction techniques, materials used and reuse, among others, operational impacts o</w:t>
      </w:r>
      <w:r w:rsidR="004D3C08" w:rsidRPr="00280550">
        <w:rPr>
          <w:rFonts w:eastAsia="Calibri"/>
        </w:rPr>
        <w:t xml:space="preserve">f buildings could account for about 60%  to over 90% </w:t>
      </w:r>
      <w:r w:rsidR="002D6607" w:rsidRPr="00280550">
        <w:rPr>
          <w:rFonts w:eastAsia="Calibri"/>
        </w:rPr>
        <w:t>of the total lifecycle impacts (</w:t>
      </w:r>
      <w:r w:rsidR="004D3C08" w:rsidRPr="00280550">
        <w:t>Zhan et al., 2018; Soares et al., 2017; Ajayi et al., 2015</w:t>
      </w:r>
      <w:r w:rsidR="002D6607" w:rsidRPr="00280550">
        <w:rPr>
          <w:rFonts w:eastAsia="Calibri"/>
        </w:rPr>
        <w:t xml:space="preserve">). These impacts are specifically </w:t>
      </w:r>
      <w:r w:rsidR="00C741F6" w:rsidRPr="00280550">
        <w:rPr>
          <w:rFonts w:eastAsia="Calibri"/>
        </w:rPr>
        <w:t xml:space="preserve">due to energy used for building operation, maintenance and management </w:t>
      </w:r>
      <w:r w:rsidR="004D3C08" w:rsidRPr="00280550">
        <w:rPr>
          <w:rFonts w:eastAsia="Calibri"/>
        </w:rPr>
        <w:t xml:space="preserve">of conventional buildings </w:t>
      </w:r>
      <w:r w:rsidR="00C741F6" w:rsidRPr="00280550">
        <w:rPr>
          <w:rFonts w:eastAsia="Calibri"/>
        </w:rPr>
        <w:t>(</w:t>
      </w:r>
      <w:r w:rsidR="004D3C08" w:rsidRPr="00280550">
        <w:rPr>
          <w:rFonts w:eastAsia="Calibri"/>
        </w:rPr>
        <w:t>Soares et al., 2017</w:t>
      </w:r>
      <w:r w:rsidR="00C741F6" w:rsidRPr="00280550">
        <w:rPr>
          <w:rFonts w:eastAsia="Calibri"/>
        </w:rPr>
        <w:t xml:space="preserve">). </w:t>
      </w:r>
      <w:r w:rsidR="002D6607" w:rsidRPr="00280550">
        <w:rPr>
          <w:rFonts w:eastAsia="Calibri"/>
        </w:rPr>
        <w:t>As such,</w:t>
      </w:r>
      <w:r w:rsidR="00C741F6" w:rsidRPr="00280550">
        <w:rPr>
          <w:rFonts w:eastAsia="Calibri"/>
        </w:rPr>
        <w:t xml:space="preserve"> the use of renewable </w:t>
      </w:r>
      <w:r w:rsidR="00C741F6" w:rsidRPr="00280550">
        <w:rPr>
          <w:rFonts w:eastAsia="Calibri"/>
        </w:rPr>
        <w:lastRenderedPageBreak/>
        <w:t>energy system (</w:t>
      </w:r>
      <w:r w:rsidR="004D3C08" w:rsidRPr="00280550">
        <w:rPr>
          <w:rFonts w:eastAsia="Calibri"/>
        </w:rPr>
        <w:t>Chong et al., 2017</w:t>
      </w:r>
      <w:r w:rsidR="00C741F6" w:rsidRPr="00280550">
        <w:rPr>
          <w:rFonts w:eastAsia="Calibri"/>
        </w:rPr>
        <w:t>), as well as the</w:t>
      </w:r>
      <w:r w:rsidR="00105151" w:rsidRPr="00280550">
        <w:rPr>
          <w:rFonts w:eastAsia="Calibri"/>
        </w:rPr>
        <w:t xml:space="preserve"> changing </w:t>
      </w:r>
      <w:r w:rsidR="00C741F6" w:rsidRPr="00280550">
        <w:rPr>
          <w:rFonts w:eastAsia="Calibri"/>
        </w:rPr>
        <w:t xml:space="preserve">use pattern and user behaviour are essential to minimizing the overall impacts of buildings on the environment. </w:t>
      </w:r>
      <w:r w:rsidR="002D6607" w:rsidRPr="00280550">
        <w:rPr>
          <w:rFonts w:eastAsia="Calibri"/>
        </w:rPr>
        <w:t xml:space="preserve">This has become the main focus of the legislation, with various new ways of </w:t>
      </w:r>
      <w:r w:rsidR="00C741F6" w:rsidRPr="00280550">
        <w:rPr>
          <w:rFonts w:eastAsia="Calibri"/>
        </w:rPr>
        <w:t xml:space="preserve">efficiently </w:t>
      </w:r>
      <w:r w:rsidR="002D6607" w:rsidRPr="00280550">
        <w:rPr>
          <w:rFonts w:eastAsia="Calibri"/>
        </w:rPr>
        <w:t>operating buildings</w:t>
      </w:r>
      <w:r w:rsidR="00C741F6" w:rsidRPr="00280550">
        <w:rPr>
          <w:rFonts w:eastAsia="Calibri"/>
        </w:rPr>
        <w:t xml:space="preserve"> being innovated. </w:t>
      </w:r>
    </w:p>
    <w:p w14:paraId="50A4D77F" w14:textId="77777777" w:rsidR="0055032D" w:rsidRPr="00280550" w:rsidRDefault="0055032D" w:rsidP="0055032D">
      <w:pPr>
        <w:spacing w:after="0" w:line="360" w:lineRule="auto"/>
        <w:jc w:val="both"/>
        <w:rPr>
          <w:rFonts w:eastAsia="Calibri"/>
        </w:rPr>
      </w:pPr>
    </w:p>
    <w:p w14:paraId="6DD9BA5A" w14:textId="18A84F8D" w:rsidR="00E82A03" w:rsidRPr="00280550" w:rsidRDefault="001C6D44" w:rsidP="001C6D44">
      <w:pPr>
        <w:spacing w:after="0" w:line="360" w:lineRule="auto"/>
        <w:jc w:val="both"/>
        <w:rPr>
          <w:rFonts w:eastAsia="Calibri"/>
        </w:rPr>
      </w:pPr>
      <w:r w:rsidRPr="00280550">
        <w:rPr>
          <w:rFonts w:eastAsia="Calibri"/>
        </w:rPr>
        <w:t xml:space="preserve">In order to drive </w:t>
      </w:r>
      <w:r w:rsidR="001946E2" w:rsidRPr="00280550">
        <w:rPr>
          <w:rFonts w:eastAsia="Calibri"/>
        </w:rPr>
        <w:t xml:space="preserve">the </w:t>
      </w:r>
      <w:r w:rsidRPr="00280550">
        <w:rPr>
          <w:rFonts w:eastAsia="Calibri"/>
        </w:rPr>
        <w:t xml:space="preserve">sustainability </w:t>
      </w:r>
      <w:r w:rsidR="001946E2" w:rsidRPr="00280550">
        <w:rPr>
          <w:rFonts w:eastAsia="Calibri"/>
        </w:rPr>
        <w:t xml:space="preserve">of </w:t>
      </w:r>
      <w:r w:rsidRPr="00280550">
        <w:rPr>
          <w:rFonts w:eastAsia="Calibri"/>
        </w:rPr>
        <w:t xml:space="preserve">the built environment, </w:t>
      </w:r>
      <w:r w:rsidR="001946E2" w:rsidRPr="00280550">
        <w:rPr>
          <w:rFonts w:eastAsia="Calibri"/>
        </w:rPr>
        <w:t xml:space="preserve">including the building and its construction process, </w:t>
      </w:r>
      <w:r w:rsidRPr="00280550">
        <w:rPr>
          <w:rFonts w:eastAsia="Calibri"/>
        </w:rPr>
        <w:t>various policies, legislation and targets have been set. Some of these targets and mandates are in response to meeting the international targets for carbon emission and global warming, and they remain the major driver of sustainability within the built environment</w:t>
      </w:r>
      <w:r w:rsidR="0055032D" w:rsidRPr="00280550">
        <w:rPr>
          <w:rFonts w:eastAsia="Calibri"/>
        </w:rPr>
        <w:t xml:space="preserve"> (</w:t>
      </w:r>
      <w:r w:rsidR="0048150A" w:rsidRPr="00280550">
        <w:rPr>
          <w:rFonts w:eastAsia="Calibri"/>
        </w:rPr>
        <w:t>Ajayi and Oyedele, 2017</w:t>
      </w:r>
      <w:r w:rsidR="0055032D" w:rsidRPr="00280550">
        <w:rPr>
          <w:rFonts w:eastAsia="Calibri"/>
        </w:rPr>
        <w:t>)</w:t>
      </w:r>
      <w:r w:rsidRPr="00280550">
        <w:rPr>
          <w:rFonts w:eastAsia="Calibri"/>
        </w:rPr>
        <w:t>.</w:t>
      </w:r>
      <w:r w:rsidR="0055032D" w:rsidRPr="00280550">
        <w:rPr>
          <w:rFonts w:eastAsia="Calibri"/>
        </w:rPr>
        <w:t xml:space="preserve"> </w:t>
      </w:r>
      <w:r w:rsidRPr="00280550">
        <w:rPr>
          <w:rFonts w:eastAsia="Calibri"/>
        </w:rPr>
        <w:t>These legislative requirements and targets have been developed into standards that are fast becoming a requirement for every construction project.</w:t>
      </w:r>
      <w:r w:rsidR="0055032D" w:rsidRPr="00280550">
        <w:rPr>
          <w:rFonts w:eastAsia="Calibri"/>
        </w:rPr>
        <w:t xml:space="preserve"> Examples of such legislative measures include the EU Renewable Energy Directive (2009), Energy Performance of Buildings Directive EPBD (2002/91/EC), Sustainable and Secure Buildings Act (2004), Waste (England and Wales) Regulations 2011 with (Amendment) 2012 and continuous revision to the part L of the Approved document, among other provisions (</w:t>
      </w:r>
      <w:r w:rsidR="0048150A" w:rsidRPr="00280550">
        <w:rPr>
          <w:rFonts w:eastAsia="Calibri"/>
        </w:rPr>
        <w:t>Edwards, 2014; Dixon et al., 2018</w:t>
      </w:r>
      <w:r w:rsidR="0055032D" w:rsidRPr="00280550">
        <w:rPr>
          <w:rFonts w:eastAsia="Calibri"/>
        </w:rPr>
        <w:t>)</w:t>
      </w:r>
    </w:p>
    <w:p w14:paraId="53F76509" w14:textId="4D4CF051" w:rsidR="00E82A03" w:rsidRPr="00280550" w:rsidRDefault="00E82A03" w:rsidP="00F63368">
      <w:pPr>
        <w:spacing w:after="0" w:line="360" w:lineRule="auto"/>
        <w:jc w:val="both"/>
        <w:rPr>
          <w:rFonts w:eastAsia="Calibri"/>
        </w:rPr>
      </w:pPr>
    </w:p>
    <w:p w14:paraId="17E63362" w14:textId="0A301E48" w:rsidR="00E82A03" w:rsidRPr="00280550" w:rsidRDefault="0048150A" w:rsidP="00F63368">
      <w:pPr>
        <w:spacing w:after="0" w:line="360" w:lineRule="auto"/>
        <w:jc w:val="both"/>
        <w:rPr>
          <w:rFonts w:eastAsia="Calibri"/>
        </w:rPr>
      </w:pPr>
      <w:r w:rsidRPr="00280550">
        <w:rPr>
          <w:rFonts w:eastAsia="Calibri"/>
        </w:rPr>
        <w:t>In addition to the legislative provisions, s</w:t>
      </w:r>
      <w:r w:rsidR="00E82A03" w:rsidRPr="00280550">
        <w:rPr>
          <w:rFonts w:eastAsia="Calibri"/>
        </w:rPr>
        <w:t xml:space="preserve">ustainable design appraisal systems </w:t>
      </w:r>
      <w:r w:rsidRPr="00280550">
        <w:rPr>
          <w:rFonts w:eastAsia="Calibri"/>
        </w:rPr>
        <w:t xml:space="preserve">have been developed to drive </w:t>
      </w:r>
      <w:r w:rsidR="00521C5D" w:rsidRPr="00280550">
        <w:rPr>
          <w:rFonts w:eastAsia="Calibri"/>
        </w:rPr>
        <w:t xml:space="preserve">the </w:t>
      </w:r>
      <w:r w:rsidRPr="00280550">
        <w:rPr>
          <w:rFonts w:eastAsia="Calibri"/>
          <w:noProof/>
        </w:rPr>
        <w:t>sustainability</w:t>
      </w:r>
      <w:r w:rsidRPr="00280550">
        <w:rPr>
          <w:rFonts w:eastAsia="Calibri"/>
        </w:rPr>
        <w:t xml:space="preserve"> of the built environment. </w:t>
      </w:r>
      <w:r w:rsidR="00D04F67" w:rsidRPr="00280550">
        <w:rPr>
          <w:rFonts w:eastAsia="Calibri"/>
        </w:rPr>
        <w:t>Across the globe, considerable effort has been made to develop various building performance assessment standards</w:t>
      </w:r>
      <w:r w:rsidR="00356453" w:rsidRPr="00280550">
        <w:rPr>
          <w:rFonts w:eastAsia="Calibri"/>
        </w:rPr>
        <w:t xml:space="preserve"> (Sharifi and Murayama, 2013). These sets of building assessment standards benchmarks various elements of building design and construction activities to award performance grade to the building (</w:t>
      </w:r>
      <w:r w:rsidR="00582DCA" w:rsidRPr="00280550">
        <w:rPr>
          <w:rFonts w:eastAsia="Calibri"/>
        </w:rPr>
        <w:t>Ding et al. 2008</w:t>
      </w:r>
      <w:r w:rsidR="00356453" w:rsidRPr="00280550">
        <w:rPr>
          <w:rFonts w:eastAsia="Calibri"/>
        </w:rPr>
        <w:t xml:space="preserve">). Following the introduction of the UK BREEAM in </w:t>
      </w:r>
      <w:r w:rsidR="005868B4" w:rsidRPr="00280550">
        <w:rPr>
          <w:rFonts w:eastAsia="Calibri"/>
        </w:rPr>
        <w:t>1990, various other assessment standards have been developed across the globe (</w:t>
      </w:r>
      <w:proofErr w:type="spellStart"/>
      <w:r w:rsidR="00EF2DC5" w:rsidRPr="00280550">
        <w:rPr>
          <w:rFonts w:eastAsia="Calibri"/>
        </w:rPr>
        <w:t>Illankoon</w:t>
      </w:r>
      <w:proofErr w:type="spellEnd"/>
      <w:r w:rsidR="00EF2DC5" w:rsidRPr="00280550">
        <w:rPr>
          <w:rFonts w:eastAsia="Calibri"/>
        </w:rPr>
        <w:t xml:space="preserve"> et al., 2017</w:t>
      </w:r>
      <w:r w:rsidR="005868B4" w:rsidRPr="00280550">
        <w:rPr>
          <w:rFonts w:eastAsia="Calibri"/>
        </w:rPr>
        <w:t xml:space="preserve">). These include the LEED in the US, BEPAC in Canada, CASBEE in Japan, Eco-Quantum in Netherlands and </w:t>
      </w:r>
      <w:proofErr w:type="spellStart"/>
      <w:r w:rsidR="005868B4" w:rsidRPr="00280550">
        <w:rPr>
          <w:rFonts w:eastAsia="Calibri"/>
        </w:rPr>
        <w:t>GreenStar</w:t>
      </w:r>
      <w:proofErr w:type="spellEnd"/>
      <w:r w:rsidR="005868B4" w:rsidRPr="00280550">
        <w:rPr>
          <w:rFonts w:eastAsia="Calibri"/>
        </w:rPr>
        <w:t xml:space="preserve"> in Australia, among others (Ding et al., 2008; Sharifi and Murayama, 2013</w:t>
      </w:r>
      <w:r w:rsidR="00225611" w:rsidRPr="00280550">
        <w:rPr>
          <w:rFonts w:eastAsia="Calibri"/>
        </w:rPr>
        <w:t>; Doan et al., 2017</w:t>
      </w:r>
      <w:r w:rsidR="005868B4" w:rsidRPr="00280550">
        <w:rPr>
          <w:rFonts w:eastAsia="Calibri"/>
        </w:rPr>
        <w:t>). According to Ding (2008), only Eco-Quantum is based on the whole building lifecycle</w:t>
      </w:r>
    </w:p>
    <w:p w14:paraId="48BC64B6" w14:textId="22B4ED6E" w:rsidR="00356453" w:rsidRPr="00280550" w:rsidRDefault="00356453" w:rsidP="00F63368">
      <w:pPr>
        <w:spacing w:after="0" w:line="360" w:lineRule="auto"/>
        <w:jc w:val="both"/>
        <w:rPr>
          <w:rFonts w:eastAsia="Calibri"/>
        </w:rPr>
      </w:pPr>
    </w:p>
    <w:p w14:paraId="12054DAF" w14:textId="54E3B5F9" w:rsidR="00356453" w:rsidRPr="00280550" w:rsidRDefault="005868B4" w:rsidP="00F63368">
      <w:pPr>
        <w:spacing w:after="0" w:line="360" w:lineRule="auto"/>
        <w:jc w:val="both"/>
        <w:rPr>
          <w:rFonts w:eastAsia="Calibri"/>
        </w:rPr>
      </w:pPr>
      <w:r w:rsidRPr="00280550">
        <w:rPr>
          <w:rFonts w:eastAsia="Calibri"/>
        </w:rPr>
        <w:t xml:space="preserve">While some of these standards consider sustainability at the holistic level, covering social, economic and environmental aspects, some of them focussed on the operational energy efficiency of buildings without considering the embodied impacts of the materials and the </w:t>
      </w:r>
      <w:r w:rsidRPr="00280550">
        <w:rPr>
          <w:rFonts w:eastAsia="Calibri"/>
          <w:noProof/>
        </w:rPr>
        <w:t>environmental</w:t>
      </w:r>
      <w:r w:rsidRPr="00280550">
        <w:rPr>
          <w:rFonts w:eastAsia="Calibri"/>
        </w:rPr>
        <w:t xml:space="preserve"> </w:t>
      </w:r>
      <w:r w:rsidR="00D13C09" w:rsidRPr="00280550">
        <w:rPr>
          <w:rFonts w:eastAsia="Calibri"/>
        </w:rPr>
        <w:t xml:space="preserve">impacts </w:t>
      </w:r>
      <w:r w:rsidRPr="00280550">
        <w:rPr>
          <w:rFonts w:eastAsia="Calibri"/>
        </w:rPr>
        <w:t>of the actual construction process</w:t>
      </w:r>
      <w:r w:rsidR="00225611" w:rsidRPr="00280550">
        <w:rPr>
          <w:rFonts w:eastAsia="Calibri"/>
        </w:rPr>
        <w:t xml:space="preserve"> (Doan et al. 2017)</w:t>
      </w:r>
      <w:r w:rsidRPr="00280550">
        <w:rPr>
          <w:rFonts w:eastAsia="Calibri"/>
        </w:rPr>
        <w:t xml:space="preserve">. </w:t>
      </w:r>
      <w:r w:rsidR="00225611" w:rsidRPr="00280550">
        <w:rPr>
          <w:rFonts w:eastAsia="Calibri"/>
        </w:rPr>
        <w:t xml:space="preserve">With the exception of a few, most of the sustainable design appraisal systems have largely focused on the </w:t>
      </w:r>
      <w:r w:rsidR="00225611" w:rsidRPr="00280550">
        <w:rPr>
          <w:rFonts w:eastAsia="Calibri"/>
        </w:rPr>
        <w:lastRenderedPageBreak/>
        <w:t>environmental pillars of sustainability (</w:t>
      </w:r>
      <w:proofErr w:type="spellStart"/>
      <w:r w:rsidR="00225611" w:rsidRPr="00280550">
        <w:rPr>
          <w:rFonts w:eastAsia="Calibri"/>
        </w:rPr>
        <w:t>Illankoon</w:t>
      </w:r>
      <w:proofErr w:type="spellEnd"/>
      <w:r w:rsidR="00225611" w:rsidRPr="00280550">
        <w:rPr>
          <w:rFonts w:eastAsia="Calibri"/>
        </w:rPr>
        <w:t xml:space="preserve"> et al., 2017). </w:t>
      </w:r>
      <w:r w:rsidRPr="00280550">
        <w:rPr>
          <w:rFonts w:eastAsia="Calibri"/>
        </w:rPr>
        <w:t>Notwithstanding this, evidence suggests that the sustainable design appraisal systems have been effectively doing what they were designed to do by driving sustainability of the built environment (</w:t>
      </w:r>
      <w:r w:rsidR="00C74DAF" w:rsidRPr="00280550">
        <w:rPr>
          <w:rFonts w:eastAsia="Calibri"/>
        </w:rPr>
        <w:t xml:space="preserve">Doan et al., 2017; </w:t>
      </w:r>
      <w:proofErr w:type="spellStart"/>
      <w:r w:rsidR="00C74DAF" w:rsidRPr="00280550">
        <w:rPr>
          <w:rFonts w:eastAsia="Calibri"/>
        </w:rPr>
        <w:t>Büyüközkan</w:t>
      </w:r>
      <w:proofErr w:type="spellEnd"/>
      <w:r w:rsidR="00C74DAF" w:rsidRPr="00280550">
        <w:rPr>
          <w:rFonts w:eastAsia="Calibri"/>
        </w:rPr>
        <w:t xml:space="preserve"> and </w:t>
      </w:r>
      <w:proofErr w:type="spellStart"/>
      <w:r w:rsidR="00C74DAF" w:rsidRPr="00280550">
        <w:rPr>
          <w:rFonts w:eastAsia="Calibri"/>
        </w:rPr>
        <w:t>Karabulut</w:t>
      </w:r>
      <w:proofErr w:type="spellEnd"/>
      <w:r w:rsidR="00C74DAF" w:rsidRPr="00280550">
        <w:rPr>
          <w:rFonts w:eastAsia="Calibri"/>
        </w:rPr>
        <w:t>, 2018</w:t>
      </w:r>
      <w:r w:rsidRPr="00280550">
        <w:rPr>
          <w:rFonts w:eastAsia="Calibri"/>
        </w:rPr>
        <w:t>)</w:t>
      </w:r>
      <w:r w:rsidR="00225611" w:rsidRPr="00280550">
        <w:rPr>
          <w:rFonts w:eastAsia="Calibri"/>
        </w:rPr>
        <w:t xml:space="preserve">. </w:t>
      </w:r>
      <w:r w:rsidR="00C74DAF" w:rsidRPr="00280550">
        <w:rPr>
          <w:rFonts w:eastAsia="Calibri"/>
        </w:rPr>
        <w:t xml:space="preserve">Nonetheless, continuous improvement and updating of the sustainable design appraisal systems </w:t>
      </w:r>
      <w:r w:rsidR="00D13C09" w:rsidRPr="00280550">
        <w:rPr>
          <w:rFonts w:eastAsia="Calibri"/>
          <w:noProof/>
        </w:rPr>
        <w:t>are</w:t>
      </w:r>
      <w:r w:rsidR="00C74DAF" w:rsidRPr="00280550">
        <w:rPr>
          <w:rFonts w:eastAsia="Calibri"/>
        </w:rPr>
        <w:t xml:space="preserve"> essential to its effectiveness in driving the sustainability of the built environment (Doan et al., 2017; </w:t>
      </w:r>
      <w:proofErr w:type="spellStart"/>
      <w:r w:rsidR="00C74DAF" w:rsidRPr="00280550">
        <w:rPr>
          <w:rFonts w:eastAsia="Calibri"/>
        </w:rPr>
        <w:t>Illankoon</w:t>
      </w:r>
      <w:proofErr w:type="spellEnd"/>
      <w:r w:rsidR="00C74DAF" w:rsidRPr="00280550">
        <w:rPr>
          <w:rFonts w:eastAsia="Calibri"/>
        </w:rPr>
        <w:t xml:space="preserve"> et al., 2017). </w:t>
      </w:r>
    </w:p>
    <w:p w14:paraId="3EC8EB99" w14:textId="77777777" w:rsidR="006B0497" w:rsidRPr="00280550" w:rsidRDefault="006B0497" w:rsidP="00F63368">
      <w:pPr>
        <w:spacing w:after="0" w:line="360" w:lineRule="auto"/>
        <w:jc w:val="both"/>
        <w:rPr>
          <w:rFonts w:eastAsia="Calibri"/>
        </w:rPr>
      </w:pPr>
    </w:p>
    <w:p w14:paraId="26E8689C" w14:textId="3A9D51F6" w:rsidR="00356453" w:rsidRPr="00280550" w:rsidRDefault="00C74DAF" w:rsidP="00F63368">
      <w:pPr>
        <w:spacing w:after="0" w:line="360" w:lineRule="auto"/>
        <w:jc w:val="both"/>
        <w:rPr>
          <w:rFonts w:eastAsia="Calibri"/>
        </w:rPr>
      </w:pPr>
      <w:r w:rsidRPr="00280550">
        <w:rPr>
          <w:rFonts w:eastAsia="Calibri"/>
        </w:rPr>
        <w:t xml:space="preserve">Lifecycle assessment </w:t>
      </w:r>
      <w:r w:rsidRPr="00280550">
        <w:rPr>
          <w:rFonts w:eastAsia="Calibri"/>
          <w:noProof/>
        </w:rPr>
        <w:t>consider</w:t>
      </w:r>
      <w:r w:rsidR="00D13C09" w:rsidRPr="00280550">
        <w:rPr>
          <w:rFonts w:eastAsia="Calibri"/>
          <w:noProof/>
        </w:rPr>
        <w:t>s</w:t>
      </w:r>
      <w:r w:rsidRPr="00280550">
        <w:rPr>
          <w:rFonts w:eastAsia="Calibri"/>
        </w:rPr>
        <w:t xml:space="preserve"> the whole life impacts of a product, covering its materials extraction, transportation, processing and manufacturing (</w:t>
      </w:r>
      <w:proofErr w:type="spellStart"/>
      <w:r w:rsidR="00862B78" w:rsidRPr="00280550">
        <w:rPr>
          <w:rFonts w:eastAsia="Calibri"/>
        </w:rPr>
        <w:t>Khasreen</w:t>
      </w:r>
      <w:proofErr w:type="spellEnd"/>
      <w:r w:rsidR="00862B78" w:rsidRPr="00280550">
        <w:rPr>
          <w:rFonts w:eastAsia="Calibri"/>
        </w:rPr>
        <w:t xml:space="preserve"> et al., 2009</w:t>
      </w:r>
      <w:r w:rsidRPr="00280550">
        <w:rPr>
          <w:rFonts w:eastAsia="Calibri"/>
        </w:rPr>
        <w:t xml:space="preserve">). In the case of a building, its lifecycle analysis covers all the processes involved from cradle to cradle, in case of its materials reuse or recycling, or from cradle to grave (Ajayi et al., 2015). Since the LCA covers the entire lifecycle of buildings, aligning the sustainable design appraisal tool with the LCA is essential to assigning appropriate environmental weight to various stages of </w:t>
      </w:r>
      <w:r w:rsidR="00D13C09" w:rsidRPr="00280550">
        <w:rPr>
          <w:rFonts w:eastAsia="Calibri"/>
        </w:rPr>
        <w:t xml:space="preserve">the </w:t>
      </w:r>
      <w:r w:rsidRPr="00280550">
        <w:rPr>
          <w:rFonts w:eastAsia="Calibri"/>
          <w:noProof/>
        </w:rPr>
        <w:t>building</w:t>
      </w:r>
      <w:r w:rsidRPr="00280550">
        <w:rPr>
          <w:rFonts w:eastAsia="Calibri"/>
        </w:rPr>
        <w:t xml:space="preserve"> lifecycle. </w:t>
      </w:r>
    </w:p>
    <w:p w14:paraId="17644BA9" w14:textId="08820350" w:rsidR="00356453" w:rsidRPr="00280550" w:rsidRDefault="00356453" w:rsidP="00F63368">
      <w:pPr>
        <w:spacing w:after="0" w:line="360" w:lineRule="auto"/>
        <w:jc w:val="both"/>
        <w:rPr>
          <w:rFonts w:eastAsia="Calibri"/>
        </w:rPr>
      </w:pPr>
    </w:p>
    <w:p w14:paraId="4BD0EA4C" w14:textId="77777777" w:rsidR="00E82A03" w:rsidRPr="00280550" w:rsidRDefault="00E82A03" w:rsidP="00F63368">
      <w:pPr>
        <w:spacing w:after="0" w:line="360" w:lineRule="auto"/>
        <w:jc w:val="both"/>
        <w:rPr>
          <w:lang w:eastAsia="en-US"/>
        </w:rPr>
      </w:pPr>
    </w:p>
    <w:p w14:paraId="0CB3A1BB" w14:textId="0F8F408D" w:rsidR="005316ED" w:rsidRPr="00280550" w:rsidRDefault="00E82A03" w:rsidP="00F63368">
      <w:pPr>
        <w:pStyle w:val="SectionHeading"/>
        <w:spacing w:after="0" w:line="360" w:lineRule="auto"/>
        <w:jc w:val="both"/>
      </w:pPr>
      <w:r w:rsidRPr="00280550">
        <w:t>2.1</w:t>
      </w:r>
      <w:r w:rsidR="00815028" w:rsidRPr="00280550">
        <w:t xml:space="preserve">. </w:t>
      </w:r>
      <w:r w:rsidR="005316ED" w:rsidRPr="00280550">
        <w:t>environmental scores per lifecycle stages of buildings</w:t>
      </w:r>
    </w:p>
    <w:p w14:paraId="62502B8B" w14:textId="5B9DB1D8" w:rsidR="005316ED" w:rsidRPr="00280550" w:rsidRDefault="005316ED" w:rsidP="00F63368">
      <w:pPr>
        <w:spacing w:after="0" w:line="360" w:lineRule="auto"/>
        <w:jc w:val="both"/>
      </w:pPr>
      <w:r w:rsidRPr="00280550">
        <w:t xml:space="preserve">Various sustainability assessment frameworks are being used for weighing </w:t>
      </w:r>
      <w:r w:rsidR="006B0497" w:rsidRPr="00280550">
        <w:t xml:space="preserve">the </w:t>
      </w:r>
      <w:r w:rsidRPr="00280550">
        <w:rPr>
          <w:noProof/>
        </w:rPr>
        <w:t>sustainability</w:t>
      </w:r>
      <w:r w:rsidRPr="00280550">
        <w:t xml:space="preserve"> of building design and construction activities. Detailed analysis of some of these frameworks is available in Ding (2008), Cole (2005), Sharifi and Murayama (2013) and Kajikawa et al. (2011). In this study, the effectiveness and appropriateness of the UK BREAAM and </w:t>
      </w:r>
      <w:proofErr w:type="spellStart"/>
      <w:r w:rsidRPr="00280550">
        <w:t>CfSH</w:t>
      </w:r>
      <w:proofErr w:type="spellEnd"/>
      <w:r w:rsidRPr="00280550">
        <w:t xml:space="preserve"> were evaluated based on the environmental weight assigned to different lifecycle stages of buildings. </w:t>
      </w:r>
      <w:r w:rsidR="00891281" w:rsidRPr="00280550">
        <w:t xml:space="preserve">The two frameworks were selected as the study is based in the UK. </w:t>
      </w:r>
      <w:r w:rsidRPr="00280550">
        <w:t xml:space="preserve">Although the sustainability assessment frameworks address the social, economic and environmental aspects of sustainability, this study is limited to </w:t>
      </w:r>
      <w:r w:rsidR="00EE0C49" w:rsidRPr="00280550">
        <w:t xml:space="preserve">the </w:t>
      </w:r>
      <w:r w:rsidRPr="00280550">
        <w:rPr>
          <w:noProof/>
        </w:rPr>
        <w:t>environmental</w:t>
      </w:r>
      <w:r w:rsidRPr="00280550">
        <w:t xml:space="preserve"> aspect of sustainability. This section presents a brief overview of the assessment framework and </w:t>
      </w:r>
      <w:r w:rsidRPr="00280550">
        <w:rPr>
          <w:noProof/>
        </w:rPr>
        <w:t>summarise</w:t>
      </w:r>
      <w:r w:rsidR="00EE0C49" w:rsidRPr="00280550">
        <w:rPr>
          <w:noProof/>
        </w:rPr>
        <w:t>s</w:t>
      </w:r>
      <w:r w:rsidRPr="00280550">
        <w:t xml:space="preserve"> the scores assigned to different sections of the framework. </w:t>
      </w:r>
    </w:p>
    <w:p w14:paraId="38A35E92" w14:textId="77777777" w:rsidR="005316ED" w:rsidRPr="00280550" w:rsidRDefault="005316ED" w:rsidP="00F63368">
      <w:pPr>
        <w:spacing w:after="0" w:line="360" w:lineRule="auto"/>
        <w:jc w:val="both"/>
      </w:pPr>
    </w:p>
    <w:p w14:paraId="6E6FD02B" w14:textId="67A67DDF" w:rsidR="005316ED" w:rsidRPr="00280550" w:rsidRDefault="00815028" w:rsidP="00F63368">
      <w:pPr>
        <w:pStyle w:val="SectionSub-heading"/>
        <w:spacing w:after="0" w:line="360" w:lineRule="auto"/>
        <w:jc w:val="both"/>
      </w:pPr>
      <w:r w:rsidRPr="00280550">
        <w:t>2.1.</w:t>
      </w:r>
      <w:r w:rsidR="00582DCA" w:rsidRPr="00280550">
        <w:t>1</w:t>
      </w:r>
      <w:r w:rsidRPr="00280550">
        <w:t xml:space="preserve"> </w:t>
      </w:r>
      <w:r w:rsidR="005316ED" w:rsidRPr="00280550">
        <w:t>BREEAM</w:t>
      </w:r>
    </w:p>
    <w:p w14:paraId="5291E640" w14:textId="77777777" w:rsidR="00F63368" w:rsidRPr="00280550" w:rsidRDefault="005316ED" w:rsidP="00F63368">
      <w:pPr>
        <w:spacing w:after="0" w:line="360" w:lineRule="auto"/>
        <w:jc w:val="both"/>
      </w:pPr>
      <w:r w:rsidRPr="00280550">
        <w:t xml:space="preserve">BREAAM is the first and world’s leading environmental assessment method for building. Its aim is to give environmental labelling to buildings by considering the best environmental practices that are incorporated into the planning, design, construction and operation of the </w:t>
      </w:r>
      <w:r w:rsidRPr="00280550">
        <w:lastRenderedPageBreak/>
        <w:t xml:space="preserve">buildings (BREEAM, 2014). The assessment framework covers various building schemes, which includes offices, retails, industrial, education, healthcare, multi-residential, court and prisons, among others (Kajikawa et al., 2011). </w:t>
      </w:r>
    </w:p>
    <w:p w14:paraId="423AFCFE" w14:textId="77777777" w:rsidR="00815028" w:rsidRPr="00280550" w:rsidRDefault="00815028" w:rsidP="00F63368">
      <w:pPr>
        <w:spacing w:after="0" w:line="360" w:lineRule="auto"/>
        <w:jc w:val="both"/>
      </w:pPr>
    </w:p>
    <w:p w14:paraId="6C086AA5" w14:textId="476AA427" w:rsidR="005316ED" w:rsidRPr="00280550" w:rsidRDefault="006B0497" w:rsidP="00F63368">
      <w:pPr>
        <w:spacing w:after="0" w:line="360" w:lineRule="auto"/>
        <w:jc w:val="both"/>
      </w:pPr>
      <w:r w:rsidRPr="00280550">
        <w:t>In BREEAM</w:t>
      </w:r>
      <w:r w:rsidR="005316ED" w:rsidRPr="00280550">
        <w:t xml:space="preserve">, buildings are assessed on nine key categories of performance, including energy, management, health and wellbeing materials, waste, pollution, and so on. As the 10th category, </w:t>
      </w:r>
      <w:r w:rsidR="00EF7185" w:rsidRPr="00280550">
        <w:rPr>
          <w:noProof/>
        </w:rPr>
        <w:t xml:space="preserve">an </w:t>
      </w:r>
      <w:r w:rsidR="005316ED" w:rsidRPr="00280550">
        <w:rPr>
          <w:noProof/>
        </w:rPr>
        <w:t>additional</w:t>
      </w:r>
      <w:r w:rsidR="005316ED" w:rsidRPr="00280550">
        <w:t xml:space="preserve"> score is assigned to a project, where stakeholders can demonstrate </w:t>
      </w:r>
      <w:r w:rsidR="00EF7185" w:rsidRPr="00280550">
        <w:t>an</w:t>
      </w:r>
      <w:r w:rsidR="005316ED" w:rsidRPr="00280550">
        <w:rPr>
          <w:noProof/>
        </w:rPr>
        <w:t>other innovative approach</w:t>
      </w:r>
      <w:r w:rsidR="005316ED" w:rsidRPr="00280550">
        <w:t xml:space="preserve"> than those included in the assessment framework. The total number of points or credits gained in each section is multiplied by an environmental weighting factor, which considers the relative importance of each of the total 10 sections (BREEAM, 2014). </w:t>
      </w:r>
    </w:p>
    <w:p w14:paraId="600F3A63" w14:textId="77777777" w:rsidR="004C6892" w:rsidRPr="00280550" w:rsidRDefault="004C6892" w:rsidP="00F63368">
      <w:pPr>
        <w:spacing w:after="0" w:line="360" w:lineRule="auto"/>
        <w:jc w:val="both"/>
      </w:pPr>
    </w:p>
    <w:p w14:paraId="19F03BFF" w14:textId="762FA650" w:rsidR="005316ED" w:rsidRPr="00280550" w:rsidRDefault="005316ED" w:rsidP="00F63368">
      <w:pPr>
        <w:spacing w:after="0" w:line="360" w:lineRule="auto"/>
        <w:jc w:val="both"/>
      </w:pPr>
      <w:r w:rsidRPr="00280550">
        <w:t xml:space="preserve">BREEAM consists of 5 categories of grades, which are </w:t>
      </w:r>
      <w:r w:rsidR="00EF7185" w:rsidRPr="00280550">
        <w:t xml:space="preserve">a </w:t>
      </w:r>
      <w:r w:rsidRPr="00280550">
        <w:rPr>
          <w:noProof/>
        </w:rPr>
        <w:t>pass</w:t>
      </w:r>
      <w:r w:rsidRPr="00280550">
        <w:t xml:space="preserve">, good, very good, excellent and outstanding, depending on the overall score achieved by a project. Based on the provisions of BREEAM and scores assigned to different building performance indicators, Table 1 shows a breakdown of scores assigned to different lifecycle stages of buildings. Since the BREAAM considers social and economic aspects of sustainability, scores assigned to activities that do not directly fall under any lifecycle environmental impacts of buildings are classified as "others" in </w:t>
      </w:r>
      <w:r w:rsidRPr="00280550">
        <w:rPr>
          <w:noProof/>
        </w:rPr>
        <w:t>table</w:t>
      </w:r>
      <w:r w:rsidRPr="00280550">
        <w:t xml:space="preserve"> 1. After multiplying the scores by the environmental weight assigned to each category of building performance indicator, the overall score per lifecycle stage </w:t>
      </w:r>
      <w:r w:rsidR="00EE0C49" w:rsidRPr="00280550">
        <w:rPr>
          <w:noProof/>
        </w:rPr>
        <w:t>is</w:t>
      </w:r>
      <w:r w:rsidRPr="00280550">
        <w:t xml:space="preserve"> put in </w:t>
      </w:r>
      <w:r w:rsidR="004A2BB5" w:rsidRPr="00280550">
        <w:t xml:space="preserve">the </w:t>
      </w:r>
      <w:r w:rsidRPr="00280550">
        <w:rPr>
          <w:noProof/>
        </w:rPr>
        <w:t>bracket</w:t>
      </w:r>
      <w:r w:rsidRPr="00280550">
        <w:t xml:space="preserve"> in the table.</w:t>
      </w:r>
    </w:p>
    <w:p w14:paraId="303A6973" w14:textId="77777777" w:rsidR="005316ED" w:rsidRPr="00280550" w:rsidRDefault="005316ED" w:rsidP="00F63368">
      <w:pPr>
        <w:spacing w:after="0" w:line="360" w:lineRule="auto"/>
        <w:jc w:val="both"/>
      </w:pPr>
    </w:p>
    <w:p w14:paraId="4BEC2303" w14:textId="30D928E5" w:rsidR="005316ED" w:rsidRPr="00280550" w:rsidRDefault="00815028" w:rsidP="00F63368">
      <w:pPr>
        <w:pStyle w:val="SectionSub-heading"/>
        <w:spacing w:after="0" w:line="360" w:lineRule="auto"/>
        <w:jc w:val="both"/>
      </w:pPr>
      <w:r w:rsidRPr="00280550">
        <w:t>2.</w:t>
      </w:r>
      <w:r w:rsidR="00582DCA" w:rsidRPr="00280550">
        <w:t>1.</w:t>
      </w:r>
      <w:r w:rsidRPr="00280550">
        <w:t xml:space="preserve">2. </w:t>
      </w:r>
      <w:r w:rsidR="00CB579D" w:rsidRPr="00280550">
        <w:t>Code for Sustainable Homes</w:t>
      </w:r>
    </w:p>
    <w:p w14:paraId="3D0819CF" w14:textId="738A4364" w:rsidR="005316ED" w:rsidRPr="00280550" w:rsidRDefault="005316ED" w:rsidP="00F63368">
      <w:pPr>
        <w:spacing w:after="0" w:line="360" w:lineRule="auto"/>
        <w:jc w:val="both"/>
      </w:pPr>
      <w:r w:rsidRPr="00280550">
        <w:t xml:space="preserve"> The C</w:t>
      </w:r>
      <w:r w:rsidR="00A47ECF" w:rsidRPr="00280550">
        <w:t xml:space="preserve">ode </w:t>
      </w:r>
      <w:r w:rsidRPr="00280550">
        <w:t>f</w:t>
      </w:r>
      <w:r w:rsidR="00A47ECF" w:rsidRPr="00280550">
        <w:t xml:space="preserve">or </w:t>
      </w:r>
      <w:r w:rsidRPr="00280550">
        <w:t>S</w:t>
      </w:r>
      <w:r w:rsidR="00A47ECF" w:rsidRPr="00280550">
        <w:t xml:space="preserve">ustainable </w:t>
      </w:r>
      <w:r w:rsidRPr="00280550">
        <w:t>H</w:t>
      </w:r>
      <w:r w:rsidR="00A47ECF" w:rsidRPr="00280550">
        <w:t>omes</w:t>
      </w:r>
      <w:r w:rsidRPr="00280550">
        <w:t xml:space="preserve"> is another environmental assessment rating method for new homes that assessed </w:t>
      </w:r>
      <w:r w:rsidR="00EE0C49" w:rsidRPr="00280550">
        <w:t xml:space="preserve">the </w:t>
      </w:r>
      <w:r w:rsidRPr="00280550">
        <w:rPr>
          <w:noProof/>
        </w:rPr>
        <w:t>environmental</w:t>
      </w:r>
      <w:r w:rsidRPr="00280550">
        <w:t xml:space="preserve"> performance of residential buildings at the design and post-construction stage. It benchmarks building performance in nine categories of performance indicators, which include energy and carbon emissions, water, health and wellbeing, materials, waste and pollution, among others. Based on </w:t>
      </w:r>
      <w:r w:rsidR="006B0497" w:rsidRPr="00280550">
        <w:t xml:space="preserve">an </w:t>
      </w:r>
      <w:r w:rsidRPr="00280550">
        <w:rPr>
          <w:noProof/>
        </w:rPr>
        <w:t>analysis</w:t>
      </w:r>
      <w:r w:rsidRPr="00280550">
        <w:t xml:space="preserve"> of a building proposal, and depending on the overall score, a building could be scored from level 1 to level 6, with level six being the highest achievable standard. Before it was repealed in April 2015, every new build in England and Wales is expected to achieve code level 4 before it could be granted a building control approval. Its provisions have now been incorporated into the building regulation as the new national technical standard, which is set at the equivalent of a code level 4. Although the code is not based on building lifecycle stages, but rather on the nine categories of measures, a </w:t>
      </w:r>
      <w:r w:rsidRPr="00280550">
        <w:lastRenderedPageBreak/>
        <w:t xml:space="preserve">thorough analysis of the code for sustainable home was carried out to determine the total score assigned to different stages of </w:t>
      </w:r>
      <w:r w:rsidR="009508AD" w:rsidRPr="00280550">
        <w:t xml:space="preserve">the </w:t>
      </w:r>
      <w:r w:rsidRPr="00280550">
        <w:rPr>
          <w:noProof/>
        </w:rPr>
        <w:t>building</w:t>
      </w:r>
      <w:r w:rsidRPr="00280550">
        <w:t xml:space="preserve"> lifecycle. The result o</w:t>
      </w:r>
      <w:r w:rsidR="006B0497" w:rsidRPr="00280550">
        <w:t>f the analysis is presented in T</w:t>
      </w:r>
      <w:r w:rsidRPr="00280550">
        <w:t xml:space="preserve">able 2. </w:t>
      </w:r>
    </w:p>
    <w:p w14:paraId="7AD2ED5E" w14:textId="77777777" w:rsidR="00F63368" w:rsidRPr="00280550" w:rsidRDefault="00F63368" w:rsidP="00F63368">
      <w:pPr>
        <w:spacing w:after="0" w:line="360" w:lineRule="auto"/>
        <w:jc w:val="both"/>
      </w:pPr>
    </w:p>
    <w:p w14:paraId="08E920D1" w14:textId="77777777" w:rsidR="005316ED" w:rsidRPr="00280550" w:rsidRDefault="005316ED" w:rsidP="00F63368">
      <w:pPr>
        <w:spacing w:after="0" w:line="360" w:lineRule="auto"/>
        <w:jc w:val="both"/>
        <w:rPr>
          <w:b/>
          <w:i/>
        </w:rPr>
      </w:pPr>
      <w:r w:rsidRPr="00280550">
        <w:rPr>
          <w:b/>
          <w:i/>
        </w:rPr>
        <w:t xml:space="preserve"> Table 1: A breakdown of environmental impact weight per lifecycle stages in BREEAM</w:t>
      </w:r>
    </w:p>
    <w:tbl>
      <w:tblPr>
        <w:tblW w:w="8931" w:type="dxa"/>
        <w:tblInd w:w="107" w:type="dxa"/>
        <w:tblLayout w:type="fixed"/>
        <w:tblCellMar>
          <w:left w:w="107" w:type="dxa"/>
          <w:right w:w="107" w:type="dxa"/>
        </w:tblCellMar>
        <w:tblLook w:val="0000" w:firstRow="0" w:lastRow="0" w:firstColumn="0" w:lastColumn="0" w:noHBand="0" w:noVBand="0"/>
      </w:tblPr>
      <w:tblGrid>
        <w:gridCol w:w="2410"/>
        <w:gridCol w:w="936"/>
        <w:gridCol w:w="936"/>
        <w:gridCol w:w="936"/>
        <w:gridCol w:w="936"/>
        <w:gridCol w:w="936"/>
        <w:gridCol w:w="848"/>
        <w:gridCol w:w="993"/>
      </w:tblGrid>
      <w:tr w:rsidR="00280550" w:rsidRPr="00280550" w14:paraId="11419A43" w14:textId="77777777" w:rsidTr="00356453">
        <w:tc>
          <w:tcPr>
            <w:tcW w:w="2410" w:type="dxa"/>
            <w:tcBorders>
              <w:top w:val="single" w:sz="6" w:space="0" w:color="auto"/>
              <w:bottom w:val="single" w:sz="6" w:space="0" w:color="auto"/>
            </w:tcBorders>
          </w:tcPr>
          <w:p w14:paraId="729CBA87" w14:textId="77777777" w:rsidR="00F63368" w:rsidRPr="00280550" w:rsidRDefault="00F63368" w:rsidP="00F63368">
            <w:pPr>
              <w:pStyle w:val="TableContents-Left"/>
              <w:spacing w:after="0"/>
              <w:jc w:val="both"/>
            </w:pPr>
            <w:r w:rsidRPr="00280550">
              <w:t>Categories/considerations</w:t>
            </w:r>
          </w:p>
        </w:tc>
        <w:tc>
          <w:tcPr>
            <w:tcW w:w="936" w:type="dxa"/>
            <w:tcBorders>
              <w:top w:val="single" w:sz="6" w:space="0" w:color="auto"/>
              <w:bottom w:val="single" w:sz="6" w:space="0" w:color="auto"/>
            </w:tcBorders>
          </w:tcPr>
          <w:p w14:paraId="01ACCDA0" w14:textId="77777777" w:rsidR="00F63368" w:rsidRPr="00280550" w:rsidRDefault="00F63368" w:rsidP="00F63368">
            <w:pPr>
              <w:pStyle w:val="TableContents-Right"/>
              <w:spacing w:after="0"/>
              <w:jc w:val="both"/>
            </w:pPr>
            <w:r w:rsidRPr="00280550">
              <w:t>A</w:t>
            </w:r>
          </w:p>
        </w:tc>
        <w:tc>
          <w:tcPr>
            <w:tcW w:w="936" w:type="dxa"/>
            <w:tcBorders>
              <w:top w:val="single" w:sz="6" w:space="0" w:color="auto"/>
              <w:bottom w:val="single" w:sz="6" w:space="0" w:color="auto"/>
            </w:tcBorders>
          </w:tcPr>
          <w:p w14:paraId="5D591AE9" w14:textId="77777777" w:rsidR="00F63368" w:rsidRPr="00280550" w:rsidRDefault="00F63368" w:rsidP="00F63368">
            <w:pPr>
              <w:pStyle w:val="TableContents-Right"/>
              <w:spacing w:after="0"/>
              <w:jc w:val="both"/>
            </w:pPr>
            <w:r w:rsidRPr="00280550">
              <w:t>B</w:t>
            </w:r>
          </w:p>
        </w:tc>
        <w:tc>
          <w:tcPr>
            <w:tcW w:w="936" w:type="dxa"/>
            <w:tcBorders>
              <w:top w:val="single" w:sz="6" w:space="0" w:color="auto"/>
              <w:bottom w:val="single" w:sz="6" w:space="0" w:color="auto"/>
            </w:tcBorders>
          </w:tcPr>
          <w:p w14:paraId="3E6A47CB" w14:textId="77777777" w:rsidR="00F63368" w:rsidRPr="00280550" w:rsidRDefault="00F63368" w:rsidP="00F63368">
            <w:pPr>
              <w:pStyle w:val="TableContents-Right"/>
              <w:spacing w:after="0"/>
              <w:jc w:val="both"/>
            </w:pPr>
            <w:r w:rsidRPr="00280550">
              <w:t>C</w:t>
            </w:r>
          </w:p>
        </w:tc>
        <w:tc>
          <w:tcPr>
            <w:tcW w:w="936" w:type="dxa"/>
            <w:tcBorders>
              <w:top w:val="single" w:sz="6" w:space="0" w:color="auto"/>
              <w:bottom w:val="single" w:sz="6" w:space="0" w:color="auto"/>
            </w:tcBorders>
          </w:tcPr>
          <w:p w14:paraId="0E511DDA" w14:textId="77777777" w:rsidR="00F63368" w:rsidRPr="00280550" w:rsidRDefault="00F63368" w:rsidP="00F63368">
            <w:pPr>
              <w:pStyle w:val="TableContents-Right"/>
              <w:spacing w:after="0"/>
              <w:jc w:val="both"/>
            </w:pPr>
            <w:r w:rsidRPr="00280550">
              <w:t>D</w:t>
            </w:r>
          </w:p>
        </w:tc>
        <w:tc>
          <w:tcPr>
            <w:tcW w:w="936" w:type="dxa"/>
            <w:tcBorders>
              <w:top w:val="single" w:sz="6" w:space="0" w:color="auto"/>
              <w:bottom w:val="single" w:sz="6" w:space="0" w:color="auto"/>
            </w:tcBorders>
          </w:tcPr>
          <w:p w14:paraId="58F2E546" w14:textId="77777777" w:rsidR="00F63368" w:rsidRPr="00280550" w:rsidRDefault="00F63368" w:rsidP="00F63368">
            <w:pPr>
              <w:pStyle w:val="TableContents-Right"/>
              <w:spacing w:after="0"/>
              <w:jc w:val="both"/>
            </w:pPr>
            <w:r w:rsidRPr="00280550">
              <w:t>Others</w:t>
            </w:r>
          </w:p>
        </w:tc>
        <w:tc>
          <w:tcPr>
            <w:tcW w:w="848" w:type="dxa"/>
            <w:tcBorders>
              <w:top w:val="single" w:sz="6" w:space="0" w:color="auto"/>
              <w:bottom w:val="single" w:sz="6" w:space="0" w:color="auto"/>
            </w:tcBorders>
          </w:tcPr>
          <w:p w14:paraId="7952874B" w14:textId="77777777" w:rsidR="00F63368" w:rsidRPr="00280550" w:rsidRDefault="00F63368" w:rsidP="00F63368">
            <w:pPr>
              <w:pStyle w:val="TableContents-Right"/>
              <w:spacing w:after="0"/>
              <w:jc w:val="both"/>
            </w:pPr>
            <w:r w:rsidRPr="00280550">
              <w:t>Weight</w:t>
            </w:r>
          </w:p>
        </w:tc>
        <w:tc>
          <w:tcPr>
            <w:tcW w:w="993" w:type="dxa"/>
            <w:tcBorders>
              <w:top w:val="single" w:sz="6" w:space="0" w:color="auto"/>
              <w:bottom w:val="single" w:sz="6" w:space="0" w:color="auto"/>
            </w:tcBorders>
          </w:tcPr>
          <w:p w14:paraId="6E1D326B" w14:textId="77777777" w:rsidR="00F63368" w:rsidRPr="00280550" w:rsidRDefault="00F63368" w:rsidP="00F63368">
            <w:pPr>
              <w:pStyle w:val="TableContents-Right"/>
              <w:spacing w:after="0"/>
              <w:jc w:val="both"/>
            </w:pPr>
            <w:r w:rsidRPr="00280550">
              <w:t xml:space="preserve">Total </w:t>
            </w:r>
          </w:p>
          <w:p w14:paraId="71241B8B" w14:textId="77777777" w:rsidR="00F63368" w:rsidRPr="00280550" w:rsidRDefault="00F63368" w:rsidP="00F63368">
            <w:pPr>
              <w:pStyle w:val="TableContents-Right"/>
              <w:spacing w:after="0"/>
              <w:jc w:val="both"/>
            </w:pPr>
            <w:r w:rsidRPr="00280550">
              <w:t>Credit</w:t>
            </w:r>
          </w:p>
        </w:tc>
      </w:tr>
      <w:tr w:rsidR="00280550" w:rsidRPr="00280550" w14:paraId="33C91D2E" w14:textId="77777777" w:rsidTr="00356453">
        <w:tc>
          <w:tcPr>
            <w:tcW w:w="2410" w:type="dxa"/>
          </w:tcPr>
          <w:p w14:paraId="1CC7AC12" w14:textId="77777777" w:rsidR="00F63368" w:rsidRPr="00280550" w:rsidRDefault="00F63368" w:rsidP="00F63368">
            <w:pPr>
              <w:pStyle w:val="TableContents-Left"/>
              <w:spacing w:after="0"/>
              <w:jc w:val="both"/>
            </w:pPr>
            <w:r w:rsidRPr="00280550">
              <w:t>1. Management</w:t>
            </w:r>
          </w:p>
        </w:tc>
        <w:tc>
          <w:tcPr>
            <w:tcW w:w="936" w:type="dxa"/>
          </w:tcPr>
          <w:p w14:paraId="3320FD11" w14:textId="77777777" w:rsidR="00F63368" w:rsidRPr="00280550" w:rsidRDefault="00F63368" w:rsidP="00F63368">
            <w:pPr>
              <w:pStyle w:val="TableContents-Right"/>
              <w:spacing w:after="0"/>
              <w:jc w:val="both"/>
            </w:pPr>
          </w:p>
        </w:tc>
        <w:tc>
          <w:tcPr>
            <w:tcW w:w="936" w:type="dxa"/>
          </w:tcPr>
          <w:p w14:paraId="13993671" w14:textId="77777777" w:rsidR="00F63368" w:rsidRPr="00280550" w:rsidRDefault="00F63368" w:rsidP="00F63368">
            <w:pPr>
              <w:pStyle w:val="TableContents-Right"/>
              <w:spacing w:after="0"/>
              <w:jc w:val="both"/>
            </w:pPr>
            <w:r w:rsidRPr="00280550">
              <w:t>6 [0.72]</w:t>
            </w:r>
          </w:p>
        </w:tc>
        <w:tc>
          <w:tcPr>
            <w:tcW w:w="936" w:type="dxa"/>
          </w:tcPr>
          <w:p w14:paraId="77CA488A" w14:textId="77777777" w:rsidR="00F63368" w:rsidRPr="00280550" w:rsidRDefault="00F63368" w:rsidP="00F63368">
            <w:pPr>
              <w:pStyle w:val="TableContents-Right"/>
              <w:spacing w:after="0"/>
              <w:jc w:val="both"/>
            </w:pPr>
          </w:p>
        </w:tc>
        <w:tc>
          <w:tcPr>
            <w:tcW w:w="936" w:type="dxa"/>
          </w:tcPr>
          <w:p w14:paraId="264DDEE1" w14:textId="77777777" w:rsidR="00F63368" w:rsidRPr="00280550" w:rsidRDefault="00F63368" w:rsidP="00F63368">
            <w:pPr>
              <w:pStyle w:val="TableContents-Right"/>
              <w:spacing w:after="0"/>
              <w:jc w:val="both"/>
            </w:pPr>
          </w:p>
        </w:tc>
        <w:tc>
          <w:tcPr>
            <w:tcW w:w="936" w:type="dxa"/>
          </w:tcPr>
          <w:p w14:paraId="146C2440" w14:textId="77777777" w:rsidR="00F63368" w:rsidRPr="00280550" w:rsidRDefault="00F63368" w:rsidP="00F63368">
            <w:pPr>
              <w:pStyle w:val="TableContents-Right"/>
              <w:spacing w:after="0"/>
              <w:jc w:val="both"/>
            </w:pPr>
            <w:r w:rsidRPr="00280550">
              <w:t>16[1.92]</w:t>
            </w:r>
          </w:p>
        </w:tc>
        <w:tc>
          <w:tcPr>
            <w:tcW w:w="848" w:type="dxa"/>
          </w:tcPr>
          <w:p w14:paraId="13B75BCE" w14:textId="77777777" w:rsidR="00F63368" w:rsidRPr="00280550" w:rsidRDefault="00F63368" w:rsidP="00F63368">
            <w:pPr>
              <w:pStyle w:val="TableContents-Right"/>
              <w:spacing w:after="0"/>
              <w:jc w:val="both"/>
            </w:pPr>
            <w:r w:rsidRPr="00280550">
              <w:t>0.12</w:t>
            </w:r>
          </w:p>
        </w:tc>
        <w:tc>
          <w:tcPr>
            <w:tcW w:w="993" w:type="dxa"/>
          </w:tcPr>
          <w:p w14:paraId="7C49BC48" w14:textId="77777777" w:rsidR="00F63368" w:rsidRPr="00280550" w:rsidRDefault="00F63368" w:rsidP="00F63368">
            <w:pPr>
              <w:pStyle w:val="TableContents-Right"/>
              <w:spacing w:after="0"/>
              <w:jc w:val="both"/>
            </w:pPr>
            <w:r w:rsidRPr="00280550">
              <w:t>22 [2.64]</w:t>
            </w:r>
          </w:p>
        </w:tc>
      </w:tr>
      <w:tr w:rsidR="00280550" w:rsidRPr="00280550" w14:paraId="03645A76" w14:textId="77777777" w:rsidTr="00356453">
        <w:tc>
          <w:tcPr>
            <w:tcW w:w="2410" w:type="dxa"/>
          </w:tcPr>
          <w:p w14:paraId="45712D7A" w14:textId="77777777" w:rsidR="00F63368" w:rsidRPr="00280550" w:rsidRDefault="00F63368" w:rsidP="00F63368">
            <w:pPr>
              <w:pStyle w:val="TableContents-Left"/>
              <w:spacing w:after="0"/>
              <w:jc w:val="both"/>
            </w:pPr>
            <w:r w:rsidRPr="00280550">
              <w:t>2. Health and wellbeing</w:t>
            </w:r>
          </w:p>
        </w:tc>
        <w:tc>
          <w:tcPr>
            <w:tcW w:w="936" w:type="dxa"/>
          </w:tcPr>
          <w:p w14:paraId="21EA6AE7" w14:textId="77777777" w:rsidR="00F63368" w:rsidRPr="00280550" w:rsidRDefault="00F63368" w:rsidP="00F63368">
            <w:pPr>
              <w:pStyle w:val="TableContents-Right"/>
              <w:spacing w:after="0"/>
              <w:jc w:val="both"/>
            </w:pPr>
          </w:p>
        </w:tc>
        <w:tc>
          <w:tcPr>
            <w:tcW w:w="936" w:type="dxa"/>
          </w:tcPr>
          <w:p w14:paraId="3913E1A1" w14:textId="77777777" w:rsidR="00F63368" w:rsidRPr="00280550" w:rsidRDefault="00F63368" w:rsidP="00F63368">
            <w:pPr>
              <w:pStyle w:val="TableContents-Right"/>
              <w:spacing w:after="0"/>
              <w:jc w:val="both"/>
            </w:pPr>
          </w:p>
        </w:tc>
        <w:tc>
          <w:tcPr>
            <w:tcW w:w="936" w:type="dxa"/>
          </w:tcPr>
          <w:p w14:paraId="4AC3C2CA" w14:textId="77777777" w:rsidR="00F63368" w:rsidRPr="00280550" w:rsidRDefault="00F63368" w:rsidP="00F63368">
            <w:pPr>
              <w:pStyle w:val="TableContents-Right"/>
              <w:spacing w:after="0"/>
              <w:jc w:val="both"/>
            </w:pPr>
            <w:r w:rsidRPr="00280550">
              <w:t>4 [0.60]</w:t>
            </w:r>
          </w:p>
        </w:tc>
        <w:tc>
          <w:tcPr>
            <w:tcW w:w="936" w:type="dxa"/>
          </w:tcPr>
          <w:p w14:paraId="5314AF66" w14:textId="77777777" w:rsidR="00F63368" w:rsidRPr="00280550" w:rsidRDefault="00F63368" w:rsidP="00F63368">
            <w:pPr>
              <w:pStyle w:val="TableContents-Right"/>
              <w:spacing w:after="0"/>
              <w:jc w:val="both"/>
            </w:pPr>
          </w:p>
        </w:tc>
        <w:tc>
          <w:tcPr>
            <w:tcW w:w="936" w:type="dxa"/>
          </w:tcPr>
          <w:p w14:paraId="5B99CB19" w14:textId="77777777" w:rsidR="00F63368" w:rsidRPr="00280550" w:rsidRDefault="00F63368" w:rsidP="00F63368">
            <w:pPr>
              <w:pStyle w:val="TableContents-Right"/>
              <w:spacing w:after="0"/>
              <w:jc w:val="both"/>
            </w:pPr>
            <w:r w:rsidRPr="00280550">
              <w:t>6 [0.90]</w:t>
            </w:r>
          </w:p>
        </w:tc>
        <w:tc>
          <w:tcPr>
            <w:tcW w:w="848" w:type="dxa"/>
          </w:tcPr>
          <w:p w14:paraId="36115F44" w14:textId="77777777" w:rsidR="00F63368" w:rsidRPr="00280550" w:rsidRDefault="00F63368" w:rsidP="00F63368">
            <w:pPr>
              <w:pStyle w:val="TableContents-Right"/>
              <w:spacing w:after="0"/>
              <w:jc w:val="both"/>
            </w:pPr>
            <w:r w:rsidRPr="00280550">
              <w:t>0.15</w:t>
            </w:r>
          </w:p>
        </w:tc>
        <w:tc>
          <w:tcPr>
            <w:tcW w:w="993" w:type="dxa"/>
          </w:tcPr>
          <w:p w14:paraId="53807DBB" w14:textId="77777777" w:rsidR="00F63368" w:rsidRPr="00280550" w:rsidRDefault="00F63368" w:rsidP="00F63368">
            <w:pPr>
              <w:pStyle w:val="TableContents-Right"/>
              <w:spacing w:after="0"/>
              <w:jc w:val="both"/>
            </w:pPr>
            <w:r w:rsidRPr="00280550">
              <w:t>10 [1.50]</w:t>
            </w:r>
          </w:p>
        </w:tc>
      </w:tr>
      <w:tr w:rsidR="00280550" w:rsidRPr="00280550" w14:paraId="3AEDED8E" w14:textId="77777777" w:rsidTr="00356453">
        <w:tc>
          <w:tcPr>
            <w:tcW w:w="2410" w:type="dxa"/>
          </w:tcPr>
          <w:p w14:paraId="3BEF0715" w14:textId="77777777" w:rsidR="00F63368" w:rsidRPr="00280550" w:rsidRDefault="00F63368" w:rsidP="00F63368">
            <w:pPr>
              <w:pStyle w:val="TableContents-Left"/>
              <w:spacing w:after="0"/>
              <w:jc w:val="both"/>
            </w:pPr>
            <w:r w:rsidRPr="00280550">
              <w:t>3. Energy</w:t>
            </w:r>
          </w:p>
        </w:tc>
        <w:tc>
          <w:tcPr>
            <w:tcW w:w="936" w:type="dxa"/>
          </w:tcPr>
          <w:p w14:paraId="5BEF7C88" w14:textId="77777777" w:rsidR="00F63368" w:rsidRPr="00280550" w:rsidRDefault="00F63368" w:rsidP="00F63368">
            <w:pPr>
              <w:pStyle w:val="TableContents-Right"/>
              <w:spacing w:after="0"/>
              <w:jc w:val="both"/>
            </w:pPr>
          </w:p>
        </w:tc>
        <w:tc>
          <w:tcPr>
            <w:tcW w:w="936" w:type="dxa"/>
          </w:tcPr>
          <w:p w14:paraId="0D894753" w14:textId="77777777" w:rsidR="00F63368" w:rsidRPr="00280550" w:rsidRDefault="00F63368" w:rsidP="00F63368">
            <w:pPr>
              <w:pStyle w:val="TableContents-Right"/>
              <w:spacing w:after="0"/>
              <w:jc w:val="both"/>
            </w:pPr>
          </w:p>
        </w:tc>
        <w:tc>
          <w:tcPr>
            <w:tcW w:w="936" w:type="dxa"/>
          </w:tcPr>
          <w:p w14:paraId="6681ED6D" w14:textId="77777777" w:rsidR="00F63368" w:rsidRPr="00280550" w:rsidRDefault="00F63368" w:rsidP="00F63368">
            <w:pPr>
              <w:pStyle w:val="TableContents-Right"/>
              <w:spacing w:after="0"/>
              <w:jc w:val="both"/>
            </w:pPr>
            <w:r w:rsidRPr="00280550">
              <w:t>25[4.75]</w:t>
            </w:r>
          </w:p>
        </w:tc>
        <w:tc>
          <w:tcPr>
            <w:tcW w:w="936" w:type="dxa"/>
          </w:tcPr>
          <w:p w14:paraId="217E6A3B" w14:textId="77777777" w:rsidR="00F63368" w:rsidRPr="00280550" w:rsidRDefault="00F63368" w:rsidP="00F63368">
            <w:pPr>
              <w:pStyle w:val="TableContents-Right"/>
              <w:spacing w:after="0"/>
              <w:jc w:val="both"/>
            </w:pPr>
          </w:p>
        </w:tc>
        <w:tc>
          <w:tcPr>
            <w:tcW w:w="936" w:type="dxa"/>
          </w:tcPr>
          <w:p w14:paraId="09BE2809" w14:textId="77777777" w:rsidR="00F63368" w:rsidRPr="00280550" w:rsidRDefault="00F63368" w:rsidP="00F63368">
            <w:pPr>
              <w:pStyle w:val="TableContents-Right"/>
              <w:spacing w:after="0"/>
              <w:jc w:val="both"/>
            </w:pPr>
            <w:r w:rsidRPr="00280550">
              <w:t>5 [0.95]</w:t>
            </w:r>
          </w:p>
        </w:tc>
        <w:tc>
          <w:tcPr>
            <w:tcW w:w="848" w:type="dxa"/>
          </w:tcPr>
          <w:p w14:paraId="5F12A980" w14:textId="77777777" w:rsidR="00F63368" w:rsidRPr="00280550" w:rsidRDefault="00F63368" w:rsidP="00F63368">
            <w:pPr>
              <w:pStyle w:val="TableContents-Right"/>
              <w:spacing w:after="0"/>
              <w:jc w:val="both"/>
            </w:pPr>
            <w:r w:rsidRPr="00280550">
              <w:t>0.19</w:t>
            </w:r>
          </w:p>
        </w:tc>
        <w:tc>
          <w:tcPr>
            <w:tcW w:w="993" w:type="dxa"/>
          </w:tcPr>
          <w:p w14:paraId="69FD713C" w14:textId="77777777" w:rsidR="00F63368" w:rsidRPr="00280550" w:rsidRDefault="00F63368" w:rsidP="00F63368">
            <w:pPr>
              <w:pStyle w:val="TableContents-Right"/>
              <w:spacing w:after="0"/>
              <w:jc w:val="both"/>
            </w:pPr>
            <w:r w:rsidRPr="00280550">
              <w:t>30 [5.70]</w:t>
            </w:r>
          </w:p>
        </w:tc>
      </w:tr>
      <w:tr w:rsidR="00280550" w:rsidRPr="00280550" w14:paraId="04B67B95" w14:textId="77777777" w:rsidTr="00356453">
        <w:tc>
          <w:tcPr>
            <w:tcW w:w="2410" w:type="dxa"/>
          </w:tcPr>
          <w:p w14:paraId="54BF237F" w14:textId="77777777" w:rsidR="00F63368" w:rsidRPr="00280550" w:rsidRDefault="00F63368" w:rsidP="00F63368">
            <w:pPr>
              <w:pStyle w:val="TableContents-Left"/>
              <w:spacing w:after="0"/>
              <w:jc w:val="both"/>
            </w:pPr>
            <w:r w:rsidRPr="00280550">
              <w:t>4. Transportation</w:t>
            </w:r>
          </w:p>
        </w:tc>
        <w:tc>
          <w:tcPr>
            <w:tcW w:w="936" w:type="dxa"/>
          </w:tcPr>
          <w:p w14:paraId="43C1A0D8" w14:textId="77777777" w:rsidR="00F63368" w:rsidRPr="00280550" w:rsidRDefault="00F63368" w:rsidP="00F63368">
            <w:pPr>
              <w:pStyle w:val="TableContents-Right"/>
              <w:spacing w:after="0"/>
              <w:jc w:val="both"/>
            </w:pPr>
          </w:p>
        </w:tc>
        <w:tc>
          <w:tcPr>
            <w:tcW w:w="936" w:type="dxa"/>
          </w:tcPr>
          <w:p w14:paraId="764452E9" w14:textId="77777777" w:rsidR="00F63368" w:rsidRPr="00280550" w:rsidRDefault="00F63368" w:rsidP="00F63368">
            <w:pPr>
              <w:pStyle w:val="TableContents-Right"/>
              <w:spacing w:after="0"/>
              <w:jc w:val="both"/>
            </w:pPr>
          </w:p>
        </w:tc>
        <w:tc>
          <w:tcPr>
            <w:tcW w:w="936" w:type="dxa"/>
          </w:tcPr>
          <w:p w14:paraId="362DA9AF" w14:textId="77777777" w:rsidR="00F63368" w:rsidRPr="00280550" w:rsidRDefault="00F63368" w:rsidP="00F63368">
            <w:pPr>
              <w:pStyle w:val="TableContents-Right"/>
              <w:spacing w:after="0"/>
              <w:jc w:val="both"/>
            </w:pPr>
          </w:p>
        </w:tc>
        <w:tc>
          <w:tcPr>
            <w:tcW w:w="936" w:type="dxa"/>
          </w:tcPr>
          <w:p w14:paraId="10D36DED" w14:textId="77777777" w:rsidR="00F63368" w:rsidRPr="00280550" w:rsidRDefault="00F63368" w:rsidP="00F63368">
            <w:pPr>
              <w:pStyle w:val="TableContents-Right"/>
              <w:spacing w:after="0"/>
              <w:jc w:val="both"/>
            </w:pPr>
          </w:p>
        </w:tc>
        <w:tc>
          <w:tcPr>
            <w:tcW w:w="936" w:type="dxa"/>
          </w:tcPr>
          <w:p w14:paraId="1A2CDE4A" w14:textId="77777777" w:rsidR="00F63368" w:rsidRPr="00280550" w:rsidRDefault="00F63368" w:rsidP="00F63368">
            <w:pPr>
              <w:pStyle w:val="TableContents-Right"/>
              <w:spacing w:after="0"/>
              <w:jc w:val="both"/>
            </w:pPr>
            <w:r w:rsidRPr="00280550">
              <w:t>9 [0.72]</w:t>
            </w:r>
          </w:p>
        </w:tc>
        <w:tc>
          <w:tcPr>
            <w:tcW w:w="848" w:type="dxa"/>
          </w:tcPr>
          <w:p w14:paraId="46587168" w14:textId="77777777" w:rsidR="00F63368" w:rsidRPr="00280550" w:rsidRDefault="00F63368" w:rsidP="00F63368">
            <w:pPr>
              <w:pStyle w:val="TableContents-Right"/>
              <w:spacing w:after="0"/>
              <w:jc w:val="both"/>
            </w:pPr>
            <w:r w:rsidRPr="00280550">
              <w:t>0.08</w:t>
            </w:r>
          </w:p>
        </w:tc>
        <w:tc>
          <w:tcPr>
            <w:tcW w:w="993" w:type="dxa"/>
          </w:tcPr>
          <w:p w14:paraId="4A038948" w14:textId="77777777" w:rsidR="00F63368" w:rsidRPr="00280550" w:rsidRDefault="00F63368" w:rsidP="00F63368">
            <w:pPr>
              <w:pStyle w:val="TableContents-Right"/>
              <w:spacing w:after="0"/>
              <w:jc w:val="both"/>
            </w:pPr>
            <w:r w:rsidRPr="00280550">
              <w:t>9 [0.72]</w:t>
            </w:r>
          </w:p>
        </w:tc>
      </w:tr>
      <w:tr w:rsidR="00280550" w:rsidRPr="00280550" w14:paraId="7DF080FA" w14:textId="77777777" w:rsidTr="00356453">
        <w:tc>
          <w:tcPr>
            <w:tcW w:w="2410" w:type="dxa"/>
          </w:tcPr>
          <w:p w14:paraId="67AFB03C" w14:textId="77777777" w:rsidR="00F63368" w:rsidRPr="00280550" w:rsidRDefault="00F63368" w:rsidP="00F63368">
            <w:pPr>
              <w:pStyle w:val="TableContents-Left"/>
              <w:spacing w:after="0"/>
              <w:jc w:val="both"/>
            </w:pPr>
            <w:r w:rsidRPr="00280550">
              <w:t>5. Water</w:t>
            </w:r>
          </w:p>
        </w:tc>
        <w:tc>
          <w:tcPr>
            <w:tcW w:w="936" w:type="dxa"/>
          </w:tcPr>
          <w:p w14:paraId="5A08D4F9" w14:textId="77777777" w:rsidR="00F63368" w:rsidRPr="00280550" w:rsidRDefault="00F63368" w:rsidP="00F63368">
            <w:pPr>
              <w:pStyle w:val="TableContents-Right"/>
              <w:spacing w:after="0"/>
              <w:jc w:val="both"/>
            </w:pPr>
          </w:p>
        </w:tc>
        <w:tc>
          <w:tcPr>
            <w:tcW w:w="936" w:type="dxa"/>
          </w:tcPr>
          <w:p w14:paraId="1FDF32DE" w14:textId="77777777" w:rsidR="00F63368" w:rsidRPr="00280550" w:rsidRDefault="00F63368" w:rsidP="00F63368">
            <w:pPr>
              <w:pStyle w:val="TableContents-Right"/>
              <w:spacing w:after="0"/>
              <w:jc w:val="both"/>
            </w:pPr>
          </w:p>
        </w:tc>
        <w:tc>
          <w:tcPr>
            <w:tcW w:w="936" w:type="dxa"/>
          </w:tcPr>
          <w:p w14:paraId="50AF4364" w14:textId="77777777" w:rsidR="00F63368" w:rsidRPr="00280550" w:rsidRDefault="00F63368" w:rsidP="00F63368">
            <w:pPr>
              <w:pStyle w:val="TableContents-Right"/>
              <w:spacing w:after="0"/>
              <w:jc w:val="both"/>
            </w:pPr>
            <w:r w:rsidRPr="00280550">
              <w:t>6 [0.36]</w:t>
            </w:r>
          </w:p>
        </w:tc>
        <w:tc>
          <w:tcPr>
            <w:tcW w:w="936" w:type="dxa"/>
          </w:tcPr>
          <w:p w14:paraId="6EB93DE0" w14:textId="77777777" w:rsidR="00F63368" w:rsidRPr="00280550" w:rsidRDefault="00F63368" w:rsidP="00F63368">
            <w:pPr>
              <w:pStyle w:val="TableContents-Right"/>
              <w:spacing w:after="0"/>
              <w:jc w:val="both"/>
            </w:pPr>
          </w:p>
        </w:tc>
        <w:tc>
          <w:tcPr>
            <w:tcW w:w="936" w:type="dxa"/>
          </w:tcPr>
          <w:p w14:paraId="53879F74" w14:textId="77777777" w:rsidR="00F63368" w:rsidRPr="00280550" w:rsidRDefault="00F63368" w:rsidP="00F63368">
            <w:pPr>
              <w:pStyle w:val="TableContents-Right"/>
              <w:spacing w:after="0"/>
              <w:jc w:val="both"/>
            </w:pPr>
            <w:r w:rsidRPr="00280550">
              <w:t>3 [0.18]</w:t>
            </w:r>
          </w:p>
        </w:tc>
        <w:tc>
          <w:tcPr>
            <w:tcW w:w="848" w:type="dxa"/>
          </w:tcPr>
          <w:p w14:paraId="14FD0055" w14:textId="77777777" w:rsidR="00F63368" w:rsidRPr="00280550" w:rsidRDefault="00F63368" w:rsidP="00F63368">
            <w:pPr>
              <w:pStyle w:val="TableContents-Right"/>
              <w:spacing w:after="0"/>
              <w:jc w:val="both"/>
            </w:pPr>
            <w:r w:rsidRPr="00280550">
              <w:t>0.06</w:t>
            </w:r>
          </w:p>
        </w:tc>
        <w:tc>
          <w:tcPr>
            <w:tcW w:w="993" w:type="dxa"/>
          </w:tcPr>
          <w:p w14:paraId="49027287" w14:textId="77777777" w:rsidR="00F63368" w:rsidRPr="00280550" w:rsidRDefault="00F63368" w:rsidP="00F63368">
            <w:pPr>
              <w:pStyle w:val="TableContents-Right"/>
              <w:spacing w:after="0"/>
              <w:jc w:val="both"/>
            </w:pPr>
            <w:r w:rsidRPr="00280550">
              <w:t>9 [0.54]</w:t>
            </w:r>
          </w:p>
        </w:tc>
      </w:tr>
      <w:tr w:rsidR="00280550" w:rsidRPr="00280550" w14:paraId="6942302F" w14:textId="77777777" w:rsidTr="00356453">
        <w:tc>
          <w:tcPr>
            <w:tcW w:w="2410" w:type="dxa"/>
          </w:tcPr>
          <w:p w14:paraId="0E90F228" w14:textId="77777777" w:rsidR="00F63368" w:rsidRPr="00280550" w:rsidRDefault="00F63368" w:rsidP="00F63368">
            <w:pPr>
              <w:pStyle w:val="TableContents-Left"/>
              <w:spacing w:after="0"/>
              <w:jc w:val="both"/>
            </w:pPr>
            <w:r w:rsidRPr="00280550">
              <w:t>6. Materials</w:t>
            </w:r>
          </w:p>
        </w:tc>
        <w:tc>
          <w:tcPr>
            <w:tcW w:w="936" w:type="dxa"/>
          </w:tcPr>
          <w:p w14:paraId="69A69B68" w14:textId="77777777" w:rsidR="00F63368" w:rsidRPr="00280550" w:rsidRDefault="00F63368" w:rsidP="00F63368">
            <w:pPr>
              <w:pStyle w:val="TableContents-Right"/>
              <w:spacing w:after="0"/>
              <w:jc w:val="both"/>
            </w:pPr>
            <w:r w:rsidRPr="00280550">
              <w:t>10[1.25]</w:t>
            </w:r>
          </w:p>
        </w:tc>
        <w:tc>
          <w:tcPr>
            <w:tcW w:w="936" w:type="dxa"/>
          </w:tcPr>
          <w:p w14:paraId="37A4CB6F" w14:textId="77777777" w:rsidR="00F63368" w:rsidRPr="00280550" w:rsidRDefault="00F63368" w:rsidP="00F63368">
            <w:pPr>
              <w:pStyle w:val="TableContents-Right"/>
              <w:spacing w:after="0"/>
              <w:jc w:val="both"/>
            </w:pPr>
          </w:p>
        </w:tc>
        <w:tc>
          <w:tcPr>
            <w:tcW w:w="936" w:type="dxa"/>
          </w:tcPr>
          <w:p w14:paraId="481D3552" w14:textId="77777777" w:rsidR="00F63368" w:rsidRPr="00280550" w:rsidRDefault="00F63368" w:rsidP="00F63368">
            <w:pPr>
              <w:pStyle w:val="TableContents-Right"/>
              <w:spacing w:after="0"/>
              <w:jc w:val="both"/>
            </w:pPr>
            <w:r w:rsidRPr="00280550">
              <w:t>1[.125]</w:t>
            </w:r>
          </w:p>
        </w:tc>
        <w:tc>
          <w:tcPr>
            <w:tcW w:w="936" w:type="dxa"/>
          </w:tcPr>
          <w:p w14:paraId="23935605" w14:textId="77777777" w:rsidR="00F63368" w:rsidRPr="00280550" w:rsidRDefault="00F63368" w:rsidP="00F63368">
            <w:pPr>
              <w:pStyle w:val="TableContents-Right"/>
              <w:spacing w:after="0"/>
              <w:jc w:val="both"/>
            </w:pPr>
            <w:r w:rsidRPr="00280550">
              <w:t>1 [.125]</w:t>
            </w:r>
          </w:p>
        </w:tc>
        <w:tc>
          <w:tcPr>
            <w:tcW w:w="936" w:type="dxa"/>
          </w:tcPr>
          <w:p w14:paraId="6657BF60" w14:textId="77777777" w:rsidR="00F63368" w:rsidRPr="00280550" w:rsidRDefault="00F63368" w:rsidP="00F63368">
            <w:pPr>
              <w:pStyle w:val="TableContents-Right"/>
              <w:spacing w:after="0"/>
              <w:jc w:val="both"/>
            </w:pPr>
            <w:r w:rsidRPr="00280550">
              <w:t>0 [0.00]</w:t>
            </w:r>
          </w:p>
        </w:tc>
        <w:tc>
          <w:tcPr>
            <w:tcW w:w="848" w:type="dxa"/>
          </w:tcPr>
          <w:p w14:paraId="4F55C39B" w14:textId="77777777" w:rsidR="00F63368" w:rsidRPr="00280550" w:rsidRDefault="00F63368" w:rsidP="00F63368">
            <w:pPr>
              <w:pStyle w:val="TableContents-Right"/>
              <w:spacing w:after="0"/>
              <w:jc w:val="both"/>
            </w:pPr>
            <w:r w:rsidRPr="00280550">
              <w:t>0.125</w:t>
            </w:r>
          </w:p>
        </w:tc>
        <w:tc>
          <w:tcPr>
            <w:tcW w:w="993" w:type="dxa"/>
          </w:tcPr>
          <w:p w14:paraId="283DE335" w14:textId="77777777" w:rsidR="00F63368" w:rsidRPr="00280550" w:rsidRDefault="00F63368" w:rsidP="00F63368">
            <w:pPr>
              <w:pStyle w:val="TableContents-Right"/>
              <w:spacing w:after="0"/>
              <w:jc w:val="both"/>
            </w:pPr>
            <w:r w:rsidRPr="00280550">
              <w:t>12 [1.50]</w:t>
            </w:r>
          </w:p>
        </w:tc>
      </w:tr>
      <w:tr w:rsidR="00280550" w:rsidRPr="00280550" w14:paraId="318AF4C6" w14:textId="77777777" w:rsidTr="00356453">
        <w:tc>
          <w:tcPr>
            <w:tcW w:w="2410" w:type="dxa"/>
          </w:tcPr>
          <w:p w14:paraId="2B3F634D" w14:textId="77777777" w:rsidR="00F63368" w:rsidRPr="00280550" w:rsidRDefault="00F63368" w:rsidP="00F63368">
            <w:pPr>
              <w:pStyle w:val="TableContents-Left"/>
              <w:spacing w:after="0"/>
              <w:jc w:val="both"/>
            </w:pPr>
            <w:r w:rsidRPr="00280550">
              <w:t>7. Waste</w:t>
            </w:r>
          </w:p>
        </w:tc>
        <w:tc>
          <w:tcPr>
            <w:tcW w:w="936" w:type="dxa"/>
          </w:tcPr>
          <w:p w14:paraId="39D14DDA" w14:textId="77777777" w:rsidR="00F63368" w:rsidRPr="00280550" w:rsidRDefault="00F63368" w:rsidP="00F63368">
            <w:pPr>
              <w:pStyle w:val="TableContents-Right"/>
              <w:spacing w:after="0"/>
              <w:jc w:val="both"/>
            </w:pPr>
            <w:r w:rsidRPr="00280550">
              <w:t>1[0.075]</w:t>
            </w:r>
          </w:p>
        </w:tc>
        <w:tc>
          <w:tcPr>
            <w:tcW w:w="936" w:type="dxa"/>
          </w:tcPr>
          <w:p w14:paraId="2DA4659C" w14:textId="77777777" w:rsidR="00F63368" w:rsidRPr="00280550" w:rsidRDefault="00F63368" w:rsidP="00F63368">
            <w:pPr>
              <w:pStyle w:val="TableContents-Right"/>
              <w:spacing w:after="0"/>
              <w:jc w:val="both"/>
            </w:pPr>
            <w:r w:rsidRPr="00280550">
              <w:t>4 [0.30]</w:t>
            </w:r>
          </w:p>
        </w:tc>
        <w:tc>
          <w:tcPr>
            <w:tcW w:w="936" w:type="dxa"/>
          </w:tcPr>
          <w:p w14:paraId="16DADB1B" w14:textId="77777777" w:rsidR="00F63368" w:rsidRPr="00280550" w:rsidRDefault="00F63368" w:rsidP="00F63368">
            <w:pPr>
              <w:pStyle w:val="TableContents-Right"/>
              <w:spacing w:after="0"/>
              <w:jc w:val="both"/>
            </w:pPr>
            <w:r w:rsidRPr="00280550">
              <w:t>1[.075]</w:t>
            </w:r>
          </w:p>
        </w:tc>
        <w:tc>
          <w:tcPr>
            <w:tcW w:w="936" w:type="dxa"/>
          </w:tcPr>
          <w:p w14:paraId="65144E95" w14:textId="77777777" w:rsidR="00F63368" w:rsidRPr="00280550" w:rsidRDefault="00F63368" w:rsidP="00F63368">
            <w:pPr>
              <w:pStyle w:val="TableContents-Right"/>
              <w:spacing w:after="0"/>
              <w:jc w:val="both"/>
            </w:pPr>
            <w:r w:rsidRPr="00280550">
              <w:t>1[.075]</w:t>
            </w:r>
          </w:p>
        </w:tc>
        <w:tc>
          <w:tcPr>
            <w:tcW w:w="936" w:type="dxa"/>
          </w:tcPr>
          <w:p w14:paraId="571797AC" w14:textId="77777777" w:rsidR="00F63368" w:rsidRPr="00280550" w:rsidRDefault="00F63368" w:rsidP="00F63368">
            <w:pPr>
              <w:pStyle w:val="TableContents-Right"/>
              <w:spacing w:after="0"/>
              <w:jc w:val="both"/>
            </w:pPr>
            <w:r w:rsidRPr="00280550">
              <w:t>0 [0.00]</w:t>
            </w:r>
          </w:p>
        </w:tc>
        <w:tc>
          <w:tcPr>
            <w:tcW w:w="848" w:type="dxa"/>
          </w:tcPr>
          <w:p w14:paraId="3F2290C1" w14:textId="77777777" w:rsidR="00F63368" w:rsidRPr="00280550" w:rsidRDefault="00F63368" w:rsidP="00F63368">
            <w:pPr>
              <w:pStyle w:val="TableContents-Right"/>
              <w:spacing w:after="0"/>
              <w:jc w:val="both"/>
            </w:pPr>
            <w:r w:rsidRPr="00280550">
              <w:t>0.075</w:t>
            </w:r>
          </w:p>
        </w:tc>
        <w:tc>
          <w:tcPr>
            <w:tcW w:w="993" w:type="dxa"/>
          </w:tcPr>
          <w:p w14:paraId="2C180BD7" w14:textId="77777777" w:rsidR="00F63368" w:rsidRPr="00280550" w:rsidRDefault="00F63368" w:rsidP="00F63368">
            <w:pPr>
              <w:pStyle w:val="TableContents-Right"/>
              <w:spacing w:after="0"/>
              <w:jc w:val="both"/>
            </w:pPr>
            <w:r w:rsidRPr="00280550">
              <w:t>7 [0.525]</w:t>
            </w:r>
          </w:p>
        </w:tc>
      </w:tr>
      <w:tr w:rsidR="00280550" w:rsidRPr="00280550" w14:paraId="066D61FB" w14:textId="77777777" w:rsidTr="00356453">
        <w:tc>
          <w:tcPr>
            <w:tcW w:w="2410" w:type="dxa"/>
          </w:tcPr>
          <w:p w14:paraId="3ADD1637" w14:textId="77777777" w:rsidR="00F63368" w:rsidRPr="00280550" w:rsidRDefault="00F63368" w:rsidP="00F63368">
            <w:pPr>
              <w:pStyle w:val="TableContents-Left"/>
              <w:spacing w:after="0"/>
              <w:jc w:val="both"/>
            </w:pPr>
            <w:r w:rsidRPr="00280550">
              <w:t>8. Land use and ecology</w:t>
            </w:r>
          </w:p>
        </w:tc>
        <w:tc>
          <w:tcPr>
            <w:tcW w:w="936" w:type="dxa"/>
          </w:tcPr>
          <w:p w14:paraId="4EA9FDFE" w14:textId="77777777" w:rsidR="00F63368" w:rsidRPr="00280550" w:rsidRDefault="00F63368" w:rsidP="00F63368">
            <w:pPr>
              <w:pStyle w:val="TableContents-Right"/>
              <w:spacing w:after="0"/>
              <w:jc w:val="both"/>
            </w:pPr>
          </w:p>
        </w:tc>
        <w:tc>
          <w:tcPr>
            <w:tcW w:w="936" w:type="dxa"/>
          </w:tcPr>
          <w:p w14:paraId="6A81D416" w14:textId="77777777" w:rsidR="00F63368" w:rsidRPr="00280550" w:rsidRDefault="00F63368" w:rsidP="00F63368">
            <w:pPr>
              <w:pStyle w:val="TableContents-Right"/>
              <w:spacing w:after="0"/>
              <w:jc w:val="both"/>
            </w:pPr>
            <w:r w:rsidRPr="00280550">
              <w:t>1 [0.10]</w:t>
            </w:r>
          </w:p>
        </w:tc>
        <w:tc>
          <w:tcPr>
            <w:tcW w:w="936" w:type="dxa"/>
          </w:tcPr>
          <w:p w14:paraId="11B22F87" w14:textId="77777777" w:rsidR="00F63368" w:rsidRPr="00280550" w:rsidRDefault="00F63368" w:rsidP="00F63368">
            <w:pPr>
              <w:pStyle w:val="TableContents-Right"/>
              <w:spacing w:after="0"/>
              <w:jc w:val="both"/>
            </w:pPr>
          </w:p>
        </w:tc>
        <w:tc>
          <w:tcPr>
            <w:tcW w:w="936" w:type="dxa"/>
          </w:tcPr>
          <w:p w14:paraId="7BD61838" w14:textId="77777777" w:rsidR="00F63368" w:rsidRPr="00280550" w:rsidRDefault="00F63368" w:rsidP="00F63368">
            <w:pPr>
              <w:pStyle w:val="TableContents-Right"/>
              <w:spacing w:after="0"/>
              <w:jc w:val="both"/>
            </w:pPr>
          </w:p>
        </w:tc>
        <w:tc>
          <w:tcPr>
            <w:tcW w:w="936" w:type="dxa"/>
          </w:tcPr>
          <w:p w14:paraId="5F6C15CD" w14:textId="77777777" w:rsidR="00F63368" w:rsidRPr="00280550" w:rsidRDefault="00F63368" w:rsidP="00F63368">
            <w:pPr>
              <w:pStyle w:val="TableContents-Right"/>
              <w:spacing w:after="0"/>
              <w:jc w:val="both"/>
            </w:pPr>
            <w:r w:rsidRPr="00280550">
              <w:t>9 [0.90]</w:t>
            </w:r>
          </w:p>
        </w:tc>
        <w:tc>
          <w:tcPr>
            <w:tcW w:w="848" w:type="dxa"/>
          </w:tcPr>
          <w:p w14:paraId="508D443F" w14:textId="77777777" w:rsidR="00F63368" w:rsidRPr="00280550" w:rsidRDefault="00F63368" w:rsidP="00F63368">
            <w:pPr>
              <w:pStyle w:val="TableContents-Right"/>
              <w:spacing w:after="0"/>
              <w:jc w:val="both"/>
            </w:pPr>
            <w:r w:rsidRPr="00280550">
              <w:t>0.10</w:t>
            </w:r>
          </w:p>
        </w:tc>
        <w:tc>
          <w:tcPr>
            <w:tcW w:w="993" w:type="dxa"/>
          </w:tcPr>
          <w:p w14:paraId="567FF881" w14:textId="77777777" w:rsidR="00F63368" w:rsidRPr="00280550" w:rsidRDefault="00F63368" w:rsidP="00F63368">
            <w:pPr>
              <w:pStyle w:val="TableContents-Right"/>
              <w:spacing w:after="0"/>
              <w:jc w:val="both"/>
            </w:pPr>
            <w:r w:rsidRPr="00280550">
              <w:t>10 [1.00]</w:t>
            </w:r>
          </w:p>
        </w:tc>
      </w:tr>
      <w:tr w:rsidR="00280550" w:rsidRPr="00280550" w14:paraId="54B7779E" w14:textId="77777777" w:rsidTr="00356453">
        <w:tc>
          <w:tcPr>
            <w:tcW w:w="2410" w:type="dxa"/>
          </w:tcPr>
          <w:p w14:paraId="2D5489FD" w14:textId="77777777" w:rsidR="00F63368" w:rsidRPr="00280550" w:rsidRDefault="00F63368" w:rsidP="00F63368">
            <w:pPr>
              <w:pStyle w:val="TableContents-Left"/>
              <w:spacing w:after="0"/>
              <w:jc w:val="both"/>
            </w:pPr>
            <w:r w:rsidRPr="00280550">
              <w:t>9. Pollution</w:t>
            </w:r>
          </w:p>
        </w:tc>
        <w:tc>
          <w:tcPr>
            <w:tcW w:w="936" w:type="dxa"/>
          </w:tcPr>
          <w:p w14:paraId="1F3E8468" w14:textId="77777777" w:rsidR="00F63368" w:rsidRPr="00280550" w:rsidRDefault="00F63368" w:rsidP="00F63368">
            <w:pPr>
              <w:pStyle w:val="TableContents-Right"/>
              <w:spacing w:after="0"/>
              <w:jc w:val="both"/>
            </w:pPr>
          </w:p>
        </w:tc>
        <w:tc>
          <w:tcPr>
            <w:tcW w:w="936" w:type="dxa"/>
          </w:tcPr>
          <w:p w14:paraId="3C6A46EC" w14:textId="77777777" w:rsidR="00F63368" w:rsidRPr="00280550" w:rsidRDefault="00F63368" w:rsidP="00F63368">
            <w:pPr>
              <w:pStyle w:val="TableContents-Right"/>
              <w:spacing w:after="0"/>
              <w:jc w:val="both"/>
            </w:pPr>
          </w:p>
        </w:tc>
        <w:tc>
          <w:tcPr>
            <w:tcW w:w="936" w:type="dxa"/>
          </w:tcPr>
          <w:p w14:paraId="542FADF7" w14:textId="77777777" w:rsidR="00F63368" w:rsidRPr="00280550" w:rsidRDefault="00F63368" w:rsidP="00F63368">
            <w:pPr>
              <w:pStyle w:val="TableContents-Right"/>
              <w:spacing w:after="0"/>
              <w:jc w:val="both"/>
            </w:pPr>
            <w:r w:rsidRPr="00280550">
              <w:t>7 [0.7]</w:t>
            </w:r>
          </w:p>
        </w:tc>
        <w:tc>
          <w:tcPr>
            <w:tcW w:w="936" w:type="dxa"/>
          </w:tcPr>
          <w:p w14:paraId="4431BB97" w14:textId="77777777" w:rsidR="00F63368" w:rsidRPr="00280550" w:rsidRDefault="00F63368" w:rsidP="00F63368">
            <w:pPr>
              <w:pStyle w:val="TableContents-Right"/>
              <w:spacing w:after="0"/>
              <w:jc w:val="both"/>
            </w:pPr>
          </w:p>
        </w:tc>
        <w:tc>
          <w:tcPr>
            <w:tcW w:w="936" w:type="dxa"/>
          </w:tcPr>
          <w:p w14:paraId="42F6680C" w14:textId="77777777" w:rsidR="00F63368" w:rsidRPr="00280550" w:rsidRDefault="00F63368" w:rsidP="00F63368">
            <w:pPr>
              <w:pStyle w:val="TableContents-Right"/>
              <w:spacing w:after="0"/>
              <w:jc w:val="both"/>
            </w:pPr>
            <w:r w:rsidRPr="00280550">
              <w:t>6 [0.60]</w:t>
            </w:r>
          </w:p>
        </w:tc>
        <w:tc>
          <w:tcPr>
            <w:tcW w:w="848" w:type="dxa"/>
          </w:tcPr>
          <w:p w14:paraId="0202662F" w14:textId="77777777" w:rsidR="00F63368" w:rsidRPr="00280550" w:rsidRDefault="00F63368" w:rsidP="00F63368">
            <w:pPr>
              <w:pStyle w:val="TableContents-Right"/>
              <w:spacing w:after="0"/>
              <w:jc w:val="both"/>
            </w:pPr>
            <w:r w:rsidRPr="00280550">
              <w:t>0.10</w:t>
            </w:r>
          </w:p>
        </w:tc>
        <w:tc>
          <w:tcPr>
            <w:tcW w:w="993" w:type="dxa"/>
          </w:tcPr>
          <w:p w14:paraId="3116DA0A" w14:textId="77777777" w:rsidR="00F63368" w:rsidRPr="00280550" w:rsidRDefault="00F63368" w:rsidP="00F63368">
            <w:pPr>
              <w:pStyle w:val="TableContents-Right"/>
              <w:spacing w:after="0"/>
              <w:jc w:val="both"/>
            </w:pPr>
            <w:r w:rsidRPr="00280550">
              <w:t>13 [1.30]</w:t>
            </w:r>
          </w:p>
        </w:tc>
      </w:tr>
      <w:tr w:rsidR="00280550" w:rsidRPr="00280550" w14:paraId="296130C9" w14:textId="77777777" w:rsidTr="00356453">
        <w:tc>
          <w:tcPr>
            <w:tcW w:w="2410" w:type="dxa"/>
          </w:tcPr>
          <w:p w14:paraId="1D74CBE8" w14:textId="77777777" w:rsidR="00F63368" w:rsidRPr="00280550" w:rsidRDefault="00F63368" w:rsidP="00F63368">
            <w:pPr>
              <w:pStyle w:val="TableContents-Left"/>
              <w:spacing w:after="0"/>
              <w:jc w:val="both"/>
            </w:pPr>
            <w:r w:rsidRPr="00280550">
              <w:t>10. Innovation</w:t>
            </w:r>
          </w:p>
        </w:tc>
        <w:tc>
          <w:tcPr>
            <w:tcW w:w="936" w:type="dxa"/>
          </w:tcPr>
          <w:p w14:paraId="24BF3F27" w14:textId="77777777" w:rsidR="00F63368" w:rsidRPr="00280550" w:rsidRDefault="00F63368" w:rsidP="00F63368">
            <w:pPr>
              <w:pStyle w:val="TableContents-Right"/>
              <w:spacing w:after="0"/>
              <w:jc w:val="both"/>
            </w:pPr>
          </w:p>
        </w:tc>
        <w:tc>
          <w:tcPr>
            <w:tcW w:w="936" w:type="dxa"/>
          </w:tcPr>
          <w:p w14:paraId="57E673AA" w14:textId="77777777" w:rsidR="00F63368" w:rsidRPr="00280550" w:rsidRDefault="00F63368" w:rsidP="00F63368">
            <w:pPr>
              <w:pStyle w:val="TableContents-Right"/>
              <w:spacing w:after="0"/>
              <w:jc w:val="both"/>
            </w:pPr>
          </w:p>
        </w:tc>
        <w:tc>
          <w:tcPr>
            <w:tcW w:w="936" w:type="dxa"/>
          </w:tcPr>
          <w:p w14:paraId="3EF018F3" w14:textId="77777777" w:rsidR="00F63368" w:rsidRPr="00280550" w:rsidRDefault="00F63368" w:rsidP="00F63368">
            <w:pPr>
              <w:pStyle w:val="TableContents-Right"/>
              <w:spacing w:after="0"/>
              <w:jc w:val="both"/>
            </w:pPr>
          </w:p>
        </w:tc>
        <w:tc>
          <w:tcPr>
            <w:tcW w:w="936" w:type="dxa"/>
          </w:tcPr>
          <w:p w14:paraId="1BF9F41A" w14:textId="77777777" w:rsidR="00F63368" w:rsidRPr="00280550" w:rsidRDefault="00F63368" w:rsidP="00F63368">
            <w:pPr>
              <w:pStyle w:val="TableContents-Right"/>
              <w:spacing w:after="0"/>
              <w:jc w:val="both"/>
            </w:pPr>
          </w:p>
        </w:tc>
        <w:tc>
          <w:tcPr>
            <w:tcW w:w="936" w:type="dxa"/>
          </w:tcPr>
          <w:p w14:paraId="5F164A68" w14:textId="77777777" w:rsidR="00F63368" w:rsidRPr="00280550" w:rsidRDefault="00F63368" w:rsidP="00F63368">
            <w:pPr>
              <w:pStyle w:val="TableContents-Right"/>
              <w:spacing w:after="0"/>
              <w:jc w:val="both"/>
            </w:pPr>
            <w:r w:rsidRPr="00280550">
              <w:t>10[1.00]</w:t>
            </w:r>
          </w:p>
        </w:tc>
        <w:tc>
          <w:tcPr>
            <w:tcW w:w="848" w:type="dxa"/>
          </w:tcPr>
          <w:p w14:paraId="75316420" w14:textId="77777777" w:rsidR="00F63368" w:rsidRPr="00280550" w:rsidRDefault="00F63368" w:rsidP="00F63368">
            <w:pPr>
              <w:pStyle w:val="TableContents-Right"/>
              <w:spacing w:after="0"/>
              <w:jc w:val="both"/>
            </w:pPr>
            <w:r w:rsidRPr="00280550">
              <w:t>0.10</w:t>
            </w:r>
          </w:p>
        </w:tc>
        <w:tc>
          <w:tcPr>
            <w:tcW w:w="993" w:type="dxa"/>
          </w:tcPr>
          <w:p w14:paraId="02DB127E" w14:textId="77777777" w:rsidR="00F63368" w:rsidRPr="00280550" w:rsidRDefault="00F63368" w:rsidP="00F63368">
            <w:pPr>
              <w:pStyle w:val="TableContents-Right"/>
              <w:spacing w:after="0"/>
              <w:jc w:val="both"/>
            </w:pPr>
            <w:r w:rsidRPr="00280550">
              <w:t>10 [1.00]</w:t>
            </w:r>
          </w:p>
        </w:tc>
      </w:tr>
      <w:tr w:rsidR="00280550" w:rsidRPr="00280550" w14:paraId="5F8DDD90" w14:textId="77777777" w:rsidTr="00356453">
        <w:tc>
          <w:tcPr>
            <w:tcW w:w="2410" w:type="dxa"/>
          </w:tcPr>
          <w:p w14:paraId="10994DAA" w14:textId="77777777" w:rsidR="00F63368" w:rsidRPr="00280550" w:rsidRDefault="00F63368" w:rsidP="00F63368">
            <w:pPr>
              <w:pStyle w:val="TableContents-Left"/>
              <w:spacing w:after="0"/>
              <w:jc w:val="both"/>
            </w:pPr>
            <w:r w:rsidRPr="00280550">
              <w:t>Total</w:t>
            </w:r>
          </w:p>
        </w:tc>
        <w:tc>
          <w:tcPr>
            <w:tcW w:w="936" w:type="dxa"/>
          </w:tcPr>
          <w:p w14:paraId="6445378A" w14:textId="77777777" w:rsidR="00F63368" w:rsidRPr="00280550" w:rsidRDefault="00F63368" w:rsidP="00F63368">
            <w:pPr>
              <w:pStyle w:val="TableContents-Right"/>
              <w:spacing w:after="0"/>
              <w:jc w:val="both"/>
            </w:pPr>
            <w:r w:rsidRPr="00280550">
              <w:t>1.325</w:t>
            </w:r>
          </w:p>
        </w:tc>
        <w:tc>
          <w:tcPr>
            <w:tcW w:w="936" w:type="dxa"/>
          </w:tcPr>
          <w:p w14:paraId="4E709F98" w14:textId="77777777" w:rsidR="00F63368" w:rsidRPr="00280550" w:rsidRDefault="00F63368" w:rsidP="00F63368">
            <w:pPr>
              <w:pStyle w:val="TableContents-Right"/>
              <w:spacing w:after="0"/>
              <w:jc w:val="both"/>
            </w:pPr>
            <w:r w:rsidRPr="00280550">
              <w:t>1.12</w:t>
            </w:r>
          </w:p>
        </w:tc>
        <w:tc>
          <w:tcPr>
            <w:tcW w:w="936" w:type="dxa"/>
          </w:tcPr>
          <w:p w14:paraId="51A76ABA" w14:textId="77777777" w:rsidR="00F63368" w:rsidRPr="00280550" w:rsidRDefault="00F63368" w:rsidP="00F63368">
            <w:pPr>
              <w:pStyle w:val="TableContents-Right"/>
              <w:spacing w:after="0"/>
              <w:jc w:val="both"/>
            </w:pPr>
            <w:r w:rsidRPr="00280550">
              <w:t>6.61</w:t>
            </w:r>
          </w:p>
        </w:tc>
        <w:tc>
          <w:tcPr>
            <w:tcW w:w="936" w:type="dxa"/>
          </w:tcPr>
          <w:p w14:paraId="1EB6399D" w14:textId="77777777" w:rsidR="00F63368" w:rsidRPr="00280550" w:rsidRDefault="00F63368" w:rsidP="00F63368">
            <w:pPr>
              <w:pStyle w:val="TableContents-Right"/>
              <w:spacing w:after="0"/>
              <w:jc w:val="both"/>
            </w:pPr>
            <w:r w:rsidRPr="00280550">
              <w:t>0.2</w:t>
            </w:r>
          </w:p>
        </w:tc>
        <w:tc>
          <w:tcPr>
            <w:tcW w:w="936" w:type="dxa"/>
          </w:tcPr>
          <w:p w14:paraId="4FCCFFEB" w14:textId="77777777" w:rsidR="00F63368" w:rsidRPr="00280550" w:rsidRDefault="00F63368" w:rsidP="00F63368">
            <w:pPr>
              <w:pStyle w:val="TableContents-Right"/>
              <w:spacing w:after="0"/>
              <w:jc w:val="both"/>
            </w:pPr>
            <w:r w:rsidRPr="00280550">
              <w:t>7.17</w:t>
            </w:r>
          </w:p>
        </w:tc>
        <w:tc>
          <w:tcPr>
            <w:tcW w:w="848" w:type="dxa"/>
          </w:tcPr>
          <w:p w14:paraId="0682C9F1" w14:textId="77777777" w:rsidR="00F63368" w:rsidRPr="00280550" w:rsidRDefault="00F63368" w:rsidP="00F63368">
            <w:pPr>
              <w:pStyle w:val="TableContents-Right"/>
              <w:spacing w:after="0"/>
              <w:jc w:val="both"/>
            </w:pPr>
            <w:r w:rsidRPr="00280550">
              <w:t>-</w:t>
            </w:r>
          </w:p>
        </w:tc>
        <w:tc>
          <w:tcPr>
            <w:tcW w:w="993" w:type="dxa"/>
          </w:tcPr>
          <w:p w14:paraId="6289E7C8" w14:textId="77777777" w:rsidR="00F63368" w:rsidRPr="00280550" w:rsidRDefault="00F63368" w:rsidP="00F63368">
            <w:pPr>
              <w:pStyle w:val="TableContents-Right"/>
              <w:spacing w:after="0"/>
              <w:jc w:val="both"/>
            </w:pPr>
            <w:r w:rsidRPr="00280550">
              <w:t>16.425</w:t>
            </w:r>
          </w:p>
        </w:tc>
      </w:tr>
      <w:tr w:rsidR="00F63368" w:rsidRPr="00280550" w14:paraId="7EBF5B4F" w14:textId="77777777" w:rsidTr="00356453">
        <w:tc>
          <w:tcPr>
            <w:tcW w:w="2410" w:type="dxa"/>
            <w:tcBorders>
              <w:bottom w:val="single" w:sz="6" w:space="0" w:color="auto"/>
            </w:tcBorders>
          </w:tcPr>
          <w:p w14:paraId="6079CB75" w14:textId="77777777" w:rsidR="00F63368" w:rsidRPr="00280550" w:rsidRDefault="00F63368" w:rsidP="00F63368">
            <w:pPr>
              <w:pStyle w:val="TableContents-Left"/>
              <w:spacing w:after="0"/>
              <w:jc w:val="both"/>
            </w:pPr>
            <w:r w:rsidRPr="00280550">
              <w:t>Percentage impacts per lifecycle stage</w:t>
            </w:r>
          </w:p>
        </w:tc>
        <w:tc>
          <w:tcPr>
            <w:tcW w:w="936" w:type="dxa"/>
            <w:tcBorders>
              <w:bottom w:val="single" w:sz="6" w:space="0" w:color="auto"/>
            </w:tcBorders>
          </w:tcPr>
          <w:p w14:paraId="3B7F21CB" w14:textId="77777777" w:rsidR="00F63368" w:rsidRPr="00280550" w:rsidRDefault="00F63368" w:rsidP="00F63368">
            <w:pPr>
              <w:pStyle w:val="TableContents-Right"/>
              <w:spacing w:after="0"/>
              <w:jc w:val="both"/>
            </w:pPr>
            <w:r w:rsidRPr="00280550">
              <w:t>14.3%</w:t>
            </w:r>
          </w:p>
        </w:tc>
        <w:tc>
          <w:tcPr>
            <w:tcW w:w="936" w:type="dxa"/>
            <w:tcBorders>
              <w:bottom w:val="single" w:sz="6" w:space="0" w:color="auto"/>
            </w:tcBorders>
          </w:tcPr>
          <w:p w14:paraId="17403DDE" w14:textId="77777777" w:rsidR="00F63368" w:rsidRPr="00280550" w:rsidRDefault="00F63368" w:rsidP="00F63368">
            <w:pPr>
              <w:pStyle w:val="TableContents-Right"/>
              <w:spacing w:after="0"/>
              <w:jc w:val="both"/>
            </w:pPr>
            <w:r w:rsidRPr="00280550">
              <w:t>12.1%</w:t>
            </w:r>
          </w:p>
        </w:tc>
        <w:tc>
          <w:tcPr>
            <w:tcW w:w="936" w:type="dxa"/>
            <w:tcBorders>
              <w:bottom w:val="single" w:sz="6" w:space="0" w:color="auto"/>
            </w:tcBorders>
          </w:tcPr>
          <w:p w14:paraId="16922E50" w14:textId="77777777" w:rsidR="00F63368" w:rsidRPr="00280550" w:rsidRDefault="00F63368" w:rsidP="00F63368">
            <w:pPr>
              <w:pStyle w:val="TableContents-Right"/>
              <w:spacing w:after="0"/>
              <w:jc w:val="both"/>
            </w:pPr>
            <w:r w:rsidRPr="00280550">
              <w:t>71.4%</w:t>
            </w:r>
          </w:p>
        </w:tc>
        <w:tc>
          <w:tcPr>
            <w:tcW w:w="936" w:type="dxa"/>
            <w:tcBorders>
              <w:bottom w:val="single" w:sz="6" w:space="0" w:color="auto"/>
            </w:tcBorders>
          </w:tcPr>
          <w:p w14:paraId="0107838A" w14:textId="77777777" w:rsidR="00F63368" w:rsidRPr="00280550" w:rsidRDefault="00F63368" w:rsidP="00F63368">
            <w:pPr>
              <w:pStyle w:val="TableContents-Right"/>
              <w:spacing w:after="0"/>
              <w:jc w:val="both"/>
            </w:pPr>
            <w:r w:rsidRPr="00280550">
              <w:t>2.2%</w:t>
            </w:r>
          </w:p>
        </w:tc>
        <w:tc>
          <w:tcPr>
            <w:tcW w:w="936" w:type="dxa"/>
            <w:tcBorders>
              <w:bottom w:val="single" w:sz="6" w:space="0" w:color="auto"/>
            </w:tcBorders>
            <w:vAlign w:val="center"/>
          </w:tcPr>
          <w:p w14:paraId="184DFBC2" w14:textId="77777777" w:rsidR="00F63368" w:rsidRPr="00280550" w:rsidRDefault="00F63368" w:rsidP="00F63368">
            <w:pPr>
              <w:spacing w:after="0"/>
              <w:jc w:val="both"/>
            </w:pPr>
            <w:r w:rsidRPr="00280550">
              <w:t xml:space="preserve">          - </w:t>
            </w:r>
          </w:p>
        </w:tc>
        <w:tc>
          <w:tcPr>
            <w:tcW w:w="848" w:type="dxa"/>
            <w:tcBorders>
              <w:bottom w:val="single" w:sz="6" w:space="0" w:color="auto"/>
            </w:tcBorders>
          </w:tcPr>
          <w:p w14:paraId="02C004EB" w14:textId="77777777" w:rsidR="00F63368" w:rsidRPr="00280550" w:rsidRDefault="00F63368" w:rsidP="00F63368">
            <w:pPr>
              <w:pStyle w:val="TableContents-Right"/>
              <w:spacing w:after="0"/>
              <w:jc w:val="both"/>
            </w:pPr>
            <w:r w:rsidRPr="00280550">
              <w:t>-</w:t>
            </w:r>
          </w:p>
        </w:tc>
        <w:tc>
          <w:tcPr>
            <w:tcW w:w="993" w:type="dxa"/>
            <w:tcBorders>
              <w:bottom w:val="single" w:sz="6" w:space="0" w:color="auto"/>
            </w:tcBorders>
          </w:tcPr>
          <w:p w14:paraId="1B895645" w14:textId="77777777" w:rsidR="00F63368" w:rsidRPr="00280550" w:rsidRDefault="00F63368" w:rsidP="00F63368">
            <w:pPr>
              <w:pStyle w:val="TableContents-Right"/>
              <w:spacing w:after="0"/>
              <w:jc w:val="both"/>
            </w:pPr>
            <w:r w:rsidRPr="00280550">
              <w:t>100%</w:t>
            </w:r>
          </w:p>
        </w:tc>
      </w:tr>
    </w:tbl>
    <w:p w14:paraId="0E1EF4C7" w14:textId="77777777" w:rsidR="00F63368" w:rsidRPr="00280550" w:rsidRDefault="00F63368" w:rsidP="00F63368">
      <w:pPr>
        <w:spacing w:after="0" w:line="360" w:lineRule="auto"/>
        <w:jc w:val="both"/>
      </w:pPr>
    </w:p>
    <w:p w14:paraId="54A136F5" w14:textId="77777777" w:rsidR="00F63368" w:rsidRPr="00280550" w:rsidRDefault="00F63368" w:rsidP="00F63368">
      <w:pPr>
        <w:pStyle w:val="Captions"/>
        <w:spacing w:after="0"/>
        <w:jc w:val="both"/>
      </w:pPr>
      <w:r w:rsidRPr="00280550">
        <w:t xml:space="preserve">*A = Embodied energy and Products manufacturing stage; B = Construction and replacement stage; C= Operational (use) stage; D = End of Life stage </w:t>
      </w:r>
    </w:p>
    <w:p w14:paraId="47C6257A" w14:textId="6FE8E731" w:rsidR="00F63368" w:rsidRPr="00280550" w:rsidRDefault="00F63368" w:rsidP="00F63368">
      <w:pPr>
        <w:pStyle w:val="Captions"/>
        <w:spacing w:after="0"/>
        <w:jc w:val="both"/>
      </w:pPr>
      <w:r w:rsidRPr="00280550">
        <w:t xml:space="preserve">*Percentage per impact considers </w:t>
      </w:r>
      <w:r w:rsidR="004A2BB5" w:rsidRPr="00280550">
        <w:t xml:space="preserve">the </w:t>
      </w:r>
      <w:r w:rsidRPr="00280550">
        <w:rPr>
          <w:noProof/>
        </w:rPr>
        <w:t>proportion</w:t>
      </w:r>
      <w:r w:rsidRPr="00280550">
        <w:t xml:space="preserve"> of points assigned to each stage per total proportion for the whole lifecycle stages (excluding “others”)</w:t>
      </w:r>
    </w:p>
    <w:p w14:paraId="1798964F" w14:textId="77777777" w:rsidR="00F63368" w:rsidRPr="00280550" w:rsidRDefault="00F63368" w:rsidP="00F63368">
      <w:pPr>
        <w:spacing w:after="0" w:line="360" w:lineRule="auto"/>
        <w:jc w:val="both"/>
      </w:pPr>
    </w:p>
    <w:p w14:paraId="53CB1822" w14:textId="77777777" w:rsidR="00F63368" w:rsidRPr="00280550" w:rsidRDefault="00F63368" w:rsidP="00F63368">
      <w:pPr>
        <w:spacing w:after="0" w:line="360" w:lineRule="auto"/>
        <w:jc w:val="both"/>
      </w:pPr>
    </w:p>
    <w:p w14:paraId="3169BC79" w14:textId="77777777" w:rsidR="005316ED" w:rsidRPr="00280550" w:rsidRDefault="005316ED" w:rsidP="00F63368">
      <w:pPr>
        <w:pStyle w:val="Captions"/>
        <w:spacing w:after="0"/>
        <w:jc w:val="both"/>
      </w:pPr>
      <w:r w:rsidRPr="00280550">
        <w:t xml:space="preserve">Table 2: A breakdown of environmental impact weight assigned to lifecycle stages in </w:t>
      </w:r>
      <w:proofErr w:type="spellStart"/>
      <w:r w:rsidRPr="00280550">
        <w:t>CfSH</w:t>
      </w:r>
      <w:proofErr w:type="spellEnd"/>
    </w:p>
    <w:tbl>
      <w:tblPr>
        <w:tblW w:w="8682" w:type="dxa"/>
        <w:tblLayout w:type="fixed"/>
        <w:tblCellMar>
          <w:left w:w="107" w:type="dxa"/>
          <w:right w:w="107" w:type="dxa"/>
        </w:tblCellMar>
        <w:tblLook w:val="0000" w:firstRow="0" w:lastRow="0" w:firstColumn="0" w:lastColumn="0" w:noHBand="0" w:noVBand="0"/>
      </w:tblPr>
      <w:tblGrid>
        <w:gridCol w:w="3579"/>
        <w:gridCol w:w="709"/>
        <w:gridCol w:w="850"/>
        <w:gridCol w:w="851"/>
        <w:gridCol w:w="850"/>
        <w:gridCol w:w="993"/>
        <w:gridCol w:w="850"/>
      </w:tblGrid>
      <w:tr w:rsidR="00280550" w:rsidRPr="00280550" w14:paraId="171D6AAE" w14:textId="77777777" w:rsidTr="00356453">
        <w:tc>
          <w:tcPr>
            <w:tcW w:w="3579" w:type="dxa"/>
            <w:tcBorders>
              <w:top w:val="single" w:sz="6" w:space="0" w:color="auto"/>
              <w:bottom w:val="single" w:sz="6" w:space="0" w:color="auto"/>
            </w:tcBorders>
          </w:tcPr>
          <w:p w14:paraId="40704BEB" w14:textId="77777777" w:rsidR="005316ED" w:rsidRPr="00280550" w:rsidRDefault="005316ED" w:rsidP="00F63368">
            <w:pPr>
              <w:pStyle w:val="TableContents-Left"/>
              <w:spacing w:after="0"/>
              <w:jc w:val="both"/>
            </w:pPr>
            <w:r w:rsidRPr="00280550">
              <w:t>Categories/considerations</w:t>
            </w:r>
          </w:p>
        </w:tc>
        <w:tc>
          <w:tcPr>
            <w:tcW w:w="709" w:type="dxa"/>
            <w:tcBorders>
              <w:top w:val="single" w:sz="6" w:space="0" w:color="auto"/>
              <w:bottom w:val="single" w:sz="6" w:space="0" w:color="auto"/>
            </w:tcBorders>
          </w:tcPr>
          <w:p w14:paraId="2F1D47AB" w14:textId="77777777" w:rsidR="005316ED" w:rsidRPr="00280550" w:rsidRDefault="005316ED" w:rsidP="00F63368">
            <w:pPr>
              <w:pStyle w:val="TableContents-Right"/>
              <w:spacing w:after="0"/>
              <w:jc w:val="both"/>
            </w:pPr>
            <w:r w:rsidRPr="00280550">
              <w:t>A</w:t>
            </w:r>
          </w:p>
        </w:tc>
        <w:tc>
          <w:tcPr>
            <w:tcW w:w="850" w:type="dxa"/>
            <w:tcBorders>
              <w:top w:val="single" w:sz="6" w:space="0" w:color="auto"/>
              <w:bottom w:val="single" w:sz="6" w:space="0" w:color="auto"/>
            </w:tcBorders>
          </w:tcPr>
          <w:p w14:paraId="11534809" w14:textId="77777777" w:rsidR="005316ED" w:rsidRPr="00280550" w:rsidRDefault="005316ED" w:rsidP="00F63368">
            <w:pPr>
              <w:pStyle w:val="TableContents-Right"/>
              <w:spacing w:after="0"/>
              <w:jc w:val="both"/>
            </w:pPr>
            <w:r w:rsidRPr="00280550">
              <w:t>B</w:t>
            </w:r>
          </w:p>
        </w:tc>
        <w:tc>
          <w:tcPr>
            <w:tcW w:w="851" w:type="dxa"/>
            <w:tcBorders>
              <w:top w:val="single" w:sz="6" w:space="0" w:color="auto"/>
              <w:bottom w:val="single" w:sz="6" w:space="0" w:color="auto"/>
            </w:tcBorders>
          </w:tcPr>
          <w:p w14:paraId="42FF3DBD" w14:textId="77777777" w:rsidR="005316ED" w:rsidRPr="00280550" w:rsidRDefault="005316ED" w:rsidP="00F63368">
            <w:pPr>
              <w:pStyle w:val="TableContents-Right"/>
              <w:spacing w:after="0"/>
              <w:jc w:val="both"/>
            </w:pPr>
            <w:r w:rsidRPr="00280550">
              <w:t>C</w:t>
            </w:r>
          </w:p>
        </w:tc>
        <w:tc>
          <w:tcPr>
            <w:tcW w:w="850" w:type="dxa"/>
            <w:tcBorders>
              <w:top w:val="single" w:sz="6" w:space="0" w:color="auto"/>
              <w:bottom w:val="single" w:sz="6" w:space="0" w:color="auto"/>
            </w:tcBorders>
          </w:tcPr>
          <w:p w14:paraId="54F0458A" w14:textId="77777777" w:rsidR="005316ED" w:rsidRPr="00280550" w:rsidRDefault="005316ED" w:rsidP="00F63368">
            <w:pPr>
              <w:pStyle w:val="TableContents-Right"/>
              <w:spacing w:after="0"/>
              <w:jc w:val="both"/>
            </w:pPr>
            <w:r w:rsidRPr="00280550">
              <w:t>D</w:t>
            </w:r>
          </w:p>
        </w:tc>
        <w:tc>
          <w:tcPr>
            <w:tcW w:w="993" w:type="dxa"/>
            <w:tcBorders>
              <w:top w:val="single" w:sz="6" w:space="0" w:color="auto"/>
              <w:bottom w:val="single" w:sz="6" w:space="0" w:color="auto"/>
            </w:tcBorders>
          </w:tcPr>
          <w:p w14:paraId="20A89CB8" w14:textId="77777777" w:rsidR="005316ED" w:rsidRPr="00280550" w:rsidRDefault="005316ED" w:rsidP="00F63368">
            <w:pPr>
              <w:pStyle w:val="TableContents-Right"/>
              <w:spacing w:after="0"/>
              <w:jc w:val="both"/>
            </w:pPr>
            <w:r w:rsidRPr="00280550">
              <w:t>Others</w:t>
            </w:r>
          </w:p>
        </w:tc>
        <w:tc>
          <w:tcPr>
            <w:tcW w:w="850" w:type="dxa"/>
            <w:tcBorders>
              <w:top w:val="single" w:sz="6" w:space="0" w:color="auto"/>
              <w:bottom w:val="single" w:sz="6" w:space="0" w:color="auto"/>
            </w:tcBorders>
          </w:tcPr>
          <w:p w14:paraId="7F9113A9" w14:textId="77777777" w:rsidR="005316ED" w:rsidRPr="00280550" w:rsidRDefault="005316ED" w:rsidP="00F63368">
            <w:pPr>
              <w:pStyle w:val="TableContents-Right"/>
              <w:spacing w:after="0"/>
              <w:jc w:val="both"/>
            </w:pPr>
            <w:r w:rsidRPr="00280550">
              <w:t xml:space="preserve">Total </w:t>
            </w:r>
          </w:p>
          <w:p w14:paraId="7BAC2BE8" w14:textId="77777777" w:rsidR="005316ED" w:rsidRPr="00280550" w:rsidRDefault="005316ED" w:rsidP="00F63368">
            <w:pPr>
              <w:pStyle w:val="TableContents-Right"/>
              <w:spacing w:after="0"/>
              <w:jc w:val="both"/>
            </w:pPr>
            <w:r w:rsidRPr="00280550">
              <w:t>Credit</w:t>
            </w:r>
          </w:p>
        </w:tc>
      </w:tr>
      <w:tr w:rsidR="00280550" w:rsidRPr="00280550" w14:paraId="4B78CEEC" w14:textId="77777777" w:rsidTr="00356453">
        <w:tc>
          <w:tcPr>
            <w:tcW w:w="3579" w:type="dxa"/>
          </w:tcPr>
          <w:p w14:paraId="5E925160" w14:textId="77777777" w:rsidR="005316ED" w:rsidRPr="00280550" w:rsidRDefault="005316ED" w:rsidP="00F63368">
            <w:pPr>
              <w:pStyle w:val="TableContents-Left"/>
              <w:spacing w:after="0"/>
              <w:jc w:val="both"/>
            </w:pPr>
            <w:r w:rsidRPr="00280550">
              <w:t>1. Energy and CO2 emission (ECO 1 – 9)</w:t>
            </w:r>
          </w:p>
        </w:tc>
        <w:tc>
          <w:tcPr>
            <w:tcW w:w="709" w:type="dxa"/>
          </w:tcPr>
          <w:p w14:paraId="2E48CA9C" w14:textId="77777777" w:rsidR="005316ED" w:rsidRPr="00280550" w:rsidRDefault="005316ED" w:rsidP="00F63368">
            <w:pPr>
              <w:spacing w:after="0"/>
              <w:jc w:val="both"/>
            </w:pPr>
            <w:r w:rsidRPr="00280550">
              <w:t>2</w:t>
            </w:r>
          </w:p>
        </w:tc>
        <w:tc>
          <w:tcPr>
            <w:tcW w:w="850" w:type="dxa"/>
          </w:tcPr>
          <w:p w14:paraId="39918A61" w14:textId="77777777" w:rsidR="005316ED" w:rsidRPr="00280550" w:rsidRDefault="005316ED" w:rsidP="00F63368">
            <w:pPr>
              <w:spacing w:after="0"/>
              <w:jc w:val="both"/>
            </w:pPr>
            <w:r w:rsidRPr="00280550">
              <w:t>-</w:t>
            </w:r>
          </w:p>
        </w:tc>
        <w:tc>
          <w:tcPr>
            <w:tcW w:w="851" w:type="dxa"/>
          </w:tcPr>
          <w:p w14:paraId="1F767E90" w14:textId="77777777" w:rsidR="005316ED" w:rsidRPr="00280550" w:rsidRDefault="005316ED" w:rsidP="00F63368">
            <w:pPr>
              <w:spacing w:after="0"/>
              <w:jc w:val="both"/>
            </w:pPr>
            <w:r w:rsidRPr="00280550">
              <w:t>23</w:t>
            </w:r>
          </w:p>
        </w:tc>
        <w:tc>
          <w:tcPr>
            <w:tcW w:w="850" w:type="dxa"/>
          </w:tcPr>
          <w:p w14:paraId="1FE20D31" w14:textId="77777777" w:rsidR="005316ED" w:rsidRPr="00280550" w:rsidRDefault="005316ED" w:rsidP="00F63368">
            <w:pPr>
              <w:spacing w:after="0"/>
              <w:jc w:val="both"/>
            </w:pPr>
            <w:r w:rsidRPr="00280550">
              <w:t>-</w:t>
            </w:r>
          </w:p>
        </w:tc>
        <w:tc>
          <w:tcPr>
            <w:tcW w:w="993" w:type="dxa"/>
          </w:tcPr>
          <w:p w14:paraId="3E20D117" w14:textId="77777777" w:rsidR="005316ED" w:rsidRPr="00280550" w:rsidRDefault="005316ED" w:rsidP="00F63368">
            <w:pPr>
              <w:spacing w:after="0"/>
              <w:jc w:val="both"/>
            </w:pPr>
            <w:r w:rsidRPr="00280550">
              <w:t>4</w:t>
            </w:r>
          </w:p>
        </w:tc>
        <w:tc>
          <w:tcPr>
            <w:tcW w:w="850" w:type="dxa"/>
          </w:tcPr>
          <w:p w14:paraId="0C02335B" w14:textId="77777777" w:rsidR="005316ED" w:rsidRPr="00280550" w:rsidRDefault="005316ED" w:rsidP="00F63368">
            <w:pPr>
              <w:spacing w:after="0"/>
              <w:jc w:val="both"/>
            </w:pPr>
            <w:r w:rsidRPr="00280550">
              <w:t>29</w:t>
            </w:r>
          </w:p>
        </w:tc>
      </w:tr>
      <w:tr w:rsidR="00280550" w:rsidRPr="00280550" w14:paraId="7DA42AD1" w14:textId="77777777" w:rsidTr="00356453">
        <w:tc>
          <w:tcPr>
            <w:tcW w:w="3579" w:type="dxa"/>
          </w:tcPr>
          <w:p w14:paraId="74A71BA8" w14:textId="77777777" w:rsidR="005316ED" w:rsidRPr="00280550" w:rsidRDefault="005316ED" w:rsidP="00F63368">
            <w:pPr>
              <w:pStyle w:val="TableContents-Left"/>
              <w:spacing w:after="0"/>
              <w:jc w:val="both"/>
            </w:pPr>
            <w:r w:rsidRPr="00280550">
              <w:t>2. Water (WAT 1 – 2)</w:t>
            </w:r>
          </w:p>
        </w:tc>
        <w:tc>
          <w:tcPr>
            <w:tcW w:w="709" w:type="dxa"/>
          </w:tcPr>
          <w:p w14:paraId="49DCF9C3" w14:textId="77777777" w:rsidR="005316ED" w:rsidRPr="00280550" w:rsidRDefault="005316ED" w:rsidP="00F63368">
            <w:pPr>
              <w:spacing w:after="0"/>
              <w:jc w:val="both"/>
            </w:pPr>
            <w:r w:rsidRPr="00280550">
              <w:t>-</w:t>
            </w:r>
          </w:p>
        </w:tc>
        <w:tc>
          <w:tcPr>
            <w:tcW w:w="850" w:type="dxa"/>
          </w:tcPr>
          <w:p w14:paraId="3D667FE3" w14:textId="77777777" w:rsidR="005316ED" w:rsidRPr="00280550" w:rsidRDefault="005316ED" w:rsidP="00F63368">
            <w:pPr>
              <w:spacing w:after="0"/>
              <w:jc w:val="both"/>
            </w:pPr>
            <w:r w:rsidRPr="00280550">
              <w:t>-</w:t>
            </w:r>
          </w:p>
        </w:tc>
        <w:tc>
          <w:tcPr>
            <w:tcW w:w="851" w:type="dxa"/>
          </w:tcPr>
          <w:p w14:paraId="2044FD56" w14:textId="77777777" w:rsidR="005316ED" w:rsidRPr="00280550" w:rsidRDefault="005316ED" w:rsidP="00F63368">
            <w:pPr>
              <w:spacing w:after="0"/>
              <w:jc w:val="both"/>
            </w:pPr>
            <w:r w:rsidRPr="00280550">
              <w:t xml:space="preserve"> 6</w:t>
            </w:r>
          </w:p>
        </w:tc>
        <w:tc>
          <w:tcPr>
            <w:tcW w:w="850" w:type="dxa"/>
          </w:tcPr>
          <w:p w14:paraId="11B785DD" w14:textId="77777777" w:rsidR="005316ED" w:rsidRPr="00280550" w:rsidRDefault="005316ED" w:rsidP="00F63368">
            <w:pPr>
              <w:spacing w:after="0"/>
              <w:jc w:val="both"/>
            </w:pPr>
            <w:r w:rsidRPr="00280550">
              <w:t>-</w:t>
            </w:r>
          </w:p>
        </w:tc>
        <w:tc>
          <w:tcPr>
            <w:tcW w:w="993" w:type="dxa"/>
          </w:tcPr>
          <w:p w14:paraId="48973CE9" w14:textId="77777777" w:rsidR="005316ED" w:rsidRPr="00280550" w:rsidRDefault="005316ED" w:rsidP="00F63368">
            <w:pPr>
              <w:spacing w:after="0"/>
              <w:jc w:val="both"/>
            </w:pPr>
            <w:r w:rsidRPr="00280550">
              <w:t>-</w:t>
            </w:r>
          </w:p>
        </w:tc>
        <w:tc>
          <w:tcPr>
            <w:tcW w:w="850" w:type="dxa"/>
          </w:tcPr>
          <w:p w14:paraId="6D089760" w14:textId="77777777" w:rsidR="005316ED" w:rsidRPr="00280550" w:rsidRDefault="005316ED" w:rsidP="00F63368">
            <w:pPr>
              <w:spacing w:after="0"/>
              <w:jc w:val="both"/>
            </w:pPr>
            <w:r w:rsidRPr="00280550">
              <w:t>6</w:t>
            </w:r>
          </w:p>
        </w:tc>
      </w:tr>
      <w:tr w:rsidR="00280550" w:rsidRPr="00280550" w14:paraId="239EF6D5" w14:textId="77777777" w:rsidTr="00356453">
        <w:tc>
          <w:tcPr>
            <w:tcW w:w="3579" w:type="dxa"/>
          </w:tcPr>
          <w:p w14:paraId="1E0B9854" w14:textId="77777777" w:rsidR="005316ED" w:rsidRPr="00280550" w:rsidRDefault="005316ED" w:rsidP="00F63368">
            <w:pPr>
              <w:pStyle w:val="TableContents-Left"/>
              <w:spacing w:after="0"/>
              <w:jc w:val="both"/>
            </w:pPr>
            <w:r w:rsidRPr="00280550">
              <w:t>3. Materials (MAT 1 – 3)</w:t>
            </w:r>
          </w:p>
        </w:tc>
        <w:tc>
          <w:tcPr>
            <w:tcW w:w="709" w:type="dxa"/>
          </w:tcPr>
          <w:p w14:paraId="3DDF807E" w14:textId="77777777" w:rsidR="005316ED" w:rsidRPr="00280550" w:rsidRDefault="005316ED" w:rsidP="00F63368">
            <w:pPr>
              <w:spacing w:after="0"/>
              <w:jc w:val="both"/>
            </w:pPr>
            <w:r w:rsidRPr="00280550">
              <w:t>24</w:t>
            </w:r>
          </w:p>
        </w:tc>
        <w:tc>
          <w:tcPr>
            <w:tcW w:w="850" w:type="dxa"/>
          </w:tcPr>
          <w:p w14:paraId="42514188" w14:textId="77777777" w:rsidR="005316ED" w:rsidRPr="00280550" w:rsidRDefault="005316ED" w:rsidP="00F63368">
            <w:pPr>
              <w:spacing w:after="0"/>
              <w:jc w:val="both"/>
            </w:pPr>
            <w:r w:rsidRPr="00280550">
              <w:t>-</w:t>
            </w:r>
          </w:p>
        </w:tc>
        <w:tc>
          <w:tcPr>
            <w:tcW w:w="851" w:type="dxa"/>
          </w:tcPr>
          <w:p w14:paraId="424BDD7E" w14:textId="77777777" w:rsidR="005316ED" w:rsidRPr="00280550" w:rsidRDefault="005316ED" w:rsidP="00F63368">
            <w:pPr>
              <w:spacing w:after="0"/>
              <w:jc w:val="both"/>
            </w:pPr>
            <w:r w:rsidRPr="00280550">
              <w:t>-</w:t>
            </w:r>
          </w:p>
        </w:tc>
        <w:tc>
          <w:tcPr>
            <w:tcW w:w="850" w:type="dxa"/>
          </w:tcPr>
          <w:p w14:paraId="737CF181" w14:textId="77777777" w:rsidR="005316ED" w:rsidRPr="00280550" w:rsidRDefault="005316ED" w:rsidP="00F63368">
            <w:pPr>
              <w:spacing w:after="0"/>
              <w:jc w:val="both"/>
            </w:pPr>
            <w:r w:rsidRPr="00280550">
              <w:t>-</w:t>
            </w:r>
          </w:p>
        </w:tc>
        <w:tc>
          <w:tcPr>
            <w:tcW w:w="993" w:type="dxa"/>
          </w:tcPr>
          <w:p w14:paraId="1B49CDB0" w14:textId="77777777" w:rsidR="005316ED" w:rsidRPr="00280550" w:rsidRDefault="005316ED" w:rsidP="00F63368">
            <w:pPr>
              <w:spacing w:after="0"/>
              <w:jc w:val="both"/>
            </w:pPr>
            <w:r w:rsidRPr="00280550">
              <w:t>-</w:t>
            </w:r>
          </w:p>
        </w:tc>
        <w:tc>
          <w:tcPr>
            <w:tcW w:w="850" w:type="dxa"/>
          </w:tcPr>
          <w:p w14:paraId="79649B19" w14:textId="77777777" w:rsidR="005316ED" w:rsidRPr="00280550" w:rsidRDefault="005316ED" w:rsidP="00F63368">
            <w:pPr>
              <w:spacing w:after="0"/>
              <w:jc w:val="both"/>
            </w:pPr>
            <w:r w:rsidRPr="00280550">
              <w:t>24</w:t>
            </w:r>
          </w:p>
        </w:tc>
      </w:tr>
      <w:tr w:rsidR="00280550" w:rsidRPr="00280550" w14:paraId="2AAF72C7" w14:textId="77777777" w:rsidTr="00356453">
        <w:tc>
          <w:tcPr>
            <w:tcW w:w="3579" w:type="dxa"/>
          </w:tcPr>
          <w:p w14:paraId="247020D2" w14:textId="77777777" w:rsidR="005316ED" w:rsidRPr="00280550" w:rsidRDefault="005316ED" w:rsidP="00F63368">
            <w:pPr>
              <w:pStyle w:val="TableContents-Left"/>
              <w:spacing w:after="0"/>
              <w:jc w:val="both"/>
            </w:pPr>
            <w:r w:rsidRPr="00280550">
              <w:t>4. Surface Water Run-off (SUR 1 – 2)</w:t>
            </w:r>
          </w:p>
        </w:tc>
        <w:tc>
          <w:tcPr>
            <w:tcW w:w="709" w:type="dxa"/>
          </w:tcPr>
          <w:p w14:paraId="7CA7F127" w14:textId="77777777" w:rsidR="005316ED" w:rsidRPr="00280550" w:rsidRDefault="005316ED" w:rsidP="00F63368">
            <w:pPr>
              <w:spacing w:after="0"/>
              <w:jc w:val="both"/>
            </w:pPr>
            <w:r w:rsidRPr="00280550">
              <w:t>-</w:t>
            </w:r>
          </w:p>
        </w:tc>
        <w:tc>
          <w:tcPr>
            <w:tcW w:w="850" w:type="dxa"/>
          </w:tcPr>
          <w:p w14:paraId="51DB4F57" w14:textId="77777777" w:rsidR="005316ED" w:rsidRPr="00280550" w:rsidRDefault="005316ED" w:rsidP="00F63368">
            <w:pPr>
              <w:spacing w:after="0"/>
              <w:jc w:val="both"/>
            </w:pPr>
            <w:r w:rsidRPr="00280550">
              <w:t>-</w:t>
            </w:r>
          </w:p>
        </w:tc>
        <w:tc>
          <w:tcPr>
            <w:tcW w:w="851" w:type="dxa"/>
          </w:tcPr>
          <w:p w14:paraId="657FA547" w14:textId="77777777" w:rsidR="005316ED" w:rsidRPr="00280550" w:rsidRDefault="005316ED" w:rsidP="00F63368">
            <w:pPr>
              <w:spacing w:after="0"/>
              <w:jc w:val="both"/>
            </w:pPr>
            <w:r w:rsidRPr="00280550">
              <w:t>-</w:t>
            </w:r>
          </w:p>
        </w:tc>
        <w:tc>
          <w:tcPr>
            <w:tcW w:w="850" w:type="dxa"/>
          </w:tcPr>
          <w:p w14:paraId="6CF48B7A" w14:textId="77777777" w:rsidR="005316ED" w:rsidRPr="00280550" w:rsidRDefault="005316ED" w:rsidP="00F63368">
            <w:pPr>
              <w:spacing w:after="0"/>
              <w:jc w:val="both"/>
            </w:pPr>
            <w:r w:rsidRPr="00280550">
              <w:t>-</w:t>
            </w:r>
          </w:p>
        </w:tc>
        <w:tc>
          <w:tcPr>
            <w:tcW w:w="993" w:type="dxa"/>
          </w:tcPr>
          <w:p w14:paraId="7C97BCBB" w14:textId="77777777" w:rsidR="005316ED" w:rsidRPr="00280550" w:rsidRDefault="005316ED" w:rsidP="00F63368">
            <w:pPr>
              <w:spacing w:after="0"/>
              <w:jc w:val="both"/>
            </w:pPr>
            <w:r w:rsidRPr="00280550">
              <w:t>4</w:t>
            </w:r>
          </w:p>
        </w:tc>
        <w:tc>
          <w:tcPr>
            <w:tcW w:w="850" w:type="dxa"/>
          </w:tcPr>
          <w:p w14:paraId="6430440C" w14:textId="77777777" w:rsidR="005316ED" w:rsidRPr="00280550" w:rsidRDefault="005316ED" w:rsidP="00F63368">
            <w:pPr>
              <w:spacing w:after="0"/>
              <w:jc w:val="both"/>
            </w:pPr>
            <w:r w:rsidRPr="00280550">
              <w:t>4</w:t>
            </w:r>
          </w:p>
        </w:tc>
      </w:tr>
      <w:tr w:rsidR="00280550" w:rsidRPr="00280550" w14:paraId="7A2EF42F" w14:textId="77777777" w:rsidTr="00356453">
        <w:tc>
          <w:tcPr>
            <w:tcW w:w="3579" w:type="dxa"/>
          </w:tcPr>
          <w:p w14:paraId="27D2FDC8" w14:textId="77777777" w:rsidR="005316ED" w:rsidRPr="00280550" w:rsidRDefault="005316ED" w:rsidP="00F63368">
            <w:pPr>
              <w:pStyle w:val="TableContents-Left"/>
              <w:spacing w:after="0"/>
              <w:jc w:val="both"/>
            </w:pPr>
            <w:r w:rsidRPr="00280550">
              <w:t>5. Waste (WAS 1 – 3)</w:t>
            </w:r>
          </w:p>
        </w:tc>
        <w:tc>
          <w:tcPr>
            <w:tcW w:w="709" w:type="dxa"/>
          </w:tcPr>
          <w:p w14:paraId="645EB20D" w14:textId="77777777" w:rsidR="005316ED" w:rsidRPr="00280550" w:rsidRDefault="005316ED" w:rsidP="00F63368">
            <w:pPr>
              <w:spacing w:after="0"/>
              <w:jc w:val="both"/>
            </w:pPr>
          </w:p>
        </w:tc>
        <w:tc>
          <w:tcPr>
            <w:tcW w:w="850" w:type="dxa"/>
          </w:tcPr>
          <w:p w14:paraId="1FE1991B" w14:textId="77777777" w:rsidR="005316ED" w:rsidRPr="00280550" w:rsidRDefault="005316ED" w:rsidP="00F63368">
            <w:pPr>
              <w:spacing w:after="0"/>
              <w:jc w:val="both"/>
            </w:pPr>
            <w:r w:rsidRPr="00280550">
              <w:t>2</w:t>
            </w:r>
          </w:p>
        </w:tc>
        <w:tc>
          <w:tcPr>
            <w:tcW w:w="851" w:type="dxa"/>
          </w:tcPr>
          <w:p w14:paraId="2CBB685E" w14:textId="77777777" w:rsidR="005316ED" w:rsidRPr="00280550" w:rsidRDefault="005316ED" w:rsidP="00F63368">
            <w:pPr>
              <w:spacing w:after="0"/>
              <w:jc w:val="both"/>
            </w:pPr>
            <w:r w:rsidRPr="00280550">
              <w:t>5</w:t>
            </w:r>
          </w:p>
        </w:tc>
        <w:tc>
          <w:tcPr>
            <w:tcW w:w="850" w:type="dxa"/>
          </w:tcPr>
          <w:p w14:paraId="2C9FA389" w14:textId="77777777" w:rsidR="005316ED" w:rsidRPr="00280550" w:rsidRDefault="005316ED" w:rsidP="00F63368">
            <w:pPr>
              <w:spacing w:after="0"/>
              <w:jc w:val="both"/>
            </w:pPr>
          </w:p>
        </w:tc>
        <w:tc>
          <w:tcPr>
            <w:tcW w:w="993" w:type="dxa"/>
          </w:tcPr>
          <w:p w14:paraId="035179E4" w14:textId="77777777" w:rsidR="005316ED" w:rsidRPr="00280550" w:rsidRDefault="005316ED" w:rsidP="00F63368">
            <w:pPr>
              <w:spacing w:after="0"/>
              <w:jc w:val="both"/>
            </w:pPr>
            <w:r w:rsidRPr="00280550">
              <w:t>-</w:t>
            </w:r>
          </w:p>
        </w:tc>
        <w:tc>
          <w:tcPr>
            <w:tcW w:w="850" w:type="dxa"/>
          </w:tcPr>
          <w:p w14:paraId="67BDDF5D" w14:textId="77777777" w:rsidR="005316ED" w:rsidRPr="00280550" w:rsidRDefault="005316ED" w:rsidP="00F63368">
            <w:pPr>
              <w:spacing w:after="0"/>
              <w:jc w:val="both"/>
            </w:pPr>
            <w:r w:rsidRPr="00280550">
              <w:t>7</w:t>
            </w:r>
          </w:p>
        </w:tc>
      </w:tr>
      <w:tr w:rsidR="00280550" w:rsidRPr="00280550" w14:paraId="4CA1CCC2" w14:textId="77777777" w:rsidTr="00356453">
        <w:tc>
          <w:tcPr>
            <w:tcW w:w="3579" w:type="dxa"/>
          </w:tcPr>
          <w:p w14:paraId="765ABA83" w14:textId="77777777" w:rsidR="005316ED" w:rsidRPr="00280550" w:rsidRDefault="005316ED" w:rsidP="00F63368">
            <w:pPr>
              <w:pStyle w:val="TableContents-Left"/>
              <w:spacing w:after="0"/>
              <w:jc w:val="both"/>
            </w:pPr>
            <w:r w:rsidRPr="00280550">
              <w:t>6. Pollution (POL 1 – 2)</w:t>
            </w:r>
          </w:p>
        </w:tc>
        <w:tc>
          <w:tcPr>
            <w:tcW w:w="709" w:type="dxa"/>
          </w:tcPr>
          <w:p w14:paraId="11B23525" w14:textId="77777777" w:rsidR="005316ED" w:rsidRPr="00280550" w:rsidRDefault="005316ED" w:rsidP="00F63368">
            <w:pPr>
              <w:spacing w:after="0"/>
              <w:jc w:val="both"/>
            </w:pPr>
            <w:r w:rsidRPr="00280550">
              <w:t>1</w:t>
            </w:r>
          </w:p>
        </w:tc>
        <w:tc>
          <w:tcPr>
            <w:tcW w:w="850" w:type="dxa"/>
          </w:tcPr>
          <w:p w14:paraId="7CAD8229" w14:textId="77777777" w:rsidR="005316ED" w:rsidRPr="00280550" w:rsidRDefault="005316ED" w:rsidP="00F63368">
            <w:pPr>
              <w:spacing w:after="0"/>
              <w:jc w:val="both"/>
            </w:pPr>
          </w:p>
        </w:tc>
        <w:tc>
          <w:tcPr>
            <w:tcW w:w="851" w:type="dxa"/>
          </w:tcPr>
          <w:p w14:paraId="2767682A" w14:textId="77777777" w:rsidR="005316ED" w:rsidRPr="00280550" w:rsidRDefault="005316ED" w:rsidP="00F63368">
            <w:pPr>
              <w:spacing w:after="0"/>
              <w:jc w:val="both"/>
            </w:pPr>
            <w:r w:rsidRPr="00280550">
              <w:t>3</w:t>
            </w:r>
          </w:p>
        </w:tc>
        <w:tc>
          <w:tcPr>
            <w:tcW w:w="850" w:type="dxa"/>
          </w:tcPr>
          <w:p w14:paraId="4513E41B" w14:textId="77777777" w:rsidR="005316ED" w:rsidRPr="00280550" w:rsidRDefault="005316ED" w:rsidP="00F63368">
            <w:pPr>
              <w:spacing w:after="0"/>
              <w:jc w:val="both"/>
            </w:pPr>
          </w:p>
        </w:tc>
        <w:tc>
          <w:tcPr>
            <w:tcW w:w="993" w:type="dxa"/>
          </w:tcPr>
          <w:p w14:paraId="2722B946" w14:textId="77777777" w:rsidR="005316ED" w:rsidRPr="00280550" w:rsidRDefault="005316ED" w:rsidP="00F63368">
            <w:pPr>
              <w:spacing w:after="0"/>
              <w:jc w:val="both"/>
            </w:pPr>
          </w:p>
        </w:tc>
        <w:tc>
          <w:tcPr>
            <w:tcW w:w="850" w:type="dxa"/>
          </w:tcPr>
          <w:p w14:paraId="7A2A879F" w14:textId="77777777" w:rsidR="005316ED" w:rsidRPr="00280550" w:rsidRDefault="005316ED" w:rsidP="00F63368">
            <w:pPr>
              <w:spacing w:after="0"/>
              <w:jc w:val="both"/>
            </w:pPr>
            <w:r w:rsidRPr="00280550">
              <w:t>4</w:t>
            </w:r>
          </w:p>
        </w:tc>
      </w:tr>
      <w:tr w:rsidR="00280550" w:rsidRPr="00280550" w14:paraId="3590CAEA" w14:textId="77777777" w:rsidTr="00356453">
        <w:tc>
          <w:tcPr>
            <w:tcW w:w="3579" w:type="dxa"/>
          </w:tcPr>
          <w:p w14:paraId="7638FAD3" w14:textId="77777777" w:rsidR="005316ED" w:rsidRPr="00280550" w:rsidRDefault="005316ED" w:rsidP="00F63368">
            <w:pPr>
              <w:pStyle w:val="TableContents-Left"/>
              <w:spacing w:after="0"/>
              <w:jc w:val="both"/>
            </w:pPr>
            <w:r w:rsidRPr="00280550">
              <w:t>7. Health &amp; Wellbeing (HEA 1 – 4)</w:t>
            </w:r>
          </w:p>
        </w:tc>
        <w:tc>
          <w:tcPr>
            <w:tcW w:w="709" w:type="dxa"/>
          </w:tcPr>
          <w:p w14:paraId="02FB7461" w14:textId="77777777" w:rsidR="005316ED" w:rsidRPr="00280550" w:rsidRDefault="005316ED" w:rsidP="00F63368">
            <w:pPr>
              <w:spacing w:after="0"/>
              <w:jc w:val="both"/>
            </w:pPr>
          </w:p>
        </w:tc>
        <w:tc>
          <w:tcPr>
            <w:tcW w:w="850" w:type="dxa"/>
          </w:tcPr>
          <w:p w14:paraId="03AC6D4E" w14:textId="77777777" w:rsidR="005316ED" w:rsidRPr="00280550" w:rsidRDefault="005316ED" w:rsidP="00F63368">
            <w:pPr>
              <w:spacing w:after="0"/>
              <w:jc w:val="both"/>
            </w:pPr>
          </w:p>
        </w:tc>
        <w:tc>
          <w:tcPr>
            <w:tcW w:w="851" w:type="dxa"/>
          </w:tcPr>
          <w:p w14:paraId="08EA086E" w14:textId="77777777" w:rsidR="005316ED" w:rsidRPr="00280550" w:rsidRDefault="005316ED" w:rsidP="00F63368">
            <w:pPr>
              <w:spacing w:after="0"/>
              <w:jc w:val="both"/>
            </w:pPr>
            <w:r w:rsidRPr="00280550">
              <w:t>7</w:t>
            </w:r>
          </w:p>
        </w:tc>
        <w:tc>
          <w:tcPr>
            <w:tcW w:w="850" w:type="dxa"/>
          </w:tcPr>
          <w:p w14:paraId="15522C2F" w14:textId="77777777" w:rsidR="005316ED" w:rsidRPr="00280550" w:rsidRDefault="005316ED" w:rsidP="00F63368">
            <w:pPr>
              <w:spacing w:after="0"/>
              <w:jc w:val="both"/>
            </w:pPr>
          </w:p>
        </w:tc>
        <w:tc>
          <w:tcPr>
            <w:tcW w:w="993" w:type="dxa"/>
          </w:tcPr>
          <w:p w14:paraId="0C75D58E" w14:textId="77777777" w:rsidR="005316ED" w:rsidRPr="00280550" w:rsidRDefault="005316ED" w:rsidP="00F63368">
            <w:pPr>
              <w:spacing w:after="0"/>
              <w:jc w:val="both"/>
            </w:pPr>
            <w:r w:rsidRPr="00280550">
              <w:t>5</w:t>
            </w:r>
          </w:p>
        </w:tc>
        <w:tc>
          <w:tcPr>
            <w:tcW w:w="850" w:type="dxa"/>
          </w:tcPr>
          <w:p w14:paraId="1F8E6A4D" w14:textId="77777777" w:rsidR="005316ED" w:rsidRPr="00280550" w:rsidRDefault="005316ED" w:rsidP="00F63368">
            <w:pPr>
              <w:spacing w:after="0"/>
              <w:jc w:val="both"/>
            </w:pPr>
            <w:r w:rsidRPr="00280550">
              <w:t>12</w:t>
            </w:r>
          </w:p>
        </w:tc>
      </w:tr>
      <w:tr w:rsidR="00280550" w:rsidRPr="00280550" w14:paraId="3962F4B5" w14:textId="77777777" w:rsidTr="00356453">
        <w:tc>
          <w:tcPr>
            <w:tcW w:w="3579" w:type="dxa"/>
          </w:tcPr>
          <w:p w14:paraId="0EC53CAA" w14:textId="77777777" w:rsidR="005316ED" w:rsidRPr="00280550" w:rsidRDefault="005316ED" w:rsidP="00F63368">
            <w:pPr>
              <w:pStyle w:val="TableContents-Left"/>
              <w:spacing w:after="0"/>
              <w:jc w:val="both"/>
            </w:pPr>
            <w:r w:rsidRPr="00280550">
              <w:t>8. Management (MAN 1 – 4)</w:t>
            </w:r>
          </w:p>
        </w:tc>
        <w:tc>
          <w:tcPr>
            <w:tcW w:w="709" w:type="dxa"/>
          </w:tcPr>
          <w:p w14:paraId="3FB50E70" w14:textId="77777777" w:rsidR="005316ED" w:rsidRPr="00280550" w:rsidRDefault="005316ED" w:rsidP="00F63368">
            <w:pPr>
              <w:spacing w:after="0"/>
              <w:jc w:val="both"/>
            </w:pPr>
          </w:p>
        </w:tc>
        <w:tc>
          <w:tcPr>
            <w:tcW w:w="850" w:type="dxa"/>
          </w:tcPr>
          <w:p w14:paraId="1FF7BFDF" w14:textId="77777777" w:rsidR="005316ED" w:rsidRPr="00280550" w:rsidRDefault="005316ED" w:rsidP="00F63368">
            <w:pPr>
              <w:spacing w:after="0"/>
              <w:jc w:val="both"/>
            </w:pPr>
            <w:r w:rsidRPr="00280550">
              <w:t>4</w:t>
            </w:r>
          </w:p>
        </w:tc>
        <w:tc>
          <w:tcPr>
            <w:tcW w:w="851" w:type="dxa"/>
          </w:tcPr>
          <w:p w14:paraId="7E88980A" w14:textId="77777777" w:rsidR="005316ED" w:rsidRPr="00280550" w:rsidRDefault="005316ED" w:rsidP="00F63368">
            <w:pPr>
              <w:spacing w:after="0"/>
              <w:jc w:val="both"/>
            </w:pPr>
          </w:p>
        </w:tc>
        <w:tc>
          <w:tcPr>
            <w:tcW w:w="850" w:type="dxa"/>
          </w:tcPr>
          <w:p w14:paraId="593DA327" w14:textId="77777777" w:rsidR="005316ED" w:rsidRPr="00280550" w:rsidRDefault="005316ED" w:rsidP="00F63368">
            <w:pPr>
              <w:spacing w:after="0"/>
              <w:jc w:val="both"/>
            </w:pPr>
          </w:p>
        </w:tc>
        <w:tc>
          <w:tcPr>
            <w:tcW w:w="993" w:type="dxa"/>
          </w:tcPr>
          <w:p w14:paraId="2CA9022F" w14:textId="77777777" w:rsidR="005316ED" w:rsidRPr="00280550" w:rsidRDefault="005316ED" w:rsidP="00F63368">
            <w:pPr>
              <w:spacing w:after="0"/>
              <w:jc w:val="both"/>
            </w:pPr>
            <w:r w:rsidRPr="00280550">
              <w:t>5</w:t>
            </w:r>
          </w:p>
        </w:tc>
        <w:tc>
          <w:tcPr>
            <w:tcW w:w="850" w:type="dxa"/>
          </w:tcPr>
          <w:p w14:paraId="6AC597F1" w14:textId="77777777" w:rsidR="005316ED" w:rsidRPr="00280550" w:rsidRDefault="005316ED" w:rsidP="00F63368">
            <w:pPr>
              <w:spacing w:after="0"/>
              <w:jc w:val="both"/>
            </w:pPr>
            <w:r w:rsidRPr="00280550">
              <w:t>9</w:t>
            </w:r>
          </w:p>
        </w:tc>
      </w:tr>
      <w:tr w:rsidR="00280550" w:rsidRPr="00280550" w14:paraId="7702C286" w14:textId="77777777" w:rsidTr="00356453">
        <w:tc>
          <w:tcPr>
            <w:tcW w:w="3579" w:type="dxa"/>
          </w:tcPr>
          <w:p w14:paraId="24529CD8" w14:textId="77777777" w:rsidR="005316ED" w:rsidRPr="00280550" w:rsidRDefault="005316ED" w:rsidP="00F63368">
            <w:pPr>
              <w:pStyle w:val="TableContents-Left"/>
              <w:spacing w:after="0"/>
              <w:jc w:val="both"/>
            </w:pPr>
            <w:r w:rsidRPr="00280550">
              <w:t>9. Ecology (ECO 1 – 5)</w:t>
            </w:r>
          </w:p>
        </w:tc>
        <w:tc>
          <w:tcPr>
            <w:tcW w:w="709" w:type="dxa"/>
          </w:tcPr>
          <w:p w14:paraId="1057E330" w14:textId="77777777" w:rsidR="005316ED" w:rsidRPr="00280550" w:rsidRDefault="005316ED" w:rsidP="00F63368">
            <w:pPr>
              <w:spacing w:after="0"/>
              <w:jc w:val="both"/>
            </w:pPr>
            <w:r w:rsidRPr="00280550">
              <w:t>1</w:t>
            </w:r>
          </w:p>
        </w:tc>
        <w:tc>
          <w:tcPr>
            <w:tcW w:w="850" w:type="dxa"/>
          </w:tcPr>
          <w:p w14:paraId="16B35E50" w14:textId="77777777" w:rsidR="005316ED" w:rsidRPr="00280550" w:rsidRDefault="005316ED" w:rsidP="00F63368">
            <w:pPr>
              <w:spacing w:after="0"/>
              <w:jc w:val="both"/>
            </w:pPr>
            <w:r w:rsidRPr="00280550">
              <w:t>3</w:t>
            </w:r>
          </w:p>
        </w:tc>
        <w:tc>
          <w:tcPr>
            <w:tcW w:w="851" w:type="dxa"/>
          </w:tcPr>
          <w:p w14:paraId="7A35ED8A" w14:textId="77777777" w:rsidR="005316ED" w:rsidRPr="00280550" w:rsidRDefault="005316ED" w:rsidP="00F63368">
            <w:pPr>
              <w:spacing w:after="0"/>
              <w:jc w:val="both"/>
            </w:pPr>
          </w:p>
        </w:tc>
        <w:tc>
          <w:tcPr>
            <w:tcW w:w="850" w:type="dxa"/>
          </w:tcPr>
          <w:p w14:paraId="01E6B61B" w14:textId="77777777" w:rsidR="005316ED" w:rsidRPr="00280550" w:rsidRDefault="005316ED" w:rsidP="00F63368">
            <w:pPr>
              <w:spacing w:after="0"/>
              <w:jc w:val="both"/>
            </w:pPr>
          </w:p>
        </w:tc>
        <w:tc>
          <w:tcPr>
            <w:tcW w:w="993" w:type="dxa"/>
          </w:tcPr>
          <w:p w14:paraId="0AE4DDBD" w14:textId="77777777" w:rsidR="005316ED" w:rsidRPr="00280550" w:rsidRDefault="005316ED" w:rsidP="00F63368">
            <w:pPr>
              <w:spacing w:after="0"/>
              <w:jc w:val="both"/>
            </w:pPr>
            <w:r w:rsidRPr="00280550">
              <w:t>5</w:t>
            </w:r>
          </w:p>
        </w:tc>
        <w:tc>
          <w:tcPr>
            <w:tcW w:w="850" w:type="dxa"/>
          </w:tcPr>
          <w:p w14:paraId="091B4A6C" w14:textId="77777777" w:rsidR="005316ED" w:rsidRPr="00280550" w:rsidRDefault="005316ED" w:rsidP="00F63368">
            <w:pPr>
              <w:spacing w:after="0"/>
              <w:jc w:val="both"/>
            </w:pPr>
            <w:r w:rsidRPr="00280550">
              <w:t>9</w:t>
            </w:r>
          </w:p>
        </w:tc>
      </w:tr>
      <w:tr w:rsidR="00280550" w:rsidRPr="00280550" w14:paraId="73DBDDE9" w14:textId="77777777" w:rsidTr="00356453">
        <w:tc>
          <w:tcPr>
            <w:tcW w:w="3579" w:type="dxa"/>
          </w:tcPr>
          <w:p w14:paraId="3FED938E" w14:textId="77777777" w:rsidR="005316ED" w:rsidRPr="00280550" w:rsidRDefault="005316ED" w:rsidP="00F63368">
            <w:pPr>
              <w:pStyle w:val="TableContents-Left"/>
              <w:spacing w:after="0"/>
              <w:jc w:val="both"/>
            </w:pPr>
            <w:r w:rsidRPr="00280550">
              <w:t>Total</w:t>
            </w:r>
          </w:p>
        </w:tc>
        <w:tc>
          <w:tcPr>
            <w:tcW w:w="709" w:type="dxa"/>
          </w:tcPr>
          <w:p w14:paraId="184291B8" w14:textId="77777777" w:rsidR="005316ED" w:rsidRPr="00280550" w:rsidRDefault="005316ED" w:rsidP="00F63368">
            <w:pPr>
              <w:spacing w:after="0"/>
              <w:jc w:val="both"/>
            </w:pPr>
            <w:r w:rsidRPr="00280550">
              <w:t>28</w:t>
            </w:r>
          </w:p>
        </w:tc>
        <w:tc>
          <w:tcPr>
            <w:tcW w:w="850" w:type="dxa"/>
          </w:tcPr>
          <w:p w14:paraId="4CDCFF3C" w14:textId="77777777" w:rsidR="005316ED" w:rsidRPr="00280550" w:rsidRDefault="005316ED" w:rsidP="00F63368">
            <w:pPr>
              <w:spacing w:after="0"/>
              <w:jc w:val="both"/>
            </w:pPr>
            <w:r w:rsidRPr="00280550">
              <w:t>9</w:t>
            </w:r>
          </w:p>
        </w:tc>
        <w:tc>
          <w:tcPr>
            <w:tcW w:w="851" w:type="dxa"/>
          </w:tcPr>
          <w:p w14:paraId="55386DE6" w14:textId="77777777" w:rsidR="005316ED" w:rsidRPr="00280550" w:rsidRDefault="005316ED" w:rsidP="00F63368">
            <w:pPr>
              <w:spacing w:after="0"/>
              <w:jc w:val="both"/>
            </w:pPr>
            <w:r w:rsidRPr="00280550">
              <w:t>44</w:t>
            </w:r>
          </w:p>
        </w:tc>
        <w:tc>
          <w:tcPr>
            <w:tcW w:w="850" w:type="dxa"/>
          </w:tcPr>
          <w:p w14:paraId="70DCE6DF" w14:textId="77777777" w:rsidR="005316ED" w:rsidRPr="00280550" w:rsidRDefault="005316ED" w:rsidP="00F63368">
            <w:pPr>
              <w:spacing w:after="0"/>
              <w:jc w:val="both"/>
            </w:pPr>
            <w:r w:rsidRPr="00280550">
              <w:t>0</w:t>
            </w:r>
          </w:p>
        </w:tc>
        <w:tc>
          <w:tcPr>
            <w:tcW w:w="993" w:type="dxa"/>
          </w:tcPr>
          <w:p w14:paraId="6591DC71" w14:textId="77777777" w:rsidR="005316ED" w:rsidRPr="00280550" w:rsidRDefault="005316ED" w:rsidP="00F63368">
            <w:pPr>
              <w:spacing w:after="0"/>
              <w:jc w:val="both"/>
            </w:pPr>
            <w:r w:rsidRPr="00280550">
              <w:t>23</w:t>
            </w:r>
          </w:p>
        </w:tc>
        <w:tc>
          <w:tcPr>
            <w:tcW w:w="850" w:type="dxa"/>
          </w:tcPr>
          <w:p w14:paraId="27C2B664" w14:textId="77777777" w:rsidR="005316ED" w:rsidRPr="00280550" w:rsidRDefault="005316ED" w:rsidP="00F63368">
            <w:pPr>
              <w:spacing w:after="0"/>
              <w:jc w:val="both"/>
            </w:pPr>
            <w:r w:rsidRPr="00280550">
              <w:t>104</w:t>
            </w:r>
          </w:p>
        </w:tc>
      </w:tr>
      <w:tr w:rsidR="005316ED" w:rsidRPr="00280550" w14:paraId="30A4C1AB" w14:textId="77777777" w:rsidTr="00356453">
        <w:tc>
          <w:tcPr>
            <w:tcW w:w="3579" w:type="dxa"/>
            <w:tcBorders>
              <w:bottom w:val="single" w:sz="6" w:space="0" w:color="auto"/>
            </w:tcBorders>
          </w:tcPr>
          <w:p w14:paraId="54DD2DB4" w14:textId="77777777" w:rsidR="005316ED" w:rsidRPr="00280550" w:rsidRDefault="005316ED" w:rsidP="00F63368">
            <w:pPr>
              <w:pStyle w:val="TableContents-Left"/>
              <w:spacing w:after="0"/>
              <w:jc w:val="both"/>
            </w:pPr>
            <w:r w:rsidRPr="00280550">
              <w:t>Percentage impacts per lifecycle stage</w:t>
            </w:r>
          </w:p>
        </w:tc>
        <w:tc>
          <w:tcPr>
            <w:tcW w:w="709" w:type="dxa"/>
            <w:tcBorders>
              <w:bottom w:val="single" w:sz="6" w:space="0" w:color="auto"/>
            </w:tcBorders>
          </w:tcPr>
          <w:p w14:paraId="442F282F" w14:textId="77777777" w:rsidR="005316ED" w:rsidRPr="00280550" w:rsidRDefault="005316ED" w:rsidP="00F63368">
            <w:pPr>
              <w:spacing w:after="0"/>
              <w:jc w:val="both"/>
            </w:pPr>
            <w:r w:rsidRPr="00280550">
              <w:t>34.6</w:t>
            </w:r>
          </w:p>
        </w:tc>
        <w:tc>
          <w:tcPr>
            <w:tcW w:w="850" w:type="dxa"/>
            <w:tcBorders>
              <w:bottom w:val="single" w:sz="6" w:space="0" w:color="auto"/>
            </w:tcBorders>
          </w:tcPr>
          <w:p w14:paraId="60256C16" w14:textId="77777777" w:rsidR="005316ED" w:rsidRPr="00280550" w:rsidRDefault="005316ED" w:rsidP="00F63368">
            <w:pPr>
              <w:spacing w:after="0"/>
              <w:jc w:val="both"/>
            </w:pPr>
            <w:r w:rsidRPr="00280550">
              <w:t>11.1</w:t>
            </w:r>
          </w:p>
        </w:tc>
        <w:tc>
          <w:tcPr>
            <w:tcW w:w="851" w:type="dxa"/>
            <w:tcBorders>
              <w:bottom w:val="single" w:sz="6" w:space="0" w:color="auto"/>
            </w:tcBorders>
          </w:tcPr>
          <w:p w14:paraId="16B0801B" w14:textId="77777777" w:rsidR="005316ED" w:rsidRPr="00280550" w:rsidRDefault="005316ED" w:rsidP="00F63368">
            <w:pPr>
              <w:spacing w:after="0"/>
              <w:jc w:val="both"/>
            </w:pPr>
            <w:r w:rsidRPr="00280550">
              <w:t>54.3</w:t>
            </w:r>
          </w:p>
        </w:tc>
        <w:tc>
          <w:tcPr>
            <w:tcW w:w="850" w:type="dxa"/>
            <w:tcBorders>
              <w:bottom w:val="single" w:sz="6" w:space="0" w:color="auto"/>
            </w:tcBorders>
          </w:tcPr>
          <w:p w14:paraId="0C2F45CE" w14:textId="77777777" w:rsidR="005316ED" w:rsidRPr="00280550" w:rsidRDefault="005316ED" w:rsidP="00F63368">
            <w:pPr>
              <w:spacing w:after="0"/>
              <w:jc w:val="both"/>
            </w:pPr>
            <w:r w:rsidRPr="00280550">
              <w:t>0</w:t>
            </w:r>
          </w:p>
        </w:tc>
        <w:tc>
          <w:tcPr>
            <w:tcW w:w="993" w:type="dxa"/>
            <w:tcBorders>
              <w:bottom w:val="single" w:sz="6" w:space="0" w:color="auto"/>
            </w:tcBorders>
          </w:tcPr>
          <w:p w14:paraId="0C95B9F2" w14:textId="77777777" w:rsidR="005316ED" w:rsidRPr="00280550" w:rsidRDefault="005316ED" w:rsidP="00F63368">
            <w:pPr>
              <w:spacing w:after="0"/>
              <w:jc w:val="both"/>
            </w:pPr>
            <w:r w:rsidRPr="00280550">
              <w:t>-</w:t>
            </w:r>
          </w:p>
        </w:tc>
        <w:tc>
          <w:tcPr>
            <w:tcW w:w="850" w:type="dxa"/>
            <w:tcBorders>
              <w:bottom w:val="single" w:sz="6" w:space="0" w:color="auto"/>
            </w:tcBorders>
          </w:tcPr>
          <w:p w14:paraId="670B1EAD" w14:textId="77777777" w:rsidR="005316ED" w:rsidRPr="00280550" w:rsidRDefault="005316ED" w:rsidP="00F63368">
            <w:pPr>
              <w:spacing w:after="0"/>
              <w:jc w:val="both"/>
            </w:pPr>
            <w:r w:rsidRPr="00280550">
              <w:t>100%</w:t>
            </w:r>
          </w:p>
        </w:tc>
      </w:tr>
    </w:tbl>
    <w:p w14:paraId="3BA68966" w14:textId="77777777" w:rsidR="005316ED" w:rsidRPr="00280550" w:rsidRDefault="005316ED" w:rsidP="00F63368">
      <w:pPr>
        <w:spacing w:after="0" w:line="360" w:lineRule="auto"/>
        <w:jc w:val="both"/>
      </w:pPr>
    </w:p>
    <w:p w14:paraId="7EF1E472" w14:textId="77777777" w:rsidR="005316ED" w:rsidRPr="00280550" w:rsidRDefault="00815028" w:rsidP="00F63368">
      <w:pPr>
        <w:pStyle w:val="SectionHeading"/>
        <w:spacing w:after="0" w:line="360" w:lineRule="auto"/>
        <w:jc w:val="both"/>
      </w:pPr>
      <w:r w:rsidRPr="00280550">
        <w:t xml:space="preserve">3.0. </w:t>
      </w:r>
      <w:r w:rsidR="00F63368" w:rsidRPr="00280550">
        <w:t>Methodology</w:t>
      </w:r>
    </w:p>
    <w:p w14:paraId="20D5D3D1" w14:textId="40BAFC45" w:rsidR="005316ED" w:rsidRPr="00280550" w:rsidRDefault="00815028" w:rsidP="00F63368">
      <w:pPr>
        <w:spacing w:after="0" w:line="360" w:lineRule="auto"/>
        <w:jc w:val="both"/>
      </w:pPr>
      <w:r w:rsidRPr="00280550">
        <w:t xml:space="preserve">The overall goal of this study is to assess the sensitivity of the sustainable design appraisal tools to the lifecycle impacts at the different stages of </w:t>
      </w:r>
      <w:r w:rsidR="009508AD" w:rsidRPr="00280550">
        <w:t xml:space="preserve">the </w:t>
      </w:r>
      <w:r w:rsidRPr="00280550">
        <w:rPr>
          <w:noProof/>
        </w:rPr>
        <w:t>building</w:t>
      </w:r>
      <w:r w:rsidRPr="00280550">
        <w:t xml:space="preserve"> lifecycle. In order to achieve this, score assigned to the different lifecycle stages in BREEAM and Code for sustainable </w:t>
      </w:r>
      <w:r w:rsidRPr="00280550">
        <w:lastRenderedPageBreak/>
        <w:t xml:space="preserve">homes were calculated. </w:t>
      </w:r>
      <w:r w:rsidR="00EB2D46" w:rsidRPr="00280550">
        <w:t xml:space="preserve">A full lifecycle analysis was carried out for four typologies of a modelled classroom to determine the lifecycle impacts of different stages of the building. The </w:t>
      </w:r>
      <w:r w:rsidR="00AA3867" w:rsidRPr="00280550">
        <w:t xml:space="preserve">percentage of </w:t>
      </w:r>
      <w:r w:rsidR="00EB2D46" w:rsidRPr="00280550">
        <w:t>stage-based impacts</w:t>
      </w:r>
      <w:r w:rsidR="00AA3867" w:rsidRPr="00280550">
        <w:t xml:space="preserve"> were then compared with the percentage points associated with each of the stages in the sustainable design appraisal tools. The comparative analysis provokes some thoughts on the strength and weaknesses of the sus</w:t>
      </w:r>
      <w:r w:rsidR="00686D45" w:rsidRPr="00280550">
        <w:t>tainable design appraisal tools and the needs for continuous improvement, as the use of renewable technologies increases.</w:t>
      </w:r>
    </w:p>
    <w:p w14:paraId="462BA9B4" w14:textId="77777777" w:rsidR="00EB2D46" w:rsidRPr="00280550" w:rsidRDefault="00EB2D46" w:rsidP="00F63368">
      <w:pPr>
        <w:spacing w:after="0" w:line="360" w:lineRule="auto"/>
        <w:jc w:val="both"/>
      </w:pPr>
    </w:p>
    <w:p w14:paraId="141A41C0" w14:textId="77777777" w:rsidR="00EB2D46" w:rsidRPr="00280550" w:rsidRDefault="00EB2D46" w:rsidP="00F63368">
      <w:pPr>
        <w:spacing w:after="0" w:line="360" w:lineRule="auto"/>
        <w:jc w:val="both"/>
      </w:pPr>
    </w:p>
    <w:p w14:paraId="4E5910AE" w14:textId="77777777" w:rsidR="005316ED" w:rsidRPr="00280550" w:rsidRDefault="00686D45" w:rsidP="00F63368">
      <w:pPr>
        <w:pStyle w:val="SectionHeading"/>
        <w:spacing w:after="0" w:line="360" w:lineRule="auto"/>
        <w:jc w:val="both"/>
      </w:pPr>
      <w:r w:rsidRPr="00280550">
        <w:t xml:space="preserve">3.1. </w:t>
      </w:r>
      <w:r w:rsidR="005316ED" w:rsidRPr="00280550">
        <w:t>Lifecycle Analysis of four typologies of a Building Case Study</w:t>
      </w:r>
    </w:p>
    <w:p w14:paraId="49E1CA50" w14:textId="30878DC4" w:rsidR="005316ED" w:rsidRPr="00280550" w:rsidRDefault="005316ED" w:rsidP="00F63368">
      <w:pPr>
        <w:spacing w:after="0" w:line="360" w:lineRule="auto"/>
        <w:jc w:val="both"/>
      </w:pPr>
      <w:r w:rsidRPr="00280550">
        <w:t>Lifecycle Analysis (LCA) is a globally recognised approach for estimating whole lifecycle environmental impacts of products (</w:t>
      </w:r>
      <w:proofErr w:type="spellStart"/>
      <w:r w:rsidRPr="00280550">
        <w:t>Khasreen</w:t>
      </w:r>
      <w:proofErr w:type="spellEnd"/>
      <w:r w:rsidRPr="00280550">
        <w:t xml:space="preserve"> et al., 2009). It is performed within the framework of ISO 14040, utilizing four established phases, which are goal and scope, inventory analysis, impact assessment and interpretation (</w:t>
      </w:r>
      <w:proofErr w:type="spellStart"/>
      <w:r w:rsidRPr="00280550">
        <w:t>Ooteghem</w:t>
      </w:r>
      <w:proofErr w:type="spellEnd"/>
      <w:r w:rsidRPr="00280550">
        <w:t xml:space="preserve"> and Xu, 2012). A block of </w:t>
      </w:r>
      <w:r w:rsidRPr="00280550">
        <w:rPr>
          <w:noProof/>
        </w:rPr>
        <w:t>classroom</w:t>
      </w:r>
      <w:r w:rsidRPr="00280550">
        <w:t xml:space="preserve"> was modelled as a case study using one of the widely used BIM tool, Revit. The lifecycle assessment process, case study model and </w:t>
      </w:r>
      <w:r w:rsidR="00EC549B" w:rsidRPr="00280550">
        <w:t xml:space="preserve">the </w:t>
      </w:r>
      <w:r w:rsidRPr="00280550">
        <w:rPr>
          <w:noProof/>
        </w:rPr>
        <w:t>analytical</w:t>
      </w:r>
      <w:r w:rsidRPr="00280550">
        <w:t xml:space="preserve"> process are discussed in this section. </w:t>
      </w:r>
    </w:p>
    <w:p w14:paraId="761B3680" w14:textId="77777777" w:rsidR="005316ED" w:rsidRPr="00280550" w:rsidRDefault="005316ED" w:rsidP="00F63368">
      <w:pPr>
        <w:pStyle w:val="SectionSub-heading"/>
        <w:spacing w:after="0" w:line="360" w:lineRule="auto"/>
        <w:jc w:val="both"/>
      </w:pPr>
    </w:p>
    <w:p w14:paraId="0D06CBBB" w14:textId="5E02542B" w:rsidR="005316ED" w:rsidRPr="00280550" w:rsidRDefault="008579D7" w:rsidP="00F63368">
      <w:pPr>
        <w:pStyle w:val="SectionSub-heading"/>
        <w:spacing w:after="0" w:line="360" w:lineRule="auto"/>
        <w:jc w:val="both"/>
      </w:pPr>
      <w:r w:rsidRPr="00280550">
        <w:t xml:space="preserve">3.1. </w:t>
      </w:r>
      <w:r w:rsidR="005316ED" w:rsidRPr="00280550">
        <w:t>The Case study</w:t>
      </w:r>
    </w:p>
    <w:p w14:paraId="58C288E4" w14:textId="3C8E30EF" w:rsidR="005316ED" w:rsidRPr="00280550" w:rsidRDefault="005316ED" w:rsidP="00F63368">
      <w:pPr>
        <w:spacing w:after="0" w:line="360" w:lineRule="auto"/>
        <w:jc w:val="both"/>
      </w:pPr>
      <w:r w:rsidRPr="00280550">
        <w:t xml:space="preserve">A case study of a block of </w:t>
      </w:r>
      <w:r w:rsidRPr="00280550">
        <w:rPr>
          <w:noProof/>
        </w:rPr>
        <w:t>classroom</w:t>
      </w:r>
      <w:r w:rsidRPr="00280550">
        <w:t xml:space="preserve"> was modelled in Revit. The building consists of 2 floors with a total Gross Floor Area (GFA) of 1233m</w:t>
      </w:r>
      <w:r w:rsidRPr="00280550">
        <w:rPr>
          <w:vertAlign w:val="superscript"/>
        </w:rPr>
        <w:t>2</w:t>
      </w:r>
      <w:r w:rsidRPr="00280550">
        <w:t xml:space="preserve">. Details of the case study model </w:t>
      </w:r>
      <w:r w:rsidR="009D03BD" w:rsidRPr="00280550">
        <w:rPr>
          <w:noProof/>
        </w:rPr>
        <w:t>are</w:t>
      </w:r>
      <w:r w:rsidR="00DF7FB3" w:rsidRPr="00280550">
        <w:rPr>
          <w:noProof/>
        </w:rPr>
        <w:t xml:space="preserve"> as given in Table 3</w:t>
      </w:r>
      <w:r w:rsidRPr="00280550">
        <w:t xml:space="preserve">. In order to estimate the average lifecycle impacts of the building, irrespective of the materials of construction, materials used for the building were varied across four typologies. This is further referred to as sensitivity analysis in </w:t>
      </w:r>
      <w:r w:rsidRPr="00280550">
        <w:rPr>
          <w:noProof/>
        </w:rPr>
        <w:t>other part</w:t>
      </w:r>
      <w:r w:rsidR="00EC549B" w:rsidRPr="00280550">
        <w:rPr>
          <w:noProof/>
        </w:rPr>
        <w:t>s</w:t>
      </w:r>
      <w:r w:rsidRPr="00280550">
        <w:t xml:space="preserve"> of this paper. Typology 1 was modelled as a traditional British brick and block building, typology 2 is a timber building, typology 3 is a steel structure, while typology 4 </w:t>
      </w:r>
      <w:r w:rsidR="00EC549B" w:rsidRPr="00280550">
        <w:t>was</w:t>
      </w:r>
      <w:r w:rsidRPr="00280550">
        <w:t xml:space="preserve"> modelled with Insulated Concrete Forms. Inventory of total materials required for each typology is estimated in Revit, while operational impacts of the building typology were estimated using Green Building Studio (GBS) and energy analysis function of Revit. </w:t>
      </w:r>
    </w:p>
    <w:p w14:paraId="40F91B24" w14:textId="5C311C7F" w:rsidR="009D03BD" w:rsidRPr="00280550" w:rsidRDefault="009D03BD" w:rsidP="00F63368">
      <w:pPr>
        <w:spacing w:after="0" w:line="360" w:lineRule="auto"/>
        <w:jc w:val="both"/>
      </w:pPr>
    </w:p>
    <w:p w14:paraId="631F1D42" w14:textId="04153113" w:rsidR="00EC549B" w:rsidRPr="00280550" w:rsidRDefault="00EC549B" w:rsidP="00F63368">
      <w:pPr>
        <w:spacing w:after="0" w:line="360" w:lineRule="auto"/>
        <w:jc w:val="both"/>
      </w:pPr>
    </w:p>
    <w:p w14:paraId="3C08685D" w14:textId="77777777" w:rsidR="00EC549B" w:rsidRPr="00280550" w:rsidRDefault="00EC549B" w:rsidP="00F63368">
      <w:pPr>
        <w:spacing w:after="0" w:line="360" w:lineRule="auto"/>
        <w:jc w:val="both"/>
      </w:pPr>
    </w:p>
    <w:p w14:paraId="69E22CC3" w14:textId="34BF5B89" w:rsidR="008579D7" w:rsidRPr="00280550" w:rsidRDefault="008579D7" w:rsidP="008579D7">
      <w:pPr>
        <w:spacing w:after="0" w:line="360" w:lineRule="auto"/>
        <w:jc w:val="center"/>
      </w:pPr>
      <w:r w:rsidRPr="00280550">
        <w:lastRenderedPageBreak/>
        <w:t>Table 3: Specific characteristics of the baseline design used for the study</w:t>
      </w:r>
    </w:p>
    <w:tbl>
      <w:tblPr>
        <w:tblStyle w:val="TableGrid"/>
        <w:tblW w:w="0" w:type="auto"/>
        <w:tblInd w:w="108" w:type="dxa"/>
        <w:tblLook w:val="04A0" w:firstRow="1" w:lastRow="0" w:firstColumn="1" w:lastColumn="0" w:noHBand="0" w:noVBand="1"/>
      </w:tblPr>
      <w:tblGrid>
        <w:gridCol w:w="1913"/>
        <w:gridCol w:w="7005"/>
      </w:tblGrid>
      <w:tr w:rsidR="00280550" w:rsidRPr="00280550" w14:paraId="14629751" w14:textId="77777777" w:rsidTr="00583988">
        <w:tc>
          <w:tcPr>
            <w:tcW w:w="1985" w:type="dxa"/>
            <w:tcBorders>
              <w:left w:val="nil"/>
              <w:bottom w:val="single" w:sz="4" w:space="0" w:color="auto"/>
              <w:right w:val="single" w:sz="4" w:space="0" w:color="auto"/>
            </w:tcBorders>
          </w:tcPr>
          <w:p w14:paraId="0BE87C91" w14:textId="77777777" w:rsidR="008579D7" w:rsidRPr="00280550" w:rsidRDefault="008579D7" w:rsidP="00631CC5">
            <w:pPr>
              <w:spacing w:after="0"/>
              <w:jc w:val="right"/>
              <w:rPr>
                <w:sz w:val="22"/>
              </w:rPr>
            </w:pPr>
            <w:r w:rsidRPr="00280550">
              <w:rPr>
                <w:sz w:val="22"/>
              </w:rPr>
              <w:t xml:space="preserve">Building </w:t>
            </w:r>
            <w:r w:rsidRPr="00280550">
              <w:rPr>
                <w:noProof/>
                <w:sz w:val="22"/>
              </w:rPr>
              <w:t>system</w:t>
            </w:r>
          </w:p>
        </w:tc>
        <w:tc>
          <w:tcPr>
            <w:tcW w:w="7513" w:type="dxa"/>
            <w:tcBorders>
              <w:left w:val="single" w:sz="4" w:space="0" w:color="auto"/>
              <w:bottom w:val="single" w:sz="4" w:space="0" w:color="auto"/>
              <w:right w:val="nil"/>
            </w:tcBorders>
          </w:tcPr>
          <w:p w14:paraId="70FF7CC5" w14:textId="77777777" w:rsidR="008579D7" w:rsidRPr="00280550" w:rsidRDefault="008579D7" w:rsidP="00631CC5">
            <w:pPr>
              <w:spacing w:after="0"/>
              <w:jc w:val="center"/>
              <w:rPr>
                <w:sz w:val="22"/>
              </w:rPr>
            </w:pPr>
            <w:r w:rsidRPr="00280550">
              <w:rPr>
                <w:sz w:val="22"/>
              </w:rPr>
              <w:t>Specific characteristics</w:t>
            </w:r>
          </w:p>
        </w:tc>
      </w:tr>
      <w:tr w:rsidR="008579D7" w:rsidRPr="00280550" w14:paraId="1DECB195" w14:textId="77777777" w:rsidTr="00583988">
        <w:tc>
          <w:tcPr>
            <w:tcW w:w="1985" w:type="dxa"/>
            <w:tcBorders>
              <w:left w:val="nil"/>
              <w:right w:val="single" w:sz="4" w:space="0" w:color="auto"/>
            </w:tcBorders>
          </w:tcPr>
          <w:p w14:paraId="2553BABF" w14:textId="77777777" w:rsidR="008579D7" w:rsidRPr="00280550" w:rsidRDefault="008579D7" w:rsidP="00631CC5">
            <w:pPr>
              <w:spacing w:after="0"/>
              <w:jc w:val="right"/>
              <w:rPr>
                <w:sz w:val="22"/>
              </w:rPr>
            </w:pPr>
            <w:r w:rsidRPr="00280550">
              <w:rPr>
                <w:sz w:val="22"/>
              </w:rPr>
              <w:t>Exterior walls</w:t>
            </w:r>
          </w:p>
          <w:p w14:paraId="182FED55" w14:textId="77777777" w:rsidR="008579D7" w:rsidRPr="00280550" w:rsidRDefault="008579D7" w:rsidP="00631CC5">
            <w:pPr>
              <w:spacing w:after="0"/>
              <w:jc w:val="right"/>
              <w:rPr>
                <w:sz w:val="22"/>
              </w:rPr>
            </w:pPr>
          </w:p>
          <w:p w14:paraId="01B09559" w14:textId="77777777" w:rsidR="008579D7" w:rsidRPr="00280550" w:rsidRDefault="008579D7" w:rsidP="00631CC5">
            <w:pPr>
              <w:spacing w:after="0"/>
              <w:jc w:val="right"/>
              <w:rPr>
                <w:sz w:val="22"/>
              </w:rPr>
            </w:pPr>
          </w:p>
          <w:p w14:paraId="6E5E2509" w14:textId="77777777" w:rsidR="008579D7" w:rsidRPr="00280550" w:rsidRDefault="008579D7" w:rsidP="00631CC5">
            <w:pPr>
              <w:spacing w:after="0"/>
              <w:jc w:val="right"/>
              <w:rPr>
                <w:sz w:val="22"/>
              </w:rPr>
            </w:pPr>
            <w:r w:rsidRPr="00280550">
              <w:rPr>
                <w:sz w:val="22"/>
              </w:rPr>
              <w:t>Interior walls</w:t>
            </w:r>
          </w:p>
          <w:p w14:paraId="2CBFC2D5" w14:textId="77777777" w:rsidR="008579D7" w:rsidRPr="00280550" w:rsidRDefault="008579D7" w:rsidP="00631CC5">
            <w:pPr>
              <w:spacing w:after="0"/>
              <w:jc w:val="right"/>
              <w:rPr>
                <w:sz w:val="22"/>
              </w:rPr>
            </w:pPr>
          </w:p>
          <w:p w14:paraId="53A239D2" w14:textId="77777777" w:rsidR="008579D7" w:rsidRPr="00280550" w:rsidRDefault="008579D7" w:rsidP="00631CC5">
            <w:pPr>
              <w:spacing w:after="0"/>
              <w:jc w:val="right"/>
              <w:rPr>
                <w:sz w:val="22"/>
              </w:rPr>
            </w:pPr>
            <w:r w:rsidRPr="00280550">
              <w:rPr>
                <w:sz w:val="22"/>
              </w:rPr>
              <w:t>Structure</w:t>
            </w:r>
          </w:p>
          <w:p w14:paraId="11912255" w14:textId="77777777" w:rsidR="008579D7" w:rsidRPr="00280550" w:rsidRDefault="008579D7" w:rsidP="00631CC5">
            <w:pPr>
              <w:spacing w:after="0"/>
              <w:jc w:val="right"/>
              <w:rPr>
                <w:sz w:val="22"/>
              </w:rPr>
            </w:pPr>
          </w:p>
          <w:p w14:paraId="07DEBFB8" w14:textId="77777777" w:rsidR="008579D7" w:rsidRPr="00280550" w:rsidRDefault="008579D7" w:rsidP="00631CC5">
            <w:pPr>
              <w:spacing w:after="0"/>
              <w:jc w:val="right"/>
              <w:rPr>
                <w:sz w:val="22"/>
              </w:rPr>
            </w:pPr>
            <w:r w:rsidRPr="00280550">
              <w:rPr>
                <w:sz w:val="22"/>
              </w:rPr>
              <w:t>Ground floor</w:t>
            </w:r>
          </w:p>
          <w:p w14:paraId="076DA919" w14:textId="77777777" w:rsidR="008579D7" w:rsidRPr="00280550" w:rsidRDefault="008579D7" w:rsidP="00631CC5">
            <w:pPr>
              <w:spacing w:after="0"/>
              <w:jc w:val="right"/>
              <w:rPr>
                <w:sz w:val="22"/>
              </w:rPr>
            </w:pPr>
          </w:p>
          <w:p w14:paraId="14FCE0DA" w14:textId="77777777" w:rsidR="008579D7" w:rsidRPr="00280550" w:rsidRDefault="008579D7" w:rsidP="00631CC5">
            <w:pPr>
              <w:spacing w:after="0"/>
              <w:jc w:val="right"/>
              <w:rPr>
                <w:sz w:val="22"/>
              </w:rPr>
            </w:pPr>
            <w:r w:rsidRPr="00280550">
              <w:rPr>
                <w:sz w:val="22"/>
              </w:rPr>
              <w:t>First floor</w:t>
            </w:r>
          </w:p>
          <w:p w14:paraId="444ACA96" w14:textId="77777777" w:rsidR="008579D7" w:rsidRPr="00280550" w:rsidRDefault="008579D7" w:rsidP="00631CC5">
            <w:pPr>
              <w:spacing w:after="0"/>
              <w:jc w:val="right"/>
              <w:rPr>
                <w:sz w:val="22"/>
              </w:rPr>
            </w:pPr>
          </w:p>
          <w:p w14:paraId="044AA999" w14:textId="77777777" w:rsidR="008579D7" w:rsidRPr="00280550" w:rsidRDefault="008579D7" w:rsidP="00631CC5">
            <w:pPr>
              <w:spacing w:after="0"/>
              <w:jc w:val="right"/>
              <w:rPr>
                <w:sz w:val="22"/>
              </w:rPr>
            </w:pPr>
            <w:r w:rsidRPr="00280550">
              <w:rPr>
                <w:sz w:val="22"/>
              </w:rPr>
              <w:t>Windows</w:t>
            </w:r>
          </w:p>
          <w:p w14:paraId="3F590289" w14:textId="77777777" w:rsidR="008579D7" w:rsidRPr="00280550" w:rsidRDefault="008579D7" w:rsidP="00631CC5">
            <w:pPr>
              <w:spacing w:after="0"/>
              <w:jc w:val="right"/>
              <w:rPr>
                <w:sz w:val="22"/>
              </w:rPr>
            </w:pPr>
          </w:p>
          <w:p w14:paraId="54C32533" w14:textId="77777777" w:rsidR="008579D7" w:rsidRPr="00280550" w:rsidRDefault="008579D7" w:rsidP="00631CC5">
            <w:pPr>
              <w:spacing w:after="0"/>
              <w:jc w:val="right"/>
              <w:rPr>
                <w:sz w:val="22"/>
              </w:rPr>
            </w:pPr>
            <w:r w:rsidRPr="00280550">
              <w:rPr>
                <w:sz w:val="22"/>
              </w:rPr>
              <w:t>Roof</w:t>
            </w:r>
          </w:p>
          <w:p w14:paraId="5D76F0CA" w14:textId="77777777" w:rsidR="008579D7" w:rsidRPr="00280550" w:rsidRDefault="008579D7" w:rsidP="00631CC5">
            <w:pPr>
              <w:spacing w:after="0"/>
              <w:jc w:val="right"/>
              <w:rPr>
                <w:sz w:val="22"/>
              </w:rPr>
            </w:pPr>
          </w:p>
          <w:p w14:paraId="3700585D" w14:textId="77777777" w:rsidR="008579D7" w:rsidRPr="00280550" w:rsidRDefault="008579D7" w:rsidP="00631CC5">
            <w:pPr>
              <w:spacing w:after="0"/>
              <w:jc w:val="right"/>
              <w:rPr>
                <w:sz w:val="22"/>
              </w:rPr>
            </w:pPr>
            <w:r w:rsidRPr="00280550">
              <w:rPr>
                <w:sz w:val="22"/>
              </w:rPr>
              <w:t>HVAC</w:t>
            </w:r>
          </w:p>
          <w:p w14:paraId="234ABF9A" w14:textId="77777777" w:rsidR="008579D7" w:rsidRPr="00280550" w:rsidRDefault="008579D7" w:rsidP="00631CC5">
            <w:pPr>
              <w:spacing w:after="0"/>
              <w:jc w:val="right"/>
              <w:rPr>
                <w:sz w:val="22"/>
              </w:rPr>
            </w:pPr>
          </w:p>
          <w:p w14:paraId="05A54C4B" w14:textId="77777777" w:rsidR="008579D7" w:rsidRPr="00280550" w:rsidRDefault="008579D7" w:rsidP="00631CC5">
            <w:pPr>
              <w:spacing w:after="0"/>
              <w:jc w:val="right"/>
              <w:rPr>
                <w:sz w:val="22"/>
              </w:rPr>
            </w:pPr>
            <w:r w:rsidRPr="00280550">
              <w:rPr>
                <w:sz w:val="22"/>
              </w:rPr>
              <w:t>Electricity</w:t>
            </w:r>
          </w:p>
          <w:p w14:paraId="316C8874" w14:textId="77777777" w:rsidR="008579D7" w:rsidRPr="00280550" w:rsidRDefault="008579D7" w:rsidP="00631CC5">
            <w:pPr>
              <w:spacing w:after="0"/>
              <w:jc w:val="right"/>
              <w:rPr>
                <w:sz w:val="22"/>
              </w:rPr>
            </w:pPr>
          </w:p>
          <w:p w14:paraId="2BBB8E41" w14:textId="77777777" w:rsidR="008579D7" w:rsidRPr="00280550" w:rsidRDefault="008579D7" w:rsidP="00631CC5">
            <w:pPr>
              <w:spacing w:after="0"/>
              <w:jc w:val="right"/>
              <w:rPr>
                <w:sz w:val="22"/>
              </w:rPr>
            </w:pPr>
            <w:r w:rsidRPr="00280550">
              <w:rPr>
                <w:sz w:val="22"/>
              </w:rPr>
              <w:t>Ceiling</w:t>
            </w:r>
          </w:p>
          <w:p w14:paraId="554D0B5C" w14:textId="77777777" w:rsidR="008579D7" w:rsidRPr="00280550" w:rsidRDefault="008579D7" w:rsidP="00631CC5">
            <w:pPr>
              <w:spacing w:after="0"/>
              <w:jc w:val="right"/>
              <w:rPr>
                <w:sz w:val="22"/>
              </w:rPr>
            </w:pPr>
          </w:p>
          <w:p w14:paraId="07B9A7A9" w14:textId="77777777" w:rsidR="008579D7" w:rsidRPr="00280550" w:rsidRDefault="008579D7" w:rsidP="00631CC5">
            <w:pPr>
              <w:spacing w:after="0"/>
              <w:jc w:val="right"/>
              <w:rPr>
                <w:sz w:val="22"/>
              </w:rPr>
            </w:pPr>
            <w:r w:rsidRPr="00280550">
              <w:rPr>
                <w:sz w:val="22"/>
              </w:rPr>
              <w:t xml:space="preserve">Column </w:t>
            </w:r>
          </w:p>
        </w:tc>
        <w:tc>
          <w:tcPr>
            <w:tcW w:w="7513" w:type="dxa"/>
            <w:tcBorders>
              <w:left w:val="single" w:sz="4" w:space="0" w:color="auto"/>
              <w:right w:val="nil"/>
            </w:tcBorders>
          </w:tcPr>
          <w:p w14:paraId="7861ACB2" w14:textId="77777777" w:rsidR="008579D7" w:rsidRPr="00280550" w:rsidRDefault="008579D7" w:rsidP="00631CC5">
            <w:pPr>
              <w:spacing w:after="0"/>
              <w:rPr>
                <w:sz w:val="22"/>
              </w:rPr>
            </w:pPr>
            <w:r w:rsidRPr="00280550">
              <w:rPr>
                <w:sz w:val="22"/>
              </w:rPr>
              <w:t>100mm facing brick, 110mm cavity filled with polystyrene insulation, CMU inner wall with 12.5mm plasterboard finish and partly curtain wall.</w:t>
            </w:r>
          </w:p>
          <w:p w14:paraId="562B329B" w14:textId="77777777" w:rsidR="008579D7" w:rsidRPr="00280550" w:rsidRDefault="008579D7" w:rsidP="00631CC5">
            <w:pPr>
              <w:spacing w:after="0"/>
              <w:rPr>
                <w:sz w:val="22"/>
              </w:rPr>
            </w:pPr>
          </w:p>
          <w:p w14:paraId="52414D95" w14:textId="77777777" w:rsidR="008579D7" w:rsidRPr="00280550" w:rsidRDefault="008579D7" w:rsidP="00631CC5">
            <w:pPr>
              <w:spacing w:after="0"/>
              <w:rPr>
                <w:sz w:val="22"/>
              </w:rPr>
            </w:pPr>
            <w:r w:rsidRPr="00280550">
              <w:rPr>
                <w:sz w:val="22"/>
              </w:rPr>
              <w:t xml:space="preserve">Cavity masonry units filled with </w:t>
            </w:r>
            <w:r w:rsidRPr="00280550">
              <w:rPr>
                <w:noProof/>
                <w:sz w:val="22"/>
              </w:rPr>
              <w:t>sound</w:t>
            </w:r>
            <w:r w:rsidRPr="00280550">
              <w:rPr>
                <w:sz w:val="22"/>
              </w:rPr>
              <w:t xml:space="preserve"> barrier.</w:t>
            </w:r>
          </w:p>
          <w:p w14:paraId="2E4A2ED6" w14:textId="77777777" w:rsidR="008579D7" w:rsidRPr="00280550" w:rsidRDefault="008579D7" w:rsidP="00631CC5">
            <w:pPr>
              <w:spacing w:after="0"/>
              <w:rPr>
                <w:sz w:val="22"/>
              </w:rPr>
            </w:pPr>
          </w:p>
          <w:p w14:paraId="6EF39C2F" w14:textId="77777777" w:rsidR="008579D7" w:rsidRPr="00280550" w:rsidRDefault="008579D7" w:rsidP="00631CC5">
            <w:pPr>
              <w:spacing w:after="0"/>
              <w:rPr>
                <w:sz w:val="22"/>
              </w:rPr>
            </w:pPr>
            <w:r w:rsidRPr="00280550">
              <w:rPr>
                <w:sz w:val="22"/>
              </w:rPr>
              <w:t>Self-sufficient brick/block component served as structural support.</w:t>
            </w:r>
          </w:p>
          <w:p w14:paraId="12BBAC1E" w14:textId="77777777" w:rsidR="008579D7" w:rsidRPr="00280550" w:rsidRDefault="008579D7" w:rsidP="00631CC5">
            <w:pPr>
              <w:spacing w:after="0"/>
              <w:rPr>
                <w:sz w:val="22"/>
              </w:rPr>
            </w:pPr>
          </w:p>
          <w:p w14:paraId="44C6A3E2" w14:textId="77777777" w:rsidR="008579D7" w:rsidRPr="00280550" w:rsidRDefault="008579D7" w:rsidP="00631CC5">
            <w:pPr>
              <w:spacing w:after="0"/>
              <w:rPr>
                <w:sz w:val="22"/>
              </w:rPr>
            </w:pPr>
            <w:r w:rsidRPr="00280550">
              <w:rPr>
                <w:sz w:val="22"/>
              </w:rPr>
              <w:t xml:space="preserve">Composite hollow core floor finished with synthetic resin </w:t>
            </w:r>
          </w:p>
          <w:p w14:paraId="1389FCA8" w14:textId="77777777" w:rsidR="008579D7" w:rsidRPr="00280550" w:rsidRDefault="008579D7" w:rsidP="00631CC5">
            <w:pPr>
              <w:spacing w:after="0"/>
              <w:rPr>
                <w:sz w:val="22"/>
              </w:rPr>
            </w:pPr>
          </w:p>
          <w:p w14:paraId="2FAE6D8F" w14:textId="77777777" w:rsidR="008579D7" w:rsidRPr="00280550" w:rsidRDefault="008579D7" w:rsidP="00631CC5">
            <w:pPr>
              <w:spacing w:after="0"/>
              <w:rPr>
                <w:sz w:val="22"/>
              </w:rPr>
            </w:pPr>
            <w:r w:rsidRPr="00280550">
              <w:rPr>
                <w:sz w:val="22"/>
              </w:rPr>
              <w:t>Timber boards with I-section timber frames and synthetic resin floor finish</w:t>
            </w:r>
          </w:p>
          <w:p w14:paraId="51ADC716" w14:textId="77777777" w:rsidR="008579D7" w:rsidRPr="00280550" w:rsidRDefault="008579D7" w:rsidP="00631CC5">
            <w:pPr>
              <w:spacing w:after="0"/>
              <w:rPr>
                <w:sz w:val="22"/>
              </w:rPr>
            </w:pPr>
          </w:p>
          <w:p w14:paraId="12BB836B" w14:textId="77777777" w:rsidR="008579D7" w:rsidRPr="00280550" w:rsidRDefault="008579D7" w:rsidP="00631CC5">
            <w:pPr>
              <w:spacing w:after="0"/>
              <w:rPr>
                <w:sz w:val="22"/>
              </w:rPr>
            </w:pPr>
            <w:r w:rsidRPr="00280550">
              <w:rPr>
                <w:sz w:val="22"/>
              </w:rPr>
              <w:t xml:space="preserve">Aluminium-frame, double-glazed, argon-filled, </w:t>
            </w:r>
            <w:r w:rsidRPr="00280550">
              <w:rPr>
                <w:i/>
                <w:iCs/>
                <w:sz w:val="22"/>
              </w:rPr>
              <w:t>U</w:t>
            </w:r>
            <w:r w:rsidRPr="00280550">
              <w:rPr>
                <w:sz w:val="22"/>
              </w:rPr>
              <w:t>-value 1.55 W/m</w:t>
            </w:r>
            <w:r w:rsidRPr="00280550">
              <w:rPr>
                <w:sz w:val="22"/>
                <w:vertAlign w:val="superscript"/>
              </w:rPr>
              <w:t>2</w:t>
            </w:r>
            <w:r w:rsidRPr="00280550">
              <w:rPr>
                <w:sz w:val="22"/>
              </w:rPr>
              <w:t xml:space="preserve"> K </w:t>
            </w:r>
          </w:p>
          <w:p w14:paraId="3EAD4CFA" w14:textId="77777777" w:rsidR="008579D7" w:rsidRPr="00280550" w:rsidRDefault="008579D7" w:rsidP="00631CC5">
            <w:pPr>
              <w:spacing w:after="0"/>
              <w:rPr>
                <w:sz w:val="22"/>
              </w:rPr>
            </w:pPr>
          </w:p>
          <w:p w14:paraId="196EFA00" w14:textId="77777777" w:rsidR="008579D7" w:rsidRPr="00280550" w:rsidRDefault="008579D7" w:rsidP="00631CC5">
            <w:pPr>
              <w:spacing w:after="0"/>
              <w:rPr>
                <w:sz w:val="22"/>
              </w:rPr>
            </w:pPr>
            <w:r w:rsidRPr="00280550">
              <w:rPr>
                <w:sz w:val="22"/>
              </w:rPr>
              <w:t>Slate roofing sheet with wood frame</w:t>
            </w:r>
          </w:p>
          <w:p w14:paraId="51798A0C" w14:textId="77777777" w:rsidR="008579D7" w:rsidRPr="00280550" w:rsidRDefault="008579D7" w:rsidP="00631CC5">
            <w:pPr>
              <w:spacing w:after="0"/>
              <w:rPr>
                <w:sz w:val="22"/>
              </w:rPr>
            </w:pPr>
          </w:p>
          <w:p w14:paraId="3EB1C31B" w14:textId="435D9C6A" w:rsidR="008579D7" w:rsidRPr="00280550" w:rsidRDefault="008579D7" w:rsidP="00631CC5">
            <w:pPr>
              <w:spacing w:after="0"/>
              <w:rPr>
                <w:sz w:val="22"/>
              </w:rPr>
            </w:pPr>
            <w:r w:rsidRPr="00280550">
              <w:rPr>
                <w:sz w:val="22"/>
              </w:rPr>
              <w:t xml:space="preserve">Gas fired </w:t>
            </w:r>
            <w:r w:rsidRPr="00280550">
              <w:rPr>
                <w:noProof/>
                <w:sz w:val="22"/>
              </w:rPr>
              <w:t>boiler</w:t>
            </w:r>
            <w:r w:rsidRPr="00280550">
              <w:rPr>
                <w:sz w:val="22"/>
              </w:rPr>
              <w:t xml:space="preserve">, steam from Central </w:t>
            </w:r>
            <w:r w:rsidRPr="00280550">
              <w:rPr>
                <w:noProof/>
                <w:sz w:val="22"/>
              </w:rPr>
              <w:t>Powerplant</w:t>
            </w:r>
          </w:p>
          <w:p w14:paraId="4496A6FE" w14:textId="77777777" w:rsidR="008579D7" w:rsidRPr="00280550" w:rsidRDefault="008579D7" w:rsidP="00631CC5">
            <w:pPr>
              <w:spacing w:after="0"/>
              <w:rPr>
                <w:sz w:val="22"/>
              </w:rPr>
            </w:pPr>
          </w:p>
          <w:p w14:paraId="6291435A" w14:textId="77777777" w:rsidR="008579D7" w:rsidRPr="00280550" w:rsidRDefault="008579D7" w:rsidP="00631CC5">
            <w:pPr>
              <w:spacing w:after="0"/>
              <w:rPr>
                <w:sz w:val="22"/>
              </w:rPr>
            </w:pPr>
            <w:r w:rsidRPr="00280550">
              <w:rPr>
                <w:sz w:val="22"/>
              </w:rPr>
              <w:t>100% from external regional utility</w:t>
            </w:r>
          </w:p>
          <w:p w14:paraId="79D1AECE" w14:textId="77777777" w:rsidR="008579D7" w:rsidRPr="00280550" w:rsidRDefault="008579D7" w:rsidP="00631CC5">
            <w:pPr>
              <w:spacing w:after="0"/>
              <w:rPr>
                <w:sz w:val="22"/>
              </w:rPr>
            </w:pPr>
          </w:p>
          <w:p w14:paraId="7C2C103D" w14:textId="77777777" w:rsidR="008579D7" w:rsidRPr="00280550" w:rsidRDefault="008579D7" w:rsidP="00631CC5">
            <w:pPr>
              <w:spacing w:after="0"/>
              <w:rPr>
                <w:sz w:val="22"/>
              </w:rPr>
            </w:pPr>
            <w:r w:rsidRPr="00280550">
              <w:rPr>
                <w:sz w:val="22"/>
              </w:rPr>
              <w:t>Suspended gypsum ceiling with steel grid</w:t>
            </w:r>
          </w:p>
          <w:p w14:paraId="4177FAA8" w14:textId="77777777" w:rsidR="008579D7" w:rsidRPr="00280550" w:rsidRDefault="008579D7" w:rsidP="00631CC5">
            <w:pPr>
              <w:spacing w:after="0"/>
              <w:rPr>
                <w:sz w:val="22"/>
              </w:rPr>
            </w:pPr>
          </w:p>
          <w:p w14:paraId="32D7DAAB" w14:textId="77777777" w:rsidR="008579D7" w:rsidRPr="00280550" w:rsidRDefault="008579D7" w:rsidP="00631CC5">
            <w:pPr>
              <w:spacing w:after="0"/>
              <w:rPr>
                <w:sz w:val="22"/>
              </w:rPr>
            </w:pPr>
            <w:r w:rsidRPr="00280550">
              <w:rPr>
                <w:sz w:val="22"/>
              </w:rPr>
              <w:t>Pressure treated sawn hardwood – free from Copper Chromium Acetate(CCA)</w:t>
            </w:r>
          </w:p>
        </w:tc>
      </w:tr>
    </w:tbl>
    <w:p w14:paraId="3906B23F" w14:textId="77777777" w:rsidR="008579D7" w:rsidRPr="00280550" w:rsidRDefault="008579D7" w:rsidP="00F63368">
      <w:pPr>
        <w:spacing w:after="0" w:line="360" w:lineRule="auto"/>
        <w:jc w:val="both"/>
      </w:pPr>
    </w:p>
    <w:p w14:paraId="14209FE5" w14:textId="39334FA1" w:rsidR="009D03BD" w:rsidRPr="00280550" w:rsidRDefault="009D03BD" w:rsidP="00F63368">
      <w:pPr>
        <w:spacing w:after="0" w:line="360" w:lineRule="auto"/>
        <w:jc w:val="both"/>
      </w:pPr>
    </w:p>
    <w:p w14:paraId="41449C43" w14:textId="0EE0A7CE" w:rsidR="005316ED" w:rsidRPr="00280550" w:rsidRDefault="008579D7" w:rsidP="008579D7">
      <w:pPr>
        <w:pStyle w:val="SectionSub-heading"/>
        <w:spacing w:after="0" w:line="360" w:lineRule="auto"/>
      </w:pPr>
      <w:r w:rsidRPr="00280550">
        <w:t xml:space="preserve">3.2. </w:t>
      </w:r>
      <w:r w:rsidR="005316ED" w:rsidRPr="00280550">
        <w:t>Lifecycle Assessment (LCA) Framework</w:t>
      </w:r>
    </w:p>
    <w:p w14:paraId="002B8A44" w14:textId="77777777" w:rsidR="005316ED" w:rsidRPr="00280550" w:rsidRDefault="005316ED" w:rsidP="00F63368">
      <w:pPr>
        <w:pStyle w:val="MinorHeading"/>
        <w:spacing w:line="360" w:lineRule="auto"/>
        <w:jc w:val="both"/>
      </w:pPr>
      <w:r w:rsidRPr="00280550">
        <w:t>Goal and Scope</w:t>
      </w:r>
    </w:p>
    <w:p w14:paraId="2163F09A" w14:textId="0B968319" w:rsidR="005316ED" w:rsidRPr="00280550" w:rsidRDefault="005316ED" w:rsidP="00F63368">
      <w:pPr>
        <w:spacing w:after="0" w:line="360" w:lineRule="auto"/>
        <w:jc w:val="both"/>
      </w:pPr>
      <w:r w:rsidRPr="00280550">
        <w:t>The sco</w:t>
      </w:r>
      <w:r w:rsidR="00EC549B" w:rsidRPr="00280550">
        <w:t xml:space="preserve">pe of the LCA is limited to </w:t>
      </w:r>
      <w:r w:rsidRPr="00280550">
        <w:t xml:space="preserve">a two-floor BIM-modelled block of </w:t>
      </w:r>
      <w:r w:rsidRPr="00280550">
        <w:rPr>
          <w:noProof/>
        </w:rPr>
        <w:t>classroom</w:t>
      </w:r>
      <w:r w:rsidRPr="00280550">
        <w:t xml:space="preserve"> with sensitivity analysis of material specifications, to determine the effects of each specification over the building’s </w:t>
      </w:r>
      <w:r w:rsidRPr="00280550">
        <w:rPr>
          <w:noProof/>
        </w:rPr>
        <w:t>lifecycle</w:t>
      </w:r>
      <w:r w:rsidRPr="00280550">
        <w:t xml:space="preserve">. Also known as "what-if scenario", </w:t>
      </w:r>
      <w:r w:rsidR="009E0829" w:rsidRPr="00280550">
        <w:t xml:space="preserve">a </w:t>
      </w:r>
      <w:r w:rsidRPr="00280550">
        <w:rPr>
          <w:noProof/>
        </w:rPr>
        <w:t>sensitivity</w:t>
      </w:r>
      <w:r w:rsidRPr="00280550">
        <w:t xml:space="preserve"> analysis was used to hypothesise alternative materials that could be used for the building.  In line with </w:t>
      </w:r>
      <w:proofErr w:type="spellStart"/>
      <w:r w:rsidRPr="00280550">
        <w:t>Saynajoki</w:t>
      </w:r>
      <w:proofErr w:type="spellEnd"/>
      <w:r w:rsidRPr="00280550">
        <w:t xml:space="preserve"> et al. (2012), a period of 30 years was used for the LCA analysis of the building typologies. This is also partly due to the provision of 30 years available in GBS, which was used for evaluating </w:t>
      </w:r>
      <w:r w:rsidR="00EC549B" w:rsidRPr="00280550">
        <w:t xml:space="preserve">the </w:t>
      </w:r>
      <w:r w:rsidRPr="00280550">
        <w:rPr>
          <w:noProof/>
        </w:rPr>
        <w:t>operational</w:t>
      </w:r>
      <w:r w:rsidRPr="00280550">
        <w:t xml:space="preserve"> impacts of the buildings.</w:t>
      </w:r>
    </w:p>
    <w:p w14:paraId="121209A2" w14:textId="77777777" w:rsidR="00AA3867" w:rsidRPr="00280550" w:rsidRDefault="00AA3867" w:rsidP="00F63368">
      <w:pPr>
        <w:spacing w:after="0" w:line="360" w:lineRule="auto"/>
        <w:jc w:val="both"/>
      </w:pPr>
    </w:p>
    <w:p w14:paraId="59084ADD" w14:textId="77777777" w:rsidR="005316ED" w:rsidRPr="00280550" w:rsidRDefault="005316ED" w:rsidP="00F63368">
      <w:pPr>
        <w:pStyle w:val="MinorHeading"/>
        <w:spacing w:line="360" w:lineRule="auto"/>
        <w:jc w:val="both"/>
      </w:pPr>
      <w:r w:rsidRPr="00280550">
        <w:t>Inventory analysis</w:t>
      </w:r>
    </w:p>
    <w:p w14:paraId="2E2CF746" w14:textId="31B71734" w:rsidR="005316ED" w:rsidRPr="00280550" w:rsidRDefault="005316ED" w:rsidP="00F63368">
      <w:pPr>
        <w:spacing w:after="0" w:line="360" w:lineRule="auto"/>
        <w:jc w:val="both"/>
      </w:pPr>
      <w:r w:rsidRPr="00280550">
        <w:t xml:space="preserve">The LCA inventory analysis was estimated using the volume estimate capacity of Revit. The total volume of materials required by different typologies </w:t>
      </w:r>
      <w:r w:rsidRPr="00280550">
        <w:rPr>
          <w:noProof/>
        </w:rPr>
        <w:t>w</w:t>
      </w:r>
      <w:r w:rsidR="008B3A18" w:rsidRPr="00280550">
        <w:rPr>
          <w:noProof/>
        </w:rPr>
        <w:t>as</w:t>
      </w:r>
      <w:r w:rsidRPr="00280550">
        <w:t xml:space="preserve"> entered into ATHENA impact estimator (IE), </w:t>
      </w:r>
      <w:r w:rsidRPr="00280550">
        <w:rPr>
          <w:noProof/>
        </w:rPr>
        <w:t>a</w:t>
      </w:r>
      <w:r w:rsidR="008B3A18" w:rsidRPr="00280550">
        <w:rPr>
          <w:noProof/>
        </w:rPr>
        <w:t>n</w:t>
      </w:r>
      <w:r w:rsidRPr="00280550">
        <w:rPr>
          <w:noProof/>
        </w:rPr>
        <w:t xml:space="preserve"> LCA</w:t>
      </w:r>
      <w:r w:rsidRPr="00280550">
        <w:t xml:space="preserve"> tool that </w:t>
      </w:r>
      <w:r w:rsidRPr="00280550">
        <w:rPr>
          <w:noProof/>
        </w:rPr>
        <w:t>take</w:t>
      </w:r>
      <w:r w:rsidR="008B3A18" w:rsidRPr="00280550">
        <w:rPr>
          <w:noProof/>
        </w:rPr>
        <w:t>s</w:t>
      </w:r>
      <w:r w:rsidRPr="00280550">
        <w:t xml:space="preserve"> in data from building materials and operation and converts it into various impacts categories such as Global Warming Potentials (GWP), acidification, etc. The inventory of energy need of the different building typologies was also </w:t>
      </w:r>
      <w:r w:rsidRPr="00280550">
        <w:lastRenderedPageBreak/>
        <w:t xml:space="preserve">estimated using GBS and Revit energy analysis. The results were also entered into IE to calculate </w:t>
      </w:r>
      <w:r w:rsidR="00EC549B" w:rsidRPr="00280550">
        <w:t xml:space="preserve">the </w:t>
      </w:r>
      <w:r w:rsidRPr="00280550">
        <w:rPr>
          <w:noProof/>
        </w:rPr>
        <w:t>lifecycle</w:t>
      </w:r>
      <w:r w:rsidRPr="00280550">
        <w:t xml:space="preserve"> impacts of the buildings. </w:t>
      </w:r>
    </w:p>
    <w:p w14:paraId="0E16FCFE" w14:textId="77777777" w:rsidR="00815028" w:rsidRPr="00280550" w:rsidRDefault="00815028" w:rsidP="00F63368">
      <w:pPr>
        <w:spacing w:after="0" w:line="360" w:lineRule="auto"/>
        <w:jc w:val="both"/>
      </w:pPr>
    </w:p>
    <w:p w14:paraId="22F45778" w14:textId="77777777" w:rsidR="005316ED" w:rsidRPr="00280550" w:rsidRDefault="005316ED" w:rsidP="00F63368">
      <w:pPr>
        <w:pStyle w:val="MinorHeading"/>
        <w:spacing w:line="360" w:lineRule="auto"/>
        <w:jc w:val="both"/>
      </w:pPr>
      <w:r w:rsidRPr="00280550">
        <w:t>Impact Assessment</w:t>
      </w:r>
    </w:p>
    <w:p w14:paraId="12CC5D1B" w14:textId="0771AABF" w:rsidR="005316ED" w:rsidRPr="00280550" w:rsidRDefault="005316ED" w:rsidP="00F63368">
      <w:pPr>
        <w:spacing w:after="0" w:line="360" w:lineRule="auto"/>
        <w:jc w:val="both"/>
      </w:pPr>
      <w:r w:rsidRPr="00280550">
        <w:t xml:space="preserve">In line with Hamilton et al. (2007), the most potent environmental impacts of building on the environment </w:t>
      </w:r>
      <w:r w:rsidR="008B3A18" w:rsidRPr="00280550">
        <w:rPr>
          <w:noProof/>
        </w:rPr>
        <w:t>are</w:t>
      </w:r>
      <w:r w:rsidRPr="00280550">
        <w:t xml:space="preserve"> its tendency of increasing GWP. As such, the impacts of the buildings were evaluated in terms of their tendency for GWP by calculating the quantity of carbon produced by each typology over the entire building lifecycle in KgCO2. </w:t>
      </w:r>
    </w:p>
    <w:p w14:paraId="451C855D" w14:textId="77777777" w:rsidR="00815028" w:rsidRPr="00280550" w:rsidRDefault="00815028" w:rsidP="00F63368">
      <w:pPr>
        <w:spacing w:after="0" w:line="360" w:lineRule="auto"/>
        <w:jc w:val="both"/>
      </w:pPr>
    </w:p>
    <w:p w14:paraId="72350F3B" w14:textId="77777777" w:rsidR="005316ED" w:rsidRPr="00280550" w:rsidRDefault="005316ED" w:rsidP="00F63368">
      <w:pPr>
        <w:pStyle w:val="MinorHeading"/>
        <w:spacing w:line="360" w:lineRule="auto"/>
        <w:jc w:val="both"/>
      </w:pPr>
      <w:r w:rsidRPr="00280550">
        <w:t>Interpretation</w:t>
      </w:r>
    </w:p>
    <w:p w14:paraId="78965174" w14:textId="60AFDF56" w:rsidR="005316ED" w:rsidRPr="00280550" w:rsidRDefault="005316ED" w:rsidP="00F63368">
      <w:pPr>
        <w:spacing w:after="0" w:line="360" w:lineRule="auto"/>
        <w:jc w:val="both"/>
      </w:pPr>
      <w:r w:rsidRPr="00280550">
        <w:t xml:space="preserve">The overall goal of the whole life building LCA was to calculate an average impact per lifecycle stage of buildings. As such, the sensitivity analysis provided </w:t>
      </w:r>
      <w:r w:rsidR="008B3A18" w:rsidRPr="00280550">
        <w:t xml:space="preserve">an </w:t>
      </w:r>
      <w:r w:rsidRPr="00280550">
        <w:rPr>
          <w:noProof/>
        </w:rPr>
        <w:t>avenue</w:t>
      </w:r>
      <w:r w:rsidRPr="00280550">
        <w:t xml:space="preserve"> for finding </w:t>
      </w:r>
      <w:r w:rsidR="00EC549B" w:rsidRPr="00280550">
        <w:t xml:space="preserve">the </w:t>
      </w:r>
      <w:r w:rsidRPr="00280550">
        <w:rPr>
          <w:noProof/>
        </w:rPr>
        <w:t>average</w:t>
      </w:r>
      <w:r w:rsidRPr="00280550">
        <w:t xml:space="preserve"> impacts of the four typologies considered in the study. </w:t>
      </w:r>
    </w:p>
    <w:p w14:paraId="39BFB545" w14:textId="77777777" w:rsidR="005316ED" w:rsidRPr="00280550" w:rsidRDefault="005316ED" w:rsidP="00F63368">
      <w:pPr>
        <w:spacing w:after="0" w:line="360" w:lineRule="auto"/>
        <w:jc w:val="both"/>
      </w:pPr>
    </w:p>
    <w:p w14:paraId="0A99E1B9" w14:textId="686B74C5" w:rsidR="005316ED" w:rsidRPr="00280550" w:rsidRDefault="008579D7" w:rsidP="00F63368">
      <w:pPr>
        <w:pStyle w:val="SectionHeading"/>
        <w:spacing w:after="0" w:line="360" w:lineRule="auto"/>
        <w:jc w:val="both"/>
      </w:pPr>
      <w:r w:rsidRPr="00280550">
        <w:t xml:space="preserve">4.0. </w:t>
      </w:r>
      <w:r w:rsidR="005316ED" w:rsidRPr="00280550">
        <w:t>Findings and discussion</w:t>
      </w:r>
    </w:p>
    <w:p w14:paraId="4C753EE3" w14:textId="18796F12" w:rsidR="005316ED" w:rsidRPr="00280550" w:rsidRDefault="005316ED" w:rsidP="00F63368">
      <w:pPr>
        <w:spacing w:after="0" w:line="360" w:lineRule="auto"/>
        <w:jc w:val="both"/>
      </w:pPr>
      <w:r w:rsidRPr="00280550">
        <w:t xml:space="preserve">This section presents the findings of the LCA for the building typology, and the corresponding impacts of each stage </w:t>
      </w:r>
      <w:r w:rsidR="00A86AB0" w:rsidRPr="00280550">
        <w:rPr>
          <w:noProof/>
        </w:rPr>
        <w:t>are</w:t>
      </w:r>
      <w:r w:rsidRPr="00280550">
        <w:t xml:space="preserve"> compared with </w:t>
      </w:r>
      <w:r w:rsidR="00A86AB0" w:rsidRPr="00280550">
        <w:t xml:space="preserve">the </w:t>
      </w:r>
      <w:r w:rsidRPr="00280550">
        <w:rPr>
          <w:noProof/>
        </w:rPr>
        <w:t>proportional</w:t>
      </w:r>
      <w:r w:rsidRPr="00280550">
        <w:t xml:space="preserve"> score assigned to the stages in BREEAM and </w:t>
      </w:r>
      <w:proofErr w:type="spellStart"/>
      <w:r w:rsidRPr="00280550">
        <w:t>CfSH</w:t>
      </w:r>
      <w:proofErr w:type="spellEnd"/>
      <w:r w:rsidRPr="00280550">
        <w:t xml:space="preserve">. </w:t>
      </w:r>
    </w:p>
    <w:p w14:paraId="48FA6BA6" w14:textId="77777777" w:rsidR="005316ED" w:rsidRPr="00280550" w:rsidRDefault="005316ED" w:rsidP="00F63368">
      <w:pPr>
        <w:spacing w:after="0" w:line="360" w:lineRule="auto"/>
        <w:jc w:val="both"/>
      </w:pPr>
    </w:p>
    <w:p w14:paraId="4A008955" w14:textId="7A3E4441" w:rsidR="005316ED" w:rsidRPr="00280550" w:rsidRDefault="008579D7" w:rsidP="00F63368">
      <w:pPr>
        <w:pStyle w:val="SectionSub-heading"/>
        <w:spacing w:after="0" w:line="360" w:lineRule="auto"/>
        <w:jc w:val="both"/>
      </w:pPr>
      <w:r w:rsidRPr="00280550">
        <w:t xml:space="preserve">4.1. </w:t>
      </w:r>
      <w:r w:rsidR="005316ED" w:rsidRPr="00280550">
        <w:t>Environmental impacts per lifecycle stages of buildings</w:t>
      </w:r>
    </w:p>
    <w:p w14:paraId="11A16D67" w14:textId="3D11D150" w:rsidR="005316ED" w:rsidRPr="00280550" w:rsidRDefault="005316ED" w:rsidP="00F63368">
      <w:pPr>
        <w:spacing w:after="0" w:line="360" w:lineRule="auto"/>
        <w:jc w:val="both"/>
      </w:pPr>
      <w:r w:rsidRPr="00280550">
        <w:t xml:space="preserve">As presented in Figure 1, the GWP of the buildings varied with the types of materials specified for their construction. The </w:t>
      </w:r>
      <w:r w:rsidRPr="00280550">
        <w:rPr>
          <w:noProof/>
        </w:rPr>
        <w:t>finding</w:t>
      </w:r>
      <w:r w:rsidR="00A86AB0" w:rsidRPr="00280550">
        <w:rPr>
          <w:noProof/>
        </w:rPr>
        <w:t>s</w:t>
      </w:r>
      <w:r w:rsidR="00EC549B" w:rsidRPr="00280550">
        <w:t xml:space="preserve"> show that the</w:t>
      </w:r>
      <w:r w:rsidRPr="00280550">
        <w:t xml:space="preserve"> order of environmental friendliness of the building typologies ranges from timber, brick/block, steel to concrete, where concrete buildings have the highest negative environmental impacts. Considering the lifecycle stages, the operational stage has the highest impacts on the environment. This was followed by </w:t>
      </w:r>
      <w:r w:rsidR="00EC549B" w:rsidRPr="00280550">
        <w:t xml:space="preserve">the </w:t>
      </w:r>
      <w:r w:rsidRPr="00280550">
        <w:rPr>
          <w:noProof/>
        </w:rPr>
        <w:t>materials</w:t>
      </w:r>
      <w:r w:rsidRPr="00280550">
        <w:t xml:space="preserve">/product stage, construction and replacement stage and end of life stages respectively for all the building typologies. Figure 1 presents the average impacts of all the typologies over each lifecycle stage in KgCO2 that would be emitted by the buildings. AVERAGE represents the average impact per lifecycle stages for all the four typologies. </w:t>
      </w:r>
    </w:p>
    <w:p w14:paraId="78EED4FE" w14:textId="77777777" w:rsidR="007C1E58" w:rsidRPr="00280550" w:rsidRDefault="007C1E58" w:rsidP="00F63368">
      <w:pPr>
        <w:spacing w:after="0" w:line="360" w:lineRule="auto"/>
        <w:jc w:val="both"/>
      </w:pPr>
    </w:p>
    <w:p w14:paraId="7D6E0689" w14:textId="77777777" w:rsidR="005316ED" w:rsidRPr="00280550" w:rsidRDefault="005316ED" w:rsidP="00F63368">
      <w:pPr>
        <w:spacing w:after="0" w:line="360" w:lineRule="auto"/>
        <w:jc w:val="both"/>
      </w:pPr>
      <w:r w:rsidRPr="00280550">
        <w:rPr>
          <w:noProof/>
        </w:rPr>
        <w:lastRenderedPageBreak/>
        <w:drawing>
          <wp:inline distT="0" distB="0" distL="0" distR="0" wp14:anchorId="04B1D3E2" wp14:editId="351A46F7">
            <wp:extent cx="5810250" cy="3943350"/>
            <wp:effectExtent l="0" t="0" r="0" b="0"/>
            <wp:docPr id="3" name="Chart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0FDB620" w14:textId="77777777" w:rsidR="005316ED" w:rsidRPr="00280550" w:rsidRDefault="005316ED" w:rsidP="007C1E58">
      <w:pPr>
        <w:pStyle w:val="Captions"/>
        <w:spacing w:after="0" w:line="360" w:lineRule="auto"/>
        <w:jc w:val="center"/>
      </w:pPr>
      <w:r w:rsidRPr="00280550">
        <w:t>Figure 1: Impacts of all the typologies (in KgCO2) over each lifecycle stage of buildings</w:t>
      </w:r>
    </w:p>
    <w:p w14:paraId="2040A2F3" w14:textId="77777777" w:rsidR="005316ED" w:rsidRPr="00280550" w:rsidRDefault="005316ED" w:rsidP="00F63368">
      <w:pPr>
        <w:spacing w:after="0" w:line="360" w:lineRule="auto"/>
        <w:jc w:val="both"/>
      </w:pPr>
    </w:p>
    <w:p w14:paraId="6AB7F607" w14:textId="0381EFD7" w:rsidR="005316ED" w:rsidRPr="00280550" w:rsidRDefault="008579D7" w:rsidP="00F63368">
      <w:pPr>
        <w:pStyle w:val="SectionSub-heading"/>
        <w:spacing w:after="0" w:line="360" w:lineRule="auto"/>
        <w:jc w:val="both"/>
      </w:pPr>
      <w:r w:rsidRPr="00280550">
        <w:rPr>
          <w:noProof/>
        </w:rPr>
        <w:t xml:space="preserve">4.2. </w:t>
      </w:r>
      <w:r w:rsidR="009E0829" w:rsidRPr="00280550">
        <w:rPr>
          <w:noProof/>
        </w:rPr>
        <w:t>The e</w:t>
      </w:r>
      <w:r w:rsidR="005316ED" w:rsidRPr="00280550">
        <w:rPr>
          <w:noProof/>
        </w:rPr>
        <w:t>nvironmental</w:t>
      </w:r>
      <w:r w:rsidR="005316ED" w:rsidRPr="00280550">
        <w:t xml:space="preserve"> weight assigned to different lifecycle stages of buildings in BREAAM and </w:t>
      </w:r>
      <w:proofErr w:type="spellStart"/>
      <w:r w:rsidR="005316ED" w:rsidRPr="00280550">
        <w:t>CfSH</w:t>
      </w:r>
      <w:proofErr w:type="spellEnd"/>
    </w:p>
    <w:p w14:paraId="2E666743" w14:textId="3B6D5604" w:rsidR="005316ED" w:rsidRPr="00280550" w:rsidRDefault="005316ED" w:rsidP="00F63368">
      <w:pPr>
        <w:spacing w:after="0" w:line="360" w:lineRule="auto"/>
        <w:jc w:val="both"/>
      </w:pPr>
      <w:r w:rsidRPr="00280550">
        <w:t xml:space="preserve">As earlier presented in table 1 and 2, operational impacts of buildings were assigned with the highest environmental weight in BREEAM and </w:t>
      </w:r>
      <w:proofErr w:type="spellStart"/>
      <w:r w:rsidRPr="00280550">
        <w:t>CfSH</w:t>
      </w:r>
      <w:proofErr w:type="spellEnd"/>
      <w:r w:rsidRPr="00280550">
        <w:t xml:space="preserve"> with 71.4% and 54.3% respectively. This was followed by the embodied impact, which has 14.3% and 34.6% for BREEAM and </w:t>
      </w:r>
      <w:proofErr w:type="spellStart"/>
      <w:r w:rsidRPr="00280550">
        <w:t>CfSH</w:t>
      </w:r>
      <w:proofErr w:type="spellEnd"/>
      <w:r w:rsidRPr="00280550">
        <w:t xml:space="preserve"> respectively. Construction and end of </w:t>
      </w:r>
      <w:r w:rsidRPr="00280550">
        <w:rPr>
          <w:noProof/>
        </w:rPr>
        <w:t>life</w:t>
      </w:r>
      <w:r w:rsidR="009E0829" w:rsidRPr="00280550">
        <w:rPr>
          <w:noProof/>
        </w:rPr>
        <w:t>-</w:t>
      </w:r>
      <w:r w:rsidRPr="00280550">
        <w:rPr>
          <w:noProof/>
        </w:rPr>
        <w:t>related</w:t>
      </w:r>
      <w:r w:rsidRPr="00280550">
        <w:t xml:space="preserve"> impacts were assigned 12.1% and 2.2% (respectively) in BREEAM. While the </w:t>
      </w:r>
      <w:proofErr w:type="spellStart"/>
      <w:r w:rsidRPr="00280550">
        <w:t>CfSH</w:t>
      </w:r>
      <w:proofErr w:type="spellEnd"/>
      <w:r w:rsidRPr="00280550">
        <w:t xml:space="preserve"> sets no direct measure for </w:t>
      </w:r>
      <w:r w:rsidR="009E0829" w:rsidRPr="00280550">
        <w:t xml:space="preserve">the </w:t>
      </w:r>
      <w:r w:rsidRPr="00280550">
        <w:rPr>
          <w:noProof/>
        </w:rPr>
        <w:t>end</w:t>
      </w:r>
      <w:r w:rsidRPr="00280550">
        <w:t xml:space="preserve"> of </w:t>
      </w:r>
      <w:r w:rsidRPr="00280550">
        <w:rPr>
          <w:noProof/>
        </w:rPr>
        <w:t>life</w:t>
      </w:r>
      <w:r w:rsidR="009E0829" w:rsidRPr="00280550">
        <w:rPr>
          <w:noProof/>
        </w:rPr>
        <w:t>-</w:t>
      </w:r>
      <w:r w:rsidRPr="00280550">
        <w:rPr>
          <w:noProof/>
        </w:rPr>
        <w:t>related</w:t>
      </w:r>
      <w:r w:rsidRPr="00280550">
        <w:t xml:space="preserve"> impacts, </w:t>
      </w:r>
      <w:r w:rsidRPr="00280550">
        <w:rPr>
          <w:noProof/>
        </w:rPr>
        <w:t>construction</w:t>
      </w:r>
      <w:r w:rsidR="00A86AB0" w:rsidRPr="00280550">
        <w:rPr>
          <w:noProof/>
        </w:rPr>
        <w:t>-</w:t>
      </w:r>
      <w:r w:rsidRPr="00280550">
        <w:rPr>
          <w:noProof/>
        </w:rPr>
        <w:t>related</w:t>
      </w:r>
      <w:r w:rsidRPr="00280550">
        <w:t xml:space="preserve"> impacts have a proportional weight of 11.1%. Figure 2 presents the proportional environmental weight assigned to the different lifecycle stages. </w:t>
      </w:r>
    </w:p>
    <w:p w14:paraId="2994491D" w14:textId="77777777" w:rsidR="007C1E58" w:rsidRPr="00280550" w:rsidRDefault="007C1E58" w:rsidP="00F63368">
      <w:pPr>
        <w:spacing w:after="0" w:line="360" w:lineRule="auto"/>
        <w:jc w:val="both"/>
      </w:pPr>
    </w:p>
    <w:p w14:paraId="38C593DC" w14:textId="77777777" w:rsidR="005316ED" w:rsidRPr="00280550" w:rsidRDefault="005316ED" w:rsidP="00F63368">
      <w:pPr>
        <w:spacing w:after="0" w:line="360" w:lineRule="auto"/>
        <w:jc w:val="both"/>
      </w:pPr>
      <w:r w:rsidRPr="00280550">
        <w:rPr>
          <w:noProof/>
        </w:rPr>
        <w:lastRenderedPageBreak/>
        <w:drawing>
          <wp:inline distT="0" distB="0" distL="0" distR="0" wp14:anchorId="4C213E9B" wp14:editId="326BA816">
            <wp:extent cx="5915025" cy="3152775"/>
            <wp:effectExtent l="0" t="0" r="9525" b="9525"/>
            <wp:docPr id="2" name="Chart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EC62CDA" w14:textId="77777777" w:rsidR="005316ED" w:rsidRPr="00280550" w:rsidRDefault="005316ED" w:rsidP="00F63368">
      <w:pPr>
        <w:pStyle w:val="Captions"/>
        <w:spacing w:after="0" w:line="360" w:lineRule="auto"/>
        <w:jc w:val="both"/>
      </w:pPr>
      <w:r w:rsidRPr="00280550">
        <w:t xml:space="preserve">Figure 2: Environmental weight assigned to different lifecycle stages of buildings in BREAAM and </w:t>
      </w:r>
      <w:proofErr w:type="spellStart"/>
      <w:r w:rsidRPr="00280550">
        <w:t>CfSH</w:t>
      </w:r>
      <w:proofErr w:type="spellEnd"/>
      <w:r w:rsidRPr="00280550">
        <w:t>.</w:t>
      </w:r>
    </w:p>
    <w:p w14:paraId="63B35713" w14:textId="77777777" w:rsidR="007C1E58" w:rsidRPr="00280550" w:rsidRDefault="007C1E58" w:rsidP="007C1E58"/>
    <w:p w14:paraId="7220505C" w14:textId="0FFBFCB0" w:rsidR="005316ED" w:rsidRPr="00280550" w:rsidRDefault="008579D7" w:rsidP="00F63368">
      <w:pPr>
        <w:pStyle w:val="SectionSub-heading"/>
        <w:spacing w:after="0" w:line="360" w:lineRule="auto"/>
        <w:jc w:val="both"/>
      </w:pPr>
      <w:r w:rsidRPr="00280550">
        <w:t xml:space="preserve">4.3. </w:t>
      </w:r>
      <w:r w:rsidR="005316ED" w:rsidRPr="00280550">
        <w:t>Comparative analysis of Simulated and assigned lifecycle environmental impacts</w:t>
      </w:r>
    </w:p>
    <w:p w14:paraId="5CB7DF2B" w14:textId="77777777" w:rsidR="005316ED" w:rsidRPr="00280550" w:rsidRDefault="005316ED" w:rsidP="00F63368">
      <w:pPr>
        <w:spacing w:after="0" w:line="360" w:lineRule="auto"/>
        <w:jc w:val="both"/>
      </w:pPr>
      <w:r w:rsidRPr="00280550">
        <w:t xml:space="preserve">Figure 3 compares the percentage impacts of buildings over their entire lifecycle with the proportion of scores assigned to each stage in BREEAM and </w:t>
      </w:r>
      <w:proofErr w:type="spellStart"/>
      <w:r w:rsidRPr="00280550">
        <w:t>CfSH</w:t>
      </w:r>
      <w:proofErr w:type="spellEnd"/>
      <w:r w:rsidRPr="00280550">
        <w:t xml:space="preserve">. </w:t>
      </w:r>
    </w:p>
    <w:p w14:paraId="14F9574E" w14:textId="77777777" w:rsidR="005316ED" w:rsidRPr="00280550" w:rsidRDefault="005316ED" w:rsidP="00F63368">
      <w:pPr>
        <w:spacing w:after="0" w:line="360" w:lineRule="auto"/>
        <w:jc w:val="both"/>
      </w:pPr>
      <w:r w:rsidRPr="00280550">
        <w:rPr>
          <w:noProof/>
        </w:rPr>
        <w:lastRenderedPageBreak/>
        <w:drawing>
          <wp:inline distT="0" distB="0" distL="0" distR="0" wp14:anchorId="671C1D6B" wp14:editId="3CA19260">
            <wp:extent cx="5619750" cy="5619750"/>
            <wp:effectExtent l="0" t="0" r="0" b="0"/>
            <wp:docPr id="1" name="Chart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3C970747" w14:textId="77777777" w:rsidR="005316ED" w:rsidRPr="00280550" w:rsidRDefault="005316ED" w:rsidP="00F63368">
      <w:pPr>
        <w:pStyle w:val="Captions"/>
        <w:spacing w:after="0" w:line="360" w:lineRule="auto"/>
        <w:jc w:val="both"/>
      </w:pPr>
      <w:r w:rsidRPr="00280550">
        <w:t xml:space="preserve">Figure 3: Comparison of simulated impacts with </w:t>
      </w:r>
      <w:proofErr w:type="spellStart"/>
      <w:r w:rsidRPr="00280550">
        <w:t>CfSH</w:t>
      </w:r>
      <w:proofErr w:type="spellEnd"/>
      <w:r w:rsidRPr="00280550">
        <w:t xml:space="preserve"> and BREEAM weightings </w:t>
      </w:r>
    </w:p>
    <w:p w14:paraId="08FF14A0" w14:textId="77777777" w:rsidR="005316ED" w:rsidRPr="00280550" w:rsidRDefault="005316ED" w:rsidP="00F63368">
      <w:pPr>
        <w:pStyle w:val="Captions"/>
        <w:spacing w:after="0" w:line="360" w:lineRule="auto"/>
        <w:jc w:val="both"/>
      </w:pPr>
      <w:r w:rsidRPr="00280550">
        <w:t xml:space="preserve">Note: "Average impacts per stage" refers to average simulated impacts for all the four building typologies as presented in figure 1. </w:t>
      </w:r>
    </w:p>
    <w:p w14:paraId="3CC6EBD5" w14:textId="77777777" w:rsidR="005316ED" w:rsidRPr="00280550" w:rsidRDefault="005316ED" w:rsidP="00F63368">
      <w:pPr>
        <w:spacing w:after="0" w:line="360" w:lineRule="auto"/>
        <w:jc w:val="both"/>
      </w:pPr>
    </w:p>
    <w:p w14:paraId="36521C93" w14:textId="7BB9A147" w:rsidR="005316ED" w:rsidRPr="00280550" w:rsidRDefault="005316ED" w:rsidP="00F63368">
      <w:pPr>
        <w:spacing w:after="0" w:line="360" w:lineRule="auto"/>
        <w:jc w:val="both"/>
      </w:pPr>
      <w:r w:rsidRPr="00280550">
        <w:t xml:space="preserve">The figure suggests that on average, BREAAM perform fairly well in terms of the proportional scores assigned to the different lifecycle stages of buildings, when compared to the </w:t>
      </w:r>
      <w:proofErr w:type="spellStart"/>
      <w:r w:rsidRPr="00280550">
        <w:t>CfSH</w:t>
      </w:r>
      <w:proofErr w:type="spellEnd"/>
      <w:r w:rsidRPr="00280550">
        <w:t xml:space="preserve">. For instance, while average operation impacts of buildings stand at 73.1%, a total impact weight of 71.4% is assigned to the stage of </w:t>
      </w:r>
      <w:r w:rsidR="00DA3B70" w:rsidRPr="00280550">
        <w:t xml:space="preserve">the </w:t>
      </w:r>
      <w:r w:rsidRPr="00280550">
        <w:rPr>
          <w:noProof/>
        </w:rPr>
        <w:t>building</w:t>
      </w:r>
      <w:r w:rsidRPr="00280550">
        <w:t xml:space="preserve"> lifecycle. </w:t>
      </w:r>
      <w:r w:rsidR="00E176C0" w:rsidRPr="00280550">
        <w:t xml:space="preserve">This </w:t>
      </w:r>
      <w:r w:rsidR="00C3688C" w:rsidRPr="00280550">
        <w:t>fairly represents</w:t>
      </w:r>
      <w:r w:rsidR="00E176C0" w:rsidRPr="00280550">
        <w:t xml:space="preserve"> the significant impacts of the operational stage of buildings (</w:t>
      </w:r>
      <w:r w:rsidR="00C3688C" w:rsidRPr="00280550">
        <w:t>Zhan et al., 2018</w:t>
      </w:r>
      <w:r w:rsidR="00E176C0" w:rsidRPr="00280550">
        <w:t xml:space="preserve">), suggesting that the sustainable design appraisal methodology is </w:t>
      </w:r>
      <w:r w:rsidR="00E176C0" w:rsidRPr="00280550">
        <w:rPr>
          <w:noProof/>
        </w:rPr>
        <w:t>eff</w:t>
      </w:r>
      <w:r w:rsidR="00EC549B" w:rsidRPr="00280550">
        <w:rPr>
          <w:noProof/>
        </w:rPr>
        <w:t>ective</w:t>
      </w:r>
      <w:r w:rsidR="00E176C0" w:rsidRPr="00280550">
        <w:t xml:space="preserve"> in driving </w:t>
      </w:r>
      <w:r w:rsidR="00EC549B" w:rsidRPr="00280550">
        <w:t xml:space="preserve">the </w:t>
      </w:r>
      <w:r w:rsidR="00E176C0" w:rsidRPr="00280550">
        <w:rPr>
          <w:noProof/>
        </w:rPr>
        <w:t>sustainability</w:t>
      </w:r>
      <w:r w:rsidR="00E176C0" w:rsidRPr="00280550">
        <w:t xml:space="preserve"> of buildings at </w:t>
      </w:r>
      <w:r w:rsidR="00EC549B" w:rsidRPr="00280550">
        <w:t xml:space="preserve">the </w:t>
      </w:r>
      <w:r w:rsidR="00E176C0" w:rsidRPr="00280550">
        <w:rPr>
          <w:noProof/>
        </w:rPr>
        <w:t>operational</w:t>
      </w:r>
      <w:r w:rsidR="00E176C0" w:rsidRPr="00280550">
        <w:t xml:space="preserve"> stage. </w:t>
      </w:r>
      <w:r w:rsidRPr="00280550">
        <w:t xml:space="preserve">Nonetheless, the embodied impacts of materials are underscored, while impacts of the construction processes are scored far higher in BREAM than its simulated </w:t>
      </w:r>
      <w:r w:rsidRPr="00280550">
        <w:lastRenderedPageBreak/>
        <w:t xml:space="preserve">impacts. This suggests the need to reconsider the environmental weight assigned to the raw materials processing and production in the widely used environmental assessment method. This is particularly important as there is </w:t>
      </w:r>
      <w:r w:rsidR="00EC549B" w:rsidRPr="00280550">
        <w:t xml:space="preserve">an </w:t>
      </w:r>
      <w:r w:rsidRPr="00280550">
        <w:t xml:space="preserve">increasing recognition of the economic benefits of </w:t>
      </w:r>
      <w:r w:rsidR="00DA3B70" w:rsidRPr="00280550">
        <w:t xml:space="preserve">the </w:t>
      </w:r>
      <w:r w:rsidRPr="00280550">
        <w:rPr>
          <w:noProof/>
        </w:rPr>
        <w:t>operational</w:t>
      </w:r>
      <w:r w:rsidRPr="00280550">
        <w:t xml:space="preserve"> stage (Ajayi et al., 2015). </w:t>
      </w:r>
      <w:r w:rsidR="00E176C0" w:rsidRPr="00280550">
        <w:t>Based on this, there is an increasing decarbonisation of national mixes and the use of fossil energy for building operation is decreasing (</w:t>
      </w:r>
      <w:proofErr w:type="spellStart"/>
      <w:r w:rsidR="00E176C0" w:rsidRPr="00280550">
        <w:t>Malmqvist</w:t>
      </w:r>
      <w:proofErr w:type="spellEnd"/>
      <w:r w:rsidR="00E176C0" w:rsidRPr="00280550">
        <w:t xml:space="preserve"> et al., 2018). </w:t>
      </w:r>
      <w:r w:rsidRPr="00280550">
        <w:t xml:space="preserve">This means that legislative provisions and environmental assessment tools are required to give more weight to the embodied impacts of the materials used in construction. </w:t>
      </w:r>
      <w:r w:rsidR="00EC549B" w:rsidRPr="00280550">
        <w:rPr>
          <w:noProof/>
        </w:rPr>
        <w:t>Although</w:t>
      </w:r>
      <w:r w:rsidR="003B4B12" w:rsidRPr="00280550">
        <w:t xml:space="preserve"> more significance has also been assigned to the end of life stage than the simulated impacts</w:t>
      </w:r>
      <w:r w:rsidR="00EC549B" w:rsidRPr="00280550">
        <w:t>, the assigned proportion still fall within the range of the simulated impacts of 1.5-4% depending on the materials used</w:t>
      </w:r>
      <w:r w:rsidR="003B4B12" w:rsidRPr="00280550">
        <w:t xml:space="preserve">. </w:t>
      </w:r>
      <w:r w:rsidRPr="00280550">
        <w:t xml:space="preserve">As the BREEAM weighting assigned to the operational impacts reflects the simulated impacts of the stage, the </w:t>
      </w:r>
      <w:r w:rsidR="003B4B12" w:rsidRPr="00280550">
        <w:t>most important</w:t>
      </w:r>
      <w:r w:rsidRPr="00280550">
        <w:t xml:space="preserve"> </w:t>
      </w:r>
      <w:r w:rsidR="003B4B12" w:rsidRPr="00280550">
        <w:t>improvement requirement for the BREAAM</w:t>
      </w:r>
      <w:r w:rsidRPr="00280550">
        <w:t xml:space="preserve"> is to redistribute the importance index assigned to the construction and embodied impacts. </w:t>
      </w:r>
      <w:r w:rsidR="003B4B12" w:rsidRPr="00280550">
        <w:t xml:space="preserve">This has the tendency of driving the use of environmentally friendly materials for building construction. </w:t>
      </w:r>
    </w:p>
    <w:p w14:paraId="071F1736" w14:textId="77777777" w:rsidR="007C1E58" w:rsidRPr="00280550" w:rsidRDefault="007C1E58" w:rsidP="00F63368">
      <w:pPr>
        <w:spacing w:after="0" w:line="360" w:lineRule="auto"/>
        <w:jc w:val="both"/>
      </w:pPr>
    </w:p>
    <w:p w14:paraId="4ECA23FF" w14:textId="5F1A3A60" w:rsidR="005316ED" w:rsidRPr="00280550" w:rsidRDefault="005316ED" w:rsidP="00F63368">
      <w:pPr>
        <w:spacing w:after="0" w:line="360" w:lineRule="auto"/>
        <w:jc w:val="both"/>
      </w:pPr>
      <w:r w:rsidRPr="00280550">
        <w:t xml:space="preserve">Unlike the BREAAM, </w:t>
      </w:r>
      <w:proofErr w:type="spellStart"/>
      <w:r w:rsidRPr="00280550">
        <w:t>CfSH</w:t>
      </w:r>
      <w:proofErr w:type="spellEnd"/>
      <w:r w:rsidRPr="00280550">
        <w:t xml:space="preserve"> attached more importance to the embodied impacts of </w:t>
      </w:r>
      <w:r w:rsidR="00A86AB0" w:rsidRPr="00280550">
        <w:t xml:space="preserve">the </w:t>
      </w:r>
      <w:r w:rsidRPr="00280550">
        <w:rPr>
          <w:noProof/>
        </w:rPr>
        <w:t>building</w:t>
      </w:r>
      <w:r w:rsidRPr="00280550">
        <w:t xml:space="preserve">, while the significance attached to the operational stage is lower than the simulated impacts. Although the code has ceased to operate, the concern raised by this comparative analysis is very important for the building regulation, into which the provision of the code has been integrated. While the simulated lifecycle operational and embodied impacts of buildings cover about 73.7% and 24.2%, 54.3% and 34.6% have been allocated to the two stages respectively. In addition, no significant provision has been made for </w:t>
      </w:r>
      <w:r w:rsidR="00A86AB0" w:rsidRPr="00280550">
        <w:t xml:space="preserve">the </w:t>
      </w:r>
      <w:r w:rsidRPr="00280550">
        <w:rPr>
          <w:noProof/>
        </w:rPr>
        <w:t>end</w:t>
      </w:r>
      <w:r w:rsidRPr="00280550">
        <w:t xml:space="preserve"> of life of </w:t>
      </w:r>
      <w:r w:rsidR="00A86AB0" w:rsidRPr="00280550">
        <w:t xml:space="preserve">the </w:t>
      </w:r>
      <w:r w:rsidRPr="00280550">
        <w:rPr>
          <w:noProof/>
        </w:rPr>
        <w:t>building</w:t>
      </w:r>
      <w:r w:rsidRPr="00280550">
        <w:t xml:space="preserve">, which contributes about 0.3% with </w:t>
      </w:r>
      <w:r w:rsidR="00A86AB0" w:rsidRPr="00280550">
        <w:t xml:space="preserve">the </w:t>
      </w:r>
      <w:r w:rsidRPr="00280550">
        <w:rPr>
          <w:noProof/>
        </w:rPr>
        <w:t>tendency</w:t>
      </w:r>
      <w:r w:rsidRPr="00280550">
        <w:t xml:space="preserve"> of contributing between 1.5 and 4% when brick and concrete are used for construction. This requirement is in line </w:t>
      </w:r>
      <w:r w:rsidR="003B4B12" w:rsidRPr="00280550">
        <w:t>with Akinade et al. (2015) who</w:t>
      </w:r>
      <w:r w:rsidRPr="00280550">
        <w:t xml:space="preserve"> opined that significant proportion of construction waste and its associated environmental impacts could be prevented by considering </w:t>
      </w:r>
      <w:r w:rsidR="00A86AB0" w:rsidRPr="00280550">
        <w:t xml:space="preserve">the </w:t>
      </w:r>
      <w:r w:rsidRPr="00280550">
        <w:rPr>
          <w:noProof/>
        </w:rPr>
        <w:t>end</w:t>
      </w:r>
      <w:r w:rsidRPr="00280550">
        <w:t xml:space="preserve"> of life in the sustainable design appraisal tools.</w:t>
      </w:r>
    </w:p>
    <w:p w14:paraId="3BD3BC03" w14:textId="77777777" w:rsidR="005316ED" w:rsidRPr="00280550" w:rsidRDefault="005316ED" w:rsidP="00F63368">
      <w:pPr>
        <w:pStyle w:val="References"/>
        <w:spacing w:after="0" w:line="360" w:lineRule="auto"/>
        <w:jc w:val="both"/>
      </w:pPr>
    </w:p>
    <w:p w14:paraId="44E098C7" w14:textId="5A0A9BA0" w:rsidR="005316ED" w:rsidRPr="00280550" w:rsidRDefault="008579D7" w:rsidP="00F63368">
      <w:pPr>
        <w:pStyle w:val="SectionHeading"/>
        <w:spacing w:after="0" w:line="360" w:lineRule="auto"/>
        <w:jc w:val="both"/>
      </w:pPr>
      <w:r w:rsidRPr="00280550">
        <w:t xml:space="preserve">5.0. </w:t>
      </w:r>
      <w:r w:rsidR="005316ED" w:rsidRPr="00280550">
        <w:t>Conclusion and implication for public policy</w:t>
      </w:r>
    </w:p>
    <w:p w14:paraId="7751F463" w14:textId="0DD13287" w:rsidR="005316ED" w:rsidRPr="00280550" w:rsidRDefault="005316ED" w:rsidP="00F63368">
      <w:pPr>
        <w:spacing w:after="0" w:line="360" w:lineRule="auto"/>
        <w:jc w:val="both"/>
      </w:pPr>
      <w:r w:rsidRPr="00280550">
        <w:t xml:space="preserve">Sustainability appraisal frameworks have received both praises and criticism in terms of their effectiveness in engendering sustainability of the built environment. In order to contribute to the ongoing debate and determine </w:t>
      </w:r>
      <w:r w:rsidR="00DA3B70" w:rsidRPr="00280550">
        <w:t xml:space="preserve">the </w:t>
      </w:r>
      <w:r w:rsidRPr="00280550">
        <w:rPr>
          <w:noProof/>
        </w:rPr>
        <w:t>effectiveness</w:t>
      </w:r>
      <w:r w:rsidRPr="00280550">
        <w:t xml:space="preserve"> of the appraisal framework concerning whole life performance, this study compares simulated lifecycle impacts of buildings with the </w:t>
      </w:r>
      <w:r w:rsidRPr="00280550">
        <w:lastRenderedPageBreak/>
        <w:t>environmental weight assigned to the lifecycle stages in BREAAM and Code for Sustai</w:t>
      </w:r>
      <w:r w:rsidR="003F7E36" w:rsidRPr="00280550">
        <w:t>nable Homes (</w:t>
      </w:r>
      <w:proofErr w:type="spellStart"/>
      <w:r w:rsidR="003F7E36" w:rsidRPr="00280550">
        <w:t>CfSH</w:t>
      </w:r>
      <w:proofErr w:type="spellEnd"/>
      <w:r w:rsidR="003F7E36" w:rsidRPr="00280550">
        <w:t>) as case studies</w:t>
      </w:r>
      <w:r w:rsidRPr="00280550">
        <w:t>. The comparative analysis suggests that while BREEAM has adequately assigned weight to operational stage of building lifecycle, scores assigned to embodied and construction impacts are disproportionate to their simulated lifecycle impacts. Code for Sustainable Homes</w:t>
      </w:r>
      <w:r w:rsidR="00DA3B70" w:rsidRPr="00280550">
        <w:t>, on the other hand,</w:t>
      </w:r>
      <w:r w:rsidRPr="00280550">
        <w:t xml:space="preserve"> attached more importance to the embodied impacts of </w:t>
      </w:r>
      <w:r w:rsidR="00DA3B70" w:rsidRPr="00280550">
        <w:t xml:space="preserve">the </w:t>
      </w:r>
      <w:r w:rsidRPr="00280550">
        <w:rPr>
          <w:noProof/>
        </w:rPr>
        <w:t>building</w:t>
      </w:r>
      <w:r w:rsidRPr="00280550">
        <w:t xml:space="preserve">, while less significance is attached to the operational stage. It also makes no significant provision for end of buildings' lifecycle, which could have significant environmental impacts on the built environment. </w:t>
      </w:r>
    </w:p>
    <w:p w14:paraId="1E1981F6" w14:textId="77777777" w:rsidR="003F7E36" w:rsidRPr="00280550" w:rsidRDefault="003F7E36" w:rsidP="00F63368">
      <w:pPr>
        <w:spacing w:after="0" w:line="360" w:lineRule="auto"/>
        <w:jc w:val="both"/>
      </w:pPr>
    </w:p>
    <w:p w14:paraId="539B87EB" w14:textId="46ECEFCF" w:rsidR="003F7E36" w:rsidRPr="00280550" w:rsidRDefault="005316ED" w:rsidP="00F63368">
      <w:pPr>
        <w:spacing w:after="0" w:line="360" w:lineRule="auto"/>
        <w:jc w:val="both"/>
      </w:pPr>
      <w:r w:rsidRPr="00280550">
        <w:t xml:space="preserve">This study has </w:t>
      </w:r>
      <w:r w:rsidR="00583988" w:rsidRPr="00280550">
        <w:t xml:space="preserve">an </w:t>
      </w:r>
      <w:r w:rsidRPr="00280550">
        <w:rPr>
          <w:noProof/>
        </w:rPr>
        <w:t>implication</w:t>
      </w:r>
      <w:r w:rsidRPr="00280550">
        <w:t xml:space="preserve"> for improving </w:t>
      </w:r>
      <w:r w:rsidR="00A86AB0" w:rsidRPr="00280550">
        <w:t xml:space="preserve">the </w:t>
      </w:r>
      <w:r w:rsidRPr="00280550">
        <w:rPr>
          <w:noProof/>
        </w:rPr>
        <w:t>effectiveness</w:t>
      </w:r>
      <w:r w:rsidRPr="00280550">
        <w:t xml:space="preserve"> of the sustainability appraisal framework. The deficie</w:t>
      </w:r>
      <w:r w:rsidR="00583988" w:rsidRPr="00280550">
        <w:t>ncy in BREEAM provision requires</w:t>
      </w:r>
      <w:r w:rsidRPr="00280550">
        <w:t xml:space="preserve"> that more weight should be given to embodied impacts, while points assigned</w:t>
      </w:r>
      <w:r w:rsidR="003F7E36" w:rsidRPr="00280550">
        <w:t xml:space="preserve"> to construction-</w:t>
      </w:r>
      <w:r w:rsidRPr="00280550">
        <w:t xml:space="preserve">related impacts </w:t>
      </w:r>
      <w:r w:rsidR="003F7E36" w:rsidRPr="00280550">
        <w:t>requires reduction. These require</w:t>
      </w:r>
      <w:r w:rsidRPr="00280550">
        <w:t xml:space="preserve"> re-consideration of the scores assigned to materials, waste and management aspects of the appraisal methodology. Although the </w:t>
      </w:r>
      <w:proofErr w:type="spellStart"/>
      <w:r w:rsidRPr="00280550">
        <w:t>CfSH</w:t>
      </w:r>
      <w:proofErr w:type="spellEnd"/>
      <w:r w:rsidRPr="00280550">
        <w:t xml:space="preserve"> has ceased from being a requirement for new homes, its integration into building codes means that weights assigned to different lifecycle stages require revision. This could be achieved by increasing the total weight associated with the operational </w:t>
      </w:r>
      <w:r w:rsidRPr="00280550">
        <w:rPr>
          <w:noProof/>
        </w:rPr>
        <w:t>stage</w:t>
      </w:r>
      <w:r w:rsidRPr="00280550">
        <w:t xml:space="preserve"> while reducing the weight associated with the embodied impacts. </w:t>
      </w:r>
    </w:p>
    <w:p w14:paraId="10BA1C23" w14:textId="77777777" w:rsidR="003F7E36" w:rsidRPr="00280550" w:rsidRDefault="003F7E36" w:rsidP="00F63368">
      <w:pPr>
        <w:spacing w:after="0" w:line="360" w:lineRule="auto"/>
        <w:jc w:val="both"/>
      </w:pPr>
    </w:p>
    <w:p w14:paraId="4ED6356B" w14:textId="1C42E822" w:rsidR="005316ED" w:rsidRPr="00280550" w:rsidRDefault="005316ED" w:rsidP="00F63368">
      <w:pPr>
        <w:spacing w:after="0" w:line="360" w:lineRule="auto"/>
        <w:jc w:val="both"/>
      </w:pPr>
      <w:r w:rsidRPr="00280550">
        <w:t xml:space="preserve">Notwithstanding this present change requirement, continuous improvement </w:t>
      </w:r>
      <w:r w:rsidRPr="00280550">
        <w:rPr>
          <w:noProof/>
        </w:rPr>
        <w:t>o</w:t>
      </w:r>
      <w:r w:rsidR="00583988" w:rsidRPr="00280550">
        <w:rPr>
          <w:noProof/>
        </w:rPr>
        <w:t>f</w:t>
      </w:r>
      <w:r w:rsidRPr="00280550">
        <w:t xml:space="preserve"> the total weight associated with different lifecycle stages is required for </w:t>
      </w:r>
      <w:r w:rsidR="00A86AB0" w:rsidRPr="00280550">
        <w:t xml:space="preserve">the </w:t>
      </w:r>
      <w:r w:rsidRPr="00280550">
        <w:rPr>
          <w:noProof/>
        </w:rPr>
        <w:t>effectiveness</w:t>
      </w:r>
      <w:r w:rsidRPr="00280550">
        <w:t xml:space="preserve"> of the appraisal framework. Similarly, increasing recognition of the economic benefits of </w:t>
      </w:r>
      <w:r w:rsidR="00B12325" w:rsidRPr="00280550">
        <w:rPr>
          <w:noProof/>
        </w:rPr>
        <w:t>building</w:t>
      </w:r>
      <w:r w:rsidRPr="00280550">
        <w:rPr>
          <w:noProof/>
        </w:rPr>
        <w:t>s</w:t>
      </w:r>
      <w:r w:rsidRPr="00280550">
        <w:t xml:space="preserve"> operational effectiveness means that other stages could be further driven by the sustainability appraisal framework. This is particularly important, as buildings that are based on renewable technology over its lifecycle </w:t>
      </w:r>
      <w:r w:rsidR="00B12325" w:rsidRPr="00280550">
        <w:t>could</w:t>
      </w:r>
      <w:r w:rsidRPr="00280550">
        <w:t xml:space="preserve"> possess higher embodied impacts than operational impacts. Thus, with increasing energy efficiency of buildings, there is </w:t>
      </w:r>
      <w:r w:rsidR="00A86AB0" w:rsidRPr="00280550">
        <w:t xml:space="preserve">a </w:t>
      </w:r>
      <w:r w:rsidRPr="00280550">
        <w:rPr>
          <w:noProof/>
        </w:rPr>
        <w:t>need</w:t>
      </w:r>
      <w:r w:rsidRPr="00280550">
        <w:t xml:space="preserve"> for </w:t>
      </w:r>
      <w:r w:rsidR="00A86AB0" w:rsidRPr="00280550">
        <w:t xml:space="preserve">a </w:t>
      </w:r>
      <w:r w:rsidRPr="00280550">
        <w:rPr>
          <w:noProof/>
        </w:rPr>
        <w:t>stepwise</w:t>
      </w:r>
      <w:r w:rsidRPr="00280550">
        <w:t xml:space="preserve"> increment of the proportional importance assigned to embodied and end of life impacts of buildings. </w:t>
      </w:r>
    </w:p>
    <w:p w14:paraId="0ACC2763" w14:textId="77777777" w:rsidR="003F7E36" w:rsidRPr="00280550" w:rsidRDefault="003F7E36" w:rsidP="00F63368">
      <w:pPr>
        <w:spacing w:after="0" w:line="360" w:lineRule="auto"/>
        <w:jc w:val="both"/>
      </w:pPr>
    </w:p>
    <w:p w14:paraId="550FA873" w14:textId="0D31F87D" w:rsidR="005316ED" w:rsidRPr="00280550" w:rsidRDefault="005316ED" w:rsidP="00F63368">
      <w:pPr>
        <w:spacing w:after="0" w:line="360" w:lineRule="auto"/>
        <w:jc w:val="both"/>
      </w:pPr>
      <w:r w:rsidRPr="00280550">
        <w:t xml:space="preserve">As this study is limited to a case study of a block of </w:t>
      </w:r>
      <w:r w:rsidR="00A86AB0" w:rsidRPr="00280550">
        <w:t xml:space="preserve">the </w:t>
      </w:r>
      <w:r w:rsidRPr="00280550">
        <w:rPr>
          <w:noProof/>
        </w:rPr>
        <w:t>classroom</w:t>
      </w:r>
      <w:r w:rsidRPr="00280550">
        <w:t xml:space="preserve">, other studies could evaluate </w:t>
      </w:r>
      <w:r w:rsidR="00A86AB0" w:rsidRPr="00280550">
        <w:t xml:space="preserve">the </w:t>
      </w:r>
      <w:r w:rsidRPr="00280550">
        <w:rPr>
          <w:noProof/>
        </w:rPr>
        <w:t>effectiveness</w:t>
      </w:r>
      <w:r w:rsidRPr="00280550">
        <w:t xml:space="preserve"> of the sustainability appraisal framework using a case study of other building use types such as residential, offices, retails and industrial buildings among others. Similarly, </w:t>
      </w:r>
      <w:r w:rsidR="00A86AB0" w:rsidRPr="00280550">
        <w:t xml:space="preserve">the </w:t>
      </w:r>
      <w:r w:rsidRPr="00280550">
        <w:rPr>
          <w:noProof/>
        </w:rPr>
        <w:t>effectiveness</w:t>
      </w:r>
      <w:r w:rsidRPr="00280550">
        <w:t xml:space="preserve"> of other internationally recognised sustainability appraisal framework, such as LEED and CASBEE among others, could be evaluated in terms of their proportionality to real lifecycle impacts of buildings. Although the Green Building Studio and ATHENA impacts </w:t>
      </w:r>
      <w:r w:rsidRPr="00280550">
        <w:lastRenderedPageBreak/>
        <w:t>estimator have been widely approved and use</w:t>
      </w:r>
      <w:r w:rsidR="003F7E36" w:rsidRPr="00280550">
        <w:t>d</w:t>
      </w:r>
      <w:r w:rsidRPr="00280550">
        <w:t xml:space="preserve"> for build</w:t>
      </w:r>
      <w:r w:rsidR="003F7E36" w:rsidRPr="00280550">
        <w:t xml:space="preserve">ing simulation, </w:t>
      </w:r>
      <w:r w:rsidR="00A86AB0" w:rsidRPr="00280550">
        <w:t xml:space="preserve">the </w:t>
      </w:r>
      <w:r w:rsidR="003F7E36" w:rsidRPr="00280550">
        <w:rPr>
          <w:noProof/>
        </w:rPr>
        <w:t>accuracy</w:t>
      </w:r>
      <w:r w:rsidR="003F7E36" w:rsidRPr="00280550">
        <w:t xml:space="preserve"> of the simulated results</w:t>
      </w:r>
      <w:r w:rsidRPr="00280550">
        <w:t xml:space="preserve"> largely depends on the tools. </w:t>
      </w:r>
    </w:p>
    <w:p w14:paraId="54BE396A" w14:textId="77777777" w:rsidR="005316ED" w:rsidRPr="00280550" w:rsidRDefault="005316ED" w:rsidP="00F63368">
      <w:pPr>
        <w:spacing w:after="0" w:line="360" w:lineRule="auto"/>
        <w:jc w:val="both"/>
      </w:pPr>
    </w:p>
    <w:p w14:paraId="20AD7818" w14:textId="77777777" w:rsidR="005316ED" w:rsidRPr="00280550" w:rsidRDefault="005316ED" w:rsidP="00F63368">
      <w:pPr>
        <w:pStyle w:val="SectionHeading"/>
        <w:spacing w:after="0" w:line="360" w:lineRule="auto"/>
        <w:jc w:val="both"/>
      </w:pPr>
      <w:r w:rsidRPr="00280550">
        <w:t>References</w:t>
      </w:r>
    </w:p>
    <w:p w14:paraId="3668A1DE" w14:textId="108E622C" w:rsidR="00EF2DC5" w:rsidRPr="00280550" w:rsidRDefault="00EF2DC5" w:rsidP="00EF2DC5">
      <w:pPr>
        <w:spacing w:after="240" w:line="288" w:lineRule="auto"/>
        <w:ind w:left="567" w:hanging="567"/>
        <w:jc w:val="both"/>
        <w:rPr>
          <w:shd w:val="clear" w:color="auto" w:fill="FFFFFF"/>
        </w:rPr>
      </w:pPr>
      <w:r w:rsidRPr="00280550">
        <w:rPr>
          <w:shd w:val="clear" w:color="auto" w:fill="FFFFFF"/>
        </w:rPr>
        <w:t>Ajayi, S.O. and Oyedele, L.O., 2017. Policy imperatives for diverting construction waste from landfill: Experts’ recommendations for UK policy expansion. </w:t>
      </w:r>
      <w:r w:rsidRPr="00280550">
        <w:rPr>
          <w:i/>
          <w:iCs/>
          <w:shd w:val="clear" w:color="auto" w:fill="FFFFFF"/>
        </w:rPr>
        <w:t>Journal of Cleaner Production</w:t>
      </w:r>
      <w:r w:rsidRPr="00280550">
        <w:rPr>
          <w:shd w:val="clear" w:color="auto" w:fill="FFFFFF"/>
        </w:rPr>
        <w:t>, </w:t>
      </w:r>
      <w:r w:rsidRPr="00280550">
        <w:rPr>
          <w:i/>
          <w:iCs/>
          <w:shd w:val="clear" w:color="auto" w:fill="FFFFFF"/>
        </w:rPr>
        <w:t>147</w:t>
      </w:r>
      <w:r w:rsidRPr="00280550">
        <w:rPr>
          <w:shd w:val="clear" w:color="auto" w:fill="FFFFFF"/>
        </w:rPr>
        <w:t>, pp.57-65.</w:t>
      </w:r>
    </w:p>
    <w:p w14:paraId="671680E3" w14:textId="77777777" w:rsidR="00EF2DC5" w:rsidRPr="00280550" w:rsidRDefault="00EF2DC5" w:rsidP="00EF2DC5">
      <w:pPr>
        <w:spacing w:after="240" w:line="288" w:lineRule="auto"/>
        <w:ind w:left="567" w:hanging="567"/>
        <w:jc w:val="both"/>
      </w:pPr>
      <w:r w:rsidRPr="00280550">
        <w:t xml:space="preserve">Ajayi, S.O., Oyedele, L.O., Bilal, M., Akinade, O.O., Alaka H.A., Owolabi, H.A., and </w:t>
      </w:r>
      <w:proofErr w:type="spellStart"/>
      <w:r w:rsidRPr="00280550">
        <w:t>Kadiri</w:t>
      </w:r>
      <w:proofErr w:type="spellEnd"/>
      <w:r w:rsidRPr="00280550">
        <w:t>, K.O. 2015a. Waste Effectiveness of the Construction Industry: Understanding the Impediments and Requisites for Improvements. Resources, Conservation and Recycling, 102, pp.101-112.</w:t>
      </w:r>
    </w:p>
    <w:p w14:paraId="655B69FE" w14:textId="77777777" w:rsidR="00EF2DC5" w:rsidRPr="00280550" w:rsidRDefault="00EF2DC5" w:rsidP="00EF2DC5">
      <w:pPr>
        <w:spacing w:after="240" w:line="288" w:lineRule="auto"/>
        <w:ind w:left="567" w:hanging="567"/>
        <w:jc w:val="both"/>
      </w:pPr>
      <w:r w:rsidRPr="00280550">
        <w:t xml:space="preserve">Ajayi, S.O., Oyedele, L.O., </w:t>
      </w:r>
      <w:r w:rsidRPr="00280550">
        <w:rPr>
          <w:noProof/>
        </w:rPr>
        <w:t>Ceranic</w:t>
      </w:r>
      <w:r w:rsidRPr="00280550">
        <w:t xml:space="preserve">, B., </w:t>
      </w:r>
      <w:proofErr w:type="spellStart"/>
      <w:r w:rsidRPr="00280550">
        <w:t>Gallanagh</w:t>
      </w:r>
      <w:proofErr w:type="spellEnd"/>
      <w:r w:rsidRPr="00280550">
        <w:t xml:space="preserve">, M. and </w:t>
      </w:r>
      <w:proofErr w:type="spellStart"/>
      <w:r w:rsidRPr="00280550">
        <w:t>Kadiri</w:t>
      </w:r>
      <w:proofErr w:type="spellEnd"/>
      <w:r w:rsidRPr="00280550">
        <w:t xml:space="preserve">, K.O., 2015b. Life cycle environmental performance of material specification: a BIM-enhanced comparative assessment. International Journal of Sustainable Building Technology and Urban Development, 6(1), pp.14-24. </w:t>
      </w:r>
    </w:p>
    <w:p w14:paraId="7EFE13D4" w14:textId="77777777" w:rsidR="00EF2DC5" w:rsidRPr="00280550" w:rsidRDefault="00EF2DC5" w:rsidP="00EF2DC5">
      <w:pPr>
        <w:spacing w:after="240" w:line="288" w:lineRule="auto"/>
        <w:ind w:left="567" w:hanging="567"/>
        <w:jc w:val="both"/>
      </w:pPr>
      <w:r w:rsidRPr="00280550">
        <w:t xml:space="preserve">Akinade, O.O., Oyedele, L.O., Bilal, M., Ajayi, S.O., Owolabi, H.A., Alaka, H.A. and Bello, S.A., 2015. Waste minimisation through deconstruction: A </w:t>
      </w:r>
      <w:r w:rsidRPr="00280550">
        <w:rPr>
          <w:noProof/>
        </w:rPr>
        <w:t>BIM based</w:t>
      </w:r>
      <w:r w:rsidRPr="00280550">
        <w:t xml:space="preserve"> Deconstructability Assessment Score (BIM-DAS). Resources, Conservation and Recycling, 105, pp.167-176.</w:t>
      </w:r>
    </w:p>
    <w:p w14:paraId="744BB50E" w14:textId="77777777" w:rsidR="00EF2DC5" w:rsidRPr="00280550" w:rsidRDefault="00EF2DC5" w:rsidP="00EF2DC5">
      <w:pPr>
        <w:spacing w:after="240" w:line="288" w:lineRule="auto"/>
        <w:ind w:left="567" w:hanging="567"/>
        <w:jc w:val="both"/>
      </w:pPr>
      <w:r w:rsidRPr="00280550">
        <w:t>Anderson, J., &amp; Thornback, J. 2012. A guide to understanding the embodied impacts of construction products. London: CPA.</w:t>
      </w:r>
    </w:p>
    <w:p w14:paraId="176DE2D5" w14:textId="77777777" w:rsidR="00EF2DC5" w:rsidRPr="00280550" w:rsidRDefault="00EF2DC5" w:rsidP="00EF2DC5">
      <w:pPr>
        <w:spacing w:after="240" w:line="288" w:lineRule="auto"/>
        <w:ind w:left="567" w:hanging="567"/>
        <w:jc w:val="both"/>
      </w:pPr>
      <w:proofErr w:type="spellStart"/>
      <w:r w:rsidRPr="00280550">
        <w:t>Anink</w:t>
      </w:r>
      <w:proofErr w:type="spellEnd"/>
      <w:r w:rsidRPr="00280550">
        <w:t xml:space="preserve">, D., </w:t>
      </w:r>
      <w:proofErr w:type="spellStart"/>
      <w:r w:rsidRPr="00280550">
        <w:t>Mak</w:t>
      </w:r>
      <w:proofErr w:type="spellEnd"/>
      <w:r w:rsidRPr="00280550">
        <w:t xml:space="preserve">, J., &amp; </w:t>
      </w:r>
      <w:proofErr w:type="spellStart"/>
      <w:r w:rsidRPr="00280550">
        <w:t>Boonstra</w:t>
      </w:r>
      <w:proofErr w:type="spellEnd"/>
      <w:r w:rsidRPr="00280550">
        <w:t xml:space="preserve">, C. 1996. Handbook of Sustainable Building: An Environmental Preference Method for Selection of Materials for Use in Construction and Refurbishment. London: James and James. </w:t>
      </w:r>
    </w:p>
    <w:p w14:paraId="6DA3CBE2" w14:textId="77777777" w:rsidR="00EF2DC5" w:rsidRPr="00280550" w:rsidRDefault="00EF2DC5" w:rsidP="00EF2DC5">
      <w:pPr>
        <w:spacing w:after="240" w:line="288" w:lineRule="auto"/>
        <w:ind w:left="567" w:hanging="567"/>
        <w:jc w:val="both"/>
      </w:pPr>
      <w:proofErr w:type="spellStart"/>
      <w:r w:rsidRPr="00280550">
        <w:t>Baek</w:t>
      </w:r>
      <w:proofErr w:type="spellEnd"/>
      <w:r w:rsidRPr="00280550">
        <w:t xml:space="preserve">, C., Park, S.H., Suzuki, M. and Lee, S.H., 2013. Life cycle carbon dioxide assessment tool for buildings in the schematic design phase. Energy and Buildings, 61, pp.275-287. </w:t>
      </w:r>
    </w:p>
    <w:p w14:paraId="3FD19A62" w14:textId="77777777" w:rsidR="00EF2DC5" w:rsidRPr="00280550" w:rsidRDefault="00EF2DC5" w:rsidP="00EF2DC5">
      <w:pPr>
        <w:spacing w:after="240" w:line="288" w:lineRule="auto"/>
        <w:ind w:left="567" w:hanging="567"/>
        <w:jc w:val="both"/>
      </w:pPr>
      <w:r w:rsidRPr="00280550">
        <w:t xml:space="preserve">BREEAM, 2014. BREEAM UK new construction, Technical Manual Version: SD5076 – Issue: 0.1 (DRAFT) – Issue Date: 11/02/2014. Watford: BRE Global Limited. </w:t>
      </w:r>
    </w:p>
    <w:p w14:paraId="671C700D" w14:textId="117E8803" w:rsidR="00EF2DC5" w:rsidRPr="00280550" w:rsidRDefault="00EF2DC5" w:rsidP="00EF2DC5">
      <w:pPr>
        <w:spacing w:after="240" w:line="288" w:lineRule="auto"/>
        <w:ind w:left="567" w:hanging="567"/>
        <w:jc w:val="both"/>
      </w:pPr>
      <w:r w:rsidRPr="00280550">
        <w:t xml:space="preserve">Brundtland Commission, 1987. Our common future: Report of the World Commission on Environment and Development. UN Documents </w:t>
      </w:r>
      <w:r w:rsidRPr="00280550">
        <w:rPr>
          <w:noProof/>
        </w:rPr>
        <w:t xml:space="preserve">Gathering a </w:t>
      </w:r>
      <w:r w:rsidRPr="00280550">
        <w:t>Body of Global Agreements.</w:t>
      </w:r>
    </w:p>
    <w:p w14:paraId="1B416814" w14:textId="77777777" w:rsidR="00EF2DC5" w:rsidRPr="00280550" w:rsidRDefault="00EF2DC5" w:rsidP="00EF2DC5">
      <w:pPr>
        <w:spacing w:after="240" w:line="288" w:lineRule="auto"/>
        <w:ind w:left="567" w:hanging="567"/>
        <w:jc w:val="both"/>
        <w:rPr>
          <w:shd w:val="clear" w:color="auto" w:fill="FFFFFF"/>
        </w:rPr>
      </w:pPr>
      <w:proofErr w:type="spellStart"/>
      <w:r w:rsidRPr="00280550">
        <w:rPr>
          <w:shd w:val="clear" w:color="auto" w:fill="FFFFFF"/>
        </w:rPr>
        <w:t>Büyüközkan</w:t>
      </w:r>
      <w:proofErr w:type="spellEnd"/>
      <w:r w:rsidRPr="00280550">
        <w:rPr>
          <w:shd w:val="clear" w:color="auto" w:fill="FFFFFF"/>
        </w:rPr>
        <w:t xml:space="preserve">, G. and </w:t>
      </w:r>
      <w:proofErr w:type="spellStart"/>
      <w:r w:rsidRPr="00280550">
        <w:rPr>
          <w:shd w:val="clear" w:color="auto" w:fill="FFFFFF"/>
        </w:rPr>
        <w:t>Karabulut</w:t>
      </w:r>
      <w:proofErr w:type="spellEnd"/>
      <w:r w:rsidRPr="00280550">
        <w:rPr>
          <w:shd w:val="clear" w:color="auto" w:fill="FFFFFF"/>
        </w:rPr>
        <w:t>, Y., 2018. Sustainability performance evaluation: Literature review and future directions. </w:t>
      </w:r>
      <w:r w:rsidRPr="00280550">
        <w:rPr>
          <w:i/>
          <w:iCs/>
          <w:shd w:val="clear" w:color="auto" w:fill="FFFFFF"/>
        </w:rPr>
        <w:t>Journal of environmental management</w:t>
      </w:r>
      <w:r w:rsidRPr="00280550">
        <w:rPr>
          <w:shd w:val="clear" w:color="auto" w:fill="FFFFFF"/>
        </w:rPr>
        <w:t>, </w:t>
      </w:r>
      <w:r w:rsidRPr="00280550">
        <w:rPr>
          <w:i/>
          <w:iCs/>
          <w:shd w:val="clear" w:color="auto" w:fill="FFFFFF"/>
        </w:rPr>
        <w:t>217</w:t>
      </w:r>
      <w:r w:rsidRPr="00280550">
        <w:rPr>
          <w:shd w:val="clear" w:color="auto" w:fill="FFFFFF"/>
        </w:rPr>
        <w:t>, pp.253-267.</w:t>
      </w:r>
    </w:p>
    <w:p w14:paraId="49038361"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lastRenderedPageBreak/>
        <w:t>Chong, H.Y., Lee, C.Y. and Wang, X., 2017. A mixed review of the adoption of Building Information Modelling (BIM) for sustainability. </w:t>
      </w:r>
      <w:r w:rsidRPr="00280550">
        <w:rPr>
          <w:i/>
          <w:iCs/>
          <w:shd w:val="clear" w:color="auto" w:fill="FFFFFF"/>
        </w:rPr>
        <w:t>Journal of cleaner production</w:t>
      </w:r>
      <w:r w:rsidRPr="00280550">
        <w:rPr>
          <w:shd w:val="clear" w:color="auto" w:fill="FFFFFF"/>
        </w:rPr>
        <w:t>, </w:t>
      </w:r>
      <w:r w:rsidRPr="00280550">
        <w:rPr>
          <w:i/>
          <w:iCs/>
          <w:shd w:val="clear" w:color="auto" w:fill="FFFFFF"/>
        </w:rPr>
        <w:t>142</w:t>
      </w:r>
      <w:r w:rsidRPr="00280550">
        <w:rPr>
          <w:shd w:val="clear" w:color="auto" w:fill="FFFFFF"/>
        </w:rPr>
        <w:t>, pp.4114-4126.</w:t>
      </w:r>
    </w:p>
    <w:p w14:paraId="26D40638" w14:textId="77777777" w:rsidR="00EF2DC5" w:rsidRPr="00280550" w:rsidRDefault="00EF2DC5" w:rsidP="00EF2DC5">
      <w:pPr>
        <w:spacing w:after="240" w:line="288" w:lineRule="auto"/>
        <w:ind w:left="567" w:hanging="567"/>
        <w:jc w:val="both"/>
      </w:pPr>
      <w:r w:rsidRPr="00280550">
        <w:t xml:space="preserve">Cole, R.J., 2005. Building environmental assessment methods: redefining intentions and roles. Building Research &amp; Information, 33(5), pp.455-467. </w:t>
      </w:r>
    </w:p>
    <w:p w14:paraId="2EFF4DFD" w14:textId="77777777" w:rsidR="00EF2DC5" w:rsidRPr="00280550" w:rsidRDefault="00EF2DC5" w:rsidP="00EF2DC5">
      <w:pPr>
        <w:spacing w:after="240" w:line="288" w:lineRule="auto"/>
        <w:ind w:left="567" w:hanging="567"/>
        <w:jc w:val="both"/>
      </w:pPr>
      <w:r w:rsidRPr="00280550">
        <w:t xml:space="preserve">Ding, G.K., 2008. Sustainable construction—The role of environmental assessment tools. Journal of environmental management, 86(3), pp.451-464. </w:t>
      </w:r>
    </w:p>
    <w:p w14:paraId="135FACDE"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t>Dixon, T., Connaughton, J. and Green, S., 2018. </w:t>
      </w:r>
      <w:r w:rsidRPr="00280550">
        <w:rPr>
          <w:i/>
          <w:iCs/>
          <w:shd w:val="clear" w:color="auto" w:fill="FFFFFF"/>
        </w:rPr>
        <w:t>Sustainable Futures in the Built Environment to 2050: A Foresight Approach to Construction and Development</w:t>
      </w:r>
      <w:r w:rsidRPr="00280550">
        <w:rPr>
          <w:shd w:val="clear" w:color="auto" w:fill="FFFFFF"/>
        </w:rPr>
        <w:t>. John Wiley &amp; Sons.</w:t>
      </w:r>
    </w:p>
    <w:p w14:paraId="58777ED6"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t xml:space="preserve">Doan, D.T., </w:t>
      </w:r>
      <w:proofErr w:type="spellStart"/>
      <w:r w:rsidRPr="00280550">
        <w:rPr>
          <w:shd w:val="clear" w:color="auto" w:fill="FFFFFF"/>
        </w:rPr>
        <w:t>Ghaffarianhoseini</w:t>
      </w:r>
      <w:proofErr w:type="spellEnd"/>
      <w:r w:rsidRPr="00280550">
        <w:rPr>
          <w:shd w:val="clear" w:color="auto" w:fill="FFFFFF"/>
        </w:rPr>
        <w:t xml:space="preserve">, A., Naismith, N., Zhang, T., </w:t>
      </w:r>
      <w:proofErr w:type="spellStart"/>
      <w:r w:rsidRPr="00280550">
        <w:rPr>
          <w:shd w:val="clear" w:color="auto" w:fill="FFFFFF"/>
        </w:rPr>
        <w:t>Ghaffarianhoseini</w:t>
      </w:r>
      <w:proofErr w:type="spellEnd"/>
      <w:r w:rsidRPr="00280550">
        <w:rPr>
          <w:shd w:val="clear" w:color="auto" w:fill="FFFFFF"/>
        </w:rPr>
        <w:t xml:space="preserve">, A. and </w:t>
      </w:r>
      <w:proofErr w:type="spellStart"/>
      <w:r w:rsidRPr="00280550">
        <w:rPr>
          <w:shd w:val="clear" w:color="auto" w:fill="FFFFFF"/>
        </w:rPr>
        <w:t>Tookey</w:t>
      </w:r>
      <w:proofErr w:type="spellEnd"/>
      <w:r w:rsidRPr="00280550">
        <w:rPr>
          <w:shd w:val="clear" w:color="auto" w:fill="FFFFFF"/>
        </w:rPr>
        <w:t>, J., 2017. A critical comparison of green building rating systems. </w:t>
      </w:r>
      <w:r w:rsidRPr="00280550">
        <w:rPr>
          <w:i/>
          <w:iCs/>
          <w:shd w:val="clear" w:color="auto" w:fill="FFFFFF"/>
        </w:rPr>
        <w:t>Building and Environment</w:t>
      </w:r>
      <w:r w:rsidRPr="00280550">
        <w:rPr>
          <w:shd w:val="clear" w:color="auto" w:fill="FFFFFF"/>
        </w:rPr>
        <w:t>, </w:t>
      </w:r>
      <w:r w:rsidRPr="00280550">
        <w:rPr>
          <w:i/>
          <w:iCs/>
          <w:shd w:val="clear" w:color="auto" w:fill="FFFFFF"/>
        </w:rPr>
        <w:t>123</w:t>
      </w:r>
      <w:r w:rsidRPr="00280550">
        <w:rPr>
          <w:shd w:val="clear" w:color="auto" w:fill="FFFFFF"/>
        </w:rPr>
        <w:t>, pp.243-260.</w:t>
      </w:r>
    </w:p>
    <w:p w14:paraId="7B49CECD"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t>Edwards, B., 2014. </w:t>
      </w:r>
      <w:r w:rsidRPr="00280550">
        <w:rPr>
          <w:i/>
          <w:iCs/>
          <w:noProof/>
          <w:shd w:val="clear" w:color="auto" w:fill="FFFFFF"/>
        </w:rPr>
        <w:t>Rough</w:t>
      </w:r>
      <w:r w:rsidRPr="00280550">
        <w:rPr>
          <w:i/>
          <w:iCs/>
          <w:shd w:val="clear" w:color="auto" w:fill="FFFFFF"/>
        </w:rPr>
        <w:t xml:space="preserve"> guide to sustainability: A design primer</w:t>
      </w:r>
      <w:r w:rsidRPr="00280550">
        <w:rPr>
          <w:shd w:val="clear" w:color="auto" w:fill="FFFFFF"/>
        </w:rPr>
        <w:t>. London: RIBA Publishing.</w:t>
      </w:r>
    </w:p>
    <w:p w14:paraId="598F805D"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t>Halliday, S., 2008. </w:t>
      </w:r>
      <w:r w:rsidRPr="00280550">
        <w:rPr>
          <w:i/>
          <w:iCs/>
          <w:shd w:val="clear" w:color="auto" w:fill="FFFFFF"/>
        </w:rPr>
        <w:t>Sustainable construction</w:t>
      </w:r>
      <w:r w:rsidRPr="00280550">
        <w:rPr>
          <w:shd w:val="clear" w:color="auto" w:fill="FFFFFF"/>
        </w:rPr>
        <w:t xml:space="preserve">. Routledge. </w:t>
      </w:r>
    </w:p>
    <w:p w14:paraId="713C4D38" w14:textId="77777777" w:rsidR="00EF2DC5" w:rsidRPr="00280550" w:rsidRDefault="00EF2DC5" w:rsidP="00EF2DC5">
      <w:pPr>
        <w:spacing w:after="240" w:line="288" w:lineRule="auto"/>
        <w:ind w:left="567" w:hanging="567"/>
        <w:jc w:val="both"/>
      </w:pPr>
      <w:r w:rsidRPr="00280550">
        <w:t xml:space="preserve">Hamilton, L., </w:t>
      </w:r>
      <w:proofErr w:type="spellStart"/>
      <w:r w:rsidRPr="00280550">
        <w:t>Aizlewood</w:t>
      </w:r>
      <w:proofErr w:type="spellEnd"/>
      <w:r w:rsidRPr="00280550">
        <w:t xml:space="preserve">, C., Edwards, S., </w:t>
      </w:r>
      <w:proofErr w:type="spellStart"/>
      <w:r w:rsidRPr="00280550">
        <w:t>Shiers</w:t>
      </w:r>
      <w:proofErr w:type="spellEnd"/>
      <w:r w:rsidRPr="00280550">
        <w:t xml:space="preserve">, D., Steele, K. and </w:t>
      </w:r>
      <w:proofErr w:type="spellStart"/>
      <w:r w:rsidRPr="00280550">
        <w:t>Thistlethwaite</w:t>
      </w:r>
      <w:proofErr w:type="spellEnd"/>
      <w:r w:rsidRPr="00280550">
        <w:t xml:space="preserve">, P., 2007. Creating Environmental Weightings for Construction Products: Results of a Study. BRE. </w:t>
      </w:r>
    </w:p>
    <w:p w14:paraId="316B4A97" w14:textId="77777777" w:rsidR="00EF2DC5" w:rsidRPr="00280550" w:rsidRDefault="00EF2DC5" w:rsidP="00EF2DC5">
      <w:pPr>
        <w:spacing w:after="240" w:line="288" w:lineRule="auto"/>
        <w:ind w:left="567" w:hanging="567"/>
        <w:jc w:val="both"/>
        <w:rPr>
          <w:shd w:val="clear" w:color="auto" w:fill="FFFFFF"/>
        </w:rPr>
      </w:pPr>
      <w:proofErr w:type="spellStart"/>
      <w:r w:rsidRPr="00280550">
        <w:rPr>
          <w:shd w:val="clear" w:color="auto" w:fill="FFFFFF"/>
        </w:rPr>
        <w:t>Illankoon</w:t>
      </w:r>
      <w:proofErr w:type="spellEnd"/>
      <w:r w:rsidRPr="00280550">
        <w:rPr>
          <w:shd w:val="clear" w:color="auto" w:fill="FFFFFF"/>
        </w:rPr>
        <w:t>, I.C.S., Tam, V.W., Le, K.N. and Shen, L., 2017. Key credit criteria among international green building rating tools. </w:t>
      </w:r>
      <w:r w:rsidRPr="00280550">
        <w:rPr>
          <w:i/>
          <w:iCs/>
          <w:shd w:val="clear" w:color="auto" w:fill="FFFFFF"/>
        </w:rPr>
        <w:t>Journal of Cleaner Production</w:t>
      </w:r>
      <w:r w:rsidRPr="00280550">
        <w:rPr>
          <w:shd w:val="clear" w:color="auto" w:fill="FFFFFF"/>
        </w:rPr>
        <w:t>, </w:t>
      </w:r>
      <w:r w:rsidRPr="00280550">
        <w:rPr>
          <w:i/>
          <w:iCs/>
          <w:shd w:val="clear" w:color="auto" w:fill="FFFFFF"/>
        </w:rPr>
        <w:t>164</w:t>
      </w:r>
      <w:r w:rsidRPr="00280550">
        <w:rPr>
          <w:shd w:val="clear" w:color="auto" w:fill="FFFFFF"/>
        </w:rPr>
        <w:t>, pp.209-220.</w:t>
      </w:r>
    </w:p>
    <w:p w14:paraId="7C195666" w14:textId="0CED57EB" w:rsidR="00EF2DC5" w:rsidRPr="00280550" w:rsidRDefault="00EF2DC5" w:rsidP="00EF2DC5">
      <w:pPr>
        <w:spacing w:after="240" w:line="288" w:lineRule="auto"/>
        <w:ind w:left="567" w:hanging="567"/>
        <w:jc w:val="both"/>
      </w:pPr>
      <w:r w:rsidRPr="00280550">
        <w:t xml:space="preserve">Kajikawa, Y., Inoue, T. and Goh, T.N., 2011. Analysis of building </w:t>
      </w:r>
      <w:r w:rsidRPr="00280550">
        <w:rPr>
          <w:noProof/>
        </w:rPr>
        <w:t>environment</w:t>
      </w:r>
      <w:r w:rsidR="00D13C09" w:rsidRPr="00280550">
        <w:rPr>
          <w:noProof/>
        </w:rPr>
        <w:t>al</w:t>
      </w:r>
      <w:r w:rsidRPr="00280550">
        <w:t xml:space="preserve"> assessment frameworks and their implications for sustainability indicators. Sustainability Science, 6(2), pp.233-246.</w:t>
      </w:r>
    </w:p>
    <w:p w14:paraId="73147532" w14:textId="77777777" w:rsidR="00EF2DC5" w:rsidRPr="00280550" w:rsidRDefault="00EF2DC5" w:rsidP="00EF2DC5">
      <w:pPr>
        <w:spacing w:after="240" w:line="288" w:lineRule="auto"/>
        <w:ind w:left="567" w:hanging="567"/>
        <w:jc w:val="both"/>
      </w:pPr>
      <w:proofErr w:type="spellStart"/>
      <w:r w:rsidRPr="00280550">
        <w:t>Khasreen</w:t>
      </w:r>
      <w:proofErr w:type="spellEnd"/>
      <w:r w:rsidRPr="00280550">
        <w:t xml:space="preserve">, M.M., </w:t>
      </w:r>
      <w:proofErr w:type="spellStart"/>
      <w:r w:rsidRPr="00280550">
        <w:t>Banfill</w:t>
      </w:r>
      <w:proofErr w:type="spellEnd"/>
      <w:r w:rsidRPr="00280550">
        <w:t xml:space="preserve">, P.F. and Menzies, G.F., 2009. Life-cycle assessment and the environmental impact of buildings: a review. Sustainability, 1(3), pp.674-701. </w:t>
      </w:r>
    </w:p>
    <w:p w14:paraId="72E0FFF7" w14:textId="77777777" w:rsidR="00EF2DC5" w:rsidRPr="00280550" w:rsidRDefault="00EF2DC5" w:rsidP="00EF2DC5">
      <w:pPr>
        <w:spacing w:after="240" w:line="288" w:lineRule="auto"/>
        <w:ind w:left="567" w:hanging="567"/>
        <w:jc w:val="both"/>
        <w:rPr>
          <w:shd w:val="clear" w:color="auto" w:fill="FFFFFF"/>
        </w:rPr>
      </w:pPr>
      <w:proofErr w:type="spellStart"/>
      <w:r w:rsidRPr="00280550">
        <w:rPr>
          <w:shd w:val="clear" w:color="auto" w:fill="FFFFFF"/>
        </w:rPr>
        <w:t>Malmqvist</w:t>
      </w:r>
      <w:proofErr w:type="spellEnd"/>
      <w:r w:rsidRPr="00280550">
        <w:rPr>
          <w:shd w:val="clear" w:color="auto" w:fill="FFFFFF"/>
        </w:rPr>
        <w:t xml:space="preserve">, T., </w:t>
      </w:r>
      <w:proofErr w:type="spellStart"/>
      <w:r w:rsidRPr="00280550">
        <w:rPr>
          <w:shd w:val="clear" w:color="auto" w:fill="FFFFFF"/>
        </w:rPr>
        <w:t>Nehasilova</w:t>
      </w:r>
      <w:proofErr w:type="spellEnd"/>
      <w:r w:rsidRPr="00280550">
        <w:rPr>
          <w:shd w:val="clear" w:color="auto" w:fill="FFFFFF"/>
        </w:rPr>
        <w:t xml:space="preserve">, M., </w:t>
      </w:r>
      <w:proofErr w:type="spellStart"/>
      <w:r w:rsidRPr="00280550">
        <w:rPr>
          <w:shd w:val="clear" w:color="auto" w:fill="FFFFFF"/>
        </w:rPr>
        <w:t>Moncaster</w:t>
      </w:r>
      <w:proofErr w:type="spellEnd"/>
      <w:r w:rsidRPr="00280550">
        <w:rPr>
          <w:shd w:val="clear" w:color="auto" w:fill="FFFFFF"/>
        </w:rPr>
        <w:t xml:space="preserve">, A., </w:t>
      </w:r>
      <w:proofErr w:type="spellStart"/>
      <w:r w:rsidRPr="00280550">
        <w:rPr>
          <w:shd w:val="clear" w:color="auto" w:fill="FFFFFF"/>
        </w:rPr>
        <w:t>Birgisdottir</w:t>
      </w:r>
      <w:proofErr w:type="spellEnd"/>
      <w:r w:rsidRPr="00280550">
        <w:rPr>
          <w:shd w:val="clear" w:color="auto" w:fill="FFFFFF"/>
        </w:rPr>
        <w:t xml:space="preserve">, H., Rasmussen, F.N., </w:t>
      </w:r>
      <w:proofErr w:type="spellStart"/>
      <w:r w:rsidRPr="00280550">
        <w:rPr>
          <w:shd w:val="clear" w:color="auto" w:fill="FFFFFF"/>
        </w:rPr>
        <w:t>Wiberg</w:t>
      </w:r>
      <w:proofErr w:type="spellEnd"/>
      <w:r w:rsidRPr="00280550">
        <w:rPr>
          <w:shd w:val="clear" w:color="auto" w:fill="FFFFFF"/>
        </w:rPr>
        <w:t>, A.H. and Potting, J., 2018. Design and construction strategies for reducing embodied impacts from buildings-Case study analysis. </w:t>
      </w:r>
      <w:r w:rsidRPr="00280550">
        <w:rPr>
          <w:i/>
          <w:iCs/>
          <w:shd w:val="clear" w:color="auto" w:fill="FFFFFF"/>
        </w:rPr>
        <w:t>Energy and Buildings</w:t>
      </w:r>
      <w:r w:rsidRPr="00280550">
        <w:rPr>
          <w:shd w:val="clear" w:color="auto" w:fill="FFFFFF"/>
        </w:rPr>
        <w:t>, </w:t>
      </w:r>
      <w:r w:rsidRPr="00280550">
        <w:rPr>
          <w:i/>
          <w:iCs/>
          <w:shd w:val="clear" w:color="auto" w:fill="FFFFFF"/>
        </w:rPr>
        <w:t>166</w:t>
      </w:r>
      <w:r w:rsidRPr="00280550">
        <w:rPr>
          <w:shd w:val="clear" w:color="auto" w:fill="FFFFFF"/>
        </w:rPr>
        <w:t>, pp.35-47.</w:t>
      </w:r>
    </w:p>
    <w:p w14:paraId="3CC889DC" w14:textId="3F766D11" w:rsidR="00EF2DC5" w:rsidRPr="00280550" w:rsidRDefault="00EF2DC5" w:rsidP="00EF2DC5">
      <w:pPr>
        <w:spacing w:after="240" w:line="288" w:lineRule="auto"/>
        <w:ind w:left="567" w:hanging="567"/>
        <w:jc w:val="both"/>
      </w:pPr>
      <w:r w:rsidRPr="00280550">
        <w:t>O’Neill, B.C. and Oppenheimer, M., 2002. Dangerous climate impacts and the Kyoto Protocol. Science, 296(5575), pp.1971-1972.</w:t>
      </w:r>
    </w:p>
    <w:p w14:paraId="3D42F13A" w14:textId="084B17DB" w:rsidR="00B94E9D" w:rsidRPr="00280550" w:rsidRDefault="00B94E9D" w:rsidP="00EF2DC5">
      <w:pPr>
        <w:spacing w:after="240" w:line="288" w:lineRule="auto"/>
        <w:ind w:left="567" w:hanging="567"/>
        <w:jc w:val="both"/>
      </w:pPr>
      <w:r w:rsidRPr="00280550">
        <w:lastRenderedPageBreak/>
        <w:t xml:space="preserve">ONS, 2018. Construction Statistics: A wide range of statistics and analysis </w:t>
      </w:r>
      <w:r w:rsidRPr="00280550">
        <w:rPr>
          <w:noProof/>
        </w:rPr>
        <w:t>on</w:t>
      </w:r>
      <w:r w:rsidRPr="00280550">
        <w:t xml:space="preserve"> the construction industry in Great Britain in 2017 (Online). Available through: </w:t>
      </w:r>
      <w:hyperlink r:id="rId13" w:history="1">
        <w:r w:rsidRPr="00280550">
          <w:rPr>
            <w:rStyle w:val="Hyperlink"/>
            <w:color w:val="auto"/>
          </w:rPr>
          <w:t>https://www.ons.gov.uk/</w:t>
        </w:r>
      </w:hyperlink>
      <w:r w:rsidRPr="00280550">
        <w:t xml:space="preserve">. [Accessed: </w:t>
      </w:r>
      <w:r w:rsidR="00592FD3" w:rsidRPr="00280550">
        <w:t>October 2018</w:t>
      </w:r>
      <w:r w:rsidRPr="00280550">
        <w:t>]</w:t>
      </w:r>
      <w:r w:rsidR="00592FD3" w:rsidRPr="00280550">
        <w:t xml:space="preserve">. </w:t>
      </w:r>
    </w:p>
    <w:p w14:paraId="745DA2BF" w14:textId="77777777" w:rsidR="00EF2DC5" w:rsidRPr="00280550" w:rsidRDefault="00EF2DC5" w:rsidP="00EF2DC5">
      <w:pPr>
        <w:spacing w:after="240" w:line="288" w:lineRule="auto"/>
        <w:ind w:left="567" w:hanging="567"/>
        <w:jc w:val="both"/>
      </w:pPr>
      <w:r w:rsidRPr="00280550">
        <w:t xml:space="preserve">Ortiz, O., Castells, F. and </w:t>
      </w:r>
      <w:proofErr w:type="spellStart"/>
      <w:r w:rsidRPr="00280550">
        <w:t>Sonnemann</w:t>
      </w:r>
      <w:proofErr w:type="spellEnd"/>
      <w:r w:rsidRPr="00280550">
        <w:t xml:space="preserve">, G., 2009. Sustainability in the construction industry: A review of recent developments based on </w:t>
      </w:r>
      <w:proofErr w:type="spellStart"/>
      <w:r w:rsidRPr="00280550">
        <w:t>LCA.Construction</w:t>
      </w:r>
      <w:proofErr w:type="spellEnd"/>
      <w:r w:rsidRPr="00280550">
        <w:t xml:space="preserve"> and Building Materials, 23(1), pp.28-39. </w:t>
      </w:r>
    </w:p>
    <w:p w14:paraId="473973D2" w14:textId="77777777" w:rsidR="00EF2DC5" w:rsidRPr="00280550" w:rsidRDefault="00EF2DC5" w:rsidP="00EF2DC5">
      <w:pPr>
        <w:spacing w:after="240" w:line="288" w:lineRule="auto"/>
        <w:ind w:left="567" w:hanging="567"/>
        <w:jc w:val="both"/>
      </w:pPr>
      <w:r w:rsidRPr="00280550">
        <w:t xml:space="preserve">Oyedele, L. O., Ajayi, S. O., &amp; </w:t>
      </w:r>
      <w:proofErr w:type="spellStart"/>
      <w:r w:rsidRPr="00280550">
        <w:t>Kadiri</w:t>
      </w:r>
      <w:proofErr w:type="spellEnd"/>
      <w:r w:rsidRPr="00280550">
        <w:t xml:space="preserve">, K. O. 2014. Use of recycled products in </w:t>
      </w:r>
      <w:r w:rsidRPr="00280550">
        <w:rPr>
          <w:noProof/>
        </w:rPr>
        <w:t>UK</w:t>
      </w:r>
      <w:r w:rsidRPr="00280550">
        <w:t xml:space="preserve"> construction industry: An empirical investigation into critical impediments and strategies for improvement. Resources, Conservation and Recycling, 93(2014), pp. 23-31.</w:t>
      </w:r>
    </w:p>
    <w:p w14:paraId="021D11A4" w14:textId="77777777" w:rsidR="00EF2DC5" w:rsidRPr="00280550" w:rsidRDefault="00EF2DC5" w:rsidP="00EF2DC5">
      <w:pPr>
        <w:spacing w:after="240" w:line="288" w:lineRule="auto"/>
        <w:ind w:left="567" w:hanging="567"/>
        <w:jc w:val="both"/>
      </w:pPr>
      <w:r w:rsidRPr="00280550">
        <w:t xml:space="preserve">Poveda, C.A. and Lipsett, M.G., 2011. A review of sustainability assessment and sustainability/environmental rating systems and credit weighting tools. Journal of Sustainable Development, 4(6), p.36. </w:t>
      </w:r>
    </w:p>
    <w:p w14:paraId="303A6598" w14:textId="18BEECF0" w:rsidR="00EF2DC5" w:rsidRPr="00280550" w:rsidRDefault="00EF2DC5" w:rsidP="00EF2DC5">
      <w:pPr>
        <w:spacing w:after="240" w:line="288" w:lineRule="auto"/>
        <w:ind w:left="567" w:hanging="567"/>
        <w:jc w:val="both"/>
      </w:pPr>
      <w:proofErr w:type="spellStart"/>
      <w:r w:rsidRPr="00280550">
        <w:t>Säynäjoki</w:t>
      </w:r>
      <w:proofErr w:type="spellEnd"/>
      <w:r w:rsidRPr="00280550">
        <w:t xml:space="preserve">, A., </w:t>
      </w:r>
      <w:proofErr w:type="spellStart"/>
      <w:r w:rsidRPr="00280550">
        <w:t>Heinonen</w:t>
      </w:r>
      <w:proofErr w:type="spellEnd"/>
      <w:r w:rsidRPr="00280550">
        <w:t xml:space="preserve">, J. and </w:t>
      </w:r>
      <w:proofErr w:type="spellStart"/>
      <w:r w:rsidRPr="00280550">
        <w:t>Junnila</w:t>
      </w:r>
      <w:proofErr w:type="spellEnd"/>
      <w:r w:rsidRPr="00280550">
        <w:t xml:space="preserve">, S., 2012. A scenario analysis of the </w:t>
      </w:r>
      <w:r w:rsidRPr="00280550">
        <w:rPr>
          <w:noProof/>
        </w:rPr>
        <w:t>lifecycle</w:t>
      </w:r>
      <w:r w:rsidRPr="00280550">
        <w:t xml:space="preserve"> greenhouse gas emissions of a new residential </w:t>
      </w:r>
      <w:proofErr w:type="spellStart"/>
      <w:r w:rsidRPr="00280550">
        <w:t>area.Environmental</w:t>
      </w:r>
      <w:proofErr w:type="spellEnd"/>
      <w:r w:rsidRPr="00280550">
        <w:t xml:space="preserve"> Research Letters, 7(3), p.034037.</w:t>
      </w:r>
    </w:p>
    <w:p w14:paraId="4B5847B8" w14:textId="77777777" w:rsidR="00EF2DC5" w:rsidRPr="00280550" w:rsidRDefault="00EF2DC5" w:rsidP="00EF2DC5">
      <w:pPr>
        <w:spacing w:after="240" w:line="288" w:lineRule="auto"/>
        <w:ind w:left="567" w:hanging="567"/>
        <w:jc w:val="both"/>
        <w:rPr>
          <w:shd w:val="clear" w:color="auto" w:fill="FFFFFF"/>
        </w:rPr>
      </w:pPr>
      <w:proofErr w:type="spellStart"/>
      <w:r w:rsidRPr="00280550">
        <w:rPr>
          <w:shd w:val="clear" w:color="auto" w:fill="FFFFFF"/>
        </w:rPr>
        <w:t>Säynäjoki</w:t>
      </w:r>
      <w:proofErr w:type="spellEnd"/>
      <w:r w:rsidRPr="00280550">
        <w:rPr>
          <w:shd w:val="clear" w:color="auto" w:fill="FFFFFF"/>
        </w:rPr>
        <w:t xml:space="preserve">, A., </w:t>
      </w:r>
      <w:proofErr w:type="spellStart"/>
      <w:r w:rsidRPr="00280550">
        <w:rPr>
          <w:shd w:val="clear" w:color="auto" w:fill="FFFFFF"/>
        </w:rPr>
        <w:t>Heinonen</w:t>
      </w:r>
      <w:proofErr w:type="spellEnd"/>
      <w:r w:rsidRPr="00280550">
        <w:rPr>
          <w:shd w:val="clear" w:color="auto" w:fill="FFFFFF"/>
        </w:rPr>
        <w:t xml:space="preserve">, J., </w:t>
      </w:r>
      <w:proofErr w:type="spellStart"/>
      <w:r w:rsidRPr="00280550">
        <w:rPr>
          <w:shd w:val="clear" w:color="auto" w:fill="FFFFFF"/>
        </w:rPr>
        <w:t>Junnila</w:t>
      </w:r>
      <w:proofErr w:type="spellEnd"/>
      <w:r w:rsidRPr="00280550">
        <w:rPr>
          <w:shd w:val="clear" w:color="auto" w:fill="FFFFFF"/>
        </w:rPr>
        <w:t>, S. and Horvath, A., 2017. Can life-cycle assessment produce reliable policy guidelines in the building sector?. </w:t>
      </w:r>
      <w:r w:rsidRPr="00280550">
        <w:rPr>
          <w:i/>
          <w:iCs/>
          <w:shd w:val="clear" w:color="auto" w:fill="FFFFFF"/>
        </w:rPr>
        <w:t>Environmental Research Letters</w:t>
      </w:r>
      <w:r w:rsidRPr="00280550">
        <w:rPr>
          <w:shd w:val="clear" w:color="auto" w:fill="FFFFFF"/>
        </w:rPr>
        <w:t>, </w:t>
      </w:r>
      <w:r w:rsidRPr="00280550">
        <w:rPr>
          <w:i/>
          <w:iCs/>
          <w:shd w:val="clear" w:color="auto" w:fill="FFFFFF"/>
        </w:rPr>
        <w:t>12</w:t>
      </w:r>
      <w:r w:rsidRPr="00280550">
        <w:rPr>
          <w:shd w:val="clear" w:color="auto" w:fill="FFFFFF"/>
        </w:rPr>
        <w:t>(1), p.013001.</w:t>
      </w:r>
    </w:p>
    <w:p w14:paraId="14C443F9" w14:textId="77777777" w:rsidR="00EF2DC5" w:rsidRPr="00280550" w:rsidRDefault="00EF2DC5" w:rsidP="00EF2DC5">
      <w:pPr>
        <w:spacing w:after="240" w:line="288" w:lineRule="auto"/>
        <w:ind w:left="567" w:hanging="567"/>
        <w:jc w:val="both"/>
      </w:pPr>
      <w:r w:rsidRPr="00280550">
        <w:t>Sharifi, A. and Murayama, A., 2013. A critical review of seven selected neighbourhood sustainability assessment tools. Environmental Impact Assessment Review, 38, pp.73-87.</w:t>
      </w:r>
    </w:p>
    <w:p w14:paraId="48707109"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t xml:space="preserve">Soares, N., Bastos, J., Pereira, L.D., Soares, A., Amaral, A.R., </w:t>
      </w:r>
      <w:proofErr w:type="spellStart"/>
      <w:r w:rsidRPr="00280550">
        <w:rPr>
          <w:shd w:val="clear" w:color="auto" w:fill="FFFFFF"/>
        </w:rPr>
        <w:t>Asadi</w:t>
      </w:r>
      <w:proofErr w:type="spellEnd"/>
      <w:r w:rsidRPr="00280550">
        <w:rPr>
          <w:shd w:val="clear" w:color="auto" w:fill="FFFFFF"/>
        </w:rPr>
        <w:t xml:space="preserve">, E., Rodrigues, E., Lamas, F.B., Monteiro, H., Lopes, M.A.R. and Gaspar, A.R., 2017. A review </w:t>
      </w:r>
      <w:r w:rsidRPr="00280550">
        <w:rPr>
          <w:noProof/>
          <w:shd w:val="clear" w:color="auto" w:fill="FFFFFF"/>
        </w:rPr>
        <w:t>on</w:t>
      </w:r>
      <w:r w:rsidRPr="00280550">
        <w:rPr>
          <w:shd w:val="clear" w:color="auto" w:fill="FFFFFF"/>
        </w:rPr>
        <w:t xml:space="preserve"> current advances in the energy and environmental performance of buildings towards a more sustainable built environment. </w:t>
      </w:r>
      <w:r w:rsidRPr="00280550">
        <w:rPr>
          <w:i/>
          <w:iCs/>
          <w:shd w:val="clear" w:color="auto" w:fill="FFFFFF"/>
        </w:rPr>
        <w:t>Renewable and Sustainable Energy Reviews</w:t>
      </w:r>
      <w:r w:rsidRPr="00280550">
        <w:rPr>
          <w:shd w:val="clear" w:color="auto" w:fill="FFFFFF"/>
        </w:rPr>
        <w:t>, </w:t>
      </w:r>
      <w:r w:rsidRPr="00280550">
        <w:rPr>
          <w:i/>
          <w:iCs/>
          <w:shd w:val="clear" w:color="auto" w:fill="FFFFFF"/>
        </w:rPr>
        <w:t>77</w:t>
      </w:r>
      <w:r w:rsidRPr="00280550">
        <w:rPr>
          <w:shd w:val="clear" w:color="auto" w:fill="FFFFFF"/>
        </w:rPr>
        <w:t>, pp.845-860.</w:t>
      </w:r>
    </w:p>
    <w:p w14:paraId="1CAD4E59" w14:textId="77777777" w:rsidR="00EF2DC5" w:rsidRPr="00280550" w:rsidRDefault="00EF2DC5" w:rsidP="00EF2DC5">
      <w:pPr>
        <w:spacing w:after="240" w:line="288" w:lineRule="auto"/>
        <w:ind w:left="567" w:hanging="567"/>
        <w:jc w:val="both"/>
      </w:pPr>
      <w:r w:rsidRPr="00280550">
        <w:t xml:space="preserve">Van </w:t>
      </w:r>
      <w:proofErr w:type="spellStart"/>
      <w:r w:rsidRPr="00280550">
        <w:t>Ooteghem</w:t>
      </w:r>
      <w:proofErr w:type="spellEnd"/>
      <w:r w:rsidRPr="00280550">
        <w:t xml:space="preserve">, K. and Xu, L., 2012. The life-cycle assessment of a single-storey retail building in Canada. Building and Environment, 49, pp.212-226. </w:t>
      </w:r>
    </w:p>
    <w:p w14:paraId="3FA36B46" w14:textId="77777777" w:rsidR="00EF2DC5" w:rsidRPr="00280550" w:rsidRDefault="00EF2DC5" w:rsidP="00EF2DC5">
      <w:pPr>
        <w:spacing w:after="240" w:line="288" w:lineRule="auto"/>
        <w:ind w:left="567" w:hanging="567"/>
        <w:jc w:val="both"/>
        <w:rPr>
          <w:shd w:val="clear" w:color="auto" w:fill="FFFFFF"/>
        </w:rPr>
      </w:pPr>
      <w:r w:rsidRPr="00280550">
        <w:rPr>
          <w:shd w:val="clear" w:color="auto" w:fill="FFFFFF"/>
        </w:rPr>
        <w:t>Zhan, J., Liu, W., Wu, F., Li, Z. and Wang, C., 2018. Life cycle energy consumption and greenhouse gas emissions of urban residential buildings in Guangzhou city. </w:t>
      </w:r>
      <w:r w:rsidRPr="00280550">
        <w:rPr>
          <w:i/>
          <w:iCs/>
          <w:shd w:val="clear" w:color="auto" w:fill="FFFFFF"/>
        </w:rPr>
        <w:t>Journal of Cleaner Production</w:t>
      </w:r>
      <w:r w:rsidRPr="00280550">
        <w:rPr>
          <w:shd w:val="clear" w:color="auto" w:fill="FFFFFF"/>
        </w:rPr>
        <w:t>.</w:t>
      </w:r>
    </w:p>
    <w:p w14:paraId="391B6AE7" w14:textId="057AAAB0" w:rsidR="00C74DAF" w:rsidRPr="00280550" w:rsidRDefault="00C74DAF" w:rsidP="00EF2DC5">
      <w:pPr>
        <w:spacing w:after="240" w:line="288" w:lineRule="auto"/>
        <w:ind w:left="567" w:hanging="567"/>
        <w:jc w:val="both"/>
        <w:rPr>
          <w:shd w:val="clear" w:color="auto" w:fill="FFFFFF"/>
        </w:rPr>
      </w:pPr>
    </w:p>
    <w:p w14:paraId="047940A1" w14:textId="02D79CF7" w:rsidR="00C74DAF" w:rsidRPr="00280550" w:rsidRDefault="00C74DAF" w:rsidP="00EF2DC5">
      <w:pPr>
        <w:spacing w:after="240" w:line="288" w:lineRule="auto"/>
        <w:ind w:left="567" w:hanging="567"/>
        <w:jc w:val="both"/>
        <w:rPr>
          <w:shd w:val="clear" w:color="auto" w:fill="FFFFFF"/>
        </w:rPr>
      </w:pPr>
    </w:p>
    <w:sectPr w:rsidR="00C74DAF" w:rsidRPr="00280550" w:rsidSect="00473C25">
      <w:footerReference w:type="default" r:id="rId14"/>
      <w:pgSz w:w="11906" w:h="16838"/>
      <w:pgMar w:top="1440" w:right="1440" w:bottom="1440" w:left="1440" w:header="708" w:footer="708"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0F55755" w14:textId="77777777" w:rsidR="00583988" w:rsidRDefault="00583988" w:rsidP="00473C25">
      <w:pPr>
        <w:spacing w:after="0"/>
      </w:pPr>
      <w:r>
        <w:separator/>
      </w:r>
    </w:p>
  </w:endnote>
  <w:endnote w:type="continuationSeparator" w:id="0">
    <w:p w14:paraId="00F4E823" w14:textId="77777777" w:rsidR="00583988" w:rsidRDefault="00583988" w:rsidP="00473C2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4790076"/>
      <w:docPartObj>
        <w:docPartGallery w:val="Page Numbers (Bottom of Page)"/>
        <w:docPartUnique/>
      </w:docPartObj>
    </w:sdtPr>
    <w:sdtEndPr>
      <w:rPr>
        <w:noProof/>
      </w:rPr>
    </w:sdtEndPr>
    <w:sdtContent>
      <w:p w14:paraId="573E21EE" w14:textId="640BE471" w:rsidR="00583988" w:rsidRDefault="00583988">
        <w:pPr>
          <w:pStyle w:val="Footer"/>
          <w:jc w:val="right"/>
        </w:pPr>
        <w:r>
          <w:fldChar w:fldCharType="begin"/>
        </w:r>
        <w:r>
          <w:instrText xml:space="preserve"> PAGE   \* MERGEFORMAT </w:instrText>
        </w:r>
        <w:r>
          <w:fldChar w:fldCharType="separate"/>
        </w:r>
        <w:r w:rsidR="00B12325">
          <w:rPr>
            <w:noProof/>
          </w:rPr>
          <w:t>15</w:t>
        </w:r>
        <w:r>
          <w:rPr>
            <w:noProof/>
          </w:rPr>
          <w:fldChar w:fldCharType="end"/>
        </w:r>
      </w:p>
    </w:sdtContent>
  </w:sdt>
  <w:p w14:paraId="05A88187" w14:textId="77777777" w:rsidR="00583988" w:rsidRDefault="005839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F0C841" w14:textId="77777777" w:rsidR="00583988" w:rsidRDefault="00583988" w:rsidP="00473C25">
      <w:pPr>
        <w:spacing w:after="0"/>
      </w:pPr>
      <w:r>
        <w:separator/>
      </w:r>
    </w:p>
  </w:footnote>
  <w:footnote w:type="continuationSeparator" w:id="0">
    <w:p w14:paraId="58CA84C3" w14:textId="77777777" w:rsidR="00583988" w:rsidRDefault="00583988" w:rsidP="00473C25">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A07E0D"/>
    <w:multiLevelType w:val="multilevel"/>
    <w:tmpl w:val="FA44BDB4"/>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7"/>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zQ3sTAyNzS0NDOxMDBT0lEKTi0uzszPAykwrQUAX5i2PSwAAAA="/>
  </w:docVars>
  <w:rsids>
    <w:rsidRoot w:val="005316ED"/>
    <w:rsid w:val="000C0C84"/>
    <w:rsid w:val="00105151"/>
    <w:rsid w:val="00183044"/>
    <w:rsid w:val="001946E2"/>
    <w:rsid w:val="001C6D44"/>
    <w:rsid w:val="00225611"/>
    <w:rsid w:val="00280550"/>
    <w:rsid w:val="002D6607"/>
    <w:rsid w:val="00356453"/>
    <w:rsid w:val="003644B4"/>
    <w:rsid w:val="003B4B12"/>
    <w:rsid w:val="003E3BBF"/>
    <w:rsid w:val="003F7E36"/>
    <w:rsid w:val="00403C62"/>
    <w:rsid w:val="004733FB"/>
    <w:rsid w:val="00473C25"/>
    <w:rsid w:val="0048150A"/>
    <w:rsid w:val="004943AC"/>
    <w:rsid w:val="004A2BB5"/>
    <w:rsid w:val="004C6892"/>
    <w:rsid w:val="004D3C08"/>
    <w:rsid w:val="0050152D"/>
    <w:rsid w:val="00521C5D"/>
    <w:rsid w:val="005316ED"/>
    <w:rsid w:val="0055032D"/>
    <w:rsid w:val="00582DCA"/>
    <w:rsid w:val="00583988"/>
    <w:rsid w:val="005868B4"/>
    <w:rsid w:val="00592FD3"/>
    <w:rsid w:val="0059422B"/>
    <w:rsid w:val="00631CC5"/>
    <w:rsid w:val="00686D45"/>
    <w:rsid w:val="006A29FC"/>
    <w:rsid w:val="006B0497"/>
    <w:rsid w:val="00732976"/>
    <w:rsid w:val="0075321E"/>
    <w:rsid w:val="007A561B"/>
    <w:rsid w:val="007C1E58"/>
    <w:rsid w:val="00815028"/>
    <w:rsid w:val="008579D7"/>
    <w:rsid w:val="00862B78"/>
    <w:rsid w:val="00891281"/>
    <w:rsid w:val="008B2B04"/>
    <w:rsid w:val="008B3A18"/>
    <w:rsid w:val="008D6223"/>
    <w:rsid w:val="009508AD"/>
    <w:rsid w:val="00980DC3"/>
    <w:rsid w:val="009A3F57"/>
    <w:rsid w:val="009D03BD"/>
    <w:rsid w:val="009E0829"/>
    <w:rsid w:val="00A178F7"/>
    <w:rsid w:val="00A47ECF"/>
    <w:rsid w:val="00A65E6D"/>
    <w:rsid w:val="00A86AB0"/>
    <w:rsid w:val="00AA3867"/>
    <w:rsid w:val="00B12325"/>
    <w:rsid w:val="00B41561"/>
    <w:rsid w:val="00B50298"/>
    <w:rsid w:val="00B94E9D"/>
    <w:rsid w:val="00C3688C"/>
    <w:rsid w:val="00C741F6"/>
    <w:rsid w:val="00C74DAF"/>
    <w:rsid w:val="00CA0651"/>
    <w:rsid w:val="00CB579D"/>
    <w:rsid w:val="00CF30D2"/>
    <w:rsid w:val="00D04F67"/>
    <w:rsid w:val="00D13C09"/>
    <w:rsid w:val="00D511E2"/>
    <w:rsid w:val="00D56DC2"/>
    <w:rsid w:val="00DA3B70"/>
    <w:rsid w:val="00DF7FB3"/>
    <w:rsid w:val="00E15641"/>
    <w:rsid w:val="00E176C0"/>
    <w:rsid w:val="00E62357"/>
    <w:rsid w:val="00E82A03"/>
    <w:rsid w:val="00EB2D46"/>
    <w:rsid w:val="00EB7D6E"/>
    <w:rsid w:val="00EC549B"/>
    <w:rsid w:val="00ED3A92"/>
    <w:rsid w:val="00EE0C49"/>
    <w:rsid w:val="00EF2DC5"/>
    <w:rsid w:val="00EF7185"/>
    <w:rsid w:val="00F63368"/>
    <w:rsid w:val="00F909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EE5FBF"/>
  <w15:chartTrackingRefBased/>
  <w15:docId w15:val="{EF501337-4605-4614-9E80-30E7E7720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316ED"/>
    <w:pPr>
      <w:spacing w:after="120" w:line="240" w:lineRule="auto"/>
    </w:pPr>
    <w:rPr>
      <w:rFonts w:ascii="Times New Roman" w:eastAsia="Times New Roman" w:hAnsi="Times New Roman" w:cs="Times New Roman"/>
      <w:sz w:val="24"/>
      <w:szCs w:val="24"/>
      <w:lang w:eastAsia="en-GB"/>
    </w:rPr>
  </w:style>
  <w:style w:type="paragraph" w:styleId="Heading2">
    <w:name w:val="heading 2"/>
    <w:basedOn w:val="Normal"/>
    <w:next w:val="Normal"/>
    <w:link w:val="Heading2Char"/>
    <w:uiPriority w:val="9"/>
    <w:semiHidden/>
    <w:unhideWhenUsed/>
    <w:qFormat/>
    <w:rsid w:val="005316E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5316ED"/>
    <w:pPr>
      <w:keepNext/>
      <w:keepLines/>
      <w:spacing w:before="40" w:after="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semiHidden/>
    <w:unhideWhenUsed/>
    <w:qFormat/>
    <w:rsid w:val="005316ED"/>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semiHidden/>
    <w:unhideWhenUsed/>
    <w:qFormat/>
    <w:rsid w:val="005316ED"/>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_Title"/>
    <w:basedOn w:val="Heading2"/>
    <w:next w:val="Normal"/>
    <w:rsid w:val="005316ED"/>
    <w:pPr>
      <w:keepLines w:val="0"/>
      <w:spacing w:before="0" w:after="240"/>
    </w:pPr>
    <w:rPr>
      <w:rFonts w:ascii="Times New Roman" w:eastAsia="Times New Roman" w:hAnsi="Times New Roman" w:cs="Times New Roman"/>
      <w:b/>
      <w:caps/>
      <w:color w:val="auto"/>
      <w:sz w:val="32"/>
      <w:szCs w:val="20"/>
      <w:lang w:eastAsia="en-US"/>
    </w:rPr>
  </w:style>
  <w:style w:type="paragraph" w:customStyle="1" w:styleId="Abstract">
    <w:name w:val="Abstract"/>
    <w:basedOn w:val="Normal"/>
    <w:next w:val="Keywords"/>
    <w:rsid w:val="005316ED"/>
    <w:pPr>
      <w:spacing w:before="480" w:after="480"/>
      <w:ind w:left="709" w:right="709"/>
    </w:pPr>
    <w:rPr>
      <w:sz w:val="20"/>
      <w:szCs w:val="20"/>
      <w:lang w:eastAsia="en-US"/>
    </w:rPr>
  </w:style>
  <w:style w:type="paragraph" w:customStyle="1" w:styleId="Keywords">
    <w:name w:val="Keywords"/>
    <w:basedOn w:val="Normal"/>
    <w:next w:val="SectionHeading"/>
    <w:rsid w:val="005316ED"/>
    <w:pPr>
      <w:keepLines/>
      <w:spacing w:after="1080"/>
      <w:ind w:left="709" w:right="709"/>
    </w:pPr>
    <w:rPr>
      <w:sz w:val="20"/>
      <w:szCs w:val="20"/>
      <w:lang w:eastAsia="en-US"/>
    </w:rPr>
  </w:style>
  <w:style w:type="paragraph" w:customStyle="1" w:styleId="TableContents-Left">
    <w:name w:val="Table_Contents-Left"/>
    <w:basedOn w:val="Normal"/>
    <w:rsid w:val="005316ED"/>
    <w:pPr>
      <w:keepNext/>
      <w:keepLines/>
    </w:pPr>
    <w:rPr>
      <w:sz w:val="20"/>
    </w:rPr>
  </w:style>
  <w:style w:type="paragraph" w:customStyle="1" w:styleId="TableContents-Right">
    <w:name w:val="Table_Contents-Right"/>
    <w:basedOn w:val="Normal"/>
    <w:rsid w:val="005316ED"/>
    <w:pPr>
      <w:keepNext/>
      <w:keepLines/>
      <w:jc w:val="right"/>
    </w:pPr>
    <w:rPr>
      <w:sz w:val="20"/>
      <w:szCs w:val="20"/>
      <w:lang w:eastAsia="en-US"/>
    </w:rPr>
  </w:style>
  <w:style w:type="paragraph" w:customStyle="1" w:styleId="SectionHeading">
    <w:name w:val="Section_Heading"/>
    <w:basedOn w:val="Heading3"/>
    <w:next w:val="Normal"/>
    <w:rsid w:val="005316ED"/>
    <w:pPr>
      <w:keepLines w:val="0"/>
      <w:spacing w:before="120" w:after="120"/>
      <w:ind w:left="720" w:hanging="720"/>
    </w:pPr>
    <w:rPr>
      <w:rFonts w:ascii="Times New Roman" w:eastAsia="Times New Roman" w:hAnsi="Times New Roman" w:cs="Times New Roman"/>
      <w:b/>
      <w:caps/>
      <w:color w:val="auto"/>
      <w:sz w:val="28"/>
      <w:szCs w:val="20"/>
      <w:lang w:eastAsia="en-US"/>
    </w:rPr>
  </w:style>
  <w:style w:type="paragraph" w:customStyle="1" w:styleId="SectionSub-heading">
    <w:name w:val="Section_Sub-heading"/>
    <w:basedOn w:val="Heading4"/>
    <w:next w:val="Normal"/>
    <w:rsid w:val="005316ED"/>
    <w:pPr>
      <w:spacing w:before="120" w:after="120"/>
    </w:pPr>
    <w:rPr>
      <w:rFonts w:ascii="Times New Roman" w:eastAsia="Times New Roman" w:hAnsi="Times New Roman" w:cs="Times New Roman"/>
      <w:b/>
      <w:i w:val="0"/>
      <w:iCs w:val="0"/>
      <w:color w:val="auto"/>
      <w:szCs w:val="20"/>
      <w:lang w:eastAsia="en-US"/>
    </w:rPr>
  </w:style>
  <w:style w:type="paragraph" w:customStyle="1" w:styleId="References">
    <w:name w:val="References"/>
    <w:basedOn w:val="Normal"/>
    <w:link w:val="ReferencesChar"/>
    <w:rsid w:val="005316ED"/>
    <w:pPr>
      <w:keepLines/>
      <w:ind w:left="720" w:hanging="720"/>
    </w:pPr>
    <w:rPr>
      <w:sz w:val="22"/>
      <w:szCs w:val="20"/>
      <w:lang w:eastAsia="en-US"/>
    </w:rPr>
  </w:style>
  <w:style w:type="paragraph" w:customStyle="1" w:styleId="Captions">
    <w:name w:val="Captions"/>
    <w:basedOn w:val="Normal"/>
    <w:next w:val="Normal"/>
    <w:link w:val="CaptionsCharChar"/>
    <w:rsid w:val="005316ED"/>
    <w:pPr>
      <w:keepNext/>
      <w:keepLines/>
    </w:pPr>
    <w:rPr>
      <w:i/>
      <w:sz w:val="22"/>
    </w:rPr>
  </w:style>
  <w:style w:type="character" w:customStyle="1" w:styleId="CaptionsCharChar">
    <w:name w:val="Captions Char Char"/>
    <w:link w:val="Captions"/>
    <w:rsid w:val="005316ED"/>
    <w:rPr>
      <w:rFonts w:ascii="Times New Roman" w:eastAsia="Times New Roman" w:hAnsi="Times New Roman" w:cs="Times New Roman"/>
      <w:i/>
      <w:szCs w:val="24"/>
      <w:lang w:eastAsia="en-GB"/>
    </w:rPr>
  </w:style>
  <w:style w:type="paragraph" w:customStyle="1" w:styleId="MinorHeading">
    <w:name w:val="Minor_Heading"/>
    <w:basedOn w:val="Heading5"/>
    <w:next w:val="Normal"/>
    <w:rsid w:val="005316ED"/>
    <w:pPr>
      <w:spacing w:before="0"/>
    </w:pPr>
    <w:rPr>
      <w:rFonts w:ascii="Times New Roman" w:eastAsia="Times New Roman" w:hAnsi="Times New Roman" w:cs="Times New Roman"/>
      <w:i/>
      <w:color w:val="auto"/>
      <w:szCs w:val="20"/>
      <w:lang w:eastAsia="en-US"/>
    </w:rPr>
  </w:style>
  <w:style w:type="character" w:customStyle="1" w:styleId="ReferencesChar">
    <w:name w:val="References Char"/>
    <w:link w:val="References"/>
    <w:rsid w:val="005316ED"/>
    <w:rPr>
      <w:rFonts w:ascii="Times New Roman" w:eastAsia="Times New Roman" w:hAnsi="Times New Roman" w:cs="Times New Roman"/>
      <w:szCs w:val="20"/>
    </w:rPr>
  </w:style>
  <w:style w:type="character" w:customStyle="1" w:styleId="Heading2Char">
    <w:name w:val="Heading 2 Char"/>
    <w:basedOn w:val="DefaultParagraphFont"/>
    <w:link w:val="Heading2"/>
    <w:uiPriority w:val="9"/>
    <w:semiHidden/>
    <w:rsid w:val="005316ED"/>
    <w:rPr>
      <w:rFonts w:asciiTheme="majorHAnsi" w:eastAsiaTheme="majorEastAsia" w:hAnsiTheme="majorHAnsi" w:cstheme="majorBidi"/>
      <w:color w:val="2E74B5" w:themeColor="accent1" w:themeShade="BF"/>
      <w:sz w:val="26"/>
      <w:szCs w:val="26"/>
      <w:lang w:eastAsia="en-GB"/>
    </w:rPr>
  </w:style>
  <w:style w:type="character" w:customStyle="1" w:styleId="Heading3Char">
    <w:name w:val="Heading 3 Char"/>
    <w:basedOn w:val="DefaultParagraphFont"/>
    <w:link w:val="Heading3"/>
    <w:uiPriority w:val="9"/>
    <w:semiHidden/>
    <w:rsid w:val="005316ED"/>
    <w:rPr>
      <w:rFonts w:asciiTheme="majorHAnsi" w:eastAsiaTheme="majorEastAsia" w:hAnsiTheme="majorHAnsi" w:cstheme="majorBidi"/>
      <w:color w:val="1F4D78" w:themeColor="accent1" w:themeShade="7F"/>
      <w:sz w:val="24"/>
      <w:szCs w:val="24"/>
      <w:lang w:eastAsia="en-GB"/>
    </w:rPr>
  </w:style>
  <w:style w:type="character" w:customStyle="1" w:styleId="Heading4Char">
    <w:name w:val="Heading 4 Char"/>
    <w:basedOn w:val="DefaultParagraphFont"/>
    <w:link w:val="Heading4"/>
    <w:uiPriority w:val="9"/>
    <w:semiHidden/>
    <w:rsid w:val="005316ED"/>
    <w:rPr>
      <w:rFonts w:asciiTheme="majorHAnsi" w:eastAsiaTheme="majorEastAsia" w:hAnsiTheme="majorHAnsi" w:cstheme="majorBidi"/>
      <w:i/>
      <w:iCs/>
      <w:color w:val="2E74B5" w:themeColor="accent1" w:themeShade="BF"/>
      <w:sz w:val="24"/>
      <w:szCs w:val="24"/>
      <w:lang w:eastAsia="en-GB"/>
    </w:rPr>
  </w:style>
  <w:style w:type="character" w:customStyle="1" w:styleId="Heading5Char">
    <w:name w:val="Heading 5 Char"/>
    <w:basedOn w:val="DefaultParagraphFont"/>
    <w:link w:val="Heading5"/>
    <w:uiPriority w:val="9"/>
    <w:semiHidden/>
    <w:rsid w:val="005316ED"/>
    <w:rPr>
      <w:rFonts w:asciiTheme="majorHAnsi" w:eastAsiaTheme="majorEastAsia" w:hAnsiTheme="majorHAnsi" w:cstheme="majorBidi"/>
      <w:color w:val="2E74B5" w:themeColor="accent1" w:themeShade="BF"/>
      <w:sz w:val="24"/>
      <w:szCs w:val="24"/>
      <w:lang w:eastAsia="en-GB"/>
    </w:rPr>
  </w:style>
  <w:style w:type="character" w:styleId="LineNumber">
    <w:name w:val="line number"/>
    <w:basedOn w:val="DefaultParagraphFont"/>
    <w:uiPriority w:val="99"/>
    <w:semiHidden/>
    <w:unhideWhenUsed/>
    <w:rsid w:val="00473C25"/>
  </w:style>
  <w:style w:type="paragraph" w:styleId="Header">
    <w:name w:val="header"/>
    <w:basedOn w:val="Normal"/>
    <w:link w:val="HeaderChar"/>
    <w:uiPriority w:val="99"/>
    <w:unhideWhenUsed/>
    <w:rsid w:val="00473C25"/>
    <w:pPr>
      <w:tabs>
        <w:tab w:val="center" w:pos="4513"/>
        <w:tab w:val="right" w:pos="9026"/>
      </w:tabs>
      <w:spacing w:after="0"/>
    </w:pPr>
  </w:style>
  <w:style w:type="character" w:customStyle="1" w:styleId="HeaderChar">
    <w:name w:val="Header Char"/>
    <w:basedOn w:val="DefaultParagraphFont"/>
    <w:link w:val="Header"/>
    <w:uiPriority w:val="99"/>
    <w:rsid w:val="00473C25"/>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473C25"/>
    <w:pPr>
      <w:tabs>
        <w:tab w:val="center" w:pos="4513"/>
        <w:tab w:val="right" w:pos="9026"/>
      </w:tabs>
      <w:spacing w:after="0"/>
    </w:pPr>
  </w:style>
  <w:style w:type="character" w:customStyle="1" w:styleId="FooterChar">
    <w:name w:val="Footer Char"/>
    <w:basedOn w:val="DefaultParagraphFont"/>
    <w:link w:val="Footer"/>
    <w:uiPriority w:val="99"/>
    <w:rsid w:val="00473C25"/>
    <w:rPr>
      <w:rFonts w:ascii="Times New Roman" w:eastAsia="Times New Roman" w:hAnsi="Times New Roman" w:cs="Times New Roman"/>
      <w:sz w:val="24"/>
      <w:szCs w:val="24"/>
      <w:lang w:eastAsia="en-GB"/>
    </w:rPr>
  </w:style>
  <w:style w:type="paragraph" w:styleId="DocumentMap">
    <w:name w:val="Document Map"/>
    <w:basedOn w:val="Normal"/>
    <w:link w:val="DocumentMapChar"/>
    <w:uiPriority w:val="99"/>
    <w:semiHidden/>
    <w:unhideWhenUsed/>
    <w:rsid w:val="00D56DC2"/>
    <w:pPr>
      <w:spacing w:after="0"/>
    </w:pPr>
  </w:style>
  <w:style w:type="character" w:customStyle="1" w:styleId="DocumentMapChar">
    <w:name w:val="Document Map Char"/>
    <w:basedOn w:val="DefaultParagraphFont"/>
    <w:link w:val="DocumentMap"/>
    <w:uiPriority w:val="99"/>
    <w:semiHidden/>
    <w:rsid w:val="00D56DC2"/>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B94E9D"/>
    <w:rPr>
      <w:color w:val="0563C1" w:themeColor="hyperlink"/>
      <w:u w:val="single"/>
    </w:rPr>
  </w:style>
  <w:style w:type="table" w:styleId="TableGrid">
    <w:name w:val="Table Grid"/>
    <w:basedOn w:val="TableNormal"/>
    <w:uiPriority w:val="59"/>
    <w:rsid w:val="008579D7"/>
    <w:pPr>
      <w:spacing w:after="0" w:line="240" w:lineRule="auto"/>
    </w:pPr>
    <w:rPr>
      <w:rFonts w:ascii="Calibri" w:hAnsi="Calibri" w:cs="Calibr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C0C84"/>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cileogbo@outlook.com" TargetMode="External"/><Relationship Id="rId13" Type="http://schemas.openxmlformats.org/officeDocument/2006/relationships/hyperlink" Target="https://www.ons.gov.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1.xml"/><Relationship Id="rId4" Type="http://schemas.openxmlformats.org/officeDocument/2006/relationships/settings" Target="settings.xml"/><Relationship Id="rId9" Type="http://schemas.openxmlformats.org/officeDocument/2006/relationships/hyperlink" Target="mailto:S.Ajayi@leedsbeckett.ac.uk" TargetMode="External"/><Relationship Id="rId14" Type="http://schemas.openxmlformats.org/officeDocument/2006/relationships/footer" Target="footer1.xml"/></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Book1"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bar"/>
        <c:grouping val="clustered"/>
        <c:varyColors val="0"/>
        <c:ser>
          <c:idx val="0"/>
          <c:order val="0"/>
          <c:tx>
            <c:strRef>
              <c:f>[Book1]Sheet1!$C$22</c:f>
              <c:strCache>
                <c:ptCount val="1"/>
                <c:pt idx="0">
                  <c:v>Embodied Impacts</c:v>
                </c:pt>
              </c:strCache>
            </c:strRef>
          </c:tx>
          <c:invertIfNegative val="0"/>
          <c:cat>
            <c:strRef>
              <c:f>[Book1]Sheet1!$B$23:$B$27</c:f>
              <c:strCache>
                <c:ptCount val="5"/>
                <c:pt idx="0">
                  <c:v>Brick/block</c:v>
                </c:pt>
                <c:pt idx="1">
                  <c:v>Timber</c:v>
                </c:pt>
                <c:pt idx="2">
                  <c:v>Steel</c:v>
                </c:pt>
                <c:pt idx="3">
                  <c:v>Concrete (ICF)</c:v>
                </c:pt>
                <c:pt idx="4">
                  <c:v>AVERAGE</c:v>
                </c:pt>
              </c:strCache>
            </c:strRef>
          </c:cat>
          <c:val>
            <c:numRef>
              <c:f>[Book1]Sheet1!$C$23:$C$27</c:f>
              <c:numCache>
                <c:formatCode>General</c:formatCode>
                <c:ptCount val="5"/>
                <c:pt idx="0">
                  <c:v>1520240</c:v>
                </c:pt>
                <c:pt idx="1">
                  <c:v>511285</c:v>
                </c:pt>
                <c:pt idx="2">
                  <c:v>1474000</c:v>
                </c:pt>
                <c:pt idx="3">
                  <c:v>2300224</c:v>
                </c:pt>
                <c:pt idx="4">
                  <c:v>1451437.25</c:v>
                </c:pt>
              </c:numCache>
            </c:numRef>
          </c:val>
          <c:extLst>
            <c:ext xmlns:c16="http://schemas.microsoft.com/office/drawing/2014/chart" uri="{C3380CC4-5D6E-409C-BE32-E72D297353CC}">
              <c16:uniqueId val="{00000000-0996-45E5-9596-FD5B2EC7B0C6}"/>
            </c:ext>
          </c:extLst>
        </c:ser>
        <c:ser>
          <c:idx val="1"/>
          <c:order val="1"/>
          <c:tx>
            <c:strRef>
              <c:f>[Book1]Sheet1!$D$22</c:f>
              <c:strCache>
                <c:ptCount val="1"/>
                <c:pt idx="0">
                  <c:v>Construction Impacts</c:v>
                </c:pt>
              </c:strCache>
            </c:strRef>
          </c:tx>
          <c:invertIfNegative val="0"/>
          <c:cat>
            <c:strRef>
              <c:f>[Book1]Sheet1!$B$23:$B$27</c:f>
              <c:strCache>
                <c:ptCount val="5"/>
                <c:pt idx="0">
                  <c:v>Brick/block</c:v>
                </c:pt>
                <c:pt idx="1">
                  <c:v>Timber</c:v>
                </c:pt>
                <c:pt idx="2">
                  <c:v>Steel</c:v>
                </c:pt>
                <c:pt idx="3">
                  <c:v>Concrete (ICF)</c:v>
                </c:pt>
                <c:pt idx="4">
                  <c:v>AVERAGE</c:v>
                </c:pt>
              </c:strCache>
            </c:strRef>
          </c:cat>
          <c:val>
            <c:numRef>
              <c:f>[Book1]Sheet1!$D$23:$D$27</c:f>
              <c:numCache>
                <c:formatCode>General</c:formatCode>
                <c:ptCount val="5"/>
                <c:pt idx="0">
                  <c:v>88240</c:v>
                </c:pt>
                <c:pt idx="1">
                  <c:v>40294</c:v>
                </c:pt>
                <c:pt idx="2">
                  <c:v>156000</c:v>
                </c:pt>
                <c:pt idx="3">
                  <c:v>138424</c:v>
                </c:pt>
                <c:pt idx="4">
                  <c:v>105739.5</c:v>
                </c:pt>
              </c:numCache>
            </c:numRef>
          </c:val>
          <c:extLst>
            <c:ext xmlns:c16="http://schemas.microsoft.com/office/drawing/2014/chart" uri="{C3380CC4-5D6E-409C-BE32-E72D297353CC}">
              <c16:uniqueId val="{00000001-0996-45E5-9596-FD5B2EC7B0C6}"/>
            </c:ext>
          </c:extLst>
        </c:ser>
        <c:ser>
          <c:idx val="2"/>
          <c:order val="2"/>
          <c:tx>
            <c:strRef>
              <c:f>[Book1]Sheet1!$E$22</c:f>
              <c:strCache>
                <c:ptCount val="1"/>
                <c:pt idx="0">
                  <c:v>Operational Impacts</c:v>
                </c:pt>
              </c:strCache>
            </c:strRef>
          </c:tx>
          <c:invertIfNegative val="0"/>
          <c:cat>
            <c:strRef>
              <c:f>[Book1]Sheet1!$B$23:$B$27</c:f>
              <c:strCache>
                <c:ptCount val="5"/>
                <c:pt idx="0">
                  <c:v>Brick/block</c:v>
                </c:pt>
                <c:pt idx="1">
                  <c:v>Timber</c:v>
                </c:pt>
                <c:pt idx="2">
                  <c:v>Steel</c:v>
                </c:pt>
                <c:pt idx="3">
                  <c:v>Concrete (ICF)</c:v>
                </c:pt>
                <c:pt idx="4">
                  <c:v>AVERAGE</c:v>
                </c:pt>
              </c:strCache>
            </c:strRef>
          </c:cat>
          <c:val>
            <c:numRef>
              <c:f>[Book1]Sheet1!$E$23:$E$27</c:f>
              <c:numCache>
                <c:formatCode>General</c:formatCode>
                <c:ptCount val="5"/>
                <c:pt idx="0">
                  <c:v>4380000</c:v>
                </c:pt>
                <c:pt idx="1">
                  <c:v>4390000</c:v>
                </c:pt>
                <c:pt idx="2">
                  <c:v>4540000</c:v>
                </c:pt>
                <c:pt idx="3">
                  <c:v>4400000</c:v>
                </c:pt>
                <c:pt idx="4">
                  <c:v>4427500</c:v>
                </c:pt>
              </c:numCache>
            </c:numRef>
          </c:val>
          <c:extLst>
            <c:ext xmlns:c16="http://schemas.microsoft.com/office/drawing/2014/chart" uri="{C3380CC4-5D6E-409C-BE32-E72D297353CC}">
              <c16:uniqueId val="{00000002-0996-45E5-9596-FD5B2EC7B0C6}"/>
            </c:ext>
          </c:extLst>
        </c:ser>
        <c:ser>
          <c:idx val="3"/>
          <c:order val="3"/>
          <c:tx>
            <c:strRef>
              <c:f>[Book1]Sheet1!$F$22</c:f>
              <c:strCache>
                <c:ptCount val="1"/>
                <c:pt idx="0">
                  <c:v>End of life Impacts</c:v>
                </c:pt>
              </c:strCache>
            </c:strRef>
          </c:tx>
          <c:invertIfNegative val="0"/>
          <c:cat>
            <c:strRef>
              <c:f>[Book1]Sheet1!$B$23:$B$27</c:f>
              <c:strCache>
                <c:ptCount val="5"/>
                <c:pt idx="0">
                  <c:v>Brick/block</c:v>
                </c:pt>
                <c:pt idx="1">
                  <c:v>Timber</c:v>
                </c:pt>
                <c:pt idx="2">
                  <c:v>Steel</c:v>
                </c:pt>
                <c:pt idx="3">
                  <c:v>Concrete (ICF)</c:v>
                </c:pt>
                <c:pt idx="4">
                  <c:v>AVERAGE</c:v>
                </c:pt>
              </c:strCache>
            </c:strRef>
          </c:cat>
          <c:val>
            <c:numRef>
              <c:f>[Book1]Sheet1!$F$23:$F$27</c:f>
              <c:numCache>
                <c:formatCode>General</c:formatCode>
                <c:ptCount val="5"/>
                <c:pt idx="0">
                  <c:v>23200</c:v>
                </c:pt>
                <c:pt idx="1">
                  <c:v>6840</c:v>
                </c:pt>
                <c:pt idx="2">
                  <c:v>9760</c:v>
                </c:pt>
                <c:pt idx="3">
                  <c:v>50900</c:v>
                </c:pt>
                <c:pt idx="4">
                  <c:v>22675</c:v>
                </c:pt>
              </c:numCache>
            </c:numRef>
          </c:val>
          <c:extLst>
            <c:ext xmlns:c16="http://schemas.microsoft.com/office/drawing/2014/chart" uri="{C3380CC4-5D6E-409C-BE32-E72D297353CC}">
              <c16:uniqueId val="{00000003-0996-45E5-9596-FD5B2EC7B0C6}"/>
            </c:ext>
          </c:extLst>
        </c:ser>
        <c:dLbls>
          <c:showLegendKey val="0"/>
          <c:showVal val="0"/>
          <c:showCatName val="0"/>
          <c:showSerName val="0"/>
          <c:showPercent val="0"/>
          <c:showBubbleSize val="0"/>
        </c:dLbls>
        <c:gapWidth val="150"/>
        <c:shape val="cylinder"/>
        <c:axId val="-1013434960"/>
        <c:axId val="-1012503680"/>
        <c:axId val="0"/>
      </c:bar3DChart>
      <c:catAx>
        <c:axId val="-1013434960"/>
        <c:scaling>
          <c:orientation val="minMax"/>
        </c:scaling>
        <c:delete val="0"/>
        <c:axPos val="l"/>
        <c:numFmt formatCode="General" sourceLinked="0"/>
        <c:majorTickMark val="none"/>
        <c:minorTickMark val="none"/>
        <c:tickLblPos val="nextTo"/>
        <c:crossAx val="-1012503680"/>
        <c:crosses val="autoZero"/>
        <c:auto val="1"/>
        <c:lblAlgn val="ctr"/>
        <c:lblOffset val="100"/>
        <c:noMultiLvlLbl val="0"/>
      </c:catAx>
      <c:valAx>
        <c:axId val="-1012503680"/>
        <c:scaling>
          <c:orientation val="minMax"/>
        </c:scaling>
        <c:delete val="0"/>
        <c:axPos val="b"/>
        <c:majorGridlines/>
        <c:numFmt formatCode="General" sourceLinked="1"/>
        <c:majorTickMark val="none"/>
        <c:minorTickMark val="none"/>
        <c:tickLblPos val="nextTo"/>
        <c:crossAx val="-1013434960"/>
        <c:crosses val="autoZero"/>
        <c:crossBetween val="between"/>
      </c:valAx>
      <c:dTable>
        <c:showHorzBorder val="1"/>
        <c:showVertBorder val="1"/>
        <c:showOutline val="1"/>
        <c:showKeys val="1"/>
      </c:dTable>
    </c:plotArea>
    <c:plotVisOnly val="1"/>
    <c:dispBlanksAs val="gap"/>
    <c:showDLblsOverMax val="0"/>
  </c:chart>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bar"/>
        <c:grouping val="clustered"/>
        <c:varyColors val="0"/>
        <c:ser>
          <c:idx val="0"/>
          <c:order val="0"/>
          <c:tx>
            <c:strRef>
              <c:f>[Book1]Sheet1!$B$15</c:f>
              <c:strCache>
                <c:ptCount val="1"/>
                <c:pt idx="0">
                  <c:v>BREEAM</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[Book1]Sheet1!$C$14:$F$14</c:f>
              <c:strCache>
                <c:ptCount val="4"/>
                <c:pt idx="0">
                  <c:v>Embodied Impacts</c:v>
                </c:pt>
                <c:pt idx="1">
                  <c:v>Construction Impacts</c:v>
                </c:pt>
                <c:pt idx="2">
                  <c:v>Operational Impacts</c:v>
                </c:pt>
                <c:pt idx="3">
                  <c:v>End of life Impacts</c:v>
                </c:pt>
              </c:strCache>
            </c:strRef>
          </c:cat>
          <c:val>
            <c:numRef>
              <c:f>[Book1]Sheet1!$C$15:$F$15</c:f>
              <c:numCache>
                <c:formatCode>General</c:formatCode>
                <c:ptCount val="4"/>
                <c:pt idx="0">
                  <c:v>14.3</c:v>
                </c:pt>
                <c:pt idx="1">
                  <c:v>12.1</c:v>
                </c:pt>
                <c:pt idx="2">
                  <c:v>71.400000000000006</c:v>
                </c:pt>
                <c:pt idx="3">
                  <c:v>2.2000000000000002</c:v>
                </c:pt>
              </c:numCache>
            </c:numRef>
          </c:val>
          <c:extLst>
            <c:ext xmlns:c16="http://schemas.microsoft.com/office/drawing/2014/chart" uri="{C3380CC4-5D6E-409C-BE32-E72D297353CC}">
              <c16:uniqueId val="{00000000-9872-401F-B9DD-D6179ACEA585}"/>
            </c:ext>
          </c:extLst>
        </c:ser>
        <c:ser>
          <c:idx val="1"/>
          <c:order val="1"/>
          <c:tx>
            <c:strRef>
              <c:f>[Book1]Sheet1!$B$16</c:f>
              <c:strCache>
                <c:ptCount val="1"/>
                <c:pt idx="0">
                  <c:v>CfSH</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[Book1]Sheet1!$C$14:$F$14</c:f>
              <c:strCache>
                <c:ptCount val="4"/>
                <c:pt idx="0">
                  <c:v>Embodied Impacts</c:v>
                </c:pt>
                <c:pt idx="1">
                  <c:v>Construction Impacts</c:v>
                </c:pt>
                <c:pt idx="2">
                  <c:v>Operational Impacts</c:v>
                </c:pt>
                <c:pt idx="3">
                  <c:v>End of life Impacts</c:v>
                </c:pt>
              </c:strCache>
            </c:strRef>
          </c:cat>
          <c:val>
            <c:numRef>
              <c:f>[Book1]Sheet1!$C$16:$F$16</c:f>
              <c:numCache>
                <c:formatCode>General</c:formatCode>
                <c:ptCount val="4"/>
                <c:pt idx="0">
                  <c:v>34.6</c:v>
                </c:pt>
                <c:pt idx="1">
                  <c:v>11.1</c:v>
                </c:pt>
                <c:pt idx="2">
                  <c:v>54.3</c:v>
                </c:pt>
                <c:pt idx="3">
                  <c:v>0</c:v>
                </c:pt>
              </c:numCache>
            </c:numRef>
          </c:val>
          <c:extLst>
            <c:ext xmlns:c16="http://schemas.microsoft.com/office/drawing/2014/chart" uri="{C3380CC4-5D6E-409C-BE32-E72D297353CC}">
              <c16:uniqueId val="{00000001-9872-401F-B9DD-D6179ACEA585}"/>
            </c:ext>
          </c:extLst>
        </c:ser>
        <c:dLbls>
          <c:showLegendKey val="0"/>
          <c:showVal val="1"/>
          <c:showCatName val="0"/>
          <c:showSerName val="0"/>
          <c:showPercent val="0"/>
          <c:showBubbleSize val="0"/>
        </c:dLbls>
        <c:gapWidth val="150"/>
        <c:shape val="cylinder"/>
        <c:axId val="-1017370560"/>
        <c:axId val="-1011253952"/>
        <c:axId val="0"/>
      </c:bar3DChart>
      <c:catAx>
        <c:axId val="-1017370560"/>
        <c:scaling>
          <c:orientation val="minMax"/>
        </c:scaling>
        <c:delete val="0"/>
        <c:axPos val="l"/>
        <c:numFmt formatCode="General" sourceLinked="0"/>
        <c:majorTickMark val="none"/>
        <c:minorTickMark val="none"/>
        <c:tickLblPos val="nextTo"/>
        <c:crossAx val="-1011253952"/>
        <c:crosses val="autoZero"/>
        <c:auto val="1"/>
        <c:lblAlgn val="ctr"/>
        <c:lblOffset val="100"/>
        <c:noMultiLvlLbl val="0"/>
      </c:catAx>
      <c:valAx>
        <c:axId val="-1011253952"/>
        <c:scaling>
          <c:orientation val="minMax"/>
        </c:scaling>
        <c:delete val="1"/>
        <c:axPos val="b"/>
        <c:numFmt formatCode="General" sourceLinked="1"/>
        <c:majorTickMark val="none"/>
        <c:minorTickMark val="none"/>
        <c:tickLblPos val="nextTo"/>
        <c:crossAx val="-1017370560"/>
        <c:crosses val="autoZero"/>
        <c:crossBetween val="between"/>
      </c:valAx>
    </c:plotArea>
    <c:legend>
      <c:legendPos val="t"/>
      <c:overlay val="0"/>
    </c:legend>
    <c:plotVisOnly val="1"/>
    <c:dispBlanksAs val="gap"/>
    <c:showDLblsOverMax val="0"/>
  </c:chart>
  <c:txPr>
    <a:bodyPr/>
    <a:lstStyle/>
    <a:p>
      <a:pPr>
        <a:defRPr sz="1200">
          <a:latin typeface="Candara" panose="020E0502030303020204" pitchFamily="34" charset="0"/>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[Book1]Sheet1!$B$15</c:f>
              <c:strCache>
                <c:ptCount val="1"/>
                <c:pt idx="0">
                  <c:v>BREEAM</c:v>
                </c:pt>
              </c:strCache>
            </c:strRef>
          </c:tx>
          <c:invertIfNegative val="0"/>
          <c:cat>
            <c:strRef>
              <c:f>[Book1]Sheet1!$C$14:$F$14</c:f>
              <c:strCache>
                <c:ptCount val="4"/>
                <c:pt idx="0">
                  <c:v>Embodied Impacts</c:v>
                </c:pt>
                <c:pt idx="1">
                  <c:v>Construction Impacts</c:v>
                </c:pt>
                <c:pt idx="2">
                  <c:v>Operational Impacts</c:v>
                </c:pt>
                <c:pt idx="3">
                  <c:v>End of life Impacts</c:v>
                </c:pt>
              </c:strCache>
            </c:strRef>
          </c:cat>
          <c:val>
            <c:numRef>
              <c:f>[Book1]Sheet1!$C$15:$F$15</c:f>
              <c:numCache>
                <c:formatCode>General</c:formatCode>
                <c:ptCount val="4"/>
                <c:pt idx="0">
                  <c:v>14.3</c:v>
                </c:pt>
                <c:pt idx="1">
                  <c:v>12.1</c:v>
                </c:pt>
                <c:pt idx="2">
                  <c:v>71.400000000000006</c:v>
                </c:pt>
                <c:pt idx="3">
                  <c:v>2.2000000000000002</c:v>
                </c:pt>
              </c:numCache>
            </c:numRef>
          </c:val>
          <c:extLst>
            <c:ext xmlns:c16="http://schemas.microsoft.com/office/drawing/2014/chart" uri="{C3380CC4-5D6E-409C-BE32-E72D297353CC}">
              <c16:uniqueId val="{00000000-A9D4-44B3-A179-F4550888DFF7}"/>
            </c:ext>
          </c:extLst>
        </c:ser>
        <c:ser>
          <c:idx val="1"/>
          <c:order val="1"/>
          <c:tx>
            <c:strRef>
              <c:f>[Book1]Sheet1!$B$16</c:f>
              <c:strCache>
                <c:ptCount val="1"/>
                <c:pt idx="0">
                  <c:v>CfSH</c:v>
                </c:pt>
              </c:strCache>
            </c:strRef>
          </c:tx>
          <c:invertIfNegative val="0"/>
          <c:cat>
            <c:strRef>
              <c:f>[Book1]Sheet1!$C$14:$F$14</c:f>
              <c:strCache>
                <c:ptCount val="4"/>
                <c:pt idx="0">
                  <c:v>Embodied Impacts</c:v>
                </c:pt>
                <c:pt idx="1">
                  <c:v>Construction Impacts</c:v>
                </c:pt>
                <c:pt idx="2">
                  <c:v>Operational Impacts</c:v>
                </c:pt>
                <c:pt idx="3">
                  <c:v>End of life Impacts</c:v>
                </c:pt>
              </c:strCache>
            </c:strRef>
          </c:cat>
          <c:val>
            <c:numRef>
              <c:f>[Book1]Sheet1!$C$16:$F$16</c:f>
              <c:numCache>
                <c:formatCode>General</c:formatCode>
                <c:ptCount val="4"/>
                <c:pt idx="0">
                  <c:v>34.6</c:v>
                </c:pt>
                <c:pt idx="1">
                  <c:v>11.1</c:v>
                </c:pt>
                <c:pt idx="2">
                  <c:v>54.3</c:v>
                </c:pt>
                <c:pt idx="3">
                  <c:v>0</c:v>
                </c:pt>
              </c:numCache>
            </c:numRef>
          </c:val>
          <c:extLst>
            <c:ext xmlns:c16="http://schemas.microsoft.com/office/drawing/2014/chart" uri="{C3380CC4-5D6E-409C-BE32-E72D297353CC}">
              <c16:uniqueId val="{00000001-A9D4-44B3-A179-F4550888DFF7}"/>
            </c:ext>
          </c:extLst>
        </c:ser>
        <c:ser>
          <c:idx val="2"/>
          <c:order val="2"/>
          <c:tx>
            <c:strRef>
              <c:f>[Book1]Sheet1!$B$17</c:f>
              <c:strCache>
                <c:ptCount val="1"/>
                <c:pt idx="0">
                  <c:v>Average Impacts per stage</c:v>
                </c:pt>
              </c:strCache>
            </c:strRef>
          </c:tx>
          <c:invertIfNegative val="0"/>
          <c:cat>
            <c:strRef>
              <c:f>[Book1]Sheet1!$C$14:$F$14</c:f>
              <c:strCache>
                <c:ptCount val="4"/>
                <c:pt idx="0">
                  <c:v>Embodied Impacts</c:v>
                </c:pt>
                <c:pt idx="1">
                  <c:v>Construction Impacts</c:v>
                </c:pt>
                <c:pt idx="2">
                  <c:v>Operational Impacts</c:v>
                </c:pt>
                <c:pt idx="3">
                  <c:v>End of life Impacts</c:v>
                </c:pt>
              </c:strCache>
            </c:strRef>
          </c:cat>
          <c:val>
            <c:numRef>
              <c:f>[Book1]Sheet1!$C$17:$F$17</c:f>
              <c:numCache>
                <c:formatCode>General</c:formatCode>
                <c:ptCount val="4"/>
                <c:pt idx="0">
                  <c:v>24.2</c:v>
                </c:pt>
                <c:pt idx="1">
                  <c:v>1.8</c:v>
                </c:pt>
                <c:pt idx="2">
                  <c:v>73.7</c:v>
                </c:pt>
                <c:pt idx="3">
                  <c:v>0.3</c:v>
                </c:pt>
              </c:numCache>
            </c:numRef>
          </c:val>
          <c:extLst>
            <c:ext xmlns:c16="http://schemas.microsoft.com/office/drawing/2014/chart" uri="{C3380CC4-5D6E-409C-BE32-E72D297353CC}">
              <c16:uniqueId val="{00000002-A9D4-44B3-A179-F4550888DFF7}"/>
            </c:ext>
          </c:extLst>
        </c:ser>
        <c:dLbls>
          <c:showLegendKey val="0"/>
          <c:showVal val="0"/>
          <c:showCatName val="0"/>
          <c:showSerName val="0"/>
          <c:showPercent val="0"/>
          <c:showBubbleSize val="0"/>
        </c:dLbls>
        <c:gapWidth val="150"/>
        <c:shape val="cylinder"/>
        <c:axId val="-1011229680"/>
        <c:axId val="-1012649536"/>
        <c:axId val="0"/>
      </c:bar3DChart>
      <c:catAx>
        <c:axId val="-1011229680"/>
        <c:scaling>
          <c:orientation val="minMax"/>
        </c:scaling>
        <c:delete val="0"/>
        <c:axPos val="b"/>
        <c:numFmt formatCode="General" sourceLinked="0"/>
        <c:majorTickMark val="none"/>
        <c:minorTickMark val="none"/>
        <c:tickLblPos val="nextTo"/>
        <c:crossAx val="-1012649536"/>
        <c:crosses val="autoZero"/>
        <c:auto val="1"/>
        <c:lblAlgn val="ctr"/>
        <c:lblOffset val="100"/>
        <c:noMultiLvlLbl val="0"/>
      </c:catAx>
      <c:valAx>
        <c:axId val="-1012649536"/>
        <c:scaling>
          <c:orientation val="minMax"/>
        </c:scaling>
        <c:delete val="0"/>
        <c:axPos val="l"/>
        <c:majorGridlines/>
        <c:numFmt formatCode="General" sourceLinked="1"/>
        <c:majorTickMark val="none"/>
        <c:minorTickMark val="none"/>
        <c:tickLblPos val="nextTo"/>
        <c:crossAx val="-1011229680"/>
        <c:crosses val="autoZero"/>
        <c:crossBetween val="between"/>
      </c:valAx>
      <c:dTable>
        <c:showHorzBorder val="1"/>
        <c:showVertBorder val="1"/>
        <c:showOutline val="1"/>
        <c:showKeys val="1"/>
      </c:dTable>
    </c:plotArea>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146FC4-0A08-4B41-B8E9-F57FFD499F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6076</Words>
  <Characters>34636</Characters>
  <Application>Microsoft Office Word</Application>
  <DocSecurity>0</DocSecurity>
  <Lines>288</Lines>
  <Paragraphs>81</Paragraphs>
  <ScaleCrop>false</ScaleCrop>
  <HeadingPairs>
    <vt:vector size="2" baseType="variant">
      <vt:variant>
        <vt:lpstr>Title</vt:lpstr>
      </vt:variant>
      <vt:variant>
        <vt:i4>1</vt:i4>
      </vt:variant>
    </vt:vector>
  </HeadingPairs>
  <TitlesOfParts>
    <vt:vector size="1" baseType="lpstr">
      <vt:lpstr/>
    </vt:vector>
  </TitlesOfParts>
  <Company>Leeds Beckett University</Company>
  <LinksUpToDate>false</LinksUpToDate>
  <CharactersWithSpaces>40631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Ajayi, Saheed</dc:creator>
  <cp:keywords/>
  <dc:description/>
  <cp:lastModifiedBy>Olugbenga Akinade</cp:lastModifiedBy>
  <cp:revision>2</cp:revision>
  <dcterms:created xsi:type="dcterms:W3CDTF">2019-02-06T09:14:00Z</dcterms:created>
  <dcterms:modified xsi:type="dcterms:W3CDTF">2019-02-06T09:14:00Z</dcterms:modified>
</cp:coreProperties>
</file>