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36" w:rsidRPr="000E530A" w:rsidRDefault="00D51736" w:rsidP="00D51736">
      <w:pPr>
        <w:spacing w:line="480" w:lineRule="auto"/>
        <w:jc w:val="center"/>
        <w:rPr>
          <w:b/>
          <w:sz w:val="32"/>
        </w:rPr>
      </w:pPr>
      <w:r w:rsidRPr="000E530A">
        <w:rPr>
          <w:b/>
          <w:sz w:val="32"/>
        </w:rPr>
        <w:t>Comparing the Usability of Paediatric Weight Estimation Methods</w:t>
      </w:r>
      <w:r>
        <w:rPr>
          <w:b/>
          <w:sz w:val="32"/>
        </w:rPr>
        <w:t>: a Simulation Study</w:t>
      </w:r>
    </w:p>
    <w:p w:rsidR="00D51736" w:rsidRDefault="00D51736" w:rsidP="00D51736">
      <w:pPr>
        <w:spacing w:line="480" w:lineRule="auto"/>
        <w:jc w:val="center"/>
      </w:pPr>
      <w:r>
        <w:t>Dr Robin D Marlow</w:t>
      </w:r>
      <w:r w:rsidRPr="000E530A">
        <w:rPr>
          <w:vertAlign w:val="superscript"/>
        </w:rPr>
        <w:t>1</w:t>
      </w:r>
      <w:proofErr w:type="gramStart"/>
      <w:r w:rsidRPr="000E530A">
        <w:rPr>
          <w:vertAlign w:val="superscript"/>
        </w:rPr>
        <w:t>,2</w:t>
      </w:r>
      <w:proofErr w:type="gramEnd"/>
      <w:r>
        <w:t>, Dr Dora L B Wood</w:t>
      </w:r>
      <w:r w:rsidRPr="000E530A">
        <w:rPr>
          <w:vertAlign w:val="superscript"/>
        </w:rPr>
        <w:t>3</w:t>
      </w:r>
      <w:r>
        <w:t>, Dr Mark D Lyttle</w:t>
      </w:r>
      <w:r w:rsidRPr="000E530A">
        <w:rPr>
          <w:vertAlign w:val="superscript"/>
        </w:rPr>
        <w:t>4</w:t>
      </w:r>
      <w:r>
        <w:rPr>
          <w:vertAlign w:val="superscript"/>
        </w:rPr>
        <w:t>,5</w:t>
      </w:r>
    </w:p>
    <w:p w:rsidR="00D51736" w:rsidRDefault="00D51736" w:rsidP="00D51736">
      <w:pPr>
        <w:pStyle w:val="ListParagraph"/>
        <w:numPr>
          <w:ilvl w:val="0"/>
          <w:numId w:val="3"/>
        </w:numPr>
        <w:spacing w:line="480" w:lineRule="auto"/>
      </w:pPr>
      <w:r>
        <w:t xml:space="preserve">Academic clinical lecturer in Paediatric Emergency Medicine, </w:t>
      </w:r>
      <w:r>
        <w:br/>
        <w:t>Faculty of Health Sciences, University of Bristol.</w:t>
      </w:r>
    </w:p>
    <w:p w:rsidR="00D51736" w:rsidRDefault="00D51736" w:rsidP="00D51736">
      <w:pPr>
        <w:pStyle w:val="ListParagraph"/>
        <w:numPr>
          <w:ilvl w:val="0"/>
          <w:numId w:val="3"/>
        </w:numPr>
        <w:spacing w:line="480" w:lineRule="auto"/>
      </w:pPr>
      <w:r>
        <w:t xml:space="preserve">Registrar in Paediatric Emergency Medicine,  </w:t>
      </w:r>
      <w:r>
        <w:br/>
        <w:t>Bristol Royal Children’s Hospital, Upper Maudlin Street,  Bristol, BS2 8AE</w:t>
      </w:r>
    </w:p>
    <w:p w:rsidR="00D51736" w:rsidRDefault="00D51736" w:rsidP="00D51736">
      <w:pPr>
        <w:pStyle w:val="ListParagraph"/>
        <w:numPr>
          <w:ilvl w:val="0"/>
          <w:numId w:val="3"/>
        </w:numPr>
        <w:spacing w:line="480" w:lineRule="auto"/>
      </w:pPr>
      <w:r>
        <w:t>Consultant in Paediatric Intensive Care,</w:t>
      </w:r>
      <w:r>
        <w:br/>
        <w:t>Bristol Royal Children’s Hospital, Upper Maudlin Street,  Bristol, BS2 8AE</w:t>
      </w:r>
    </w:p>
    <w:p w:rsidR="00D51736" w:rsidRDefault="00D51736" w:rsidP="00D51736">
      <w:pPr>
        <w:pStyle w:val="ListParagraph"/>
        <w:numPr>
          <w:ilvl w:val="0"/>
          <w:numId w:val="3"/>
        </w:numPr>
        <w:spacing w:line="480" w:lineRule="auto"/>
      </w:pPr>
      <w:r>
        <w:t xml:space="preserve">Consultant in Paediatric Emergency Medicine,  </w:t>
      </w:r>
      <w:r>
        <w:br/>
        <w:t>Bristol Royal Children’s Hospital, Upper Maudlin Street,  Bristol, BS2 8AE</w:t>
      </w:r>
    </w:p>
    <w:p w:rsidR="00D51736" w:rsidRDefault="00D51736" w:rsidP="00D51736">
      <w:pPr>
        <w:pStyle w:val="ListParagraph"/>
        <w:numPr>
          <w:ilvl w:val="0"/>
          <w:numId w:val="3"/>
        </w:numPr>
        <w:spacing w:line="480" w:lineRule="auto"/>
      </w:pPr>
      <w:r>
        <w:t>Senior Research Fellow, Faculty of Health and Applied Sciences, University of the West of England, Bristol</w:t>
      </w:r>
    </w:p>
    <w:p w:rsidR="00D51736" w:rsidRDefault="00D51736" w:rsidP="00D51736">
      <w:pPr>
        <w:spacing w:line="480" w:lineRule="auto"/>
      </w:pPr>
      <w:r w:rsidRPr="000E530A">
        <w:rPr>
          <w:b/>
          <w:sz w:val="28"/>
        </w:rPr>
        <w:t>Corresponding Author</w:t>
      </w:r>
      <w:proofErr w:type="gramStart"/>
      <w:r>
        <w:t>:</w:t>
      </w:r>
      <w:proofErr w:type="gramEnd"/>
      <w:r>
        <w:br/>
        <w:t>Dr Robin Marlow, Bristol Royal Children’s Hospital, Upper Maudlin Street,  Bristol, BS2 8AE</w:t>
      </w:r>
      <w:r>
        <w:br/>
      </w:r>
      <w:hyperlink r:id="rId9" w:history="1">
        <w:r w:rsidRPr="001A748E">
          <w:rPr>
            <w:rStyle w:val="Hyperlink"/>
          </w:rPr>
          <w:t>robin.marlow@bristol.ac.uk</w:t>
        </w:r>
      </w:hyperlink>
      <w:r>
        <w:t xml:space="preserve"> 07989348023</w:t>
      </w:r>
    </w:p>
    <w:p w:rsidR="00D51736" w:rsidRDefault="00D51736" w:rsidP="00D51736">
      <w:pPr>
        <w:spacing w:line="480" w:lineRule="auto"/>
      </w:pPr>
      <w:r w:rsidRPr="000E530A">
        <w:rPr>
          <w:b/>
          <w:sz w:val="28"/>
        </w:rPr>
        <w:t>Manuscript word count</w:t>
      </w:r>
      <w:r w:rsidR="003870B0">
        <w:t>:  13</w:t>
      </w:r>
      <w:r w:rsidR="0086525F">
        <w:t>98</w:t>
      </w:r>
      <w:bookmarkStart w:id="0" w:name="_GoBack"/>
      <w:bookmarkEnd w:id="0"/>
    </w:p>
    <w:p w:rsidR="00D51736" w:rsidRDefault="00D51736" w:rsidP="00D51736">
      <w:pPr>
        <w:spacing w:line="480" w:lineRule="auto"/>
      </w:pPr>
      <w:r w:rsidRPr="008147CF">
        <w:rPr>
          <w:b/>
          <w:sz w:val="28"/>
        </w:rPr>
        <w:t>Keywords:</w:t>
      </w:r>
      <w:r w:rsidRPr="008147CF">
        <w:rPr>
          <w:sz w:val="28"/>
        </w:rPr>
        <w:t xml:space="preserve"> </w:t>
      </w:r>
      <w:r>
        <w:t>weight estimation, paediatric, APLS, human factors, simulation</w:t>
      </w:r>
    </w:p>
    <w:p w:rsidR="00D51736" w:rsidRDefault="00D51736">
      <w:pPr>
        <w:spacing w:after="0" w:line="240" w:lineRule="auto"/>
        <w:rPr>
          <w:b/>
          <w:sz w:val="28"/>
        </w:rPr>
      </w:pPr>
      <w:r>
        <w:rPr>
          <w:b/>
          <w:sz w:val="28"/>
        </w:rPr>
        <w:br w:type="page"/>
      </w:r>
    </w:p>
    <w:p w:rsidR="00AF1526" w:rsidRDefault="00AF1526" w:rsidP="00D51736">
      <w:pPr>
        <w:spacing w:line="480" w:lineRule="auto"/>
      </w:pPr>
      <w:r w:rsidRPr="000E530A">
        <w:rPr>
          <w:b/>
          <w:sz w:val="28"/>
        </w:rPr>
        <w:lastRenderedPageBreak/>
        <w:t>Abstract</w:t>
      </w:r>
    </w:p>
    <w:p w:rsidR="009947B4" w:rsidRDefault="00FA311B" w:rsidP="00D51736">
      <w:pPr>
        <w:spacing w:line="480" w:lineRule="auto"/>
      </w:pPr>
      <w:r>
        <w:rPr>
          <w:b/>
        </w:rPr>
        <w:t>Objective</w:t>
      </w:r>
      <w:r w:rsidR="009947B4" w:rsidRPr="009947B4">
        <w:rPr>
          <w:b/>
        </w:rPr>
        <w:t>:</w:t>
      </w:r>
      <w:r w:rsidR="009947B4">
        <w:t xml:space="preserve">  </w:t>
      </w:r>
      <w:r w:rsidR="00FC14B4">
        <w:t xml:space="preserve">Estimating </w:t>
      </w:r>
      <w:r w:rsidR="007A37C2">
        <w:t xml:space="preserve">weight is </w:t>
      </w:r>
      <w:r w:rsidR="00FC14B4">
        <w:t xml:space="preserve">essential in order to </w:t>
      </w:r>
      <w:r w:rsidR="007A37C2">
        <w:t xml:space="preserve">prepare appropriate sized equipment and doses of resuscitation drugs </w:t>
      </w:r>
      <w:r w:rsidR="00FC14B4">
        <w:t xml:space="preserve">in cases where children are </w:t>
      </w:r>
      <w:r w:rsidR="007A37C2">
        <w:t xml:space="preserve">critically ill </w:t>
      </w:r>
      <w:r w:rsidR="00FC14B4">
        <w:t>or injured</w:t>
      </w:r>
      <w:r w:rsidR="007A37C2">
        <w:t>.</w:t>
      </w:r>
      <w:r w:rsidR="009947B4">
        <w:t xml:space="preserve">  Many methods exist with varying degrees of complexity and accuracy.  </w:t>
      </w:r>
      <w:r w:rsidR="00C223DF">
        <w:t>The most recent version of</w:t>
      </w:r>
      <w:r w:rsidR="008068C9">
        <w:t xml:space="preserve"> </w:t>
      </w:r>
      <w:r w:rsidR="00C223DF">
        <w:t xml:space="preserve">the </w:t>
      </w:r>
      <w:r w:rsidR="008068C9">
        <w:t>Advanced Paediatric Life Support</w:t>
      </w:r>
      <w:r w:rsidR="008147CF">
        <w:t xml:space="preserve"> (APLS)</w:t>
      </w:r>
      <w:r w:rsidR="008068C9">
        <w:t xml:space="preserve"> </w:t>
      </w:r>
      <w:r w:rsidR="00C223DF">
        <w:t xml:space="preserve">course </w:t>
      </w:r>
      <w:r w:rsidR="008F7544">
        <w:t xml:space="preserve">has </w:t>
      </w:r>
      <w:r w:rsidR="008068C9">
        <w:t>changed the</w:t>
      </w:r>
      <w:r w:rsidR="00735A2F">
        <w:t>ir</w:t>
      </w:r>
      <w:r w:rsidR="008068C9">
        <w:t xml:space="preserve"> </w:t>
      </w:r>
      <w:r w:rsidR="00735A2F">
        <w:t>teaching</w:t>
      </w:r>
      <w:r w:rsidR="008068C9">
        <w:t xml:space="preserve"> from an age based calculation method to the use of a reference table.</w:t>
      </w:r>
      <w:r>
        <w:t xml:space="preserve">  We aim</w:t>
      </w:r>
      <w:r w:rsidR="00C223DF">
        <w:t>ed</w:t>
      </w:r>
      <w:r>
        <w:t xml:space="preserve"> to evaluate the potential implications of this change.</w:t>
      </w:r>
    </w:p>
    <w:p w:rsidR="009947B4" w:rsidRDefault="009947B4" w:rsidP="00D51736">
      <w:pPr>
        <w:spacing w:line="480" w:lineRule="auto"/>
      </w:pPr>
      <w:r w:rsidRPr="009947B4">
        <w:rPr>
          <w:b/>
        </w:rPr>
        <w:t>Method:</w:t>
      </w:r>
      <w:r>
        <w:t xml:space="preserve"> </w:t>
      </w:r>
      <w:r w:rsidR="007505D1">
        <w:t>Using a bespoke online simulation platform w</w:t>
      </w:r>
      <w:r w:rsidR="00AF1520">
        <w:t xml:space="preserve">e </w:t>
      </w:r>
      <w:r w:rsidR="008F7544">
        <w:t xml:space="preserve">assessed the ability of acute paediatric staff </w:t>
      </w:r>
      <w:r w:rsidR="00623373">
        <w:t>to apply</w:t>
      </w:r>
      <w:r w:rsidR="008F7544">
        <w:t xml:space="preserve"> different methods of weight estimation.  C</w:t>
      </w:r>
      <w:r w:rsidR="00AF1520">
        <w:t>ompar</w:t>
      </w:r>
      <w:r w:rsidR="008F7544">
        <w:t>ing</w:t>
      </w:r>
      <w:r w:rsidR="00AF1520">
        <w:t xml:space="preserve"> the </w:t>
      </w:r>
      <w:r w:rsidR="00C0519C">
        <w:t xml:space="preserve">time taken, </w:t>
      </w:r>
      <w:r w:rsidR="00735A2F">
        <w:t xml:space="preserve">rate and </w:t>
      </w:r>
      <w:r w:rsidR="00DB38ED">
        <w:t>magnitude</w:t>
      </w:r>
      <w:r w:rsidR="00AF1520">
        <w:t xml:space="preserve"> of errors made using the APLS single and triple </w:t>
      </w:r>
      <w:r w:rsidR="00DB38ED">
        <w:t xml:space="preserve">age based </w:t>
      </w:r>
      <w:r w:rsidR="00AF1520">
        <w:t>formulae, Best Guess</w:t>
      </w:r>
      <w:r w:rsidR="00DB38ED">
        <w:t>,</w:t>
      </w:r>
      <w:r w:rsidR="00AF1520">
        <w:t xml:space="preserve"> and reference table methods</w:t>
      </w:r>
      <w:r w:rsidR="00FC0E1B">
        <w:t>.</w:t>
      </w:r>
      <w:r w:rsidR="00DB38ED">
        <w:t xml:space="preserve">  To add </w:t>
      </w:r>
      <w:r w:rsidR="008F7544">
        <w:t xml:space="preserve">urgency and </w:t>
      </w:r>
      <w:r w:rsidR="00DB38ED">
        <w:t xml:space="preserve">an element of cognitive stress, a time based competitive component was included. </w:t>
      </w:r>
    </w:p>
    <w:p w:rsidR="00AF1520" w:rsidRDefault="009947B4" w:rsidP="00D51736">
      <w:pPr>
        <w:spacing w:line="480" w:lineRule="auto"/>
      </w:pPr>
      <w:r w:rsidRPr="009947B4">
        <w:rPr>
          <w:b/>
        </w:rPr>
        <w:t>Results:</w:t>
      </w:r>
      <w:r>
        <w:t xml:space="preserve"> </w:t>
      </w:r>
      <w:r w:rsidR="00610329">
        <w:t>57</w:t>
      </w:r>
      <w:r w:rsidR="00AF1520">
        <w:t xml:space="preserve"> participants performed </w:t>
      </w:r>
      <w:r w:rsidR="00C0519C">
        <w:t xml:space="preserve">a total of </w:t>
      </w:r>
      <w:r w:rsidR="0033539A">
        <w:t>2240</w:t>
      </w:r>
      <w:r w:rsidR="00C0519C">
        <w:t xml:space="preserve"> estimates of weight.</w:t>
      </w:r>
      <w:r w:rsidR="00AF1520">
        <w:t xml:space="preserve"> </w:t>
      </w:r>
      <w:r w:rsidR="00C0519C">
        <w:t xml:space="preserve">The reference table was the fastest </w:t>
      </w:r>
      <w:r w:rsidR="007505D1">
        <w:t>(25</w:t>
      </w:r>
      <w:r w:rsidR="001203C5">
        <w:t>(22-28</w:t>
      </w:r>
      <w:r w:rsidR="001203C5" w:rsidRPr="00623373">
        <w:t>)</w:t>
      </w:r>
      <w:r w:rsidR="001203C5">
        <w:t xml:space="preserve"> </w:t>
      </w:r>
      <w:proofErr w:type="spellStart"/>
      <w:r w:rsidR="001203C5">
        <w:t>vs</w:t>
      </w:r>
      <w:proofErr w:type="spellEnd"/>
      <w:r w:rsidR="001203C5">
        <w:t xml:space="preserve"> 35(31-38) to 48(43-51) seconds)</w:t>
      </w:r>
      <w:r w:rsidR="001203C5" w:rsidDel="005365A8">
        <w:t xml:space="preserve"> </w:t>
      </w:r>
      <w:r w:rsidR="00371049">
        <w:t>and most preferred, but errors were made using all methods</w:t>
      </w:r>
      <w:r w:rsidR="00F0032B">
        <w:t>.  There was no signifi</w:t>
      </w:r>
      <w:r w:rsidR="00212234">
        <w:t xml:space="preserve">cant difference in the </w:t>
      </w:r>
      <w:r w:rsidR="00371049">
        <w:t>percentage</w:t>
      </w:r>
      <w:r w:rsidR="00212234">
        <w:t xml:space="preserve"> </w:t>
      </w:r>
      <w:r w:rsidR="00371049">
        <w:t>accuracy</w:t>
      </w:r>
      <w:r w:rsidR="00F0032B">
        <w:t xml:space="preserve"> between methods</w:t>
      </w:r>
      <w:r w:rsidR="00212234">
        <w:t xml:space="preserve"> </w:t>
      </w:r>
      <w:r w:rsidR="00371049">
        <w:t xml:space="preserve">(93-97%) but the magnitude of errors made were significantly smaller using the three APLS formulae </w:t>
      </w:r>
      <w:r w:rsidR="001203C5">
        <w:t>10%(6.5-21</w:t>
      </w:r>
      <w:r w:rsidR="001203C5" w:rsidRPr="00623373">
        <w:t>)</w:t>
      </w:r>
      <w:r w:rsidR="001203C5">
        <w:t xml:space="preserve"> </w:t>
      </w:r>
      <w:r w:rsidR="00371049">
        <w:t>compared</w:t>
      </w:r>
      <w:r w:rsidR="00212234">
        <w:t xml:space="preserve"> </w:t>
      </w:r>
      <w:r w:rsidR="00E727A3">
        <w:t>to reference</w:t>
      </w:r>
      <w:r w:rsidR="00371049">
        <w:t xml:space="preserve"> table </w:t>
      </w:r>
      <w:r w:rsidR="005365A8">
        <w:t>(</w:t>
      </w:r>
      <w:r w:rsidR="007505D1">
        <w:t>69%</w:t>
      </w:r>
      <w:r w:rsidR="001203C5">
        <w:t>(34</w:t>
      </w:r>
      <w:r w:rsidR="001203C5" w:rsidRPr="00623373">
        <w:t>-133)</w:t>
      </w:r>
      <w:r w:rsidR="005365A8">
        <w:t>)</w:t>
      </w:r>
      <w:r w:rsidR="0036429B">
        <w:t xml:space="preserve"> </w:t>
      </w:r>
      <w:r w:rsidR="00735A2F">
        <w:t xml:space="preserve">mainly </w:t>
      </w:r>
      <w:r w:rsidR="007505D1">
        <w:t>from</w:t>
      </w:r>
      <w:r w:rsidR="0036429B">
        <w:t xml:space="preserve"> month/year </w:t>
      </w:r>
      <w:r w:rsidR="00735A2F">
        <w:t xml:space="preserve">table </w:t>
      </w:r>
      <w:r w:rsidR="0036429B">
        <w:t>confusion</w:t>
      </w:r>
      <w:r w:rsidR="00371049">
        <w:t>.</w:t>
      </w:r>
    </w:p>
    <w:p w:rsidR="000E530A" w:rsidRDefault="009947B4" w:rsidP="00D51736">
      <w:pPr>
        <w:spacing w:line="480" w:lineRule="auto"/>
      </w:pPr>
      <w:r w:rsidRPr="009947B4">
        <w:rPr>
          <w:b/>
        </w:rPr>
        <w:t>Conclusion:</w:t>
      </w:r>
      <w:r>
        <w:t xml:space="preserve"> </w:t>
      </w:r>
      <w:r w:rsidR="00DB38ED">
        <w:t>In this exploratory study</w:t>
      </w:r>
      <w:r w:rsidR="008068C9">
        <w:t xml:space="preserve"> </w:t>
      </w:r>
      <w:r w:rsidR="007505D1">
        <w:t xml:space="preserve">under psychological stress </w:t>
      </w:r>
      <w:r w:rsidR="008068C9">
        <w:t>n</w:t>
      </w:r>
      <w:r w:rsidR="00AF1520">
        <w:t>one of the methods of weight estimation were free from error.</w:t>
      </w:r>
      <w:r w:rsidR="00C0519C">
        <w:t xml:space="preserve">  </w:t>
      </w:r>
      <w:r w:rsidR="005365A8">
        <w:t xml:space="preserve">Reference tables </w:t>
      </w:r>
      <w:r w:rsidR="004F72F6">
        <w:t>were the fastest method but also had the largest errors</w:t>
      </w:r>
      <w:r w:rsidR="007505D1">
        <w:t xml:space="preserve"> and </w:t>
      </w:r>
      <w:r w:rsidR="0033539A">
        <w:t>should</w:t>
      </w:r>
      <w:r>
        <w:t xml:space="preserve"> </w:t>
      </w:r>
      <w:r w:rsidR="00623373">
        <w:t>be designed to</w:t>
      </w:r>
      <w:r>
        <w:t xml:space="preserve"> minimise the risk of </w:t>
      </w:r>
      <w:r w:rsidR="007505D1">
        <w:t>picking</w:t>
      </w:r>
      <w:r>
        <w:t xml:space="preserve"> errors.</w:t>
      </w:r>
    </w:p>
    <w:p w:rsidR="00AF1526" w:rsidRPr="000B1BD7" w:rsidRDefault="00D053DA" w:rsidP="00D51736">
      <w:pPr>
        <w:spacing w:line="480" w:lineRule="auto"/>
        <w:rPr>
          <w:b/>
          <w:sz w:val="28"/>
        </w:rPr>
      </w:pPr>
      <w:r>
        <w:rPr>
          <w:b/>
          <w:sz w:val="28"/>
        </w:rPr>
        <w:br w:type="page"/>
      </w:r>
      <w:r w:rsidR="00D51736">
        <w:rPr>
          <w:b/>
          <w:sz w:val="28"/>
        </w:rPr>
        <w:lastRenderedPageBreak/>
        <w:t>INTRODUCTION</w:t>
      </w:r>
    </w:p>
    <w:p w:rsidR="00AF1526" w:rsidRDefault="00AF1526" w:rsidP="00D51736">
      <w:pPr>
        <w:spacing w:line="480" w:lineRule="auto"/>
      </w:pPr>
      <w:r>
        <w:t xml:space="preserve">In acutely ill </w:t>
      </w:r>
      <w:r w:rsidR="00DB38ED">
        <w:t xml:space="preserve">or injured </w:t>
      </w:r>
      <w:r>
        <w:t xml:space="preserve">children, </w:t>
      </w:r>
      <w:r w:rsidR="00DB38ED">
        <w:t xml:space="preserve">estimates of </w:t>
      </w:r>
      <w:r>
        <w:t xml:space="preserve">weight are often </w:t>
      </w:r>
      <w:r w:rsidR="00DB38ED">
        <w:t xml:space="preserve">used </w:t>
      </w:r>
      <w:r>
        <w:t>to calculate drug and fluid dosage</w:t>
      </w:r>
      <w:r w:rsidR="00DB38ED">
        <w:t>, and select appropriately sized equipment</w:t>
      </w:r>
      <w:r>
        <w:t xml:space="preserve">.  Many methods exist, attempting to </w:t>
      </w:r>
      <w:r w:rsidR="00DB38ED">
        <w:t xml:space="preserve">optimise the </w:t>
      </w:r>
      <w:r>
        <w:t xml:space="preserve">balance </w:t>
      </w:r>
      <w:r w:rsidR="00DB38ED">
        <w:t xml:space="preserve">between ease of use </w:t>
      </w:r>
      <w:r>
        <w:t>and accuracy.  The most accurate are based on physical measurements</w:t>
      </w:r>
      <w:r w:rsidR="00FC0E1B">
        <w:t xml:space="preserve"> such as length or mid-arm circumference</w:t>
      </w:r>
      <w:r>
        <w:t>,</w:t>
      </w:r>
      <w:r w:rsidR="00177D0B">
        <w:fldChar w:fldCharType="begin"/>
      </w:r>
      <w:r w:rsidR="00177D0B">
        <w:instrText xml:space="preserve"> ADDIN ZOTERO_ITEM CSL_CITATION {"citationID":"dAOrtWz9","properties":{"formattedCitation":"[1]","plainCitation":"[1]","noteIndex":0},"citationItems":[{"id":6833,"uris":["http://zotero.org/users/14208/items/R82UI6I6"],"uri":["http://zotero.org/users/14208/items/R82UI6I6"],"itemData":{"id":6833,"type":"article-journal","title":"The accuracy of emergency weight estimation systems in children-a systematic review and meta-analysis","container-title":"International Journal of Emergency Medicine","page":"29","volume":"10","issue":"1","source":"PubMed","abstract":"The safe and effective administration of fluids and medications during the management of medical emergencies in children depends on an appropriately determined dose, based on body weight. Weight can often not be measured in these circumstances and a convenient, quick and accurate method of weight estimation is required. Most methods in current use are not accurate enough, but the newer length-based, habitus-modified (two-dimensional) systems have shown significantly higher accuracy. This meta-analysis evaluated the accuracy of weight estimation systems in children. Articles were screened for inclusion into two study arms: to determine an appropriate accuracy target for weight estimation systems; and to evaluate the accuracy of existing systems using standard meta-analysis techniques. There was no evidence found to support any specific goal of accuracy. Based on the findings of this study, a proposed minimum accuracy of 70% of estimations within 10% of actual weight (PW10 &gt; 70%), and 95% within 20% of actual weight (PW20 &gt; 95%) should be demonstrated by a weight estimation system before being considered to be accurate. In the meta-analysis, the two-dimensional systems performed best. The Mercy method (PW10 70.9%, PW20 95.3%), the PAWPER tape (PW10 78.0%, PW20 96.6%) and parental estimates (PW10 69.8%, PW20 87.1%) were the most accurate systems investigated, with the Broselow tape (PW10 55.6%, PW20 81.2%) achieving a lesser accuracy. Age-based estimates achieved a very low accuracy. Age- and length-based systems had a substantial difference in over- and underestimation of weight in high-income and low- and middle-income populations. A benchmark for minimum accuracy is recommended for weight estimation studies and a PW10 &gt; 70% with PW20 &gt; 95% is suggested. The Mercy method, the PAWPER tape and parental estimates were the most accurate weight estimation systems followed by length-based and age-based systems. The use of age-based formulas should be abandoned because of their poor accuracy.","DOI":"10/gc93qp","ISSN":"1865-1372","note":"PMID: 28936627\nPMCID: PMC5608658","journalAbbreviation":"Int J Emerg Med","language":"eng","author":[{"family":"Wells","given":"Mike"},{"family":"Goldstein","given":"Lara Nicole"},{"family":"Bentley","given":"Alison"}],"issued":{"date-parts":[["2017",9,21]]}}}],"schema":"https://github.com/citation-style-language/schema/raw/master/csl-citation.json"} </w:instrText>
      </w:r>
      <w:r w:rsidR="00177D0B">
        <w:fldChar w:fldCharType="separate"/>
      </w:r>
      <w:r w:rsidR="00177D0B" w:rsidRPr="00177D0B">
        <w:rPr>
          <w:rFonts w:cs="Calibri"/>
        </w:rPr>
        <w:t>[1]</w:t>
      </w:r>
      <w:r w:rsidR="00177D0B">
        <w:fldChar w:fldCharType="end"/>
      </w:r>
      <w:r>
        <w:t xml:space="preserve"> but those commonly used in the UK are age-based</w:t>
      </w:r>
      <w:r w:rsidR="00DB38ED">
        <w:t>; these</w:t>
      </w:r>
      <w:r w:rsidR="00177D0B">
        <w:t xml:space="preserve"> </w:t>
      </w:r>
      <w:r w:rsidR="00DB38ED">
        <w:t>are particularly applicable in Emergency De</w:t>
      </w:r>
      <w:r w:rsidR="00735A2F">
        <w:t>partments as with an ambulance pre-alert they allow preparations to be</w:t>
      </w:r>
      <w:r w:rsidR="00DB38ED">
        <w:t xml:space="preserve"> made prior to the arrival of </w:t>
      </w:r>
      <w:r w:rsidR="00735A2F">
        <w:t xml:space="preserve">a </w:t>
      </w:r>
      <w:r w:rsidR="00DB38ED">
        <w:t>child</w:t>
      </w:r>
      <w:r>
        <w:t>.  In 2011, the Advanced Paediatric Life Support (APLS) recommendations changed from using a single formula to three.  However the UK Resuscitation Council maintain</w:t>
      </w:r>
      <w:r w:rsidR="001624CB">
        <w:t>ed</w:t>
      </w:r>
      <w:r>
        <w:t xml:space="preserve"> that complexity</w:t>
      </w:r>
      <w:r w:rsidRPr="00C56EB5">
        <w:t xml:space="preserve"> increase</w:t>
      </w:r>
      <w:r>
        <w:t>s risks of</w:t>
      </w:r>
      <w:r w:rsidRPr="00C56EB5">
        <w:t xml:space="preserve"> error</w:t>
      </w:r>
      <w:r>
        <w:t xml:space="preserve"> and advocate</w:t>
      </w:r>
      <w:r w:rsidR="001624CB">
        <w:t>d</w:t>
      </w:r>
      <w:r>
        <w:t xml:space="preserve"> the </w:t>
      </w:r>
      <w:r w:rsidR="009947B4">
        <w:t xml:space="preserve">use of a </w:t>
      </w:r>
      <w:r>
        <w:t>single formula.</w:t>
      </w:r>
      <w:r w:rsidR="00844B11">
        <w:fldChar w:fldCharType="begin"/>
      </w:r>
      <w:r w:rsidR="00177D0B">
        <w:instrText xml:space="preserve"> ADDIN ZOTERO_ITEM CSL_CITATION {"citationID":"qcn5yHA0","properties":{"formattedCitation":"[2]","plainCitation":"[2]","noteIndex":0},"citationItems":[{"id":2243,"uris":["http://zotero.org/users/14208/items/THS893BP"],"uri":["http://zotero.org/users/14208/items/THS893BP"],"itemData":{"id":2243,"type":"webpage","title":"FAQs Paediatric Life Support","URL":"https://www.resus.org.uk/faqs/faqs-paediatric-life-support/","accessed":{"date-parts":[["2017",10,11]]}}}],"schema":"https://github.com/citation-style-language/schema/raw/master/csl-citation.json"} </w:instrText>
      </w:r>
      <w:r w:rsidR="00844B11">
        <w:fldChar w:fldCharType="separate"/>
      </w:r>
      <w:r w:rsidR="00177D0B" w:rsidRPr="00177D0B">
        <w:rPr>
          <w:rFonts w:cs="Calibri"/>
        </w:rPr>
        <w:t>[2]</w:t>
      </w:r>
      <w:r w:rsidR="00844B11">
        <w:fldChar w:fldCharType="end"/>
      </w:r>
      <w:r>
        <w:t xml:space="preserve">  </w:t>
      </w:r>
      <w:r w:rsidR="001E17DA">
        <w:t>The most recent re</w:t>
      </w:r>
      <w:r w:rsidR="00A22F1E">
        <w:t xml:space="preserve">vision of </w:t>
      </w:r>
      <w:r w:rsidR="001624CB">
        <w:t xml:space="preserve">the </w:t>
      </w:r>
      <w:r w:rsidR="00A22F1E">
        <w:t xml:space="preserve">APLS handbook </w:t>
      </w:r>
      <w:r w:rsidR="007A37C2">
        <w:t>moves away from traditional calculation methods</w:t>
      </w:r>
      <w:r w:rsidR="001624CB">
        <w:t>,</w:t>
      </w:r>
      <w:r w:rsidR="007A37C2">
        <w:t xml:space="preserve"> </w:t>
      </w:r>
      <w:r w:rsidR="001624CB">
        <w:t>n</w:t>
      </w:r>
      <w:r w:rsidR="007A37C2">
        <w:t xml:space="preserve">ow </w:t>
      </w:r>
      <w:r w:rsidR="00735A2F">
        <w:t>advocating</w:t>
      </w:r>
      <w:r w:rsidR="000952C4">
        <w:t xml:space="preserve"> </w:t>
      </w:r>
      <w:r w:rsidR="001E17DA">
        <w:t>the use of a reference table.</w:t>
      </w:r>
      <w:r w:rsidR="00844B11">
        <w:fldChar w:fldCharType="begin"/>
      </w:r>
      <w:r w:rsidR="00177D0B">
        <w:instrText xml:space="preserve"> ADDIN ZOTERO_ITEM CSL_CITATION {"citationID":"F6aA7J8p","properties":{"formattedCitation":"[3]","plainCitation":"[3]","noteIndex":0},"citationItems":[{"id":55,"uris":["http://zotero.org/users/14208/items/GUWDV3Q3"],"uri":["http://zotero.org/users/14208/items/GUWDV3Q3"],"itemData":{"id":55,"type":"book","title":"Advanced paediatric life support: a practical approach","publisher":"John Wiley &amp; Sons, Ltd","publisher-place":"Chichester, West Sussex, UK; Hoboken, NJ, USA","edition":"Sixth edition","source":"Library of Congress ISBN","event-place":"Chichester, West Sussex, UK; Hoboken, NJ, USA","ISBN":"978-1-118-94764-7","call-number":"RJ370","shortTitle":"Advanced paediatric life support","editor":[{"family":"Samuels","given":"Martin"},{"family":"Wieteska","given":"Susan"}],"issued":{"date-parts":[["2016"]]}}}],"schema":"https://github.com/citation-style-language/schema/raw/master/csl-citation.json"} </w:instrText>
      </w:r>
      <w:r w:rsidR="00844B11">
        <w:fldChar w:fldCharType="separate"/>
      </w:r>
      <w:r w:rsidR="00177D0B" w:rsidRPr="00177D0B">
        <w:rPr>
          <w:rFonts w:cs="Calibri"/>
        </w:rPr>
        <w:t>[3]</w:t>
      </w:r>
      <w:r w:rsidR="00844B11">
        <w:fldChar w:fldCharType="end"/>
      </w:r>
      <w:r w:rsidR="001E17DA">
        <w:t xml:space="preserve">  However t</w:t>
      </w:r>
      <w:r>
        <w:t>o date no studies have assessed the crucial human factors affecting ease of use or rates of error</w:t>
      </w:r>
      <w:r w:rsidR="00FC0E1B">
        <w:t xml:space="preserve"> of these</w:t>
      </w:r>
      <w:r w:rsidR="007A37C2">
        <w:t xml:space="preserve"> </w:t>
      </w:r>
      <w:r w:rsidR="00FC0E1B">
        <w:t xml:space="preserve">different </w:t>
      </w:r>
      <w:r w:rsidR="007A37C2">
        <w:t>approach</w:t>
      </w:r>
      <w:r w:rsidR="00FC0E1B">
        <w:t>es</w:t>
      </w:r>
      <w:r>
        <w:t>.  This project aimed to pilot a technique for testing accuracy, speed and user preference (usability) of different methods.</w:t>
      </w:r>
    </w:p>
    <w:p w:rsidR="00AF1526" w:rsidRPr="000B1BD7" w:rsidRDefault="00D51736" w:rsidP="00D51736">
      <w:pPr>
        <w:spacing w:line="480" w:lineRule="auto"/>
        <w:rPr>
          <w:b/>
          <w:sz w:val="28"/>
        </w:rPr>
      </w:pPr>
      <w:r>
        <w:rPr>
          <w:b/>
          <w:sz w:val="28"/>
        </w:rPr>
        <w:t>METHODS</w:t>
      </w:r>
    </w:p>
    <w:p w:rsidR="00623373" w:rsidRDefault="00AF1526" w:rsidP="00D51736">
      <w:pPr>
        <w:spacing w:line="480" w:lineRule="auto"/>
      </w:pPr>
      <w:r>
        <w:t>We developed an interactive game website (</w:t>
      </w:r>
      <w:hyperlink r:id="rId10" w:history="1">
        <w:r w:rsidRPr="00877854">
          <w:rPr>
            <w:rStyle w:val="Hyperlink"/>
          </w:rPr>
          <w:t>www.pemresearch.org</w:t>
        </w:r>
      </w:hyperlink>
      <w:r>
        <w:t xml:space="preserve">) where participants </w:t>
      </w:r>
      <w:r w:rsidR="001624CB">
        <w:t xml:space="preserve">estimated weights using APLS </w:t>
      </w:r>
      <w:r w:rsidR="00701A03">
        <w:t xml:space="preserve">single and three </w:t>
      </w:r>
      <w:r w:rsidRPr="00167B54">
        <w:t>formula, Best guess</w:t>
      </w:r>
      <w:r w:rsidR="00C223DF">
        <w:rPr>
          <w:rFonts w:cs="Arial"/>
          <w:b/>
          <w:bCs/>
          <w:sz w:val="20"/>
          <w:szCs w:val="20"/>
        </w:rPr>
        <w:fldChar w:fldCharType="begin"/>
      </w:r>
      <w:r w:rsidR="00177D0B">
        <w:rPr>
          <w:rFonts w:cs="Arial"/>
          <w:b/>
          <w:bCs/>
          <w:sz w:val="20"/>
          <w:szCs w:val="20"/>
        </w:rPr>
        <w:instrText xml:space="preserve"> ADDIN ZOTERO_ITEM CSL_CITATION {"citationID":"EDWPsGEW","properties":{"formattedCitation":"[4]","plainCitation":"[4]","noteIndex":0},"citationItems":[{"id":230,"uris":["http://zotero.org/users/14208/items/3WTN5FCH"],"uri":["http://zotero.org/users/14208/items/3WTN5FCH"],"itemData":{"id":230,"type":"article-journal","title":"Best Guess method for age-based weight estimation in paediatric emergencies: Validation and comparison with current methods","container-title":"Emergency Medicine Australasia","page":"535-542","volume":"19","issue":"6","source":"Wiley InterScience","abstract":"Background:  During paediatric resuscitation, drug doses are calculated based upon weight. Age-based weight estimates are used when weighing children is impractical. The average weight of Australian children has increased, and widely used paediatric age-based formulae might underestimate weight. A modified age-based method for paediatric weight calculation, the 'Best Guess', has been described.Objective:   To validate the Best Guess formulae on a new population of paediatric emergency patients, and to compare the accuracy of this method with Advanced Paediatric Life Support (APLS) and Australian Resuscitation Council (ARC) formulae for age-based weight calculations.Methods:   A retrospective study was performed of Australasian Triage Scale (ATS) category 1 or 2 patients presenting to a tertiary paediatric ED over a 12 month period. Calculated weights using each method (APLS, ARC and Best Guess) were compared with true weights for infants (&amp;lt;1 year), preschool-aged (120134 years) and school-aged (5201314 years) children. Mean actual error and mean percentage error for each was calculated.Results:   A total of 1843 patient weights were included in the study. The Best Guess Infant formula accurately estimated weight (mean percentage error +4.2%). The Best Guess formulae more accurately estimated weight than both APLS and ARC formulae for both preschool-aged children (mean percentage error +2.6% vs221212.1% vs221212.1%) and school-aged children (mean percentage error +7.7% vs221219.9% vs221212.4%).Conclusion:   The Best Guess formulae is a valid method for age-based weight estimation in acutely unwell or injured children presenting to the ED and more accurately predicts mean weight than either APLS or ARC formulae.","DOI":"10.1111/j.1742-6723.2007.01031.x","shortTitle":"Best Guess method for age-based weight estimation in paediatric emergencies","author":[{"family":"Thompson","given":"Michelle T"},{"family":"Reading","given":"Michael J"},{"family":"Acworth","given":"Jason P"}],"issued":{"date-parts":[["2007"]]}}}],"schema":"https://github.com/citation-style-language/schema/raw/master/csl-citation.json"} </w:instrText>
      </w:r>
      <w:r w:rsidR="00C223DF">
        <w:rPr>
          <w:rFonts w:cs="Arial"/>
          <w:b/>
          <w:bCs/>
          <w:sz w:val="20"/>
          <w:szCs w:val="20"/>
        </w:rPr>
        <w:fldChar w:fldCharType="separate"/>
      </w:r>
      <w:r w:rsidR="00C223DF" w:rsidRPr="00C223DF">
        <w:rPr>
          <w:rFonts w:cs="Calibri"/>
          <w:sz w:val="20"/>
        </w:rPr>
        <w:t>[4]</w:t>
      </w:r>
      <w:r w:rsidR="00C223DF">
        <w:rPr>
          <w:rFonts w:cs="Arial"/>
          <w:b/>
          <w:bCs/>
          <w:sz w:val="20"/>
          <w:szCs w:val="20"/>
        </w:rPr>
        <w:fldChar w:fldCharType="end"/>
      </w:r>
      <w:r w:rsidR="001624CB">
        <w:t>,</w:t>
      </w:r>
      <w:r w:rsidRPr="00167B54">
        <w:t xml:space="preserve"> and reference table methods </w:t>
      </w:r>
      <w:r>
        <w:t>(table 1)</w:t>
      </w:r>
      <w:r w:rsidR="00722BE4">
        <w:t xml:space="preserve"> </w:t>
      </w:r>
      <w:r w:rsidRPr="00167B54">
        <w:t>to</w:t>
      </w:r>
      <w:r>
        <w:t xml:space="preserve"> a </w:t>
      </w:r>
      <w:r w:rsidR="00722BE4">
        <w:t xml:space="preserve">set </w:t>
      </w:r>
      <w:r>
        <w:t>range of ages.</w:t>
      </w:r>
      <w:r w:rsidR="00DF6B72">
        <w:t xml:space="preserve"> Questions were grouped by method </w:t>
      </w:r>
      <w:r w:rsidR="000A1529">
        <w:t xml:space="preserve">with </w:t>
      </w:r>
      <w:r w:rsidR="00DF6B72">
        <w:t>st</w:t>
      </w:r>
      <w:r w:rsidR="000A1529">
        <w:t>arting block and order of ages</w:t>
      </w:r>
      <w:r w:rsidR="00DF6B72">
        <w:t xml:space="preserve"> randomised for each attempt. </w:t>
      </w:r>
      <w:r w:rsidR="00722BE4">
        <w:t xml:space="preserve">All subjects answered the same </w:t>
      </w:r>
      <w:r w:rsidR="00F65153">
        <w:t xml:space="preserve">sets of </w:t>
      </w:r>
      <w:r w:rsidR="00722BE4">
        <w:t>questions</w:t>
      </w:r>
      <w:r w:rsidR="000952C4">
        <w:t xml:space="preserve"> </w:t>
      </w:r>
      <w:r w:rsidR="00172724">
        <w:t xml:space="preserve">estimating the weight of 6 months, 1, 5, 7, 10, 13 and 15 year olds; </w:t>
      </w:r>
      <w:r w:rsidR="000952C4">
        <w:t>with the</w:t>
      </w:r>
      <w:r w:rsidR="00F65153">
        <w:t xml:space="preserve"> relevant formulae/table of the method being tested visible for reference at the time</w:t>
      </w:r>
      <w:r w:rsidR="00722BE4">
        <w:t>.</w:t>
      </w:r>
      <w:r>
        <w:t xml:space="preserve">  </w:t>
      </w:r>
    </w:p>
    <w:p w:rsidR="00AF1526" w:rsidRDefault="00AF1526" w:rsidP="00D51736">
      <w:pPr>
        <w:spacing w:line="480" w:lineRule="auto"/>
      </w:pPr>
      <w:r>
        <w:t xml:space="preserve">To </w:t>
      </w:r>
      <w:r w:rsidR="001624CB">
        <w:t xml:space="preserve">replicate some of the human factors which may influence a </w:t>
      </w:r>
      <w:r>
        <w:t>resuscitation s</w:t>
      </w:r>
      <w:r w:rsidR="001624CB">
        <w:t xml:space="preserve">ituation, </w:t>
      </w:r>
      <w:r>
        <w:t xml:space="preserve">psychological stress was generated by a large visible running timer </w:t>
      </w:r>
      <w:r w:rsidR="001624CB">
        <w:t>– participants were made aware of</w:t>
      </w:r>
      <w:r>
        <w:t xml:space="preserve"> a leader</w:t>
      </w:r>
      <w:r w:rsidR="00DF6B72">
        <w:t>-</w:t>
      </w:r>
      <w:r>
        <w:t>board competition</w:t>
      </w:r>
      <w:r w:rsidR="00722BE4">
        <w:t xml:space="preserve"> </w:t>
      </w:r>
      <w:r w:rsidR="001624CB">
        <w:t>(which</w:t>
      </w:r>
      <w:r w:rsidR="00722BE4">
        <w:t xml:space="preserve"> </w:t>
      </w:r>
      <w:r w:rsidR="001624CB">
        <w:t xml:space="preserve">allowed </w:t>
      </w:r>
      <w:r w:rsidR="00722BE4">
        <w:t xml:space="preserve">repeated entries </w:t>
      </w:r>
      <w:r w:rsidR="00A73D4E">
        <w:t>and a prize i</w:t>
      </w:r>
      <w:r w:rsidR="00DF6B72">
        <w:t>ncentive</w:t>
      </w:r>
      <w:r w:rsidR="001624CB">
        <w:t>) prior to starting</w:t>
      </w:r>
      <w:r>
        <w:t xml:space="preserve">.  Nurses, </w:t>
      </w:r>
      <w:r>
        <w:lastRenderedPageBreak/>
        <w:t>medical students and doctors were recruited through word of mouth and social media.</w:t>
      </w:r>
      <w:r w:rsidR="00172753">
        <w:t xml:space="preserve">  Pre-test participants were asked their usual method of weight estimation and after the test which of the four </w:t>
      </w:r>
      <w:r w:rsidR="00172753" w:rsidRPr="006246B9">
        <w:rPr>
          <w:rFonts w:asciiTheme="minorHAnsi" w:hAnsiTheme="minorHAnsi" w:cstheme="minorHAnsi"/>
        </w:rPr>
        <w:t>methods they preferred.</w:t>
      </w:r>
      <w:r w:rsidRPr="006246B9">
        <w:rPr>
          <w:rFonts w:asciiTheme="minorHAnsi" w:hAnsiTheme="minorHAnsi" w:cstheme="minorHAnsi"/>
        </w:rPr>
        <w:t xml:space="preserve">   As the study was a maths quiz open to anyone to enter</w:t>
      </w:r>
      <w:r w:rsidR="000B1BD7" w:rsidRPr="006246B9">
        <w:rPr>
          <w:rFonts w:asciiTheme="minorHAnsi" w:hAnsiTheme="minorHAnsi" w:cstheme="minorHAnsi"/>
        </w:rPr>
        <w:t>,</w:t>
      </w:r>
      <w:r w:rsidRPr="006246B9">
        <w:rPr>
          <w:rFonts w:asciiTheme="minorHAnsi" w:hAnsiTheme="minorHAnsi" w:cstheme="minorHAnsi"/>
        </w:rPr>
        <w:t xml:space="preserve"> </w:t>
      </w:r>
      <w:r w:rsidR="006246B9" w:rsidRPr="006246B9">
        <w:rPr>
          <w:rFonts w:asciiTheme="minorHAnsi" w:hAnsiTheme="minorHAnsi" w:cstheme="minorHAnsi"/>
        </w:rPr>
        <w:t xml:space="preserve">following the Health Research Authority guidance </w:t>
      </w:r>
      <w:r w:rsidRPr="006246B9">
        <w:rPr>
          <w:rFonts w:asciiTheme="minorHAnsi" w:hAnsiTheme="minorHAnsi" w:cstheme="minorHAnsi"/>
        </w:rPr>
        <w:t xml:space="preserve">ethical approval was not </w:t>
      </w:r>
      <w:r w:rsidR="0036429B" w:rsidRPr="006246B9">
        <w:rPr>
          <w:rFonts w:asciiTheme="minorHAnsi" w:hAnsiTheme="minorHAnsi" w:cstheme="minorHAnsi"/>
        </w:rPr>
        <w:t>required</w:t>
      </w:r>
      <w:r w:rsidR="006246B9" w:rsidRPr="006246B9">
        <w:rPr>
          <w:rFonts w:asciiTheme="minorHAnsi" w:hAnsiTheme="minorHAnsi" w:cstheme="minorHAnsi"/>
        </w:rPr>
        <w:t xml:space="preserve"> and so was not sought</w:t>
      </w:r>
      <w:r w:rsidRPr="006246B9">
        <w:rPr>
          <w:rFonts w:asciiTheme="minorHAnsi" w:hAnsiTheme="minorHAnsi" w:cstheme="minorHAnsi"/>
        </w:rPr>
        <w:t>.</w:t>
      </w:r>
      <w:r w:rsidR="006246B9" w:rsidRPr="006246B9">
        <w:rPr>
          <w:rFonts w:asciiTheme="minorHAnsi" w:hAnsiTheme="minorHAnsi" w:cstheme="minorHAnsi"/>
        </w:rPr>
        <w:t xml:space="preserve">  </w:t>
      </w:r>
      <w:r w:rsidR="006246B9" w:rsidRPr="006246B9">
        <w:rPr>
          <w:rFonts w:asciiTheme="minorHAnsi" w:eastAsia="Times New Roman" w:hAnsiTheme="minorHAnsi" w:cstheme="minorHAnsi"/>
          <w:color w:val="222222"/>
          <w:lang w:eastAsia="en-GB"/>
        </w:rPr>
        <w:t>As a pilot study no power calculation was performed.</w:t>
      </w:r>
    </w:p>
    <w:p w:rsidR="000B1BD7" w:rsidRPr="001624CB" w:rsidRDefault="00AF1526" w:rsidP="00D51736">
      <w:pPr>
        <w:spacing w:line="480" w:lineRule="auto"/>
        <w:rPr>
          <w:i/>
        </w:rPr>
      </w:pPr>
      <w:r>
        <w:t xml:space="preserve">Inter-method variability of speed and accuracy were analysed </w:t>
      </w:r>
      <w:r w:rsidR="00AF7EB3">
        <w:t xml:space="preserve">for normally distributed data </w:t>
      </w:r>
      <w:r>
        <w:t xml:space="preserve">using one way </w:t>
      </w:r>
      <w:r w:rsidR="007C2B98">
        <w:t xml:space="preserve">repeated </w:t>
      </w:r>
      <w:proofErr w:type="gramStart"/>
      <w:r w:rsidR="007C2B98">
        <w:t>measures</w:t>
      </w:r>
      <w:proofErr w:type="gramEnd"/>
      <w:r w:rsidR="007C2B98">
        <w:t xml:space="preserve"> </w:t>
      </w:r>
      <w:r>
        <w:t xml:space="preserve">ANOVA </w:t>
      </w:r>
      <w:r w:rsidR="00AF7EB3">
        <w:t>with</w:t>
      </w:r>
      <w:r w:rsidR="007C2B98">
        <w:t xml:space="preserve"> post hoc </w:t>
      </w:r>
      <w:r>
        <w:t>pairwise t-tests</w:t>
      </w:r>
      <w:r w:rsidR="001624CB">
        <w:t>,</w:t>
      </w:r>
      <w:r w:rsidR="00A531D2">
        <w:t xml:space="preserve"> and </w:t>
      </w:r>
      <w:r w:rsidR="00AF7EB3">
        <w:t xml:space="preserve">for non-parametric data </w:t>
      </w:r>
      <w:r w:rsidR="001624CB">
        <w:t xml:space="preserve">we used </w:t>
      </w:r>
      <w:r w:rsidR="00A531D2">
        <w:t>K</w:t>
      </w:r>
      <w:r w:rsidR="00A531D2" w:rsidRPr="00A531D2">
        <w:t>ruskal</w:t>
      </w:r>
      <w:r w:rsidR="00A531D2">
        <w:t xml:space="preserve"> and Dunn tests</w:t>
      </w:r>
      <w:r>
        <w:t>.</w:t>
      </w:r>
      <w:r w:rsidR="00A531D2">
        <w:t xml:space="preserve">  P-values were adjusted for multiple testing using the Holm method.  </w:t>
      </w:r>
      <w:r w:rsidR="00D60AF6">
        <w:t>Analysis was done using R</w:t>
      </w:r>
      <w:r w:rsidR="00D51736">
        <w:t>.</w:t>
      </w:r>
      <w:r w:rsidR="00844B11">
        <w:fldChar w:fldCharType="begin"/>
      </w:r>
      <w:r w:rsidR="00177D0B">
        <w:instrText xml:space="preserve"> ADDIN ZOTERO_ITEM CSL_CITATION {"citationID":"9P2Rv7Tw","properties":{"formattedCitation":"[5]","plainCitation":"[5]","noteIndex":0},"citationItems":[{"id":974,"uris":["http://zotero.org/users/14208/items/2TBWRBFD"],"uri":["http://zotero.org/users/14208/items/2TBWRBFD"],"itemData":{"id":974,"type":"book","title":"R: A Language and Environment for Statistical Computing","publisher":"R Foundation for Statistical Computing","publisher-place":"Vienna, Austria","event-place":"Vienna, Austria","URL":"http://www.R-project.org/","author":[{"literal":"R Core Team"}],"issued":{"date-parts":[["2014"]]}}}],"schema":"https://github.com/citation-style-language/schema/raw/master/csl-citation.json"} </w:instrText>
      </w:r>
      <w:r w:rsidR="00844B11">
        <w:fldChar w:fldCharType="separate"/>
      </w:r>
      <w:r w:rsidR="00177D0B" w:rsidRPr="00177D0B">
        <w:rPr>
          <w:rFonts w:cs="Calibri"/>
        </w:rPr>
        <w:t>[5]</w:t>
      </w:r>
      <w:r w:rsidR="00844B11">
        <w:fldChar w:fldCharType="end"/>
      </w:r>
      <w:r w:rsidR="00172753">
        <w:t xml:space="preserve">  Comparing the responses to the expected answers </w:t>
      </w:r>
      <w:r w:rsidR="008D2713">
        <w:t xml:space="preserve">we </w:t>
      </w:r>
      <w:r w:rsidR="00FC0E1B">
        <w:t>categorised</w:t>
      </w:r>
      <w:r w:rsidR="008D2713">
        <w:t xml:space="preserve"> errors into simple </w:t>
      </w:r>
      <w:r w:rsidR="000B1BD7">
        <w:t>arithmetical</w:t>
      </w:r>
      <w:r w:rsidR="008D2713">
        <w:t>, data entry or month/year confusion.</w:t>
      </w:r>
      <w:r w:rsidR="0059563E">
        <w:t xml:space="preserve"> </w:t>
      </w:r>
      <w:r w:rsidR="00FF36BB">
        <w:t xml:space="preserve">Answers were considered an error if not equal to the result generated by the formulae/table for the current age being assessed and were analysed as rates, absolute and percentage difference from correct answer. </w:t>
      </w:r>
      <w:r w:rsidR="0059563E">
        <w:t>Errors more than ten times larger or smaller than the correct answer were deemed input errors and excluded from the accuracy analyses.</w:t>
      </w:r>
    </w:p>
    <w:p w:rsidR="00AF1526" w:rsidRPr="000B1BD7" w:rsidRDefault="00D053DA" w:rsidP="00D51736">
      <w:pPr>
        <w:spacing w:line="480" w:lineRule="auto"/>
        <w:rPr>
          <w:b/>
          <w:sz w:val="28"/>
        </w:rPr>
      </w:pPr>
      <w:r>
        <w:rPr>
          <w:b/>
          <w:sz w:val="28"/>
        </w:rPr>
        <w:br w:type="page"/>
      </w:r>
      <w:r w:rsidR="00D51736">
        <w:rPr>
          <w:b/>
          <w:sz w:val="28"/>
        </w:rPr>
        <w:lastRenderedPageBreak/>
        <w:t>RESULTS</w:t>
      </w:r>
    </w:p>
    <w:p w:rsidR="003149F8" w:rsidRDefault="0033539A" w:rsidP="00D51736">
      <w:pPr>
        <w:spacing w:line="480" w:lineRule="auto"/>
      </w:pPr>
      <w:r>
        <w:t>57</w:t>
      </w:r>
      <w:r w:rsidR="00AF1526">
        <w:t xml:space="preserve"> acute paedia</w:t>
      </w:r>
      <w:r w:rsidR="00375325">
        <w:t xml:space="preserve">tric staff </w:t>
      </w:r>
      <w:r w:rsidR="00255476">
        <w:t xml:space="preserve">(table 2) </w:t>
      </w:r>
      <w:r w:rsidR="00375325">
        <w:t>completed the test with a m</w:t>
      </w:r>
      <w:r>
        <w:t>edian of 1.4</w:t>
      </w:r>
      <w:r w:rsidR="0091301F">
        <w:t xml:space="preserve"> attempts each (</w:t>
      </w:r>
      <w:r w:rsidR="003F2211">
        <w:t xml:space="preserve">range </w:t>
      </w:r>
      <w:r w:rsidR="0091301F">
        <w:t>1-6</w:t>
      </w:r>
      <w:r w:rsidR="00134D80">
        <w:t xml:space="preserve">).  In practice </w:t>
      </w:r>
      <w:r w:rsidR="00AF1526">
        <w:t xml:space="preserve">71% </w:t>
      </w:r>
      <w:r w:rsidR="00A22F1E">
        <w:t xml:space="preserve">reported </w:t>
      </w:r>
      <w:r w:rsidR="003F2211">
        <w:t>routinely using</w:t>
      </w:r>
      <w:r w:rsidR="00AF1526">
        <w:t xml:space="preserve"> the single formula APLS method.  Post-test 69% reported </w:t>
      </w:r>
      <w:r w:rsidR="001624CB">
        <w:t xml:space="preserve">a </w:t>
      </w:r>
      <w:r w:rsidR="000A1529">
        <w:t>prefer</w:t>
      </w:r>
      <w:r w:rsidR="001624CB">
        <w:t>ence for</w:t>
      </w:r>
      <w:r w:rsidR="000A1529">
        <w:t xml:space="preserve"> the </w:t>
      </w:r>
      <w:r w:rsidR="00AF1526">
        <w:t>reference table method</w:t>
      </w:r>
      <w:r w:rsidR="001624CB">
        <w:t>,</w:t>
      </w:r>
      <w:r w:rsidR="00AF1526">
        <w:t xml:space="preserve"> </w:t>
      </w:r>
      <w:r w:rsidR="000A1529">
        <w:t xml:space="preserve">finding it </w:t>
      </w:r>
      <w:r w:rsidR="00AF1526">
        <w:t xml:space="preserve">easiest to use.  </w:t>
      </w:r>
    </w:p>
    <w:p w:rsidR="003149F8" w:rsidRDefault="008D2713" w:rsidP="00D51736">
      <w:pPr>
        <w:spacing w:line="480" w:lineRule="auto"/>
      </w:pPr>
      <w:r>
        <w:t xml:space="preserve">Comparing the </w:t>
      </w:r>
      <w:r w:rsidR="00AF7EB3">
        <w:t xml:space="preserve">total </w:t>
      </w:r>
      <w:r>
        <w:t>time taken to complet</w:t>
      </w:r>
      <w:r w:rsidR="000A1529">
        <w:t>e</w:t>
      </w:r>
      <w:r>
        <w:t xml:space="preserve"> the tests, </w:t>
      </w:r>
      <w:r w:rsidR="00AF7EB3">
        <w:t>the reference table method was</w:t>
      </w:r>
      <w:r w:rsidR="00AF1526">
        <w:t xml:space="preserve"> significantly quicker to use than othe</w:t>
      </w:r>
      <w:r w:rsidR="003F2211">
        <w:t>r methods (p&lt;0.001).</w:t>
      </w:r>
      <w:r>
        <w:t xml:space="preserve">  </w:t>
      </w:r>
      <w:r w:rsidR="000B1BD7">
        <w:t>(Ta</w:t>
      </w:r>
      <w:r w:rsidR="00255476">
        <w:t>ble 3</w:t>
      </w:r>
      <w:r w:rsidR="000B1BD7">
        <w:t xml:space="preserve">) </w:t>
      </w:r>
      <w:r w:rsidR="003F2211">
        <w:t xml:space="preserve">Comparing the </w:t>
      </w:r>
      <w:r w:rsidR="004F72F6">
        <w:t>accuracy of the methods</w:t>
      </w:r>
      <w:r>
        <w:t>,</w:t>
      </w:r>
      <w:r w:rsidR="003F2211">
        <w:t xml:space="preserve"> </w:t>
      </w:r>
      <w:r w:rsidR="000A1529">
        <w:t xml:space="preserve">there were </w:t>
      </w:r>
      <w:r w:rsidR="003F2211">
        <w:t xml:space="preserve">significantly </w:t>
      </w:r>
      <w:r w:rsidR="00AF7EB3">
        <w:t xml:space="preserve">more </w:t>
      </w:r>
      <w:r w:rsidR="004F72F6">
        <w:t xml:space="preserve">errors made </w:t>
      </w:r>
      <w:r w:rsidR="00F0032B">
        <w:t xml:space="preserve">using the single formula APLS compared to </w:t>
      </w:r>
      <w:r w:rsidR="0054656A">
        <w:t>using the reference table (p=0.002)</w:t>
      </w:r>
      <w:r w:rsidR="00F0032B">
        <w:t xml:space="preserve">.  However </w:t>
      </w:r>
      <w:r w:rsidR="003149F8">
        <w:t>most</w:t>
      </w:r>
      <w:r w:rsidR="00F0032B">
        <w:t xml:space="preserve"> errors </w:t>
      </w:r>
      <w:r w:rsidR="003149F8">
        <w:t xml:space="preserve">using the </w:t>
      </w:r>
      <w:r w:rsidR="00F0032B">
        <w:t xml:space="preserve">single </w:t>
      </w:r>
      <w:r w:rsidR="003149F8">
        <w:t xml:space="preserve">formula </w:t>
      </w:r>
      <w:r w:rsidR="00F0032B">
        <w:t xml:space="preserve">APLS </w:t>
      </w:r>
      <w:r w:rsidR="003149F8">
        <w:t xml:space="preserve">occurred </w:t>
      </w:r>
      <w:r w:rsidR="00F0032B">
        <w:t xml:space="preserve">when </w:t>
      </w:r>
      <w:r w:rsidR="003149F8">
        <w:t xml:space="preserve">it was </w:t>
      </w:r>
      <w:r w:rsidR="00F0032B">
        <w:t>applied to 6</w:t>
      </w:r>
      <w:r w:rsidR="003149F8">
        <w:t xml:space="preserve"> </w:t>
      </w:r>
      <w:r w:rsidR="00F0032B">
        <w:t>m</w:t>
      </w:r>
      <w:r w:rsidR="003149F8">
        <w:t>onth</w:t>
      </w:r>
      <w:r w:rsidR="00F0032B">
        <w:t xml:space="preserve"> olds</w:t>
      </w:r>
      <w:r w:rsidR="003149F8">
        <w:t xml:space="preserve">; as </w:t>
      </w:r>
      <w:r w:rsidR="00F0032B">
        <w:t>the formula is only recommended between the ages of 1-10</w:t>
      </w:r>
      <w:r w:rsidR="003149F8">
        <w:t xml:space="preserve"> </w:t>
      </w:r>
      <w:r w:rsidR="00F0032B">
        <w:t>y</w:t>
      </w:r>
      <w:r w:rsidR="003149F8">
        <w:t>ea</w:t>
      </w:r>
      <w:r w:rsidR="00F0032B">
        <w:t>rs</w:t>
      </w:r>
      <w:r w:rsidR="003149F8">
        <w:t xml:space="preserve"> we repeated the analysis e</w:t>
      </w:r>
      <w:r w:rsidR="00F0032B">
        <w:t>xcluding the 6</w:t>
      </w:r>
      <w:r w:rsidR="003149F8">
        <w:t xml:space="preserve"> </w:t>
      </w:r>
      <w:r w:rsidR="00F0032B">
        <w:t>m</w:t>
      </w:r>
      <w:r w:rsidR="003149F8">
        <w:t>onth</w:t>
      </w:r>
      <w:r w:rsidR="00F0032B">
        <w:t xml:space="preserve"> task</w:t>
      </w:r>
      <w:r w:rsidR="003149F8">
        <w:t xml:space="preserve">.  This demonstrated </w:t>
      </w:r>
      <w:r w:rsidR="00F0032B">
        <w:t>no significant difference in accuracy between the</w:t>
      </w:r>
      <w:r w:rsidR="003149F8">
        <w:t>se</w:t>
      </w:r>
      <w:r w:rsidR="00F0032B">
        <w:t xml:space="preserve"> methods</w:t>
      </w:r>
      <w:r w:rsidR="00255476">
        <w:t xml:space="preserve"> (Table 4</w:t>
      </w:r>
      <w:r w:rsidR="003149F8">
        <w:t>).</w:t>
      </w:r>
      <w:r w:rsidR="000A1529">
        <w:t xml:space="preserve"> </w:t>
      </w:r>
      <w:r w:rsidR="00BF521A">
        <w:rPr>
          <w:rFonts w:ascii="Arial" w:eastAsia="Times New Roman" w:hAnsi="Arial" w:cs="Arial"/>
          <w:color w:val="222222"/>
          <w:sz w:val="19"/>
          <w:szCs w:val="19"/>
          <w:shd w:val="clear" w:color="auto" w:fill="FFFFFF"/>
          <w:lang w:eastAsia="en-GB"/>
        </w:rPr>
        <w:t>Across the 2240 answers provided there were only 10 errors classified as input type.</w:t>
      </w:r>
    </w:p>
    <w:p w:rsidR="00290DB4" w:rsidRDefault="003149F8" w:rsidP="00D51736">
      <w:pPr>
        <w:spacing w:line="480" w:lineRule="auto"/>
        <w:contextualSpacing/>
      </w:pPr>
      <w:r>
        <w:t>T</w:t>
      </w:r>
      <w:r w:rsidR="003F2211">
        <w:t xml:space="preserve">he magnitude of errors made using the </w:t>
      </w:r>
      <w:r>
        <w:t xml:space="preserve">triple formulae </w:t>
      </w:r>
      <w:r w:rsidR="00A531D2">
        <w:t>APLS</w:t>
      </w:r>
      <w:r w:rsidR="003F2211">
        <w:t xml:space="preserve"> method was significantly </w:t>
      </w:r>
      <w:r w:rsidR="00A531D2">
        <w:t>less</w:t>
      </w:r>
      <w:r w:rsidR="008D2713">
        <w:t xml:space="preserve"> than the other methods</w:t>
      </w:r>
      <w:r w:rsidR="000A1529">
        <w:t xml:space="preserve"> </w:t>
      </w:r>
      <w:r w:rsidR="00A531D2">
        <w:t>(p=0.02,</w:t>
      </w:r>
      <w:r w:rsidR="00C223DF">
        <w:t xml:space="preserve"> </w:t>
      </w:r>
      <w:r w:rsidR="00A531D2">
        <w:t>0.02 0.05),</w:t>
      </w:r>
      <w:r>
        <w:t xml:space="preserve"> </w:t>
      </w:r>
      <w:r w:rsidR="000A1529">
        <w:t>with</w:t>
      </w:r>
      <w:r w:rsidR="00A531D2">
        <w:t xml:space="preserve"> a median percentage error of 10% of bodyweight compared to 22-65</w:t>
      </w:r>
      <w:r w:rsidR="000A1529">
        <w:t>% using other methods</w:t>
      </w:r>
      <w:r w:rsidR="000B1BD7">
        <w:t>.</w:t>
      </w:r>
      <w:r w:rsidR="00E6543E">
        <w:t xml:space="preserve">  </w:t>
      </w:r>
      <w:r w:rsidR="0033539A">
        <w:t xml:space="preserve">Whilst overall the table method </w:t>
      </w:r>
      <w:r w:rsidR="00172724">
        <w:t xml:space="preserve">had the lowest frequency of </w:t>
      </w:r>
      <w:r w:rsidR="00536AA8">
        <w:t>errors</w:t>
      </w:r>
      <w:r w:rsidR="0033539A">
        <w:t xml:space="preserve">, </w:t>
      </w:r>
      <w:r w:rsidR="00536AA8">
        <w:t>a proportion</w:t>
      </w:r>
      <w:r>
        <w:t xml:space="preserve"> </w:t>
      </w:r>
      <w:r w:rsidR="00536AA8">
        <w:t>of these were disproportionately large;</w:t>
      </w:r>
      <w:r w:rsidR="0033539A">
        <w:t xml:space="preserve"> </w:t>
      </w:r>
      <w:r>
        <w:t xml:space="preserve">mainly </w:t>
      </w:r>
      <w:r w:rsidR="0033539A">
        <w:t>due to</w:t>
      </w:r>
      <w:r w:rsidR="00E6543E">
        <w:t xml:space="preserve"> month/year confusion.</w:t>
      </w:r>
    </w:p>
    <w:p w:rsidR="00290DB4" w:rsidRDefault="00290DB4" w:rsidP="00D51736">
      <w:pPr>
        <w:spacing w:line="480" w:lineRule="auto"/>
      </w:pPr>
    </w:p>
    <w:p w:rsidR="00AF1526" w:rsidRPr="000B1BD7" w:rsidRDefault="00AF1526" w:rsidP="00D51736">
      <w:pPr>
        <w:spacing w:line="480" w:lineRule="auto"/>
      </w:pPr>
      <w:r w:rsidRPr="000B1BD7">
        <w:rPr>
          <w:b/>
          <w:sz w:val="26"/>
        </w:rPr>
        <w:t>D</w:t>
      </w:r>
      <w:r w:rsidR="00D51736">
        <w:rPr>
          <w:b/>
          <w:sz w:val="26"/>
        </w:rPr>
        <w:t>ISCUSSION</w:t>
      </w:r>
    </w:p>
    <w:p w:rsidR="00B250B8" w:rsidRDefault="00C4319A" w:rsidP="00D51736">
      <w:pPr>
        <w:spacing w:line="480" w:lineRule="auto"/>
      </w:pPr>
      <w:r>
        <w:t xml:space="preserve">Our novel method of assessing usability </w:t>
      </w:r>
      <w:r w:rsidR="008D2713">
        <w:t>found</w:t>
      </w:r>
      <w:r w:rsidR="00722BE4">
        <w:t xml:space="preserve"> significant differences in the speed of use of different </w:t>
      </w:r>
      <w:r w:rsidR="00A73D4E">
        <w:t>age bas</w:t>
      </w:r>
      <w:r w:rsidR="00881333">
        <w:t xml:space="preserve">ed methods of weight estimation.  Using this as </w:t>
      </w:r>
      <w:r w:rsidR="00B72D2F">
        <w:t xml:space="preserve">a proxy for task difficulty suggests </w:t>
      </w:r>
      <w:r w:rsidR="00372985">
        <w:t xml:space="preserve">that the use of single formula </w:t>
      </w:r>
      <w:r w:rsidR="00E727A3">
        <w:t>or a reference</w:t>
      </w:r>
      <w:r w:rsidR="00B72D2F">
        <w:t xml:space="preserve"> table are </w:t>
      </w:r>
      <w:r w:rsidR="00DE1912">
        <w:t>easie</w:t>
      </w:r>
      <w:r w:rsidR="00B72D2F">
        <w:t xml:space="preserve">r tasks to carry out than </w:t>
      </w:r>
      <w:r w:rsidR="00B250B8">
        <w:t xml:space="preserve">the </w:t>
      </w:r>
      <w:r w:rsidR="00B72D2F">
        <w:t>other methods</w:t>
      </w:r>
      <w:r w:rsidR="00DE1912">
        <w:t>.</w:t>
      </w:r>
      <w:r w:rsidR="008D2713">
        <w:t xml:space="preserve">  However speed d</w:t>
      </w:r>
      <w:r w:rsidR="00B250B8">
        <w:t>id</w:t>
      </w:r>
      <w:r w:rsidR="008D2713">
        <w:t xml:space="preserve"> not automatically correlate with accuracy of application.</w:t>
      </w:r>
      <w:r w:rsidR="00DE1912">
        <w:t xml:space="preserve">  </w:t>
      </w:r>
      <w:r w:rsidR="007F04B3">
        <w:t xml:space="preserve">Whilst </w:t>
      </w:r>
      <w:r w:rsidR="00A70774">
        <w:t>reference</w:t>
      </w:r>
      <w:r w:rsidR="007F04B3">
        <w:t xml:space="preserve"> tables were faster and </w:t>
      </w:r>
      <w:r w:rsidR="00A70774">
        <w:t xml:space="preserve">there was a </w:t>
      </w:r>
      <w:r w:rsidR="00A66E17">
        <w:t xml:space="preserve">non-significant </w:t>
      </w:r>
      <w:r w:rsidR="007F04B3">
        <w:t xml:space="preserve">trend to more </w:t>
      </w:r>
      <w:r w:rsidR="00A70774">
        <w:t xml:space="preserve">frequent </w:t>
      </w:r>
      <w:r w:rsidR="007F04B3">
        <w:t>correct</w:t>
      </w:r>
      <w:r w:rsidR="0033539A">
        <w:t xml:space="preserve"> us</w:t>
      </w:r>
      <w:r w:rsidR="00A70774">
        <w:t>age</w:t>
      </w:r>
      <w:r w:rsidR="00722DCC">
        <w:t>,</w:t>
      </w:r>
      <w:r w:rsidR="007F04B3">
        <w:t xml:space="preserve"> the </w:t>
      </w:r>
      <w:r w:rsidR="008D2713">
        <w:t xml:space="preserve">magnitude of </w:t>
      </w:r>
      <w:r w:rsidR="007F04B3">
        <w:t xml:space="preserve">errors </w:t>
      </w:r>
      <w:r w:rsidR="00A70774">
        <w:t>w</w:t>
      </w:r>
      <w:r w:rsidR="007F04B3">
        <w:t xml:space="preserve">ere significantly </w:t>
      </w:r>
      <w:r w:rsidR="00536AA8">
        <w:t>smaller using the three</w:t>
      </w:r>
      <w:r w:rsidR="00A531D2">
        <w:t xml:space="preserve"> formula</w:t>
      </w:r>
      <w:r w:rsidR="00A70774">
        <w:t>e</w:t>
      </w:r>
      <w:r w:rsidR="00A531D2">
        <w:t xml:space="preserve"> APLS method.</w:t>
      </w:r>
    </w:p>
    <w:p w:rsidR="00B250B8" w:rsidRDefault="00710AC5" w:rsidP="00D51736">
      <w:pPr>
        <w:spacing w:line="480" w:lineRule="auto"/>
      </w:pPr>
      <w:r>
        <w:lastRenderedPageBreak/>
        <w:t xml:space="preserve">Many studies have examined the predicted accuracy of estimation methods </w:t>
      </w:r>
      <w:r w:rsidR="00536AA8">
        <w:t>against</w:t>
      </w:r>
      <w:r>
        <w:t xml:space="preserve"> a population’s </w:t>
      </w:r>
      <w:r w:rsidR="00536AA8">
        <w:t xml:space="preserve">true </w:t>
      </w:r>
      <w:r>
        <w:t>weight with no consensus of the ideal method</w:t>
      </w:r>
      <w:r w:rsidR="00844B11">
        <w:fldChar w:fldCharType="begin"/>
      </w:r>
      <w:r w:rsidR="009658B2">
        <w:instrText xml:space="preserve"> ADDIN ZOTERO_ITEM CSL_CITATION {"citationID":"OtbFhurs","properties":{"formattedCitation":"[6]","plainCitation":"[6]","noteIndex":0},"citationItems":[{"id":2460,"uris":["http://zotero.org/users/14208/items/IEG2KJVD"],"uri":["http://zotero.org/users/14208/items/IEG2KJVD"],"itemData":{"id":2460,"type":"article-journal","title":"Weight Estimation Methods in Children: A Systematic Review","container-title":"Annals of Emergency Medicine","page":"441-451.e10","volume":"68","issue":"4","source":"PubMed","abstract":"STUDY OBJECTIVE: We seek to collect, review, evaluate, and synthesize the current literature focusing on all published methods of pediatric weight estimation.\nMETHODS: We conducted a literature review using PubMed and Web of Science databases, and the Google Scholar search engine, with the \"similar articles\" feature, as well as review of the bibliographies of identified studies. We excluded studies estimating weight of neonates, predominantly adults without separate information for children, child self-reported weight, and studies estimating outcomes other than weight. Quantitative outcomes of accuracy (proportion within 10% of actual weight), mean percentage error, and mean bias were preferred.\nRESULTS: Eighty studies met inclusion criteria with predominant methods: parent or health care worker weight estimation, age-based formulae, and length-based estimation without (eg, Broselow) or with adjustment for body habitus (eg, Pediatric Advanced Weight-Prediction in the Emergency Room, Mercy). Parent estimation was the most accurate at predicting total (actual) body weight, with length-based methods with habitus adjustment next. Length-based methods outperformed age-based formulae, and both tended to underestimate the weight of children from populations with high obesity rates and overestimate the weight of children from populations with high malnourishment rates. Health care worker estimation was not accurate.\nCONCLUSION: Parent estimation and length-based methods with adjustment for body habitus are the most accurate methods to predict children's total (actual) body weight. Age-based formulae and length-based methods without habitus adjustment likely tend to predict ideal body weight.","DOI":"10.1016/j.annemergmed.2016.02.043","ISSN":"1097-6760","note":"PMID: 27105839","shortTitle":"Weight Estimation Methods in Children","journalAbbreviation":"Ann Emerg Med","language":"eng","author":[{"family":"Young","given":"Kelly D."},{"family":"Korotzer","given":"Noah C."}],"issued":{"date-parts":[["2016",10]]}}}],"schema":"https://github.com/citation-style-language/schema/raw/master/csl-citation.json"} </w:instrText>
      </w:r>
      <w:r w:rsidR="00844B11">
        <w:fldChar w:fldCharType="separate"/>
      </w:r>
      <w:r w:rsidR="009658B2" w:rsidRPr="009658B2">
        <w:rPr>
          <w:rFonts w:cs="Calibri"/>
        </w:rPr>
        <w:t>[6]</w:t>
      </w:r>
      <w:r w:rsidR="00844B11">
        <w:fldChar w:fldCharType="end"/>
      </w:r>
      <w:r w:rsidR="00A66E17">
        <w:t>, but</w:t>
      </w:r>
      <w:r w:rsidR="00A35925">
        <w:t xml:space="preserve"> few studies have examined their practical application in real world settings.  A</w:t>
      </w:r>
      <w:r>
        <w:t xml:space="preserve">ge based calculations tend to underestimate true weight but </w:t>
      </w:r>
      <w:r w:rsidR="00536AA8">
        <w:t>instead</w:t>
      </w:r>
      <w:r w:rsidR="00A35925">
        <w:t xml:space="preserve"> </w:t>
      </w:r>
      <w:r>
        <w:t>pr</w:t>
      </w:r>
      <w:r w:rsidR="00A35925">
        <w:t>edict an</w:t>
      </w:r>
      <w:r>
        <w:t xml:space="preserve"> ideal bodyweight which</w:t>
      </w:r>
      <w:r w:rsidR="00A35925">
        <w:t>,</w:t>
      </w:r>
      <w:r>
        <w:t xml:space="preserve"> due to the pharmacological properties of most resuscitation drugs</w:t>
      </w:r>
      <w:r w:rsidR="00A35925">
        <w:t>,</w:t>
      </w:r>
      <w:r>
        <w:t xml:space="preserve"> may be more suitable.</w:t>
      </w:r>
      <w:r w:rsidR="00844B11">
        <w:fldChar w:fldCharType="begin"/>
      </w:r>
      <w:r w:rsidR="009658B2">
        <w:instrText xml:space="preserve"> ADDIN ZOTERO_ITEM CSL_CITATION {"citationID":"y6C9wHKl","properties":{"formattedCitation":"[7]","plainCitation":"[7]","noteIndex":0},"citationItems":[{"id":2359,"uris":["http://zotero.org/users/14208/items/UCA32EIE"],"uri":["http://zotero.org/users/14208/items/UCA32EIE"],"itemData":{"id":2359,"type":"article-journal","title":"Review of commonly used age-based weight estimates for paediatric drug dosing in relation to the pharmacokinetic properties of resuscitation drugs","container-title":"British Journal of Clinical Pharmacology","page":"849-856","volume":"81","issue":"5","source":"PubMed","abstract":"AIM: To study which weight estimate calculation used in paediatric resuscitation results in optimal drug dosing; Advanced Paediatric and Life Support (APLS) or the UK Resuscitation Council age-based formula.\nMETHOD: Commonly used drugs used in paediatric resuscitation were selected and a literature search conducted for each drug's pharmacokinetic properties, concentrating on the volume of distribution (Vd). Hydrophobic drugs have a higher Vd than hydrophilic drugs as they distribute preferentially to fat mass (FM). The larger the Vd, the higher the initial dose required to achieve therapeutic plasma concentrations. Actual body weight (ABW) estimates are a good indicator of Vd for hydrophobic drugs as they correlate well with FM. Ideal body weight (IBW) estimates may be a better indicator of Vd for hydrophilic drugs, as they correlate better with lean body mass. This highlights potential variation between ABW and IBW, which may result in toxic or sub-therapeutic dosing.\nRESULTS: The new APLS formulae give higher estimates of expected weight for a wider age range. This may be a more accurate reflection of ABW due to increasing prevalence of obesity in children. The UK Resuscitation Council's formula appears to result in a lower estimate of weight, which may relate more closely to IBW.\nCONCLUSION: The main drugs used in paediatric resuscitation are hydrophilic, thus the APLS formulae may result in too much being given. Therefore the UK Resuscitation Council's single formula may be preferred. In addition, a single formula may minimize error in the context of a child of unknown weight requiring administration of emergency resuscitation drugs.","DOI":"10.1111/bcp.12876","ISSN":"1365-2125","note":"PMID: 26714256\nPMCID: PMC4834587","journalAbbreviation":"Br J Clin Pharmacol","language":"eng","author":[{"family":"Carasco","given":"Clare Francesca"},{"family":"Fletcher","given":"Penny"},{"family":"Maconochie","given":"Ian"}],"issued":{"date-parts":[["2016",5]]}}}],"schema":"https://github.com/citation-style-language/schema/raw/master/csl-citation.json"} </w:instrText>
      </w:r>
      <w:r w:rsidR="00844B11">
        <w:fldChar w:fldCharType="separate"/>
      </w:r>
      <w:r w:rsidR="009658B2" w:rsidRPr="009658B2">
        <w:rPr>
          <w:rFonts w:cs="Calibri"/>
        </w:rPr>
        <w:t>[7]</w:t>
      </w:r>
      <w:r w:rsidR="00844B11">
        <w:fldChar w:fldCharType="end"/>
      </w:r>
      <w:r w:rsidR="00115743">
        <w:t xml:space="preserve"> </w:t>
      </w:r>
      <w:r w:rsidR="00B250B8">
        <w:t xml:space="preserve">The </w:t>
      </w:r>
      <w:r>
        <w:t xml:space="preserve">only other study </w:t>
      </w:r>
      <w:r w:rsidR="00A66E17">
        <w:t xml:space="preserve">comparable </w:t>
      </w:r>
      <w:r>
        <w:t xml:space="preserve">to ours </w:t>
      </w:r>
      <w:r w:rsidR="00B250B8">
        <w:t xml:space="preserve">applied both age and length based methods to a cohort of 80 children </w:t>
      </w:r>
      <w:r>
        <w:t>in the USA</w:t>
      </w:r>
      <w:r w:rsidR="00A35925">
        <w:t>,</w:t>
      </w:r>
      <w:r>
        <w:t xml:space="preserve"> </w:t>
      </w:r>
      <w:r w:rsidR="00B250B8">
        <w:t>and found a 5% error of application rate</w:t>
      </w:r>
      <w:r w:rsidR="00A531D2">
        <w:t>,</w:t>
      </w:r>
      <w:r w:rsidR="00B250B8">
        <w:t xml:space="preserve"> with device based methods (</w:t>
      </w:r>
      <w:r w:rsidR="00A531D2">
        <w:t xml:space="preserve">e.g. </w:t>
      </w:r>
      <w:r w:rsidR="00B250B8">
        <w:t>tapes) hav</w:t>
      </w:r>
      <w:r w:rsidR="00A35925">
        <w:t>ing</w:t>
      </w:r>
      <w:r w:rsidR="00B250B8">
        <w:t xml:space="preserve"> the highest rate of application errors</w:t>
      </w:r>
      <w:r>
        <w:t xml:space="preserve"> (25%)</w:t>
      </w:r>
      <w:r w:rsidR="00B250B8">
        <w:t>.</w:t>
      </w:r>
      <w:r w:rsidR="00844B11">
        <w:fldChar w:fldCharType="begin"/>
      </w:r>
      <w:r w:rsidR="009658B2">
        <w:instrText xml:space="preserve"> ADDIN ZOTERO_ITEM CSL_CITATION {"citationID":"mYMmBPAi","properties":{"formattedCitation":"[8]","plainCitation":"[8]","noteIndex":0},"citationItems":[{"id":1915,"uris":["http://zotero.org/users/14208/items/BT83IQX6"],"uri":["http://zotero.org/users/14208/items/BT83IQX6"],"itemData":{"id":1915,"type":"article-journal","title":"Comparative Performance of Pediatric Weight Estimation Techniques: A Human Factor Errors Analysis","container-title":"Pediatric Emergency Care","page":"1","source":"CrossRef","DOI":"10.1097/PEC.0000000000000543","ISSN":"0749-5161","shortTitle":"Comparative Performance of Pediatric Weight Estimation Techniques","language":"en","author":[{"family":"Abdel-Rahman","given":"Susan M."},{"family":"Jacobsen","given":"Ryan"},{"family":"Watts","given":"Jennifer L."},{"family":"Doyle","given":"Stacy L."},{"family":"OʼMalley","given":"Donna M."},{"family":"Hefner","given":"Tiffany D."},{"family":"Dowd","given":"M. Denise"}],"issued":{"date-parts":[["2015",10]]}}}],"schema":"https://github.com/citation-style-language/schema/raw/master/csl-citation.json"} </w:instrText>
      </w:r>
      <w:r w:rsidR="00844B11">
        <w:fldChar w:fldCharType="separate"/>
      </w:r>
      <w:r w:rsidR="009658B2" w:rsidRPr="009658B2">
        <w:rPr>
          <w:rFonts w:cs="Calibri"/>
        </w:rPr>
        <w:t>[8]</w:t>
      </w:r>
      <w:r w:rsidR="00844B11">
        <w:fldChar w:fldCharType="end"/>
      </w:r>
      <w:r w:rsidR="00B250B8">
        <w:t xml:space="preserve"> </w:t>
      </w:r>
    </w:p>
    <w:p w:rsidR="000A6332" w:rsidRDefault="001379D0" w:rsidP="00D51736">
      <w:pPr>
        <w:spacing w:line="480" w:lineRule="auto"/>
      </w:pPr>
      <w:r>
        <w:t>The additional choices and calculation inherent in paediatric resuscitation increase cognitive loading.</w:t>
      </w:r>
      <w:r>
        <w:fldChar w:fldCharType="begin"/>
      </w:r>
      <w:r w:rsidR="009658B2">
        <w:instrText xml:space="preserve"> ADDIN ZOTERO_ITEM CSL_CITATION {"citationID":"mMnYRC0q","properties":{"formattedCitation":"[9]","plainCitation":"[9]","noteIndex":0},"citationItems":[{"id":6877,"uris":["http://zotero.org/users/14208/items/HMWSRF8H"],"uri":["http://zotero.org/users/14208/items/HMWSRF8H"],"itemData":{"id":6877,"type":"article-journal","title":"Managing the unique size-related issues of pediatric resuscitation: reducing cognitive load with resuscitation aids","container-title":"Academic Emergency Medicine: Official Journal of the Society for Academic Emergency Medicine","page":"840-847","volume":"9","issue":"8","source":"PubMed","abstract":"A resuscitation is a complicated event that requires for its optimal outcome the effective completion of a distinct series of actions, some simple, some complex, most occurring simultaneously or in close proximity. In children, these actions are determined not only by the clinical situation, but also by a series of age and size factors particular to each child. Different tasks require different levels of cognitive load, or mental effort. Cognitive load describes the mental burden experienced by the decision maker and will be higher when the task is less familiar or more demanding. In the setting of resuscitation, it refers to the cumulative demands of patient assessment, the ongoing decisions for each of the various steps, and decisions around procedural intervention (e.g., intubation). In children, the level of task complexity and, hence, cognitive load is increased by the unique component of variability of pediatric age and size, introducing logistical factors, many of which involve computations. The purpose of this paper is to examine the effects of age/size-related variables on the pediatric resuscitative process and to explore how these effects can be mitigated using resuscitation aids. The concept of cognitive load and its relation to performance in resuscitation is introduced and is used to demonstrate the effect of the various aids in the pediatric resuscitative process.","ISSN":"1069-6563","note":"PMID: 12153892","shortTitle":"Managing the unique size-related issues of pediatric resuscitation","journalAbbreviation":"Acad Emerg Med","language":"eng","author":[{"family":"Luten","given":"Robert"},{"family":"Wears","given":"Robert L."},{"family":"Broselow","given":"James"},{"family":"Croskerry","given":"Patrick"},{"family":"Joseph","given":"Madeline Matar"},{"family":"Frush","given":"Karen"}],"issued":{"date-parts":[["2002",8]]}}}],"schema":"https://github.com/citation-style-language/schema/raw/master/csl-citation.json"} </w:instrText>
      </w:r>
      <w:r>
        <w:fldChar w:fldCharType="separate"/>
      </w:r>
      <w:r w:rsidR="009658B2" w:rsidRPr="009658B2">
        <w:rPr>
          <w:rFonts w:cs="Calibri"/>
        </w:rPr>
        <w:t>[9]</w:t>
      </w:r>
      <w:r>
        <w:fldChar w:fldCharType="end"/>
      </w:r>
      <w:r>
        <w:t xml:space="preserve">  An alternative method to avoid weight estimation altogether by having pre-assigned equipment and drawn up medications in broad age based categories.</w:t>
      </w:r>
      <w:r>
        <w:fldChar w:fldCharType="begin"/>
      </w:r>
      <w:r w:rsidR="009658B2">
        <w:instrText xml:space="preserve"> ADDIN ZOTERO_ITEM CSL_CITATION {"citationID":"5v1jATck","properties":{"formattedCitation":"[10]","plainCitation":"[10]","noteIndex":0},"citationItems":[{"id":6876,"uris":["http://zotero.org/users/14208/items/3IPTZ2FT"],"uri":["http://zotero.org/users/14208/items/3IPTZ2FT"],"itemData":{"id":6876,"type":"article-journal","title":"Error and time delay in pediatric trauma resuscitation: addressing the problem with color-coded resuscitation aids","container-title":"The Surgical Clinics of North America","page":"303-314, vi","volume":"82","issue":"2","source":"PubMed","abstract":"This article concentrates on two pediatric specific factors operational in pediatrics therapeutics 1) the necessity to perform calculations; and 2) the lack of recognition of significant pediatric error. Resuscitation aids and their optimal function in pediatric trauma resuscitation are examined.","ISSN":"0039-6109","note":"PMID: 12113367","shortTitle":"Error and time delay in pediatric trauma resuscitation","journalAbbreviation":"Surg. Clin. North Am.","language":"eng","author":[{"family":"Luten","given":"Robert"}],"issued":{"date-parts":[["2002",4]]}}}],"schema":"https://github.com/citation-style-language/schema/raw/master/csl-citation.json"} </w:instrText>
      </w:r>
      <w:r>
        <w:fldChar w:fldCharType="separate"/>
      </w:r>
      <w:r w:rsidR="009658B2" w:rsidRPr="009658B2">
        <w:rPr>
          <w:rFonts w:cs="Calibri"/>
        </w:rPr>
        <w:t>[10]</w:t>
      </w:r>
      <w:r>
        <w:fldChar w:fldCharType="end"/>
      </w:r>
      <w:r>
        <w:t xml:space="preserve"> Although conceptually simpler this requires dedicated colour coded equipment and leads to improvement but not abolition of error.</w:t>
      </w:r>
      <w:r>
        <w:fldChar w:fldCharType="begin"/>
      </w:r>
      <w:r w:rsidR="009658B2">
        <w:instrText xml:space="preserve"> ADDIN ZOTERO_ITEM CSL_CITATION {"citationID":"9e4EVnIs","properties":{"formattedCitation":"[11]","plainCitation":"[11]","noteIndex":0},"citationItems":[{"id":1695,"uris":["http://zotero.org/users/14208/items/THQHZFWT"],"uri":["http://zotero.org/users/14208/items/THQHZFWT"],"itemData":{"id":1695,"type":"article-journal","title":"Color-Coded Prefilled Medication Syringes Decrease Time to Delivery and Dosing Error in Simulated Emergency Department Pediatric Resuscitations","container-title":"Annals of emergency medicine","page":"97-106.e3","volume":"66","issue":"2","source":"PubMed Central","abstract":"Study objective\nThe Institute of Medicine has called on the US health care system to identify and reduce medical errors. Unfortunately, medication dosing errors remain commonplace and may result in potentially life-threatening outcomes, particularly for pediatric patients when dosing requires weight-based calculations. Novel medication delivery systems that may reduce dosing errors resonate with national health care priorities. Our goal was to evaluate novel, prefilled medication syringes labeled with color-coded volumes corresponding to the weight-based dosing of the Broselow Tape, compared with conventional medication administration, in simulated pediatric emergency department (ED) resuscitation scenarios.\n\nMethods\nWe performed a prospective, block-randomized, crossover study in which 10 emergency physician and nurse teams managed 2 simulated pediatric arrest scenarios in situ, using either prefilled, color-coded syringes (intervention) or conventional drug administration methods (control). The ED resuscitation room and the intravenous medication port were video recorded during the simulations. Data were extracted from video review by blinded, independent reviewers.\n\nResults\nMedian time to delivery of all doses for the conventional and color-coded delivery groups was 47 seconds (95% confidence interval [CI] 40 to 53 seconds) and 19 seconds (95% CI 18 to 20 seconds), respectively (difference=27 seconds; 95% CI 21 to 33 seconds). With the conventional method, 118 doses were administered, with 20 critical dosing errors (17%); with the color-coded method, 123 doses were administered, with 0 critical dosing errors (difference=17%; 95% CI 4% to 30%).\n\nConclusion\nA novel color-coded, prefilled syringe decreased time to medication administration and significantly reduced critical dosing errors by emergency physician and nurse teams during simulated pediatric ED resuscitations.","DOI":"10.1016/j.annemergmed.2014.12.035","ISSN":"0196-0644","note":"PMID: 25701295\nPMCID: PMC4872869","journalAbbreviation":"Ann Emerg Med","author":[{"family":"Moreira","given":"Maria E."},{"family":"Hernandez","given":"Caleb"},{"family":"Stevens","given":"Allen D."},{"family":"Jones","given":"Seth"},{"family":"Sande","given":"Margaret"},{"family":"Blumen","given":"Jason R."},{"family":"Hopkins","given":"Emily"},{"family":"Bakes","given":"Katherine"},{"family":"Haukoos","given":"Jason S."}],"issued":{"date-parts":[["2015",8]]}}}],"schema":"https://github.com/citation-style-language/schema/raw/master/csl-citation.json"} </w:instrText>
      </w:r>
      <w:r>
        <w:fldChar w:fldCharType="separate"/>
      </w:r>
      <w:r w:rsidR="009658B2" w:rsidRPr="009658B2">
        <w:rPr>
          <w:rFonts w:cs="Calibri"/>
        </w:rPr>
        <w:t>[11]</w:t>
      </w:r>
      <w:r>
        <w:fldChar w:fldCharType="end"/>
      </w:r>
      <w:r>
        <w:t xml:space="preserve"> </w:t>
      </w:r>
      <w:r w:rsidR="00A73D4E">
        <w:t>With an increasing move in medi</w:t>
      </w:r>
      <w:r w:rsidR="003C24C8">
        <w:t>ci</w:t>
      </w:r>
      <w:r w:rsidR="00A73D4E">
        <w:t>ne to chec</w:t>
      </w:r>
      <w:r w:rsidR="00DE1912">
        <w:t>klists for cognitive unloading,</w:t>
      </w:r>
      <w:r w:rsidR="00A73D4E">
        <w:t xml:space="preserve"> the use of a pre-populated table of weights,  drug doses and equipment sizes for age </w:t>
      </w:r>
      <w:r w:rsidR="008D2713">
        <w:t xml:space="preserve">is highly appealing and </w:t>
      </w:r>
      <w:r w:rsidR="004105DF">
        <w:t>would seem</w:t>
      </w:r>
      <w:r w:rsidR="00A73D4E">
        <w:t xml:space="preserve"> to facilitate the optimum bala</w:t>
      </w:r>
      <w:r w:rsidR="009C02D8">
        <w:t xml:space="preserve">nce of usability and accuracy.  </w:t>
      </w:r>
      <w:r w:rsidR="00A531D2">
        <w:t>W</w:t>
      </w:r>
      <w:r w:rsidR="004105DF">
        <w:t xml:space="preserve">e seem to have come full circle as these were </w:t>
      </w:r>
      <w:r w:rsidR="00536AA8">
        <w:t xml:space="preserve">first </w:t>
      </w:r>
      <w:r w:rsidR="004105DF">
        <w:t>described in the 1980s</w:t>
      </w:r>
      <w:r w:rsidR="00623373">
        <w:t>,</w:t>
      </w:r>
      <w:r w:rsidR="00844B11">
        <w:fldChar w:fldCharType="begin"/>
      </w:r>
      <w:r w:rsidR="00115743">
        <w:instrText xml:space="preserve"> ADDIN ZOTERO_ITEM CSL_CITATION {"citationID":"8KXHsBz3","properties":{"formattedCitation":"[12]","plainCitation":"[12]","noteIndex":0},"citationItems":[{"id":2246,"uris":["http://zotero.org/users/14208/items/DWAISF5M"],"uri":["http://zotero.org/users/14208/items/DWAISF5M"],"itemData":{"id":2246,"type":"article-journal","title":"Inaccuracy and delay in decision making in paediatric resuscitation, and a proposed reference chart to reduce error","container-title":"BMJ (Clinical research ed.)","page":"817-819","volume":"297","issue":"6652","source":"PubMed","abstract":"Several surveys have noted the poor performance of junior hospital doctors in simulated cardiorespiratory arrest in adults. A further survey was undertaken to investigate inaccuracy and delay in the resuscitation of children. The results suggested that inaccuracy was a greater problem than delay. Because of the variation in size of children and the comparative infrequency of cardiorespiratory arrest in this age group a simple, versatile, and readily available reference chart is needed to aid rapid and accurate decisions.","ISSN":"0959-8138","note":"PMID: 2460172\nPMCID: PMC1834608","journalAbbreviation":"BMJ","language":"eng","author":[{"family":"Oakley","given":"P. A."}],"issued":{"date-parts":[["1988",10,1]]}}}],"schema":"https://github.com/citation-style-language/schema/raw/master/csl-citation.json"} </w:instrText>
      </w:r>
      <w:r w:rsidR="00844B11">
        <w:fldChar w:fldCharType="separate"/>
      </w:r>
      <w:r w:rsidR="00115743" w:rsidRPr="00115743">
        <w:rPr>
          <w:rFonts w:cs="Calibri"/>
        </w:rPr>
        <w:t>[12]</w:t>
      </w:r>
      <w:r w:rsidR="00844B11">
        <w:fldChar w:fldCharType="end"/>
      </w:r>
      <w:r w:rsidR="00A531D2">
        <w:t xml:space="preserve"> but with concerns over their </w:t>
      </w:r>
      <w:r w:rsidR="0033539A">
        <w:t>accuracy</w:t>
      </w:r>
      <w:r w:rsidR="004105DF">
        <w:t xml:space="preserve"> </w:t>
      </w:r>
      <w:r w:rsidR="00844B11">
        <w:fldChar w:fldCharType="begin"/>
      </w:r>
      <w:r w:rsidR="00115743">
        <w:instrText xml:space="preserve"> ADDIN ZOTERO_ITEM CSL_CITATION {"citationID":"Wz0xCPsd","properties":{"formattedCitation":"[13]","plainCitation":"[13]","noteIndex":0},"citationItems":[{"id":2244,"uris":["http://zotero.org/users/14208/items/8VES9CFZ"],"uri":["http://zotero.org/users/14208/items/8VES9CFZ"],"itemData":{"id":2244,"type":"article-journal","title":"Comparison of two paediatric resuscitation charts for ease of use","container-title":"Resuscitation","page":"151-155","volume":"38","issue":"3","source":"PubMed","abstract":"We have compared the ease and speed of use of two published paediatric resuscitation charts, the Burke and Bowden chart and the Oakley chart. Twenty general anaesthetists each answered 11 questions on resuscitation data for five paediatric patients of different weights, heights and ages. Data was recorded for the five patients using one chart and then repeated for the same patients using the second with the order of use of chart being randomised (n=100 patients for each chart). There were significantly fewer patients for whom mistakes were made with the Burke and Bowden chart compared to the modified Oakley chart (21 and 46, respectively, P &lt; 0.001). Only one physician recorded the resuscitation data correctly for all five patients with each chart. The Burke and Bowden chart was also statistically significantly faster to use than the Oakley chart (52.7 s (range 31-103) versus 64 s (range 44-115), respectively (P &lt; 0.001)). A change in format and content of each chart may be required to make them both more user friendly especially when used under stress.","ISSN":"0300-9572","note":"PMID: 9872636","journalAbbreviation":"Resuscitation","language":"eng","author":[{"family":"Alexander","given":"R."},{"family":"El-Moalem","given":"H. E."}],"issued":{"date-parts":[["1998",9]]}}}],"schema":"https://github.com/citation-style-language/schema/raw/master/csl-citation.json"} </w:instrText>
      </w:r>
      <w:r w:rsidR="00844B11">
        <w:fldChar w:fldCharType="separate"/>
      </w:r>
      <w:r w:rsidR="00115743" w:rsidRPr="00115743">
        <w:rPr>
          <w:rFonts w:cs="Calibri"/>
        </w:rPr>
        <w:t>[13]</w:t>
      </w:r>
      <w:r w:rsidR="00844B11">
        <w:fldChar w:fldCharType="end"/>
      </w:r>
      <w:r w:rsidR="004105DF">
        <w:t xml:space="preserve"> </w:t>
      </w:r>
      <w:r w:rsidR="009C02D8">
        <w:t xml:space="preserve">they </w:t>
      </w:r>
      <w:r w:rsidR="004105DF">
        <w:t xml:space="preserve">fell out of favour in preference for the APLS </w:t>
      </w:r>
      <w:r w:rsidR="00A531D2">
        <w:t xml:space="preserve">calculation </w:t>
      </w:r>
      <w:r w:rsidR="004105DF">
        <w:t>methods.</w:t>
      </w:r>
      <w:r w:rsidR="009C02D8">
        <w:t xml:space="preserve">  </w:t>
      </w:r>
      <w:r w:rsidR="00A73D4E">
        <w:t xml:space="preserve">Whilst technological innovations </w:t>
      </w:r>
      <w:r w:rsidR="00A35925">
        <w:t xml:space="preserve">including </w:t>
      </w:r>
      <w:r w:rsidR="00623373">
        <w:t xml:space="preserve">device </w:t>
      </w:r>
      <w:r w:rsidR="00A35925">
        <w:t>app</w:t>
      </w:r>
      <w:r w:rsidR="00623373">
        <w:t>lication</w:t>
      </w:r>
      <w:r w:rsidR="00A35925">
        <w:t xml:space="preserve">s promise the potential for </w:t>
      </w:r>
      <w:r w:rsidR="00A73D4E">
        <w:t>more complex calculations,</w:t>
      </w:r>
      <w:r w:rsidR="003C24C8">
        <w:t xml:space="preserve"> </w:t>
      </w:r>
      <w:r w:rsidR="00A35925">
        <w:t xml:space="preserve">the practicalities of touch-screens, blood and latex gloves represent significant barriers </w:t>
      </w:r>
      <w:r w:rsidR="00372985">
        <w:t xml:space="preserve">in </w:t>
      </w:r>
      <w:r w:rsidR="00A35925">
        <w:t>high pressure clinical scenarios</w:t>
      </w:r>
      <w:r w:rsidR="00536AA8">
        <w:t>. W</w:t>
      </w:r>
      <w:r w:rsidR="00A35925">
        <w:t xml:space="preserve">ith critically unwell or injured children </w:t>
      </w:r>
      <w:r w:rsidR="00A66E17">
        <w:t>we feel the</w:t>
      </w:r>
      <w:r w:rsidR="009C02D8">
        <w:t xml:space="preserve"> paradigm </w:t>
      </w:r>
      <w:r w:rsidR="00A66E17">
        <w:t>must</w:t>
      </w:r>
      <w:r w:rsidR="00A35925">
        <w:t xml:space="preserve"> </w:t>
      </w:r>
      <w:r w:rsidR="009C02D8">
        <w:t xml:space="preserve">be </w:t>
      </w:r>
      <w:r w:rsidR="00372985">
        <w:t>avoidance of errors through simplification.</w:t>
      </w:r>
      <w:r w:rsidR="009C02D8">
        <w:t xml:space="preserve">  </w:t>
      </w:r>
      <w:r w:rsidR="00C234F4">
        <w:t>Poor design in aviation</w:t>
      </w:r>
      <w:r w:rsidR="009829AA">
        <w:fldChar w:fldCharType="begin"/>
      </w:r>
      <w:r w:rsidR="00115743">
        <w:instrText xml:space="preserve"> ADDIN ZOTERO_ITEM CSL_CITATION {"citationID":"aVTCKWDb","properties":{"formattedCitation":"[14]","plainCitation":"[14]","noteIndex":0},"citationItems":[{"id":50,"uris":["http://zotero.org/users/14208/items/TEX8R5PE"],"uri":["http://zotero.org/users/14208/items/TEX8R5PE"],"itemData":{"id":50,"type":"article-journal","title":"Electronic Checklists: Implications for Decision Making","container-title":"Proceedings of the Human Factors and Ergonomics Society Annual Meeting","page":"7-11","volume":"36","issue":"1","source":"SAGE Journals","abstract":"Checklists are a way of life on the flight deck, and, undoubtedly, are indispensable decision aids due to the volume of technical knowledge that must be readily accessible. The improper use of checklists, however, has been cited as a factor in several recent aircraft accidents (National Transportation Safety Board, 1988, 1989, 1990). Solutions to checklist problems, including the creation of electronic checklist systems which keep track of skipped items, may solve some problems but create others. In this paper, results from a simulation involving an engine shutdown are presented, and implications of the electronic checklist and “memory” checklist are discussed, in terms of potential errors and effects on decision making. Performance using two types of electronic checklist systems is compared with performance using the traditional paper checklist. Additionally, a “performing from memory” condition is compared with a “performing from the checklist” condition. Results suggest that making checklist procedures more automatic, either by asking crews to accomplish steps from memory, or by checklists that encourage crews to rely on system state as indicated by the checklist, rather than as indicated by the system itself, will discourage information gathering, and may lead to dangerous operational errors.","DOI":"10.1177/154193129203600104","ISSN":"1541-9312","shortTitle":"Electronic Checklists","journalAbbreviation":"Proceedings of the Human Factors and Ergonomics Society Annual Meeting","language":"en","author":[{"literal":"Kathleen L. Mosier"},{"literal":"Everett A. Palmer"},{"literal":"Asaf Degani"}],"issued":{"date-parts":[["1992",10,1]]}}}],"schema":"https://github.com/citation-style-language/schema/raw/master/csl-citation.json"} </w:instrText>
      </w:r>
      <w:r w:rsidR="009829AA">
        <w:fldChar w:fldCharType="separate"/>
      </w:r>
      <w:r w:rsidR="00115743" w:rsidRPr="00115743">
        <w:rPr>
          <w:rFonts w:cs="Calibri"/>
        </w:rPr>
        <w:t>[14]</w:t>
      </w:r>
      <w:r w:rsidR="009829AA">
        <w:fldChar w:fldCharType="end"/>
      </w:r>
      <w:r w:rsidR="00C234F4">
        <w:t xml:space="preserve"> and anaesthesia</w:t>
      </w:r>
      <w:r w:rsidR="009829AA">
        <w:fldChar w:fldCharType="begin"/>
      </w:r>
      <w:r w:rsidR="00115743">
        <w:instrText xml:space="preserve"> ADDIN ZOTERO_ITEM CSL_CITATION {"citationID":"1zW3STxf","properties":{"formattedCitation":"[15]","plainCitation":"[15]","noteIndex":0},"citationItems":[{"id":52,"uris":["http://zotero.org/users/14208/items/PF4YABW8"],"uri":["http://zotero.org/users/14208/items/PF4YABW8"],"itemData":{"id":52,"type":"article-journal","title":"The use of cognitive aids during emergencies in anesthesia: a review of the literature","container-title":"Anesthesia and Analgesia","page":"1162-1171","volume":"117","issue":"5","source":"PubMed","abstract":"Cognitive aids are prompts designed to help users complete a task or series of tasks. They may take the form of posters, flowcharts, checklists, or even mnemonics. It has been suggested that the use of cognitive aids improves performance and patient outcomes during anesthetic emergencies; however, a systematic assessment of the evidence is lacking. The aim of this literature review was to determine (1) whether cognitive aids improve performance of individuals and teams and (2) whether recommendations can be made for future cognitive aid design, testing, and implementation. Medical, nursing, and psychology databases were searched using broad criteria to find cognitive aids that have been reported in the literature for use in anesthetic emergencies. The reference lists of the articles selected for review were also screened to identify additional studies. Selected articles that described the evaluation of cognitive aids used in anesthetic emergencies were reviewed to determine how the content of the aid was derived, how the design was evaluated, and the success of the aid in improving technical and team performance. The search yielded 22 cognitive aids developed to support clinicians during anesthetic emergencies that had been evaluated in 23 studies. Ten studies using simulation suggested that technical performance improves with the use of cognitive aids in some anesthetic emergencies such as malignant hyperthermia, cardiopulmonary resuscitation, and airway management. However, in 3 of the simulator-based evaluations, participants had either no improvement or took longer to diagnose and treat and made more incorrect diagnoses. Four studies investigated the effect of the aids on teamwork with differing conclusions. One study suggested improved participants' coordination patterns and one found aids improved their decision-making scores, but 2 other studies indicated that there was no improvement and even provided evidence of reduced levels of team communication when teams used a cognitive aid in simulated conditions. The designs of cognitive aids were rarely considered. Education may compensate for a poorly designed aid, but only by ingraining correct actions for situations in which the aid provides little or no guidance. Cognitive aids should continue to be developed from established clinical guidelines where guidelines exist. They would also benefit from more extensive simulation-based usability testing before use. Further evidence is required to explore the effects of cognitive aids in anesthetic emergencies, how they affect team function, and their design considerations.","DOI":"10.1213/ANE.0b013e31829c397b","ISSN":"1526-7598","note":"PMID: 24029855","shortTitle":"The use of cognitive aids during emergencies in anesthesia","journalAbbreviation":"Anesth. Analg.","language":"eng","author":[{"family":"Marshall","given":"Stuart"}],"issued":{"date-parts":[["2013",11]]}}}],"schema":"https://github.com/citation-style-language/schema/raw/master/csl-citation.json"} </w:instrText>
      </w:r>
      <w:r w:rsidR="009829AA">
        <w:fldChar w:fldCharType="separate"/>
      </w:r>
      <w:r w:rsidR="00115743" w:rsidRPr="00115743">
        <w:rPr>
          <w:rFonts w:cs="Calibri"/>
        </w:rPr>
        <w:t>[15]</w:t>
      </w:r>
      <w:r w:rsidR="009829AA">
        <w:fldChar w:fldCharType="end"/>
      </w:r>
      <w:r w:rsidR="00C234F4">
        <w:t xml:space="preserve"> cognitive aids has been linked to harmful effects.</w:t>
      </w:r>
      <w:r w:rsidR="00E809A3">
        <w:t xml:space="preserve">  </w:t>
      </w:r>
      <w:r w:rsidR="00921C03">
        <w:t xml:space="preserve">Our data suggest that reference tables </w:t>
      </w:r>
      <w:r w:rsidR="009829AA">
        <w:t>should also</w:t>
      </w:r>
      <w:r w:rsidR="00921C03">
        <w:t xml:space="preserve"> be designed in a way to minimise potential picking errors</w:t>
      </w:r>
      <w:r w:rsidR="00E809A3">
        <w:t>.</w:t>
      </w:r>
      <w:r w:rsidR="009C02D8">
        <w:t xml:space="preserve"> </w:t>
      </w:r>
    </w:p>
    <w:p w:rsidR="00A66E17" w:rsidRDefault="00DE1912" w:rsidP="00D51736">
      <w:pPr>
        <w:spacing w:line="480" w:lineRule="auto"/>
      </w:pPr>
      <w:r>
        <w:t>As with all clinical med</w:t>
      </w:r>
      <w:r w:rsidR="00C4319A">
        <w:t>icine we have to be pragmatic</w:t>
      </w:r>
      <w:r w:rsidR="00A35925">
        <w:t xml:space="preserve">; </w:t>
      </w:r>
      <w:r w:rsidR="00C4319A">
        <w:t>estimat</w:t>
      </w:r>
      <w:r w:rsidR="00A35925">
        <w:t>ed weight</w:t>
      </w:r>
      <w:r>
        <w:t xml:space="preserve"> will </w:t>
      </w:r>
      <w:r w:rsidR="000A6332">
        <w:t>rarely</w:t>
      </w:r>
      <w:r w:rsidR="00A35925">
        <w:t xml:space="preserve"> be as accurate </w:t>
      </w:r>
      <w:r>
        <w:t>as true weight</w:t>
      </w:r>
      <w:r w:rsidR="00A35925">
        <w:t xml:space="preserve">.  </w:t>
      </w:r>
      <w:r w:rsidR="00885823">
        <w:t xml:space="preserve">Many would argue that simple estimates provide a safe starting point and that effect </w:t>
      </w:r>
      <w:r w:rsidR="00885823">
        <w:lastRenderedPageBreak/>
        <w:t xml:space="preserve">should be guided by response.  </w:t>
      </w:r>
      <w:r w:rsidR="00A35925">
        <w:t xml:space="preserve">More accurate methods bring with them more complexity, even before considerations of body composition are taken into account.  </w:t>
      </w:r>
      <w:r w:rsidR="009C02D8">
        <w:t>But we should remember that t</w:t>
      </w:r>
      <w:r>
        <w:t xml:space="preserve">he evidence base for </w:t>
      </w:r>
      <w:r w:rsidR="009C02D8">
        <w:t>paediatric</w:t>
      </w:r>
      <w:r>
        <w:t xml:space="preserve"> dosing in general is limited </w:t>
      </w:r>
      <w:r w:rsidR="00A949C5">
        <w:t>and</w:t>
      </w:r>
      <w:r>
        <w:t xml:space="preserve"> </w:t>
      </w:r>
      <w:r w:rsidR="00FE608D">
        <w:t xml:space="preserve">there are practical limitations around the </w:t>
      </w:r>
      <w:r w:rsidR="00972081">
        <w:t>accuracy</w:t>
      </w:r>
      <w:r w:rsidR="00FE608D">
        <w:t xml:space="preserve"> of </w:t>
      </w:r>
      <w:r w:rsidR="0033539A">
        <w:t xml:space="preserve">small </w:t>
      </w:r>
      <w:r w:rsidR="00623373">
        <w:t xml:space="preserve">volume </w:t>
      </w:r>
      <w:r w:rsidR="00FE608D">
        <w:t xml:space="preserve">doses of </w:t>
      </w:r>
      <w:r w:rsidR="00623373">
        <w:t xml:space="preserve">many drugs (for example. </w:t>
      </w:r>
      <w:r w:rsidR="00FE608D">
        <w:t>adrenaline</w:t>
      </w:r>
      <w:r w:rsidR="00623373">
        <w:t>)</w:t>
      </w:r>
      <w:r w:rsidR="00FE608D">
        <w:t xml:space="preserve"> that can be administered</w:t>
      </w:r>
      <w:r>
        <w:t xml:space="preserve">.  </w:t>
      </w:r>
      <w:r w:rsidR="00A66E17">
        <w:t>We would hope that in a team situation other members would identify and challenge implausible weights, although this identification would become less likely with increasingly uncommon interventions - there may be less recognition of a reasonable value for e.g. defibrillation.   With the initial identification of weight such a crucial component of the resuscitation perhaps there should be a formalised second person check as is commonplace during the preparation of drug doses.</w:t>
      </w:r>
      <w:r w:rsidR="00885823">
        <w:t xml:space="preserve">  </w:t>
      </w:r>
    </w:p>
    <w:p w:rsidR="00FA311B" w:rsidRPr="00A16809" w:rsidRDefault="00D51736" w:rsidP="00D51736">
      <w:pPr>
        <w:spacing w:line="480" w:lineRule="auto"/>
        <w:rPr>
          <w:b/>
          <w:sz w:val="26"/>
          <w:szCs w:val="24"/>
        </w:rPr>
      </w:pPr>
      <w:r>
        <w:rPr>
          <w:b/>
          <w:sz w:val="26"/>
          <w:szCs w:val="24"/>
        </w:rPr>
        <w:t>CONCLUSION</w:t>
      </w:r>
    </w:p>
    <w:p w:rsidR="00A22F1E" w:rsidRDefault="00A2544E" w:rsidP="00D51736">
      <w:pPr>
        <w:spacing w:line="480" w:lineRule="auto"/>
      </w:pPr>
      <w:r>
        <w:t xml:space="preserve">In summary, our study </w:t>
      </w:r>
      <w:r w:rsidR="000A6332">
        <w:t xml:space="preserve">which </w:t>
      </w:r>
      <w:r w:rsidR="00C23A7B">
        <w:t>stress test</w:t>
      </w:r>
      <w:r w:rsidR="000A6332">
        <w:t>ed</w:t>
      </w:r>
      <w:r w:rsidR="00C23A7B">
        <w:t xml:space="preserve"> individuals </w:t>
      </w:r>
      <w:r>
        <w:t xml:space="preserve">applying methods of weight estimation </w:t>
      </w:r>
      <w:r w:rsidR="00C23A7B">
        <w:t xml:space="preserve">under time pressure revealed significant differences in task difficulty and identified unexpected sources of error.  </w:t>
      </w:r>
      <w:r w:rsidR="00C4319A">
        <w:t xml:space="preserve">With significant </w:t>
      </w:r>
      <w:r w:rsidR="00755AF6">
        <w:t xml:space="preserve">mistakes </w:t>
      </w:r>
      <w:r w:rsidR="00E6543E">
        <w:t xml:space="preserve">still </w:t>
      </w:r>
      <w:r w:rsidR="00C4319A">
        <w:t xml:space="preserve">made in 5-10% of cases we feel </w:t>
      </w:r>
      <w:r w:rsidR="00C23A7B">
        <w:t xml:space="preserve">usability </w:t>
      </w:r>
      <w:r w:rsidR="00E6543E">
        <w:t>must</w:t>
      </w:r>
      <w:r w:rsidR="00C4319A">
        <w:t xml:space="preserve"> be an important consideration in the development of future methods of emergency decision making.</w:t>
      </w:r>
      <w:r w:rsidR="007B738E">
        <w:t xml:space="preserve">  Simply providing a list of weight values is not enough to avoid errors, with design and layout important factors that </w:t>
      </w:r>
      <w:r w:rsidR="0036429B">
        <w:t xml:space="preserve">require assessment </w:t>
      </w:r>
      <w:r w:rsidR="007B738E">
        <w:t xml:space="preserve">before </w:t>
      </w:r>
      <w:r w:rsidR="0036429B">
        <w:t xml:space="preserve">clinical </w:t>
      </w:r>
      <w:r w:rsidR="007B738E">
        <w:t xml:space="preserve">use.  We feel our simple </w:t>
      </w:r>
      <w:r w:rsidR="0036429B">
        <w:t>tool</w:t>
      </w:r>
      <w:r w:rsidR="007B738E">
        <w:t xml:space="preserve"> provides a </w:t>
      </w:r>
      <w:r w:rsidR="0036429B">
        <w:t>method</w:t>
      </w:r>
      <w:r w:rsidR="007B738E">
        <w:t xml:space="preserve"> </w:t>
      </w:r>
      <w:r w:rsidR="0036429B">
        <w:t>of</w:t>
      </w:r>
      <w:r w:rsidR="007B738E">
        <w:t xml:space="preserve"> rapid evaluation </w:t>
      </w:r>
      <w:r w:rsidR="0036429B">
        <w:t xml:space="preserve">to identify and prevent </w:t>
      </w:r>
      <w:r w:rsidR="00F85A80">
        <w:t xml:space="preserve">uncommon but </w:t>
      </w:r>
      <w:r w:rsidR="0036429B">
        <w:t xml:space="preserve">potentially significant </w:t>
      </w:r>
      <w:r w:rsidR="00F85A80">
        <w:t>errors</w:t>
      </w:r>
      <w:r w:rsidR="007B738E">
        <w:t>.</w:t>
      </w:r>
    </w:p>
    <w:p w:rsidR="00D51736" w:rsidRDefault="00D51736" w:rsidP="00D51736">
      <w:pPr>
        <w:spacing w:line="480" w:lineRule="auto"/>
      </w:pPr>
      <w:r>
        <w:rPr>
          <w:b/>
          <w:sz w:val="28"/>
        </w:rPr>
        <w:t>FUNDING SOURCES</w:t>
      </w:r>
      <w:r w:rsidRPr="009561BD">
        <w:rPr>
          <w:sz w:val="28"/>
        </w:rPr>
        <w:t xml:space="preserve"> </w:t>
      </w:r>
      <w:r>
        <w:t>– none.</w:t>
      </w:r>
    </w:p>
    <w:p w:rsidR="00D51736" w:rsidRDefault="00D51736" w:rsidP="00D51736">
      <w:pPr>
        <w:spacing w:line="480" w:lineRule="auto"/>
      </w:pPr>
      <w:proofErr w:type="gramStart"/>
      <w:r w:rsidRPr="00D51736">
        <w:rPr>
          <w:b/>
          <w:sz w:val="28"/>
          <w:szCs w:val="28"/>
        </w:rPr>
        <w:t>CONFLICTS OF INTEREST</w:t>
      </w:r>
      <w:r>
        <w:t>– none.</w:t>
      </w:r>
      <w:proofErr w:type="gramEnd"/>
    </w:p>
    <w:p w:rsidR="00D51736" w:rsidRDefault="00D51736">
      <w:pPr>
        <w:spacing w:after="0" w:line="240" w:lineRule="auto"/>
      </w:pPr>
      <w:r>
        <w:br w:type="page"/>
      </w:r>
    </w:p>
    <w:p w:rsidR="00D51736" w:rsidRPr="009D674B" w:rsidRDefault="00D51736" w:rsidP="00D51736">
      <w:pPr>
        <w:spacing w:line="480" w:lineRule="auto"/>
        <w:rPr>
          <w:b/>
        </w:rPr>
      </w:pPr>
      <w:r w:rsidRPr="009D674B">
        <w:rPr>
          <w:b/>
        </w:rPr>
        <w:lastRenderedPageBreak/>
        <w:t xml:space="preserve">What is known about this </w:t>
      </w:r>
      <w:proofErr w:type="gramStart"/>
      <w:r w:rsidRPr="009D674B">
        <w:rPr>
          <w:b/>
        </w:rPr>
        <w:t>topic:</w:t>
      </w:r>
      <w:proofErr w:type="gramEnd"/>
    </w:p>
    <w:p w:rsidR="00D51736" w:rsidRPr="00DD2C56" w:rsidRDefault="00D51736" w:rsidP="00D51736">
      <w:pPr>
        <w:pStyle w:val="ListParagraph"/>
        <w:numPr>
          <w:ilvl w:val="0"/>
          <w:numId w:val="4"/>
        </w:numPr>
        <w:spacing w:line="480" w:lineRule="auto"/>
      </w:pPr>
      <w:r w:rsidRPr="00DD2C56">
        <w:t xml:space="preserve">There are many methods of weight estimation </w:t>
      </w:r>
      <w:r>
        <w:t>of</w:t>
      </w:r>
      <w:r w:rsidRPr="00DD2C56">
        <w:t xml:space="preserve"> children balancing complexity and accuracy</w:t>
      </w:r>
      <w:r>
        <w:t>.</w:t>
      </w:r>
    </w:p>
    <w:p w:rsidR="00D51736" w:rsidRDefault="00D51736" w:rsidP="00D51736">
      <w:pPr>
        <w:pStyle w:val="ListParagraph"/>
        <w:numPr>
          <w:ilvl w:val="0"/>
          <w:numId w:val="4"/>
        </w:numPr>
        <w:spacing w:line="480" w:lineRule="auto"/>
      </w:pPr>
      <w:r w:rsidRPr="00DD2C56">
        <w:t>The use of checklists helps cognitive unloading during stressful tasks</w:t>
      </w:r>
      <w:r>
        <w:t>.</w:t>
      </w:r>
    </w:p>
    <w:p w:rsidR="00D51736" w:rsidRPr="00DD2C56" w:rsidRDefault="00D51736" w:rsidP="00D51736">
      <w:pPr>
        <w:pStyle w:val="ListParagraph"/>
        <w:numPr>
          <w:ilvl w:val="0"/>
          <w:numId w:val="4"/>
        </w:numPr>
        <w:spacing w:line="480" w:lineRule="auto"/>
      </w:pPr>
      <w:r>
        <w:t>The Advance Paediatric Life Support course is moving away from calculations in favour of reference tables.</w:t>
      </w:r>
    </w:p>
    <w:p w:rsidR="00D51736" w:rsidRPr="00DD2C56" w:rsidRDefault="00D51736" w:rsidP="00D51736">
      <w:pPr>
        <w:spacing w:line="480" w:lineRule="auto"/>
      </w:pPr>
    </w:p>
    <w:p w:rsidR="00D51736" w:rsidRPr="009D674B" w:rsidRDefault="00D51736" w:rsidP="00D51736">
      <w:pPr>
        <w:spacing w:line="480" w:lineRule="auto"/>
        <w:rPr>
          <w:b/>
        </w:rPr>
      </w:pPr>
      <w:r w:rsidRPr="009D674B">
        <w:rPr>
          <w:b/>
        </w:rPr>
        <w:t>What this study adds</w:t>
      </w:r>
      <w:r>
        <w:rPr>
          <w:b/>
        </w:rPr>
        <w:t>:</w:t>
      </w:r>
    </w:p>
    <w:p w:rsidR="00D51736" w:rsidRPr="00DD2C56" w:rsidRDefault="00D51736" w:rsidP="00D51736">
      <w:pPr>
        <w:pStyle w:val="ListParagraph"/>
        <w:numPr>
          <w:ilvl w:val="0"/>
          <w:numId w:val="5"/>
        </w:numPr>
        <w:spacing w:line="480" w:lineRule="auto"/>
      </w:pPr>
      <w:r w:rsidRPr="00DD2C56">
        <w:t xml:space="preserve">Weight look-up tables are faster </w:t>
      </w:r>
      <w:r>
        <w:t xml:space="preserve">to use </w:t>
      </w:r>
      <w:r w:rsidRPr="00DD2C56">
        <w:t>and preferred by clinicians</w:t>
      </w:r>
      <w:r>
        <w:t xml:space="preserve"> over calculations</w:t>
      </w:r>
      <w:r w:rsidRPr="00DD2C56">
        <w:t xml:space="preserve"> </w:t>
      </w:r>
    </w:p>
    <w:p w:rsidR="00D51736" w:rsidRDefault="00D51736" w:rsidP="00D51736">
      <w:pPr>
        <w:pStyle w:val="ListParagraph"/>
        <w:numPr>
          <w:ilvl w:val="0"/>
          <w:numId w:val="5"/>
        </w:numPr>
        <w:spacing w:line="480" w:lineRule="auto"/>
      </w:pPr>
      <w:r>
        <w:t>Their design can</w:t>
      </w:r>
      <w:r w:rsidRPr="00DD2C56">
        <w:t xml:space="preserve"> introduce un</w:t>
      </w:r>
      <w:r>
        <w:t>-</w:t>
      </w:r>
      <w:r w:rsidRPr="00DD2C56">
        <w:t>anticipated large errors</w:t>
      </w:r>
      <w:r>
        <w:t xml:space="preserve"> through month/year confusion</w:t>
      </w:r>
      <w:r w:rsidRPr="00DD2C56">
        <w:t>.</w:t>
      </w:r>
    </w:p>
    <w:p w:rsidR="00D51736" w:rsidRDefault="00D51736">
      <w:pPr>
        <w:spacing w:after="0" w:line="240" w:lineRule="auto"/>
      </w:pPr>
      <w:r>
        <w:br w:type="page"/>
      </w:r>
    </w:p>
    <w:p w:rsidR="00105AE0" w:rsidRDefault="00D51736" w:rsidP="00D51736">
      <w:pPr>
        <w:spacing w:after="0" w:line="240" w:lineRule="auto"/>
        <w:rPr>
          <w:b/>
          <w:sz w:val="26"/>
        </w:rPr>
      </w:pPr>
      <w:r>
        <w:rPr>
          <w:b/>
          <w:sz w:val="26"/>
        </w:rPr>
        <w:lastRenderedPageBreak/>
        <w:t>REFERENCES</w:t>
      </w:r>
    </w:p>
    <w:p w:rsidR="00D51736" w:rsidRPr="00D51736" w:rsidRDefault="00D51736" w:rsidP="00D51736">
      <w:pPr>
        <w:spacing w:after="0" w:line="240" w:lineRule="auto"/>
      </w:pPr>
    </w:p>
    <w:p w:rsidR="009C40C3" w:rsidRPr="009C40C3" w:rsidRDefault="00844B11" w:rsidP="009C40C3">
      <w:pPr>
        <w:pStyle w:val="Bibliography"/>
        <w:rPr>
          <w:rFonts w:cs="Calibri"/>
        </w:rPr>
      </w:pPr>
      <w:r>
        <w:fldChar w:fldCharType="begin"/>
      </w:r>
      <w:r w:rsidR="009658B2">
        <w:instrText xml:space="preserve"> ADDIN ZOTERO_BIBL {"uncited":[],"omitted":[],"custom":[]} CSL_BIBLIOGRAPHY </w:instrText>
      </w:r>
      <w:r>
        <w:fldChar w:fldCharType="separate"/>
      </w:r>
      <w:r w:rsidR="009C40C3" w:rsidRPr="009C40C3">
        <w:rPr>
          <w:rFonts w:cs="Calibri"/>
        </w:rPr>
        <w:t>[1]</w:t>
      </w:r>
      <w:r w:rsidR="009C40C3" w:rsidRPr="009C40C3">
        <w:rPr>
          <w:rFonts w:cs="Calibri"/>
        </w:rPr>
        <w:tab/>
        <w:t>Wells M, Goldstein LN, Bentley A. The accuracy of emergency weight estimation systems in children-a systematic review and meta-analysis. Int J Emerg Med 2017;10:29. doi:10/gc93qp.</w:t>
      </w:r>
    </w:p>
    <w:p w:rsidR="009C40C3" w:rsidRPr="00D600DA" w:rsidRDefault="009C40C3" w:rsidP="009C40C3">
      <w:pPr>
        <w:pStyle w:val="Bibliography"/>
        <w:rPr>
          <w:rFonts w:cs="Calibri"/>
        </w:rPr>
      </w:pPr>
      <w:r w:rsidRPr="0086525F">
        <w:rPr>
          <w:rFonts w:cs="Calibri"/>
        </w:rPr>
        <w:t>[2]</w:t>
      </w:r>
      <w:r w:rsidRPr="0086525F">
        <w:rPr>
          <w:rFonts w:cs="Calibri"/>
        </w:rPr>
        <w:tab/>
        <w:t>FAQs Paediatric Life Support n.d. https://www.resus.org.uk/faqs/faqs-paediatric-life-support/ (accessed October 11, 2017).</w:t>
      </w:r>
    </w:p>
    <w:p w:rsidR="009C40C3" w:rsidRPr="00D600DA" w:rsidRDefault="009C40C3" w:rsidP="009C40C3">
      <w:pPr>
        <w:pStyle w:val="Bibliography"/>
        <w:rPr>
          <w:rFonts w:cs="Calibri"/>
        </w:rPr>
      </w:pPr>
      <w:r w:rsidRPr="00D600DA">
        <w:rPr>
          <w:rFonts w:cs="Calibri"/>
        </w:rPr>
        <w:t>[3]</w:t>
      </w:r>
      <w:r w:rsidRPr="00D600DA">
        <w:rPr>
          <w:rFonts w:cs="Calibri"/>
        </w:rPr>
        <w:tab/>
        <w:t>Samuels M, Wieteska S, editors. Advanced paediatric life support: a practical approach. Sixth edition. Chichester, West Sussex, UK; Hoboken, NJ, USA: John Wiley &amp; Sons, Ltd; 2016.</w:t>
      </w:r>
    </w:p>
    <w:p w:rsidR="009C40C3" w:rsidRPr="00D600DA" w:rsidRDefault="009C40C3" w:rsidP="009C40C3">
      <w:pPr>
        <w:pStyle w:val="Bibliography"/>
        <w:rPr>
          <w:rFonts w:cs="Calibri"/>
        </w:rPr>
      </w:pPr>
      <w:r w:rsidRPr="00D600DA">
        <w:rPr>
          <w:rFonts w:cs="Calibri"/>
        </w:rPr>
        <w:t>[4]</w:t>
      </w:r>
      <w:r w:rsidRPr="00D600DA">
        <w:rPr>
          <w:rFonts w:cs="Calibri"/>
        </w:rPr>
        <w:tab/>
        <w:t>Thompson MT, Reading MJ, Acworth JP. Best Guess method for age-based weight estimation in paediatric emergencies: Validation and comparison with current methods. Emerg Med Australas 2007;19:535–42. doi:10.1111/j.1742-6723.2007.01031.x.</w:t>
      </w:r>
    </w:p>
    <w:p w:rsidR="009C40C3" w:rsidRPr="00D600DA" w:rsidRDefault="009C40C3" w:rsidP="009C40C3">
      <w:pPr>
        <w:pStyle w:val="Bibliography"/>
        <w:rPr>
          <w:rFonts w:cs="Calibri"/>
        </w:rPr>
      </w:pPr>
      <w:r w:rsidRPr="00D600DA">
        <w:rPr>
          <w:rFonts w:cs="Calibri"/>
        </w:rPr>
        <w:t>[5]</w:t>
      </w:r>
      <w:r w:rsidRPr="00D600DA">
        <w:rPr>
          <w:rFonts w:cs="Calibri"/>
        </w:rPr>
        <w:tab/>
        <w:t>R Core Team. R: A Language and Environment for Statistical Computing. Vienna, Austria: R Foundation for Statistical Computing; 2014.</w:t>
      </w:r>
    </w:p>
    <w:p w:rsidR="009C40C3" w:rsidRPr="00D600DA" w:rsidRDefault="009C40C3" w:rsidP="009C40C3">
      <w:pPr>
        <w:pStyle w:val="Bibliography"/>
        <w:rPr>
          <w:rFonts w:cs="Calibri"/>
        </w:rPr>
      </w:pPr>
      <w:r w:rsidRPr="00D600DA">
        <w:rPr>
          <w:rFonts w:cs="Calibri"/>
        </w:rPr>
        <w:t>[6]</w:t>
      </w:r>
      <w:r w:rsidRPr="00D600DA">
        <w:rPr>
          <w:rFonts w:cs="Calibri"/>
        </w:rPr>
        <w:tab/>
        <w:t>Young KD, Korotzer NC. Weight Estimation Methods in Children: A Systematic Review. Ann Emerg Med 2016;68:441-451.e10. doi:10.1016/j.annemergmed.2016.02.043.</w:t>
      </w:r>
    </w:p>
    <w:p w:rsidR="009C40C3" w:rsidRPr="00D600DA" w:rsidRDefault="009C40C3" w:rsidP="009C40C3">
      <w:pPr>
        <w:pStyle w:val="Bibliography"/>
        <w:rPr>
          <w:rFonts w:cs="Calibri"/>
        </w:rPr>
      </w:pPr>
      <w:r w:rsidRPr="00D600DA">
        <w:rPr>
          <w:rFonts w:cs="Calibri"/>
        </w:rPr>
        <w:t>[7]</w:t>
      </w:r>
      <w:r w:rsidRPr="00D600DA">
        <w:rPr>
          <w:rFonts w:cs="Calibri"/>
        </w:rPr>
        <w:tab/>
        <w:t>Carasco CF, Fletcher P, Maconochie I. Review of commonly used age-based weight estimates for paediatric drug dosing in relation to the pharmacokinetic properties of resuscitation drugs. Br J Clin Pharmacol 2016;81:849–56. doi:10.1111/bcp.12876.</w:t>
      </w:r>
    </w:p>
    <w:p w:rsidR="009C40C3" w:rsidRPr="00D600DA" w:rsidRDefault="009C40C3" w:rsidP="009C40C3">
      <w:pPr>
        <w:pStyle w:val="Bibliography"/>
        <w:rPr>
          <w:rFonts w:cs="Calibri"/>
        </w:rPr>
      </w:pPr>
      <w:r w:rsidRPr="00D600DA">
        <w:rPr>
          <w:rFonts w:cs="Calibri"/>
        </w:rPr>
        <w:t>[8]</w:t>
      </w:r>
      <w:r w:rsidRPr="00D600DA">
        <w:rPr>
          <w:rFonts w:cs="Calibri"/>
        </w:rPr>
        <w:tab/>
        <w:t>Abdel-Rahman SM, Jacobsen R, Watts JL, Doyle SL, OʼMalley DM, Hefner TD, et al. Comparative Performance of Pediatric Weight Estimation Techniques: A Human Factor Errors Analysis. Pediatr Emerg Care 2015:1. doi:10.1097/PEC.0000000000000543.</w:t>
      </w:r>
    </w:p>
    <w:p w:rsidR="009C40C3" w:rsidRPr="00D600DA" w:rsidRDefault="009C40C3" w:rsidP="009C40C3">
      <w:pPr>
        <w:pStyle w:val="Bibliography"/>
        <w:rPr>
          <w:rFonts w:cs="Calibri"/>
        </w:rPr>
      </w:pPr>
      <w:r w:rsidRPr="00D600DA">
        <w:rPr>
          <w:rFonts w:cs="Calibri"/>
        </w:rPr>
        <w:t>[9]</w:t>
      </w:r>
      <w:r w:rsidRPr="00D600DA">
        <w:rPr>
          <w:rFonts w:cs="Calibri"/>
        </w:rPr>
        <w:tab/>
        <w:t>Luten R, Wears RL, Broselow J, Croskerry P, Joseph MM, Frush K. Managing the unique size-related issues of pediatric resuscitation: reducing cognitive load with resuscitation aids. Acad Emerg Med Off J Soc Acad Emerg Med 2002;9:840–7.</w:t>
      </w:r>
    </w:p>
    <w:p w:rsidR="009C40C3" w:rsidRPr="00D600DA" w:rsidRDefault="009C40C3" w:rsidP="009C40C3">
      <w:pPr>
        <w:pStyle w:val="Bibliography"/>
        <w:rPr>
          <w:rFonts w:cs="Calibri"/>
        </w:rPr>
      </w:pPr>
      <w:r w:rsidRPr="00D600DA">
        <w:rPr>
          <w:rFonts w:cs="Calibri"/>
        </w:rPr>
        <w:t>[10]</w:t>
      </w:r>
      <w:r w:rsidRPr="00D600DA">
        <w:rPr>
          <w:rFonts w:cs="Calibri"/>
        </w:rPr>
        <w:tab/>
        <w:t>Luten R. Error and time delay in pediatric trauma resuscitation: addressing the problem with color-coded resuscitation aids. Surg Clin North Am 2002;82:303–14, vi.</w:t>
      </w:r>
    </w:p>
    <w:p w:rsidR="009C40C3" w:rsidRPr="00D600DA" w:rsidRDefault="009C40C3" w:rsidP="009C40C3">
      <w:pPr>
        <w:pStyle w:val="Bibliography"/>
        <w:rPr>
          <w:rFonts w:cs="Calibri"/>
        </w:rPr>
      </w:pPr>
      <w:r w:rsidRPr="00D600DA">
        <w:rPr>
          <w:rFonts w:cs="Calibri"/>
        </w:rPr>
        <w:t>[11]</w:t>
      </w:r>
      <w:r w:rsidRPr="00D600DA">
        <w:rPr>
          <w:rFonts w:cs="Calibri"/>
        </w:rPr>
        <w:tab/>
        <w:t>Moreira ME, Hernandez C, Stevens AD, Jones S, Sande M, Blumen JR, et al. Color-Coded Prefilled Medication Syringes Decrease Time to Delivery and Dosing Error in Simulated Emergency Department Pediatric Resuscitations. Ann Emerg Med 2015;66:97-106.e3. doi:10.1016/j.annemergmed.2014.12.035.</w:t>
      </w:r>
    </w:p>
    <w:p w:rsidR="009C40C3" w:rsidRPr="00D600DA" w:rsidRDefault="009C40C3" w:rsidP="009C40C3">
      <w:pPr>
        <w:pStyle w:val="Bibliography"/>
        <w:rPr>
          <w:rFonts w:cs="Calibri"/>
        </w:rPr>
      </w:pPr>
      <w:r w:rsidRPr="00D600DA">
        <w:rPr>
          <w:rFonts w:cs="Calibri"/>
        </w:rPr>
        <w:t>[12]</w:t>
      </w:r>
      <w:r w:rsidRPr="00D600DA">
        <w:rPr>
          <w:rFonts w:cs="Calibri"/>
        </w:rPr>
        <w:tab/>
        <w:t>Oakley PA. Inaccuracy and delay in decision making in paediatric resuscitation, and a proposed reference chart to reduce error. BMJ 1988;297:817–9.</w:t>
      </w:r>
    </w:p>
    <w:p w:rsidR="009C40C3" w:rsidRPr="00D600DA" w:rsidRDefault="009C40C3" w:rsidP="009C40C3">
      <w:pPr>
        <w:pStyle w:val="Bibliography"/>
        <w:rPr>
          <w:rFonts w:cs="Calibri"/>
        </w:rPr>
      </w:pPr>
      <w:r w:rsidRPr="00D600DA">
        <w:rPr>
          <w:rFonts w:cs="Calibri"/>
        </w:rPr>
        <w:t>[13]</w:t>
      </w:r>
      <w:r w:rsidRPr="00D600DA">
        <w:rPr>
          <w:rFonts w:cs="Calibri"/>
        </w:rPr>
        <w:tab/>
        <w:t>Alexander R, El-Moalem HE. Comparison of two paediatric resuscitation charts for ease of use. Resuscitation 1998;38:151–5.</w:t>
      </w:r>
    </w:p>
    <w:p w:rsidR="009C40C3" w:rsidRPr="00D600DA" w:rsidRDefault="009C40C3" w:rsidP="009C40C3">
      <w:pPr>
        <w:pStyle w:val="Bibliography"/>
        <w:rPr>
          <w:rFonts w:cs="Calibri"/>
        </w:rPr>
      </w:pPr>
      <w:r w:rsidRPr="00D600DA">
        <w:rPr>
          <w:rFonts w:cs="Calibri"/>
        </w:rPr>
        <w:t>[14]</w:t>
      </w:r>
      <w:r w:rsidRPr="00D600DA">
        <w:rPr>
          <w:rFonts w:cs="Calibri"/>
        </w:rPr>
        <w:tab/>
        <w:t>Kathleen L. Mosier, Everett A. Palmer, Asaf Degani. Electronic Checklists: Implications for Decision Making. Proc Hum Factors Ergon Soc Annu Meet 1992;36:7–11. doi:10.1177/154193129203600104.</w:t>
      </w:r>
    </w:p>
    <w:p w:rsidR="009C40C3" w:rsidRPr="00D600DA" w:rsidRDefault="009C40C3" w:rsidP="009C40C3">
      <w:pPr>
        <w:pStyle w:val="Bibliography"/>
        <w:rPr>
          <w:rFonts w:cs="Calibri"/>
        </w:rPr>
      </w:pPr>
      <w:r w:rsidRPr="00D600DA">
        <w:rPr>
          <w:rFonts w:cs="Calibri"/>
        </w:rPr>
        <w:t>[15]</w:t>
      </w:r>
      <w:r w:rsidRPr="00D600DA">
        <w:rPr>
          <w:rFonts w:cs="Calibri"/>
        </w:rPr>
        <w:tab/>
        <w:t>Marshall S. The use of cognitive aids during emergencies in anesthesia: a review of the literature. Anesth Analg 2013;117:1162–71. doi:10.1213/ANE.0b013e31829c397b.</w:t>
      </w:r>
    </w:p>
    <w:p w:rsidR="009C40C3" w:rsidRPr="00D600DA" w:rsidRDefault="009C40C3" w:rsidP="009C40C3">
      <w:pPr>
        <w:pStyle w:val="Bibliography"/>
        <w:rPr>
          <w:rFonts w:cs="Calibri"/>
        </w:rPr>
      </w:pPr>
      <w:r w:rsidRPr="00D600DA">
        <w:rPr>
          <w:rFonts w:cs="Calibri"/>
        </w:rPr>
        <w:t>[16]</w:t>
      </w:r>
      <w:r w:rsidRPr="00D600DA">
        <w:rPr>
          <w:rFonts w:cs="Calibri"/>
        </w:rPr>
        <w:tab/>
        <w:t>Wright CM, Booth IW, Buckler JMH, Cameron N, Cole TJ, Healy MJR, et al. Growth reference charts for use in the United Kingdom. Arch Dis Child 2002;86:11–4.</w:t>
      </w:r>
    </w:p>
    <w:p w:rsidR="00D51736" w:rsidRDefault="00844B11" w:rsidP="00317B30">
      <w:pPr>
        <w:spacing w:line="360" w:lineRule="auto"/>
      </w:pPr>
      <w:r>
        <w:fldChar w:fldCharType="end"/>
      </w:r>
    </w:p>
    <w:p w:rsidR="00D51736" w:rsidRDefault="00D51736">
      <w:pPr>
        <w:spacing w:after="0" w:line="240" w:lineRule="auto"/>
      </w:pPr>
      <w:r>
        <w:br w:type="page"/>
      </w:r>
    </w:p>
    <w:p w:rsidR="00D51736" w:rsidRPr="00D51736" w:rsidRDefault="00D51736" w:rsidP="00D51736">
      <w:pPr>
        <w:spacing w:after="0" w:line="480" w:lineRule="auto"/>
        <w:rPr>
          <w:b/>
          <w:sz w:val="24"/>
          <w:szCs w:val="24"/>
        </w:rPr>
      </w:pPr>
      <w:proofErr w:type="gramStart"/>
      <w:r w:rsidRPr="00D51736">
        <w:rPr>
          <w:b/>
          <w:sz w:val="24"/>
          <w:szCs w:val="24"/>
        </w:rPr>
        <w:lastRenderedPageBreak/>
        <w:t>Table 1:  Methods of weight estimation compared in the study.</w:t>
      </w:r>
      <w:proofErr w:type="gramEnd"/>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3"/>
        <w:gridCol w:w="1560"/>
        <w:gridCol w:w="3543"/>
      </w:tblGrid>
      <w:tr w:rsidR="00D51736" w:rsidRPr="00030D2D" w:rsidTr="00BE6BF8">
        <w:tc>
          <w:tcPr>
            <w:tcW w:w="2693" w:type="dxa"/>
          </w:tcPr>
          <w:p w:rsidR="00D51736" w:rsidRPr="00E27BF2" w:rsidRDefault="00D51736" w:rsidP="00BE6BF8">
            <w:pPr>
              <w:autoSpaceDE w:val="0"/>
              <w:spacing w:after="0" w:line="480" w:lineRule="auto"/>
              <w:rPr>
                <w:rFonts w:cs="TimesNewRomanPS-BoldMT"/>
                <w:b/>
                <w:bCs/>
                <w:sz w:val="20"/>
                <w:szCs w:val="20"/>
              </w:rPr>
            </w:pPr>
          </w:p>
        </w:tc>
        <w:tc>
          <w:tcPr>
            <w:tcW w:w="5103" w:type="dxa"/>
            <w:gridSpan w:val="2"/>
          </w:tcPr>
          <w:p w:rsidR="00D51736" w:rsidRPr="00E27BF2" w:rsidRDefault="00D51736" w:rsidP="00BE6BF8">
            <w:pPr>
              <w:autoSpaceDE w:val="0"/>
              <w:spacing w:after="0" w:line="480" w:lineRule="auto"/>
              <w:jc w:val="center"/>
              <w:rPr>
                <w:rFonts w:cs="TimesNewRomanPS-BoldMT"/>
                <w:b/>
                <w:bCs/>
                <w:sz w:val="20"/>
                <w:szCs w:val="20"/>
              </w:rPr>
            </w:pPr>
            <w:r w:rsidRPr="00E27BF2">
              <w:rPr>
                <w:rFonts w:cs="TimesNewRomanPS-BoldMT"/>
                <w:b/>
                <w:bCs/>
                <w:sz w:val="20"/>
                <w:szCs w:val="20"/>
              </w:rPr>
              <w:t>Method</w:t>
            </w:r>
          </w:p>
        </w:tc>
      </w:tr>
      <w:tr w:rsidR="00D51736" w:rsidRPr="00030D2D" w:rsidTr="00BE6BF8">
        <w:tc>
          <w:tcPr>
            <w:tcW w:w="2693" w:type="dxa"/>
          </w:tcPr>
          <w:p w:rsidR="00D51736" w:rsidRPr="00E27BF2" w:rsidRDefault="00D51736" w:rsidP="00BE6BF8">
            <w:pPr>
              <w:autoSpaceDE w:val="0"/>
              <w:spacing w:after="0" w:line="480" w:lineRule="auto"/>
              <w:rPr>
                <w:rFonts w:cs="TimesNewRomanPS-BoldMT"/>
                <w:bCs/>
                <w:sz w:val="20"/>
                <w:szCs w:val="20"/>
              </w:rPr>
            </w:pPr>
          </w:p>
        </w:tc>
        <w:tc>
          <w:tcPr>
            <w:tcW w:w="1560" w:type="dxa"/>
          </w:tcPr>
          <w:p w:rsidR="00D51736" w:rsidRPr="00E27BF2" w:rsidRDefault="00D51736" w:rsidP="00BE6BF8">
            <w:pPr>
              <w:autoSpaceDE w:val="0"/>
              <w:spacing w:after="0" w:line="480" w:lineRule="auto"/>
              <w:jc w:val="center"/>
              <w:rPr>
                <w:rFonts w:cs="TimesNewRomanPS-BoldMT"/>
                <w:b/>
                <w:bCs/>
                <w:sz w:val="20"/>
                <w:szCs w:val="20"/>
              </w:rPr>
            </w:pPr>
            <w:r w:rsidRPr="00E27BF2">
              <w:rPr>
                <w:rFonts w:cs="TimesNewRomanPS-BoldMT"/>
                <w:b/>
                <w:bCs/>
                <w:sz w:val="20"/>
                <w:szCs w:val="20"/>
              </w:rPr>
              <w:t>Age range</w:t>
            </w:r>
          </w:p>
        </w:tc>
        <w:tc>
          <w:tcPr>
            <w:tcW w:w="3543" w:type="dxa"/>
          </w:tcPr>
          <w:p w:rsidR="00D51736" w:rsidRPr="00E27BF2" w:rsidRDefault="00D51736" w:rsidP="00BE6BF8">
            <w:pPr>
              <w:autoSpaceDE w:val="0"/>
              <w:spacing w:after="0" w:line="480" w:lineRule="auto"/>
              <w:jc w:val="center"/>
              <w:rPr>
                <w:rFonts w:cs="TimesNewRomanPS-BoldMT"/>
                <w:b/>
                <w:bCs/>
                <w:sz w:val="20"/>
                <w:szCs w:val="20"/>
              </w:rPr>
            </w:pPr>
            <w:r w:rsidRPr="00E27BF2">
              <w:rPr>
                <w:rFonts w:cs="TimesNewRomanPS-BoldMT"/>
                <w:b/>
                <w:bCs/>
                <w:sz w:val="20"/>
                <w:szCs w:val="20"/>
              </w:rPr>
              <w:t>Formula</w:t>
            </w:r>
          </w:p>
        </w:tc>
      </w:tr>
      <w:tr w:rsidR="00D51736" w:rsidRPr="00030D2D" w:rsidTr="00BE6BF8">
        <w:tc>
          <w:tcPr>
            <w:tcW w:w="2693" w:type="dxa"/>
            <w:vAlign w:val="center"/>
          </w:tcPr>
          <w:p w:rsidR="00D51736" w:rsidRPr="00E27BF2" w:rsidRDefault="00D51736" w:rsidP="00BE6BF8">
            <w:pPr>
              <w:autoSpaceDE w:val="0"/>
              <w:spacing w:after="0" w:line="480" w:lineRule="auto"/>
              <w:jc w:val="center"/>
              <w:rPr>
                <w:rFonts w:cs="TimesNewRomanPS-BoldMT"/>
                <w:b/>
                <w:bCs/>
                <w:sz w:val="20"/>
                <w:szCs w:val="20"/>
              </w:rPr>
            </w:pPr>
            <w:r w:rsidRPr="00030D2D">
              <w:rPr>
                <w:rFonts w:cs="TimesNewRomanPS-BoldMT"/>
                <w:b/>
                <w:bCs/>
                <w:sz w:val="20"/>
                <w:szCs w:val="20"/>
              </w:rPr>
              <w:t>Single formula</w:t>
            </w:r>
            <w:r w:rsidRPr="00E27BF2">
              <w:rPr>
                <w:rFonts w:cs="TimesNewRomanPS-BoldMT"/>
                <w:b/>
                <w:bCs/>
                <w:sz w:val="20"/>
                <w:szCs w:val="20"/>
              </w:rPr>
              <w:t xml:space="preserve"> APLS</w:t>
            </w:r>
            <w:r>
              <w:rPr>
                <w:rFonts w:cs="TimesNewRomanPS-BoldMT"/>
                <w:b/>
                <w:bCs/>
                <w:sz w:val="20"/>
                <w:szCs w:val="20"/>
              </w:rPr>
              <w:t xml:space="preserve"> (APLS1)</w:t>
            </w:r>
          </w:p>
        </w:tc>
        <w:tc>
          <w:tcPr>
            <w:tcW w:w="1560" w:type="dxa"/>
            <w:vAlign w:val="center"/>
          </w:tcPr>
          <w:p w:rsidR="00D51736" w:rsidRPr="00E27BF2" w:rsidRDefault="00D51736" w:rsidP="00BE6BF8">
            <w:pPr>
              <w:autoSpaceDE w:val="0"/>
              <w:spacing w:after="0" w:line="480" w:lineRule="auto"/>
              <w:jc w:val="center"/>
              <w:rPr>
                <w:rFonts w:cs="TimesNewRomanPS-BoldMT"/>
                <w:bCs/>
                <w:sz w:val="20"/>
                <w:szCs w:val="20"/>
              </w:rPr>
            </w:pPr>
            <w:r w:rsidRPr="00E27BF2">
              <w:rPr>
                <w:rFonts w:cs="TimesNewRomanPS-BoldMT"/>
                <w:bCs/>
                <w:sz w:val="20"/>
                <w:szCs w:val="20"/>
              </w:rPr>
              <w:t>1-10 years</w:t>
            </w:r>
          </w:p>
        </w:tc>
        <w:tc>
          <w:tcPr>
            <w:tcW w:w="3543" w:type="dxa"/>
            <w:vAlign w:val="center"/>
          </w:tcPr>
          <w:p w:rsidR="00D51736" w:rsidRPr="00E27BF2" w:rsidRDefault="00D51736" w:rsidP="00BE6BF8">
            <w:pPr>
              <w:autoSpaceDE w:val="0"/>
              <w:spacing w:after="0" w:line="480" w:lineRule="auto"/>
              <w:jc w:val="center"/>
              <w:rPr>
                <w:rFonts w:cs="TimesNewRomanPS-BoldMT"/>
                <w:bCs/>
                <w:sz w:val="20"/>
                <w:szCs w:val="20"/>
              </w:rPr>
            </w:pPr>
            <w:r w:rsidRPr="00030D2D">
              <w:rPr>
                <w:rFonts w:cs="TimesNewRomanPS-BoldMT"/>
                <w:bCs/>
                <w:sz w:val="20"/>
                <w:szCs w:val="20"/>
              </w:rPr>
              <w:t>weight = (age + 4) x 2</w:t>
            </w:r>
          </w:p>
        </w:tc>
      </w:tr>
      <w:tr w:rsidR="00D51736" w:rsidRPr="00030D2D" w:rsidTr="00BE6BF8">
        <w:tc>
          <w:tcPr>
            <w:tcW w:w="2693" w:type="dxa"/>
            <w:vAlign w:val="center"/>
          </w:tcPr>
          <w:p w:rsidR="00D51736" w:rsidRDefault="00D51736" w:rsidP="00BE6BF8">
            <w:pPr>
              <w:autoSpaceDE w:val="0"/>
              <w:spacing w:after="0" w:line="480" w:lineRule="auto"/>
              <w:jc w:val="center"/>
              <w:rPr>
                <w:rFonts w:cs="TimesNewRomanPS-BoldMT"/>
                <w:b/>
                <w:bCs/>
                <w:sz w:val="20"/>
                <w:szCs w:val="20"/>
              </w:rPr>
            </w:pPr>
            <w:r w:rsidRPr="00030D2D">
              <w:rPr>
                <w:rFonts w:cs="TimesNewRomanPS-BoldMT"/>
                <w:b/>
                <w:bCs/>
                <w:sz w:val="20"/>
                <w:szCs w:val="20"/>
              </w:rPr>
              <w:t>Three formulae</w:t>
            </w:r>
            <w:r w:rsidRPr="00E27BF2">
              <w:rPr>
                <w:rFonts w:cs="TimesNewRomanPS-BoldMT"/>
                <w:b/>
                <w:bCs/>
                <w:sz w:val="20"/>
                <w:szCs w:val="20"/>
              </w:rPr>
              <w:t xml:space="preserve"> APLS</w:t>
            </w:r>
          </w:p>
          <w:p w:rsidR="00D51736" w:rsidRPr="00E27BF2" w:rsidRDefault="00D51736" w:rsidP="00BE6BF8">
            <w:pPr>
              <w:autoSpaceDE w:val="0"/>
              <w:spacing w:after="0" w:line="480" w:lineRule="auto"/>
              <w:jc w:val="center"/>
              <w:rPr>
                <w:rFonts w:cs="TimesNewRomanPS-BoldMT"/>
                <w:bCs/>
                <w:sz w:val="20"/>
                <w:szCs w:val="20"/>
              </w:rPr>
            </w:pPr>
            <w:r>
              <w:rPr>
                <w:rFonts w:cs="TimesNewRomanPS-BoldMT"/>
                <w:b/>
                <w:bCs/>
                <w:sz w:val="20"/>
                <w:szCs w:val="20"/>
              </w:rPr>
              <w:t>(APLS3)</w:t>
            </w:r>
          </w:p>
        </w:tc>
        <w:tc>
          <w:tcPr>
            <w:tcW w:w="1560" w:type="dxa"/>
            <w:vAlign w:val="center"/>
          </w:tcPr>
          <w:p w:rsidR="00D51736" w:rsidRPr="00E27BF2" w:rsidRDefault="00D51736" w:rsidP="00BE6BF8">
            <w:pPr>
              <w:autoSpaceDE w:val="0"/>
              <w:spacing w:after="0" w:line="480" w:lineRule="auto"/>
              <w:jc w:val="center"/>
              <w:rPr>
                <w:rFonts w:cs="TimesNewRomanPS-BoldMT"/>
                <w:bCs/>
                <w:sz w:val="20"/>
                <w:szCs w:val="20"/>
              </w:rPr>
            </w:pPr>
            <w:r w:rsidRPr="00E27BF2">
              <w:rPr>
                <w:rFonts w:cs="TimesNewRomanPS-BoldMT"/>
                <w:bCs/>
                <w:sz w:val="20"/>
                <w:szCs w:val="20"/>
              </w:rPr>
              <w:t>&lt;12 months</w:t>
            </w:r>
          </w:p>
          <w:p w:rsidR="00D51736" w:rsidRPr="00E27BF2" w:rsidRDefault="00D51736" w:rsidP="00BE6BF8">
            <w:pPr>
              <w:autoSpaceDE w:val="0"/>
              <w:spacing w:after="0" w:line="480" w:lineRule="auto"/>
              <w:jc w:val="center"/>
              <w:rPr>
                <w:rFonts w:cs="TimesNewRomanPS-BoldMT"/>
                <w:bCs/>
                <w:sz w:val="20"/>
                <w:szCs w:val="20"/>
              </w:rPr>
            </w:pPr>
            <w:r w:rsidRPr="00E27BF2">
              <w:rPr>
                <w:rFonts w:cs="TimesNewRomanPS-BoldMT"/>
                <w:bCs/>
                <w:sz w:val="20"/>
                <w:szCs w:val="20"/>
              </w:rPr>
              <w:t>1-5 years</w:t>
            </w:r>
          </w:p>
          <w:p w:rsidR="00D51736" w:rsidRPr="00E27BF2" w:rsidRDefault="00D51736" w:rsidP="00BE6BF8">
            <w:pPr>
              <w:autoSpaceDE w:val="0"/>
              <w:spacing w:after="0" w:line="480" w:lineRule="auto"/>
              <w:jc w:val="center"/>
              <w:rPr>
                <w:rFonts w:cs="TimesNewRomanPS-BoldMT"/>
                <w:bCs/>
                <w:sz w:val="20"/>
                <w:szCs w:val="20"/>
              </w:rPr>
            </w:pPr>
            <w:r>
              <w:rPr>
                <w:rFonts w:cs="TimesNewRomanPS-BoldMT"/>
                <w:bCs/>
                <w:sz w:val="20"/>
                <w:szCs w:val="20"/>
              </w:rPr>
              <w:t xml:space="preserve">6-12 </w:t>
            </w:r>
            <w:r w:rsidRPr="00E27BF2">
              <w:rPr>
                <w:rFonts w:cs="TimesNewRomanPS-BoldMT"/>
                <w:bCs/>
                <w:sz w:val="20"/>
                <w:szCs w:val="20"/>
              </w:rPr>
              <w:t>years</w:t>
            </w:r>
          </w:p>
        </w:tc>
        <w:tc>
          <w:tcPr>
            <w:tcW w:w="3543" w:type="dxa"/>
            <w:vAlign w:val="center"/>
          </w:tcPr>
          <w:p w:rsidR="00D51736" w:rsidRPr="00E27BF2" w:rsidRDefault="00D51736" w:rsidP="00BE6BF8">
            <w:pPr>
              <w:autoSpaceDE w:val="0"/>
              <w:spacing w:after="0" w:line="480" w:lineRule="auto"/>
              <w:jc w:val="center"/>
              <w:rPr>
                <w:rFonts w:cs="TimesNewRomanPS-BoldMT"/>
                <w:bCs/>
                <w:sz w:val="20"/>
                <w:szCs w:val="20"/>
              </w:rPr>
            </w:pPr>
            <w:r w:rsidRPr="00E27BF2">
              <w:rPr>
                <w:rFonts w:cs="TimesNewRomanPS-BoldMT"/>
                <w:bCs/>
                <w:sz w:val="20"/>
                <w:szCs w:val="20"/>
              </w:rPr>
              <w:t>weight = (</w:t>
            </w:r>
            <w:r w:rsidRPr="00030D2D">
              <w:rPr>
                <w:rFonts w:cs="TimesNewRomanPS-BoldMT"/>
                <w:bCs/>
                <w:sz w:val="20"/>
                <w:szCs w:val="20"/>
              </w:rPr>
              <w:t xml:space="preserve"> 0.5 x </w:t>
            </w:r>
            <w:r w:rsidRPr="00E27BF2">
              <w:rPr>
                <w:rFonts w:cs="TimesNewRomanPS-BoldMT"/>
                <w:bCs/>
                <w:sz w:val="20"/>
                <w:szCs w:val="20"/>
              </w:rPr>
              <w:t>age in months</w:t>
            </w:r>
            <w:r w:rsidRPr="00030D2D">
              <w:rPr>
                <w:rFonts w:cs="TimesNewRomanPS-BoldMT"/>
                <w:bCs/>
                <w:sz w:val="20"/>
                <w:szCs w:val="20"/>
              </w:rPr>
              <w:t>) + 4</w:t>
            </w:r>
            <w:r w:rsidRPr="00E27BF2">
              <w:rPr>
                <w:rFonts w:cs="TimesNewRomanPS-BoldMT"/>
                <w:bCs/>
                <w:sz w:val="20"/>
                <w:szCs w:val="20"/>
              </w:rPr>
              <w:br/>
              <w:t>weight = (2 x age) + 8</w:t>
            </w:r>
            <w:r w:rsidRPr="00E27BF2">
              <w:rPr>
                <w:rFonts w:cs="TimesNewRomanPS-BoldMT"/>
                <w:bCs/>
                <w:sz w:val="20"/>
                <w:szCs w:val="20"/>
              </w:rPr>
              <w:br/>
              <w:t>weight = (3 x age) +7</w:t>
            </w:r>
          </w:p>
        </w:tc>
      </w:tr>
      <w:tr w:rsidR="00D51736" w:rsidRPr="00030D2D" w:rsidTr="00BE6BF8">
        <w:tc>
          <w:tcPr>
            <w:tcW w:w="2693" w:type="dxa"/>
            <w:vAlign w:val="center"/>
          </w:tcPr>
          <w:p w:rsidR="00D51736" w:rsidRDefault="00D51736" w:rsidP="00BE6BF8">
            <w:pPr>
              <w:autoSpaceDE w:val="0"/>
              <w:spacing w:after="0" w:line="480" w:lineRule="auto"/>
              <w:jc w:val="center"/>
              <w:rPr>
                <w:rFonts w:cs="Arial"/>
                <w:b/>
                <w:bCs/>
                <w:sz w:val="20"/>
                <w:szCs w:val="20"/>
              </w:rPr>
            </w:pPr>
            <w:r>
              <w:rPr>
                <w:rFonts w:cs="Arial"/>
                <w:b/>
                <w:bCs/>
                <w:sz w:val="20"/>
                <w:szCs w:val="20"/>
              </w:rPr>
              <w:t xml:space="preserve">Modified </w:t>
            </w:r>
            <w:r w:rsidRPr="00E27BF2">
              <w:rPr>
                <w:rFonts w:cs="Arial"/>
                <w:b/>
                <w:bCs/>
                <w:sz w:val="20"/>
                <w:szCs w:val="20"/>
              </w:rPr>
              <w:t>Best Guess Method</w:t>
            </w:r>
          </w:p>
          <w:p w:rsidR="00D51736" w:rsidRPr="00E27BF2" w:rsidRDefault="00D51736" w:rsidP="00BE6BF8">
            <w:pPr>
              <w:autoSpaceDE w:val="0"/>
              <w:spacing w:after="0" w:line="480" w:lineRule="auto"/>
              <w:jc w:val="center"/>
              <w:rPr>
                <w:rFonts w:cs="Arial"/>
                <w:b/>
                <w:bCs/>
                <w:sz w:val="20"/>
                <w:szCs w:val="20"/>
              </w:rPr>
            </w:pPr>
            <w:r>
              <w:rPr>
                <w:rFonts w:cs="Arial"/>
                <w:b/>
                <w:bCs/>
                <w:sz w:val="20"/>
                <w:szCs w:val="20"/>
              </w:rPr>
              <w:t>(BGM)</w:t>
            </w:r>
          </w:p>
        </w:tc>
        <w:tc>
          <w:tcPr>
            <w:tcW w:w="1560" w:type="dxa"/>
            <w:vAlign w:val="center"/>
          </w:tcPr>
          <w:p w:rsidR="00D51736" w:rsidRPr="00E27BF2" w:rsidRDefault="00D51736" w:rsidP="00BE6BF8">
            <w:pPr>
              <w:autoSpaceDE w:val="0"/>
              <w:spacing w:after="0" w:line="480" w:lineRule="auto"/>
              <w:jc w:val="center"/>
              <w:rPr>
                <w:rFonts w:cs="Arial"/>
                <w:bCs/>
                <w:sz w:val="20"/>
                <w:szCs w:val="20"/>
              </w:rPr>
            </w:pPr>
            <w:r>
              <w:rPr>
                <w:rFonts w:cs="Arial"/>
                <w:sz w:val="20"/>
                <w:szCs w:val="20"/>
              </w:rPr>
              <w:t>&lt;12 months</w:t>
            </w:r>
            <w:r>
              <w:rPr>
                <w:rFonts w:cs="Arial"/>
                <w:sz w:val="20"/>
                <w:szCs w:val="20"/>
              </w:rPr>
              <w:br/>
              <w:t>1-9 years</w:t>
            </w:r>
            <w:r>
              <w:rPr>
                <w:rFonts w:cs="Arial"/>
                <w:sz w:val="20"/>
                <w:szCs w:val="20"/>
              </w:rPr>
              <w:br/>
              <w:t>10</w:t>
            </w:r>
            <w:r w:rsidRPr="00E27BF2">
              <w:rPr>
                <w:rFonts w:cs="Arial"/>
                <w:sz w:val="20"/>
                <w:szCs w:val="20"/>
              </w:rPr>
              <w:t>-14 years</w:t>
            </w:r>
          </w:p>
        </w:tc>
        <w:tc>
          <w:tcPr>
            <w:tcW w:w="3543" w:type="dxa"/>
            <w:vAlign w:val="center"/>
          </w:tcPr>
          <w:p w:rsidR="00D51736" w:rsidRPr="00E27BF2" w:rsidRDefault="00D51736" w:rsidP="00BE6BF8">
            <w:pPr>
              <w:autoSpaceDE w:val="0"/>
              <w:spacing w:after="0" w:line="480" w:lineRule="auto"/>
              <w:jc w:val="center"/>
              <w:rPr>
                <w:rFonts w:cs="Arial"/>
                <w:sz w:val="20"/>
                <w:szCs w:val="20"/>
              </w:rPr>
            </w:pPr>
            <w:r w:rsidRPr="00E27BF2">
              <w:rPr>
                <w:rFonts w:cs="Arial"/>
                <w:sz w:val="20"/>
                <w:szCs w:val="20"/>
              </w:rPr>
              <w:t>weight = (age in months +9) / 2</w:t>
            </w:r>
          </w:p>
          <w:p w:rsidR="00D51736" w:rsidRPr="00E27BF2" w:rsidRDefault="00D51736" w:rsidP="00BE6BF8">
            <w:pPr>
              <w:autoSpaceDE w:val="0"/>
              <w:spacing w:after="0" w:line="480" w:lineRule="auto"/>
              <w:jc w:val="center"/>
              <w:rPr>
                <w:rFonts w:cs="Arial"/>
                <w:sz w:val="20"/>
                <w:szCs w:val="20"/>
              </w:rPr>
            </w:pPr>
            <w:r w:rsidRPr="00E27BF2">
              <w:rPr>
                <w:rFonts w:cs="Arial"/>
                <w:sz w:val="20"/>
                <w:szCs w:val="20"/>
              </w:rPr>
              <w:t>weight = (2 x age) +10</w:t>
            </w:r>
          </w:p>
          <w:p w:rsidR="00D51736" w:rsidRPr="00E27BF2" w:rsidRDefault="00D51736" w:rsidP="00BE6BF8">
            <w:pPr>
              <w:autoSpaceDE w:val="0"/>
              <w:spacing w:after="0" w:line="480" w:lineRule="auto"/>
              <w:jc w:val="center"/>
              <w:rPr>
                <w:rFonts w:cs="Arial"/>
                <w:sz w:val="20"/>
                <w:szCs w:val="20"/>
              </w:rPr>
            </w:pPr>
            <w:r w:rsidRPr="00E27BF2">
              <w:rPr>
                <w:rFonts w:cs="Arial"/>
                <w:sz w:val="20"/>
                <w:szCs w:val="20"/>
              </w:rPr>
              <w:t>weight = (4 x age)</w:t>
            </w:r>
          </w:p>
        </w:tc>
      </w:tr>
      <w:tr w:rsidR="00D51736" w:rsidRPr="00030D2D" w:rsidTr="00BE6BF8">
        <w:tc>
          <w:tcPr>
            <w:tcW w:w="2693" w:type="dxa"/>
            <w:vAlign w:val="center"/>
          </w:tcPr>
          <w:p w:rsidR="00D51736" w:rsidRPr="00E27BF2" w:rsidRDefault="00D51736" w:rsidP="00BE6BF8">
            <w:pPr>
              <w:autoSpaceDE w:val="0"/>
              <w:spacing w:after="0" w:line="480" w:lineRule="auto"/>
              <w:jc w:val="center"/>
              <w:rPr>
                <w:sz w:val="20"/>
                <w:szCs w:val="20"/>
              </w:rPr>
            </w:pPr>
            <w:r w:rsidRPr="00E27BF2">
              <w:rPr>
                <w:rFonts w:cs="Arial"/>
                <w:b/>
                <w:bCs/>
                <w:sz w:val="20"/>
                <w:szCs w:val="20"/>
              </w:rPr>
              <w:t>Reference table</w:t>
            </w:r>
            <w:r>
              <w:rPr>
                <w:rFonts w:cs="Arial"/>
                <w:b/>
                <w:bCs/>
                <w:sz w:val="20"/>
                <w:szCs w:val="20"/>
              </w:rPr>
              <w:t>*</w:t>
            </w:r>
          </w:p>
          <w:p w:rsidR="00D51736" w:rsidRPr="00E27BF2" w:rsidRDefault="00D51736" w:rsidP="006246B9">
            <w:pPr>
              <w:autoSpaceDE w:val="0"/>
              <w:spacing w:after="0" w:line="480" w:lineRule="auto"/>
              <w:jc w:val="center"/>
              <w:rPr>
                <w:rFonts w:cs="Arial"/>
                <w:b/>
                <w:bCs/>
                <w:sz w:val="20"/>
                <w:szCs w:val="20"/>
              </w:rPr>
            </w:pPr>
            <w:r w:rsidRPr="00E27BF2">
              <w:rPr>
                <w:sz w:val="20"/>
                <w:szCs w:val="20"/>
              </w:rPr>
              <w:t>Derived from UK</w:t>
            </w:r>
            <w:r>
              <w:rPr>
                <w:sz w:val="20"/>
                <w:szCs w:val="20"/>
              </w:rPr>
              <w:t>-WHO</w:t>
            </w:r>
            <w:r w:rsidRPr="00E27BF2">
              <w:rPr>
                <w:sz w:val="20"/>
                <w:szCs w:val="20"/>
              </w:rPr>
              <w:t xml:space="preserve"> growth </w:t>
            </w:r>
            <w:r>
              <w:rPr>
                <w:sz w:val="20"/>
                <w:szCs w:val="20"/>
              </w:rPr>
              <w:t>charts</w:t>
            </w:r>
            <w:r w:rsidR="009C40C3">
              <w:rPr>
                <w:sz w:val="20"/>
                <w:szCs w:val="20"/>
              </w:rPr>
              <w:fldChar w:fldCharType="begin"/>
            </w:r>
            <w:r w:rsidR="009C40C3">
              <w:rPr>
                <w:sz w:val="20"/>
                <w:szCs w:val="20"/>
              </w:rPr>
              <w:instrText xml:space="preserve"> ADDIN ZOTERO_ITEM CSL_CITATION {"citationID":"RxWLTb6P","properties":{"formattedCitation":"[16]","plainCitation":"[16]","noteIndex":0},"citationItems":[{"id":6974,"uris":["http://zotero.org/users/14208/items/58L3KGUX"],"uri":["http://zotero.org/users/14208/items/58L3KGUX"],"itemData":{"id":6974,"type":"article-journal","title":"Growth reference charts for use in the United Kingdom","container-title":"Archives of Disease in Childhood","page":"11-14","volume":"86","issue":"1","source":"PubMed","abstract":"Since the introduction of new growth charts in the mid 1990s, there has been confusion about which charts should be used, with many districts using more than one version. Because of this uncertainty, an expert working party, the Growth Reference Review Group, was convened by the Royal College of Paediatrics and Child Health to provide guidance on the validity and comparability of the different charts currently in use. This paper describes the technical background to the construction and evaluation of growth charts and outlines the group's findings on the validity of each growth reference in relation to contemporary British children. The group concluded that for most clinical purposes the UK90 reference is superior and for many measures is the only usable reference that can be recommended, while the original Tanner-Whitehouse and the Gairdner-Pearson charts are no longer reliable for use at any age. After the age of 2 the revised Buckler-Tanner references are still suitable for assessing height. There are presently no reliable head circumference reference charts for use beyond infancy. The group propose that apart from refinements of chart design and layout, the new UK90 reference should now be \"frozen\", with any future revisions only undertaken after careful planning and widespread consultation.","ISSN":"1468-2044","note":"PMID: 11806873\nPMCID: PMC1719041","journalAbbreviation":"Arch. Dis. Child.","language":"eng","author":[{"family":"Wright","given":"C. M."},{"family":"Booth","given":"I. W."},{"family":"Buckler","given":"J. M. H."},{"family":"Cameron","given":"N."},{"family":"Cole","given":"T. J."},{"family":"Healy","given":"M. J. R."},{"family":"Hulse","given":"J. A."},{"family":"Preece","given":"M. A."},{"family":"Reilly","given":"J. J."},{"family":"Williams","given":"A. F."}],"issued":{"date-parts":[["2002",1]]}}}],"schema":"https://github.com/citation-style-language/schema/raw/master/csl-citation.json"} </w:instrText>
            </w:r>
            <w:r w:rsidR="009C40C3">
              <w:rPr>
                <w:sz w:val="20"/>
                <w:szCs w:val="20"/>
              </w:rPr>
              <w:fldChar w:fldCharType="separate"/>
            </w:r>
            <w:r w:rsidR="009C40C3" w:rsidRPr="00D600DA">
              <w:rPr>
                <w:rFonts w:cs="Calibri"/>
                <w:sz w:val="20"/>
              </w:rPr>
              <w:t>[16]</w:t>
            </w:r>
            <w:r w:rsidR="009C40C3">
              <w:rPr>
                <w:sz w:val="20"/>
                <w:szCs w:val="20"/>
              </w:rPr>
              <w:fldChar w:fldCharType="end"/>
            </w:r>
          </w:p>
        </w:tc>
        <w:tc>
          <w:tcPr>
            <w:tcW w:w="1560" w:type="dxa"/>
            <w:vAlign w:val="center"/>
          </w:tcPr>
          <w:p w:rsidR="00D51736" w:rsidRPr="00E27BF2" w:rsidRDefault="00D51736" w:rsidP="00BE6BF8">
            <w:pPr>
              <w:autoSpaceDE w:val="0"/>
              <w:spacing w:after="0" w:line="480" w:lineRule="auto"/>
              <w:jc w:val="center"/>
              <w:rPr>
                <w:rFonts w:cs="Arial"/>
                <w:sz w:val="20"/>
                <w:szCs w:val="20"/>
              </w:rPr>
            </w:pPr>
            <w:r w:rsidRPr="00E27BF2">
              <w:rPr>
                <w:rFonts w:cs="Arial"/>
                <w:sz w:val="20"/>
                <w:szCs w:val="20"/>
              </w:rPr>
              <w:t>0-16 years</w:t>
            </w:r>
          </w:p>
        </w:tc>
        <w:tc>
          <w:tcPr>
            <w:tcW w:w="3543" w:type="dxa"/>
            <w:vAlign w:val="center"/>
          </w:tcPr>
          <w:p w:rsidR="00D51736" w:rsidRPr="00E27BF2" w:rsidRDefault="00D51736" w:rsidP="00BE6BF8">
            <w:pPr>
              <w:autoSpaceDE w:val="0"/>
              <w:spacing w:after="0" w:line="480" w:lineRule="auto"/>
              <w:jc w:val="center"/>
              <w:rPr>
                <w:rFonts w:cs="Arial"/>
                <w:sz w:val="20"/>
                <w:szCs w:val="20"/>
              </w:rPr>
            </w:pPr>
            <w:r>
              <w:rPr>
                <w:sz w:val="20"/>
                <w:szCs w:val="20"/>
              </w:rPr>
              <w:t>w</w:t>
            </w:r>
            <w:r w:rsidRPr="00E27BF2">
              <w:rPr>
                <w:sz w:val="20"/>
                <w:szCs w:val="20"/>
              </w:rPr>
              <w:t>eight = 50</w:t>
            </w:r>
            <w:r w:rsidRPr="00E27BF2">
              <w:rPr>
                <w:sz w:val="20"/>
                <w:szCs w:val="20"/>
                <w:vertAlign w:val="superscript"/>
              </w:rPr>
              <w:t>th</w:t>
            </w:r>
            <w:r>
              <w:rPr>
                <w:sz w:val="20"/>
                <w:szCs w:val="20"/>
              </w:rPr>
              <w:t xml:space="preserve"> centile for age</w:t>
            </w:r>
          </w:p>
        </w:tc>
      </w:tr>
    </w:tbl>
    <w:p w:rsidR="00D51736" w:rsidRDefault="00D51736" w:rsidP="00D51736">
      <w:pPr>
        <w:spacing w:line="480" w:lineRule="auto"/>
      </w:pPr>
      <w:r w:rsidRPr="00844B11">
        <w:rPr>
          <w:i/>
        </w:rPr>
        <w:t xml:space="preserve"> (*reference table as provided to participants available as online supplement)</w:t>
      </w:r>
    </w:p>
    <w:p w:rsidR="00D51736" w:rsidRPr="00D51736" w:rsidRDefault="00D51736" w:rsidP="00D51736">
      <w:pPr>
        <w:rPr>
          <w:b/>
          <w:sz w:val="24"/>
          <w:szCs w:val="24"/>
        </w:rPr>
      </w:pPr>
      <w:r w:rsidRPr="00D51736">
        <w:rPr>
          <w:b/>
          <w:sz w:val="24"/>
          <w:szCs w:val="24"/>
        </w:rPr>
        <w:t>Table 2:  Grade and speciality of respondents</w:t>
      </w:r>
    </w:p>
    <w:tbl>
      <w:tblPr>
        <w:tblStyle w:val="TableGrid"/>
        <w:tblW w:w="0" w:type="auto"/>
        <w:tblLayout w:type="fixed"/>
        <w:tblLook w:val="04A0" w:firstRow="1" w:lastRow="0" w:firstColumn="1" w:lastColumn="0" w:noHBand="0" w:noVBand="1"/>
      </w:tblPr>
      <w:tblGrid>
        <w:gridCol w:w="817"/>
        <w:gridCol w:w="534"/>
        <w:gridCol w:w="660"/>
        <w:gridCol w:w="723"/>
        <w:gridCol w:w="723"/>
        <w:gridCol w:w="1061"/>
        <w:gridCol w:w="1260"/>
        <w:gridCol w:w="709"/>
        <w:gridCol w:w="1276"/>
        <w:gridCol w:w="1134"/>
      </w:tblGrid>
      <w:tr w:rsidR="00D51736" w:rsidTr="00BE6BF8">
        <w:tc>
          <w:tcPr>
            <w:tcW w:w="4518" w:type="dxa"/>
            <w:gridSpan w:val="6"/>
            <w:vAlign w:val="center"/>
          </w:tcPr>
          <w:p w:rsidR="00D51736" w:rsidRDefault="00D51736" w:rsidP="00BE6BF8">
            <w:pPr>
              <w:jc w:val="center"/>
              <w:rPr>
                <w:rFonts w:ascii="Arial" w:eastAsia="Times New Roman" w:hAnsi="Arial"/>
                <w:color w:val="222222"/>
                <w:sz w:val="19"/>
                <w:szCs w:val="19"/>
              </w:rPr>
            </w:pPr>
            <w:r>
              <w:rPr>
                <w:rFonts w:ascii="Arial" w:eastAsia="Times New Roman" w:hAnsi="Arial"/>
                <w:color w:val="222222"/>
                <w:sz w:val="19"/>
                <w:szCs w:val="19"/>
              </w:rPr>
              <w:t>Paediatrician</w:t>
            </w:r>
          </w:p>
        </w:tc>
        <w:tc>
          <w:tcPr>
            <w:tcW w:w="1260" w:type="dxa"/>
            <w:vMerge w:val="restart"/>
            <w:vAlign w:val="center"/>
          </w:tcPr>
          <w:p w:rsidR="00D51736" w:rsidRDefault="00D51736" w:rsidP="00BE6BF8">
            <w:pPr>
              <w:jc w:val="center"/>
              <w:rPr>
                <w:rFonts w:ascii="Arial" w:eastAsia="Times New Roman" w:hAnsi="Arial"/>
                <w:color w:val="222222"/>
                <w:sz w:val="19"/>
                <w:szCs w:val="19"/>
              </w:rPr>
            </w:pPr>
            <w:r>
              <w:rPr>
                <w:rFonts w:ascii="Arial" w:eastAsia="Times New Roman" w:hAnsi="Arial"/>
                <w:color w:val="222222"/>
                <w:sz w:val="19"/>
                <w:szCs w:val="19"/>
              </w:rPr>
              <w:t>Foundation Trainee</w:t>
            </w:r>
          </w:p>
        </w:tc>
        <w:tc>
          <w:tcPr>
            <w:tcW w:w="709" w:type="dxa"/>
            <w:vMerge w:val="restart"/>
            <w:vAlign w:val="center"/>
          </w:tcPr>
          <w:p w:rsidR="00D51736" w:rsidRDefault="00D51736" w:rsidP="00BE6BF8">
            <w:pPr>
              <w:jc w:val="center"/>
              <w:rPr>
                <w:rFonts w:ascii="Arial" w:eastAsia="Times New Roman" w:hAnsi="Arial"/>
                <w:color w:val="222222"/>
                <w:sz w:val="19"/>
                <w:szCs w:val="19"/>
              </w:rPr>
            </w:pPr>
            <w:r>
              <w:rPr>
                <w:rFonts w:ascii="Arial" w:eastAsia="Times New Roman" w:hAnsi="Arial"/>
                <w:color w:val="222222"/>
                <w:sz w:val="19"/>
                <w:szCs w:val="19"/>
              </w:rPr>
              <w:t>Adult EM ST4+</w:t>
            </w:r>
          </w:p>
        </w:tc>
        <w:tc>
          <w:tcPr>
            <w:tcW w:w="1276" w:type="dxa"/>
            <w:vMerge w:val="restart"/>
            <w:vAlign w:val="center"/>
          </w:tcPr>
          <w:p w:rsidR="00D51736" w:rsidRDefault="00D51736" w:rsidP="00BE6BF8">
            <w:pPr>
              <w:jc w:val="center"/>
              <w:rPr>
                <w:rFonts w:ascii="Arial" w:eastAsia="Times New Roman" w:hAnsi="Arial"/>
                <w:color w:val="222222"/>
                <w:sz w:val="19"/>
                <w:szCs w:val="19"/>
              </w:rPr>
            </w:pPr>
            <w:r>
              <w:rPr>
                <w:rFonts w:ascii="Arial" w:eastAsia="Times New Roman" w:hAnsi="Arial"/>
                <w:color w:val="222222"/>
                <w:sz w:val="19"/>
                <w:szCs w:val="19"/>
              </w:rPr>
              <w:t xml:space="preserve">Anaesthetics </w:t>
            </w:r>
            <w:r>
              <w:rPr>
                <w:rFonts w:ascii="Arial" w:eastAsia="Times New Roman" w:hAnsi="Arial"/>
                <w:color w:val="222222"/>
                <w:sz w:val="19"/>
                <w:szCs w:val="19"/>
              </w:rPr>
              <w:br/>
              <w:t>ST4+</w:t>
            </w:r>
          </w:p>
        </w:tc>
        <w:tc>
          <w:tcPr>
            <w:tcW w:w="1134" w:type="dxa"/>
            <w:vMerge w:val="restart"/>
            <w:vAlign w:val="center"/>
          </w:tcPr>
          <w:p w:rsidR="00D51736" w:rsidRDefault="00D51736" w:rsidP="00BE6BF8">
            <w:pPr>
              <w:jc w:val="center"/>
              <w:rPr>
                <w:rFonts w:ascii="Arial" w:eastAsia="Times New Roman" w:hAnsi="Arial"/>
                <w:color w:val="222222"/>
                <w:sz w:val="19"/>
                <w:szCs w:val="19"/>
              </w:rPr>
            </w:pPr>
            <w:r>
              <w:rPr>
                <w:rFonts w:ascii="Arial" w:eastAsia="Times New Roman" w:hAnsi="Arial"/>
                <w:color w:val="222222"/>
                <w:sz w:val="19"/>
                <w:szCs w:val="19"/>
              </w:rPr>
              <w:t>Paramedic</w:t>
            </w:r>
          </w:p>
        </w:tc>
      </w:tr>
      <w:tr w:rsidR="00D51736" w:rsidTr="00BE6BF8">
        <w:tc>
          <w:tcPr>
            <w:tcW w:w="817" w:type="dxa"/>
            <w:vAlign w:val="center"/>
          </w:tcPr>
          <w:p w:rsidR="00D51736" w:rsidRDefault="00D51736" w:rsidP="00BE6BF8">
            <w:pPr>
              <w:jc w:val="center"/>
              <w:rPr>
                <w:rFonts w:ascii="Arial" w:eastAsia="Times New Roman" w:hAnsi="Arial"/>
                <w:color w:val="222222"/>
                <w:sz w:val="19"/>
                <w:szCs w:val="19"/>
              </w:rPr>
            </w:pPr>
            <w:r>
              <w:rPr>
                <w:rFonts w:ascii="Arial" w:eastAsia="Times New Roman" w:hAnsi="Arial"/>
                <w:color w:val="222222"/>
                <w:sz w:val="19"/>
                <w:szCs w:val="19"/>
              </w:rPr>
              <w:t>ST1-3</w:t>
            </w:r>
          </w:p>
        </w:tc>
        <w:tc>
          <w:tcPr>
            <w:tcW w:w="534" w:type="dxa"/>
            <w:vAlign w:val="center"/>
          </w:tcPr>
          <w:p w:rsidR="00D51736" w:rsidRDefault="00D51736" w:rsidP="00BE6BF8">
            <w:pPr>
              <w:jc w:val="center"/>
              <w:rPr>
                <w:rFonts w:ascii="Arial" w:eastAsia="Times New Roman" w:hAnsi="Arial"/>
                <w:color w:val="222222"/>
                <w:sz w:val="19"/>
                <w:szCs w:val="19"/>
              </w:rPr>
            </w:pPr>
            <w:r>
              <w:rPr>
                <w:rFonts w:ascii="Arial" w:eastAsia="Times New Roman" w:hAnsi="Arial"/>
                <w:color w:val="222222"/>
                <w:sz w:val="19"/>
                <w:szCs w:val="19"/>
              </w:rPr>
              <w:t>ST4+</w:t>
            </w:r>
          </w:p>
        </w:tc>
        <w:tc>
          <w:tcPr>
            <w:tcW w:w="660" w:type="dxa"/>
            <w:vAlign w:val="center"/>
          </w:tcPr>
          <w:p w:rsidR="00D51736" w:rsidRDefault="00D51736" w:rsidP="00BE6BF8">
            <w:pPr>
              <w:jc w:val="center"/>
              <w:rPr>
                <w:rFonts w:ascii="Arial" w:eastAsia="Times New Roman" w:hAnsi="Arial"/>
                <w:color w:val="222222"/>
                <w:sz w:val="19"/>
                <w:szCs w:val="19"/>
              </w:rPr>
            </w:pPr>
            <w:r>
              <w:rPr>
                <w:rFonts w:ascii="Arial" w:eastAsia="Times New Roman" w:hAnsi="Arial"/>
                <w:color w:val="222222"/>
                <w:sz w:val="19"/>
                <w:szCs w:val="19"/>
              </w:rPr>
              <w:t>EM Grid</w:t>
            </w:r>
          </w:p>
        </w:tc>
        <w:tc>
          <w:tcPr>
            <w:tcW w:w="723" w:type="dxa"/>
            <w:vAlign w:val="center"/>
          </w:tcPr>
          <w:p w:rsidR="00D51736" w:rsidRDefault="00D51736" w:rsidP="00BE6BF8">
            <w:pPr>
              <w:jc w:val="center"/>
              <w:rPr>
                <w:rFonts w:ascii="Arial" w:eastAsia="Times New Roman" w:hAnsi="Arial"/>
                <w:color w:val="222222"/>
                <w:sz w:val="19"/>
                <w:szCs w:val="19"/>
              </w:rPr>
            </w:pPr>
            <w:r>
              <w:rPr>
                <w:rFonts w:ascii="Arial" w:eastAsia="Times New Roman" w:hAnsi="Arial"/>
                <w:color w:val="222222"/>
                <w:sz w:val="19"/>
                <w:szCs w:val="19"/>
              </w:rPr>
              <w:t>EM Cons</w:t>
            </w:r>
          </w:p>
        </w:tc>
        <w:tc>
          <w:tcPr>
            <w:tcW w:w="723" w:type="dxa"/>
            <w:vAlign w:val="center"/>
          </w:tcPr>
          <w:p w:rsidR="00D51736" w:rsidRDefault="00D51736" w:rsidP="00BE6BF8">
            <w:pPr>
              <w:jc w:val="center"/>
              <w:rPr>
                <w:rFonts w:ascii="Arial" w:eastAsia="Times New Roman" w:hAnsi="Arial"/>
                <w:color w:val="222222"/>
                <w:sz w:val="19"/>
                <w:szCs w:val="19"/>
              </w:rPr>
            </w:pPr>
            <w:r>
              <w:rPr>
                <w:rFonts w:ascii="Arial" w:eastAsia="Times New Roman" w:hAnsi="Arial"/>
                <w:color w:val="222222"/>
                <w:sz w:val="19"/>
                <w:szCs w:val="19"/>
              </w:rPr>
              <w:t>Nurse</w:t>
            </w:r>
          </w:p>
        </w:tc>
        <w:tc>
          <w:tcPr>
            <w:tcW w:w="1061" w:type="dxa"/>
            <w:vAlign w:val="center"/>
          </w:tcPr>
          <w:p w:rsidR="00D51736" w:rsidRDefault="00D51736" w:rsidP="00BE6BF8">
            <w:pPr>
              <w:jc w:val="center"/>
              <w:rPr>
                <w:rFonts w:ascii="Arial" w:eastAsia="Times New Roman" w:hAnsi="Arial"/>
                <w:color w:val="222222"/>
                <w:sz w:val="19"/>
                <w:szCs w:val="19"/>
              </w:rPr>
            </w:pPr>
            <w:proofErr w:type="spellStart"/>
            <w:r>
              <w:rPr>
                <w:rFonts w:ascii="Arial" w:eastAsia="Times New Roman" w:hAnsi="Arial"/>
                <w:color w:val="222222"/>
                <w:sz w:val="19"/>
                <w:szCs w:val="19"/>
              </w:rPr>
              <w:t>Intensivist</w:t>
            </w:r>
            <w:proofErr w:type="spellEnd"/>
          </w:p>
        </w:tc>
        <w:tc>
          <w:tcPr>
            <w:tcW w:w="1260" w:type="dxa"/>
            <w:vMerge/>
            <w:vAlign w:val="center"/>
          </w:tcPr>
          <w:p w:rsidR="00D51736" w:rsidRDefault="00D51736" w:rsidP="00BE6BF8">
            <w:pPr>
              <w:jc w:val="center"/>
              <w:rPr>
                <w:rFonts w:ascii="Arial" w:eastAsia="Times New Roman" w:hAnsi="Arial"/>
                <w:color w:val="222222"/>
                <w:sz w:val="19"/>
                <w:szCs w:val="19"/>
              </w:rPr>
            </w:pPr>
          </w:p>
        </w:tc>
        <w:tc>
          <w:tcPr>
            <w:tcW w:w="709" w:type="dxa"/>
            <w:vMerge/>
            <w:vAlign w:val="center"/>
          </w:tcPr>
          <w:p w:rsidR="00D51736" w:rsidRDefault="00D51736" w:rsidP="00BE6BF8">
            <w:pPr>
              <w:jc w:val="center"/>
              <w:rPr>
                <w:rFonts w:ascii="Arial" w:eastAsia="Times New Roman" w:hAnsi="Arial"/>
                <w:color w:val="222222"/>
                <w:sz w:val="19"/>
                <w:szCs w:val="19"/>
              </w:rPr>
            </w:pPr>
          </w:p>
        </w:tc>
        <w:tc>
          <w:tcPr>
            <w:tcW w:w="1276" w:type="dxa"/>
            <w:vMerge/>
            <w:vAlign w:val="center"/>
          </w:tcPr>
          <w:p w:rsidR="00D51736" w:rsidRDefault="00D51736" w:rsidP="00BE6BF8">
            <w:pPr>
              <w:jc w:val="center"/>
              <w:rPr>
                <w:rFonts w:ascii="Arial" w:eastAsia="Times New Roman" w:hAnsi="Arial"/>
                <w:color w:val="222222"/>
                <w:sz w:val="19"/>
                <w:szCs w:val="19"/>
              </w:rPr>
            </w:pPr>
          </w:p>
        </w:tc>
        <w:tc>
          <w:tcPr>
            <w:tcW w:w="1134" w:type="dxa"/>
            <w:vMerge/>
            <w:vAlign w:val="center"/>
          </w:tcPr>
          <w:p w:rsidR="00D51736" w:rsidRDefault="00D51736" w:rsidP="00BE6BF8">
            <w:pPr>
              <w:jc w:val="center"/>
              <w:rPr>
                <w:rFonts w:ascii="Arial" w:eastAsia="Times New Roman" w:hAnsi="Arial"/>
                <w:color w:val="222222"/>
                <w:sz w:val="19"/>
                <w:szCs w:val="19"/>
              </w:rPr>
            </w:pPr>
          </w:p>
        </w:tc>
      </w:tr>
      <w:tr w:rsidR="00D51736" w:rsidTr="00BE6BF8">
        <w:tc>
          <w:tcPr>
            <w:tcW w:w="817" w:type="dxa"/>
            <w:vAlign w:val="center"/>
          </w:tcPr>
          <w:p w:rsidR="00D51736" w:rsidRDefault="00D51736" w:rsidP="00BE6BF8">
            <w:pPr>
              <w:jc w:val="center"/>
              <w:rPr>
                <w:rFonts w:ascii="Arial" w:eastAsia="Times New Roman" w:hAnsi="Arial"/>
                <w:color w:val="222222"/>
                <w:sz w:val="19"/>
                <w:szCs w:val="19"/>
              </w:rPr>
            </w:pPr>
            <w:r>
              <w:rPr>
                <w:rFonts w:ascii="Arial" w:eastAsia="Times New Roman" w:hAnsi="Arial"/>
                <w:color w:val="222222"/>
                <w:sz w:val="19"/>
                <w:szCs w:val="19"/>
              </w:rPr>
              <w:t>5 (9%)</w:t>
            </w:r>
          </w:p>
        </w:tc>
        <w:tc>
          <w:tcPr>
            <w:tcW w:w="534" w:type="dxa"/>
            <w:vAlign w:val="center"/>
          </w:tcPr>
          <w:p w:rsidR="00D51736" w:rsidRDefault="00D51736" w:rsidP="00BE6BF8">
            <w:pPr>
              <w:jc w:val="center"/>
              <w:rPr>
                <w:rFonts w:ascii="Arial" w:eastAsia="Times New Roman" w:hAnsi="Arial"/>
                <w:color w:val="222222"/>
                <w:sz w:val="19"/>
                <w:szCs w:val="19"/>
              </w:rPr>
            </w:pPr>
            <w:r>
              <w:rPr>
                <w:rFonts w:ascii="Arial" w:eastAsia="Times New Roman" w:hAnsi="Arial"/>
                <w:color w:val="222222"/>
                <w:sz w:val="19"/>
                <w:szCs w:val="19"/>
              </w:rPr>
              <w:t>15 (26%)</w:t>
            </w:r>
          </w:p>
        </w:tc>
        <w:tc>
          <w:tcPr>
            <w:tcW w:w="660" w:type="dxa"/>
            <w:vAlign w:val="center"/>
          </w:tcPr>
          <w:p w:rsidR="00D51736" w:rsidRDefault="00D51736" w:rsidP="00BE6BF8">
            <w:pPr>
              <w:jc w:val="center"/>
              <w:rPr>
                <w:rFonts w:ascii="Arial" w:eastAsia="Times New Roman" w:hAnsi="Arial"/>
                <w:color w:val="222222"/>
                <w:sz w:val="19"/>
                <w:szCs w:val="19"/>
              </w:rPr>
            </w:pPr>
            <w:r>
              <w:rPr>
                <w:rFonts w:ascii="Arial" w:eastAsia="Times New Roman" w:hAnsi="Arial"/>
                <w:color w:val="222222"/>
                <w:sz w:val="19"/>
                <w:szCs w:val="19"/>
              </w:rPr>
              <w:t>16 (28%</w:t>
            </w:r>
          </w:p>
        </w:tc>
        <w:tc>
          <w:tcPr>
            <w:tcW w:w="723" w:type="dxa"/>
            <w:vAlign w:val="center"/>
          </w:tcPr>
          <w:p w:rsidR="00D51736" w:rsidRDefault="00D51736" w:rsidP="00BE6BF8">
            <w:pPr>
              <w:jc w:val="center"/>
              <w:rPr>
                <w:rFonts w:ascii="Arial" w:eastAsia="Times New Roman" w:hAnsi="Arial"/>
                <w:color w:val="222222"/>
                <w:sz w:val="19"/>
                <w:szCs w:val="19"/>
              </w:rPr>
            </w:pPr>
            <w:r>
              <w:rPr>
                <w:rFonts w:ascii="Arial" w:eastAsia="Times New Roman" w:hAnsi="Arial"/>
                <w:color w:val="222222"/>
                <w:sz w:val="19"/>
                <w:szCs w:val="19"/>
              </w:rPr>
              <w:t>8 (14%)</w:t>
            </w:r>
          </w:p>
        </w:tc>
        <w:tc>
          <w:tcPr>
            <w:tcW w:w="723" w:type="dxa"/>
            <w:vAlign w:val="center"/>
          </w:tcPr>
          <w:p w:rsidR="00D51736" w:rsidRDefault="00D51736" w:rsidP="00BE6BF8">
            <w:pPr>
              <w:jc w:val="center"/>
              <w:rPr>
                <w:rFonts w:ascii="Arial" w:eastAsia="Times New Roman" w:hAnsi="Arial"/>
                <w:color w:val="222222"/>
                <w:sz w:val="19"/>
                <w:szCs w:val="19"/>
              </w:rPr>
            </w:pPr>
            <w:r>
              <w:rPr>
                <w:rFonts w:ascii="Arial" w:eastAsia="Times New Roman" w:hAnsi="Arial"/>
                <w:color w:val="222222"/>
                <w:sz w:val="19"/>
                <w:szCs w:val="19"/>
              </w:rPr>
              <w:t>6 (11%)</w:t>
            </w:r>
          </w:p>
        </w:tc>
        <w:tc>
          <w:tcPr>
            <w:tcW w:w="1061" w:type="dxa"/>
            <w:vAlign w:val="center"/>
          </w:tcPr>
          <w:p w:rsidR="00D51736" w:rsidRDefault="00D51736" w:rsidP="00BE6BF8">
            <w:pPr>
              <w:jc w:val="center"/>
              <w:rPr>
                <w:rFonts w:ascii="Arial" w:eastAsia="Times New Roman" w:hAnsi="Arial"/>
                <w:color w:val="222222"/>
                <w:sz w:val="19"/>
                <w:szCs w:val="19"/>
              </w:rPr>
            </w:pPr>
            <w:r>
              <w:rPr>
                <w:rFonts w:ascii="Arial" w:eastAsia="Times New Roman" w:hAnsi="Arial"/>
                <w:color w:val="222222"/>
                <w:sz w:val="19"/>
                <w:szCs w:val="19"/>
              </w:rPr>
              <w:t>1</w:t>
            </w:r>
            <w:r>
              <w:rPr>
                <w:rFonts w:ascii="Arial" w:eastAsia="Times New Roman" w:hAnsi="Arial"/>
                <w:color w:val="222222"/>
                <w:sz w:val="19"/>
                <w:szCs w:val="19"/>
              </w:rPr>
              <w:br/>
              <w:t>(2%)</w:t>
            </w:r>
          </w:p>
        </w:tc>
        <w:tc>
          <w:tcPr>
            <w:tcW w:w="1260" w:type="dxa"/>
            <w:vAlign w:val="center"/>
          </w:tcPr>
          <w:p w:rsidR="00D51736" w:rsidRDefault="00D51736" w:rsidP="00BE6BF8">
            <w:pPr>
              <w:jc w:val="center"/>
              <w:rPr>
                <w:rFonts w:ascii="Arial" w:eastAsia="Times New Roman" w:hAnsi="Arial"/>
                <w:color w:val="222222"/>
                <w:sz w:val="19"/>
                <w:szCs w:val="19"/>
              </w:rPr>
            </w:pPr>
            <w:r>
              <w:rPr>
                <w:rFonts w:ascii="Arial" w:eastAsia="Times New Roman" w:hAnsi="Arial"/>
                <w:color w:val="222222"/>
                <w:sz w:val="19"/>
                <w:szCs w:val="19"/>
              </w:rPr>
              <w:t xml:space="preserve">2 </w:t>
            </w:r>
            <w:r>
              <w:rPr>
                <w:rFonts w:ascii="Arial" w:eastAsia="Times New Roman" w:hAnsi="Arial"/>
                <w:color w:val="222222"/>
                <w:sz w:val="19"/>
                <w:szCs w:val="19"/>
              </w:rPr>
              <w:br/>
              <w:t>(4%)</w:t>
            </w:r>
          </w:p>
        </w:tc>
        <w:tc>
          <w:tcPr>
            <w:tcW w:w="709" w:type="dxa"/>
            <w:vAlign w:val="center"/>
          </w:tcPr>
          <w:p w:rsidR="00D51736" w:rsidRDefault="00D51736" w:rsidP="00BE6BF8">
            <w:pPr>
              <w:jc w:val="center"/>
              <w:rPr>
                <w:rFonts w:ascii="Arial" w:eastAsia="Times New Roman" w:hAnsi="Arial"/>
                <w:color w:val="222222"/>
                <w:sz w:val="19"/>
                <w:szCs w:val="19"/>
              </w:rPr>
            </w:pPr>
            <w:r>
              <w:rPr>
                <w:rFonts w:ascii="Arial" w:eastAsia="Times New Roman" w:hAnsi="Arial"/>
                <w:color w:val="222222"/>
                <w:sz w:val="19"/>
                <w:szCs w:val="19"/>
              </w:rPr>
              <w:t>2</w:t>
            </w:r>
            <w:r>
              <w:rPr>
                <w:rFonts w:ascii="Arial" w:eastAsia="Times New Roman" w:hAnsi="Arial"/>
                <w:color w:val="222222"/>
                <w:sz w:val="19"/>
                <w:szCs w:val="19"/>
              </w:rPr>
              <w:br/>
              <w:t>(4%)</w:t>
            </w:r>
          </w:p>
        </w:tc>
        <w:tc>
          <w:tcPr>
            <w:tcW w:w="1276" w:type="dxa"/>
            <w:vAlign w:val="center"/>
          </w:tcPr>
          <w:p w:rsidR="00D51736" w:rsidRDefault="00D51736" w:rsidP="00BE6BF8">
            <w:pPr>
              <w:jc w:val="center"/>
              <w:rPr>
                <w:rFonts w:ascii="Arial" w:eastAsia="Times New Roman" w:hAnsi="Arial"/>
                <w:color w:val="222222"/>
                <w:sz w:val="19"/>
                <w:szCs w:val="19"/>
              </w:rPr>
            </w:pPr>
            <w:r>
              <w:rPr>
                <w:rFonts w:ascii="Arial" w:eastAsia="Times New Roman" w:hAnsi="Arial"/>
                <w:color w:val="222222"/>
                <w:sz w:val="19"/>
                <w:szCs w:val="19"/>
              </w:rPr>
              <w:t>1</w:t>
            </w:r>
            <w:r>
              <w:rPr>
                <w:rFonts w:ascii="Arial" w:eastAsia="Times New Roman" w:hAnsi="Arial"/>
                <w:color w:val="222222"/>
                <w:sz w:val="19"/>
                <w:szCs w:val="19"/>
              </w:rPr>
              <w:br/>
              <w:t>(2%)</w:t>
            </w:r>
          </w:p>
        </w:tc>
        <w:tc>
          <w:tcPr>
            <w:tcW w:w="1134" w:type="dxa"/>
            <w:vAlign w:val="center"/>
          </w:tcPr>
          <w:p w:rsidR="00D51736" w:rsidRDefault="00D51736" w:rsidP="00BE6BF8">
            <w:pPr>
              <w:jc w:val="center"/>
              <w:rPr>
                <w:rFonts w:ascii="Arial" w:eastAsia="Times New Roman" w:hAnsi="Arial"/>
                <w:color w:val="222222"/>
                <w:sz w:val="19"/>
                <w:szCs w:val="19"/>
              </w:rPr>
            </w:pPr>
            <w:r>
              <w:rPr>
                <w:rFonts w:ascii="Arial" w:eastAsia="Times New Roman" w:hAnsi="Arial"/>
                <w:color w:val="222222"/>
                <w:sz w:val="19"/>
                <w:szCs w:val="19"/>
              </w:rPr>
              <w:t>1</w:t>
            </w:r>
            <w:r>
              <w:rPr>
                <w:rFonts w:ascii="Arial" w:eastAsia="Times New Roman" w:hAnsi="Arial"/>
                <w:color w:val="222222"/>
                <w:sz w:val="19"/>
                <w:szCs w:val="19"/>
              </w:rPr>
              <w:br/>
              <w:t>(2%)</w:t>
            </w:r>
          </w:p>
        </w:tc>
      </w:tr>
    </w:tbl>
    <w:p w:rsidR="00D51736" w:rsidRDefault="00D51736" w:rsidP="00D51736">
      <w:pPr>
        <w:rPr>
          <w:b/>
          <w:sz w:val="26"/>
        </w:rPr>
      </w:pPr>
    </w:p>
    <w:p w:rsidR="00D51736" w:rsidRDefault="00D51736" w:rsidP="00D51736">
      <w:pPr>
        <w:spacing w:after="0" w:line="240" w:lineRule="auto"/>
      </w:pPr>
      <w:r>
        <w:br w:type="page"/>
      </w:r>
    </w:p>
    <w:p w:rsidR="00D51736" w:rsidRPr="00D51736" w:rsidRDefault="00D51736" w:rsidP="00D51736">
      <w:pPr>
        <w:spacing w:line="480" w:lineRule="auto"/>
        <w:rPr>
          <w:b/>
          <w:i/>
          <w:sz w:val="24"/>
          <w:szCs w:val="24"/>
        </w:rPr>
      </w:pPr>
      <w:r w:rsidRPr="00D51736">
        <w:rPr>
          <w:b/>
          <w:sz w:val="24"/>
          <w:szCs w:val="24"/>
        </w:rPr>
        <w:lastRenderedPageBreak/>
        <w:t>Table 3 – Results of estimation estimates for each method.</w:t>
      </w:r>
    </w:p>
    <w:tbl>
      <w:tblPr>
        <w:tblW w:w="44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486"/>
        <w:gridCol w:w="1486"/>
        <w:gridCol w:w="1486"/>
        <w:gridCol w:w="1489"/>
      </w:tblGrid>
      <w:tr w:rsidR="00D51736" w:rsidTr="00BE6BF8">
        <w:trPr>
          <w:trHeight w:val="340"/>
        </w:trPr>
        <w:tc>
          <w:tcPr>
            <w:tcW w:w="1378" w:type="pct"/>
            <w:shd w:val="clear" w:color="auto" w:fill="auto"/>
          </w:tcPr>
          <w:p w:rsidR="00D51736" w:rsidRDefault="00D51736" w:rsidP="00BE6BF8">
            <w:pPr>
              <w:spacing w:after="0" w:line="480" w:lineRule="auto"/>
            </w:pPr>
          </w:p>
        </w:tc>
        <w:tc>
          <w:tcPr>
            <w:tcW w:w="3622" w:type="pct"/>
            <w:gridSpan w:val="4"/>
            <w:shd w:val="clear" w:color="auto" w:fill="auto"/>
            <w:vAlign w:val="center"/>
          </w:tcPr>
          <w:p w:rsidR="00D51736" w:rsidRPr="00623373" w:rsidRDefault="00D51736" w:rsidP="00BE6BF8">
            <w:pPr>
              <w:spacing w:after="0" w:line="480" w:lineRule="auto"/>
              <w:jc w:val="center"/>
              <w:rPr>
                <w:b/>
              </w:rPr>
            </w:pPr>
            <w:r w:rsidRPr="00623373">
              <w:rPr>
                <w:b/>
              </w:rPr>
              <w:t>Method of weight estimation</w:t>
            </w:r>
          </w:p>
        </w:tc>
      </w:tr>
      <w:tr w:rsidR="00D51736" w:rsidTr="00BE6BF8">
        <w:trPr>
          <w:trHeight w:val="340"/>
        </w:trPr>
        <w:tc>
          <w:tcPr>
            <w:tcW w:w="1378" w:type="pct"/>
            <w:shd w:val="clear" w:color="auto" w:fill="auto"/>
          </w:tcPr>
          <w:p w:rsidR="00D51736" w:rsidRDefault="00D51736" w:rsidP="00BE6BF8">
            <w:pPr>
              <w:spacing w:after="0" w:line="480" w:lineRule="auto"/>
            </w:pPr>
          </w:p>
        </w:tc>
        <w:tc>
          <w:tcPr>
            <w:tcW w:w="905" w:type="pct"/>
            <w:shd w:val="clear" w:color="auto" w:fill="auto"/>
          </w:tcPr>
          <w:p w:rsidR="00D51736" w:rsidRPr="00623373" w:rsidRDefault="00D51736" w:rsidP="00BE6BF8">
            <w:pPr>
              <w:spacing w:after="0" w:line="480" w:lineRule="auto"/>
              <w:rPr>
                <w:b/>
              </w:rPr>
            </w:pPr>
            <w:r w:rsidRPr="00623373">
              <w:rPr>
                <w:b/>
              </w:rPr>
              <w:t>APLS1</w:t>
            </w:r>
          </w:p>
        </w:tc>
        <w:tc>
          <w:tcPr>
            <w:tcW w:w="905" w:type="pct"/>
            <w:shd w:val="clear" w:color="auto" w:fill="auto"/>
          </w:tcPr>
          <w:p w:rsidR="00D51736" w:rsidRPr="00623373" w:rsidRDefault="00D51736" w:rsidP="00BE6BF8">
            <w:pPr>
              <w:spacing w:after="0" w:line="480" w:lineRule="auto"/>
              <w:rPr>
                <w:b/>
              </w:rPr>
            </w:pPr>
            <w:r w:rsidRPr="00623373">
              <w:rPr>
                <w:b/>
              </w:rPr>
              <w:t>APLS3</w:t>
            </w:r>
          </w:p>
        </w:tc>
        <w:tc>
          <w:tcPr>
            <w:tcW w:w="905" w:type="pct"/>
            <w:shd w:val="clear" w:color="auto" w:fill="auto"/>
          </w:tcPr>
          <w:p w:rsidR="00D51736" w:rsidRPr="00623373" w:rsidRDefault="00D51736" w:rsidP="00BE6BF8">
            <w:pPr>
              <w:spacing w:after="0" w:line="480" w:lineRule="auto"/>
              <w:rPr>
                <w:b/>
              </w:rPr>
            </w:pPr>
            <w:r w:rsidRPr="00623373">
              <w:rPr>
                <w:b/>
              </w:rPr>
              <w:t>BGM</w:t>
            </w:r>
          </w:p>
        </w:tc>
        <w:tc>
          <w:tcPr>
            <w:tcW w:w="906" w:type="pct"/>
            <w:shd w:val="clear" w:color="auto" w:fill="auto"/>
          </w:tcPr>
          <w:p w:rsidR="00D51736" w:rsidRPr="00623373" w:rsidRDefault="00D51736" w:rsidP="00BE6BF8">
            <w:pPr>
              <w:spacing w:after="0" w:line="480" w:lineRule="auto"/>
              <w:rPr>
                <w:b/>
              </w:rPr>
            </w:pPr>
            <w:r w:rsidRPr="00623373">
              <w:rPr>
                <w:b/>
              </w:rPr>
              <w:t>Table</w:t>
            </w:r>
          </w:p>
        </w:tc>
      </w:tr>
      <w:tr w:rsidR="00D51736" w:rsidTr="00BE6BF8">
        <w:trPr>
          <w:trHeight w:val="340"/>
        </w:trPr>
        <w:tc>
          <w:tcPr>
            <w:tcW w:w="1378" w:type="pct"/>
            <w:shd w:val="clear" w:color="auto" w:fill="auto"/>
          </w:tcPr>
          <w:p w:rsidR="00D51736" w:rsidRDefault="00D51736" w:rsidP="00BE6BF8">
            <w:pPr>
              <w:spacing w:after="0" w:line="480" w:lineRule="auto"/>
            </w:pPr>
            <w:r>
              <w:t>Total time taken (s)</w:t>
            </w:r>
            <w:r>
              <w:br/>
              <w:t>(95% CI)</w:t>
            </w:r>
          </w:p>
        </w:tc>
        <w:tc>
          <w:tcPr>
            <w:tcW w:w="905" w:type="pct"/>
            <w:shd w:val="clear" w:color="auto" w:fill="auto"/>
          </w:tcPr>
          <w:p w:rsidR="00D51736" w:rsidRPr="00623373" w:rsidRDefault="00D51736" w:rsidP="00BE6BF8">
            <w:pPr>
              <w:spacing w:after="0" w:line="480" w:lineRule="auto"/>
            </w:pPr>
            <w:r>
              <w:t>45(*)</w:t>
            </w:r>
            <w:r>
              <w:br/>
              <w:t>(40-4</w:t>
            </w:r>
            <w:r w:rsidRPr="00623373">
              <w:t>9)</w:t>
            </w:r>
          </w:p>
        </w:tc>
        <w:tc>
          <w:tcPr>
            <w:tcW w:w="905" w:type="pct"/>
            <w:shd w:val="clear" w:color="auto" w:fill="auto"/>
          </w:tcPr>
          <w:p w:rsidR="00D51736" w:rsidRPr="00623373" w:rsidRDefault="00D51736" w:rsidP="00BE6BF8">
            <w:pPr>
              <w:spacing w:after="0" w:line="480" w:lineRule="auto"/>
            </w:pPr>
            <w:r>
              <w:t>55(*)</w:t>
            </w:r>
            <w:r>
              <w:br/>
              <w:t>(49-58</w:t>
            </w:r>
            <w:r w:rsidRPr="00623373">
              <w:t>)</w:t>
            </w:r>
          </w:p>
        </w:tc>
        <w:tc>
          <w:tcPr>
            <w:tcW w:w="905" w:type="pct"/>
            <w:shd w:val="clear" w:color="auto" w:fill="auto"/>
          </w:tcPr>
          <w:p w:rsidR="00D51736" w:rsidRPr="00623373" w:rsidRDefault="00D51736" w:rsidP="00BE6BF8">
            <w:pPr>
              <w:spacing w:after="0" w:line="480" w:lineRule="auto"/>
            </w:pPr>
            <w:r>
              <w:t>48(*)</w:t>
            </w:r>
            <w:r>
              <w:br/>
              <w:t>(42-53</w:t>
            </w:r>
            <w:r w:rsidRPr="00623373">
              <w:t>)</w:t>
            </w:r>
          </w:p>
        </w:tc>
        <w:tc>
          <w:tcPr>
            <w:tcW w:w="906" w:type="pct"/>
            <w:shd w:val="clear" w:color="auto" w:fill="auto"/>
          </w:tcPr>
          <w:p w:rsidR="00D51736" w:rsidRPr="00623373" w:rsidRDefault="00D51736" w:rsidP="00BE6BF8">
            <w:pPr>
              <w:spacing w:after="0" w:line="480" w:lineRule="auto"/>
            </w:pPr>
            <w:r>
              <w:t>30(*)</w:t>
            </w:r>
            <w:r>
              <w:br/>
              <w:t>(28-33</w:t>
            </w:r>
            <w:r w:rsidRPr="00623373">
              <w:t>)</w:t>
            </w:r>
          </w:p>
        </w:tc>
      </w:tr>
      <w:tr w:rsidR="00D51736" w:rsidTr="00BE6BF8">
        <w:trPr>
          <w:trHeight w:val="340"/>
        </w:trPr>
        <w:tc>
          <w:tcPr>
            <w:tcW w:w="1378" w:type="pct"/>
            <w:shd w:val="clear" w:color="auto" w:fill="auto"/>
          </w:tcPr>
          <w:p w:rsidR="00D51736" w:rsidRDefault="00D51736" w:rsidP="00BE6BF8">
            <w:pPr>
              <w:spacing w:after="0" w:line="480" w:lineRule="auto"/>
            </w:pPr>
            <w:r>
              <w:t>Accuracy (%)</w:t>
            </w:r>
            <w:r>
              <w:br/>
              <w:t>(95% CI)</w:t>
            </w:r>
          </w:p>
        </w:tc>
        <w:tc>
          <w:tcPr>
            <w:tcW w:w="905" w:type="pct"/>
            <w:shd w:val="clear" w:color="auto" w:fill="auto"/>
          </w:tcPr>
          <w:p w:rsidR="00D51736" w:rsidRPr="00623373" w:rsidRDefault="00D51736" w:rsidP="00BE6BF8">
            <w:pPr>
              <w:spacing w:after="0" w:line="480" w:lineRule="auto"/>
              <w:rPr>
                <w:color w:val="000000"/>
              </w:rPr>
            </w:pPr>
            <w:r>
              <w:rPr>
                <w:color w:val="000000"/>
              </w:rPr>
              <w:t>90</w:t>
            </w:r>
            <w:r w:rsidRPr="00623373">
              <w:rPr>
                <w:color w:val="000000"/>
              </w:rPr>
              <w:t>(</w:t>
            </w:r>
            <w:r w:rsidRPr="00623373">
              <w:t>†)</w:t>
            </w:r>
            <w:r w:rsidRPr="00623373">
              <w:rPr>
                <w:color w:val="000000"/>
              </w:rPr>
              <w:br/>
              <w:t>(87-92)</w:t>
            </w:r>
          </w:p>
        </w:tc>
        <w:tc>
          <w:tcPr>
            <w:tcW w:w="905" w:type="pct"/>
            <w:shd w:val="clear" w:color="auto" w:fill="auto"/>
          </w:tcPr>
          <w:p w:rsidR="00D51736" w:rsidRPr="00623373" w:rsidRDefault="00D51736" w:rsidP="00BE6BF8">
            <w:pPr>
              <w:spacing w:after="0" w:line="480" w:lineRule="auto"/>
            </w:pPr>
            <w:r>
              <w:rPr>
                <w:color w:val="000000"/>
              </w:rPr>
              <w:t xml:space="preserve"> 94</w:t>
            </w:r>
            <w:r w:rsidRPr="00623373">
              <w:rPr>
                <w:color w:val="000000"/>
              </w:rPr>
              <w:br/>
            </w:r>
            <w:r w:rsidRPr="00623373">
              <w:t>(91-95)</w:t>
            </w:r>
          </w:p>
        </w:tc>
        <w:tc>
          <w:tcPr>
            <w:tcW w:w="905" w:type="pct"/>
            <w:shd w:val="clear" w:color="auto" w:fill="auto"/>
          </w:tcPr>
          <w:p w:rsidR="00D51736" w:rsidRPr="00623373" w:rsidRDefault="00D51736" w:rsidP="00BE6BF8">
            <w:pPr>
              <w:spacing w:after="0" w:line="480" w:lineRule="auto"/>
            </w:pPr>
            <w:r>
              <w:rPr>
                <w:color w:val="000000"/>
              </w:rPr>
              <w:t>94</w:t>
            </w:r>
            <w:r w:rsidRPr="00623373">
              <w:rPr>
                <w:color w:val="000000"/>
              </w:rPr>
              <w:br/>
            </w:r>
            <w:r w:rsidRPr="00623373">
              <w:t>(92-96)</w:t>
            </w:r>
          </w:p>
        </w:tc>
        <w:tc>
          <w:tcPr>
            <w:tcW w:w="906" w:type="pct"/>
            <w:shd w:val="clear" w:color="auto" w:fill="auto"/>
          </w:tcPr>
          <w:p w:rsidR="00D51736" w:rsidRPr="00623373" w:rsidRDefault="00D51736" w:rsidP="00BE6BF8">
            <w:pPr>
              <w:spacing w:after="0" w:line="480" w:lineRule="auto"/>
            </w:pPr>
            <w:r>
              <w:rPr>
                <w:color w:val="000000"/>
              </w:rPr>
              <w:t>96</w:t>
            </w:r>
            <w:r w:rsidRPr="00623373">
              <w:rPr>
                <w:color w:val="000000"/>
              </w:rPr>
              <w:t>(</w:t>
            </w:r>
            <w:r w:rsidRPr="00623373">
              <w:t>†)</w:t>
            </w:r>
            <w:r w:rsidRPr="00623373">
              <w:rPr>
                <w:color w:val="000000"/>
              </w:rPr>
              <w:br/>
              <w:t>(93-97)</w:t>
            </w:r>
          </w:p>
        </w:tc>
      </w:tr>
      <w:tr w:rsidR="00D51736" w:rsidTr="00BE6BF8">
        <w:trPr>
          <w:trHeight w:val="340"/>
        </w:trPr>
        <w:tc>
          <w:tcPr>
            <w:tcW w:w="1378" w:type="pct"/>
            <w:shd w:val="clear" w:color="auto" w:fill="auto"/>
          </w:tcPr>
          <w:p w:rsidR="00D51736" w:rsidRDefault="00D51736" w:rsidP="00BE6BF8">
            <w:pPr>
              <w:spacing w:after="0" w:line="480" w:lineRule="auto"/>
            </w:pPr>
            <w:r>
              <w:t>Median % error</w:t>
            </w:r>
          </w:p>
          <w:p w:rsidR="00D51736" w:rsidRDefault="00D51736" w:rsidP="00BE6BF8">
            <w:pPr>
              <w:spacing w:after="0" w:line="480" w:lineRule="auto"/>
            </w:pPr>
            <w:r>
              <w:t>(95% CI)</w:t>
            </w:r>
          </w:p>
        </w:tc>
        <w:tc>
          <w:tcPr>
            <w:tcW w:w="905" w:type="pct"/>
            <w:shd w:val="clear" w:color="auto" w:fill="auto"/>
          </w:tcPr>
          <w:p w:rsidR="00D51736" w:rsidRPr="00623373" w:rsidRDefault="00D51736" w:rsidP="00BE6BF8">
            <w:pPr>
              <w:spacing w:after="0" w:line="480" w:lineRule="auto"/>
            </w:pPr>
            <w:r>
              <w:t>22</w:t>
            </w:r>
            <w:r w:rsidRPr="00623373">
              <w:t>%</w:t>
            </w:r>
            <w:r w:rsidRPr="00623373">
              <w:br/>
              <w:t>(11-33)</w:t>
            </w:r>
          </w:p>
        </w:tc>
        <w:tc>
          <w:tcPr>
            <w:tcW w:w="905" w:type="pct"/>
            <w:shd w:val="clear" w:color="auto" w:fill="auto"/>
          </w:tcPr>
          <w:p w:rsidR="00D51736" w:rsidRPr="00623373" w:rsidRDefault="00D51736" w:rsidP="00BE6BF8">
            <w:pPr>
              <w:spacing w:after="0" w:line="480" w:lineRule="auto"/>
            </w:pPr>
            <w:r>
              <w:t>10</w:t>
            </w:r>
            <w:r w:rsidRPr="00623373">
              <w:t>%(*)</w:t>
            </w:r>
            <w:r w:rsidRPr="00623373">
              <w:br/>
              <w:t>(7-21)</w:t>
            </w:r>
          </w:p>
        </w:tc>
        <w:tc>
          <w:tcPr>
            <w:tcW w:w="905" w:type="pct"/>
            <w:shd w:val="clear" w:color="auto" w:fill="auto"/>
          </w:tcPr>
          <w:p w:rsidR="00D51736" w:rsidRPr="00623373" w:rsidRDefault="00D51736" w:rsidP="00BE6BF8">
            <w:pPr>
              <w:spacing w:after="0" w:line="480" w:lineRule="auto"/>
            </w:pPr>
            <w:r>
              <w:t>39</w:t>
            </w:r>
            <w:r w:rsidRPr="00623373">
              <w:t>%</w:t>
            </w:r>
            <w:r w:rsidRPr="00623373">
              <w:br/>
              <w:t>(17-42)</w:t>
            </w:r>
          </w:p>
        </w:tc>
        <w:tc>
          <w:tcPr>
            <w:tcW w:w="906" w:type="pct"/>
            <w:shd w:val="clear" w:color="auto" w:fill="auto"/>
          </w:tcPr>
          <w:p w:rsidR="00D51736" w:rsidRPr="00623373" w:rsidRDefault="00D51736" w:rsidP="00BE6BF8">
            <w:pPr>
              <w:spacing w:after="0" w:line="480" w:lineRule="auto"/>
            </w:pPr>
            <w:r>
              <w:t>66</w:t>
            </w:r>
            <w:r w:rsidRPr="00623373">
              <w:t>%</w:t>
            </w:r>
            <w:r w:rsidRPr="00623373">
              <w:br/>
              <w:t>(8-132)</w:t>
            </w:r>
          </w:p>
        </w:tc>
      </w:tr>
      <w:tr w:rsidR="00D51736" w:rsidTr="00BE6BF8">
        <w:trPr>
          <w:trHeight w:val="340"/>
        </w:trPr>
        <w:tc>
          <w:tcPr>
            <w:tcW w:w="1378" w:type="pct"/>
            <w:shd w:val="clear" w:color="auto" w:fill="auto"/>
          </w:tcPr>
          <w:p w:rsidR="00D51736" w:rsidRDefault="00D51736" w:rsidP="00BE6BF8">
            <w:pPr>
              <w:spacing w:after="0" w:line="480" w:lineRule="auto"/>
            </w:pPr>
            <w:r>
              <w:t>Correct answers (n)</w:t>
            </w:r>
          </w:p>
        </w:tc>
        <w:tc>
          <w:tcPr>
            <w:tcW w:w="905" w:type="pct"/>
            <w:shd w:val="clear" w:color="auto" w:fill="auto"/>
          </w:tcPr>
          <w:p w:rsidR="00D51736" w:rsidRPr="00623373" w:rsidRDefault="00D51736" w:rsidP="00BE6BF8">
            <w:pPr>
              <w:spacing w:after="0" w:line="480" w:lineRule="auto"/>
            </w:pPr>
            <w:r>
              <w:t>504</w:t>
            </w:r>
          </w:p>
        </w:tc>
        <w:tc>
          <w:tcPr>
            <w:tcW w:w="905" w:type="pct"/>
            <w:shd w:val="clear" w:color="auto" w:fill="auto"/>
          </w:tcPr>
          <w:p w:rsidR="00D51736" w:rsidRPr="00623373" w:rsidRDefault="00D51736" w:rsidP="00BE6BF8">
            <w:pPr>
              <w:spacing w:after="0" w:line="480" w:lineRule="auto"/>
            </w:pPr>
            <w:r>
              <w:t>524</w:t>
            </w:r>
          </w:p>
        </w:tc>
        <w:tc>
          <w:tcPr>
            <w:tcW w:w="905" w:type="pct"/>
            <w:shd w:val="clear" w:color="auto" w:fill="auto"/>
          </w:tcPr>
          <w:p w:rsidR="00D51736" w:rsidRPr="00623373" w:rsidRDefault="00D51736" w:rsidP="00BE6BF8">
            <w:pPr>
              <w:spacing w:after="0" w:line="480" w:lineRule="auto"/>
            </w:pPr>
            <w:r>
              <w:t>527</w:t>
            </w:r>
          </w:p>
        </w:tc>
        <w:tc>
          <w:tcPr>
            <w:tcW w:w="906" w:type="pct"/>
            <w:shd w:val="clear" w:color="auto" w:fill="auto"/>
          </w:tcPr>
          <w:p w:rsidR="00D51736" w:rsidRPr="00623373" w:rsidRDefault="00D51736" w:rsidP="00BE6BF8">
            <w:pPr>
              <w:spacing w:after="0" w:line="480" w:lineRule="auto"/>
            </w:pPr>
            <w:r>
              <w:t>536</w:t>
            </w:r>
          </w:p>
        </w:tc>
      </w:tr>
      <w:tr w:rsidR="00D51736" w:rsidTr="00BE6BF8">
        <w:trPr>
          <w:trHeight w:val="340"/>
        </w:trPr>
        <w:tc>
          <w:tcPr>
            <w:tcW w:w="1378" w:type="pct"/>
            <w:shd w:val="clear" w:color="auto" w:fill="auto"/>
          </w:tcPr>
          <w:p w:rsidR="00D51736" w:rsidRDefault="00D51736" w:rsidP="00BE6BF8">
            <w:pPr>
              <w:spacing w:after="0" w:line="480" w:lineRule="auto"/>
            </w:pPr>
            <w:r>
              <w:t>Error type (%)</w:t>
            </w:r>
          </w:p>
        </w:tc>
        <w:tc>
          <w:tcPr>
            <w:tcW w:w="905" w:type="pct"/>
            <w:shd w:val="clear" w:color="auto" w:fill="auto"/>
          </w:tcPr>
          <w:p w:rsidR="00D51736" w:rsidRPr="00623373" w:rsidRDefault="00D51736" w:rsidP="00BE6BF8">
            <w:pPr>
              <w:spacing w:after="0" w:line="480" w:lineRule="auto"/>
            </w:pPr>
          </w:p>
        </w:tc>
        <w:tc>
          <w:tcPr>
            <w:tcW w:w="905" w:type="pct"/>
            <w:shd w:val="clear" w:color="auto" w:fill="auto"/>
          </w:tcPr>
          <w:p w:rsidR="00D51736" w:rsidRPr="00623373" w:rsidRDefault="00D51736" w:rsidP="00BE6BF8">
            <w:pPr>
              <w:spacing w:after="0" w:line="480" w:lineRule="auto"/>
            </w:pPr>
          </w:p>
        </w:tc>
        <w:tc>
          <w:tcPr>
            <w:tcW w:w="905" w:type="pct"/>
            <w:shd w:val="clear" w:color="auto" w:fill="auto"/>
          </w:tcPr>
          <w:p w:rsidR="00D51736" w:rsidRPr="00623373" w:rsidRDefault="00D51736" w:rsidP="00BE6BF8">
            <w:pPr>
              <w:spacing w:after="0" w:line="480" w:lineRule="auto"/>
            </w:pPr>
          </w:p>
        </w:tc>
        <w:tc>
          <w:tcPr>
            <w:tcW w:w="906" w:type="pct"/>
            <w:shd w:val="clear" w:color="auto" w:fill="auto"/>
          </w:tcPr>
          <w:p w:rsidR="00D51736" w:rsidRPr="00623373" w:rsidRDefault="00D51736" w:rsidP="00BE6BF8">
            <w:pPr>
              <w:spacing w:after="0" w:line="480" w:lineRule="auto"/>
            </w:pPr>
          </w:p>
        </w:tc>
      </w:tr>
      <w:tr w:rsidR="00D51736" w:rsidTr="00BE6BF8">
        <w:trPr>
          <w:trHeight w:val="340"/>
        </w:trPr>
        <w:tc>
          <w:tcPr>
            <w:tcW w:w="1378" w:type="pct"/>
            <w:shd w:val="clear" w:color="auto" w:fill="auto"/>
          </w:tcPr>
          <w:p w:rsidR="00D51736" w:rsidRDefault="00D51736" w:rsidP="00BE6BF8">
            <w:pPr>
              <w:spacing w:after="0" w:line="480" w:lineRule="auto"/>
            </w:pPr>
            <w:r>
              <w:t xml:space="preserve">      Arithmetic</w:t>
            </w:r>
          </w:p>
        </w:tc>
        <w:tc>
          <w:tcPr>
            <w:tcW w:w="905" w:type="pct"/>
            <w:shd w:val="clear" w:color="auto" w:fill="auto"/>
          </w:tcPr>
          <w:p w:rsidR="00D51736" w:rsidRPr="00623373" w:rsidRDefault="00D51736" w:rsidP="00BE6BF8">
            <w:pPr>
              <w:spacing w:after="0" w:line="480" w:lineRule="auto"/>
            </w:pPr>
            <w:r w:rsidRPr="00623373">
              <w:t>55 (98%)</w:t>
            </w:r>
          </w:p>
        </w:tc>
        <w:tc>
          <w:tcPr>
            <w:tcW w:w="905" w:type="pct"/>
            <w:shd w:val="clear" w:color="auto" w:fill="auto"/>
          </w:tcPr>
          <w:p w:rsidR="00D51736" w:rsidRPr="00623373" w:rsidRDefault="00D51736" w:rsidP="00BE6BF8">
            <w:pPr>
              <w:spacing w:after="0" w:line="480" w:lineRule="auto"/>
            </w:pPr>
            <w:r w:rsidRPr="00623373">
              <w:t>34 (94%)</w:t>
            </w:r>
          </w:p>
        </w:tc>
        <w:tc>
          <w:tcPr>
            <w:tcW w:w="905" w:type="pct"/>
            <w:shd w:val="clear" w:color="auto" w:fill="auto"/>
          </w:tcPr>
          <w:p w:rsidR="00D51736" w:rsidRPr="00623373" w:rsidRDefault="00D51736" w:rsidP="00BE6BF8">
            <w:pPr>
              <w:spacing w:after="0" w:line="480" w:lineRule="auto"/>
            </w:pPr>
            <w:r>
              <w:t>27</w:t>
            </w:r>
            <w:r w:rsidRPr="00623373">
              <w:t xml:space="preserve"> (82%)</w:t>
            </w:r>
          </w:p>
        </w:tc>
        <w:tc>
          <w:tcPr>
            <w:tcW w:w="906" w:type="pct"/>
            <w:shd w:val="clear" w:color="auto" w:fill="auto"/>
          </w:tcPr>
          <w:p w:rsidR="00D51736" w:rsidRPr="00623373" w:rsidRDefault="00D51736" w:rsidP="00BE6BF8">
            <w:pPr>
              <w:spacing w:after="0" w:line="480" w:lineRule="auto"/>
            </w:pPr>
            <w:r w:rsidRPr="00623373">
              <w:t>7 (29%)</w:t>
            </w:r>
          </w:p>
        </w:tc>
      </w:tr>
      <w:tr w:rsidR="00D51736" w:rsidTr="00BE6BF8">
        <w:trPr>
          <w:trHeight w:val="340"/>
        </w:trPr>
        <w:tc>
          <w:tcPr>
            <w:tcW w:w="1378" w:type="pct"/>
            <w:shd w:val="clear" w:color="auto" w:fill="auto"/>
          </w:tcPr>
          <w:p w:rsidR="00D51736" w:rsidRDefault="00D51736" w:rsidP="00BE6BF8">
            <w:pPr>
              <w:spacing w:after="0" w:line="480" w:lineRule="auto"/>
            </w:pPr>
            <w:r>
              <w:t xml:space="preserve">      Input</w:t>
            </w:r>
          </w:p>
        </w:tc>
        <w:tc>
          <w:tcPr>
            <w:tcW w:w="905" w:type="pct"/>
            <w:shd w:val="clear" w:color="auto" w:fill="auto"/>
          </w:tcPr>
          <w:p w:rsidR="00D51736" w:rsidRPr="00623373" w:rsidRDefault="00D51736" w:rsidP="00BE6BF8">
            <w:pPr>
              <w:spacing w:after="0" w:line="480" w:lineRule="auto"/>
            </w:pPr>
            <w:r w:rsidRPr="00623373">
              <w:t>1 (2%)</w:t>
            </w:r>
          </w:p>
        </w:tc>
        <w:tc>
          <w:tcPr>
            <w:tcW w:w="905" w:type="pct"/>
            <w:shd w:val="clear" w:color="auto" w:fill="auto"/>
          </w:tcPr>
          <w:p w:rsidR="00D51736" w:rsidRPr="00623373" w:rsidRDefault="00D51736" w:rsidP="00BE6BF8">
            <w:pPr>
              <w:spacing w:after="0" w:line="480" w:lineRule="auto"/>
            </w:pPr>
            <w:r w:rsidRPr="00623373">
              <w:t>1 (3%)</w:t>
            </w:r>
          </w:p>
        </w:tc>
        <w:tc>
          <w:tcPr>
            <w:tcW w:w="905" w:type="pct"/>
            <w:shd w:val="clear" w:color="auto" w:fill="auto"/>
          </w:tcPr>
          <w:p w:rsidR="00D51736" w:rsidRPr="00623373" w:rsidRDefault="00D51736" w:rsidP="00BE6BF8">
            <w:pPr>
              <w:spacing w:after="0" w:line="480" w:lineRule="auto"/>
            </w:pPr>
            <w:r w:rsidRPr="00623373">
              <w:t>6 (18%)</w:t>
            </w:r>
          </w:p>
        </w:tc>
        <w:tc>
          <w:tcPr>
            <w:tcW w:w="906" w:type="pct"/>
            <w:shd w:val="clear" w:color="auto" w:fill="auto"/>
          </w:tcPr>
          <w:p w:rsidR="00D51736" w:rsidRPr="00623373" w:rsidRDefault="00D51736" w:rsidP="00BE6BF8">
            <w:pPr>
              <w:spacing w:after="0" w:line="480" w:lineRule="auto"/>
            </w:pPr>
            <w:r w:rsidRPr="00623373">
              <w:t>2 (8%)</w:t>
            </w:r>
          </w:p>
        </w:tc>
      </w:tr>
      <w:tr w:rsidR="00D51736" w:rsidTr="00BE6BF8">
        <w:trPr>
          <w:trHeight w:val="340"/>
        </w:trPr>
        <w:tc>
          <w:tcPr>
            <w:tcW w:w="1378" w:type="pct"/>
            <w:shd w:val="clear" w:color="auto" w:fill="auto"/>
          </w:tcPr>
          <w:p w:rsidR="00D51736" w:rsidRDefault="00D51736" w:rsidP="00BE6BF8">
            <w:pPr>
              <w:spacing w:after="0" w:line="480" w:lineRule="auto"/>
            </w:pPr>
            <w:r>
              <w:t xml:space="preserve">      month/year</w:t>
            </w:r>
          </w:p>
        </w:tc>
        <w:tc>
          <w:tcPr>
            <w:tcW w:w="905" w:type="pct"/>
            <w:shd w:val="clear" w:color="auto" w:fill="auto"/>
          </w:tcPr>
          <w:p w:rsidR="00D51736" w:rsidRPr="00623373" w:rsidRDefault="00D51736" w:rsidP="00BE6BF8">
            <w:pPr>
              <w:spacing w:after="0" w:line="480" w:lineRule="auto"/>
            </w:pPr>
            <w:r w:rsidRPr="00623373">
              <w:t>0</w:t>
            </w:r>
          </w:p>
        </w:tc>
        <w:tc>
          <w:tcPr>
            <w:tcW w:w="905" w:type="pct"/>
            <w:shd w:val="clear" w:color="auto" w:fill="auto"/>
          </w:tcPr>
          <w:p w:rsidR="00D51736" w:rsidRPr="00623373" w:rsidRDefault="00D51736" w:rsidP="00BE6BF8">
            <w:pPr>
              <w:spacing w:after="0" w:line="480" w:lineRule="auto"/>
            </w:pPr>
            <w:r w:rsidRPr="00623373">
              <w:t>1 (3%)</w:t>
            </w:r>
          </w:p>
        </w:tc>
        <w:tc>
          <w:tcPr>
            <w:tcW w:w="905" w:type="pct"/>
            <w:shd w:val="clear" w:color="auto" w:fill="auto"/>
          </w:tcPr>
          <w:p w:rsidR="00D51736" w:rsidRPr="00623373" w:rsidRDefault="00D51736" w:rsidP="00BE6BF8">
            <w:pPr>
              <w:spacing w:after="0" w:line="480" w:lineRule="auto"/>
            </w:pPr>
            <w:r w:rsidRPr="00623373">
              <w:t>0</w:t>
            </w:r>
          </w:p>
        </w:tc>
        <w:tc>
          <w:tcPr>
            <w:tcW w:w="906" w:type="pct"/>
            <w:shd w:val="clear" w:color="auto" w:fill="auto"/>
          </w:tcPr>
          <w:p w:rsidR="00D51736" w:rsidRPr="00623373" w:rsidRDefault="00D51736" w:rsidP="00BE6BF8">
            <w:pPr>
              <w:spacing w:after="0" w:line="480" w:lineRule="auto"/>
            </w:pPr>
            <w:r w:rsidRPr="00623373">
              <w:t>15 (63%)</w:t>
            </w:r>
          </w:p>
        </w:tc>
      </w:tr>
    </w:tbl>
    <w:p w:rsidR="00D51736" w:rsidRPr="00A83686" w:rsidRDefault="00D51736" w:rsidP="00D51736">
      <w:pPr>
        <w:spacing w:line="480" w:lineRule="auto"/>
      </w:pPr>
      <w:r>
        <w:br/>
        <w:t>Comparing each method by pairwise analysis, (*) denotes that a result is significantly different from the three others methods (p&lt;0.05).  Pairs of results marked with (</w:t>
      </w:r>
      <w:r w:rsidRPr="00623373">
        <w:t>†</w:t>
      </w:r>
      <w:r>
        <w:t xml:space="preserve">) are </w:t>
      </w:r>
      <w:r w:rsidRPr="00623373">
        <w:t>significantly different from each other</w:t>
      </w:r>
      <w:r>
        <w:t xml:space="preserve"> (p&lt;0.05), but not significantly different from the unmarked methods. </w:t>
      </w:r>
    </w:p>
    <w:p w:rsidR="00D51736" w:rsidRPr="00D51736" w:rsidRDefault="00D51736" w:rsidP="00D51736">
      <w:pPr>
        <w:spacing w:line="480" w:lineRule="auto"/>
        <w:rPr>
          <w:b/>
          <w:sz w:val="24"/>
          <w:szCs w:val="24"/>
        </w:rPr>
      </w:pPr>
      <w:r>
        <w:rPr>
          <w:b/>
          <w:sz w:val="26"/>
        </w:rPr>
        <w:br w:type="page"/>
      </w:r>
      <w:r w:rsidRPr="00D51736">
        <w:rPr>
          <w:b/>
          <w:sz w:val="24"/>
          <w:szCs w:val="24"/>
        </w:rPr>
        <w:lastRenderedPageBreak/>
        <w:t>Table 4 - Results of estimation estimates for each method - excluding the 6m old task.</w:t>
      </w:r>
    </w:p>
    <w:tbl>
      <w:tblPr>
        <w:tblW w:w="44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486"/>
        <w:gridCol w:w="1486"/>
        <w:gridCol w:w="1486"/>
        <w:gridCol w:w="1489"/>
      </w:tblGrid>
      <w:tr w:rsidR="00D51736" w:rsidTr="00BE6BF8">
        <w:trPr>
          <w:trHeight w:val="340"/>
        </w:trPr>
        <w:tc>
          <w:tcPr>
            <w:tcW w:w="1378" w:type="pct"/>
            <w:shd w:val="clear" w:color="auto" w:fill="auto"/>
          </w:tcPr>
          <w:p w:rsidR="00D51736" w:rsidRDefault="00D51736" w:rsidP="00BE6BF8">
            <w:pPr>
              <w:spacing w:after="0" w:line="480" w:lineRule="auto"/>
            </w:pPr>
          </w:p>
        </w:tc>
        <w:tc>
          <w:tcPr>
            <w:tcW w:w="3622" w:type="pct"/>
            <w:gridSpan w:val="4"/>
            <w:shd w:val="clear" w:color="auto" w:fill="auto"/>
            <w:vAlign w:val="center"/>
          </w:tcPr>
          <w:p w:rsidR="00D51736" w:rsidRPr="00623373" w:rsidRDefault="00D51736" w:rsidP="00BE6BF8">
            <w:pPr>
              <w:spacing w:after="0" w:line="480" w:lineRule="auto"/>
              <w:jc w:val="center"/>
              <w:rPr>
                <w:b/>
              </w:rPr>
            </w:pPr>
            <w:r w:rsidRPr="00623373">
              <w:rPr>
                <w:b/>
              </w:rPr>
              <w:t>Method of weight estimation</w:t>
            </w:r>
          </w:p>
        </w:tc>
      </w:tr>
      <w:tr w:rsidR="00D51736" w:rsidTr="00BE6BF8">
        <w:trPr>
          <w:trHeight w:val="340"/>
        </w:trPr>
        <w:tc>
          <w:tcPr>
            <w:tcW w:w="1378" w:type="pct"/>
            <w:shd w:val="clear" w:color="auto" w:fill="auto"/>
          </w:tcPr>
          <w:p w:rsidR="00D51736" w:rsidRDefault="00D51736" w:rsidP="00BE6BF8">
            <w:pPr>
              <w:spacing w:after="0" w:line="480" w:lineRule="auto"/>
            </w:pPr>
          </w:p>
        </w:tc>
        <w:tc>
          <w:tcPr>
            <w:tcW w:w="905" w:type="pct"/>
            <w:shd w:val="clear" w:color="auto" w:fill="auto"/>
          </w:tcPr>
          <w:p w:rsidR="00D51736" w:rsidRPr="00623373" w:rsidRDefault="00D51736" w:rsidP="00BE6BF8">
            <w:pPr>
              <w:spacing w:after="0" w:line="480" w:lineRule="auto"/>
              <w:rPr>
                <w:b/>
              </w:rPr>
            </w:pPr>
            <w:r w:rsidRPr="00623373">
              <w:rPr>
                <w:b/>
              </w:rPr>
              <w:t>APLS1</w:t>
            </w:r>
          </w:p>
        </w:tc>
        <w:tc>
          <w:tcPr>
            <w:tcW w:w="905" w:type="pct"/>
            <w:shd w:val="clear" w:color="auto" w:fill="auto"/>
          </w:tcPr>
          <w:p w:rsidR="00D51736" w:rsidRPr="00623373" w:rsidRDefault="00D51736" w:rsidP="00BE6BF8">
            <w:pPr>
              <w:spacing w:after="0" w:line="480" w:lineRule="auto"/>
              <w:rPr>
                <w:b/>
              </w:rPr>
            </w:pPr>
            <w:r w:rsidRPr="00623373">
              <w:rPr>
                <w:b/>
              </w:rPr>
              <w:t>APLS3</w:t>
            </w:r>
          </w:p>
        </w:tc>
        <w:tc>
          <w:tcPr>
            <w:tcW w:w="905" w:type="pct"/>
            <w:shd w:val="clear" w:color="auto" w:fill="auto"/>
          </w:tcPr>
          <w:p w:rsidR="00D51736" w:rsidRPr="00623373" w:rsidRDefault="00D51736" w:rsidP="00BE6BF8">
            <w:pPr>
              <w:spacing w:after="0" w:line="480" w:lineRule="auto"/>
              <w:rPr>
                <w:b/>
              </w:rPr>
            </w:pPr>
            <w:r w:rsidRPr="00623373">
              <w:rPr>
                <w:b/>
              </w:rPr>
              <w:t>BGM</w:t>
            </w:r>
          </w:p>
        </w:tc>
        <w:tc>
          <w:tcPr>
            <w:tcW w:w="906" w:type="pct"/>
            <w:shd w:val="clear" w:color="auto" w:fill="auto"/>
          </w:tcPr>
          <w:p w:rsidR="00D51736" w:rsidRPr="00623373" w:rsidRDefault="00D51736" w:rsidP="00BE6BF8">
            <w:pPr>
              <w:spacing w:after="0" w:line="480" w:lineRule="auto"/>
              <w:rPr>
                <w:b/>
              </w:rPr>
            </w:pPr>
            <w:r w:rsidRPr="00623373">
              <w:rPr>
                <w:b/>
              </w:rPr>
              <w:t>Table</w:t>
            </w:r>
          </w:p>
        </w:tc>
      </w:tr>
      <w:tr w:rsidR="00D51736" w:rsidTr="00BE6BF8">
        <w:trPr>
          <w:trHeight w:val="340"/>
        </w:trPr>
        <w:tc>
          <w:tcPr>
            <w:tcW w:w="1378" w:type="pct"/>
            <w:shd w:val="clear" w:color="auto" w:fill="auto"/>
          </w:tcPr>
          <w:p w:rsidR="00D51736" w:rsidRDefault="00D51736" w:rsidP="00BE6BF8">
            <w:pPr>
              <w:spacing w:after="0" w:line="480" w:lineRule="auto"/>
            </w:pPr>
            <w:r>
              <w:t>Total time taken (s)</w:t>
            </w:r>
            <w:r>
              <w:br/>
              <w:t>(95% CI)</w:t>
            </w:r>
          </w:p>
        </w:tc>
        <w:tc>
          <w:tcPr>
            <w:tcW w:w="905" w:type="pct"/>
            <w:shd w:val="clear" w:color="auto" w:fill="auto"/>
          </w:tcPr>
          <w:p w:rsidR="00D51736" w:rsidRPr="00623373" w:rsidRDefault="00D51736" w:rsidP="00BE6BF8">
            <w:pPr>
              <w:spacing w:after="0" w:line="480" w:lineRule="auto"/>
            </w:pPr>
            <w:r>
              <w:t>35(*)</w:t>
            </w:r>
            <w:r>
              <w:br/>
              <w:t>(31-38</w:t>
            </w:r>
            <w:r w:rsidRPr="00623373">
              <w:t>)</w:t>
            </w:r>
          </w:p>
        </w:tc>
        <w:tc>
          <w:tcPr>
            <w:tcW w:w="905" w:type="pct"/>
            <w:shd w:val="clear" w:color="auto" w:fill="auto"/>
          </w:tcPr>
          <w:p w:rsidR="00D51736" w:rsidRPr="00623373" w:rsidRDefault="00D51736" w:rsidP="00BE6BF8">
            <w:pPr>
              <w:spacing w:after="0" w:line="480" w:lineRule="auto"/>
            </w:pPr>
            <w:r>
              <w:t>48(*)</w:t>
            </w:r>
            <w:r>
              <w:br/>
              <w:t>(43-51</w:t>
            </w:r>
            <w:r w:rsidRPr="00623373">
              <w:t>)</w:t>
            </w:r>
          </w:p>
        </w:tc>
        <w:tc>
          <w:tcPr>
            <w:tcW w:w="905" w:type="pct"/>
            <w:shd w:val="clear" w:color="auto" w:fill="auto"/>
          </w:tcPr>
          <w:p w:rsidR="00D51736" w:rsidRPr="00623373" w:rsidRDefault="00D51736" w:rsidP="00BE6BF8">
            <w:pPr>
              <w:spacing w:after="0" w:line="480" w:lineRule="auto"/>
            </w:pPr>
            <w:r>
              <w:t>38(*)</w:t>
            </w:r>
            <w:r>
              <w:br/>
              <w:t>(34-42</w:t>
            </w:r>
          </w:p>
        </w:tc>
        <w:tc>
          <w:tcPr>
            <w:tcW w:w="906" w:type="pct"/>
            <w:shd w:val="clear" w:color="auto" w:fill="auto"/>
          </w:tcPr>
          <w:p w:rsidR="00D51736" w:rsidRPr="00623373" w:rsidRDefault="00D51736" w:rsidP="00BE6BF8">
            <w:pPr>
              <w:spacing w:after="0" w:line="480" w:lineRule="auto"/>
            </w:pPr>
            <w:r>
              <w:t>25(*)</w:t>
            </w:r>
            <w:r>
              <w:br/>
              <w:t>(22-28</w:t>
            </w:r>
            <w:r w:rsidRPr="00623373">
              <w:t>)</w:t>
            </w:r>
          </w:p>
        </w:tc>
      </w:tr>
      <w:tr w:rsidR="00D51736" w:rsidTr="00BE6BF8">
        <w:trPr>
          <w:trHeight w:val="340"/>
        </w:trPr>
        <w:tc>
          <w:tcPr>
            <w:tcW w:w="1378" w:type="pct"/>
            <w:shd w:val="clear" w:color="auto" w:fill="auto"/>
          </w:tcPr>
          <w:p w:rsidR="00D51736" w:rsidRDefault="00D51736" w:rsidP="00BE6BF8">
            <w:pPr>
              <w:spacing w:after="0" w:line="480" w:lineRule="auto"/>
            </w:pPr>
            <w:r>
              <w:t>Accuracy (%)</w:t>
            </w:r>
            <w:r>
              <w:br/>
              <w:t>(95% CI)</w:t>
            </w:r>
          </w:p>
        </w:tc>
        <w:tc>
          <w:tcPr>
            <w:tcW w:w="905" w:type="pct"/>
            <w:shd w:val="clear" w:color="auto" w:fill="auto"/>
          </w:tcPr>
          <w:p w:rsidR="00D51736" w:rsidRPr="00623373" w:rsidRDefault="00D51736" w:rsidP="00BE6BF8">
            <w:pPr>
              <w:spacing w:after="0" w:line="480" w:lineRule="auto"/>
              <w:rPr>
                <w:color w:val="000000"/>
              </w:rPr>
            </w:pPr>
            <w:r>
              <w:rPr>
                <w:color w:val="000000"/>
              </w:rPr>
              <w:t>95</w:t>
            </w:r>
            <w:r>
              <w:rPr>
                <w:color w:val="000000"/>
              </w:rPr>
              <w:br/>
              <w:t>(92-97</w:t>
            </w:r>
            <w:r w:rsidRPr="00623373">
              <w:rPr>
                <w:color w:val="000000"/>
              </w:rPr>
              <w:t>)</w:t>
            </w:r>
          </w:p>
        </w:tc>
        <w:tc>
          <w:tcPr>
            <w:tcW w:w="905" w:type="pct"/>
            <w:shd w:val="clear" w:color="auto" w:fill="auto"/>
          </w:tcPr>
          <w:p w:rsidR="00D51736" w:rsidRPr="00623373" w:rsidRDefault="00D51736" w:rsidP="00BE6BF8">
            <w:pPr>
              <w:spacing w:after="0" w:line="480" w:lineRule="auto"/>
            </w:pPr>
            <w:r>
              <w:rPr>
                <w:color w:val="000000"/>
              </w:rPr>
              <w:t>93</w:t>
            </w:r>
            <w:r w:rsidRPr="00623373">
              <w:rPr>
                <w:color w:val="000000"/>
              </w:rPr>
              <w:br/>
            </w:r>
            <w:r>
              <w:t>(90-95</w:t>
            </w:r>
            <w:r w:rsidRPr="00623373">
              <w:t>)</w:t>
            </w:r>
          </w:p>
        </w:tc>
        <w:tc>
          <w:tcPr>
            <w:tcW w:w="905" w:type="pct"/>
            <w:shd w:val="clear" w:color="auto" w:fill="auto"/>
          </w:tcPr>
          <w:p w:rsidR="00D51736" w:rsidRPr="00623373" w:rsidRDefault="00D51736" w:rsidP="00BE6BF8">
            <w:pPr>
              <w:spacing w:after="0" w:line="480" w:lineRule="auto"/>
            </w:pPr>
            <w:r>
              <w:rPr>
                <w:color w:val="000000"/>
              </w:rPr>
              <w:t>94</w:t>
            </w:r>
            <w:r w:rsidRPr="00623373">
              <w:rPr>
                <w:color w:val="000000"/>
              </w:rPr>
              <w:br/>
            </w:r>
            <w:r>
              <w:t>(92-96</w:t>
            </w:r>
            <w:r w:rsidRPr="00623373">
              <w:t>)</w:t>
            </w:r>
          </w:p>
        </w:tc>
        <w:tc>
          <w:tcPr>
            <w:tcW w:w="906" w:type="pct"/>
            <w:shd w:val="clear" w:color="auto" w:fill="auto"/>
          </w:tcPr>
          <w:p w:rsidR="00D51736" w:rsidRPr="00623373" w:rsidRDefault="00D51736" w:rsidP="00BE6BF8">
            <w:pPr>
              <w:spacing w:after="0" w:line="480" w:lineRule="auto"/>
            </w:pPr>
            <w:r>
              <w:rPr>
                <w:color w:val="000000"/>
              </w:rPr>
              <w:t>96</w:t>
            </w:r>
            <w:r>
              <w:rPr>
                <w:color w:val="000000"/>
              </w:rPr>
              <w:br/>
              <w:t>(94-98</w:t>
            </w:r>
            <w:r w:rsidRPr="00623373">
              <w:rPr>
                <w:color w:val="000000"/>
              </w:rPr>
              <w:t>)</w:t>
            </w:r>
          </w:p>
        </w:tc>
      </w:tr>
      <w:tr w:rsidR="00D51736" w:rsidTr="00BE6BF8">
        <w:trPr>
          <w:trHeight w:val="340"/>
        </w:trPr>
        <w:tc>
          <w:tcPr>
            <w:tcW w:w="1378" w:type="pct"/>
            <w:shd w:val="clear" w:color="auto" w:fill="auto"/>
          </w:tcPr>
          <w:p w:rsidR="00D51736" w:rsidRDefault="00D51736" w:rsidP="00BE6BF8">
            <w:pPr>
              <w:spacing w:after="0" w:line="480" w:lineRule="auto"/>
            </w:pPr>
            <w:r>
              <w:t>Median % error</w:t>
            </w:r>
          </w:p>
          <w:p w:rsidR="00D51736" w:rsidRDefault="00D51736" w:rsidP="00BE6BF8">
            <w:pPr>
              <w:spacing w:after="0" w:line="480" w:lineRule="auto"/>
            </w:pPr>
            <w:r>
              <w:t>(95% CI)</w:t>
            </w:r>
          </w:p>
        </w:tc>
        <w:tc>
          <w:tcPr>
            <w:tcW w:w="905" w:type="pct"/>
            <w:shd w:val="clear" w:color="auto" w:fill="auto"/>
          </w:tcPr>
          <w:p w:rsidR="00D51736" w:rsidRPr="00623373" w:rsidRDefault="00D51736" w:rsidP="00BE6BF8">
            <w:pPr>
              <w:spacing w:after="0" w:line="480" w:lineRule="auto"/>
            </w:pPr>
            <w:r>
              <w:t>24%</w:t>
            </w:r>
            <w:r>
              <w:br/>
              <w:t>(10-60</w:t>
            </w:r>
            <w:r w:rsidRPr="00623373">
              <w:t>)</w:t>
            </w:r>
          </w:p>
        </w:tc>
        <w:tc>
          <w:tcPr>
            <w:tcW w:w="905" w:type="pct"/>
            <w:shd w:val="clear" w:color="auto" w:fill="auto"/>
          </w:tcPr>
          <w:p w:rsidR="00D51736" w:rsidRPr="00623373" w:rsidRDefault="00D51736" w:rsidP="00BE6BF8">
            <w:pPr>
              <w:spacing w:after="0" w:line="480" w:lineRule="auto"/>
            </w:pPr>
            <w:r>
              <w:t>10%(†)</w:t>
            </w:r>
            <w:r>
              <w:br/>
              <w:t>(7.0-21</w:t>
            </w:r>
            <w:r w:rsidRPr="00623373">
              <w:t>)</w:t>
            </w:r>
          </w:p>
        </w:tc>
        <w:tc>
          <w:tcPr>
            <w:tcW w:w="905" w:type="pct"/>
            <w:shd w:val="clear" w:color="auto" w:fill="auto"/>
          </w:tcPr>
          <w:p w:rsidR="00D51736" w:rsidRPr="00623373" w:rsidRDefault="00D51736" w:rsidP="00BE6BF8">
            <w:pPr>
              <w:spacing w:after="0" w:line="480" w:lineRule="auto"/>
            </w:pPr>
            <w:r>
              <w:t>32%</w:t>
            </w:r>
            <w:r>
              <w:br/>
              <w:t>(17-67</w:t>
            </w:r>
            <w:r w:rsidRPr="00623373">
              <w:t>)</w:t>
            </w:r>
          </w:p>
        </w:tc>
        <w:tc>
          <w:tcPr>
            <w:tcW w:w="906" w:type="pct"/>
            <w:shd w:val="clear" w:color="auto" w:fill="auto"/>
          </w:tcPr>
          <w:p w:rsidR="00D51736" w:rsidRPr="00623373" w:rsidRDefault="00D51736" w:rsidP="00BE6BF8">
            <w:pPr>
              <w:spacing w:after="0" w:line="480" w:lineRule="auto"/>
            </w:pPr>
            <w:r>
              <w:t>70%(†)</w:t>
            </w:r>
            <w:r>
              <w:br/>
              <w:t>(34</w:t>
            </w:r>
            <w:r w:rsidRPr="00623373">
              <w:t>-133)</w:t>
            </w:r>
          </w:p>
        </w:tc>
      </w:tr>
      <w:tr w:rsidR="00D51736" w:rsidTr="00BE6BF8">
        <w:trPr>
          <w:trHeight w:val="340"/>
        </w:trPr>
        <w:tc>
          <w:tcPr>
            <w:tcW w:w="1378" w:type="pct"/>
            <w:shd w:val="clear" w:color="auto" w:fill="auto"/>
          </w:tcPr>
          <w:p w:rsidR="00D51736" w:rsidRDefault="00D51736" w:rsidP="00BE6BF8">
            <w:pPr>
              <w:spacing w:after="0" w:line="480" w:lineRule="auto"/>
            </w:pPr>
            <w:r>
              <w:t>Correct answers (n)</w:t>
            </w:r>
          </w:p>
        </w:tc>
        <w:tc>
          <w:tcPr>
            <w:tcW w:w="905" w:type="pct"/>
            <w:shd w:val="clear" w:color="auto" w:fill="auto"/>
          </w:tcPr>
          <w:p w:rsidR="00D51736" w:rsidRPr="00623373" w:rsidRDefault="00D51736" w:rsidP="00BE6BF8">
            <w:pPr>
              <w:spacing w:after="0" w:line="480" w:lineRule="auto"/>
            </w:pPr>
            <w:r>
              <w:t>455</w:t>
            </w:r>
          </w:p>
        </w:tc>
        <w:tc>
          <w:tcPr>
            <w:tcW w:w="905" w:type="pct"/>
            <w:shd w:val="clear" w:color="auto" w:fill="auto"/>
          </w:tcPr>
          <w:p w:rsidR="00D51736" w:rsidRPr="00623373" w:rsidRDefault="00D51736" w:rsidP="00BE6BF8">
            <w:pPr>
              <w:spacing w:after="0" w:line="480" w:lineRule="auto"/>
            </w:pPr>
            <w:r>
              <w:t>444</w:t>
            </w:r>
          </w:p>
        </w:tc>
        <w:tc>
          <w:tcPr>
            <w:tcW w:w="905" w:type="pct"/>
            <w:shd w:val="clear" w:color="auto" w:fill="auto"/>
          </w:tcPr>
          <w:p w:rsidR="00D51736" w:rsidRPr="00623373" w:rsidRDefault="00D51736" w:rsidP="00BE6BF8">
            <w:pPr>
              <w:spacing w:after="0" w:line="480" w:lineRule="auto"/>
            </w:pPr>
            <w:r>
              <w:t>453</w:t>
            </w:r>
          </w:p>
        </w:tc>
        <w:tc>
          <w:tcPr>
            <w:tcW w:w="906" w:type="pct"/>
            <w:shd w:val="clear" w:color="auto" w:fill="auto"/>
          </w:tcPr>
          <w:p w:rsidR="00D51736" w:rsidRPr="00623373" w:rsidRDefault="00D51736" w:rsidP="00BE6BF8">
            <w:pPr>
              <w:spacing w:after="0" w:line="480" w:lineRule="auto"/>
            </w:pPr>
            <w:r>
              <w:t>461</w:t>
            </w:r>
          </w:p>
        </w:tc>
      </w:tr>
      <w:tr w:rsidR="00D51736" w:rsidTr="00BE6BF8">
        <w:trPr>
          <w:trHeight w:val="340"/>
        </w:trPr>
        <w:tc>
          <w:tcPr>
            <w:tcW w:w="1378" w:type="pct"/>
            <w:shd w:val="clear" w:color="auto" w:fill="auto"/>
          </w:tcPr>
          <w:p w:rsidR="00D51736" w:rsidRDefault="00D51736" w:rsidP="00BE6BF8">
            <w:pPr>
              <w:spacing w:after="0" w:line="480" w:lineRule="auto"/>
            </w:pPr>
            <w:r>
              <w:t>Error type</w:t>
            </w:r>
          </w:p>
        </w:tc>
        <w:tc>
          <w:tcPr>
            <w:tcW w:w="905" w:type="pct"/>
            <w:shd w:val="clear" w:color="auto" w:fill="auto"/>
          </w:tcPr>
          <w:p w:rsidR="00D51736" w:rsidRPr="00623373" w:rsidRDefault="00D51736" w:rsidP="00BE6BF8">
            <w:pPr>
              <w:spacing w:after="0" w:line="480" w:lineRule="auto"/>
            </w:pPr>
          </w:p>
        </w:tc>
        <w:tc>
          <w:tcPr>
            <w:tcW w:w="905" w:type="pct"/>
            <w:shd w:val="clear" w:color="auto" w:fill="auto"/>
          </w:tcPr>
          <w:p w:rsidR="00D51736" w:rsidRPr="00623373" w:rsidRDefault="00D51736" w:rsidP="00BE6BF8">
            <w:pPr>
              <w:spacing w:after="0" w:line="480" w:lineRule="auto"/>
            </w:pPr>
          </w:p>
        </w:tc>
        <w:tc>
          <w:tcPr>
            <w:tcW w:w="905" w:type="pct"/>
            <w:shd w:val="clear" w:color="auto" w:fill="auto"/>
          </w:tcPr>
          <w:p w:rsidR="00D51736" w:rsidRPr="00623373" w:rsidRDefault="00D51736" w:rsidP="00BE6BF8">
            <w:pPr>
              <w:spacing w:after="0" w:line="480" w:lineRule="auto"/>
            </w:pPr>
          </w:p>
        </w:tc>
        <w:tc>
          <w:tcPr>
            <w:tcW w:w="906" w:type="pct"/>
            <w:shd w:val="clear" w:color="auto" w:fill="auto"/>
          </w:tcPr>
          <w:p w:rsidR="00D51736" w:rsidRPr="00623373" w:rsidRDefault="00D51736" w:rsidP="00BE6BF8">
            <w:pPr>
              <w:spacing w:after="0" w:line="480" w:lineRule="auto"/>
            </w:pPr>
          </w:p>
        </w:tc>
      </w:tr>
      <w:tr w:rsidR="00D51736" w:rsidTr="00BE6BF8">
        <w:trPr>
          <w:trHeight w:val="340"/>
        </w:trPr>
        <w:tc>
          <w:tcPr>
            <w:tcW w:w="1378" w:type="pct"/>
            <w:shd w:val="clear" w:color="auto" w:fill="auto"/>
          </w:tcPr>
          <w:p w:rsidR="00D51736" w:rsidRDefault="00D51736" w:rsidP="00BE6BF8">
            <w:pPr>
              <w:spacing w:after="0" w:line="480" w:lineRule="auto"/>
            </w:pPr>
            <w:r>
              <w:t xml:space="preserve">      Arithmetic</w:t>
            </w:r>
          </w:p>
        </w:tc>
        <w:tc>
          <w:tcPr>
            <w:tcW w:w="905" w:type="pct"/>
            <w:shd w:val="clear" w:color="auto" w:fill="auto"/>
          </w:tcPr>
          <w:p w:rsidR="00D51736" w:rsidRPr="00623373" w:rsidRDefault="00D51736" w:rsidP="00BE6BF8">
            <w:pPr>
              <w:spacing w:after="0" w:line="480" w:lineRule="auto"/>
            </w:pPr>
            <w:r>
              <w:t>25</w:t>
            </w:r>
            <w:r w:rsidRPr="00623373">
              <w:t xml:space="preserve"> (100%)</w:t>
            </w:r>
          </w:p>
        </w:tc>
        <w:tc>
          <w:tcPr>
            <w:tcW w:w="905" w:type="pct"/>
            <w:shd w:val="clear" w:color="auto" w:fill="auto"/>
          </w:tcPr>
          <w:p w:rsidR="00D51736" w:rsidRPr="00623373" w:rsidRDefault="00D51736" w:rsidP="00BE6BF8">
            <w:pPr>
              <w:spacing w:after="0" w:line="480" w:lineRule="auto"/>
            </w:pPr>
            <w:r w:rsidRPr="00623373">
              <w:t xml:space="preserve">34 (94%) </w:t>
            </w:r>
          </w:p>
        </w:tc>
        <w:tc>
          <w:tcPr>
            <w:tcW w:w="905" w:type="pct"/>
            <w:shd w:val="clear" w:color="auto" w:fill="auto"/>
          </w:tcPr>
          <w:p w:rsidR="00D51736" w:rsidRPr="00623373" w:rsidRDefault="00D51736" w:rsidP="00BE6BF8">
            <w:pPr>
              <w:spacing w:after="0" w:line="480" w:lineRule="auto"/>
            </w:pPr>
            <w:r>
              <w:t>21 (78</w:t>
            </w:r>
            <w:r w:rsidRPr="00623373">
              <w:t>%)</w:t>
            </w:r>
          </w:p>
        </w:tc>
        <w:tc>
          <w:tcPr>
            <w:tcW w:w="906" w:type="pct"/>
            <w:shd w:val="clear" w:color="auto" w:fill="auto"/>
          </w:tcPr>
          <w:p w:rsidR="00D51736" w:rsidRPr="00623373" w:rsidRDefault="00D51736" w:rsidP="00BE6BF8">
            <w:pPr>
              <w:spacing w:after="0" w:line="480" w:lineRule="auto"/>
            </w:pPr>
            <w:r w:rsidRPr="00623373">
              <w:t>3 (16%)</w:t>
            </w:r>
          </w:p>
        </w:tc>
      </w:tr>
      <w:tr w:rsidR="00D51736" w:rsidTr="00BE6BF8">
        <w:trPr>
          <w:trHeight w:val="340"/>
        </w:trPr>
        <w:tc>
          <w:tcPr>
            <w:tcW w:w="1378" w:type="pct"/>
            <w:shd w:val="clear" w:color="auto" w:fill="auto"/>
          </w:tcPr>
          <w:p w:rsidR="00D51736" w:rsidRDefault="00D51736" w:rsidP="00BE6BF8">
            <w:pPr>
              <w:spacing w:after="0" w:line="480" w:lineRule="auto"/>
            </w:pPr>
            <w:r>
              <w:t xml:space="preserve">      Input</w:t>
            </w:r>
          </w:p>
        </w:tc>
        <w:tc>
          <w:tcPr>
            <w:tcW w:w="905" w:type="pct"/>
            <w:shd w:val="clear" w:color="auto" w:fill="auto"/>
          </w:tcPr>
          <w:p w:rsidR="00D51736" w:rsidRPr="00623373" w:rsidRDefault="00D51736" w:rsidP="00BE6BF8">
            <w:pPr>
              <w:spacing w:after="0" w:line="480" w:lineRule="auto"/>
            </w:pPr>
            <w:r w:rsidRPr="00623373">
              <w:t>0</w:t>
            </w:r>
          </w:p>
        </w:tc>
        <w:tc>
          <w:tcPr>
            <w:tcW w:w="905" w:type="pct"/>
            <w:shd w:val="clear" w:color="auto" w:fill="auto"/>
          </w:tcPr>
          <w:p w:rsidR="00D51736" w:rsidRPr="00623373" w:rsidRDefault="00D51736" w:rsidP="00BE6BF8">
            <w:pPr>
              <w:spacing w:after="0" w:line="480" w:lineRule="auto"/>
            </w:pPr>
            <w:r w:rsidRPr="00623373">
              <w:t>1 (3%)</w:t>
            </w:r>
          </w:p>
        </w:tc>
        <w:tc>
          <w:tcPr>
            <w:tcW w:w="905" w:type="pct"/>
            <w:shd w:val="clear" w:color="auto" w:fill="auto"/>
          </w:tcPr>
          <w:p w:rsidR="00D51736" w:rsidRPr="00623373" w:rsidRDefault="00D51736" w:rsidP="00BE6BF8">
            <w:pPr>
              <w:spacing w:after="0" w:line="480" w:lineRule="auto"/>
            </w:pPr>
            <w:r>
              <w:t>6 (22</w:t>
            </w:r>
            <w:r w:rsidRPr="00623373">
              <w:t>%)</w:t>
            </w:r>
          </w:p>
        </w:tc>
        <w:tc>
          <w:tcPr>
            <w:tcW w:w="906" w:type="pct"/>
            <w:shd w:val="clear" w:color="auto" w:fill="auto"/>
          </w:tcPr>
          <w:p w:rsidR="00D51736" w:rsidRPr="00623373" w:rsidRDefault="00D51736" w:rsidP="00BE6BF8">
            <w:pPr>
              <w:spacing w:after="0" w:line="480" w:lineRule="auto"/>
            </w:pPr>
            <w:r w:rsidRPr="00623373">
              <w:t>1 (5%)</w:t>
            </w:r>
          </w:p>
        </w:tc>
      </w:tr>
      <w:tr w:rsidR="00D51736" w:rsidTr="00BE6BF8">
        <w:trPr>
          <w:trHeight w:val="340"/>
        </w:trPr>
        <w:tc>
          <w:tcPr>
            <w:tcW w:w="1378" w:type="pct"/>
            <w:shd w:val="clear" w:color="auto" w:fill="auto"/>
          </w:tcPr>
          <w:p w:rsidR="00D51736" w:rsidRDefault="00D51736" w:rsidP="00BE6BF8">
            <w:pPr>
              <w:spacing w:after="0" w:line="480" w:lineRule="auto"/>
            </w:pPr>
            <w:r>
              <w:t xml:space="preserve">      month/year</w:t>
            </w:r>
          </w:p>
        </w:tc>
        <w:tc>
          <w:tcPr>
            <w:tcW w:w="905" w:type="pct"/>
            <w:shd w:val="clear" w:color="auto" w:fill="auto"/>
          </w:tcPr>
          <w:p w:rsidR="00D51736" w:rsidRPr="00623373" w:rsidRDefault="00D51736" w:rsidP="00BE6BF8">
            <w:pPr>
              <w:spacing w:after="0" w:line="480" w:lineRule="auto"/>
            </w:pPr>
            <w:r w:rsidRPr="00623373">
              <w:t>0</w:t>
            </w:r>
          </w:p>
        </w:tc>
        <w:tc>
          <w:tcPr>
            <w:tcW w:w="905" w:type="pct"/>
            <w:shd w:val="clear" w:color="auto" w:fill="auto"/>
          </w:tcPr>
          <w:p w:rsidR="00D51736" w:rsidRPr="00623373" w:rsidRDefault="00D51736" w:rsidP="00BE6BF8">
            <w:pPr>
              <w:spacing w:after="0" w:line="480" w:lineRule="auto"/>
            </w:pPr>
            <w:r w:rsidRPr="00623373">
              <w:t>1 (3%)</w:t>
            </w:r>
          </w:p>
        </w:tc>
        <w:tc>
          <w:tcPr>
            <w:tcW w:w="905" w:type="pct"/>
            <w:shd w:val="clear" w:color="auto" w:fill="auto"/>
          </w:tcPr>
          <w:p w:rsidR="00D51736" w:rsidRPr="00623373" w:rsidRDefault="00D51736" w:rsidP="00BE6BF8">
            <w:pPr>
              <w:spacing w:after="0" w:line="480" w:lineRule="auto"/>
            </w:pPr>
            <w:r w:rsidRPr="00623373">
              <w:t>0</w:t>
            </w:r>
          </w:p>
        </w:tc>
        <w:tc>
          <w:tcPr>
            <w:tcW w:w="906" w:type="pct"/>
            <w:shd w:val="clear" w:color="auto" w:fill="auto"/>
          </w:tcPr>
          <w:p w:rsidR="00D51736" w:rsidRPr="00623373" w:rsidRDefault="00D51736" w:rsidP="00BE6BF8">
            <w:pPr>
              <w:spacing w:after="0" w:line="480" w:lineRule="auto"/>
            </w:pPr>
            <w:r w:rsidRPr="00623373">
              <w:t>15 (79%)</w:t>
            </w:r>
          </w:p>
        </w:tc>
      </w:tr>
    </w:tbl>
    <w:p w:rsidR="00265BEB" w:rsidRDefault="00D51736" w:rsidP="00317B30">
      <w:pPr>
        <w:spacing w:line="360" w:lineRule="auto"/>
      </w:pPr>
      <w:r>
        <w:br/>
        <w:t>Comparing the result of each method to one another by pairwise analysis, (*) denotes that a result is significantly different from the three others methods (p&lt;0.05).  Pairs of results marked with (</w:t>
      </w:r>
      <w:r w:rsidRPr="00623373">
        <w:t>†</w:t>
      </w:r>
      <w:r>
        <w:t xml:space="preserve">) are </w:t>
      </w:r>
      <w:r w:rsidRPr="00623373">
        <w:t>significantly different from each other</w:t>
      </w:r>
      <w:r>
        <w:t xml:space="preserve"> (p&lt;0.05), but not significantly different from those that remain unmarked.</w:t>
      </w:r>
    </w:p>
    <w:p w:rsidR="00265BEB" w:rsidRDefault="00265BEB"/>
    <w:sectPr w:rsidR="00265BEB" w:rsidSect="005952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B37" w:rsidRDefault="00151B37" w:rsidP="00805D29">
      <w:pPr>
        <w:spacing w:after="0" w:line="240" w:lineRule="auto"/>
      </w:pPr>
      <w:r>
        <w:separator/>
      </w:r>
    </w:p>
  </w:endnote>
  <w:endnote w:type="continuationSeparator" w:id="0">
    <w:p w:rsidR="00151B37" w:rsidRDefault="00151B37" w:rsidP="008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TimesNewRomanPS-BoldMT">
    <w:altName w:val="MS Mincho"/>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B37" w:rsidRDefault="00151B37" w:rsidP="00805D29">
      <w:pPr>
        <w:spacing w:after="0" w:line="240" w:lineRule="auto"/>
      </w:pPr>
      <w:r>
        <w:separator/>
      </w:r>
    </w:p>
  </w:footnote>
  <w:footnote w:type="continuationSeparator" w:id="0">
    <w:p w:rsidR="00151B37" w:rsidRDefault="00151B37" w:rsidP="00805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14C27"/>
    <w:multiLevelType w:val="hybridMultilevel"/>
    <w:tmpl w:val="5D526A66"/>
    <w:lvl w:ilvl="0" w:tplc="37B4818C">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E35BE2"/>
    <w:multiLevelType w:val="hybridMultilevel"/>
    <w:tmpl w:val="5810B4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570084"/>
    <w:multiLevelType w:val="hybridMultilevel"/>
    <w:tmpl w:val="3B86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nsolas" w:hAnsi="Consolas" w:cs="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cs="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cs="Consola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897930"/>
    <w:multiLevelType w:val="hybridMultilevel"/>
    <w:tmpl w:val="D7A8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nsolas" w:hAnsi="Consolas" w:cs="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cs="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cs="Consola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B6668B"/>
    <w:multiLevelType w:val="hybridMultilevel"/>
    <w:tmpl w:val="549A2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26"/>
    <w:rsid w:val="00010CA4"/>
    <w:rsid w:val="00017A83"/>
    <w:rsid w:val="00062482"/>
    <w:rsid w:val="000952C4"/>
    <w:rsid w:val="000971BF"/>
    <w:rsid w:val="000A1529"/>
    <w:rsid w:val="000A5668"/>
    <w:rsid w:val="000A6332"/>
    <w:rsid w:val="000A64BE"/>
    <w:rsid w:val="000A6C6B"/>
    <w:rsid w:val="000B1BD7"/>
    <w:rsid w:val="000E530A"/>
    <w:rsid w:val="00105AE0"/>
    <w:rsid w:val="00115743"/>
    <w:rsid w:val="001203C5"/>
    <w:rsid w:val="00134D80"/>
    <w:rsid w:val="001379D0"/>
    <w:rsid w:val="00151B37"/>
    <w:rsid w:val="00152324"/>
    <w:rsid w:val="001624CB"/>
    <w:rsid w:val="00172724"/>
    <w:rsid w:val="00172753"/>
    <w:rsid w:val="00177D0B"/>
    <w:rsid w:val="00185F41"/>
    <w:rsid w:val="001C7A15"/>
    <w:rsid w:val="001D4DE4"/>
    <w:rsid w:val="001D65E1"/>
    <w:rsid w:val="001E17DA"/>
    <w:rsid w:val="00205E4F"/>
    <w:rsid w:val="00212234"/>
    <w:rsid w:val="00233221"/>
    <w:rsid w:val="0025439E"/>
    <w:rsid w:val="00255476"/>
    <w:rsid w:val="0026298C"/>
    <w:rsid w:val="00265BEB"/>
    <w:rsid w:val="00270A14"/>
    <w:rsid w:val="002723A1"/>
    <w:rsid w:val="00280528"/>
    <w:rsid w:val="00290DB4"/>
    <w:rsid w:val="00294016"/>
    <w:rsid w:val="00296CD4"/>
    <w:rsid w:val="00301E11"/>
    <w:rsid w:val="003149F8"/>
    <w:rsid w:val="00317B30"/>
    <w:rsid w:val="00322ACA"/>
    <w:rsid w:val="0033539A"/>
    <w:rsid w:val="00346A59"/>
    <w:rsid w:val="00351DA4"/>
    <w:rsid w:val="0036429B"/>
    <w:rsid w:val="00364B0B"/>
    <w:rsid w:val="00370371"/>
    <w:rsid w:val="00371049"/>
    <w:rsid w:val="00372985"/>
    <w:rsid w:val="00375325"/>
    <w:rsid w:val="003870B0"/>
    <w:rsid w:val="00391B9F"/>
    <w:rsid w:val="003A3388"/>
    <w:rsid w:val="003C24C8"/>
    <w:rsid w:val="003C7244"/>
    <w:rsid w:val="003D53F7"/>
    <w:rsid w:val="003E198E"/>
    <w:rsid w:val="003F2211"/>
    <w:rsid w:val="004105DF"/>
    <w:rsid w:val="00420B35"/>
    <w:rsid w:val="00482C61"/>
    <w:rsid w:val="004F72F6"/>
    <w:rsid w:val="005365A8"/>
    <w:rsid w:val="00536AA8"/>
    <w:rsid w:val="0054656A"/>
    <w:rsid w:val="00573F22"/>
    <w:rsid w:val="005952A1"/>
    <w:rsid w:val="0059563E"/>
    <w:rsid w:val="005B2313"/>
    <w:rsid w:val="005E2DF2"/>
    <w:rsid w:val="00610329"/>
    <w:rsid w:val="00623373"/>
    <w:rsid w:val="006246B9"/>
    <w:rsid w:val="00627C96"/>
    <w:rsid w:val="006358F6"/>
    <w:rsid w:val="00651D96"/>
    <w:rsid w:val="006B3128"/>
    <w:rsid w:val="006F0930"/>
    <w:rsid w:val="00701A03"/>
    <w:rsid w:val="007072D8"/>
    <w:rsid w:val="00710AC5"/>
    <w:rsid w:val="00722BE4"/>
    <w:rsid w:val="00722DCC"/>
    <w:rsid w:val="007267D5"/>
    <w:rsid w:val="00735A2F"/>
    <w:rsid w:val="00745E31"/>
    <w:rsid w:val="007505D1"/>
    <w:rsid w:val="00755AF6"/>
    <w:rsid w:val="0079641C"/>
    <w:rsid w:val="00797FE0"/>
    <w:rsid w:val="007A37C2"/>
    <w:rsid w:val="007B738E"/>
    <w:rsid w:val="007C2B98"/>
    <w:rsid w:val="007C3252"/>
    <w:rsid w:val="007D215B"/>
    <w:rsid w:val="007D7F74"/>
    <w:rsid w:val="007F04B3"/>
    <w:rsid w:val="007F3E77"/>
    <w:rsid w:val="00805D29"/>
    <w:rsid w:val="008068C9"/>
    <w:rsid w:val="008147CF"/>
    <w:rsid w:val="00820D1D"/>
    <w:rsid w:val="00835E45"/>
    <w:rsid w:val="00844B11"/>
    <w:rsid w:val="0086525F"/>
    <w:rsid w:val="00881333"/>
    <w:rsid w:val="00885823"/>
    <w:rsid w:val="008A6764"/>
    <w:rsid w:val="008D2713"/>
    <w:rsid w:val="008F7544"/>
    <w:rsid w:val="0091301F"/>
    <w:rsid w:val="009135B3"/>
    <w:rsid w:val="00921C03"/>
    <w:rsid w:val="009561BD"/>
    <w:rsid w:val="009658B2"/>
    <w:rsid w:val="00972081"/>
    <w:rsid w:val="009829AA"/>
    <w:rsid w:val="009856AC"/>
    <w:rsid w:val="009947B4"/>
    <w:rsid w:val="009C02D8"/>
    <w:rsid w:val="009C40C3"/>
    <w:rsid w:val="009D5E2F"/>
    <w:rsid w:val="009E7222"/>
    <w:rsid w:val="00A16809"/>
    <w:rsid w:val="00A22F1E"/>
    <w:rsid w:val="00A2544E"/>
    <w:rsid w:val="00A350A4"/>
    <w:rsid w:val="00A35925"/>
    <w:rsid w:val="00A3596E"/>
    <w:rsid w:val="00A41E77"/>
    <w:rsid w:val="00A4374F"/>
    <w:rsid w:val="00A531D2"/>
    <w:rsid w:val="00A61FAC"/>
    <w:rsid w:val="00A66E17"/>
    <w:rsid w:val="00A70774"/>
    <w:rsid w:val="00A73D4E"/>
    <w:rsid w:val="00A8412F"/>
    <w:rsid w:val="00A868F0"/>
    <w:rsid w:val="00A8745A"/>
    <w:rsid w:val="00A949C5"/>
    <w:rsid w:val="00AA2647"/>
    <w:rsid w:val="00AC1B1A"/>
    <w:rsid w:val="00AC3EAE"/>
    <w:rsid w:val="00AF1520"/>
    <w:rsid w:val="00AF1526"/>
    <w:rsid w:val="00AF7EB3"/>
    <w:rsid w:val="00B250B8"/>
    <w:rsid w:val="00B416E7"/>
    <w:rsid w:val="00B72D2F"/>
    <w:rsid w:val="00B73155"/>
    <w:rsid w:val="00BA678D"/>
    <w:rsid w:val="00BB1E1B"/>
    <w:rsid w:val="00BB548B"/>
    <w:rsid w:val="00BC1A28"/>
    <w:rsid w:val="00BC352D"/>
    <w:rsid w:val="00BF521A"/>
    <w:rsid w:val="00C022C9"/>
    <w:rsid w:val="00C0519C"/>
    <w:rsid w:val="00C223DF"/>
    <w:rsid w:val="00C234F4"/>
    <w:rsid w:val="00C23A7B"/>
    <w:rsid w:val="00C4319A"/>
    <w:rsid w:val="00C57A6A"/>
    <w:rsid w:val="00C600A3"/>
    <w:rsid w:val="00CC05A7"/>
    <w:rsid w:val="00CD7239"/>
    <w:rsid w:val="00D00939"/>
    <w:rsid w:val="00D053DA"/>
    <w:rsid w:val="00D113E5"/>
    <w:rsid w:val="00D51736"/>
    <w:rsid w:val="00D600DA"/>
    <w:rsid w:val="00D60AF6"/>
    <w:rsid w:val="00D64847"/>
    <w:rsid w:val="00D75BCC"/>
    <w:rsid w:val="00D83567"/>
    <w:rsid w:val="00D862C8"/>
    <w:rsid w:val="00DB379E"/>
    <w:rsid w:val="00DB38ED"/>
    <w:rsid w:val="00DC5112"/>
    <w:rsid w:val="00DE1912"/>
    <w:rsid w:val="00DF6B72"/>
    <w:rsid w:val="00E57A25"/>
    <w:rsid w:val="00E6543E"/>
    <w:rsid w:val="00E727A3"/>
    <w:rsid w:val="00E809A3"/>
    <w:rsid w:val="00EA443F"/>
    <w:rsid w:val="00ED2159"/>
    <w:rsid w:val="00ED5E8A"/>
    <w:rsid w:val="00EF0913"/>
    <w:rsid w:val="00EF1DB7"/>
    <w:rsid w:val="00F0032B"/>
    <w:rsid w:val="00F079AB"/>
    <w:rsid w:val="00F55D00"/>
    <w:rsid w:val="00F5673E"/>
    <w:rsid w:val="00F65153"/>
    <w:rsid w:val="00F74968"/>
    <w:rsid w:val="00F775C0"/>
    <w:rsid w:val="00F85A80"/>
    <w:rsid w:val="00F9177F"/>
    <w:rsid w:val="00F94537"/>
    <w:rsid w:val="00FA311B"/>
    <w:rsid w:val="00FA6DA2"/>
    <w:rsid w:val="00FB327C"/>
    <w:rsid w:val="00FC0E1B"/>
    <w:rsid w:val="00FC14B4"/>
    <w:rsid w:val="00FC7C66"/>
    <w:rsid w:val="00FE608D"/>
    <w:rsid w:val="00FF36B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26"/>
    <w:pPr>
      <w:spacing w:after="200" w:line="276" w:lineRule="auto"/>
    </w:pPr>
    <w:rPr>
      <w:sz w:val="22"/>
      <w:szCs w:val="22"/>
      <w:lang w:eastAsia="en-US"/>
    </w:rPr>
  </w:style>
  <w:style w:type="paragraph" w:styleId="Heading2">
    <w:name w:val="heading 2"/>
    <w:basedOn w:val="Normal"/>
    <w:link w:val="Heading2Char"/>
    <w:uiPriority w:val="9"/>
    <w:qFormat/>
    <w:rsid w:val="000B1BD7"/>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link w:val="Heading4Char"/>
    <w:uiPriority w:val="9"/>
    <w:qFormat/>
    <w:rsid w:val="000B1BD7"/>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1526"/>
    <w:rPr>
      <w:color w:val="0000FF"/>
      <w:u w:val="single"/>
    </w:rPr>
  </w:style>
  <w:style w:type="table" w:styleId="TableGrid">
    <w:name w:val="Table Grid"/>
    <w:basedOn w:val="TableNormal"/>
    <w:uiPriority w:val="59"/>
    <w:rsid w:val="00707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D7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7D7F74"/>
    <w:rPr>
      <w:rFonts w:ascii="Courier New" w:eastAsia="Times New Roman" w:hAnsi="Courier New" w:cs="Courier New"/>
      <w:sz w:val="20"/>
      <w:szCs w:val="20"/>
      <w:lang w:eastAsia="en-GB"/>
    </w:rPr>
  </w:style>
  <w:style w:type="character" w:customStyle="1" w:styleId="Heading2Char">
    <w:name w:val="Heading 2 Char"/>
    <w:link w:val="Heading2"/>
    <w:uiPriority w:val="9"/>
    <w:rsid w:val="000B1BD7"/>
    <w:rPr>
      <w:rFonts w:ascii="Times New Roman" w:eastAsia="Times New Roman" w:hAnsi="Times New Roman" w:cs="Times New Roman"/>
      <w:b/>
      <w:bCs/>
      <w:sz w:val="36"/>
      <w:szCs w:val="36"/>
      <w:lang w:eastAsia="en-GB"/>
    </w:rPr>
  </w:style>
  <w:style w:type="character" w:customStyle="1" w:styleId="Heading4Char">
    <w:name w:val="Heading 4 Char"/>
    <w:link w:val="Heading4"/>
    <w:uiPriority w:val="9"/>
    <w:rsid w:val="000B1BD7"/>
    <w:rPr>
      <w:rFonts w:ascii="Times New Roman" w:eastAsia="Times New Roman" w:hAnsi="Times New Roman" w:cs="Times New Roman"/>
      <w:b/>
      <w:bCs/>
      <w:sz w:val="24"/>
      <w:szCs w:val="24"/>
      <w:lang w:eastAsia="en-GB"/>
    </w:rPr>
  </w:style>
  <w:style w:type="character" w:customStyle="1" w:styleId="gnkrckgcgsb">
    <w:name w:val="gnkrckgcgsb"/>
    <w:basedOn w:val="DefaultParagraphFont"/>
    <w:rsid w:val="0059563E"/>
  </w:style>
  <w:style w:type="paragraph" w:styleId="Header">
    <w:name w:val="header"/>
    <w:basedOn w:val="Normal"/>
    <w:link w:val="HeaderChar"/>
    <w:uiPriority w:val="99"/>
    <w:semiHidden/>
    <w:unhideWhenUsed/>
    <w:rsid w:val="00805D29"/>
    <w:pPr>
      <w:tabs>
        <w:tab w:val="center" w:pos="4513"/>
        <w:tab w:val="right" w:pos="9026"/>
      </w:tabs>
      <w:spacing w:after="0" w:line="240" w:lineRule="auto"/>
    </w:pPr>
  </w:style>
  <w:style w:type="character" w:customStyle="1" w:styleId="HeaderChar">
    <w:name w:val="Header Char"/>
    <w:link w:val="Header"/>
    <w:uiPriority w:val="99"/>
    <w:semiHidden/>
    <w:rsid w:val="00805D29"/>
    <w:rPr>
      <w:rFonts w:ascii="Calibri" w:eastAsia="Calibri" w:hAnsi="Calibri" w:cs="Times New Roman"/>
    </w:rPr>
  </w:style>
  <w:style w:type="paragraph" w:styleId="Footer">
    <w:name w:val="footer"/>
    <w:basedOn w:val="Normal"/>
    <w:link w:val="FooterChar"/>
    <w:uiPriority w:val="99"/>
    <w:semiHidden/>
    <w:unhideWhenUsed/>
    <w:rsid w:val="00805D29"/>
    <w:pPr>
      <w:tabs>
        <w:tab w:val="center" w:pos="4513"/>
        <w:tab w:val="right" w:pos="9026"/>
      </w:tabs>
      <w:spacing w:after="0" w:line="240" w:lineRule="auto"/>
    </w:pPr>
  </w:style>
  <w:style w:type="character" w:customStyle="1" w:styleId="FooterChar">
    <w:name w:val="Footer Char"/>
    <w:link w:val="Footer"/>
    <w:uiPriority w:val="99"/>
    <w:semiHidden/>
    <w:rsid w:val="00805D29"/>
    <w:rPr>
      <w:rFonts w:ascii="Calibri" w:eastAsia="Calibri" w:hAnsi="Calibri" w:cs="Times New Roman"/>
    </w:rPr>
  </w:style>
  <w:style w:type="paragraph" w:styleId="ListParagraph">
    <w:name w:val="List Paragraph"/>
    <w:basedOn w:val="Normal"/>
    <w:uiPriority w:val="34"/>
    <w:qFormat/>
    <w:rsid w:val="00265BEB"/>
    <w:pPr>
      <w:ind w:left="720"/>
      <w:contextualSpacing/>
    </w:pPr>
  </w:style>
  <w:style w:type="paragraph" w:styleId="Bibliography">
    <w:name w:val="Bibliography"/>
    <w:basedOn w:val="Normal"/>
    <w:next w:val="Normal"/>
    <w:uiPriority w:val="37"/>
    <w:unhideWhenUsed/>
    <w:rsid w:val="00105AE0"/>
    <w:pPr>
      <w:tabs>
        <w:tab w:val="left" w:pos="384"/>
      </w:tabs>
      <w:spacing w:after="0" w:line="240" w:lineRule="auto"/>
      <w:ind w:left="384" w:hanging="384"/>
    </w:pPr>
  </w:style>
  <w:style w:type="character" w:styleId="CommentReference">
    <w:name w:val="annotation reference"/>
    <w:uiPriority w:val="99"/>
    <w:semiHidden/>
    <w:unhideWhenUsed/>
    <w:rsid w:val="00FC14B4"/>
    <w:rPr>
      <w:sz w:val="16"/>
      <w:szCs w:val="16"/>
    </w:rPr>
  </w:style>
  <w:style w:type="paragraph" w:styleId="CommentText">
    <w:name w:val="annotation text"/>
    <w:basedOn w:val="Normal"/>
    <w:link w:val="CommentTextChar"/>
    <w:uiPriority w:val="99"/>
    <w:semiHidden/>
    <w:unhideWhenUsed/>
    <w:rsid w:val="00FC14B4"/>
    <w:pPr>
      <w:spacing w:line="240" w:lineRule="auto"/>
    </w:pPr>
    <w:rPr>
      <w:sz w:val="20"/>
      <w:szCs w:val="20"/>
    </w:rPr>
  </w:style>
  <w:style w:type="character" w:customStyle="1" w:styleId="CommentTextChar">
    <w:name w:val="Comment Text Char"/>
    <w:link w:val="CommentText"/>
    <w:uiPriority w:val="99"/>
    <w:semiHidden/>
    <w:rsid w:val="00FC14B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C14B4"/>
    <w:rPr>
      <w:b/>
      <w:bCs/>
    </w:rPr>
  </w:style>
  <w:style w:type="character" w:customStyle="1" w:styleId="CommentSubjectChar">
    <w:name w:val="Comment Subject Char"/>
    <w:link w:val="CommentSubject"/>
    <w:uiPriority w:val="99"/>
    <w:semiHidden/>
    <w:rsid w:val="00FC14B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C14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14B4"/>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26"/>
    <w:pPr>
      <w:spacing w:after="200" w:line="276" w:lineRule="auto"/>
    </w:pPr>
    <w:rPr>
      <w:sz w:val="22"/>
      <w:szCs w:val="22"/>
      <w:lang w:eastAsia="en-US"/>
    </w:rPr>
  </w:style>
  <w:style w:type="paragraph" w:styleId="Heading2">
    <w:name w:val="heading 2"/>
    <w:basedOn w:val="Normal"/>
    <w:link w:val="Heading2Char"/>
    <w:uiPriority w:val="9"/>
    <w:qFormat/>
    <w:rsid w:val="000B1BD7"/>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link w:val="Heading4Char"/>
    <w:uiPriority w:val="9"/>
    <w:qFormat/>
    <w:rsid w:val="000B1BD7"/>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1526"/>
    <w:rPr>
      <w:color w:val="0000FF"/>
      <w:u w:val="single"/>
    </w:rPr>
  </w:style>
  <w:style w:type="table" w:styleId="TableGrid">
    <w:name w:val="Table Grid"/>
    <w:basedOn w:val="TableNormal"/>
    <w:uiPriority w:val="59"/>
    <w:rsid w:val="00707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D7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7D7F74"/>
    <w:rPr>
      <w:rFonts w:ascii="Courier New" w:eastAsia="Times New Roman" w:hAnsi="Courier New" w:cs="Courier New"/>
      <w:sz w:val="20"/>
      <w:szCs w:val="20"/>
      <w:lang w:eastAsia="en-GB"/>
    </w:rPr>
  </w:style>
  <w:style w:type="character" w:customStyle="1" w:styleId="Heading2Char">
    <w:name w:val="Heading 2 Char"/>
    <w:link w:val="Heading2"/>
    <w:uiPriority w:val="9"/>
    <w:rsid w:val="000B1BD7"/>
    <w:rPr>
      <w:rFonts w:ascii="Times New Roman" w:eastAsia="Times New Roman" w:hAnsi="Times New Roman" w:cs="Times New Roman"/>
      <w:b/>
      <w:bCs/>
      <w:sz w:val="36"/>
      <w:szCs w:val="36"/>
      <w:lang w:eastAsia="en-GB"/>
    </w:rPr>
  </w:style>
  <w:style w:type="character" w:customStyle="1" w:styleId="Heading4Char">
    <w:name w:val="Heading 4 Char"/>
    <w:link w:val="Heading4"/>
    <w:uiPriority w:val="9"/>
    <w:rsid w:val="000B1BD7"/>
    <w:rPr>
      <w:rFonts w:ascii="Times New Roman" w:eastAsia="Times New Roman" w:hAnsi="Times New Roman" w:cs="Times New Roman"/>
      <w:b/>
      <w:bCs/>
      <w:sz w:val="24"/>
      <w:szCs w:val="24"/>
      <w:lang w:eastAsia="en-GB"/>
    </w:rPr>
  </w:style>
  <w:style w:type="character" w:customStyle="1" w:styleId="gnkrckgcgsb">
    <w:name w:val="gnkrckgcgsb"/>
    <w:basedOn w:val="DefaultParagraphFont"/>
    <w:rsid w:val="0059563E"/>
  </w:style>
  <w:style w:type="paragraph" w:styleId="Header">
    <w:name w:val="header"/>
    <w:basedOn w:val="Normal"/>
    <w:link w:val="HeaderChar"/>
    <w:uiPriority w:val="99"/>
    <w:semiHidden/>
    <w:unhideWhenUsed/>
    <w:rsid w:val="00805D29"/>
    <w:pPr>
      <w:tabs>
        <w:tab w:val="center" w:pos="4513"/>
        <w:tab w:val="right" w:pos="9026"/>
      </w:tabs>
      <w:spacing w:after="0" w:line="240" w:lineRule="auto"/>
    </w:pPr>
  </w:style>
  <w:style w:type="character" w:customStyle="1" w:styleId="HeaderChar">
    <w:name w:val="Header Char"/>
    <w:link w:val="Header"/>
    <w:uiPriority w:val="99"/>
    <w:semiHidden/>
    <w:rsid w:val="00805D29"/>
    <w:rPr>
      <w:rFonts w:ascii="Calibri" w:eastAsia="Calibri" w:hAnsi="Calibri" w:cs="Times New Roman"/>
    </w:rPr>
  </w:style>
  <w:style w:type="paragraph" w:styleId="Footer">
    <w:name w:val="footer"/>
    <w:basedOn w:val="Normal"/>
    <w:link w:val="FooterChar"/>
    <w:uiPriority w:val="99"/>
    <w:semiHidden/>
    <w:unhideWhenUsed/>
    <w:rsid w:val="00805D29"/>
    <w:pPr>
      <w:tabs>
        <w:tab w:val="center" w:pos="4513"/>
        <w:tab w:val="right" w:pos="9026"/>
      </w:tabs>
      <w:spacing w:after="0" w:line="240" w:lineRule="auto"/>
    </w:pPr>
  </w:style>
  <w:style w:type="character" w:customStyle="1" w:styleId="FooterChar">
    <w:name w:val="Footer Char"/>
    <w:link w:val="Footer"/>
    <w:uiPriority w:val="99"/>
    <w:semiHidden/>
    <w:rsid w:val="00805D29"/>
    <w:rPr>
      <w:rFonts w:ascii="Calibri" w:eastAsia="Calibri" w:hAnsi="Calibri" w:cs="Times New Roman"/>
    </w:rPr>
  </w:style>
  <w:style w:type="paragraph" w:styleId="ListParagraph">
    <w:name w:val="List Paragraph"/>
    <w:basedOn w:val="Normal"/>
    <w:uiPriority w:val="34"/>
    <w:qFormat/>
    <w:rsid w:val="00265BEB"/>
    <w:pPr>
      <w:ind w:left="720"/>
      <w:contextualSpacing/>
    </w:pPr>
  </w:style>
  <w:style w:type="paragraph" w:styleId="Bibliography">
    <w:name w:val="Bibliography"/>
    <w:basedOn w:val="Normal"/>
    <w:next w:val="Normal"/>
    <w:uiPriority w:val="37"/>
    <w:unhideWhenUsed/>
    <w:rsid w:val="00105AE0"/>
    <w:pPr>
      <w:tabs>
        <w:tab w:val="left" w:pos="384"/>
      </w:tabs>
      <w:spacing w:after="0" w:line="240" w:lineRule="auto"/>
      <w:ind w:left="384" w:hanging="384"/>
    </w:pPr>
  </w:style>
  <w:style w:type="character" w:styleId="CommentReference">
    <w:name w:val="annotation reference"/>
    <w:uiPriority w:val="99"/>
    <w:semiHidden/>
    <w:unhideWhenUsed/>
    <w:rsid w:val="00FC14B4"/>
    <w:rPr>
      <w:sz w:val="16"/>
      <w:szCs w:val="16"/>
    </w:rPr>
  </w:style>
  <w:style w:type="paragraph" w:styleId="CommentText">
    <w:name w:val="annotation text"/>
    <w:basedOn w:val="Normal"/>
    <w:link w:val="CommentTextChar"/>
    <w:uiPriority w:val="99"/>
    <w:semiHidden/>
    <w:unhideWhenUsed/>
    <w:rsid w:val="00FC14B4"/>
    <w:pPr>
      <w:spacing w:line="240" w:lineRule="auto"/>
    </w:pPr>
    <w:rPr>
      <w:sz w:val="20"/>
      <w:szCs w:val="20"/>
    </w:rPr>
  </w:style>
  <w:style w:type="character" w:customStyle="1" w:styleId="CommentTextChar">
    <w:name w:val="Comment Text Char"/>
    <w:link w:val="CommentText"/>
    <w:uiPriority w:val="99"/>
    <w:semiHidden/>
    <w:rsid w:val="00FC14B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C14B4"/>
    <w:rPr>
      <w:b/>
      <w:bCs/>
    </w:rPr>
  </w:style>
  <w:style w:type="character" w:customStyle="1" w:styleId="CommentSubjectChar">
    <w:name w:val="Comment Subject Char"/>
    <w:link w:val="CommentSubject"/>
    <w:uiPriority w:val="99"/>
    <w:semiHidden/>
    <w:rsid w:val="00FC14B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C14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14B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8931">
      <w:bodyDiv w:val="1"/>
      <w:marLeft w:val="0"/>
      <w:marRight w:val="0"/>
      <w:marTop w:val="0"/>
      <w:marBottom w:val="0"/>
      <w:divBdr>
        <w:top w:val="none" w:sz="0" w:space="0" w:color="auto"/>
        <w:left w:val="none" w:sz="0" w:space="0" w:color="auto"/>
        <w:bottom w:val="none" w:sz="0" w:space="0" w:color="auto"/>
        <w:right w:val="none" w:sz="0" w:space="0" w:color="auto"/>
      </w:divBdr>
    </w:div>
    <w:div w:id="305160941">
      <w:bodyDiv w:val="1"/>
      <w:marLeft w:val="0"/>
      <w:marRight w:val="0"/>
      <w:marTop w:val="0"/>
      <w:marBottom w:val="0"/>
      <w:divBdr>
        <w:top w:val="none" w:sz="0" w:space="0" w:color="auto"/>
        <w:left w:val="none" w:sz="0" w:space="0" w:color="auto"/>
        <w:bottom w:val="none" w:sz="0" w:space="0" w:color="auto"/>
        <w:right w:val="none" w:sz="0" w:space="0" w:color="auto"/>
      </w:divBdr>
      <w:divsChild>
        <w:div w:id="245039918">
          <w:marLeft w:val="0"/>
          <w:marRight w:val="0"/>
          <w:marTop w:val="0"/>
          <w:marBottom w:val="0"/>
          <w:divBdr>
            <w:top w:val="none" w:sz="0" w:space="0" w:color="auto"/>
            <w:left w:val="none" w:sz="0" w:space="0" w:color="auto"/>
            <w:bottom w:val="none" w:sz="0" w:space="0" w:color="auto"/>
            <w:right w:val="none" w:sz="0" w:space="0" w:color="auto"/>
          </w:divBdr>
          <w:divsChild>
            <w:div w:id="2116822102">
              <w:marLeft w:val="2000"/>
              <w:marRight w:val="0"/>
              <w:marTop w:val="0"/>
              <w:marBottom w:val="0"/>
              <w:divBdr>
                <w:top w:val="none" w:sz="0" w:space="0" w:color="auto"/>
                <w:left w:val="none" w:sz="0" w:space="0" w:color="auto"/>
                <w:bottom w:val="none" w:sz="0" w:space="0" w:color="auto"/>
                <w:right w:val="none" w:sz="0" w:space="0" w:color="auto"/>
              </w:divBdr>
            </w:div>
          </w:divsChild>
        </w:div>
        <w:div w:id="523981556">
          <w:marLeft w:val="0"/>
          <w:marRight w:val="0"/>
          <w:marTop w:val="0"/>
          <w:marBottom w:val="0"/>
          <w:divBdr>
            <w:top w:val="none" w:sz="0" w:space="0" w:color="auto"/>
            <w:left w:val="none" w:sz="0" w:space="0" w:color="auto"/>
            <w:bottom w:val="none" w:sz="0" w:space="0" w:color="auto"/>
            <w:right w:val="none" w:sz="0" w:space="0" w:color="auto"/>
          </w:divBdr>
        </w:div>
      </w:divsChild>
    </w:div>
    <w:div w:id="871917453">
      <w:bodyDiv w:val="1"/>
      <w:marLeft w:val="0"/>
      <w:marRight w:val="0"/>
      <w:marTop w:val="0"/>
      <w:marBottom w:val="0"/>
      <w:divBdr>
        <w:top w:val="none" w:sz="0" w:space="0" w:color="auto"/>
        <w:left w:val="none" w:sz="0" w:space="0" w:color="auto"/>
        <w:bottom w:val="none" w:sz="0" w:space="0" w:color="auto"/>
        <w:right w:val="none" w:sz="0" w:space="0" w:color="auto"/>
      </w:divBdr>
    </w:div>
    <w:div w:id="937443481">
      <w:bodyDiv w:val="1"/>
      <w:marLeft w:val="0"/>
      <w:marRight w:val="0"/>
      <w:marTop w:val="0"/>
      <w:marBottom w:val="0"/>
      <w:divBdr>
        <w:top w:val="none" w:sz="0" w:space="0" w:color="auto"/>
        <w:left w:val="none" w:sz="0" w:space="0" w:color="auto"/>
        <w:bottom w:val="none" w:sz="0" w:space="0" w:color="auto"/>
        <w:right w:val="none" w:sz="0" w:space="0" w:color="auto"/>
      </w:divBdr>
    </w:div>
    <w:div w:id="20704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emresearch.org" TargetMode="External"/><Relationship Id="rId4" Type="http://schemas.microsoft.com/office/2007/relationships/stylesWithEffects" Target="stylesWithEffects.xml"/><Relationship Id="rId9" Type="http://schemas.openxmlformats.org/officeDocument/2006/relationships/hyperlink" Target="mailto:robin.marlow@brist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E024-CF0C-4480-BB62-87FD68F3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7614</Words>
  <Characters>43401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Marlow</dc:creator>
  <cp:lastModifiedBy>Robin</cp:lastModifiedBy>
  <cp:revision>2</cp:revision>
  <dcterms:created xsi:type="dcterms:W3CDTF">2018-06-04T08:45:00Z</dcterms:created>
  <dcterms:modified xsi:type="dcterms:W3CDTF">2018-06-04T08:45:00Z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id="8liwByRJ"/&gt;&lt;style id="http://www.zotero.org/styles/elsevier-vancouver"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