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C59" w:rsidRPr="00CD64C4" w:rsidRDefault="00BA60CE" w:rsidP="00816C59">
      <w:pPr>
        <w:pStyle w:val="Articletitle"/>
        <w:rPr>
          <w:bCs/>
        </w:rPr>
      </w:pPr>
      <w:bookmarkStart w:id="0" w:name="_GoBack"/>
      <w:bookmarkEnd w:id="0"/>
      <w:r w:rsidRPr="00BA60CE">
        <w:rPr>
          <w:bCs/>
        </w:rPr>
        <w:t>Effect of carbon-negative aggregates on the strength properties of concrete for permeable pavements</w:t>
      </w:r>
    </w:p>
    <w:p w:rsidR="00D0576D" w:rsidRPr="00D0576D" w:rsidRDefault="005F1346" w:rsidP="00793855">
      <w:pPr>
        <w:pStyle w:val="Abstract"/>
        <w:jc w:val="both"/>
      </w:pPr>
      <w:r>
        <w:t xml:space="preserve">Permeable pavements are engineered to temporarily store water to reduce flooding during rainfall events. </w:t>
      </w:r>
      <w:r w:rsidR="00D0576D" w:rsidRPr="00D0576D">
        <w:t xml:space="preserve">Permeable pavements are distinguished primarily based on their surface materials which can vary from concrete, asphalt, </w:t>
      </w:r>
      <w:r w:rsidR="00C21EA6" w:rsidRPr="00C21EA6">
        <w:t>clay brick, concrete pavers or plastic grids</w:t>
      </w:r>
      <w:r w:rsidR="00D0576D" w:rsidRPr="00D0576D">
        <w:t>. This paper examined the effect of lightweight carbon-negative aggregates (CNA) on the behaviour of concrete intended for use as</w:t>
      </w:r>
      <w:r w:rsidR="00B412A6">
        <w:t xml:space="preserve"> solid</w:t>
      </w:r>
      <w:r w:rsidR="00D0576D" w:rsidRPr="00D0576D">
        <w:t xml:space="preserve"> </w:t>
      </w:r>
      <w:r w:rsidR="00816C59">
        <w:t>concrete block pavers in permeable pavements</w:t>
      </w:r>
      <w:r w:rsidR="00D0576D" w:rsidRPr="00D0576D">
        <w:t xml:space="preserve">. Performance indicators targeted compressive strength, </w:t>
      </w:r>
      <w:r w:rsidR="00D0576D" w:rsidRPr="00D0576D">
        <w:lastRenderedPageBreak/>
        <w:t>splitting tensile strength, density and water absorption. CNA were produced and sourced from manufacturing firm Carbon8 Systems in Kent U.K which applies patented accelerated carbonation technology to solidify incinerated ash into useful eco-friendly aggregates. The methodology involved substituting natural aggregates (NA) by mass, with CNA at pe</w:t>
      </w:r>
      <w:r w:rsidR="005E5D75">
        <w:t>rcentages varying from 0 to 100</w:t>
      </w:r>
      <w:r w:rsidR="00D0576D" w:rsidRPr="00D0576D">
        <w:t>. A scanning electron microscope was used to examine the aggregate-mortar interface. Both the compressive and tensile strengths decreased exponentially with the addition of CNA. Average 28-day compressive and splitting tensile strengths ranged from 69 MPa (10000 PSI) to 18 MPa (2600 PSI) and 3.8</w:t>
      </w:r>
      <w:r w:rsidR="00781415">
        <w:t>4</w:t>
      </w:r>
      <w:r w:rsidR="00D0576D" w:rsidRPr="00D0576D">
        <w:t xml:space="preserve"> MPa (560 PSI) to </w:t>
      </w:r>
      <w:r w:rsidR="00D0576D" w:rsidRPr="00D0576D">
        <w:lastRenderedPageBreak/>
        <w:t>1.</w:t>
      </w:r>
      <w:r w:rsidR="00781415">
        <w:t>2</w:t>
      </w:r>
      <w:r w:rsidR="00D0576D" w:rsidRPr="00D0576D">
        <w:t xml:space="preserve">3 MPa (178 PSI) respectively. </w:t>
      </w:r>
      <w:r w:rsidR="00B03A2E">
        <w:t>Density values decreased linearly with the addition of CNA with average values ranging from 2200 – 2600 kg/m</w:t>
      </w:r>
      <w:r w:rsidR="00B03A2E" w:rsidRPr="00B03A2E">
        <w:rPr>
          <w:vertAlign w:val="superscript"/>
        </w:rPr>
        <w:t>3</w:t>
      </w:r>
      <w:r w:rsidR="00B03A2E">
        <w:t xml:space="preserve">. </w:t>
      </w:r>
      <w:r w:rsidR="00D0576D" w:rsidRPr="00D0576D">
        <w:t>Conversely, water absorption increased with increases in CNA with average values ranging from 1.</w:t>
      </w:r>
      <w:r w:rsidR="00072796">
        <w:t>66</w:t>
      </w:r>
      <w:r w:rsidR="00B03A2E">
        <w:t>%</w:t>
      </w:r>
      <w:r w:rsidR="00D0576D" w:rsidRPr="00D0576D">
        <w:t xml:space="preserve"> to </w:t>
      </w:r>
      <w:r w:rsidR="00781415">
        <w:t>9.17</w:t>
      </w:r>
      <w:r w:rsidR="00D0576D" w:rsidRPr="00D0576D">
        <w:t>%. Depending on the loading requirements, CNA can replace NA in solid permeable pavement blocks by up to 100%.</w:t>
      </w:r>
    </w:p>
    <w:p w:rsidR="00D0576D" w:rsidRPr="00D0576D" w:rsidRDefault="00997B0F" w:rsidP="00D0576D">
      <w:pPr>
        <w:pStyle w:val="Keywords"/>
      </w:pPr>
      <w:r>
        <w:t xml:space="preserve">Keywords: </w:t>
      </w:r>
      <w:r w:rsidR="00D0576D" w:rsidRPr="00D0576D">
        <w:t xml:space="preserve">SEM, </w:t>
      </w:r>
      <w:r w:rsidR="00D0576D">
        <w:t>m</w:t>
      </w:r>
      <w:r w:rsidR="00D0576D" w:rsidRPr="00D0576D">
        <w:t xml:space="preserve">icrostructure, </w:t>
      </w:r>
      <w:r w:rsidR="001815DC">
        <w:t xml:space="preserve">lightweight </w:t>
      </w:r>
      <w:r w:rsidR="00D0576D">
        <w:t>c</w:t>
      </w:r>
      <w:r w:rsidR="00D0576D" w:rsidRPr="00D0576D">
        <w:t xml:space="preserve">oncrete, </w:t>
      </w:r>
      <w:r w:rsidR="00D0576D">
        <w:t>c</w:t>
      </w:r>
      <w:r w:rsidR="00D0576D" w:rsidRPr="00D0576D">
        <w:t xml:space="preserve">ompressive </w:t>
      </w:r>
      <w:r w:rsidR="00D0576D">
        <w:t>s</w:t>
      </w:r>
      <w:r w:rsidR="00D0576D" w:rsidRPr="00D0576D">
        <w:t xml:space="preserve">trength, </w:t>
      </w:r>
      <w:r w:rsidR="00D0576D">
        <w:t>p</w:t>
      </w:r>
      <w:r w:rsidR="00D0576D" w:rsidRPr="00D0576D">
        <w:t>ermeable pavements</w:t>
      </w:r>
      <w:r w:rsidR="00892D82">
        <w:t xml:space="preserve">, </w:t>
      </w:r>
      <w:r w:rsidR="001815DC">
        <w:t>carbon-negative aggregate</w:t>
      </w:r>
    </w:p>
    <w:p w:rsidR="00FF2E55" w:rsidRDefault="00FF2E55" w:rsidP="00FF2E55">
      <w:pPr>
        <w:pStyle w:val="Heading1"/>
      </w:pPr>
      <w:r>
        <w:lastRenderedPageBreak/>
        <w:t>Introduction</w:t>
      </w:r>
    </w:p>
    <w:p w:rsidR="00D0576D" w:rsidRPr="00D0576D" w:rsidRDefault="00B01863" w:rsidP="00793855">
      <w:pPr>
        <w:pStyle w:val="Paragraph"/>
      </w:pPr>
      <w:r w:rsidRPr="00B01863">
        <w:rPr>
          <w:lang w:val="en-US"/>
        </w:rPr>
        <w:t xml:space="preserve">Permeable pavements are engineered to perform as hybrid infrastructure. They are pavements with structural requirements typically designed to satisfy lightly trafficked surfaces such as parking lots and pedestrian access whilst </w:t>
      </w:r>
      <w:r w:rsidR="00067014">
        <w:rPr>
          <w:lang w:val="en-US"/>
        </w:rPr>
        <w:t>promoting infiltration and stormwater runoff mitigation</w:t>
      </w:r>
      <w:r w:rsidRPr="00B01863">
        <w:rPr>
          <w:lang w:val="en-US"/>
        </w:rPr>
        <w:t xml:space="preserve"> </w:t>
      </w:r>
      <w:r w:rsidR="00D0576D" w:rsidRPr="00D0576D">
        <w:fldChar w:fldCharType="begin"/>
      </w:r>
      <w:r w:rsidR="000B1BE6">
        <w:instrText xml:space="preserve"> ADDIN EN.CITE &lt;EndNote&gt;&lt;Cite&gt;&lt;Author&gt;Monrose&lt;/Author&gt;&lt;RecNum&gt;397&lt;/RecNum&gt;&lt;DisplayText&gt;(Monrose and Tota-Maharaj 2018)&lt;/DisplayText&gt;&lt;record&gt;&lt;rec-number&gt;397&lt;/rec-number&gt;&lt;foreign-keys&gt;&lt;key app="EN" db-id="25a5fvaw7f5peyeeez7xawr9wzraf29tswtp" timestamp="1534820450"&gt;397&lt;/key&gt;&lt;/foreign-keys&gt;&lt;ref-type name="Journal Article"&gt;17&lt;/ref-type&gt;&lt;contributors&gt;&lt;authors&gt;&lt;author&gt;Monrose, John&lt;/author&gt;&lt;author&gt;Tota-Maharaj, Kiran&lt;/author&gt;&lt;/authors&gt;&lt;/contributors&gt;&lt;titles&gt;&lt;title&gt;Technological Review of Permeable Pavement Systems for Applications in Small Island Developing States&lt;/title&gt;&lt;secondary-title&gt;CLEAN – Soil, Air, Water&lt;/secondary-title&gt;&lt;/titles&gt;&lt;periodical&gt;&lt;full-title&gt;CLEAN – Soil, Air, Water&lt;/full-title&gt;&lt;/periodical&gt;&lt;pages&gt;16&lt;/pages&gt;&lt;volume&gt;46&lt;/volume&gt;&lt;number&gt;9&lt;/number&gt;&lt;section&gt;1&lt;/section&gt;&lt;dates&gt;&lt;year&gt;2018&lt;/year&gt;&lt;/dates&gt;&lt;urls&gt;&lt;related-urls&gt;&lt;url&gt;https://onlinelibrary.wiley.com/doi/abs/10.1002/clen.201700168&lt;/url&gt;&lt;/related-urls&gt;&lt;/urls&gt;&lt;electronic-resource-num&gt;doi:10.1002/clen.201700168&lt;/electronic-resource-num&gt;&lt;/record&gt;&lt;/Cite&gt;&lt;/EndNote&gt;</w:instrText>
      </w:r>
      <w:r w:rsidR="00D0576D" w:rsidRPr="00D0576D">
        <w:fldChar w:fldCharType="separate"/>
      </w:r>
      <w:r w:rsidR="003D0D6B">
        <w:rPr>
          <w:noProof/>
        </w:rPr>
        <w:t>(Monrose and Tota-Maharaj 2018)</w:t>
      </w:r>
      <w:r w:rsidR="00D0576D" w:rsidRPr="00D0576D">
        <w:fldChar w:fldCharType="end"/>
      </w:r>
      <w:r w:rsidR="00D0576D" w:rsidRPr="00D0576D">
        <w:t xml:space="preserve">. </w:t>
      </w:r>
      <w:r w:rsidR="00067014" w:rsidRPr="00067014">
        <w:rPr>
          <w:lang w:val="en-US"/>
        </w:rPr>
        <w:t>This is significant in reducing peak flows and runoff volumes, improves stormwater runoff quality and encourages groundwater recharge where permitted</w:t>
      </w:r>
      <w:r w:rsidR="00067014">
        <w:rPr>
          <w:lang w:val="en-US"/>
        </w:rPr>
        <w:t>.</w:t>
      </w:r>
      <w:r w:rsidR="00067014" w:rsidRPr="00067014">
        <w:t xml:space="preserve"> </w:t>
      </w:r>
      <w:r w:rsidR="00D0576D" w:rsidRPr="00D0576D">
        <w:t>P</w:t>
      </w:r>
      <w:r w:rsidR="003B3BC8">
        <w:t xml:space="preserve">ermeable </w:t>
      </w:r>
      <w:r w:rsidR="003B3BC8">
        <w:lastRenderedPageBreak/>
        <w:t>pavements</w:t>
      </w:r>
      <w:r w:rsidR="00D0576D" w:rsidRPr="00D0576D">
        <w:t xml:space="preserve"> supersede conventional paving with an at-source control to prevent or significantly delay stormwater runoff generation </w:t>
      </w:r>
      <w:r w:rsidR="00D0576D" w:rsidRPr="00D0576D">
        <w:fldChar w:fldCharType="begin"/>
      </w:r>
      <w:r w:rsidR="00D0576D" w:rsidRPr="00D0576D">
        <w:instrText xml:space="preserve"> ADDIN EN.CITE &lt;EndNote&gt;&lt;Cite&gt;&lt;Author&gt;Fassman&lt;/Author&gt;&lt;Year&gt;2010&lt;/Year&gt;&lt;RecNum&gt;4&lt;/RecNum&gt;&lt;DisplayText&gt;(Fassman and Blackbourn 2010)&lt;/DisplayText&gt;&lt;record&gt;&lt;rec-number&gt;4&lt;/rec-number&gt;&lt;foreign-keys&gt;&lt;key app="EN" db-id="25a5fvaw7f5peyeeez7xawr9wzraf29tswtp" timestamp="1455247358"&gt;4&lt;/key&gt;&lt;/foreign-keys&gt;&lt;ref-type name="Journal Article"&gt;17&lt;/ref-type&gt;&lt;contributors&gt;&lt;authors&gt;&lt;author&gt;Fassman, E. A.&lt;/author&gt;&lt;author&gt;Blackbourn, S.&lt;/author&gt;&lt;/authors&gt;&lt;/contributors&gt;&lt;titles&gt;&lt;title&gt;Urban Runoff Mitigation by a Permeable Pavement System over Impermeable Soils&lt;/title&gt;&lt;secondary-title&gt;Journal of Hydrologic Engineering&lt;/secondary-title&gt;&lt;alt-title&gt;J. Hydrol. Eng.&lt;/alt-title&gt;&lt;/titles&gt;&lt;periodical&gt;&lt;full-title&gt;Journal of Hydrologic Engineering&lt;/full-title&gt;&lt;abbr-1&gt;J. Hydrol. Eng.&lt;/abbr-1&gt;&lt;/periodical&gt;&lt;alt-periodical&gt;&lt;full-title&gt;Journal of Hydrologic Engineering&lt;/full-title&gt;&lt;abbr-1&gt;J. Hydrol. Eng.&lt;/abbr-1&gt;&lt;/alt-periodical&gt;&lt;pages&gt;475-485&lt;/pages&gt;&lt;volume&gt;15&lt;/volume&gt;&lt;number&gt;6&lt;/number&gt;&lt;section&gt;475&lt;/section&gt;&lt;dates&gt;&lt;year&gt;2010&lt;/year&gt;&lt;/dates&gt;&lt;isbn&gt;10840699&lt;/isbn&gt;&lt;accession-num&gt;21420455&lt;/accession-num&gt;&lt;urls&gt;&lt;related-urls&gt;&lt;url&gt;http://search.ebscohost.com/login.aspx?direct=true&amp;amp;db=eoah&amp;amp;AN=21420455&amp;amp;site=ehost-live&lt;/url&gt;&lt;/related-urls&gt;&lt;/urls&gt;&lt;remote-database-name&gt;eoah&lt;/remote-database-name&gt;&lt;remote-database-provider&gt;EBSCOhost&lt;/remote-database-provider&gt;&lt;/record&gt;&lt;/Cite&gt;&lt;/EndNote&gt;</w:instrText>
      </w:r>
      <w:r w:rsidR="00D0576D" w:rsidRPr="00D0576D">
        <w:fldChar w:fldCharType="separate"/>
      </w:r>
      <w:r w:rsidR="00D0576D" w:rsidRPr="00D0576D">
        <w:t>(Fassman and Blackbourn 2010)</w:t>
      </w:r>
      <w:r w:rsidR="00D0576D" w:rsidRPr="00D0576D">
        <w:fldChar w:fldCharType="end"/>
      </w:r>
      <w:r w:rsidR="00D0576D" w:rsidRPr="00D0576D">
        <w:t xml:space="preserve">. </w:t>
      </w:r>
    </w:p>
    <w:p w:rsidR="0067462F" w:rsidRDefault="00D0576D" w:rsidP="00B07817">
      <w:pPr>
        <w:pStyle w:val="Newparagraph"/>
      </w:pPr>
      <w:r w:rsidRPr="00D0576D">
        <w:t>The vertical profile of</w:t>
      </w:r>
      <w:r w:rsidR="00B03A2E">
        <w:t xml:space="preserve"> a</w:t>
      </w:r>
      <w:r w:rsidRPr="00D0576D">
        <w:t xml:space="preserve"> typical </w:t>
      </w:r>
      <w:r w:rsidR="003B3BC8">
        <w:t>permeable pavement</w:t>
      </w:r>
      <w:r w:rsidRPr="00D0576D">
        <w:t xml:space="preserve"> </w:t>
      </w:r>
      <w:r w:rsidR="004D2853">
        <w:t>is</w:t>
      </w:r>
      <w:r w:rsidRPr="00D0576D">
        <w:t xml:space="preserve"> illustrated in </w:t>
      </w:r>
      <w:r w:rsidRPr="00D0576D">
        <w:fldChar w:fldCharType="begin"/>
      </w:r>
      <w:r w:rsidRPr="00D0576D">
        <w:instrText xml:space="preserve"> REF _Ref507965174 \h  \* MERGEFORMAT </w:instrText>
      </w:r>
      <w:r w:rsidRPr="00D0576D">
        <w:fldChar w:fldCharType="separate"/>
      </w:r>
      <w:r w:rsidR="00665D66" w:rsidRPr="0010123E">
        <w:t>Figure</w:t>
      </w:r>
      <w:r w:rsidR="00665D66" w:rsidRPr="00665D66">
        <w:t xml:space="preserve"> 1</w:t>
      </w:r>
      <w:r w:rsidRPr="00D0576D">
        <w:fldChar w:fldCharType="end"/>
      </w:r>
      <w:r w:rsidRPr="00D0576D">
        <w:t>. A variety of P</w:t>
      </w:r>
      <w:r w:rsidR="003B3BC8">
        <w:t>ermeable pavements</w:t>
      </w:r>
      <w:r w:rsidRPr="00D0576D">
        <w:t xml:space="preserve"> have been identified based on their surface paving material. The distinguishing factor among them is related to the total pore space, spatial arrangement of the underlying </w:t>
      </w:r>
      <w:r w:rsidR="004D2853">
        <w:t>open-graded</w:t>
      </w:r>
      <w:r w:rsidRPr="00D0576D">
        <w:t xml:space="preserve"> layers and structural </w:t>
      </w:r>
      <w:r w:rsidRPr="00D0576D">
        <w:lastRenderedPageBreak/>
        <w:t>strength. They are either monolithic, modu</w:t>
      </w:r>
      <w:r w:rsidR="003B3BC8">
        <w:t>lar or grid types.  Monolithic permeable pavements</w:t>
      </w:r>
      <w:r w:rsidRPr="00D0576D">
        <w:t xml:space="preserve"> facilitate infiltration of water through their surfaces. Examples include </w:t>
      </w:r>
      <w:r w:rsidR="003B3BC8">
        <w:t>p</w:t>
      </w:r>
      <w:r w:rsidRPr="00D0576D">
        <w:t xml:space="preserve">orous </w:t>
      </w:r>
      <w:r w:rsidR="003B3BC8">
        <w:t>a</w:t>
      </w:r>
      <w:r w:rsidRPr="00D0576D">
        <w:t xml:space="preserve">sphalt </w:t>
      </w:r>
      <w:r w:rsidR="003B3BC8">
        <w:t>and porous concrete</w:t>
      </w:r>
      <w:r w:rsidRPr="00D0576D">
        <w:t xml:space="preserve">. Modular pavements consist of solid permeable pavement concrete blocks placed adjacent to each other in various patterns with infiltration taking place through the joints between the blocks. The most prevalent modular units are permeable interlocking concrete pavers (PICP). Grid </w:t>
      </w:r>
      <w:r w:rsidRPr="00D0576D">
        <w:lastRenderedPageBreak/>
        <w:t>pavements consist of large gaps which facilitate infiltration. Examples include concrete grid pavers and plastic gr</w:t>
      </w:r>
      <w:r w:rsidR="003B3BC8">
        <w:t>id pavers</w:t>
      </w:r>
      <w:r w:rsidRPr="00D0576D">
        <w:t xml:space="preserve"> </w:t>
      </w:r>
      <w:r w:rsidRPr="00D0576D">
        <w:fldChar w:fldCharType="begin"/>
      </w:r>
      <w:r w:rsidRPr="00D0576D">
        <w:instrText xml:space="preserve"> ADDIN EN.CITE &lt;EndNote&gt;&lt;Cite&gt;&lt;Author&gt;Collins&lt;/Author&gt;&lt;Year&gt;2007&lt;/Year&gt;&lt;RecNum&gt;8&lt;/RecNum&gt;&lt;DisplayText&gt;(Collins 2007)&lt;/DisplayText&gt;&lt;record&gt;&lt;rec-number&gt;8&lt;/rec-number&gt;&lt;foreign-keys&gt;&lt;key app="EN" db-id="25a5fvaw7f5peyeeez7xawr9wzraf29tswtp" timestamp="1455249452"&gt;8&lt;/key&gt;&lt;/foreign-keys&gt;&lt;ref-type name="Thesis"&gt;32&lt;/ref-type&gt;&lt;contributors&gt;&lt;authors&gt;&lt;author&gt;Collins, K. A.&lt;/author&gt;&lt;/authors&gt;&lt;/contributors&gt;&lt;titles&gt;&lt;title&gt;A field evaluation of four types of permeable pavement with respect to water quality improvement and flood control&lt;/title&gt;&lt;/titles&gt;&lt;dates&gt;&lt;year&gt;2007&lt;/year&gt;&lt;/dates&gt;&lt;pub-location&gt;North Carolina&lt;/pub-location&gt;&lt;publisher&gt;North Carolina State University&lt;/publisher&gt;&lt;work-type&gt;MSc. Thesis&lt;/work-type&gt;&lt;urls&gt;&lt;related-urls&gt;&lt;url&gt;http://www.bae.ncsu.edu/info/permeable-pavement/CollinsThesis.pdf&lt;/url&gt;&lt;/related-urls&gt;&lt;/urls&gt;&lt;access-date&gt;5th May 2016&lt;/access-date&gt;&lt;/record&gt;&lt;/Cite&gt;&lt;/EndNote&gt;</w:instrText>
      </w:r>
      <w:r w:rsidRPr="00D0576D">
        <w:fldChar w:fldCharType="separate"/>
      </w:r>
      <w:r w:rsidRPr="00D0576D">
        <w:t>(Collins 2007)</w:t>
      </w:r>
      <w:r w:rsidRPr="00D0576D">
        <w:fldChar w:fldCharType="end"/>
      </w:r>
      <w:r w:rsidRPr="00D0576D">
        <w:t xml:space="preserve">. </w:t>
      </w:r>
    </w:p>
    <w:p w:rsidR="00D0576D" w:rsidRPr="00D0576D" w:rsidRDefault="00D0576D" w:rsidP="00B07817">
      <w:pPr>
        <w:pStyle w:val="Newparagraph"/>
      </w:pPr>
      <w:r w:rsidRPr="00D0576D">
        <w:t xml:space="preserve">In the U.S.A., PICPs conform to ASTM C936 </w:t>
      </w:r>
      <w:r w:rsidRPr="00D0576D">
        <w:fldChar w:fldCharType="begin"/>
      </w:r>
      <w:r w:rsidR="002C0CB5">
        <w:instrText xml:space="preserve"> ADDIN EN.CITE &lt;EndNote&gt;&lt;Cite&gt;&lt;Author&gt;ASTM&lt;/Author&gt;&lt;Year&gt;2018&lt;/Year&gt;&lt;RecNum&gt;164&lt;/RecNum&gt;&lt;DisplayText&gt;(ASTM 2018b)&lt;/DisplayText&gt;&lt;record&gt;&lt;rec-number&gt;164&lt;/rec-number&gt;&lt;foreign-keys&gt;&lt;key app="EN" db-id="25a5fvaw7f5peyeeez7xawr9wzraf29tswtp" timestamp="1470086052"&gt;164&lt;/key&gt;&lt;/foreign-keys&gt;&lt;ref-type name="Standard"&gt;58&lt;/ref-type&gt;&lt;contributors&gt;&lt;authors&gt;&lt;author&gt;ASTM&lt;/author&gt;&lt;/authors&gt;&lt;/contributors&gt;&lt;titles&gt;&lt;title&gt;Standard Specification for Solid Concrete Interlocking Paving Units&lt;/title&gt;&lt;/titles&gt;&lt;volume&gt;C936/C936M-18&lt;/volume&gt;&lt;dates&gt;&lt;year&gt;2018&lt;/year&gt;&lt;pub-dates&gt;&lt;date&gt;2016&lt;/date&gt;&lt;/pub-dates&gt;&lt;/dates&gt;&lt;pub-location&gt;West Conshohocken, PA USA&lt;/pub-location&gt;&lt;publisher&gt;ASTM International&lt;/publisher&gt;&lt;urls&gt;&lt;/urls&gt;&lt;/record&gt;&lt;/Cite&gt;&lt;/EndNote&gt;</w:instrText>
      </w:r>
      <w:r w:rsidRPr="00D0576D">
        <w:fldChar w:fldCharType="separate"/>
      </w:r>
      <w:r w:rsidR="002C0CB5">
        <w:rPr>
          <w:noProof/>
        </w:rPr>
        <w:t>(ASTM 2018b)</w:t>
      </w:r>
      <w:r w:rsidRPr="00D0576D">
        <w:fldChar w:fldCharType="end"/>
      </w:r>
      <w:r w:rsidRPr="00D0576D">
        <w:t xml:space="preserve"> which ensures that pavers are at least 60 mm thick with a minimum compressive strength of 55 MPa. A comparative list of the minimum compressive strengths required of solid concrete block pavers</w:t>
      </w:r>
      <w:r w:rsidR="004E1180">
        <w:t xml:space="preserve"> (CBP)</w:t>
      </w:r>
      <w:r w:rsidRPr="00D0576D">
        <w:t xml:space="preserve"> in developed nations is illustrated in </w:t>
      </w:r>
      <w:r w:rsidRPr="00D0576D">
        <w:fldChar w:fldCharType="begin"/>
      </w:r>
      <w:r w:rsidRPr="00D0576D">
        <w:instrText xml:space="preserve"> REF _Ref525322898 \h </w:instrText>
      </w:r>
      <w:r w:rsidRPr="00D0576D">
        <w:fldChar w:fldCharType="separate"/>
      </w:r>
      <w:r w:rsidR="0067462F" w:rsidRPr="00D0576D">
        <w:rPr>
          <w:lang w:val="en-US"/>
        </w:rPr>
        <w:t xml:space="preserve">Figure </w:t>
      </w:r>
      <w:r w:rsidR="0067462F">
        <w:rPr>
          <w:noProof/>
          <w:lang w:val="en-US"/>
        </w:rPr>
        <w:t>2</w:t>
      </w:r>
      <w:r w:rsidRPr="00D0576D">
        <w:fldChar w:fldCharType="end"/>
      </w:r>
      <w:r w:rsidR="004D2853">
        <w:t>. Compressive strength requirements</w:t>
      </w:r>
      <w:r w:rsidRPr="00D0576D">
        <w:t xml:space="preserve"> range from 40 MPa (New </w:t>
      </w:r>
      <w:r w:rsidRPr="00D0576D">
        <w:lastRenderedPageBreak/>
        <w:t xml:space="preserve">Zealand) to 60 MPa (Germany). </w:t>
      </w:r>
      <w:r w:rsidR="004E1180">
        <w:t>CBP in the U</w:t>
      </w:r>
      <w:r w:rsidR="003B3BC8">
        <w:t>.</w:t>
      </w:r>
      <w:r w:rsidR="004E1180">
        <w:t xml:space="preserve">K are guided by the British Standards (BS EN 1338:2003) </w:t>
      </w:r>
      <w:r w:rsidR="004E1180">
        <w:fldChar w:fldCharType="begin"/>
      </w:r>
      <w:r w:rsidR="004E1180">
        <w:instrText xml:space="preserve"> ADDIN EN.CITE &lt;EndNote&gt;&lt;Cite&gt;&lt;Author&gt;BS&lt;/Author&gt;&lt;Year&gt;2003&lt;/Year&gt;&lt;RecNum&gt;420&lt;/RecNum&gt;&lt;DisplayText&gt;(BS 2003)&lt;/DisplayText&gt;&lt;record&gt;&lt;rec-number&gt;420&lt;/rec-number&gt;&lt;foreign-keys&gt;&lt;key app="EN" db-id="25a5fvaw7f5peyeeez7xawr9wzraf29tswtp" timestamp="1539403380"&gt;420&lt;/key&gt;&lt;/foreign-keys&gt;&lt;ref-type name="Standard"&gt;58&lt;/ref-type&gt;&lt;contributors&gt;&lt;authors&gt;&lt;author&gt;BS&lt;/author&gt;&lt;/authors&gt;&lt;/contributors&gt;&lt;titles&gt;&lt;title&gt;Concrete Paving Blocks - Requirements and Test Methods&lt;/title&gt;&lt;/titles&gt;&lt;volume&gt;BS EN 1338:2003&lt;/volume&gt;&lt;dates&gt;&lt;year&gt;2003&lt;/year&gt;&lt;pub-dates&gt;&lt;date&gt;2003&lt;/date&gt;&lt;/pub-dates&gt;&lt;/dates&gt;&lt;pub-location&gt;London, U.K&lt;/pub-location&gt;&lt;publisher&gt;British Standard Institution BSI&lt;/publisher&gt;&lt;urls&gt;&lt;/urls&gt;&lt;/record&gt;&lt;/Cite&gt;&lt;/EndNote&gt;</w:instrText>
      </w:r>
      <w:r w:rsidR="004E1180">
        <w:fldChar w:fldCharType="separate"/>
      </w:r>
      <w:r w:rsidR="004E1180">
        <w:rPr>
          <w:noProof/>
        </w:rPr>
        <w:t>(BS 2003)</w:t>
      </w:r>
      <w:r w:rsidR="004E1180">
        <w:fldChar w:fldCharType="end"/>
      </w:r>
      <w:r w:rsidR="004E1180">
        <w:t xml:space="preserve">. </w:t>
      </w:r>
      <w:r w:rsidRPr="00D0576D">
        <w:t xml:space="preserve">PICPs, when designed and constructed adequately, are attractive, durable, easily repaired, require low maintenance and can withstand heavy vehicle loads </w:t>
      </w:r>
      <w:r w:rsidRPr="00D0576D">
        <w:fldChar w:fldCharType="begin"/>
      </w:r>
      <w:r w:rsidRPr="00D0576D">
        <w:instrText xml:space="preserve"> ADDIN EN.CITE &lt;EndNote&gt;&lt;Cite&gt;&lt;Author&gt;Kumar&lt;/Author&gt;&lt;RecNum&gt;165&lt;/RecNum&gt;&lt;DisplayText&gt;(Kumar 2014)&lt;/DisplayText&gt;&lt;record&gt;&lt;rec-number&gt;165&lt;/rec-number&gt;&lt;foreign-keys&gt;&lt;key app="EN" db-id="25a5fvaw7f5peyeeez7xawr9wzraf29tswtp" timestamp="1470086633"&gt;165&lt;/key&gt;&lt;/foreign-keys&gt;&lt;ref-type name="Conference Paper"&gt;47&lt;/ref-type&gt;&lt;contributors&gt;&lt;authors&gt;&lt;author&gt;Kumar, K.&lt;/author&gt;&lt;/authors&gt;&lt;/contributors&gt;&lt;titles&gt;&lt;title&gt;Review on Permeable Pavement Systems&lt;/title&gt;&lt;secondary-title&gt;11th Transportation planning and methodologies for developing countries &lt;/secondary-title&gt;&lt;/titles&gt;&lt;volume&gt;11&lt;/volume&gt;&lt;dates&gt;&lt;year&gt;2014&lt;/year&gt;&lt;pub-dates&gt;&lt;date&gt;December&lt;/date&gt;&lt;/pub-dates&gt;&lt;/dates&gt;&lt;pub-location&gt;Bombay&lt;/pub-location&gt;&lt;urls&gt;&lt;/urls&gt;&lt;access-date&gt;05 August 2016&lt;/access-date&gt;&lt;/record&gt;&lt;/Cite&gt;&lt;/EndNote&gt;</w:instrText>
      </w:r>
      <w:r w:rsidRPr="00D0576D">
        <w:fldChar w:fldCharType="separate"/>
      </w:r>
      <w:r w:rsidRPr="00D0576D">
        <w:t>(Kumar 2014)</w:t>
      </w:r>
      <w:r w:rsidRPr="00D0576D">
        <w:fldChar w:fldCharType="end"/>
      </w:r>
      <w:r w:rsidRPr="00D0576D">
        <w:t>.</w:t>
      </w:r>
      <w:r w:rsidR="004E1180">
        <w:t xml:space="preserve"> </w:t>
      </w:r>
      <w:r w:rsidR="00763B02">
        <w:t>CBP</w:t>
      </w:r>
      <w:r w:rsidR="004E1180">
        <w:t xml:space="preserve"> can be easily replaced, thus minimising wastage of materials and construction time </w:t>
      </w:r>
      <w:r w:rsidR="004E1180">
        <w:fldChar w:fldCharType="begin"/>
      </w:r>
      <w:r w:rsidR="004E1180">
        <w:instrText xml:space="preserve"> ADDIN EN.CITE &lt;EndNote&gt;&lt;Cite&gt;&lt;Author&gt;Murugan&lt;/Author&gt;&lt;Year&gt;2016&lt;/Year&gt;&lt;RecNum&gt;419&lt;/RecNum&gt;&lt;DisplayText&gt;(Murugan et al. 2016)&lt;/DisplayText&gt;&lt;record&gt;&lt;rec-number&gt;419&lt;/rec-number&gt;&lt;foreign-keys&gt;&lt;key app="EN" db-id="25a5fvaw7f5peyeeez7xawr9wzraf29tswtp" timestamp="1539403181"&gt;419&lt;/key&gt;&lt;/foreign-keys&gt;&lt;ref-type name="Journal Article"&gt;17&lt;/ref-type&gt;&lt;contributors&gt;&lt;authors&gt;&lt;author&gt;Murugan, R. Bharathi&lt;/author&gt;&lt;author&gt;Natarajan, C.&lt;/author&gt;&lt;author&gt;Chen, Shen-En&lt;/author&gt;&lt;/authors&gt;&lt;/contributors&gt;&lt;titles&gt;&lt;title&gt;Material development for a sustainable precast concrete block pavement&lt;/title&gt;&lt;secondary-title&gt;Journal of Traffic and Transportation Engineering (English Edition)&lt;/secondary-title&gt;&lt;/titles&gt;&lt;periodical&gt;&lt;full-title&gt;Journal of Traffic and Transportation Engineering (English Edition)&lt;/full-title&gt;&lt;/periodical&gt;&lt;pages&gt;483-491&lt;/pages&gt;&lt;volume&gt;3&lt;/volume&gt;&lt;number&gt;5&lt;/number&gt;&lt;keywords&gt;&lt;keyword&gt;Rubberized concrete&lt;/keyword&gt;&lt;keyword&gt;Crumb rubber&lt;/keyword&gt;&lt;keyword&gt;Damage mechanism&lt;/keyword&gt;&lt;keyword&gt;Material characterization&lt;/keyword&gt;&lt;keyword&gt;Impact energy&lt;/keyword&gt;&lt;/keywords&gt;&lt;dates&gt;&lt;year&gt;2016&lt;/year&gt;&lt;pub-dates&gt;&lt;date&gt;2016/10/01/&lt;/date&gt;&lt;/pub-dates&gt;&lt;/dates&gt;&lt;isbn&gt;2095-7564&lt;/isbn&gt;&lt;urls&gt;&lt;related-urls&gt;&lt;url&gt;http://www.sciencedirect.com/science/article/pii/S2095756416301891&lt;/url&gt;&lt;/related-urls&gt;&lt;/urls&gt;&lt;electronic-resource-num&gt;https://doi.org/10.1016/j.jtte.2016.09.001&lt;/electronic-resource-num&gt;&lt;/record&gt;&lt;/Cite&gt;&lt;/EndNote&gt;</w:instrText>
      </w:r>
      <w:r w:rsidR="004E1180">
        <w:fldChar w:fldCharType="separate"/>
      </w:r>
      <w:r w:rsidR="004E1180">
        <w:rPr>
          <w:noProof/>
        </w:rPr>
        <w:t>(Murugan et al. 2016)</w:t>
      </w:r>
      <w:r w:rsidR="004E1180">
        <w:fldChar w:fldCharType="end"/>
      </w:r>
      <w:r w:rsidR="004E1180">
        <w:t>.</w:t>
      </w:r>
    </w:p>
    <w:p w:rsidR="00D0576D" w:rsidRPr="00D0576D" w:rsidRDefault="00D0576D" w:rsidP="00D0576D">
      <w:pPr>
        <w:pStyle w:val="Paragraph"/>
        <w:rPr>
          <w:lang w:val="en-US"/>
        </w:rPr>
      </w:pPr>
      <w:r w:rsidRPr="00D0576D">
        <w:rPr>
          <w:noProof/>
        </w:rPr>
        <w:lastRenderedPageBreak/>
        <w:drawing>
          <wp:inline distT="0" distB="0" distL="0" distR="0" wp14:anchorId="35F303DC" wp14:editId="46E7E0BE">
            <wp:extent cx="4147629" cy="2743200"/>
            <wp:effectExtent l="19050" t="19050" r="2476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7629" cy="2743200"/>
                    </a:xfrm>
                    <a:prstGeom prst="rect">
                      <a:avLst/>
                    </a:prstGeom>
                    <a:ln>
                      <a:solidFill>
                        <a:schemeClr val="tx1"/>
                      </a:solidFill>
                    </a:ln>
                  </pic:spPr>
                </pic:pic>
              </a:graphicData>
            </a:graphic>
          </wp:inline>
        </w:drawing>
      </w:r>
    </w:p>
    <w:p w:rsidR="00D0576D" w:rsidRPr="00D0576D" w:rsidRDefault="00D0576D" w:rsidP="0010123E">
      <w:pPr>
        <w:pStyle w:val="Figurecaption"/>
        <w:rPr>
          <w:lang w:val="en-US"/>
        </w:rPr>
      </w:pPr>
      <w:bookmarkStart w:id="1" w:name="_Ref507965174"/>
      <w:r w:rsidRPr="0010123E">
        <w:t>Figure</w:t>
      </w:r>
      <w:r w:rsidRPr="00D0576D">
        <w:rPr>
          <w:lang w:val="en-US"/>
        </w:rPr>
        <w:t xml:space="preserve"> </w:t>
      </w:r>
      <w:r w:rsidRPr="00D0576D">
        <w:rPr>
          <w:lang w:val="en-US"/>
        </w:rPr>
        <w:fldChar w:fldCharType="begin"/>
      </w:r>
      <w:r w:rsidRPr="00D0576D">
        <w:rPr>
          <w:lang w:val="en-US"/>
        </w:rPr>
        <w:instrText xml:space="preserve"> SEQ Figure \* ARABIC </w:instrText>
      </w:r>
      <w:r w:rsidRPr="00D0576D">
        <w:rPr>
          <w:lang w:val="en-US"/>
        </w:rPr>
        <w:fldChar w:fldCharType="separate"/>
      </w:r>
      <w:r w:rsidR="00B56AA1">
        <w:rPr>
          <w:noProof/>
          <w:lang w:val="en-US"/>
        </w:rPr>
        <w:t>1</w:t>
      </w:r>
      <w:r w:rsidRPr="00D0576D">
        <w:fldChar w:fldCharType="end"/>
      </w:r>
      <w:bookmarkEnd w:id="1"/>
      <w:r w:rsidRPr="00D0576D">
        <w:rPr>
          <w:lang w:val="en-US"/>
        </w:rPr>
        <w:t xml:space="preserve">: Vertical profile of typical permeable pavement systems with storm water runoff (source: </w:t>
      </w:r>
      <w:r w:rsidRPr="00D0576D">
        <w:rPr>
          <w:lang w:val="en-US"/>
        </w:rPr>
        <w:fldChar w:fldCharType="begin"/>
      </w:r>
      <w:r w:rsidR="000B1BE6">
        <w:rPr>
          <w:lang w:val="en-US"/>
        </w:rPr>
        <w:instrText xml:space="preserve"> ADDIN EN.CITE &lt;EndNote&gt;&lt;Cite&gt;&lt;Author&gt;Monrose&lt;/Author&gt;&lt;RecNum&gt;397&lt;/RecNum&gt;&lt;DisplayText&gt;(Monrose and Tota-Maharaj 2018)&lt;/DisplayText&gt;&lt;record&gt;&lt;rec-number&gt;397&lt;/rec-number&gt;&lt;foreign-keys&gt;&lt;key app="EN" db-id="25a5fvaw7f5peyeeez7xawr9wzraf29tswtp" timestamp="1534820450"&gt;397&lt;/key&gt;&lt;/foreign-keys&gt;&lt;ref-type name="Journal Article"&gt;17&lt;/ref-type&gt;&lt;contributors&gt;&lt;authors&gt;&lt;author&gt;Monrose, John&lt;/author&gt;&lt;author&gt;Tota-Maharaj, Kiran&lt;/author&gt;&lt;/authors&gt;&lt;/contributors&gt;&lt;titles&gt;&lt;title&gt;Technological Review of Permeable Pavement Systems for Applications in Small Island Developing States&lt;/title&gt;&lt;secondary-title&gt;CLEAN – Soil, Air, Water&lt;/secondary-title&gt;&lt;/titles&gt;&lt;periodical&gt;&lt;full-title&gt;CLEAN – Soil, Air, Water&lt;/full-title&gt;&lt;/periodical&gt;&lt;pages&gt;16&lt;/pages&gt;&lt;volume&gt;46&lt;/volume&gt;&lt;number&gt;9&lt;/number&gt;&lt;section&gt;1&lt;/section&gt;&lt;dates&gt;&lt;year&gt;2018&lt;/year&gt;&lt;/dates&gt;&lt;urls&gt;&lt;related-urls&gt;&lt;url&gt;https://onlinelibrary.wiley.com/doi/abs/10.1002/clen.201700168&lt;/url&gt;&lt;/related-urls&gt;&lt;/urls&gt;&lt;electronic-resource-num&gt;doi:10.1002/clen.201700168&lt;/electronic-resource-num&gt;&lt;/record&gt;&lt;/Cite&gt;&lt;/EndNote&gt;</w:instrText>
      </w:r>
      <w:r w:rsidRPr="00D0576D">
        <w:rPr>
          <w:lang w:val="en-US"/>
        </w:rPr>
        <w:fldChar w:fldCharType="separate"/>
      </w:r>
      <w:r w:rsidR="003D0D6B">
        <w:rPr>
          <w:noProof/>
          <w:lang w:val="en-US"/>
        </w:rPr>
        <w:t>(Monrose and Tota-Maharaj 2018)</w:t>
      </w:r>
      <w:r w:rsidRPr="00D0576D">
        <w:fldChar w:fldCharType="end"/>
      </w:r>
      <w:r w:rsidRPr="00D0576D">
        <w:rPr>
          <w:lang w:val="en-US"/>
        </w:rPr>
        <w:t>)</w:t>
      </w:r>
    </w:p>
    <w:p w:rsidR="00D0576D" w:rsidRPr="00D0576D" w:rsidRDefault="00D0576D" w:rsidP="00D0576D">
      <w:pPr>
        <w:pStyle w:val="Paragraph"/>
        <w:rPr>
          <w:lang w:val="en-US"/>
        </w:rPr>
      </w:pPr>
      <w:r w:rsidRPr="00D0576D">
        <w:rPr>
          <w:noProof/>
        </w:rPr>
        <w:lastRenderedPageBreak/>
        <w:drawing>
          <wp:inline distT="0" distB="0" distL="0" distR="0" wp14:anchorId="48A5C059" wp14:editId="19D102AE">
            <wp:extent cx="3827723" cy="2743200"/>
            <wp:effectExtent l="0" t="0" r="1905" b="0"/>
            <wp:docPr id="30" name="Char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0576D" w:rsidRPr="00D0576D" w:rsidRDefault="00D0576D" w:rsidP="0010123E">
      <w:pPr>
        <w:pStyle w:val="Figurecaption"/>
        <w:rPr>
          <w:lang w:val="en-US"/>
        </w:rPr>
      </w:pPr>
      <w:bookmarkStart w:id="2" w:name="_Ref525322898"/>
      <w:r w:rsidRPr="00D0576D">
        <w:rPr>
          <w:lang w:val="en-US"/>
        </w:rPr>
        <w:t xml:space="preserve">Figure </w:t>
      </w:r>
      <w:r w:rsidRPr="00D0576D">
        <w:rPr>
          <w:lang w:val="en-US"/>
        </w:rPr>
        <w:fldChar w:fldCharType="begin"/>
      </w:r>
      <w:r w:rsidRPr="00D0576D">
        <w:rPr>
          <w:lang w:val="en-US"/>
        </w:rPr>
        <w:instrText xml:space="preserve"> SEQ Figure \* ARABIC </w:instrText>
      </w:r>
      <w:r w:rsidRPr="00D0576D">
        <w:rPr>
          <w:lang w:val="en-US"/>
        </w:rPr>
        <w:fldChar w:fldCharType="separate"/>
      </w:r>
      <w:r w:rsidR="00B56AA1">
        <w:rPr>
          <w:noProof/>
          <w:lang w:val="en-US"/>
        </w:rPr>
        <w:t>2</w:t>
      </w:r>
      <w:r w:rsidRPr="00D0576D">
        <w:fldChar w:fldCharType="end"/>
      </w:r>
      <w:bookmarkEnd w:id="2"/>
      <w:r w:rsidRPr="00D0576D">
        <w:rPr>
          <w:lang w:val="en-US"/>
        </w:rPr>
        <w:t xml:space="preserve">: Minimum compressive strengths required of block pavers in various developed countries (adapted from </w:t>
      </w:r>
      <w:r w:rsidRPr="00D0576D">
        <w:rPr>
          <w:lang w:val="en-US"/>
        </w:rPr>
        <w:fldChar w:fldCharType="begin"/>
      </w:r>
      <w:r w:rsidRPr="00D0576D">
        <w:rPr>
          <w:lang w:val="en-US"/>
        </w:rPr>
        <w:instrText xml:space="preserve"> ADDIN EN.CITE &lt;EndNote&gt;&lt;Cite&gt;&lt;Author&gt;Jamshidi&lt;/Author&gt;&lt;Year&gt;2016&lt;/Year&gt;&lt;RecNum&gt;359&lt;/RecNum&gt;&lt;DisplayText&gt;(Jamshidi et al. 2016)&lt;/DisplayText&gt;&lt;record&gt;&lt;rec-number&gt;359&lt;/rec-number&gt;&lt;foreign-keys&gt;&lt;key app="EN" db-id="25a5fvaw7f5peyeeez7xawr9wzraf29tswtp" timestamp="1506857971"&gt;359&lt;/key&gt;&lt;/foreign-keys&gt;&lt;ref-type name="Journal Article"&gt;17&lt;/ref-type&gt;&lt;contributors&gt;&lt;authors&gt;&lt;author&gt;Jamshidi, Ali&lt;/author&gt;&lt;author&gt;Kurumisawa, Kiyofumi&lt;/author&gt;&lt;author&gt;Nawa, Toyoharu&lt;/author&gt;&lt;author&gt;Igarashi, Toshifumi&lt;/author&gt;&lt;/authors&gt;&lt;/contributors&gt;&lt;titles&gt;&lt;title&gt;Performance of pavements incorporating waste glass: The current state of the art&lt;/title&gt;&lt;secondary-title&gt;Renewable and Sustainable Energy Reviews&lt;/secondary-title&gt;&lt;alt-title&gt;Renewable Sustainable Energy Rev.&lt;/alt-title&gt;&lt;/titles&gt;&lt;periodical&gt;&lt;full-title&gt;Renewable and Sustainable Energy Reviews&lt;/full-title&gt;&lt;/periodical&gt;&lt;pages&gt;211-236&lt;/pages&gt;&lt;volume&gt;64&lt;/volume&gt;&lt;number&gt;Supplement C&lt;/number&gt;&lt;section&gt;211&lt;/section&gt;&lt;keywords&gt;&lt;keyword&gt;Asphalt pavement&lt;/keyword&gt;&lt;keyword&gt;Concrete pavement&lt;/keyword&gt;&lt;keyword&gt;Concrete block pavement&lt;/keyword&gt;&lt;keyword&gt;Glass cullet&lt;/keyword&gt;&lt;keyword&gt;Sustainable production&lt;/keyword&gt;&lt;keyword&gt;Energy efficiency&lt;/keyword&gt;&lt;keyword&gt;European Horizon 2020&lt;/keyword&gt;&lt;/keywords&gt;&lt;dates&gt;&lt;year&gt;2016&lt;/year&gt;&lt;pub-dates&gt;&lt;date&gt;2016/10/01/&lt;/date&gt;&lt;/pub-dates&gt;&lt;/dates&gt;&lt;isbn&gt;1364-0321&lt;/isbn&gt;&lt;urls&gt;&lt;related-urls&gt;&lt;url&gt;http://www.sciencedirect.com/science/article/pii/S1364032116302271&lt;/url&gt;&lt;/related-urls&gt;&lt;/urls&gt;&lt;electronic-resource-num&gt;https://doi.org/10.1016/j.rser.2016.06.012&lt;/electronic-resource-num&gt;&lt;/record&gt;&lt;/Cite&gt;&lt;/EndNote&gt;</w:instrText>
      </w:r>
      <w:r w:rsidRPr="00D0576D">
        <w:rPr>
          <w:lang w:val="en-US"/>
        </w:rPr>
        <w:fldChar w:fldCharType="separate"/>
      </w:r>
      <w:r w:rsidRPr="00D0576D">
        <w:rPr>
          <w:lang w:val="en-US"/>
        </w:rPr>
        <w:t>(Jamshidi et al. 2016)</w:t>
      </w:r>
      <w:r w:rsidRPr="00D0576D">
        <w:fldChar w:fldCharType="end"/>
      </w:r>
      <w:r w:rsidRPr="00D0576D">
        <w:rPr>
          <w:lang w:val="en-US"/>
        </w:rPr>
        <w:t>)</w:t>
      </w:r>
    </w:p>
    <w:p w:rsidR="00D0576D" w:rsidRPr="00D0576D" w:rsidRDefault="004D2853" w:rsidP="0010123E">
      <w:pPr>
        <w:pStyle w:val="Paragraph"/>
      </w:pPr>
      <w:r>
        <w:t>Sustainable development gears towards p</w:t>
      </w:r>
      <w:r w:rsidR="00D0576D" w:rsidRPr="00D0576D">
        <w:t xml:space="preserve">reserving the environment and conserving the rapidly diminishing </w:t>
      </w:r>
      <w:r w:rsidR="00D0576D" w:rsidRPr="00D0576D">
        <w:lastRenderedPageBreak/>
        <w:t xml:space="preserve">natural resources </w:t>
      </w:r>
      <w:r w:rsidR="00D0576D" w:rsidRPr="00D0576D">
        <w:fldChar w:fldCharType="begin"/>
      </w:r>
      <w:r w:rsidR="00D0576D" w:rsidRPr="00D0576D">
        <w:instrText xml:space="preserve"> ADDIN EN.CITE &lt;EndNote&gt;&lt;Cite&gt;&lt;Author&gt;Rao&lt;/Author&gt;&lt;Year&gt;2007&lt;/Year&gt;&lt;RecNum&gt;148&lt;/RecNum&gt;&lt;DisplayText&gt;(Rao et al. 2007)&lt;/DisplayText&gt;&lt;record&gt;&lt;rec-number&gt;148&lt;/rec-number&gt;&lt;foreign-keys&gt;&lt;key app="EN" db-id="25a5fvaw7f5peyeeez7xawr9wzraf29tswtp" timestamp="1467555572"&gt;148&lt;/key&gt;&lt;/foreign-keys&gt;&lt;ref-type name="Journal Article"&gt;17&lt;/ref-type&gt;&lt;contributors&gt;&lt;authors&gt;&lt;author&gt;Rao, A.&lt;/author&gt;&lt;author&gt;Jha, K. N.&lt;/author&gt;&lt;author&gt;Misra, S.&lt;/author&gt;&lt;/authors&gt;&lt;/contributors&gt;&lt;titles&gt;&lt;title&gt;Use of aggregates from recycled construction and demolition waste in concrete&lt;/title&gt;&lt;secondary-title&gt;Resources, Conservation and Recycling&lt;/secondary-title&gt;&lt;alt-title&gt;Resour. Conserv. Recycl.&lt;/alt-title&gt;&lt;/titles&gt;&lt;periodical&gt;&lt;full-title&gt;Resources, Conservation and Recycling&lt;/full-title&gt;&lt;abbr-1&gt;Resour. Conserv. Recycl.&lt;/abbr-1&gt;&lt;/periodical&gt;&lt;alt-periodical&gt;&lt;full-title&gt;Resources, Conservation and Recycling&lt;/full-title&gt;&lt;abbr-1&gt;Resour. Conserv. Recycl.&lt;/abbr-1&gt;&lt;/alt-periodical&gt;&lt;pages&gt;71-81&lt;/pages&gt;&lt;volume&gt;50&lt;/volume&gt;&lt;number&gt;1&lt;/number&gt;&lt;section&gt;71&lt;/section&gt;&lt;dates&gt;&lt;year&gt;2007&lt;/year&gt;&lt;/dates&gt;&lt;isbn&gt;0921-3449&lt;/isbn&gt;&lt;urls&gt;&lt;/urls&gt;&lt;/record&gt;&lt;/Cite&gt;&lt;/EndNote&gt;</w:instrText>
      </w:r>
      <w:r w:rsidR="00D0576D" w:rsidRPr="00D0576D">
        <w:fldChar w:fldCharType="separate"/>
      </w:r>
      <w:r w:rsidR="00D0576D" w:rsidRPr="00D0576D">
        <w:t>(Rao et al. 2007)</w:t>
      </w:r>
      <w:r w:rsidR="00D0576D" w:rsidRPr="00D0576D">
        <w:fldChar w:fldCharType="end"/>
      </w:r>
      <w:r w:rsidR="00D0576D" w:rsidRPr="00D0576D">
        <w:t xml:space="preserve">. It is noticeable from </w:t>
      </w:r>
      <w:r w:rsidR="00D0576D" w:rsidRPr="00D0576D">
        <w:fldChar w:fldCharType="begin"/>
      </w:r>
      <w:r w:rsidR="00D0576D" w:rsidRPr="00D0576D">
        <w:instrText xml:space="preserve"> REF _Ref507965174 \h  \* MERGEFORMAT </w:instrText>
      </w:r>
      <w:r w:rsidR="00D0576D" w:rsidRPr="00D0576D">
        <w:fldChar w:fldCharType="separate"/>
      </w:r>
      <w:r w:rsidR="00665D66" w:rsidRPr="0010123E">
        <w:t>Figure</w:t>
      </w:r>
      <w:r w:rsidR="00665D66" w:rsidRPr="00665D66">
        <w:t xml:space="preserve"> 1</w:t>
      </w:r>
      <w:r w:rsidR="00D0576D" w:rsidRPr="00D0576D">
        <w:fldChar w:fldCharType="end"/>
      </w:r>
      <w:r w:rsidR="003B3BC8">
        <w:t xml:space="preserve"> that the typical design of permeable pavements</w:t>
      </w:r>
      <w:r w:rsidR="00D0576D" w:rsidRPr="00D0576D">
        <w:t xml:space="preserve"> </w:t>
      </w:r>
      <w:r w:rsidR="00DF57B1">
        <w:t>calls for</w:t>
      </w:r>
      <w:r w:rsidR="00D0576D" w:rsidRPr="00D0576D">
        <w:t xml:space="preserve"> a significant quantity of quarried, virgin construction aggregates. Such large quantities may not be available in a timely manner and at the desired quantities. In the Caribbean, there is a growing demand for construction aggregates as the demand for housing and other public infrastructure increases with urbanisation. In Trinidad and Tob</w:t>
      </w:r>
      <w:r w:rsidR="00DF57B1">
        <w:t xml:space="preserve">ago for instance, the demand from </w:t>
      </w:r>
      <w:r w:rsidR="00DF57B1">
        <w:lastRenderedPageBreak/>
        <w:t>the</w:t>
      </w:r>
      <w:r w:rsidR="00D0576D" w:rsidRPr="00D0576D">
        <w:t xml:space="preserve"> construction</w:t>
      </w:r>
      <w:r w:rsidR="00DF57B1">
        <w:t xml:space="preserve"> industry</w:t>
      </w:r>
      <w:r w:rsidR="00D0576D" w:rsidRPr="00D0576D">
        <w:t xml:space="preserve"> has seen a drastic increase during the past decade </w:t>
      </w:r>
      <w:r w:rsidR="00D0576D" w:rsidRPr="00D0576D">
        <w:fldChar w:fldCharType="begin"/>
      </w:r>
      <w:r w:rsidR="00D034A3">
        <w:instrText xml:space="preserve"> ADDIN EN.CITE &lt;EndNote&gt;&lt;Cite&gt;&lt;Author&gt;Lalla&lt;/Author&gt;&lt;Year&gt;2014&lt;/Year&gt;&lt;RecNum&gt;283&lt;/RecNum&gt;&lt;DisplayText&gt;(Lalla and Mwasha 2014)&lt;/DisplayText&gt;&lt;record&gt;&lt;rec-number&gt;283&lt;/rec-number&gt;&lt;foreign-keys&gt;&lt;key app="EN" db-id="25a5fvaw7f5peyeeez7xawr9wzraf29tswtp" timestamp="1484534692"&gt;283&lt;/key&gt;&lt;/foreign-keys&gt;&lt;ref-type name="Journal Article"&gt;17&lt;/ref-type&gt;&lt;contributors&gt;&lt;authors&gt;&lt;author&gt;Lalla, Jason R. F&lt;/author&gt;&lt;author&gt;Mwasha, Abrahams&lt;/author&gt;&lt;/authors&gt;&lt;/contributors&gt;&lt;titles&gt;&lt;title&gt;Investigating the Compressive Strengths of Guanapo Recycled Aggregate Concrete as Compared to that of its Waste Material&lt;/title&gt;&lt;secondary-title&gt;West Indian Journal of Engineering&lt;/secondary-title&gt;&lt;/titles&gt;&lt;periodical&gt;&lt;full-title&gt;West Indian Journal of Engineering&lt;/full-title&gt;&lt;/periodical&gt;&lt;pages&gt;1&lt;/pages&gt;&lt;volume&gt;36&lt;/volume&gt;&lt;number&gt;2&lt;/number&gt;&lt;dates&gt;&lt;year&gt;2014&lt;/year&gt;&lt;/dates&gt;&lt;isbn&gt;0511-5728&lt;/isbn&gt;&lt;urls&gt;&lt;/urls&gt;&lt;/record&gt;&lt;/Cite&gt;&lt;/EndNote&gt;</w:instrText>
      </w:r>
      <w:r w:rsidR="00D0576D" w:rsidRPr="00D0576D">
        <w:fldChar w:fldCharType="separate"/>
      </w:r>
      <w:r w:rsidR="00D034A3">
        <w:rPr>
          <w:noProof/>
        </w:rPr>
        <w:t>(Lalla and Mwasha 2014)</w:t>
      </w:r>
      <w:r w:rsidR="00D0576D" w:rsidRPr="00D0576D">
        <w:fldChar w:fldCharType="end"/>
      </w:r>
      <w:r w:rsidR="00D0576D" w:rsidRPr="00D0576D">
        <w:t>. In most recent times</w:t>
      </w:r>
      <w:r w:rsidR="00DF57B1">
        <w:t>,</w:t>
      </w:r>
      <w:r w:rsidR="00D0576D" w:rsidRPr="00D0576D">
        <w:t xml:space="preserve"> however, the global economic slowdown has since resulted in a decline in construction activity. Nevertheless, the demand for civil engineering materials, construction aggregates in particular remain high </w:t>
      </w:r>
      <w:r w:rsidR="00D0576D" w:rsidRPr="00D0576D">
        <w:fldChar w:fldCharType="begin"/>
      </w:r>
      <w:r w:rsidR="00D034A3">
        <w:instrText xml:space="preserve"> ADDIN EN.CITE &lt;EndNote&gt;&lt;Cite&gt;&lt;Author&gt;Lalla&lt;/Author&gt;&lt;Year&gt;2014&lt;/Year&gt;&lt;RecNum&gt;283&lt;/RecNum&gt;&lt;DisplayText&gt;(Lalla and Mwasha 2014)&lt;/DisplayText&gt;&lt;record&gt;&lt;rec-number&gt;283&lt;/rec-number&gt;&lt;foreign-keys&gt;&lt;key app="EN" db-id="25a5fvaw7f5peyeeez7xawr9wzraf29tswtp" timestamp="1484534692"&gt;283&lt;/key&gt;&lt;/foreign-keys&gt;&lt;ref-type name="Journal Article"&gt;17&lt;/ref-type&gt;&lt;contributors&gt;&lt;authors&gt;&lt;author&gt;Lalla, Jason R. F&lt;/author&gt;&lt;author&gt;Mwasha, Abrahams&lt;/author&gt;&lt;/authors&gt;&lt;/contributors&gt;&lt;titles&gt;&lt;title&gt;Investigating the Compressive Strengths of Guanapo Recycled Aggregate Concrete as Compared to that of its Waste Material&lt;/title&gt;&lt;secondary-title&gt;West Indian Journal of Engineering&lt;/secondary-title&gt;&lt;/titles&gt;&lt;periodical&gt;&lt;full-title&gt;West Indian Journal of Engineering&lt;/full-title&gt;&lt;/periodical&gt;&lt;pages&gt;1&lt;/pages&gt;&lt;volume&gt;36&lt;/volume&gt;&lt;number&gt;2&lt;/number&gt;&lt;dates&gt;&lt;year&gt;2014&lt;/year&gt;&lt;/dates&gt;&lt;isbn&gt;0511-5728&lt;/isbn&gt;&lt;urls&gt;&lt;/urls&gt;&lt;/record&gt;&lt;/Cite&gt;&lt;/EndNote&gt;</w:instrText>
      </w:r>
      <w:r w:rsidR="00D0576D" w:rsidRPr="00D0576D">
        <w:fldChar w:fldCharType="separate"/>
      </w:r>
      <w:r w:rsidR="00D034A3">
        <w:rPr>
          <w:noProof/>
        </w:rPr>
        <w:t>(Lalla and Mwasha 2014)</w:t>
      </w:r>
      <w:r w:rsidR="00D0576D" w:rsidRPr="00D0576D">
        <w:fldChar w:fldCharType="end"/>
      </w:r>
      <w:r w:rsidR="00D0576D" w:rsidRPr="00D0576D">
        <w:t>. Innovative ways of conservation of natural aggregates are needed.</w:t>
      </w:r>
    </w:p>
    <w:p w:rsidR="00D0576D" w:rsidRPr="00D0576D" w:rsidRDefault="00D0576D" w:rsidP="00B07817">
      <w:pPr>
        <w:pStyle w:val="Newparagraph"/>
      </w:pPr>
      <w:r w:rsidRPr="00D0576D">
        <w:lastRenderedPageBreak/>
        <w:t xml:space="preserve">One such conservation technique </w:t>
      </w:r>
      <w:r w:rsidR="00832202">
        <w:t>is through the use</w:t>
      </w:r>
      <w:r w:rsidR="00DF57B1">
        <w:t xml:space="preserve"> of commercially-</w:t>
      </w:r>
      <w:r w:rsidRPr="00D0576D">
        <w:t>produced lightweight a</w:t>
      </w:r>
      <w:r w:rsidR="00DF57B1">
        <w:t>ggregates referred to as c</w:t>
      </w:r>
      <w:r w:rsidRPr="00D0576D">
        <w:t xml:space="preserve">arbon-negative aggregates (CNA) as replacement for natural aggregates (NA) in solid </w:t>
      </w:r>
      <w:r w:rsidR="00697976">
        <w:t xml:space="preserve">concrete </w:t>
      </w:r>
      <w:r w:rsidRPr="00D0576D">
        <w:t>permeable</w:t>
      </w:r>
      <w:r w:rsidR="003B3BC8">
        <w:t xml:space="preserve"> pavement blocks</w:t>
      </w:r>
      <w:r w:rsidRPr="00D0576D">
        <w:t xml:space="preserve">. </w:t>
      </w:r>
      <w:r w:rsidR="000C6275">
        <w:t xml:space="preserve">CNA were sourced </w:t>
      </w:r>
      <w:r w:rsidR="000C6275" w:rsidRPr="00D0576D">
        <w:t>from a manufacturing plant</w:t>
      </w:r>
      <w:r w:rsidR="000C6275">
        <w:t xml:space="preserve">, Carbon8 Systems located in Kent, </w:t>
      </w:r>
      <w:r w:rsidR="003B3BC8">
        <w:t>U.K</w:t>
      </w:r>
      <w:r w:rsidR="000C6275">
        <w:t>.</w:t>
      </w:r>
      <w:r w:rsidR="000C6275" w:rsidRPr="00D0576D">
        <w:t xml:space="preserve"> </w:t>
      </w:r>
      <w:r w:rsidRPr="00D0576D">
        <w:t>L</w:t>
      </w:r>
      <w:r w:rsidR="003B3BC8">
        <w:t>ightweight aggregates</w:t>
      </w:r>
      <w:r w:rsidRPr="00D0576D">
        <w:t xml:space="preserve"> typically possess low-particle relative densities </w:t>
      </w:r>
      <w:r w:rsidRPr="00D0576D">
        <w:rPr>
          <w:lang w:val="en-US"/>
        </w:rPr>
        <w:t>ranging from 800 to 2000 kg/m</w:t>
      </w:r>
      <w:r w:rsidRPr="00D0576D">
        <w:rPr>
          <w:vertAlign w:val="superscript"/>
          <w:lang w:val="en-US"/>
        </w:rPr>
        <w:t>3</w:t>
      </w:r>
      <w:r w:rsidRPr="00D0576D">
        <w:rPr>
          <w:lang w:val="en-US"/>
        </w:rPr>
        <w:t xml:space="preserve"> </w:t>
      </w:r>
      <w:r w:rsidRPr="00D0576D">
        <w:t xml:space="preserve">because of the cellular pore system </w:t>
      </w:r>
      <w:r w:rsidRPr="00D0576D">
        <w:fldChar w:fldCharType="begin"/>
      </w:r>
      <w:r w:rsidR="008724AE">
        <w:instrText xml:space="preserve"> ADDIN EN.CITE &lt;EndNote&gt;&lt;Cite&gt;&lt;Author&gt;ACI&lt;/Author&gt;&lt;Year&gt;2014&lt;/Year&gt;&lt;RecNum&gt;416&lt;/RecNum&gt;&lt;DisplayText&gt;(ACI 2014b)&lt;/DisplayText&gt;&lt;record&gt;&lt;rec-number&gt;416&lt;/rec-number&gt;&lt;foreign-keys&gt;&lt;key app="EN" db-id="25a5fvaw7f5peyeeez7xawr9wzraf29tswtp" timestamp="1537680030"&gt;416&lt;/key&gt;&lt;/foreign-keys&gt;&lt;ref-type name="Standard"&gt;58&lt;/ref-type&gt;&lt;contributors&gt;&lt;authors&gt;&lt;author&gt;ACI&lt;/author&gt;&lt;/authors&gt;&lt;/contributors&gt;&lt;titles&gt;&lt;title&gt;Guide for Structural Lightweight-Aggregate Concrete&lt;/title&gt;&lt;/titles&gt;&lt;volume&gt;ACI 213R-14&lt;/volume&gt;&lt;dates&gt;&lt;year&gt;2014&lt;/year&gt;&lt;/dates&gt;&lt;pub-location&gt;MI, USA&lt;/pub-location&gt;&lt;publisher&gt;American Concrete Institute&lt;/publisher&gt;&lt;urls&gt;&lt;/urls&gt;&lt;/record&gt;&lt;/Cite&gt;&lt;/EndNote&gt;</w:instrText>
      </w:r>
      <w:r w:rsidRPr="00D0576D">
        <w:fldChar w:fldCharType="separate"/>
      </w:r>
      <w:r w:rsidR="008724AE">
        <w:rPr>
          <w:noProof/>
        </w:rPr>
        <w:t>(ACI 2014b)</w:t>
      </w:r>
      <w:r w:rsidRPr="00D0576D">
        <w:fldChar w:fldCharType="end"/>
      </w:r>
      <w:r w:rsidRPr="00D0576D">
        <w:t xml:space="preserve">. They are produced in numerous ways such as manufacturing </w:t>
      </w:r>
      <w:r w:rsidRPr="00D0576D">
        <w:lastRenderedPageBreak/>
        <w:t>p</w:t>
      </w:r>
      <w:r w:rsidR="00832202">
        <w:t>lants from raw materials (shale, clay, slate, fly ash, slag</w:t>
      </w:r>
      <w:r w:rsidRPr="00D0576D">
        <w:t xml:space="preserve"> and so on) or mined from naturally occurring volcanic deposits (pumice and scoria) </w:t>
      </w:r>
      <w:r w:rsidRPr="00D0576D">
        <w:fldChar w:fldCharType="begin"/>
      </w:r>
      <w:r w:rsidR="008724AE">
        <w:instrText xml:space="preserve"> ADDIN EN.CITE &lt;EndNote&gt;&lt;Cite&gt;&lt;Author&gt;ACI&lt;/Author&gt;&lt;Year&gt;2014&lt;/Year&gt;&lt;RecNum&gt;416&lt;/RecNum&gt;&lt;DisplayText&gt;(ACI 2014b)&lt;/DisplayText&gt;&lt;record&gt;&lt;rec-number&gt;416&lt;/rec-number&gt;&lt;foreign-keys&gt;&lt;key app="EN" db-id="25a5fvaw7f5peyeeez7xawr9wzraf29tswtp" timestamp="1537680030"&gt;416&lt;/key&gt;&lt;/foreign-keys&gt;&lt;ref-type name="Standard"&gt;58&lt;/ref-type&gt;&lt;contributors&gt;&lt;authors&gt;&lt;author&gt;ACI&lt;/author&gt;&lt;/authors&gt;&lt;/contributors&gt;&lt;titles&gt;&lt;title&gt;Guide for Structural Lightweight-Aggregate Concrete&lt;/title&gt;&lt;/titles&gt;&lt;volume&gt;ACI 213R-14&lt;/volume&gt;&lt;dates&gt;&lt;year&gt;2014&lt;/year&gt;&lt;/dates&gt;&lt;pub-location&gt;MI, USA&lt;/pub-location&gt;&lt;publisher&gt;American Concrete Institute&lt;/publisher&gt;&lt;urls&gt;&lt;/urls&gt;&lt;/record&gt;&lt;/Cite&gt;&lt;/EndNote&gt;</w:instrText>
      </w:r>
      <w:r w:rsidRPr="00D0576D">
        <w:fldChar w:fldCharType="separate"/>
      </w:r>
      <w:r w:rsidR="008724AE">
        <w:rPr>
          <w:noProof/>
        </w:rPr>
        <w:t>(ACI 2014b)</w:t>
      </w:r>
      <w:r w:rsidRPr="00D0576D">
        <w:fldChar w:fldCharType="end"/>
      </w:r>
      <w:r w:rsidRPr="00D0576D">
        <w:t xml:space="preserve">. </w:t>
      </w:r>
    </w:p>
    <w:p w:rsidR="00D0576D" w:rsidRPr="00D0576D" w:rsidRDefault="00D0576D" w:rsidP="00B07817">
      <w:pPr>
        <w:pStyle w:val="Newparagraph"/>
      </w:pPr>
      <w:r w:rsidRPr="00D0576D">
        <w:t xml:space="preserve">CNA are one form of artificially engineered </w:t>
      </w:r>
      <w:r w:rsidR="00C55171">
        <w:t>lightweight aggregates</w:t>
      </w:r>
      <w:r w:rsidRPr="00D0576D">
        <w:t xml:space="preserve"> manufactured </w:t>
      </w:r>
      <w:r w:rsidR="00DF57B1">
        <w:t>using</w:t>
      </w:r>
      <w:r w:rsidRPr="00D0576D">
        <w:t xml:space="preserve"> Accelerated Carbonation Technology (ACT) </w:t>
      </w:r>
      <w:r w:rsidRPr="00D0576D">
        <w:fldChar w:fldCharType="begin">
          <w:fldData xml:space="preserve">PEVuZE5vdGU+PENpdGU+PEF1dGhvcj5GZXJuw6FuZGV6IEJlcnRvczwvQXV0aG9yPjxZZWFyPjIw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</w:fldData>
        </w:fldChar>
      </w:r>
      <w:r w:rsidRPr="00D0576D">
        <w:instrText xml:space="preserve"> ADDIN EN.CITE </w:instrText>
      </w:r>
      <w:r w:rsidRPr="00D0576D">
        <w:fldChar w:fldCharType="begin">
          <w:fldData xml:space="preserve">PEVuZE5vdGU+PENpdGU+PEF1dGhvcj5GZXJuw6FuZGV6IEJlcnRvczwvQXV0aG9yPjxZZWFyPjIw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</w:fldData>
        </w:fldChar>
      </w:r>
      <w:r w:rsidRPr="00D0576D">
        <w:instrText xml:space="preserve"> ADDIN EN.CITE.DATA </w:instrText>
      </w:r>
      <w:r w:rsidRPr="00D0576D">
        <w:fldChar w:fldCharType="end"/>
      </w:r>
      <w:r w:rsidRPr="00D0576D">
        <w:fldChar w:fldCharType="separate"/>
      </w:r>
      <w:r w:rsidRPr="00D0576D">
        <w:t>(Fernández Bertos et al. 2004, Li et al. 2007, Gunning et al. 2010)</w:t>
      </w:r>
      <w:r w:rsidRPr="00D0576D">
        <w:fldChar w:fldCharType="end"/>
      </w:r>
      <w:r w:rsidRPr="00D0576D">
        <w:t xml:space="preserve">. The technology utilises carbon dioxide to pelletize municipal solid waste incinerator (MSWI) ash into potential aggregates for construction </w:t>
      </w:r>
      <w:r w:rsidRPr="00D0576D">
        <w:fldChar w:fldCharType="begin"/>
      </w:r>
      <w:r w:rsidRPr="00D0576D">
        <w:instrText xml:space="preserve"> ADDIN EN.CITE &lt;EndNote&gt;&lt;Cite&gt;&lt;Author&gt;Gunning&lt;/Author&gt;&lt;Year&gt;2009&lt;/Year&gt;&lt;RecNum&gt;402&lt;/RecNum&gt;&lt;DisplayText&gt;(Gunning et al. 2009)&lt;/DisplayText&gt;&lt;record&gt;&lt;rec-number&gt;402&lt;/rec-number&gt;&lt;foreign-keys&gt;&lt;key app="EN" db-id="25a5fvaw7f5peyeeez7xawr9wzraf29tswtp" timestamp="1534852045"&gt;402&lt;/key&gt;&lt;/foreign-keys&gt;&lt;ref-type name="Journal Article"&gt;17&lt;/ref-type&gt;&lt;contributors&gt;&lt;authors&gt;&lt;author&gt;Gunning, Peter J.&lt;/author&gt;&lt;author&gt;Hills, Colin D.&lt;/author&gt;&lt;author&gt;Carey, Paula J.&lt;/author&gt;&lt;/authors&gt;&lt;/contributors&gt;&lt;titles&gt;&lt;title&gt;Production of lightweight aggregate from industrial waste and carbon dioxide&lt;/title&gt;&lt;secondary-title&gt;Waste Management&lt;/secondary-title&gt;&lt;/titles&gt;&lt;periodical&gt;&lt;full-title&gt;Waste Management&lt;/full-title&gt;&lt;abbr-1&gt;Waste Manage.&lt;/abbr-1&gt;&lt;/periodical&gt;&lt;pages&gt;2722-2728&lt;/pages&gt;&lt;volume&gt;29&lt;/volume&gt;&lt;number&gt;10&lt;/number&gt;&lt;dates&gt;&lt;year&gt;2009&lt;/year&gt;&lt;pub-dates&gt;&lt;date&gt;2009/10/01/&lt;/date&gt;&lt;/pub-dates&gt;&lt;/dates&gt;&lt;isbn&gt;0956-053X&lt;/isbn&gt;&lt;urls&gt;&lt;related-urls&gt;&lt;url&gt;http://www.sciencedirect.com/science/article/pii/S0956053X09002153&lt;/url&gt;&lt;/related-urls&gt;&lt;/urls&gt;&lt;electronic-resource-num&gt;https://doi.org/10.1016/j.wasman.2009.05.021&lt;/electronic-resource-num&gt;&lt;/record&gt;&lt;/Cite&gt;&lt;/EndNote&gt;</w:instrText>
      </w:r>
      <w:r w:rsidRPr="00D0576D">
        <w:fldChar w:fldCharType="separate"/>
      </w:r>
      <w:r w:rsidRPr="00D0576D">
        <w:t>(Gunning et al. 2009)</w:t>
      </w:r>
      <w:r w:rsidRPr="00D0576D">
        <w:fldChar w:fldCharType="end"/>
      </w:r>
      <w:r w:rsidRPr="00D0576D">
        <w:t xml:space="preserve">.  The accelerated </w:t>
      </w:r>
      <w:r w:rsidRPr="00D0576D">
        <w:lastRenderedPageBreak/>
        <w:t>carbonation process captures more carbon dioxide from the waste than is used during plant processing; hence the development of a “carbon-negative” aggregate as per laboratory-based calculations. The solidifi</w:t>
      </w:r>
      <w:r w:rsidR="00DF57B1">
        <w:t>ed product contains permanently-</w:t>
      </w:r>
      <w:r w:rsidRPr="00D0576D">
        <w:t xml:space="preserve">bound carbon dioxide gas </w:t>
      </w:r>
      <w:r w:rsidRPr="00D0576D">
        <w:fldChar w:fldCharType="begin"/>
      </w:r>
      <w:r w:rsidRPr="00D0576D">
        <w:instrText xml:space="preserve"> ADDIN EN.CITE &lt;EndNote&gt;&lt;Cite&gt;&lt;Author&gt;Gunning&lt;/Author&gt;&lt;Year&gt;2012&lt;/Year&gt;&lt;RecNum&gt;268&lt;/RecNum&gt;&lt;DisplayText&gt;(Gunning et al. 2012)&lt;/DisplayText&gt;&lt;record&gt;&lt;rec-number&gt;268&lt;/rec-number&gt;&lt;foreign-keys&gt;&lt;key app="EN" db-id="25a5fvaw7f5peyeeez7xawr9wzraf29tswtp" timestamp="1481323444"&gt;268&lt;/key&gt;&lt;/foreign-keys&gt;&lt;ref-type name="Conference Paper"&gt;47&lt;/ref-type&gt;&lt;contributors&gt;&lt;authors&gt;&lt;author&gt;Gunning, P.J&lt;/author&gt;&lt;author&gt;Hills, C. D&lt;/author&gt;&lt;author&gt;Carey, P. J&lt;/author&gt;&lt;author&gt;Greig, S&lt;/author&gt;&lt;author&gt;Schilling, M&lt;/author&gt;&lt;/authors&gt;&lt;/contributors&gt;&lt;titles&gt;&lt;title&gt;Carbonation of MSWI APCr for re-use as a light-weight aggregate&lt;/title&gt;&lt;secondary-title&gt;Ash Utilisation 2012 - Ashes in a Sustainable Society&lt;/secondary-title&gt;&lt;/titles&gt;&lt;dates&gt;&lt;year&gt;2012&lt;/year&gt;&lt;pub-dates&gt;&lt;date&gt;25-27 Jan.&lt;/date&gt;&lt;/pub-dates&gt;&lt;/dates&gt;&lt;pub-location&gt;Stockholm, Sweden&lt;/pub-location&gt;&lt;urls&gt;&lt;related-urls&gt;&lt;url&gt;http://www.varmeforsk.se/files/program/askor/Gunning_final_.pdf&lt;/url&gt;&lt;/related-urls&gt;&lt;/urls&gt;&lt;access-date&gt;24 Aug. 2016&lt;/access-date&gt;&lt;/record&gt;&lt;/Cite&gt;&lt;/EndNote&gt;</w:instrText>
      </w:r>
      <w:r w:rsidRPr="00D0576D">
        <w:fldChar w:fldCharType="separate"/>
      </w:r>
      <w:r w:rsidRPr="00D0576D">
        <w:t>(Gunning et al. 2012)</w:t>
      </w:r>
      <w:r w:rsidRPr="00D0576D">
        <w:fldChar w:fldCharType="end"/>
      </w:r>
      <w:r w:rsidRPr="00D0576D">
        <w:t>.  The raw materials used for this production are thermal residues</w:t>
      </w:r>
      <w:r w:rsidR="00DF57B1">
        <w:t>;</w:t>
      </w:r>
      <w:r w:rsidRPr="00D0576D">
        <w:t xml:space="preserve"> for example</w:t>
      </w:r>
      <w:r w:rsidR="00DF57B1">
        <w:t>,</w:t>
      </w:r>
      <w:r w:rsidRPr="00D0576D">
        <w:t xml:space="preserve"> fly ash and Air Pollution Control residue (APCr) from waste to energy plants. The CNA are grey, sub-rounded, homogeneous, and with a rough surface </w:t>
      </w:r>
      <w:r w:rsidRPr="00D0576D">
        <w:fldChar w:fldCharType="begin"/>
      </w:r>
      <w:r w:rsidRPr="00D0576D">
        <w:instrText xml:space="preserve"> ADDIN EN.CITE &lt;EndNote&gt;&lt;Cite&gt;&lt;Author&gt;Gunning&lt;/Author&gt;&lt;Year&gt;2012&lt;/Year&gt;&lt;RecNum&gt;268&lt;/RecNum&gt;&lt;DisplayText&gt;(Gunning et al. 2012)&lt;/DisplayText&gt;&lt;record&gt;&lt;rec-number&gt;268&lt;/rec-number&gt;&lt;foreign-keys&gt;&lt;key app="EN" db-id="25a5fvaw7f5peyeeez7xawr9wzraf29tswtp" timestamp="1481323444"&gt;268&lt;/key&gt;&lt;/foreign-keys&gt;&lt;ref-type name="Conference Paper"&gt;47&lt;/ref-type&gt;&lt;contributors&gt;&lt;authors&gt;&lt;author&gt;Gunning, P.J&lt;/author&gt;&lt;author&gt;Hills, C. D&lt;/author&gt;&lt;author&gt;Carey, P. J&lt;/author&gt;&lt;author&gt;Greig, S&lt;/author&gt;&lt;author&gt;Schilling, M&lt;/author&gt;&lt;/authors&gt;&lt;/contributors&gt;&lt;titles&gt;&lt;title&gt;Carbonation of MSWI APCr for re-use as a light-weight aggregate&lt;/title&gt;&lt;secondary-title&gt;Ash Utilisation 2012 - Ashes in a Sustainable Society&lt;/secondary-title&gt;&lt;/titles&gt;&lt;dates&gt;&lt;year&gt;2012&lt;/year&gt;&lt;pub-dates&gt;&lt;date&gt;25-27 Jan.&lt;/date&gt;&lt;/pub-dates&gt;&lt;/dates&gt;&lt;pub-location&gt;Stockholm, Sweden&lt;/pub-location&gt;&lt;urls&gt;&lt;related-urls&gt;&lt;url&gt;http://www.varmeforsk.se/files/program/askor/Gunning_final_.pdf&lt;/url&gt;&lt;/related-urls&gt;&lt;/urls&gt;&lt;access-date&gt;24 Aug. 2016&lt;/access-date&gt;&lt;/record&gt;&lt;/Cite&gt;&lt;/EndNote&gt;</w:instrText>
      </w:r>
      <w:r w:rsidRPr="00D0576D">
        <w:fldChar w:fldCharType="separate"/>
      </w:r>
      <w:r w:rsidRPr="00D0576D">
        <w:t>(Gunning et al. 2012)</w:t>
      </w:r>
      <w:r w:rsidRPr="00D0576D">
        <w:fldChar w:fldCharType="end"/>
      </w:r>
      <w:r w:rsidRPr="00D0576D">
        <w:t>.</w:t>
      </w:r>
    </w:p>
    <w:p w:rsidR="00D96A10" w:rsidRDefault="0067462F" w:rsidP="00492595">
      <w:pPr>
        <w:pStyle w:val="Newparagraph"/>
      </w:pPr>
      <w:r>
        <w:lastRenderedPageBreak/>
        <w:t xml:space="preserve">Artificially produced </w:t>
      </w:r>
      <w:r w:rsidR="00C55171">
        <w:t>lightweight aggregates</w:t>
      </w:r>
      <w:r>
        <w:t xml:space="preserve"> have</w:t>
      </w:r>
      <w:r w:rsidR="00D0576D" w:rsidRPr="00D0576D">
        <w:t xml:space="preserve"> been used in concrete by several academics </w:t>
      </w:r>
      <w:r w:rsidR="00D0576D" w:rsidRPr="00D0576D">
        <w:fldChar w:fldCharType="begin">
          <w:fldData xml:space="preserve">PEVuZE5vdGU+PENpdGU+PEF1dGhvcj5BbC1LaGFpYXQ8L0F1dGhvcj48WWVhcj4xOTk4PC9ZZWFy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</w:fldData>
        </w:fldChar>
      </w:r>
      <w:r w:rsidR="00D0576D" w:rsidRPr="00D0576D">
        <w:instrText xml:space="preserve"> ADDIN EN.CITE </w:instrText>
      </w:r>
      <w:r w:rsidR="00D0576D" w:rsidRPr="00D0576D">
        <w:fldChar w:fldCharType="begin">
          <w:fldData xml:space="preserve">PEVuZE5vdGU+PENpdGU+PEF1dGhvcj5BbC1LaGFpYXQ8L0F1dGhvcj48WWVhcj4xOTk4PC9ZZWFy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</w:fldData>
        </w:fldChar>
      </w:r>
      <w:r w:rsidR="00D0576D" w:rsidRPr="00D0576D">
        <w:instrText xml:space="preserve"> ADDIN EN.CITE.DATA </w:instrText>
      </w:r>
      <w:r w:rsidR="00D0576D" w:rsidRPr="00D0576D">
        <w:fldChar w:fldCharType="end"/>
      </w:r>
      <w:r w:rsidR="00D0576D" w:rsidRPr="00D0576D">
        <w:fldChar w:fldCharType="separate"/>
      </w:r>
      <w:r w:rsidR="00D0576D" w:rsidRPr="00D0576D">
        <w:t>(Al-Khaiat and Haque 1998, Haque et al. 2004, Bai et al. 2004, Kockal and Ozturan 2010, Kockal and Ozturan 2011, Terzić et al. 2015)</w:t>
      </w:r>
      <w:r w:rsidR="00D0576D" w:rsidRPr="00D0576D">
        <w:fldChar w:fldCharType="end"/>
      </w:r>
      <w:r w:rsidR="00D0576D" w:rsidRPr="00D0576D">
        <w:t xml:space="preserve"> to examine the durability, strength and stiffness of concrete. </w:t>
      </w:r>
      <w:r w:rsidR="00D96A10">
        <w:t xml:space="preserve">Waste materials have also been used in paving blocks by some researchers </w:t>
      </w:r>
      <w:r w:rsidR="00D96A10">
        <w:fldChar w:fldCharType="begin">
          <w:fldData xml:space="preserve">PEVuZE5vdGU+PENpdGU+PEF1dGhvcj5XYXR0YW5hc2lyaXdlY2g8L0F1dGhvcj48WWVhcj4yMDA5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</w:fldData>
        </w:fldChar>
      </w:r>
      <w:r w:rsidR="00D96A10">
        <w:instrText xml:space="preserve"> ADDIN EN.CITE </w:instrText>
      </w:r>
      <w:r w:rsidR="00D96A10">
        <w:fldChar w:fldCharType="begin">
          <w:fldData xml:space="preserve">PEVuZE5vdGU+PENpdGU+PEF1dGhvcj5XYXR0YW5hc2lyaXdlY2g8L0F1dGhvcj48WWVhcj4yMDA5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</w:fldData>
        </w:fldChar>
      </w:r>
      <w:r w:rsidR="00D96A10">
        <w:instrText xml:space="preserve"> ADDIN EN.CITE.DATA </w:instrText>
      </w:r>
      <w:r w:rsidR="00D96A10">
        <w:fldChar w:fldCharType="end"/>
      </w:r>
      <w:r w:rsidR="00D96A10">
        <w:fldChar w:fldCharType="separate"/>
      </w:r>
      <w:r w:rsidR="00D96A10">
        <w:rPr>
          <w:noProof/>
        </w:rPr>
        <w:t>(Wattanasiriwech et al. 2009, Gencel et al. 2012, Ganjian et al. 2015, Poon and Chan 2006)</w:t>
      </w:r>
      <w:r w:rsidR="00D96A10">
        <w:fldChar w:fldCharType="end"/>
      </w:r>
      <w:r w:rsidR="00D96A10">
        <w:t xml:space="preserve">. </w:t>
      </w:r>
      <w:r w:rsidR="00D96A10">
        <w:fldChar w:fldCharType="begin"/>
      </w:r>
      <w:r w:rsidR="00E745E0">
        <w:instrText xml:space="preserve"> ADDIN EN.CITE &lt;EndNote&gt;&lt;Cite AuthorYear="1"&gt;&lt;Author&gt;Wattanasiriwech&lt;/Author&gt;&lt;Year&gt;2009&lt;/Year&gt;&lt;RecNum&gt;421&lt;/RecNum&gt;&lt;DisplayText&gt;Wattanasiriwech et al. (2009)&lt;/DisplayText&gt;&lt;record&gt;&lt;rec-number&gt;421&lt;/rec-number&gt;&lt;foreign-keys&gt;&lt;key app="EN" db-id="25a5fvaw7f5peyeeez7xawr9wzraf29tswtp" timestamp="1539435560"&gt;421&lt;/key&gt;&lt;/foreign-keys&gt;&lt;ref-type name="Journal Article"&gt;17&lt;/ref-type&gt;&lt;contributors&gt;&lt;authors&gt;&lt;author&gt;Wattanasiriwech, D.&lt;/author&gt;&lt;author&gt;Saiton, A.&lt;/author&gt;&lt;author&gt;Wattanasiriwech, S.&lt;/author&gt;&lt;/authors&gt;&lt;/contributors&gt;&lt;titles&gt;&lt;title&gt;Paving blocks from ceramic tile production waste&lt;/title&gt;&lt;secondary-title&gt;Journal of Cleaner Production&lt;/secondary-title&gt;&lt;/titles&gt;&lt;periodical&gt;&lt;full-title&gt;Journal of Cleaner Production&lt;/full-title&gt;&lt;abbr-1&gt;J. Cleaner Prod.&lt;/abbr-1&gt;&lt;/periodical&gt;&lt;pages&gt;1663-1668&lt;/pages&gt;&lt;volume&gt;17&lt;/volume&gt;&lt;number&gt;18&lt;/number&gt;&lt;keywords&gt;&lt;keyword&gt;Paving blocks&lt;/keyword&gt;&lt;keyword&gt;Ceramic tiles&lt;/keyword&gt;&lt;keyword&gt;Compressive strength&lt;/keyword&gt;&lt;keyword&gt;Portlandite&lt;/keyword&gt;&lt;keyword&gt;CSH&lt;/keyword&gt;&lt;/keywords&gt;&lt;dates&gt;&lt;year&gt;2009&lt;/year&gt;&lt;pub-dates&gt;&lt;date&gt;2009/12/01/&lt;/date&gt;&lt;/pub-dates&gt;&lt;/dates&gt;&lt;isbn&gt;0959-6526&lt;/isbn&gt;&lt;urls&gt;&lt;related-urls&gt;&lt;url&gt;http://www.sciencedirect.com/science/article/pii/S0959652609002546&lt;/url&gt;&lt;/related-urls&gt;&lt;/urls&gt;&lt;electronic-resource-num&gt;https://doi.org/10.1016/j.jclepro.2009.08.008&lt;/electronic-resource-num&gt;&lt;/record&gt;&lt;/Cite&gt;&lt;/EndNote&gt;</w:instrText>
      </w:r>
      <w:r w:rsidR="00D96A10">
        <w:fldChar w:fldCharType="separate"/>
      </w:r>
      <w:r w:rsidR="00E745E0">
        <w:rPr>
          <w:noProof/>
        </w:rPr>
        <w:t>Wattanasiriwech et al. (2009)</w:t>
      </w:r>
      <w:r w:rsidR="00D96A10">
        <w:fldChar w:fldCharType="end"/>
      </w:r>
      <w:r w:rsidR="00E745E0">
        <w:t xml:space="preserve"> investigated the use of </w:t>
      </w:r>
      <w:r w:rsidR="00E745E0">
        <w:lastRenderedPageBreak/>
        <w:t>waste mud from ceramic tile production as the main component in paving blocks. They determined compressive strengths and found that blocks containing ceme</w:t>
      </w:r>
      <w:r w:rsidR="00C270D0">
        <w:t>nt ≥20 wt.% gave satisfactory strength results.</w:t>
      </w:r>
      <w:r w:rsidR="00181347">
        <w:t xml:space="preserve"> </w:t>
      </w:r>
      <w:r w:rsidR="00181347">
        <w:fldChar w:fldCharType="begin"/>
      </w:r>
      <w:r w:rsidR="00181347">
        <w:instrText xml:space="preserve"> ADDIN EN.CITE &lt;EndNote&gt;&lt;Cite AuthorYear="1"&gt;&lt;Author&gt;Poon&lt;/Author&gt;&lt;Year&gt;2006&lt;/Year&gt;&lt;RecNum&gt;424&lt;/RecNum&gt;&lt;DisplayText&gt;Poon and Chan (2006)&lt;/DisplayText&gt;&lt;record&gt;&lt;rec-number&gt;424&lt;/rec-number&gt;&lt;foreign-keys&gt;&lt;key app="EN" db-id="25a5fvaw7f5peyeeez7xawr9wzraf29tswtp" timestamp="1539436020"&gt;424&lt;/key&gt;&lt;/foreign-keys&gt;&lt;ref-type name="Journal Article"&gt;17&lt;/ref-type&gt;&lt;contributors&gt;&lt;authors&gt;&lt;author&gt;Poon, Chi Sun&lt;/author&gt;&lt;author&gt;Chan, Dixon&lt;/author&gt;&lt;/authors&gt;&lt;/contributors&gt;&lt;titles&gt;&lt;title&gt;Paving blocks made with recycled concrete aggregate and crushed clay brick&lt;/title&gt;&lt;secondary-title&gt;Construction and Building Materials&lt;/secondary-title&gt;&lt;/titles&gt;&lt;periodical&gt;&lt;full-title&gt;Construction and Building Materials&lt;/full-title&gt;&lt;abbr-1&gt;Constr. Build. Mater.&lt;/abbr-1&gt;&lt;/periodical&gt;&lt;pages&gt;569-577&lt;/pages&gt;&lt;volume&gt;20&lt;/volume&gt;&lt;number&gt;8&lt;/number&gt;&lt;keywords&gt;&lt;keyword&gt;Construction and demolition waste&lt;/keyword&gt;&lt;keyword&gt;Recycled concrete aggregates&lt;/keyword&gt;&lt;keyword&gt;Crushed clay brick&lt;/keyword&gt;&lt;keyword&gt;Paving blocks&lt;/keyword&gt;&lt;/keywords&gt;&lt;dates&gt;&lt;year&gt;2006&lt;/year&gt;&lt;pub-dates&gt;&lt;date&gt;2006/10/01/&lt;/date&gt;&lt;/pub-dates&gt;&lt;/dates&gt;&lt;isbn&gt;0950-0618&lt;/isbn&gt;&lt;urls&gt;&lt;related-urls&gt;&lt;url&gt;http://www.sciencedirect.com/science/article/pii/S0950061805000851&lt;/url&gt;&lt;/related-urls&gt;&lt;/urls&gt;&lt;electronic-resource-num&gt;https://doi.org/10.1016/j.conbuildmat.2005.01.044&lt;/electronic-resource-num&gt;&lt;/record&gt;&lt;/Cite&gt;&lt;/EndNote&gt;</w:instrText>
      </w:r>
      <w:r w:rsidR="00181347">
        <w:fldChar w:fldCharType="separate"/>
      </w:r>
      <w:r w:rsidR="00181347">
        <w:rPr>
          <w:noProof/>
        </w:rPr>
        <w:t>Poon and Chan (2006)</w:t>
      </w:r>
      <w:r w:rsidR="00181347">
        <w:fldChar w:fldCharType="end"/>
      </w:r>
      <w:r w:rsidR="00181347">
        <w:t xml:space="preserve"> </w:t>
      </w:r>
      <w:r w:rsidR="00763B02">
        <w:t>investigated</w:t>
      </w:r>
      <w:r w:rsidR="00181347">
        <w:t xml:space="preserve"> the replacement of conventional aggregates of </w:t>
      </w:r>
      <w:r w:rsidR="00763B02">
        <w:t>CBP</w:t>
      </w:r>
      <w:r w:rsidR="00181347">
        <w:t xml:space="preserve"> using recycled concrete aggregate and crushed clay bric</w:t>
      </w:r>
      <w:r w:rsidR="00763B02">
        <w:t>k as coarse and fine aggregates</w:t>
      </w:r>
      <w:r w:rsidR="00181347">
        <w:t xml:space="preserve"> respectively</w:t>
      </w:r>
      <w:r w:rsidR="00763B02">
        <w:t xml:space="preserve">. The authors reported that </w:t>
      </w:r>
      <w:r w:rsidR="00181347">
        <w:t>the mechanica</w:t>
      </w:r>
      <w:r w:rsidR="009C4E3A">
        <w:t>l performance</w:t>
      </w:r>
      <w:r w:rsidR="00181347">
        <w:t xml:space="preserve"> of paver blocks remain similar to that of the conventional </w:t>
      </w:r>
      <w:r w:rsidR="00763B02">
        <w:t>CBP</w:t>
      </w:r>
      <w:r w:rsidR="00181347">
        <w:t xml:space="preserve">. </w:t>
      </w:r>
      <w:r w:rsidR="00763B02">
        <w:fldChar w:fldCharType="begin"/>
      </w:r>
      <w:r w:rsidR="00763B02">
        <w:instrText xml:space="preserve"> ADDIN EN.CITE &lt;EndNote&gt;&lt;Cite AuthorYear="1"&gt;&lt;Author&gt;Poon&lt;/Author&gt;&lt;Year&gt;2006&lt;/Year&gt;&lt;RecNum&gt;424&lt;/RecNum&gt;&lt;DisplayText&gt;Poon and Chan (2006)&lt;/DisplayText&gt;&lt;record&gt;&lt;rec-number&gt;424&lt;/rec-number&gt;&lt;foreign-keys&gt;&lt;key app="EN" db-id="25a5fvaw7f5peyeeez7xawr9wzraf29tswtp" timestamp="1539436020"&gt;424&lt;/key&gt;&lt;/foreign-keys&gt;&lt;ref-type name="Journal Article"&gt;17&lt;/ref-type&gt;&lt;contributors&gt;&lt;authors&gt;&lt;author&gt;Poon, Chi Sun&lt;/author&gt;&lt;author&gt;Chan, Dixon&lt;/author&gt;&lt;/authors&gt;&lt;/contributors&gt;&lt;titles&gt;&lt;title&gt;Paving blocks made with recycled concrete aggregate and crushed clay brick&lt;/title&gt;&lt;secondary-title&gt;Construction and Building Materials&lt;/secondary-title&gt;&lt;/titles&gt;&lt;periodical&gt;&lt;full-title&gt;Construction and Building Materials&lt;/full-title&gt;&lt;abbr-1&gt;Constr. Build. Mater.&lt;/abbr-1&gt;&lt;/periodical&gt;&lt;pages&gt;569-577&lt;/pages&gt;&lt;volume&gt;20&lt;/volume&gt;&lt;number&gt;8&lt;/number&gt;&lt;keywords&gt;&lt;keyword&gt;Construction and demolition waste&lt;/keyword&gt;&lt;keyword&gt;Recycled concrete aggregates&lt;/keyword&gt;&lt;keyword&gt;Crushed clay brick&lt;/keyword&gt;&lt;keyword&gt;Paving blocks&lt;/keyword&gt;&lt;/keywords&gt;&lt;dates&gt;&lt;year&gt;2006&lt;/year&gt;&lt;pub-dates&gt;&lt;date&gt;2006/10/01/&lt;/date&gt;&lt;/pub-dates&gt;&lt;/dates&gt;&lt;isbn&gt;0950-0618&lt;/isbn&gt;&lt;urls&gt;&lt;related-urls&gt;&lt;url&gt;http://www.sciencedirect.com/science/article/pii/S0950061805000851&lt;/url&gt;&lt;/related-urls&gt;&lt;/urls&gt;&lt;electronic-resource-num&gt;https://doi.org/10.1016/j.conbuildmat.2005.01.044&lt;/electronic-resource-num&gt;&lt;/record&gt;&lt;/Cite&gt;&lt;/EndNote&gt;</w:instrText>
      </w:r>
      <w:r w:rsidR="00763B02">
        <w:fldChar w:fldCharType="separate"/>
      </w:r>
      <w:r w:rsidR="00763B02">
        <w:rPr>
          <w:noProof/>
        </w:rPr>
        <w:t>Poon and Chan (2006)</w:t>
      </w:r>
      <w:r w:rsidR="00763B02">
        <w:fldChar w:fldCharType="end"/>
      </w:r>
      <w:r w:rsidR="00181347">
        <w:t xml:space="preserve"> </w:t>
      </w:r>
      <w:r w:rsidR="00181347">
        <w:lastRenderedPageBreak/>
        <w:t xml:space="preserve">also reported that the blocks prepared using 25 wt.% crushed </w:t>
      </w:r>
      <w:r w:rsidR="00C55171">
        <w:t>clay bricks</w:t>
      </w:r>
      <w:r w:rsidR="00763B02">
        <w:t xml:space="preserve"> </w:t>
      </w:r>
      <w:r w:rsidR="00181347">
        <w:t xml:space="preserve">as fine aggregate can achieve an adequate compressive strength for producing Grade B paving blocks </w:t>
      </w:r>
      <w:r w:rsidR="00C55171">
        <w:t xml:space="preserve">in trafficked areas </w:t>
      </w:r>
      <w:r w:rsidR="00181347">
        <w:t xml:space="preserve">as prescribed by </w:t>
      </w:r>
      <w:r w:rsidR="000C6275">
        <w:t>the Environment, Transport and Works Bureau Government Secretariat</w:t>
      </w:r>
      <w:r w:rsidR="00181347">
        <w:t xml:space="preserve"> of Hong Kong.</w:t>
      </w:r>
      <w:r w:rsidR="00492595">
        <w:t xml:space="preserve"> </w:t>
      </w:r>
      <w:r w:rsidR="00492595">
        <w:fldChar w:fldCharType="begin"/>
      </w:r>
      <w:r w:rsidR="00492595">
        <w:instrText xml:space="preserve"> ADDIN EN.CITE &lt;EndNote&gt;&lt;Cite AuthorYear="1"&gt;&lt;Author&gt;Gencel&lt;/Author&gt;&lt;Year&gt;2012&lt;/Year&gt;&lt;RecNum&gt;422&lt;/RecNum&gt;&lt;DisplayText&gt;Gencel et al. (2012)&lt;/DisplayText&gt;&lt;record&gt;&lt;rec-number&gt;422&lt;/rec-number&gt;&lt;foreign-keys&gt;&lt;key app="EN" db-id="25a5fvaw7f5peyeeez7xawr9wzraf29tswtp" timestamp="1539435737"&gt;422&lt;/key&gt;&lt;/foreign-keys&gt;&lt;ref-type name="Journal Article"&gt;17&lt;/ref-type&gt;&lt;contributors&gt;&lt;authors&gt;&lt;author&gt;Gencel, Osman&lt;/author&gt;&lt;author&gt;Ozel, Cengiz&lt;/author&gt;&lt;author&gt;Koksal, Fuat&lt;/author&gt;&lt;author&gt;Erdogmus, Ertugrul&lt;/author&gt;&lt;author&gt;Martínez-Barrera, Gonzalo&lt;/author&gt;&lt;author&gt;Brostow, Witold&lt;/author&gt;&lt;/authors&gt;&lt;/contributors&gt;&lt;titles&gt;&lt;title&gt;Properties of concrete paving blocks made with waste marble&lt;/title&gt;&lt;secondary-title&gt;Journal of Cleaner Production&lt;/secondary-title&gt;&lt;/titles&gt;&lt;periodical&gt;&lt;full-title&gt;Journal of Cleaner Production&lt;/full-title&gt;&lt;abbr-1&gt;J. Cleaner Prod.&lt;/abbr-1&gt;&lt;/periodical&gt;&lt;pages&gt;62-70&lt;/pages&gt;&lt;volume&gt;21&lt;/volume&gt;&lt;number&gt;1&lt;/number&gt;&lt;keywords&gt;&lt;keyword&gt;Concrete paving blocks&lt;/keyword&gt;&lt;keyword&gt;Recycled aggregate&lt;/keyword&gt;&lt;keyword&gt;Marble waste&lt;/keyword&gt;&lt;keyword&gt;Concrete wear&lt;/keyword&gt;&lt;/keywords&gt;&lt;dates&gt;&lt;year&gt;2012&lt;/year&gt;&lt;pub-dates&gt;&lt;date&gt;2012/01/01/&lt;/date&gt;&lt;/pub-dates&gt;&lt;/dates&gt;&lt;isbn&gt;0959-6526&lt;/isbn&gt;&lt;urls&gt;&lt;related-urls&gt;&lt;url&gt;http://www.sciencedirect.com/science/article/pii/S0959652611003349&lt;/url&gt;&lt;/related-urls&gt;&lt;/urls&gt;&lt;electronic-resource-num&gt;https://doi.org/10.1016/j.jclepro.2011.08.023&lt;/electronic-resource-num&gt;&lt;/record&gt;&lt;/Cite&gt;&lt;/EndNote&gt;</w:instrText>
      </w:r>
      <w:r w:rsidR="00492595">
        <w:fldChar w:fldCharType="separate"/>
      </w:r>
      <w:r w:rsidR="00492595">
        <w:rPr>
          <w:noProof/>
        </w:rPr>
        <w:t>Gencel et al. (2012)</w:t>
      </w:r>
      <w:r w:rsidR="00492595">
        <w:fldChar w:fldCharType="end"/>
      </w:r>
      <w:r w:rsidR="00492595">
        <w:t xml:space="preserve"> investigated the  effects of waste marble on physical and mechanical properties of </w:t>
      </w:r>
      <w:r w:rsidR="000E190F">
        <w:t>CBP. The authors concluded that CBP of sufficient quality was achieved through the incorporation of marble waste.</w:t>
      </w:r>
    </w:p>
    <w:p w:rsidR="00D0576D" w:rsidRPr="00D0576D" w:rsidRDefault="007F0B1B" w:rsidP="00B07817">
      <w:pPr>
        <w:pStyle w:val="Newparagraph"/>
      </w:pPr>
      <w:r>
        <w:lastRenderedPageBreak/>
        <w:t>The literature shows that</w:t>
      </w:r>
      <w:r w:rsidR="00D0576D" w:rsidRPr="00D0576D">
        <w:t xml:space="preserve"> a research gap exists regarding </w:t>
      </w:r>
      <w:r w:rsidR="00816C59">
        <w:t>evaluations</w:t>
      </w:r>
      <w:r w:rsidR="00AA3FF1">
        <w:t xml:space="preserve"> of </w:t>
      </w:r>
      <w:r w:rsidR="00D0576D" w:rsidRPr="00D0576D">
        <w:t xml:space="preserve">the </w:t>
      </w:r>
      <w:r w:rsidR="008E4800">
        <w:t>influence</w:t>
      </w:r>
      <w:r w:rsidR="00D0576D" w:rsidRPr="00D0576D">
        <w:t xml:space="preserve"> of </w:t>
      </w:r>
      <w:r w:rsidR="00AA3FF1">
        <w:t xml:space="preserve">artificial </w:t>
      </w:r>
      <w:r w:rsidR="00C55171">
        <w:t>lightweight aggregates</w:t>
      </w:r>
      <w:r w:rsidR="00D0576D" w:rsidRPr="00D0576D">
        <w:t xml:space="preserve"> in solid C</w:t>
      </w:r>
      <w:r>
        <w:t>BP</w:t>
      </w:r>
      <w:r w:rsidR="00D0576D" w:rsidRPr="00D0576D">
        <w:t xml:space="preserve">. This paper examines the </w:t>
      </w:r>
      <w:r w:rsidR="00E5061E">
        <w:t>physical and mechanical</w:t>
      </w:r>
      <w:r w:rsidR="00D0576D" w:rsidRPr="00D0576D">
        <w:t xml:space="preserve"> characteristics of concrete comprising CNA for use </w:t>
      </w:r>
      <w:r w:rsidR="00E5061E">
        <w:t>as solid CBP in</w:t>
      </w:r>
      <w:r w:rsidR="00D0576D" w:rsidRPr="00D0576D">
        <w:t xml:space="preserve"> </w:t>
      </w:r>
      <w:r w:rsidR="00697976">
        <w:t>permeable pavements</w:t>
      </w:r>
      <w:r w:rsidR="00D0576D" w:rsidRPr="00D0576D">
        <w:t>. The methodology involves substituting NA by mass, with CNA at percentag</w:t>
      </w:r>
      <w:r w:rsidR="005468EB">
        <w:t>es of 0, 15, 30, 50, 75 and 100</w:t>
      </w:r>
      <w:r w:rsidR="00D0576D" w:rsidRPr="00D0576D">
        <w:t>. 28-day compressive and splitting tensile strengths and water absorption tests are evaluated and compared. The mix design</w:t>
      </w:r>
      <w:r w:rsidR="005468EB">
        <w:t>s</w:t>
      </w:r>
      <w:r w:rsidR="00D0576D" w:rsidRPr="00D0576D">
        <w:t xml:space="preserve"> ensured that cement and </w:t>
      </w:r>
      <w:r w:rsidR="00D0576D" w:rsidRPr="00D0576D">
        <w:lastRenderedPageBreak/>
        <w:t>fines content remained unchanged irrespective of the NA/CNA ratio.</w:t>
      </w:r>
    </w:p>
    <w:p w:rsidR="00FF2E55" w:rsidRPr="00FF2E55" w:rsidRDefault="002C0CB5" w:rsidP="002C0CB5">
      <w:pPr>
        <w:pStyle w:val="Heading1"/>
      </w:pPr>
      <w:r>
        <w:t>Materials and methods</w:t>
      </w:r>
    </w:p>
    <w:p w:rsidR="00FF2E55" w:rsidRDefault="00FF2E55" w:rsidP="00FF2E55">
      <w:pPr>
        <w:pStyle w:val="Heading2"/>
      </w:pPr>
      <w:r>
        <w:t>Materials</w:t>
      </w:r>
    </w:p>
    <w:p w:rsidR="002C0CB5" w:rsidRPr="002C0CB5" w:rsidRDefault="002C0CB5" w:rsidP="002C0CB5">
      <w:pPr>
        <w:pStyle w:val="Paragraph"/>
      </w:pPr>
      <w:r w:rsidRPr="002C0CB5">
        <w:t xml:space="preserve">Ordinary Portland Cement </w:t>
      </w:r>
      <w:r w:rsidR="00697976">
        <w:t xml:space="preserve">(OPC), CEM I 42 obtained locally </w:t>
      </w:r>
      <w:r w:rsidRPr="002C0CB5">
        <w:t xml:space="preserve">in Trinidad was used in the production of all concrete mixes. OPC is manufactured in accordance with international standards </w:t>
      </w:r>
      <w:r w:rsidRPr="002C0CB5">
        <w:fldChar w:fldCharType="begin"/>
      </w:r>
      <w:r w:rsidRPr="002C0CB5">
        <w:instrText xml:space="preserve"> ADDIN EN.CITE &lt;EndNote&gt;&lt;Cite&gt;&lt;Author&gt;ASTM&lt;/Author&gt;&lt;Year&gt;2017&lt;/Year&gt;&lt;RecNum&gt;346&lt;/RecNum&gt;&lt;DisplayText&gt;(ASTM 2017c, EN 197-1 2011)&lt;/DisplayText&gt;&lt;record&gt;&lt;rec-number&gt;346&lt;/rec-number&gt;&lt;foreign-keys&gt;&lt;key app="EN" db-id="25a5fvaw7f5peyeeez7xawr9wzraf29tswtp" timestamp="1496795670"&gt;346&lt;/key&gt;&lt;/foreign-keys&gt;&lt;ref-type name="Standard"&gt;58&lt;/ref-type&gt;&lt;contributors&gt;&lt;authors&gt;&lt;author&gt;ASTM&lt;/author&gt;&lt;/authors&gt;&lt;/contributors&gt;&lt;titles&gt;&lt;title&gt;Standard Specification for Portland Cement&lt;/title&gt;&lt;/titles&gt;&lt;volume&gt;Standard C150/C150M-17&lt;/volume&gt;&lt;dates&gt;&lt;year&gt;2017&lt;/year&gt;&lt;pub-dates&gt;&lt;date&gt;2017&lt;/date&gt;&lt;/pub-dates&gt;&lt;/dates&gt;&lt;pub-location&gt;West Conshohocken, PA USA&lt;/pub-location&gt;&lt;publisher&gt;ASTM International&lt;/publisher&gt;&lt;urls&gt;&lt;/urls&gt;&lt;/record&gt;&lt;/Cite&gt;&lt;Cite&gt;&lt;Author&gt;EN 197-1&lt;/Author&gt;&lt;Year&gt;2011&lt;/Year&gt;&lt;RecNum&gt;411&lt;/RecNum&gt;&lt;record&gt;&lt;rec-number&gt;411&lt;/rec-number&gt;&lt;foreign-keys&gt;&lt;key app="EN" db-id="25a5fvaw7f5peyeeez7xawr9wzraf29tswtp" timestamp="1537624405"&gt;411&lt;/key&gt;&lt;/foreign-keys&gt;&lt;ref-type name="Standard"&gt;58&lt;/ref-type&gt;&lt;contributors&gt;&lt;authors&gt;&lt;author&gt;EN 197-1,&lt;/author&gt;&lt;/authors&gt;&lt;/contributors&gt;&lt;titles&gt;&lt;title&gt;Cement - Part 1: Composition, specifications and conformity criteria for common cements&lt;/title&gt;&lt;/titles&gt;&lt;dates&gt;&lt;year&gt;2011&lt;/year&gt;&lt;/dates&gt;&lt;pub-location&gt;Brussels, Belgium&lt;/pub-location&gt;&lt;publisher&gt;CEN&lt;/publisher&gt;&lt;urls&gt;&lt;/urls&gt;&lt;/record&gt;&lt;/Cite&gt;&lt;/EndNote&gt;</w:instrText>
      </w:r>
      <w:r w:rsidRPr="002C0CB5">
        <w:fldChar w:fldCharType="separate"/>
      </w:r>
      <w:r w:rsidRPr="002C0CB5">
        <w:t>(ASTM 2017c, EN 197-1 2011)</w:t>
      </w:r>
      <w:r w:rsidRPr="002C0CB5">
        <w:fldChar w:fldCharType="end"/>
      </w:r>
      <w:r w:rsidRPr="002C0CB5">
        <w:t xml:space="preserve">. </w:t>
      </w:r>
      <w:r w:rsidR="00E70802">
        <w:t>Ordinary pipe borne</w:t>
      </w:r>
      <w:r w:rsidRPr="002C0CB5">
        <w:t xml:space="preserve"> water was used in all mixes. Quar</w:t>
      </w:r>
      <w:r w:rsidRPr="002C0CB5">
        <w:lastRenderedPageBreak/>
        <w:t>ried basalt aggregates wer</w:t>
      </w:r>
      <w:r w:rsidR="009C4E3A">
        <w:t xml:space="preserve">e used as </w:t>
      </w:r>
      <w:r w:rsidR="00C55171">
        <w:t>NA</w:t>
      </w:r>
      <w:r w:rsidRPr="002C0CB5">
        <w:t xml:space="preserve">. CNA was supplied by manufacturing plant, Carbon8 Systems </w:t>
      </w:r>
      <w:r w:rsidR="00813B6A">
        <w:t xml:space="preserve">located </w:t>
      </w:r>
      <w:r w:rsidRPr="002C0CB5">
        <w:t xml:space="preserve">in Kent, </w:t>
      </w:r>
      <w:r w:rsidR="00813B6A" w:rsidRPr="002C0CB5">
        <w:t>U</w:t>
      </w:r>
      <w:r w:rsidR="00813B6A">
        <w:t>.</w:t>
      </w:r>
      <w:r w:rsidR="00813B6A" w:rsidRPr="002C0CB5">
        <w:t>K.</w:t>
      </w:r>
      <w:r w:rsidRPr="002C0CB5">
        <w:t xml:space="preserve"> NA and CNA were used in the mixes as per ASTM C33 </w:t>
      </w:r>
      <w:r w:rsidRPr="002C0CB5">
        <w:fldChar w:fldCharType="begin"/>
      </w:r>
      <w:r w:rsidRPr="002C0CB5">
        <w:instrText xml:space="preserve"> ADDIN EN.CITE &lt;EndNote&gt;&lt;Cite&gt;&lt;Author&gt;ASTM&lt;/Author&gt;&lt;Year&gt;2016&lt;/Year&gt;&lt;RecNum&gt;160&lt;/RecNum&gt;&lt;DisplayText&gt;(ASTM 2016a)&lt;/DisplayText&gt;&lt;record&gt;&lt;rec-number&gt;160&lt;/rec-number&gt;&lt;foreign-keys&gt;&lt;key app="EN" db-id="25a5fvaw7f5peyeeez7xawr9wzraf29tswtp" timestamp="1469974967"&gt;160&lt;/key&gt;&lt;/foreign-keys&gt;&lt;ref-type name="Standard"&gt;58&lt;/ref-type&gt;&lt;contributors&gt;&lt;authors&gt;&lt;author&gt;ASTM&lt;/author&gt;&lt;/authors&gt;&lt;/contributors&gt;&lt;titles&gt;&lt;title&gt;Standard specification for concrete aggreates&lt;/title&gt;&lt;/titles&gt;&lt;volume&gt;C33/C33M-16&lt;/volume&gt;&lt;dates&gt;&lt;year&gt;2016&lt;/year&gt;&lt;pub-dates&gt;&lt;date&gt;2016&lt;/date&gt;&lt;/pub-dates&gt;&lt;/dates&gt;&lt;pub-location&gt;West Conshohocken, PA USA&lt;/pub-location&gt;&lt;publisher&gt;ASTM International&lt;/publisher&gt;&lt;urls&gt;&lt;/urls&gt;&lt;/record&gt;&lt;/Cite&gt;&lt;/EndNote&gt;</w:instrText>
      </w:r>
      <w:r w:rsidRPr="002C0CB5">
        <w:fldChar w:fldCharType="separate"/>
      </w:r>
      <w:r w:rsidRPr="002C0CB5">
        <w:t>(ASTM 2016a)</w:t>
      </w:r>
      <w:r w:rsidRPr="002C0CB5">
        <w:fldChar w:fldCharType="end"/>
      </w:r>
      <w:r w:rsidRPr="002C0CB5">
        <w:t xml:space="preserve"> and ASTM C330 </w:t>
      </w:r>
      <w:r w:rsidRPr="002C0CB5">
        <w:fldChar w:fldCharType="begin"/>
      </w:r>
      <w:r w:rsidR="00D96A10">
        <w:instrText xml:space="preserve"> ADDIN EN.CITE &lt;EndNote&gt;&lt;Cite&gt;&lt;Author&gt;ASTM&lt;/Author&gt;&lt;Year&gt;2017&lt;/Year&gt;&lt;RecNum&gt;347&lt;/RecNum&gt;&lt;DisplayText&gt;(ASTM 2017b)&lt;/DisplayText&gt;&lt;record&gt;&lt;rec-number&gt;347&lt;/rec-number&gt;&lt;foreign-keys&gt;&lt;key app="EN" db-id="25a5fvaw7f5peyeeez7xawr9wzraf29tswtp" timestamp="1496877712"&gt;347&lt;/key&gt;&lt;/foreign-keys&gt;&lt;ref-type name="Standard"&gt;58&lt;/ref-type&gt;&lt;contributors&gt;&lt;authors&gt;&lt;author&gt;ASTM&lt;/author&gt;&lt;/authors&gt;&lt;/contributors&gt;&lt;titles&gt;&lt;title&gt;Standard Specification for Lightweight Aggregates for Structural Concrete&lt;/title&gt;&lt;/titles&gt;&lt;volume&gt;Standard C330/C330M-17a&lt;/volume&gt;&lt;dates&gt;&lt;year&gt;2017&lt;/year&gt;&lt;pub-dates&gt;&lt;date&gt;2017&lt;/date&gt;&lt;/pub-dates&gt;&lt;/dates&gt;&lt;pub-location&gt;West Conshohocken, PA USA&lt;/pub-location&gt;&lt;publisher&gt;ASTM International&lt;/publisher&gt;&lt;urls&gt;&lt;/urls&gt;&lt;/record&gt;&lt;/Cite&gt;&lt;/EndNote&gt;</w:instrText>
      </w:r>
      <w:r w:rsidRPr="002C0CB5">
        <w:fldChar w:fldCharType="separate"/>
      </w:r>
      <w:r w:rsidR="00D96A10">
        <w:rPr>
          <w:noProof/>
        </w:rPr>
        <w:t>(ASTM 2017b)</w:t>
      </w:r>
      <w:r w:rsidRPr="002C0CB5">
        <w:fldChar w:fldCharType="end"/>
      </w:r>
      <w:r w:rsidRPr="002C0CB5">
        <w:t xml:space="preserve"> respectively. The CNA, shown in </w:t>
      </w:r>
      <w:r w:rsidRPr="002C0CB5">
        <w:fldChar w:fldCharType="begin"/>
      </w:r>
      <w:r w:rsidRPr="002C0CB5">
        <w:instrText xml:space="preserve"> REF _Ref484637885 \h </w:instrText>
      </w:r>
      <w:r w:rsidRPr="002C0CB5">
        <w:fldChar w:fldCharType="separate"/>
      </w:r>
      <w:r w:rsidR="00665D66" w:rsidRPr="002C0CB5">
        <w:rPr>
          <w:lang w:val="en-US"/>
        </w:rPr>
        <w:t xml:space="preserve">Figure </w:t>
      </w:r>
      <w:r w:rsidR="00665D66">
        <w:rPr>
          <w:noProof/>
          <w:lang w:val="en-US"/>
        </w:rPr>
        <w:t>3</w:t>
      </w:r>
      <w:r w:rsidRPr="002C0CB5">
        <w:fldChar w:fldCharType="end"/>
      </w:r>
      <w:r w:rsidRPr="002C0CB5">
        <w:t xml:space="preserve">, are porous, grey, sub-rounded, homogeneous, and rough on the surface. The chemical composition of CNA was </w:t>
      </w:r>
      <w:r w:rsidR="005468EB">
        <w:t xml:space="preserve">determined by the use of an </w:t>
      </w:r>
      <w:r w:rsidRPr="002C0CB5">
        <w:t xml:space="preserve">X-ray fluorescence spectrometer (XRF) and is presented in </w:t>
      </w:r>
      <w:r w:rsidRPr="002C0CB5">
        <w:fldChar w:fldCharType="begin"/>
      </w:r>
      <w:r w:rsidRPr="002C0CB5">
        <w:instrText xml:space="preserve"> REF _Ref525386392 \h </w:instrText>
      </w:r>
      <w:r w:rsidRPr="002C0CB5">
        <w:fldChar w:fldCharType="separate"/>
      </w:r>
      <w:r w:rsidR="00665D66" w:rsidRPr="002C0CB5">
        <w:rPr>
          <w:lang w:val="en-US"/>
        </w:rPr>
        <w:t xml:space="preserve">Table </w:t>
      </w:r>
      <w:r w:rsidR="00665D66">
        <w:rPr>
          <w:noProof/>
          <w:lang w:val="en-US"/>
        </w:rPr>
        <w:t>1</w:t>
      </w:r>
      <w:r w:rsidRPr="002C0CB5">
        <w:fldChar w:fldCharType="end"/>
      </w:r>
      <w:r w:rsidRPr="002C0CB5">
        <w:t xml:space="preserve"> along with the chemical composition of OPC. Natural ‘river’ </w:t>
      </w:r>
      <w:r w:rsidRPr="002C0CB5">
        <w:lastRenderedPageBreak/>
        <w:t xml:space="preserve">sand (NS) constituted the majority of the fines component in the mixes. Conplast SP430 </w:t>
      </w:r>
      <w:r w:rsidR="00813B6A">
        <w:t xml:space="preserve">super plasticizer </w:t>
      </w:r>
      <w:r w:rsidRPr="002C0CB5">
        <w:t xml:space="preserve">was used to improve the workability of the concrete mixes.  The physical properties of the aggregates and fines are presented in </w:t>
      </w:r>
      <w:r w:rsidRPr="002C0CB5">
        <w:fldChar w:fldCharType="begin"/>
      </w:r>
      <w:r w:rsidRPr="002C0CB5">
        <w:instrText xml:space="preserve"> REF _Ref525370931 \h </w:instrText>
      </w:r>
      <w:r w:rsidRPr="002C0CB5">
        <w:fldChar w:fldCharType="separate"/>
      </w:r>
      <w:r w:rsidR="00665D66" w:rsidRPr="002C0CB5">
        <w:rPr>
          <w:lang w:val="en-US"/>
        </w:rPr>
        <w:t xml:space="preserve">Table </w:t>
      </w:r>
      <w:r w:rsidR="00665D66">
        <w:rPr>
          <w:noProof/>
          <w:lang w:val="en-US"/>
        </w:rPr>
        <w:t>2</w:t>
      </w:r>
      <w:r w:rsidRPr="002C0CB5">
        <w:fldChar w:fldCharType="end"/>
      </w:r>
      <w:r w:rsidRPr="002C0CB5">
        <w:t xml:space="preserve">. </w:t>
      </w:r>
      <w:r w:rsidR="00033DBF">
        <w:t>The variation</w:t>
      </w:r>
      <w:r w:rsidR="00302AF5">
        <w:t>s</w:t>
      </w:r>
      <w:r w:rsidR="00033DBF">
        <w:t xml:space="preserve"> in physical and mechanical properties of the CNA and NA are very noticeable from </w:t>
      </w:r>
      <w:r w:rsidR="00033DBF">
        <w:fldChar w:fldCharType="begin"/>
      </w:r>
      <w:r w:rsidR="00033DBF">
        <w:instrText xml:space="preserve"> REF _Ref525370931 \h </w:instrText>
      </w:r>
      <w:r w:rsidR="00033DBF">
        <w:fldChar w:fldCharType="separate"/>
      </w:r>
      <w:r w:rsidR="00033DBF" w:rsidRPr="002C0CB5">
        <w:rPr>
          <w:lang w:val="en-US"/>
        </w:rPr>
        <w:t xml:space="preserve">Table </w:t>
      </w:r>
      <w:r w:rsidR="00033DBF">
        <w:rPr>
          <w:noProof/>
          <w:lang w:val="en-US"/>
        </w:rPr>
        <w:t>2</w:t>
      </w:r>
      <w:r w:rsidR="00033DBF">
        <w:fldChar w:fldCharType="end"/>
      </w:r>
      <w:r w:rsidR="00033DBF">
        <w:t xml:space="preserve">. </w:t>
      </w:r>
      <w:r w:rsidR="00F83FF8">
        <w:t xml:space="preserve">CNA are </w:t>
      </w:r>
      <w:r w:rsidR="00033DBF">
        <w:t>categorised</w:t>
      </w:r>
      <w:r w:rsidR="00F83FF8">
        <w:t xml:space="preserve"> as </w:t>
      </w:r>
      <w:r w:rsidR="00C55171">
        <w:t xml:space="preserve">lightweight </w:t>
      </w:r>
      <w:r w:rsidR="00F83FF8">
        <w:t>because of a lo</w:t>
      </w:r>
      <w:r w:rsidR="009C4E3A">
        <w:t>w</w:t>
      </w:r>
      <w:r w:rsidR="00F83FF8">
        <w:t xml:space="preserve"> bulk density value below 1200 kg/m</w:t>
      </w:r>
      <w:r w:rsidR="00F83FF8" w:rsidRPr="00F83FF8">
        <w:rPr>
          <w:vertAlign w:val="superscript"/>
        </w:rPr>
        <w:t>3</w:t>
      </w:r>
      <w:r w:rsidR="00F83FF8">
        <w:t xml:space="preserve"> </w:t>
      </w:r>
      <w:r w:rsidR="00F83FF8">
        <w:fldChar w:fldCharType="begin"/>
      </w:r>
      <w:r w:rsidR="00F83FF8">
        <w:instrText xml:space="preserve"> ADDIN EN.CITE &lt;EndNote&gt;&lt;Cite&gt;&lt;Author&gt;González-Corrochano&lt;/Author&gt;&lt;Year&gt;2009&lt;/Year&gt;&lt;RecNum&gt;417&lt;/RecNum&gt;&lt;DisplayText&gt;(González-Corrochano et al. 2009)&lt;/DisplayText&gt;&lt;record&gt;&lt;rec-number&gt;417&lt;/rec-number&gt;&lt;foreign-keys&gt;&lt;key app="EN" db-id="25a5fvaw7f5peyeeez7xawr9wzraf29tswtp" timestamp="1539382439"&gt;417&lt;/key&gt;&lt;/foreign-keys&gt;&lt;ref-type name="Journal Article"&gt;17&lt;/ref-type&gt;&lt;contributors&gt;&lt;authors&gt;&lt;author&gt;González-Corrochano, B.&lt;/author&gt;&lt;author&gt;Alonso-Azcárate, J.&lt;/author&gt;&lt;author&gt;Rodas, M.&lt;/author&gt;&lt;/authors&gt;&lt;/contributors&gt;&lt;titles&gt;&lt;title&gt;Characterization of lightweight aggregates manufactured from washing aggregate sludge and fly ash&lt;/title&gt;&lt;secondary-title&gt;Resources, Conservation and Recycling&lt;/secondary-title&gt;&lt;/titles&gt;&lt;periodical&gt;&lt;full-title&gt;Resources, Conservation and Recycling&lt;/full-title&gt;&lt;abbr-1&gt;Resour. Conserv. Recycl.&lt;/abbr-1&gt;&lt;/periodical&gt;&lt;pages&gt;571-581&lt;/pages&gt;&lt;volume&gt;53&lt;/volume&gt;&lt;number&gt;10&lt;/number&gt;&lt;keywords&gt;&lt;keyword&gt;Lightweight aggregate&lt;/keyword&gt;&lt;keyword&gt;Washing aggregate sludge&lt;/keyword&gt;&lt;keyword&gt;Fly ash&lt;/keyword&gt;&lt;keyword&gt;Bloating&lt;/keyword&gt;&lt;/keywords&gt;&lt;dates&gt;&lt;year&gt;2009&lt;/year&gt;&lt;pub-dates&gt;&lt;date&gt;2009/08/01/&lt;/date&gt;&lt;/pub-dates&gt;&lt;/dates&gt;&lt;isbn&gt;0921-3449&lt;/isbn&gt;&lt;urls&gt;&lt;related-urls&gt;&lt;url&gt;http://www.sciencedirect.com/science/article/pii/S0921344909000676&lt;/url&gt;&lt;/related-urls&gt;&lt;/urls&gt;&lt;electronic-resource-num&gt;https://doi.org/10.1016/j.resconrec.2009.04.008&lt;/electronic-resource-num&gt;&lt;/record&gt;&lt;/Cite&gt;&lt;/EndNote&gt;</w:instrText>
      </w:r>
      <w:r w:rsidR="00F83FF8">
        <w:fldChar w:fldCharType="separate"/>
      </w:r>
      <w:r w:rsidR="00F83FF8">
        <w:rPr>
          <w:noProof/>
        </w:rPr>
        <w:t>(González-Corrochano et al. 2009)</w:t>
      </w:r>
      <w:r w:rsidR="00F83FF8">
        <w:fldChar w:fldCharType="end"/>
      </w:r>
      <w:r w:rsidR="00F83FF8">
        <w:t xml:space="preserve">. </w:t>
      </w:r>
      <w:r w:rsidRPr="002C0CB5">
        <w:t>It is noteworthy that the pH</w:t>
      </w:r>
      <w:r w:rsidR="00813B6A">
        <w:t xml:space="preserve"> of the CNA was highly alkaline;</w:t>
      </w:r>
      <w:r w:rsidRPr="002C0CB5">
        <w:t xml:space="preserve"> 12.26 which is </w:t>
      </w:r>
      <w:r w:rsidRPr="002C0CB5">
        <w:lastRenderedPageBreak/>
        <w:t xml:space="preserve">in the pH range of MSWI fly ash circa 12-12.5 </w:t>
      </w:r>
      <w:r w:rsidRPr="002C0CB5">
        <w:fldChar w:fldCharType="begin"/>
      </w:r>
      <w:r w:rsidRPr="002C0CB5">
        <w:instrText xml:space="preserve"> ADDIN EN.CITE &lt;EndNote&gt;&lt;Cite&gt;&lt;Author&gt;Li&lt;/Author&gt;&lt;Year&gt;2007&lt;/Year&gt;&lt;RecNum&gt;49&lt;/RecNum&gt;&lt;DisplayText&gt;(Li et al. 2007)&lt;/DisplayText&gt;&lt;record&gt;&lt;rec-number&gt;49&lt;/rec-number&gt;&lt;foreign-keys&gt;&lt;key app="EN" db-id="25a5fvaw7f5peyeeez7xawr9wzraf29tswtp" timestamp="1464384586"&gt;49&lt;/key&gt;&lt;/foreign-keys&gt;&lt;ref-type name="Journal Article"&gt;17&lt;/ref-type&gt;&lt;contributors&gt;&lt;authors&gt;&lt;author&gt;Li, X.&lt;/author&gt;&lt;author&gt;Bertos, M.F.&lt;/author&gt;&lt;author&gt;Hills, C. D.&lt;/author&gt;&lt;author&gt;Carey, P. J.&lt;/author&gt;&lt;author&gt;Simon, S.&lt;/author&gt;&lt;/authors&gt;&lt;/contributors&gt;&lt;titles&gt;&lt;title&gt;Accelerated carbonation of municipal solid waste incineration fly ashes&lt;/title&gt;&lt;secondary-title&gt;Waste Management&lt;/secondary-title&gt;&lt;alt-title&gt;Waste Manage.&lt;/alt-title&gt;&lt;/titles&gt;&lt;periodical&gt;&lt;full-title&gt;Waste Management&lt;/full-title&gt;&lt;abbr-1&gt;Waste Manage.&lt;/abbr-1&gt;&lt;/periodical&gt;&lt;alt-periodical&gt;&lt;full-title&gt;Waste Management&lt;/full-title&gt;&lt;abbr-1&gt;Waste Manage.&lt;/abbr-1&gt;&lt;/alt-periodical&gt;&lt;pages&gt;1200-1206&lt;/pages&gt;&lt;volume&gt;27&lt;/volume&gt;&lt;number&gt;9&lt;/number&gt;&lt;dates&gt;&lt;year&gt;2007&lt;/year&gt;&lt;pub-dates&gt;&lt;date&gt;//&lt;/date&gt;&lt;/pub-dates&gt;&lt;/dates&gt;&lt;isbn&gt;0956-053X&lt;/isbn&gt;&lt;urls&gt;&lt;related-urls&gt;&lt;url&gt;http://www.sciencedirect.com/science/article/pii/S0956053X06002029&lt;/url&gt;&lt;/related-urls&gt;&lt;/urls&gt;&lt;electronic-resource-num&gt;http://dx.doi.org/10.1016/j.wasman.2006.06.011&lt;/electronic-resource-num&gt;&lt;/record&gt;&lt;/Cite&gt;&lt;/EndNote&gt;</w:instrText>
      </w:r>
      <w:r w:rsidRPr="002C0CB5">
        <w:fldChar w:fldCharType="separate"/>
      </w:r>
      <w:r w:rsidRPr="002C0CB5">
        <w:t>(Li et al. 2007)</w:t>
      </w:r>
      <w:r w:rsidRPr="002C0CB5">
        <w:fldChar w:fldCharType="end"/>
      </w:r>
      <w:r w:rsidRPr="002C0CB5">
        <w:t>. A lower pH of 7-10 was expected after carbonation as the cal</w:t>
      </w:r>
      <w:r w:rsidR="005468EB">
        <w:t>cium hydroxide is transformed to</w:t>
      </w:r>
      <w:r w:rsidRPr="002C0CB5">
        <w:t xml:space="preserve"> calcium carbonate </w:t>
      </w:r>
      <w:r w:rsidRPr="002C0CB5">
        <w:fldChar w:fldCharType="begin"/>
      </w:r>
      <w:r w:rsidRPr="002C0CB5">
        <w:instrText xml:space="preserve"> ADDIN EN.CITE &lt;EndNote&gt;&lt;Cite&gt;&lt;Author&gt;Li&lt;/Author&gt;&lt;Year&gt;2007&lt;/Year&gt;&lt;RecNum&gt;49&lt;/RecNum&gt;&lt;DisplayText&gt;(Li et al. 2007)&lt;/DisplayText&gt;&lt;record&gt;&lt;rec-number&gt;49&lt;/rec-number&gt;&lt;foreign-keys&gt;&lt;key app="EN" db-id="25a5fvaw7f5peyeeez7xawr9wzraf29tswtp" timestamp="1464384586"&gt;49&lt;/key&gt;&lt;/foreign-keys&gt;&lt;ref-type name="Journal Article"&gt;17&lt;/ref-type&gt;&lt;contributors&gt;&lt;authors&gt;&lt;author&gt;Li, X.&lt;/author&gt;&lt;author&gt;Bertos, M.F.&lt;/author&gt;&lt;author&gt;Hills, C. D.&lt;/author&gt;&lt;author&gt;Carey, P. J.&lt;/author&gt;&lt;author&gt;Simon, S.&lt;/author&gt;&lt;/authors&gt;&lt;/contributors&gt;&lt;titles&gt;&lt;title&gt;Accelerated carbonation of municipal solid waste incineration fly ashes&lt;/title&gt;&lt;secondary-title&gt;Waste Management&lt;/secondary-title&gt;&lt;alt-title&gt;Waste Manage.&lt;/alt-title&gt;&lt;/titles&gt;&lt;periodical&gt;&lt;full-title&gt;Waste Management&lt;/full-title&gt;&lt;abbr-1&gt;Waste Manage.&lt;/abbr-1&gt;&lt;/periodical&gt;&lt;alt-periodical&gt;&lt;full-title&gt;Waste Management&lt;/full-title&gt;&lt;abbr-1&gt;Waste Manage.&lt;/abbr-1&gt;&lt;/alt-periodical&gt;&lt;pages&gt;1200-1206&lt;/pages&gt;&lt;volume&gt;27&lt;/volume&gt;&lt;number&gt;9&lt;/number&gt;&lt;dates&gt;&lt;year&gt;2007&lt;/year&gt;&lt;pub-dates&gt;&lt;date&gt;//&lt;/date&gt;&lt;/pub-dates&gt;&lt;/dates&gt;&lt;isbn&gt;0956-053X&lt;/isbn&gt;&lt;urls&gt;&lt;related-urls&gt;&lt;url&gt;http://www.sciencedirect.com/science/article/pii/S0956053X06002029&lt;/url&gt;&lt;/related-urls&gt;&lt;/urls&gt;&lt;electronic-resource-num&gt;http://dx.doi.org/10.1016/j.wasman.2006.06.011&lt;/electronic-resource-num&gt;&lt;/record&gt;&lt;/Cite&gt;&lt;/EndNote&gt;</w:instrText>
      </w:r>
      <w:r w:rsidRPr="002C0CB5">
        <w:fldChar w:fldCharType="separate"/>
      </w:r>
      <w:r w:rsidRPr="002C0CB5">
        <w:t>(Li et al. 2007)</w:t>
      </w:r>
      <w:r w:rsidRPr="002C0CB5">
        <w:fldChar w:fldCharType="end"/>
      </w:r>
      <w:r w:rsidRPr="002C0CB5">
        <w:t xml:space="preserve">. The particle size distributions of the aggregates were obtained in accordance with ASTM C136 </w:t>
      </w:r>
      <w:r w:rsidRPr="002C0CB5">
        <w:fldChar w:fldCharType="begin"/>
      </w:r>
      <w:r w:rsidRPr="002C0CB5">
        <w:instrText xml:space="preserve"> ADDIN EN.CITE &lt;EndNote&gt;&lt;Cite&gt;&lt;Author&gt;ASTM&lt;/Author&gt;&lt;Year&gt;2014&lt;/Year&gt;&lt;RecNum&gt;276&lt;/RecNum&gt;&lt;DisplayText&gt;(ASTM 2014b)&lt;/DisplayText&gt;&lt;record&gt;&lt;rec-number&gt;276&lt;/rec-number&gt;&lt;foreign-keys&gt;&lt;key app="EN" db-id="25a5fvaw7f5peyeeez7xawr9wzraf29tswtp" timestamp="1481392786"&gt;276&lt;/key&gt;&lt;/foreign-keys&gt;&lt;ref-type name="Standard"&gt;58&lt;/ref-type&gt;&lt;contributors&gt;&lt;authors&gt;&lt;author&gt;ASTM&lt;/author&gt;&lt;/authors&gt;&lt;/contributors&gt;&lt;titles&gt;&lt;title&gt;Standard Test Method for Sieve Analysis of Fine and Coarse Aggregates&lt;/title&gt;&lt;/titles&gt;&lt;volume&gt;Standard C136/C136M-14&lt;/volume&gt;&lt;dates&gt;&lt;year&gt;2014&lt;/year&gt;&lt;pub-dates&gt;&lt;date&gt;2014&lt;/date&gt;&lt;/pub-dates&gt;&lt;/dates&gt;&lt;pub-location&gt;West Conshohocken, PA USA&lt;/pub-location&gt;&lt;publisher&gt;ASTM International&lt;/publisher&gt;&lt;urls&gt;&lt;/urls&gt;&lt;/record&gt;&lt;/Cite&gt;&lt;/EndNote&gt;</w:instrText>
      </w:r>
      <w:r w:rsidRPr="002C0CB5">
        <w:fldChar w:fldCharType="separate"/>
      </w:r>
      <w:r w:rsidRPr="002C0CB5">
        <w:t>(ASTM 2014b)</w:t>
      </w:r>
      <w:r w:rsidRPr="002C0CB5">
        <w:fldChar w:fldCharType="end"/>
      </w:r>
      <w:r w:rsidRPr="002C0CB5">
        <w:t xml:space="preserve"> and are presented in </w:t>
      </w:r>
      <w:r w:rsidRPr="002C0CB5">
        <w:fldChar w:fldCharType="begin"/>
      </w:r>
      <w:r w:rsidRPr="002C0CB5">
        <w:instrText xml:space="preserve"> REF _Ref525370953 \h </w:instrText>
      </w:r>
      <w:r w:rsidRPr="002C0CB5">
        <w:fldChar w:fldCharType="separate"/>
      </w:r>
      <w:r w:rsidR="00665D66" w:rsidRPr="002C0CB5">
        <w:rPr>
          <w:lang w:val="en-US"/>
        </w:rPr>
        <w:t xml:space="preserve">Figure </w:t>
      </w:r>
      <w:r w:rsidR="00665D66">
        <w:rPr>
          <w:noProof/>
          <w:lang w:val="en-US"/>
        </w:rPr>
        <w:t>4</w:t>
      </w:r>
      <w:r w:rsidRPr="002C0CB5">
        <w:fldChar w:fldCharType="end"/>
      </w:r>
      <w:r w:rsidRPr="002C0CB5">
        <w:t>. The gradation</w:t>
      </w:r>
      <w:r w:rsidR="00813B6A">
        <w:t>s</w:t>
      </w:r>
      <w:r w:rsidRPr="002C0CB5">
        <w:t xml:space="preserve"> of the CNA and the NA </w:t>
      </w:r>
      <w:r w:rsidR="00813B6A">
        <w:t xml:space="preserve">for concrete </w:t>
      </w:r>
      <w:r w:rsidRPr="002C0CB5">
        <w:t>w</w:t>
      </w:r>
      <w:r w:rsidR="00813B6A">
        <w:t>ere</w:t>
      </w:r>
      <w:r w:rsidRPr="002C0CB5">
        <w:t xml:space="preserve"> obtained as per ASTM C330 </w:t>
      </w:r>
      <w:r w:rsidRPr="002C0CB5">
        <w:fldChar w:fldCharType="begin"/>
      </w:r>
      <w:r w:rsidR="00D96A10">
        <w:instrText xml:space="preserve"> ADDIN EN.CITE &lt;EndNote&gt;&lt;Cite&gt;&lt;Author&gt;ASTM&lt;/Author&gt;&lt;Year&gt;2017&lt;/Year&gt;&lt;RecNum&gt;406&lt;/RecNum&gt;&lt;DisplayText&gt;(ASTM 2017a)&lt;/DisplayText&gt;&lt;record&gt;&lt;rec-number&gt;406&lt;/rec-number&gt;&lt;foreign-keys&gt;&lt;key app="EN" db-id="25a5fvaw7f5peyeeez7xawr9wzraf29tswtp" timestamp="1537458108"&gt;406&lt;/key&gt;&lt;/foreign-keys&gt;&lt;ref-type name="Standard"&gt;58&lt;/ref-type&gt;&lt;contributors&gt;&lt;authors&gt;&lt;author&gt;ASTM&lt;/author&gt;&lt;/authors&gt;&lt;/contributors&gt;&lt;titles&gt;&lt;title&gt;Standard Specification for Lightweight Aggregates for Structural Concrete&lt;/title&gt;&lt;/titles&gt;&lt;volume&gt;Standard C330 - 17&lt;/volume&gt;&lt;dates&gt;&lt;year&gt;2017&lt;/year&gt;&lt;/dates&gt;&lt;pub-location&gt;West Conshohocken, PA USA&lt;/pub-location&gt;&lt;publisher&gt;ASTM International&lt;/publisher&gt;&lt;urls&gt;&lt;/urls&gt;&lt;/record&gt;&lt;/Cite&gt;&lt;/EndNote&gt;</w:instrText>
      </w:r>
      <w:r w:rsidRPr="002C0CB5">
        <w:fldChar w:fldCharType="separate"/>
      </w:r>
      <w:r w:rsidR="00D96A10">
        <w:rPr>
          <w:noProof/>
        </w:rPr>
        <w:t>(ASTM 2017a)</w:t>
      </w:r>
      <w:r w:rsidRPr="002C0CB5">
        <w:fldChar w:fldCharType="end"/>
      </w:r>
      <w:r w:rsidRPr="002C0CB5">
        <w:t xml:space="preserve"> and ASTM C 33 </w:t>
      </w:r>
      <w:r w:rsidRPr="002C0CB5">
        <w:fldChar w:fldCharType="begin"/>
      </w:r>
      <w:r w:rsidRPr="002C0CB5">
        <w:instrText xml:space="preserve"> ADDIN EN.CITE &lt;EndNote&gt;&lt;Cite&gt;&lt;Author&gt;ASTM&lt;/Author&gt;&lt;Year&gt;2018&lt;/Year&gt;&lt;RecNum&gt;407&lt;/RecNum&gt;&lt;DisplayText&gt;(ASTM 2018a)&lt;/DisplayText&gt;&lt;record&gt;&lt;rec-number&gt;407&lt;/rec-number&gt;&lt;foreign-keys&gt;&lt;key app="EN" db-id="25a5fvaw7f5peyeeez7xawr9wzraf29tswtp" timestamp="1537458229"&gt;407&lt;/key&gt;&lt;/foreign-keys&gt;&lt;ref-type name="Standard"&gt;58&lt;/ref-type&gt;&lt;contributors&gt;&lt;authors&gt;&lt;author&gt;ASTM&lt;/author&gt;&lt;/authors&gt;&lt;/contributors&gt;&lt;titles&gt;&lt;title&gt;Standard Specification for Concrete Aggregates&lt;/title&gt;&lt;/titles&gt;&lt;volume&gt;Standard C33 - 18&lt;/volume&gt;&lt;dates&gt;&lt;year&gt;2018&lt;/year&gt;&lt;/dates&gt;&lt;pub-location&gt;West Conshohocken, PA USA&lt;/pub-location&gt;&lt;publisher&gt;ASTM International&lt;/publisher&gt;&lt;urls&gt;&lt;/urls&gt;&lt;/record&gt;&lt;/Cite&gt;&lt;/EndNote&gt;</w:instrText>
      </w:r>
      <w:r w:rsidRPr="002C0CB5">
        <w:fldChar w:fldCharType="separate"/>
      </w:r>
      <w:r w:rsidRPr="002C0CB5">
        <w:t>(ASTM 2018a)</w:t>
      </w:r>
      <w:r w:rsidRPr="002C0CB5">
        <w:fldChar w:fldCharType="end"/>
      </w:r>
      <w:r w:rsidRPr="002C0CB5">
        <w:t xml:space="preserve"> respectively. </w:t>
      </w:r>
    </w:p>
    <w:p w:rsidR="002C0CB5" w:rsidRPr="002C0CB5" w:rsidRDefault="002C0CB5" w:rsidP="002C0CB5">
      <w:pPr>
        <w:pStyle w:val="Paragraph"/>
        <w:rPr>
          <w:lang w:val="en-US"/>
        </w:rPr>
      </w:pPr>
      <w:r w:rsidRPr="002C0CB5">
        <w:rPr>
          <w:noProof/>
        </w:rPr>
        <w:lastRenderedPageBreak/>
        <w:drawing>
          <wp:inline distT="0" distB="0" distL="0" distR="0" wp14:anchorId="69832E8F" wp14:editId="689E1277">
            <wp:extent cx="3655859" cy="2743200"/>
            <wp:effectExtent l="0" t="0" r="1905" b="0"/>
            <wp:docPr id="11" name="Picture 11" descr="C:\Users\John\Google Drive\PhD\Photos_videos\DSCN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Google Drive\PhD\Photos_videos\DSCN29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5859" cy="2743200"/>
                    </a:xfrm>
                    <a:prstGeom prst="rect">
                      <a:avLst/>
                    </a:prstGeom>
                    <a:noFill/>
                    <a:ln>
                      <a:noFill/>
                    </a:ln>
                  </pic:spPr>
                </pic:pic>
              </a:graphicData>
            </a:graphic>
          </wp:inline>
        </w:drawing>
      </w:r>
    </w:p>
    <w:p w:rsidR="002C0CB5" w:rsidRPr="002C0CB5" w:rsidRDefault="002C0CB5" w:rsidP="001A7CD6">
      <w:pPr>
        <w:pStyle w:val="Figurecaption"/>
        <w:rPr>
          <w:lang w:val="en-US"/>
        </w:rPr>
      </w:pPr>
      <w:bookmarkStart w:id="3" w:name="_Ref484637885"/>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3</w:t>
      </w:r>
      <w:r w:rsidRPr="002C0CB5">
        <w:fldChar w:fldCharType="end"/>
      </w:r>
      <w:bookmarkEnd w:id="3"/>
      <w:r w:rsidRPr="002C0CB5">
        <w:rPr>
          <w:lang w:val="en-US"/>
        </w:rPr>
        <w:t>: Carbon-negative aggregates (CNA)</w:t>
      </w:r>
    </w:p>
    <w:p w:rsidR="002C0CB5" w:rsidRPr="002C0CB5" w:rsidRDefault="002C0CB5" w:rsidP="00B07817">
      <w:pPr>
        <w:pStyle w:val="Tabletitle"/>
        <w:rPr>
          <w:lang w:val="en-US"/>
        </w:rPr>
      </w:pPr>
      <w:bookmarkStart w:id="4" w:name="_Ref525386392"/>
      <w:r w:rsidRPr="002C0CB5">
        <w:rPr>
          <w:lang w:val="en-US"/>
        </w:rPr>
        <w:t xml:space="preserve">Table </w:t>
      </w:r>
      <w:r w:rsidRPr="002C0CB5">
        <w:rPr>
          <w:lang w:val="en-US"/>
        </w:rPr>
        <w:fldChar w:fldCharType="begin"/>
      </w:r>
      <w:r w:rsidRPr="002C0CB5">
        <w:rPr>
          <w:lang w:val="en-US"/>
        </w:rPr>
        <w:instrText xml:space="preserve"> SEQ Table \* ARABIC </w:instrText>
      </w:r>
      <w:r w:rsidRPr="002C0CB5">
        <w:rPr>
          <w:lang w:val="en-US"/>
        </w:rPr>
        <w:fldChar w:fldCharType="separate"/>
      </w:r>
      <w:r w:rsidR="00665D66">
        <w:rPr>
          <w:noProof/>
          <w:lang w:val="en-US"/>
        </w:rPr>
        <w:t>1</w:t>
      </w:r>
      <w:r w:rsidRPr="002C0CB5">
        <w:fldChar w:fldCharType="end"/>
      </w:r>
      <w:bookmarkEnd w:id="4"/>
      <w:r w:rsidRPr="002C0CB5">
        <w:rPr>
          <w:lang w:val="en-US"/>
        </w:rPr>
        <w:t>: Chemical composition of CNA and cement (% by weight)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463"/>
        <w:gridCol w:w="3136"/>
      </w:tblGrid>
      <w:tr w:rsidR="002C0CB5" w:rsidRPr="002C0CB5" w:rsidTr="002C0CB5">
        <w:tc>
          <w:tcPr>
            <w:tcW w:w="1788" w:type="pct"/>
            <w:tcBorders>
              <w:top w:val="single" w:sz="4" w:space="0" w:color="auto"/>
              <w:bottom w:val="single" w:sz="4" w:space="0" w:color="auto"/>
            </w:tcBorders>
          </w:tcPr>
          <w:p w:rsidR="002C0CB5" w:rsidRPr="002C0CB5" w:rsidRDefault="002C0CB5" w:rsidP="0073415B">
            <w:pPr>
              <w:pStyle w:val="Paragraph"/>
              <w:spacing w:before="0" w:line="240" w:lineRule="auto"/>
            </w:pPr>
            <w:r w:rsidRPr="002C0CB5">
              <w:t>Oxide (wt%)</w:t>
            </w:r>
          </w:p>
        </w:tc>
        <w:tc>
          <w:tcPr>
            <w:tcW w:w="1413" w:type="pct"/>
            <w:tcBorders>
              <w:top w:val="single" w:sz="4" w:space="0" w:color="auto"/>
              <w:bottom w:val="single" w:sz="4" w:space="0" w:color="auto"/>
            </w:tcBorders>
          </w:tcPr>
          <w:p w:rsidR="002C0CB5" w:rsidRPr="002C0CB5" w:rsidRDefault="002C0CB5" w:rsidP="0073415B">
            <w:pPr>
              <w:pStyle w:val="Paragraph"/>
              <w:spacing w:before="0" w:line="240" w:lineRule="auto"/>
            </w:pPr>
            <w:r w:rsidRPr="002C0CB5">
              <w:t xml:space="preserve">CNA </w:t>
            </w:r>
          </w:p>
        </w:tc>
        <w:tc>
          <w:tcPr>
            <w:tcW w:w="1799" w:type="pct"/>
            <w:tcBorders>
              <w:top w:val="single" w:sz="4" w:space="0" w:color="auto"/>
              <w:bottom w:val="single" w:sz="4" w:space="0" w:color="auto"/>
            </w:tcBorders>
          </w:tcPr>
          <w:p w:rsidR="002C0CB5" w:rsidRPr="002C0CB5" w:rsidRDefault="002C0CB5" w:rsidP="0073415B">
            <w:pPr>
              <w:pStyle w:val="Paragraph"/>
              <w:spacing w:before="0" w:line="240" w:lineRule="auto"/>
            </w:pPr>
            <w:r w:rsidRPr="002C0CB5">
              <w:t>OPC (CEM I 42)</w:t>
            </w:r>
            <w:r w:rsidRPr="002C0CB5">
              <w:rPr>
                <w:vertAlign w:val="superscript"/>
              </w:rPr>
              <w:t>a</w:t>
            </w:r>
          </w:p>
        </w:tc>
      </w:tr>
      <w:tr w:rsidR="002C0CB5" w:rsidRPr="002C0CB5" w:rsidTr="002C0CB5">
        <w:trPr>
          <w:trHeight w:val="179"/>
        </w:trPr>
        <w:tc>
          <w:tcPr>
            <w:tcW w:w="1788" w:type="pct"/>
            <w:tcBorders>
              <w:top w:val="single" w:sz="4" w:space="0" w:color="auto"/>
            </w:tcBorders>
          </w:tcPr>
          <w:p w:rsidR="002C0CB5" w:rsidRPr="002C0CB5" w:rsidRDefault="002C0CB5" w:rsidP="0073415B">
            <w:pPr>
              <w:pStyle w:val="Paragraph"/>
              <w:spacing w:before="0" w:line="240" w:lineRule="auto"/>
            </w:pPr>
            <w:r w:rsidRPr="002C0CB5">
              <w:t>CaO</w:t>
            </w:r>
          </w:p>
        </w:tc>
        <w:tc>
          <w:tcPr>
            <w:tcW w:w="1413" w:type="pct"/>
            <w:tcBorders>
              <w:top w:val="single" w:sz="4" w:space="0" w:color="auto"/>
            </w:tcBorders>
          </w:tcPr>
          <w:p w:rsidR="002C0CB5" w:rsidRPr="002C0CB5" w:rsidRDefault="002C0CB5" w:rsidP="0073415B">
            <w:pPr>
              <w:pStyle w:val="Paragraph"/>
              <w:spacing w:before="0" w:line="240" w:lineRule="auto"/>
            </w:pPr>
            <w:r w:rsidRPr="002C0CB5">
              <w:t>48.69</w:t>
            </w:r>
          </w:p>
        </w:tc>
        <w:tc>
          <w:tcPr>
            <w:tcW w:w="1799" w:type="pct"/>
            <w:tcBorders>
              <w:top w:val="single" w:sz="4" w:space="0" w:color="auto"/>
            </w:tcBorders>
          </w:tcPr>
          <w:p w:rsidR="002C0CB5" w:rsidRPr="002C0CB5" w:rsidRDefault="002C0CB5" w:rsidP="0073415B">
            <w:pPr>
              <w:pStyle w:val="Paragraph"/>
              <w:spacing w:before="0" w:line="240" w:lineRule="auto"/>
            </w:pPr>
            <w:r w:rsidRPr="002C0CB5">
              <w:t>65.39</w:t>
            </w:r>
          </w:p>
        </w:tc>
      </w:tr>
      <w:tr w:rsidR="002C0CB5" w:rsidRPr="002C0CB5" w:rsidTr="002C0CB5">
        <w:tc>
          <w:tcPr>
            <w:tcW w:w="1788" w:type="pct"/>
          </w:tcPr>
          <w:p w:rsidR="002C0CB5" w:rsidRPr="002C0CB5" w:rsidRDefault="002C0CB5" w:rsidP="0073415B">
            <w:pPr>
              <w:pStyle w:val="Paragraph"/>
              <w:spacing w:before="0" w:line="240" w:lineRule="auto"/>
            </w:pPr>
            <w:r w:rsidRPr="002C0CB5">
              <w:t>SiO</w:t>
            </w:r>
            <w:r w:rsidRPr="002C0CB5">
              <w:rPr>
                <w:vertAlign w:val="subscript"/>
              </w:rPr>
              <w:t>2</w:t>
            </w:r>
          </w:p>
        </w:tc>
        <w:tc>
          <w:tcPr>
            <w:tcW w:w="1413" w:type="pct"/>
          </w:tcPr>
          <w:p w:rsidR="002C0CB5" w:rsidRPr="002C0CB5" w:rsidRDefault="002C0CB5" w:rsidP="0073415B">
            <w:pPr>
              <w:pStyle w:val="Paragraph"/>
              <w:spacing w:before="0" w:line="240" w:lineRule="auto"/>
            </w:pPr>
            <w:r w:rsidRPr="002C0CB5">
              <w:t>19.65</w:t>
            </w:r>
          </w:p>
        </w:tc>
        <w:tc>
          <w:tcPr>
            <w:tcW w:w="1799" w:type="pct"/>
          </w:tcPr>
          <w:p w:rsidR="002C0CB5" w:rsidRPr="002C0CB5" w:rsidRDefault="002C0CB5" w:rsidP="0073415B">
            <w:pPr>
              <w:pStyle w:val="Paragraph"/>
              <w:spacing w:before="0" w:line="240" w:lineRule="auto"/>
            </w:pPr>
            <w:r w:rsidRPr="002C0CB5">
              <w:t>22.06</w:t>
            </w:r>
          </w:p>
        </w:tc>
      </w:tr>
      <w:tr w:rsidR="002C0CB5" w:rsidRPr="002C0CB5" w:rsidTr="002C0CB5">
        <w:tc>
          <w:tcPr>
            <w:tcW w:w="1788" w:type="pct"/>
          </w:tcPr>
          <w:p w:rsidR="002C0CB5" w:rsidRPr="002C0CB5" w:rsidRDefault="002C0CB5" w:rsidP="0073415B">
            <w:pPr>
              <w:pStyle w:val="Paragraph"/>
              <w:spacing w:before="0" w:line="240" w:lineRule="auto"/>
            </w:pPr>
            <w:r w:rsidRPr="002C0CB5">
              <w:t>Cl</w:t>
            </w:r>
          </w:p>
        </w:tc>
        <w:tc>
          <w:tcPr>
            <w:tcW w:w="1413" w:type="pct"/>
          </w:tcPr>
          <w:p w:rsidR="002C0CB5" w:rsidRPr="002C0CB5" w:rsidRDefault="002C0CB5" w:rsidP="0073415B">
            <w:pPr>
              <w:pStyle w:val="Paragraph"/>
              <w:spacing w:before="0" w:line="240" w:lineRule="auto"/>
            </w:pPr>
            <w:r w:rsidRPr="002C0CB5">
              <w:t>14.58</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Pr>
          <w:p w:rsidR="002C0CB5" w:rsidRPr="002C0CB5" w:rsidRDefault="002C0CB5" w:rsidP="0073415B">
            <w:pPr>
              <w:pStyle w:val="Paragraph"/>
              <w:spacing w:before="0" w:line="240" w:lineRule="auto"/>
            </w:pPr>
            <w:r w:rsidRPr="002C0CB5">
              <w:t>Na</w:t>
            </w:r>
            <w:r w:rsidRPr="002C0CB5">
              <w:rPr>
                <w:vertAlign w:val="subscript"/>
              </w:rPr>
              <w:t>2</w:t>
            </w:r>
            <w:r w:rsidRPr="002C0CB5">
              <w:t>O</w:t>
            </w:r>
          </w:p>
        </w:tc>
        <w:tc>
          <w:tcPr>
            <w:tcW w:w="1413" w:type="pct"/>
          </w:tcPr>
          <w:p w:rsidR="002C0CB5" w:rsidRPr="002C0CB5" w:rsidRDefault="002C0CB5" w:rsidP="0073415B">
            <w:pPr>
              <w:pStyle w:val="Paragraph"/>
              <w:spacing w:before="0" w:line="240" w:lineRule="auto"/>
            </w:pPr>
            <w:r w:rsidRPr="002C0CB5">
              <w:t>3.87</w:t>
            </w:r>
          </w:p>
        </w:tc>
        <w:tc>
          <w:tcPr>
            <w:tcW w:w="1799" w:type="pct"/>
          </w:tcPr>
          <w:p w:rsidR="002C0CB5" w:rsidRPr="002C0CB5" w:rsidRDefault="002C0CB5" w:rsidP="0073415B">
            <w:pPr>
              <w:pStyle w:val="Paragraph"/>
              <w:spacing w:before="0" w:line="240" w:lineRule="auto"/>
            </w:pPr>
            <w:r w:rsidRPr="002C0CB5">
              <w:t>0.2</w:t>
            </w:r>
          </w:p>
        </w:tc>
      </w:tr>
      <w:tr w:rsidR="002C0CB5" w:rsidRPr="002C0CB5" w:rsidTr="002C0CB5">
        <w:tc>
          <w:tcPr>
            <w:tcW w:w="1788" w:type="pct"/>
          </w:tcPr>
          <w:p w:rsidR="002C0CB5" w:rsidRPr="002C0CB5" w:rsidRDefault="002C0CB5" w:rsidP="0073415B">
            <w:pPr>
              <w:pStyle w:val="Paragraph"/>
              <w:spacing w:before="0" w:line="240" w:lineRule="auto"/>
            </w:pPr>
            <w:r w:rsidRPr="002C0CB5">
              <w:t>C</w:t>
            </w:r>
          </w:p>
        </w:tc>
        <w:tc>
          <w:tcPr>
            <w:tcW w:w="1413" w:type="pct"/>
          </w:tcPr>
          <w:p w:rsidR="002C0CB5" w:rsidRPr="002C0CB5" w:rsidRDefault="002C0CB5" w:rsidP="0073415B">
            <w:pPr>
              <w:pStyle w:val="Paragraph"/>
              <w:spacing w:before="0" w:line="240" w:lineRule="auto"/>
            </w:pPr>
            <w:r w:rsidRPr="002C0CB5">
              <w:t>2.75</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Pr>
          <w:p w:rsidR="002C0CB5" w:rsidRPr="002C0CB5" w:rsidRDefault="002C0CB5" w:rsidP="0073415B">
            <w:pPr>
              <w:pStyle w:val="Paragraph"/>
              <w:spacing w:before="0" w:line="240" w:lineRule="auto"/>
            </w:pPr>
            <w:r w:rsidRPr="002C0CB5">
              <w:t>Al</w:t>
            </w:r>
            <w:r w:rsidRPr="002C0CB5">
              <w:rPr>
                <w:vertAlign w:val="subscript"/>
              </w:rPr>
              <w:t>2</w:t>
            </w:r>
            <w:r w:rsidRPr="002C0CB5">
              <w:t>O</w:t>
            </w:r>
            <w:r w:rsidRPr="002C0CB5">
              <w:rPr>
                <w:vertAlign w:val="subscript"/>
              </w:rPr>
              <w:t>3</w:t>
            </w:r>
          </w:p>
        </w:tc>
        <w:tc>
          <w:tcPr>
            <w:tcW w:w="1413" w:type="pct"/>
          </w:tcPr>
          <w:p w:rsidR="002C0CB5" w:rsidRPr="002C0CB5" w:rsidRDefault="002C0CB5" w:rsidP="0073415B">
            <w:pPr>
              <w:pStyle w:val="Paragraph"/>
              <w:spacing w:before="0" w:line="240" w:lineRule="auto"/>
            </w:pPr>
            <w:r w:rsidRPr="002C0CB5">
              <w:t>2.64</w:t>
            </w:r>
          </w:p>
        </w:tc>
        <w:tc>
          <w:tcPr>
            <w:tcW w:w="1799" w:type="pct"/>
          </w:tcPr>
          <w:p w:rsidR="002C0CB5" w:rsidRPr="002C0CB5" w:rsidRDefault="002C0CB5" w:rsidP="0073415B">
            <w:pPr>
              <w:pStyle w:val="Paragraph"/>
              <w:spacing w:before="0" w:line="240" w:lineRule="auto"/>
            </w:pPr>
            <w:r w:rsidRPr="002C0CB5">
              <w:t>4.25</w:t>
            </w:r>
          </w:p>
        </w:tc>
      </w:tr>
      <w:tr w:rsidR="002C0CB5" w:rsidRPr="002C0CB5" w:rsidTr="002C0CB5">
        <w:tc>
          <w:tcPr>
            <w:tcW w:w="1788" w:type="pct"/>
          </w:tcPr>
          <w:p w:rsidR="002C0CB5" w:rsidRPr="002C0CB5" w:rsidRDefault="002C0CB5" w:rsidP="0073415B">
            <w:pPr>
              <w:pStyle w:val="Paragraph"/>
              <w:spacing w:before="0" w:line="240" w:lineRule="auto"/>
            </w:pPr>
            <w:r w:rsidRPr="002C0CB5">
              <w:t>K</w:t>
            </w:r>
            <w:r w:rsidRPr="002C0CB5">
              <w:rPr>
                <w:vertAlign w:val="subscript"/>
              </w:rPr>
              <w:t>2</w:t>
            </w:r>
            <w:r w:rsidRPr="002C0CB5">
              <w:t>O</w:t>
            </w:r>
          </w:p>
        </w:tc>
        <w:tc>
          <w:tcPr>
            <w:tcW w:w="1413" w:type="pct"/>
          </w:tcPr>
          <w:p w:rsidR="002C0CB5" w:rsidRPr="002C0CB5" w:rsidRDefault="002C0CB5" w:rsidP="0073415B">
            <w:pPr>
              <w:pStyle w:val="Paragraph"/>
              <w:spacing w:before="0" w:line="240" w:lineRule="auto"/>
            </w:pPr>
            <w:r w:rsidRPr="002C0CB5">
              <w:t>2.34</w:t>
            </w:r>
          </w:p>
        </w:tc>
        <w:tc>
          <w:tcPr>
            <w:tcW w:w="1799" w:type="pct"/>
          </w:tcPr>
          <w:p w:rsidR="002C0CB5" w:rsidRPr="002C0CB5" w:rsidRDefault="002C0CB5" w:rsidP="0073415B">
            <w:pPr>
              <w:pStyle w:val="Paragraph"/>
              <w:spacing w:before="0" w:line="240" w:lineRule="auto"/>
            </w:pPr>
            <w:r w:rsidRPr="002C0CB5">
              <w:t>0.5</w:t>
            </w:r>
          </w:p>
        </w:tc>
      </w:tr>
      <w:tr w:rsidR="002C0CB5" w:rsidRPr="002C0CB5" w:rsidTr="002C0CB5">
        <w:tc>
          <w:tcPr>
            <w:tcW w:w="1788" w:type="pct"/>
          </w:tcPr>
          <w:p w:rsidR="002C0CB5" w:rsidRPr="002C0CB5" w:rsidRDefault="002C0CB5" w:rsidP="0073415B">
            <w:pPr>
              <w:pStyle w:val="Paragraph"/>
              <w:spacing w:before="0" w:line="240" w:lineRule="auto"/>
            </w:pPr>
            <w:r w:rsidRPr="002C0CB5">
              <w:lastRenderedPageBreak/>
              <w:t>Fe</w:t>
            </w:r>
            <w:r w:rsidRPr="002C0CB5">
              <w:rPr>
                <w:vertAlign w:val="subscript"/>
              </w:rPr>
              <w:t>2</w:t>
            </w:r>
            <w:r w:rsidRPr="002C0CB5">
              <w:t>O</w:t>
            </w:r>
            <w:r w:rsidRPr="002C0CB5">
              <w:rPr>
                <w:vertAlign w:val="subscript"/>
              </w:rPr>
              <w:t>3</w:t>
            </w:r>
          </w:p>
        </w:tc>
        <w:tc>
          <w:tcPr>
            <w:tcW w:w="1413" w:type="pct"/>
          </w:tcPr>
          <w:p w:rsidR="002C0CB5" w:rsidRPr="002C0CB5" w:rsidRDefault="002C0CB5" w:rsidP="0073415B">
            <w:pPr>
              <w:pStyle w:val="Paragraph"/>
              <w:spacing w:before="0" w:line="240" w:lineRule="auto"/>
            </w:pPr>
            <w:r w:rsidRPr="002C0CB5">
              <w:t>1.74</w:t>
            </w:r>
          </w:p>
        </w:tc>
        <w:tc>
          <w:tcPr>
            <w:tcW w:w="1799" w:type="pct"/>
          </w:tcPr>
          <w:p w:rsidR="002C0CB5" w:rsidRPr="002C0CB5" w:rsidRDefault="002C0CB5" w:rsidP="0073415B">
            <w:pPr>
              <w:pStyle w:val="Paragraph"/>
              <w:spacing w:before="0" w:line="240" w:lineRule="auto"/>
            </w:pPr>
            <w:r w:rsidRPr="002C0CB5">
              <w:t>0.02</w:t>
            </w:r>
          </w:p>
        </w:tc>
      </w:tr>
      <w:tr w:rsidR="002C0CB5" w:rsidRPr="002C0CB5" w:rsidTr="002C0CB5">
        <w:tc>
          <w:tcPr>
            <w:tcW w:w="1788" w:type="pct"/>
          </w:tcPr>
          <w:p w:rsidR="002C0CB5" w:rsidRPr="002C0CB5" w:rsidRDefault="002C0CB5" w:rsidP="0073415B">
            <w:pPr>
              <w:pStyle w:val="Paragraph"/>
              <w:spacing w:before="0" w:line="240" w:lineRule="auto"/>
            </w:pPr>
            <w:r w:rsidRPr="002C0CB5">
              <w:t>S</w:t>
            </w:r>
          </w:p>
        </w:tc>
        <w:tc>
          <w:tcPr>
            <w:tcW w:w="1413" w:type="pct"/>
          </w:tcPr>
          <w:p w:rsidR="002C0CB5" w:rsidRPr="002C0CB5" w:rsidRDefault="002C0CB5" w:rsidP="0073415B">
            <w:pPr>
              <w:pStyle w:val="Paragraph"/>
              <w:spacing w:before="0" w:line="240" w:lineRule="auto"/>
            </w:pPr>
            <w:r w:rsidRPr="002C0CB5">
              <w:t>0.89</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Pr>
          <w:p w:rsidR="002C0CB5" w:rsidRPr="002C0CB5" w:rsidRDefault="002C0CB5" w:rsidP="0073415B">
            <w:pPr>
              <w:pStyle w:val="Paragraph"/>
              <w:spacing w:before="0" w:line="240" w:lineRule="auto"/>
            </w:pPr>
            <w:r w:rsidRPr="002C0CB5">
              <w:t>ZnO</w:t>
            </w:r>
          </w:p>
        </w:tc>
        <w:tc>
          <w:tcPr>
            <w:tcW w:w="1413" w:type="pct"/>
          </w:tcPr>
          <w:p w:rsidR="002C0CB5" w:rsidRPr="002C0CB5" w:rsidRDefault="002C0CB5" w:rsidP="0073415B">
            <w:pPr>
              <w:pStyle w:val="Paragraph"/>
              <w:spacing w:before="0" w:line="240" w:lineRule="auto"/>
            </w:pPr>
            <w:r w:rsidRPr="002C0CB5">
              <w:t>0.79</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Pr>
          <w:p w:rsidR="002C0CB5" w:rsidRPr="002C0CB5" w:rsidRDefault="002C0CB5" w:rsidP="0073415B">
            <w:pPr>
              <w:pStyle w:val="Paragraph"/>
              <w:spacing w:before="0" w:line="240" w:lineRule="auto"/>
            </w:pPr>
            <w:r w:rsidRPr="002C0CB5">
              <w:t>P</w:t>
            </w:r>
            <w:r w:rsidRPr="002C0CB5">
              <w:rPr>
                <w:vertAlign w:val="subscript"/>
              </w:rPr>
              <w:t>2</w:t>
            </w:r>
            <w:r w:rsidRPr="002C0CB5">
              <w:t>O</w:t>
            </w:r>
            <w:r w:rsidRPr="002C0CB5">
              <w:rPr>
                <w:vertAlign w:val="subscript"/>
              </w:rPr>
              <w:t>5</w:t>
            </w:r>
          </w:p>
        </w:tc>
        <w:tc>
          <w:tcPr>
            <w:tcW w:w="1413" w:type="pct"/>
          </w:tcPr>
          <w:p w:rsidR="002C0CB5" w:rsidRPr="002C0CB5" w:rsidRDefault="002C0CB5" w:rsidP="0073415B">
            <w:pPr>
              <w:pStyle w:val="Paragraph"/>
              <w:spacing w:before="0" w:line="240" w:lineRule="auto"/>
            </w:pPr>
            <w:r w:rsidRPr="002C0CB5">
              <w:t>0.73</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Pr>
          <w:p w:rsidR="002C0CB5" w:rsidRPr="002C0CB5" w:rsidRDefault="002C0CB5" w:rsidP="0073415B">
            <w:pPr>
              <w:pStyle w:val="Paragraph"/>
              <w:spacing w:before="0" w:line="240" w:lineRule="auto"/>
            </w:pPr>
            <w:r w:rsidRPr="002C0CB5">
              <w:t>MgO</w:t>
            </w:r>
          </w:p>
        </w:tc>
        <w:tc>
          <w:tcPr>
            <w:tcW w:w="1413" w:type="pct"/>
          </w:tcPr>
          <w:p w:rsidR="002C0CB5" w:rsidRPr="002C0CB5" w:rsidRDefault="002C0CB5" w:rsidP="0073415B">
            <w:pPr>
              <w:pStyle w:val="Paragraph"/>
              <w:spacing w:before="0" w:line="240" w:lineRule="auto"/>
            </w:pPr>
            <w:r w:rsidRPr="002C0CB5">
              <w:t>0.66</w:t>
            </w:r>
          </w:p>
        </w:tc>
        <w:tc>
          <w:tcPr>
            <w:tcW w:w="1799" w:type="pct"/>
          </w:tcPr>
          <w:p w:rsidR="002C0CB5" w:rsidRPr="002C0CB5" w:rsidRDefault="002C0CB5" w:rsidP="0073415B">
            <w:pPr>
              <w:pStyle w:val="Paragraph"/>
              <w:spacing w:before="0" w:line="240" w:lineRule="auto"/>
            </w:pPr>
            <w:r w:rsidRPr="002C0CB5">
              <w:t>1.13</w:t>
            </w:r>
          </w:p>
        </w:tc>
      </w:tr>
      <w:tr w:rsidR="002C0CB5" w:rsidRPr="002C0CB5" w:rsidTr="002C0CB5">
        <w:tc>
          <w:tcPr>
            <w:tcW w:w="1788" w:type="pct"/>
          </w:tcPr>
          <w:p w:rsidR="002C0CB5" w:rsidRPr="002C0CB5" w:rsidRDefault="002C0CB5" w:rsidP="0073415B">
            <w:pPr>
              <w:pStyle w:val="Paragraph"/>
              <w:spacing w:before="0" w:line="240" w:lineRule="auto"/>
            </w:pPr>
            <w:r w:rsidRPr="002C0CB5">
              <w:t>TiO</w:t>
            </w:r>
            <w:r w:rsidRPr="002C0CB5">
              <w:rPr>
                <w:vertAlign w:val="subscript"/>
              </w:rPr>
              <w:t>2</w:t>
            </w:r>
          </w:p>
        </w:tc>
        <w:tc>
          <w:tcPr>
            <w:tcW w:w="1413" w:type="pct"/>
          </w:tcPr>
          <w:p w:rsidR="002C0CB5" w:rsidRPr="002C0CB5" w:rsidRDefault="002C0CB5" w:rsidP="0073415B">
            <w:pPr>
              <w:pStyle w:val="Paragraph"/>
              <w:spacing w:before="0" w:line="240" w:lineRule="auto"/>
            </w:pPr>
            <w:r w:rsidRPr="002C0CB5">
              <w:t>0.38</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Pr>
          <w:p w:rsidR="002C0CB5" w:rsidRPr="002C0CB5" w:rsidRDefault="002C0CB5" w:rsidP="0073415B">
            <w:pPr>
              <w:pStyle w:val="Paragraph"/>
              <w:spacing w:before="0" w:line="240" w:lineRule="auto"/>
            </w:pPr>
            <w:r w:rsidRPr="002C0CB5">
              <w:t>PbO</w:t>
            </w:r>
          </w:p>
        </w:tc>
        <w:tc>
          <w:tcPr>
            <w:tcW w:w="1413" w:type="pct"/>
          </w:tcPr>
          <w:p w:rsidR="002C0CB5" w:rsidRPr="002C0CB5" w:rsidRDefault="002C0CB5" w:rsidP="0073415B">
            <w:pPr>
              <w:pStyle w:val="Paragraph"/>
              <w:spacing w:before="0" w:line="240" w:lineRule="auto"/>
            </w:pPr>
            <w:r w:rsidRPr="002C0CB5">
              <w:t>0.13</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Pr>
          <w:p w:rsidR="002C0CB5" w:rsidRPr="002C0CB5" w:rsidRDefault="002C0CB5" w:rsidP="0073415B">
            <w:pPr>
              <w:pStyle w:val="Paragraph"/>
              <w:spacing w:before="0" w:line="240" w:lineRule="auto"/>
            </w:pPr>
            <w:r w:rsidRPr="002C0CB5">
              <w:t>MnO</w:t>
            </w:r>
          </w:p>
        </w:tc>
        <w:tc>
          <w:tcPr>
            <w:tcW w:w="1413" w:type="pct"/>
          </w:tcPr>
          <w:p w:rsidR="002C0CB5" w:rsidRPr="002C0CB5" w:rsidRDefault="002C0CB5" w:rsidP="0073415B">
            <w:pPr>
              <w:pStyle w:val="Paragraph"/>
              <w:spacing w:before="0" w:line="240" w:lineRule="auto"/>
            </w:pPr>
            <w:r w:rsidRPr="002C0CB5">
              <w:t>0.07</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Pr>
          <w:p w:rsidR="002C0CB5" w:rsidRPr="002C0CB5" w:rsidRDefault="002C0CB5" w:rsidP="0073415B">
            <w:pPr>
              <w:pStyle w:val="Paragraph"/>
              <w:spacing w:before="0" w:line="240" w:lineRule="auto"/>
            </w:pPr>
            <w:r w:rsidRPr="002C0CB5">
              <w:t>SrO</w:t>
            </w:r>
          </w:p>
        </w:tc>
        <w:tc>
          <w:tcPr>
            <w:tcW w:w="1413" w:type="pct"/>
          </w:tcPr>
          <w:p w:rsidR="002C0CB5" w:rsidRPr="002C0CB5" w:rsidRDefault="002C0CB5" w:rsidP="0073415B">
            <w:pPr>
              <w:pStyle w:val="Paragraph"/>
              <w:spacing w:before="0" w:line="240" w:lineRule="auto"/>
            </w:pPr>
            <w:r w:rsidRPr="002C0CB5">
              <w:t>0.04</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Pr>
          <w:p w:rsidR="002C0CB5" w:rsidRPr="002C0CB5" w:rsidRDefault="002C0CB5" w:rsidP="0073415B">
            <w:pPr>
              <w:pStyle w:val="Paragraph"/>
              <w:spacing w:before="0" w:line="240" w:lineRule="auto"/>
            </w:pPr>
            <w:r w:rsidRPr="002C0CB5">
              <w:t>Cr</w:t>
            </w:r>
            <w:r w:rsidRPr="002C0CB5">
              <w:rPr>
                <w:vertAlign w:val="subscript"/>
              </w:rPr>
              <w:t>2</w:t>
            </w:r>
            <w:r w:rsidRPr="002C0CB5">
              <w:t>O</w:t>
            </w:r>
            <w:r w:rsidRPr="002C0CB5">
              <w:rPr>
                <w:vertAlign w:val="subscript"/>
              </w:rPr>
              <w:t>3</w:t>
            </w:r>
          </w:p>
        </w:tc>
        <w:tc>
          <w:tcPr>
            <w:tcW w:w="1413" w:type="pct"/>
          </w:tcPr>
          <w:p w:rsidR="002C0CB5" w:rsidRPr="002C0CB5" w:rsidRDefault="002C0CB5" w:rsidP="0073415B">
            <w:pPr>
              <w:pStyle w:val="Paragraph"/>
              <w:spacing w:before="0" w:line="240" w:lineRule="auto"/>
            </w:pPr>
            <w:r w:rsidRPr="002C0CB5">
              <w:t>0.04</w:t>
            </w:r>
          </w:p>
        </w:tc>
        <w:tc>
          <w:tcPr>
            <w:tcW w:w="1799" w:type="pct"/>
          </w:tcPr>
          <w:p w:rsidR="002C0CB5" w:rsidRPr="002C0CB5" w:rsidRDefault="002C0CB5" w:rsidP="0073415B">
            <w:pPr>
              <w:pStyle w:val="Paragraph"/>
              <w:spacing w:before="0" w:line="240" w:lineRule="auto"/>
            </w:pPr>
            <w:r w:rsidRPr="002C0CB5">
              <w:t>-</w:t>
            </w:r>
          </w:p>
        </w:tc>
      </w:tr>
      <w:tr w:rsidR="002C0CB5" w:rsidRPr="002C0CB5" w:rsidTr="002C0CB5">
        <w:tc>
          <w:tcPr>
            <w:tcW w:w="1788" w:type="pct"/>
            <w:tcBorders>
              <w:bottom w:val="single" w:sz="4" w:space="0" w:color="auto"/>
            </w:tcBorders>
          </w:tcPr>
          <w:p w:rsidR="002C0CB5" w:rsidRPr="002C0CB5" w:rsidRDefault="002C0CB5" w:rsidP="0073415B">
            <w:pPr>
              <w:pStyle w:val="Paragraph"/>
              <w:spacing w:before="0" w:line="240" w:lineRule="auto"/>
            </w:pPr>
            <w:r w:rsidRPr="002C0CB5">
              <w:t>ZrO</w:t>
            </w:r>
            <w:r w:rsidRPr="002C0CB5">
              <w:rPr>
                <w:vertAlign w:val="subscript"/>
              </w:rPr>
              <w:t>2</w:t>
            </w:r>
          </w:p>
        </w:tc>
        <w:tc>
          <w:tcPr>
            <w:tcW w:w="1413" w:type="pct"/>
            <w:tcBorders>
              <w:bottom w:val="single" w:sz="4" w:space="0" w:color="auto"/>
            </w:tcBorders>
          </w:tcPr>
          <w:p w:rsidR="002C0CB5" w:rsidRPr="002C0CB5" w:rsidRDefault="002C0CB5" w:rsidP="0073415B">
            <w:pPr>
              <w:pStyle w:val="Paragraph"/>
              <w:spacing w:before="0" w:line="240" w:lineRule="auto"/>
            </w:pPr>
            <w:r w:rsidRPr="002C0CB5">
              <w:t>0.01</w:t>
            </w:r>
          </w:p>
        </w:tc>
        <w:tc>
          <w:tcPr>
            <w:tcW w:w="1799" w:type="pct"/>
            <w:tcBorders>
              <w:bottom w:val="single" w:sz="4" w:space="0" w:color="auto"/>
            </w:tcBorders>
          </w:tcPr>
          <w:p w:rsidR="002C0CB5" w:rsidRPr="002C0CB5" w:rsidRDefault="002C0CB5" w:rsidP="0073415B">
            <w:pPr>
              <w:pStyle w:val="Paragraph"/>
              <w:spacing w:before="0" w:line="240" w:lineRule="auto"/>
            </w:pPr>
            <w:r w:rsidRPr="002C0CB5">
              <w:t>-</w:t>
            </w:r>
          </w:p>
        </w:tc>
      </w:tr>
    </w:tbl>
    <w:p w:rsidR="002C0CB5" w:rsidRPr="002C0CB5" w:rsidRDefault="002C0CB5" w:rsidP="002C0CB5">
      <w:pPr>
        <w:pStyle w:val="Paragraph"/>
      </w:pPr>
      <w:r w:rsidRPr="002C0CB5">
        <w:rPr>
          <w:vertAlign w:val="superscript"/>
        </w:rPr>
        <w:t>a</w:t>
      </w:r>
      <w:r w:rsidRPr="002C0CB5">
        <w:t xml:space="preserve">Source: </w:t>
      </w:r>
      <w:r w:rsidRPr="002C0CB5">
        <w:fldChar w:fldCharType="begin"/>
      </w:r>
      <w:r w:rsidRPr="002C0CB5">
        <w:instrText xml:space="preserve"> ADDIN EN.CITE &lt;EndNote&gt;&lt;Cite&gt;&lt;Author&gt;Mwasha&lt;/Author&gt;&lt;Year&gt;2009&lt;/Year&gt;&lt;RecNum&gt;412&lt;/RecNum&gt;&lt;DisplayText&gt;(Mwasha 2009)&lt;/DisplayText&gt;&lt;record&gt;&lt;rec-number&gt;412&lt;/rec-number&gt;&lt;foreign-keys&gt;&lt;key app="EN" db-id="25a5fvaw7f5peyeeez7xawr9wzraf29tswtp" timestamp="1537638191"&gt;412&lt;/key&gt;&lt;/foreign-keys&gt;&lt;ref-type name="Journal Article"&gt;17&lt;/ref-type&gt;&lt;contributors&gt;&lt;authors&gt;&lt;author&gt;Mwasha, A.&lt;/author&gt;&lt;/authors&gt;&lt;/contributors&gt;&lt;titles&gt;&lt;title&gt;Natural and Recycled Guanapo Quarzite Aggregates for Ready Mix Concrete&lt;/title&gt;&lt;secondary-title&gt;The Journal of the Association of Professional Engineers of Trinidad and Tobago&lt;/secondary-title&gt;&lt;/titles&gt;&lt;periodical&gt;&lt;full-title&gt;The Journal of the Association of Professional Engineers of Trinidad and Tobago&lt;/full-title&gt;&lt;/periodical&gt;&lt;pages&gt;50-56&lt;/pages&gt;&lt;volume&gt;38&lt;/volume&gt;&lt;number&gt;1&lt;/number&gt;&lt;dates&gt;&lt;year&gt;2009&lt;/year&gt;&lt;/dates&gt;&lt;pub-location&gt;Trinidad &amp;amp; Tobago&lt;/pub-location&gt;&lt;isbn&gt;ISSN 1000 7924&lt;/isbn&gt;&lt;urls&gt;&lt;/urls&gt;&lt;/record&gt;&lt;/Cite&gt;&lt;/EndNote&gt;</w:instrText>
      </w:r>
      <w:r w:rsidRPr="002C0CB5">
        <w:fldChar w:fldCharType="separate"/>
      </w:r>
      <w:r w:rsidRPr="002C0CB5">
        <w:t>(Mwasha 2009)</w:t>
      </w:r>
      <w:r w:rsidRPr="002C0CB5">
        <w:fldChar w:fldCharType="end"/>
      </w:r>
    </w:p>
    <w:p w:rsidR="002C0CB5" w:rsidRPr="002C0CB5" w:rsidRDefault="002C0CB5" w:rsidP="00B07817">
      <w:pPr>
        <w:pStyle w:val="Tabletitle"/>
        <w:rPr>
          <w:lang w:val="en-US"/>
        </w:rPr>
      </w:pPr>
      <w:bookmarkStart w:id="5" w:name="_Ref525370931"/>
      <w:r w:rsidRPr="002C0CB5">
        <w:rPr>
          <w:lang w:val="en-US"/>
        </w:rPr>
        <w:t xml:space="preserve">Table </w:t>
      </w:r>
      <w:r w:rsidRPr="002C0CB5">
        <w:rPr>
          <w:lang w:val="en-US"/>
        </w:rPr>
        <w:fldChar w:fldCharType="begin"/>
      </w:r>
      <w:r w:rsidRPr="002C0CB5">
        <w:rPr>
          <w:lang w:val="en-US"/>
        </w:rPr>
        <w:instrText xml:space="preserve"> SEQ Table \* ARABIC </w:instrText>
      </w:r>
      <w:r w:rsidRPr="002C0CB5">
        <w:rPr>
          <w:lang w:val="en-US"/>
        </w:rPr>
        <w:fldChar w:fldCharType="separate"/>
      </w:r>
      <w:r w:rsidR="00665D66">
        <w:rPr>
          <w:noProof/>
          <w:lang w:val="en-US"/>
        </w:rPr>
        <w:t>2</w:t>
      </w:r>
      <w:r w:rsidRPr="002C0CB5">
        <w:fldChar w:fldCharType="end"/>
      </w:r>
      <w:bookmarkEnd w:id="5"/>
      <w:r w:rsidRPr="002C0CB5">
        <w:rPr>
          <w:lang w:val="en-US"/>
        </w:rPr>
        <w:t>: Physical properties of aggregates and fines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2168"/>
        <w:gridCol w:w="694"/>
        <w:gridCol w:w="730"/>
        <w:gridCol w:w="837"/>
        <w:gridCol w:w="1241"/>
      </w:tblGrid>
      <w:tr w:rsidR="0073415B" w:rsidRPr="002C0CB5" w:rsidTr="00131ACC">
        <w:trPr>
          <w:trHeight w:val="227"/>
        </w:trPr>
        <w:tc>
          <w:tcPr>
            <w:tcW w:w="1747" w:type="pct"/>
            <w:tcBorders>
              <w:top w:val="single" w:sz="4" w:space="0" w:color="auto"/>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Property</w:t>
            </w:r>
          </w:p>
        </w:tc>
        <w:tc>
          <w:tcPr>
            <w:tcW w:w="1244" w:type="pct"/>
            <w:tcBorders>
              <w:top w:val="single" w:sz="4" w:space="0" w:color="auto"/>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Specification</w:t>
            </w:r>
          </w:p>
        </w:tc>
        <w:tc>
          <w:tcPr>
            <w:tcW w:w="398" w:type="pct"/>
            <w:tcBorders>
              <w:top w:val="single" w:sz="4" w:space="0" w:color="auto"/>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Sand</w:t>
            </w:r>
          </w:p>
        </w:tc>
        <w:tc>
          <w:tcPr>
            <w:tcW w:w="419" w:type="pct"/>
            <w:tcBorders>
              <w:top w:val="single" w:sz="4" w:space="0" w:color="auto"/>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NA</w:t>
            </w:r>
          </w:p>
        </w:tc>
        <w:tc>
          <w:tcPr>
            <w:tcW w:w="480" w:type="pct"/>
            <w:tcBorders>
              <w:top w:val="single" w:sz="4" w:space="0" w:color="auto"/>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CNA</w:t>
            </w:r>
          </w:p>
        </w:tc>
        <w:tc>
          <w:tcPr>
            <w:tcW w:w="712" w:type="pct"/>
            <w:tcBorders>
              <w:top w:val="single" w:sz="4" w:space="0" w:color="auto"/>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Typical value</w:t>
            </w:r>
          </w:p>
        </w:tc>
      </w:tr>
      <w:tr w:rsidR="0073415B" w:rsidRPr="002C0CB5" w:rsidTr="00131ACC">
        <w:trPr>
          <w:trHeight w:val="296"/>
        </w:trPr>
        <w:tc>
          <w:tcPr>
            <w:tcW w:w="1747" w:type="pct"/>
            <w:tcBorders>
              <w:top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Specific Gravity, G</w:t>
            </w:r>
            <w:r w:rsidRPr="00131ACC">
              <w:rPr>
                <w:sz w:val="22"/>
                <w:szCs w:val="22"/>
                <w:vertAlign w:val="subscript"/>
              </w:rPr>
              <w:t>s</w:t>
            </w:r>
            <w:r w:rsidRPr="00131ACC">
              <w:rPr>
                <w:sz w:val="22"/>
                <w:szCs w:val="22"/>
              </w:rPr>
              <w:t xml:space="preserve"> (kg/m</w:t>
            </w:r>
            <w:r w:rsidRPr="00131ACC">
              <w:rPr>
                <w:sz w:val="22"/>
                <w:szCs w:val="22"/>
                <w:vertAlign w:val="superscript"/>
              </w:rPr>
              <w:t>3</w:t>
            </w:r>
            <w:r w:rsidRPr="00131ACC">
              <w:rPr>
                <w:sz w:val="22"/>
                <w:szCs w:val="22"/>
              </w:rPr>
              <w:t>)</w:t>
            </w:r>
          </w:p>
        </w:tc>
        <w:tc>
          <w:tcPr>
            <w:tcW w:w="1244" w:type="pct"/>
            <w:tcBorders>
              <w:top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 xml:space="preserve">ASTM C127 </w:t>
            </w:r>
            <w:r w:rsidRPr="00131ACC">
              <w:rPr>
                <w:sz w:val="22"/>
                <w:szCs w:val="22"/>
              </w:rPr>
              <w:fldChar w:fldCharType="begin"/>
            </w:r>
            <w:r w:rsidRPr="00131ACC">
              <w:rPr>
                <w:sz w:val="22"/>
                <w:szCs w:val="22"/>
              </w:rPr>
              <w:instrText xml:space="preserve"> ADDIN EN.CITE &lt;EndNote&gt;&lt;Cite ExcludeAuth="1"&gt;&lt;Author&gt;ASTM&lt;/Author&gt;&lt;Year&gt;2015&lt;/Year&gt;&lt;RecNum&gt;256&lt;/RecNum&gt;&lt;DisplayText&gt;(2015)&lt;/DisplayText&gt;&lt;record&gt;&lt;rec-number&gt;256&lt;/rec-number&gt;&lt;foreign-keys&gt;&lt;key app="EN" db-id="25a5fvaw7f5peyeeez7xawr9wzraf29tswtp" timestamp="1478741627"&gt;256&lt;/key&gt;&lt;/foreign-keys&gt;&lt;ref-type name="Standard"&gt;58&lt;/ref-type&gt;&lt;contributors&gt;&lt;authors&gt;&lt;author&gt;ASTM&lt;/author&gt;&lt;/authors&gt;&lt;/contributors&gt;&lt;titles&gt;&lt;title&gt;Standard Test Method for Relative Density (Specific Gravity) and Absorption of Coarse Aggregate&lt;/title&gt;&lt;/titles&gt;&lt;volume&gt;Standard C127-15&lt;/volume&gt;&lt;dates&gt;&lt;year&gt;2015&lt;/year&gt;&lt;pub-dates&gt;&lt;date&gt;2015&lt;/date&gt;&lt;/pub-dates&gt;&lt;/dates&gt;&lt;pub-location&gt;West Conshohocken, PA USA&lt;/pub-location&gt;&lt;publisher&gt;ASTM International&lt;/publisher&gt;&lt;urls&gt;&lt;/urls&gt;&lt;/record&gt;&lt;/Cite&gt;&lt;/EndNote&gt;</w:instrText>
            </w:r>
            <w:r w:rsidRPr="00131ACC">
              <w:rPr>
                <w:sz w:val="22"/>
                <w:szCs w:val="22"/>
              </w:rPr>
              <w:fldChar w:fldCharType="separate"/>
            </w:r>
            <w:r w:rsidRPr="00131ACC">
              <w:rPr>
                <w:sz w:val="22"/>
                <w:szCs w:val="22"/>
              </w:rPr>
              <w:t>(2015)</w:t>
            </w:r>
            <w:r w:rsidRPr="00131ACC">
              <w:rPr>
                <w:sz w:val="22"/>
                <w:szCs w:val="22"/>
              </w:rPr>
              <w:fldChar w:fldCharType="end"/>
            </w:r>
          </w:p>
        </w:tc>
        <w:tc>
          <w:tcPr>
            <w:tcW w:w="398" w:type="pct"/>
            <w:tcBorders>
              <w:top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w:t>
            </w:r>
          </w:p>
        </w:tc>
        <w:tc>
          <w:tcPr>
            <w:tcW w:w="419" w:type="pct"/>
            <w:tcBorders>
              <w:top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2.709</w:t>
            </w:r>
          </w:p>
        </w:tc>
        <w:tc>
          <w:tcPr>
            <w:tcW w:w="480" w:type="pct"/>
            <w:tcBorders>
              <w:top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1.602</w:t>
            </w:r>
          </w:p>
        </w:tc>
        <w:tc>
          <w:tcPr>
            <w:tcW w:w="712" w:type="pct"/>
            <w:tcBorders>
              <w:top w:val="single" w:sz="4" w:space="0" w:color="auto"/>
            </w:tcBorders>
          </w:tcPr>
          <w:p w:rsidR="002C0CB5" w:rsidRPr="00131ACC" w:rsidRDefault="002C0CB5" w:rsidP="0073415B">
            <w:pPr>
              <w:pStyle w:val="Paragraph"/>
              <w:spacing w:before="0" w:line="240" w:lineRule="auto"/>
              <w:rPr>
                <w:sz w:val="22"/>
                <w:szCs w:val="22"/>
              </w:rPr>
            </w:pPr>
          </w:p>
        </w:tc>
      </w:tr>
      <w:tr w:rsidR="0073415B" w:rsidRPr="002C0CB5" w:rsidTr="00131ACC">
        <w:trPr>
          <w:trHeight w:val="305"/>
        </w:trPr>
        <w:tc>
          <w:tcPr>
            <w:tcW w:w="1747" w:type="pct"/>
          </w:tcPr>
          <w:p w:rsidR="002C0CB5" w:rsidRPr="00131ACC" w:rsidRDefault="000F2D7E" w:rsidP="0073415B">
            <w:pPr>
              <w:pStyle w:val="Paragraph"/>
              <w:spacing w:before="0" w:line="240" w:lineRule="auto"/>
              <w:rPr>
                <w:sz w:val="22"/>
                <w:szCs w:val="22"/>
              </w:rPr>
            </w:pPr>
            <w:r>
              <w:rPr>
                <w:sz w:val="22"/>
                <w:szCs w:val="22"/>
              </w:rPr>
              <w:t xml:space="preserve">Water absorption </w:t>
            </w:r>
            <w:r w:rsidR="002C0CB5" w:rsidRPr="00131ACC">
              <w:rPr>
                <w:sz w:val="22"/>
                <w:szCs w:val="22"/>
              </w:rPr>
              <w:t xml:space="preserve"> (%)</w:t>
            </w:r>
          </w:p>
        </w:tc>
        <w:tc>
          <w:tcPr>
            <w:tcW w:w="1244" w:type="pct"/>
          </w:tcPr>
          <w:p w:rsidR="002C0CB5" w:rsidRPr="00131ACC" w:rsidRDefault="002C0CB5" w:rsidP="0073415B">
            <w:pPr>
              <w:pStyle w:val="Paragraph"/>
              <w:spacing w:before="0" w:line="240" w:lineRule="auto"/>
              <w:rPr>
                <w:sz w:val="22"/>
                <w:szCs w:val="22"/>
              </w:rPr>
            </w:pPr>
            <w:r w:rsidRPr="00131ACC">
              <w:rPr>
                <w:sz w:val="22"/>
                <w:szCs w:val="22"/>
              </w:rPr>
              <w:t xml:space="preserve">ASTM C127 </w:t>
            </w:r>
            <w:r w:rsidRPr="00131ACC">
              <w:rPr>
                <w:sz w:val="22"/>
                <w:szCs w:val="22"/>
              </w:rPr>
              <w:fldChar w:fldCharType="begin"/>
            </w:r>
            <w:r w:rsidRPr="00131ACC">
              <w:rPr>
                <w:sz w:val="22"/>
                <w:szCs w:val="22"/>
              </w:rPr>
              <w:instrText xml:space="preserve"> ADDIN EN.CITE &lt;EndNote&gt;&lt;Cite ExcludeAuth="1"&gt;&lt;Author&gt;ASTM&lt;/Author&gt;&lt;Year&gt;2015&lt;/Year&gt;&lt;RecNum&gt;256&lt;/RecNum&gt;&lt;DisplayText&gt;(2015)&lt;/DisplayText&gt;&lt;record&gt;&lt;rec-number&gt;256&lt;/rec-number&gt;&lt;foreign-keys&gt;&lt;key app="EN" db-id="25a5fvaw7f5peyeeez7xawr9wzraf29tswtp" timestamp="1478741627"&gt;256&lt;/key&gt;&lt;/foreign-keys&gt;&lt;ref-type name="Standard"&gt;58&lt;/ref-type&gt;&lt;contributors&gt;&lt;authors&gt;&lt;author&gt;ASTM&lt;/author&gt;&lt;/authors&gt;&lt;/contributors&gt;&lt;titles&gt;&lt;title&gt;Standard Test Method for Relative Density (Specific Gravity) and Absorption of Coarse Aggregate&lt;/title&gt;&lt;/titles&gt;&lt;volume&gt;Standard C127-15&lt;/volume&gt;&lt;dates&gt;&lt;year&gt;2015&lt;/year&gt;&lt;pub-dates&gt;&lt;date&gt;2015&lt;/date&gt;&lt;/pub-dates&gt;&lt;/dates&gt;&lt;pub-location&gt;West Conshohocken, PA USA&lt;/pub-location&gt;&lt;publisher&gt;ASTM International&lt;/publisher&gt;&lt;urls&gt;&lt;/urls&gt;&lt;/record&gt;&lt;/Cite&gt;&lt;/EndNote&gt;</w:instrText>
            </w:r>
            <w:r w:rsidRPr="00131ACC">
              <w:rPr>
                <w:sz w:val="22"/>
                <w:szCs w:val="22"/>
              </w:rPr>
              <w:fldChar w:fldCharType="separate"/>
            </w:r>
            <w:r w:rsidRPr="00131ACC">
              <w:rPr>
                <w:sz w:val="22"/>
                <w:szCs w:val="22"/>
              </w:rPr>
              <w:t>(2015)</w:t>
            </w:r>
            <w:r w:rsidRPr="00131ACC">
              <w:rPr>
                <w:sz w:val="22"/>
                <w:szCs w:val="22"/>
              </w:rPr>
              <w:fldChar w:fldCharType="end"/>
            </w:r>
          </w:p>
        </w:tc>
        <w:tc>
          <w:tcPr>
            <w:tcW w:w="398" w:type="pct"/>
          </w:tcPr>
          <w:p w:rsidR="002C0CB5" w:rsidRPr="00131ACC" w:rsidRDefault="002C0CB5" w:rsidP="0073415B">
            <w:pPr>
              <w:pStyle w:val="Paragraph"/>
              <w:spacing w:before="0" w:line="240" w:lineRule="auto"/>
              <w:rPr>
                <w:sz w:val="22"/>
                <w:szCs w:val="22"/>
              </w:rPr>
            </w:pPr>
            <w:r w:rsidRPr="00131ACC">
              <w:rPr>
                <w:sz w:val="22"/>
                <w:szCs w:val="22"/>
              </w:rPr>
              <w:t>-</w:t>
            </w:r>
          </w:p>
        </w:tc>
        <w:tc>
          <w:tcPr>
            <w:tcW w:w="419" w:type="pct"/>
          </w:tcPr>
          <w:p w:rsidR="002C0CB5" w:rsidRPr="00131ACC" w:rsidRDefault="002C0CB5" w:rsidP="0073415B">
            <w:pPr>
              <w:pStyle w:val="Paragraph"/>
              <w:spacing w:before="0" w:line="240" w:lineRule="auto"/>
              <w:rPr>
                <w:sz w:val="22"/>
                <w:szCs w:val="22"/>
              </w:rPr>
            </w:pPr>
            <w:r w:rsidRPr="00131ACC">
              <w:rPr>
                <w:sz w:val="22"/>
                <w:szCs w:val="22"/>
              </w:rPr>
              <w:t>1.2</w:t>
            </w:r>
          </w:p>
        </w:tc>
        <w:tc>
          <w:tcPr>
            <w:tcW w:w="480" w:type="pct"/>
          </w:tcPr>
          <w:p w:rsidR="002C0CB5" w:rsidRPr="00131ACC" w:rsidRDefault="002C0CB5" w:rsidP="0073415B">
            <w:pPr>
              <w:pStyle w:val="Paragraph"/>
              <w:spacing w:before="0" w:line="240" w:lineRule="auto"/>
              <w:rPr>
                <w:sz w:val="22"/>
                <w:szCs w:val="22"/>
              </w:rPr>
            </w:pPr>
            <w:r w:rsidRPr="00131ACC">
              <w:rPr>
                <w:sz w:val="22"/>
                <w:szCs w:val="22"/>
              </w:rPr>
              <w:t>23.6</w:t>
            </w:r>
          </w:p>
        </w:tc>
        <w:tc>
          <w:tcPr>
            <w:tcW w:w="712" w:type="pct"/>
          </w:tcPr>
          <w:p w:rsidR="002C0CB5" w:rsidRPr="00131ACC" w:rsidRDefault="002C0CB5" w:rsidP="0073415B">
            <w:pPr>
              <w:pStyle w:val="Paragraph"/>
              <w:spacing w:before="0" w:line="240" w:lineRule="auto"/>
              <w:rPr>
                <w:sz w:val="22"/>
                <w:szCs w:val="22"/>
              </w:rPr>
            </w:pPr>
            <w:r w:rsidRPr="00131ACC">
              <w:rPr>
                <w:sz w:val="22"/>
                <w:szCs w:val="22"/>
              </w:rPr>
              <w:t>&lt;10</w:t>
            </w:r>
          </w:p>
        </w:tc>
      </w:tr>
      <w:tr w:rsidR="0073415B" w:rsidRPr="002C0CB5" w:rsidTr="00131ACC">
        <w:trPr>
          <w:trHeight w:val="227"/>
        </w:trPr>
        <w:tc>
          <w:tcPr>
            <w:tcW w:w="1747" w:type="pct"/>
          </w:tcPr>
          <w:p w:rsidR="002C0CB5" w:rsidRPr="00131ACC" w:rsidRDefault="002C0CB5" w:rsidP="0073415B">
            <w:pPr>
              <w:pStyle w:val="Paragraph"/>
              <w:spacing w:before="0" w:line="240" w:lineRule="auto"/>
              <w:rPr>
                <w:sz w:val="22"/>
                <w:szCs w:val="22"/>
              </w:rPr>
            </w:pPr>
            <w:r w:rsidRPr="00131ACC">
              <w:rPr>
                <w:sz w:val="22"/>
                <w:szCs w:val="22"/>
              </w:rPr>
              <w:t>LA Abrasion (%)</w:t>
            </w:r>
          </w:p>
        </w:tc>
        <w:tc>
          <w:tcPr>
            <w:tcW w:w="1244" w:type="pct"/>
          </w:tcPr>
          <w:p w:rsidR="002C0CB5" w:rsidRPr="00131ACC" w:rsidRDefault="002C0CB5" w:rsidP="0073415B">
            <w:pPr>
              <w:pStyle w:val="Paragraph"/>
              <w:spacing w:before="0" w:line="240" w:lineRule="auto"/>
              <w:rPr>
                <w:sz w:val="22"/>
                <w:szCs w:val="22"/>
              </w:rPr>
            </w:pPr>
            <w:r w:rsidRPr="00131ACC">
              <w:rPr>
                <w:sz w:val="22"/>
                <w:szCs w:val="22"/>
              </w:rPr>
              <w:t xml:space="preserve">ASTM C131 </w:t>
            </w:r>
            <w:r w:rsidRPr="00131ACC">
              <w:rPr>
                <w:sz w:val="22"/>
                <w:szCs w:val="22"/>
              </w:rPr>
              <w:fldChar w:fldCharType="begin"/>
            </w:r>
            <w:r w:rsidRPr="00131ACC">
              <w:rPr>
                <w:sz w:val="22"/>
                <w:szCs w:val="22"/>
              </w:rPr>
              <w:instrText xml:space="preserve"> ADDIN EN.CITE &lt;EndNote&gt;&lt;Cite ExcludeAuth="1"&gt;&lt;Author&gt;ASTM&lt;/Author&gt;&lt;Year&gt;2014&lt;/Year&gt;&lt;RecNum&gt;258&lt;/RecNum&gt;&lt;DisplayText&gt;(2014a)&lt;/DisplayText&gt;&lt;record&gt;&lt;rec-number&gt;258&lt;/rec-number&gt;&lt;foreign-keys&gt;&lt;key app="EN" db-id="25a5fvaw7f5peyeeez7xawr9wzraf29tswtp" timestamp="1478741896"&gt;258&lt;/key&gt;&lt;/foreign-keys&gt;&lt;ref-type name="Standard"&gt;58&lt;/ref-type&gt;&lt;contributors&gt;&lt;authors&gt;&lt;author&gt;ASTM&lt;/author&gt;&lt;/authors&gt;&lt;/contributors&gt;&lt;titles&gt;&lt;title&gt;Standard Test Method for Resistance to Degradation of Small-Size Coarse Aggregate by Abrasion and Impact in the Los Angeles Machine&lt;/title&gt;&lt;/titles&gt;&lt;volume&gt;Standard C131/C131M-14&lt;/volume&gt;&lt;dates&gt;&lt;year&gt;2014&lt;/year&gt;&lt;pub-dates&gt;&lt;date&gt;2014&lt;/date&gt;&lt;/pub-dates&gt;&lt;/dates&gt;&lt;pub-location&gt;West Conshohocken, PA USA&lt;/pub-location&gt;&lt;publisher&gt;ASTM International&lt;/publisher&gt;&lt;urls&gt;&lt;/urls&gt;&lt;/record&gt;&lt;/Cite&gt;&lt;/EndNote&gt;</w:instrText>
            </w:r>
            <w:r w:rsidRPr="00131ACC">
              <w:rPr>
                <w:sz w:val="22"/>
                <w:szCs w:val="22"/>
              </w:rPr>
              <w:fldChar w:fldCharType="separate"/>
            </w:r>
            <w:r w:rsidRPr="00131ACC">
              <w:rPr>
                <w:sz w:val="22"/>
                <w:szCs w:val="22"/>
              </w:rPr>
              <w:t>(2014a)</w:t>
            </w:r>
            <w:r w:rsidRPr="00131ACC">
              <w:rPr>
                <w:sz w:val="22"/>
                <w:szCs w:val="22"/>
              </w:rPr>
              <w:fldChar w:fldCharType="end"/>
            </w:r>
          </w:p>
        </w:tc>
        <w:tc>
          <w:tcPr>
            <w:tcW w:w="398" w:type="pct"/>
          </w:tcPr>
          <w:p w:rsidR="002C0CB5" w:rsidRPr="00131ACC" w:rsidRDefault="002C0CB5" w:rsidP="0073415B">
            <w:pPr>
              <w:pStyle w:val="Paragraph"/>
              <w:spacing w:before="0" w:line="240" w:lineRule="auto"/>
              <w:rPr>
                <w:sz w:val="22"/>
                <w:szCs w:val="22"/>
              </w:rPr>
            </w:pPr>
            <w:r w:rsidRPr="00131ACC">
              <w:rPr>
                <w:sz w:val="22"/>
                <w:szCs w:val="22"/>
              </w:rPr>
              <w:t>-</w:t>
            </w:r>
          </w:p>
        </w:tc>
        <w:tc>
          <w:tcPr>
            <w:tcW w:w="419" w:type="pct"/>
          </w:tcPr>
          <w:p w:rsidR="002C0CB5" w:rsidRPr="00131ACC" w:rsidRDefault="002C0CB5" w:rsidP="0073415B">
            <w:pPr>
              <w:pStyle w:val="Paragraph"/>
              <w:spacing w:before="0" w:line="240" w:lineRule="auto"/>
              <w:rPr>
                <w:sz w:val="22"/>
                <w:szCs w:val="22"/>
              </w:rPr>
            </w:pPr>
            <w:r w:rsidRPr="00131ACC">
              <w:rPr>
                <w:sz w:val="22"/>
                <w:szCs w:val="22"/>
              </w:rPr>
              <w:t>18</w:t>
            </w:r>
          </w:p>
        </w:tc>
        <w:tc>
          <w:tcPr>
            <w:tcW w:w="480" w:type="pct"/>
          </w:tcPr>
          <w:p w:rsidR="002C0CB5" w:rsidRPr="00131ACC" w:rsidRDefault="002C0CB5" w:rsidP="0073415B">
            <w:pPr>
              <w:pStyle w:val="Paragraph"/>
              <w:spacing w:before="0" w:line="240" w:lineRule="auto"/>
              <w:rPr>
                <w:sz w:val="22"/>
                <w:szCs w:val="22"/>
              </w:rPr>
            </w:pPr>
            <w:r w:rsidRPr="00131ACC">
              <w:rPr>
                <w:sz w:val="22"/>
                <w:szCs w:val="22"/>
              </w:rPr>
              <w:t>66</w:t>
            </w:r>
          </w:p>
        </w:tc>
        <w:tc>
          <w:tcPr>
            <w:tcW w:w="712" w:type="pct"/>
          </w:tcPr>
          <w:p w:rsidR="002C0CB5" w:rsidRPr="00131ACC" w:rsidRDefault="002C0CB5" w:rsidP="0073415B">
            <w:pPr>
              <w:pStyle w:val="Paragraph"/>
              <w:spacing w:before="0" w:line="240" w:lineRule="auto"/>
              <w:rPr>
                <w:sz w:val="22"/>
                <w:szCs w:val="22"/>
              </w:rPr>
            </w:pPr>
          </w:p>
        </w:tc>
      </w:tr>
      <w:tr w:rsidR="0073415B" w:rsidRPr="002C0CB5" w:rsidTr="00131ACC">
        <w:trPr>
          <w:trHeight w:val="213"/>
        </w:trPr>
        <w:tc>
          <w:tcPr>
            <w:tcW w:w="1747" w:type="pct"/>
          </w:tcPr>
          <w:p w:rsidR="002C0CB5" w:rsidRPr="00131ACC" w:rsidRDefault="002C0CB5" w:rsidP="0073415B">
            <w:pPr>
              <w:pStyle w:val="Paragraph"/>
              <w:spacing w:before="0" w:line="240" w:lineRule="auto"/>
              <w:rPr>
                <w:sz w:val="22"/>
                <w:szCs w:val="22"/>
              </w:rPr>
            </w:pPr>
            <w:r w:rsidRPr="00131ACC">
              <w:rPr>
                <w:sz w:val="22"/>
                <w:szCs w:val="22"/>
              </w:rPr>
              <w:t>Impact (%)</w:t>
            </w:r>
          </w:p>
        </w:tc>
        <w:tc>
          <w:tcPr>
            <w:tcW w:w="1244" w:type="pct"/>
          </w:tcPr>
          <w:p w:rsidR="002C0CB5" w:rsidRPr="00131ACC" w:rsidRDefault="002C0CB5" w:rsidP="000B1BE6">
            <w:pPr>
              <w:pStyle w:val="Paragraph"/>
              <w:spacing w:before="0" w:line="240" w:lineRule="auto"/>
              <w:rPr>
                <w:sz w:val="22"/>
                <w:szCs w:val="22"/>
              </w:rPr>
            </w:pPr>
            <w:r w:rsidRPr="00131ACC">
              <w:rPr>
                <w:sz w:val="22"/>
                <w:szCs w:val="22"/>
              </w:rPr>
              <w:t xml:space="preserve">BS 812 </w:t>
            </w:r>
            <w:r w:rsidRPr="00131ACC">
              <w:rPr>
                <w:sz w:val="22"/>
                <w:szCs w:val="22"/>
              </w:rPr>
              <w:fldChar w:fldCharType="begin"/>
            </w:r>
            <w:r w:rsidR="000B1BE6">
              <w:rPr>
                <w:sz w:val="22"/>
                <w:szCs w:val="22"/>
              </w:rPr>
              <w:instrText xml:space="preserve"> ADDIN EN.CITE &lt;EndNote&gt;&lt;Cite ExcludeAuth="1"&gt;&lt;Author&gt;BS&lt;/Author&gt;&lt;Year&gt;1990&lt;/Year&gt;&lt;RecNum&gt;259&lt;/RecNum&gt;&lt;DisplayText&gt;(1990b)&lt;/DisplayText&gt;&lt;record&gt;&lt;rec-number&gt;259&lt;/rec-number&gt;&lt;foreign-keys&gt;&lt;key app="EN" db-id="25a5fvaw7f5peyeeez7xawr9wzraf29tswtp" timestamp="1478742039"&gt;259&lt;/key&gt;&lt;/foreign-keys&gt;&lt;ref-type name="Standard"&gt;58&lt;/ref-type&gt;&lt;contributors&gt;&lt;authors&gt;&lt;author&gt;BS&lt;/author&gt;&lt;/authors&gt;&lt;/contributors&gt;&lt;titles&gt;&lt;title&gt;Testing aggregates. Method for determination of aggregate impact value (AIV)&lt;/title&gt;&lt;/titles&gt;&lt;volume&gt;Standard 812-112:1990&lt;/volume&gt;&lt;dates&gt;&lt;year&gt;1990&lt;/year&gt;&lt;pub-dates&gt;&lt;date&gt;1990&lt;/date&gt;&lt;/pub-dates&gt;&lt;/dates&gt;&lt;pub-location&gt;London, U.K&lt;/pub-location&gt;&lt;publisher&gt;British Standard Institution BSI&lt;/publisher&gt;&lt;urls&gt;&lt;/urls&gt;&lt;/record&gt;&lt;/Cite&gt;&lt;/EndNote&gt;</w:instrText>
            </w:r>
            <w:r w:rsidRPr="00131ACC">
              <w:rPr>
                <w:sz w:val="22"/>
                <w:szCs w:val="22"/>
              </w:rPr>
              <w:fldChar w:fldCharType="separate"/>
            </w:r>
            <w:r w:rsidR="000B1BE6">
              <w:rPr>
                <w:noProof/>
                <w:sz w:val="22"/>
                <w:szCs w:val="22"/>
              </w:rPr>
              <w:t>(1990b)</w:t>
            </w:r>
            <w:r w:rsidRPr="00131ACC">
              <w:rPr>
                <w:sz w:val="22"/>
                <w:szCs w:val="22"/>
              </w:rPr>
              <w:fldChar w:fldCharType="end"/>
            </w:r>
          </w:p>
        </w:tc>
        <w:tc>
          <w:tcPr>
            <w:tcW w:w="398" w:type="pct"/>
          </w:tcPr>
          <w:p w:rsidR="002C0CB5" w:rsidRPr="00131ACC" w:rsidRDefault="002C0CB5" w:rsidP="0073415B">
            <w:pPr>
              <w:pStyle w:val="Paragraph"/>
              <w:spacing w:before="0" w:line="240" w:lineRule="auto"/>
              <w:rPr>
                <w:sz w:val="22"/>
                <w:szCs w:val="22"/>
              </w:rPr>
            </w:pPr>
            <w:r w:rsidRPr="00131ACC">
              <w:rPr>
                <w:sz w:val="22"/>
                <w:szCs w:val="22"/>
              </w:rPr>
              <w:t>-</w:t>
            </w:r>
          </w:p>
        </w:tc>
        <w:tc>
          <w:tcPr>
            <w:tcW w:w="419" w:type="pct"/>
          </w:tcPr>
          <w:p w:rsidR="002C0CB5" w:rsidRPr="00131ACC" w:rsidRDefault="002C0CB5" w:rsidP="0073415B">
            <w:pPr>
              <w:pStyle w:val="Paragraph"/>
              <w:spacing w:before="0" w:line="240" w:lineRule="auto"/>
              <w:rPr>
                <w:sz w:val="22"/>
                <w:szCs w:val="22"/>
              </w:rPr>
            </w:pPr>
            <w:r w:rsidRPr="00131ACC">
              <w:rPr>
                <w:sz w:val="22"/>
                <w:szCs w:val="22"/>
              </w:rPr>
              <w:t>16</w:t>
            </w:r>
          </w:p>
        </w:tc>
        <w:tc>
          <w:tcPr>
            <w:tcW w:w="480" w:type="pct"/>
          </w:tcPr>
          <w:p w:rsidR="002C0CB5" w:rsidRPr="00131ACC" w:rsidRDefault="002C0CB5" w:rsidP="0073415B">
            <w:pPr>
              <w:pStyle w:val="Paragraph"/>
              <w:spacing w:before="0" w:line="240" w:lineRule="auto"/>
              <w:rPr>
                <w:sz w:val="22"/>
                <w:szCs w:val="22"/>
              </w:rPr>
            </w:pPr>
            <w:r w:rsidRPr="00131ACC">
              <w:rPr>
                <w:sz w:val="22"/>
                <w:szCs w:val="22"/>
              </w:rPr>
              <w:t>-</w:t>
            </w:r>
          </w:p>
        </w:tc>
        <w:tc>
          <w:tcPr>
            <w:tcW w:w="712" w:type="pct"/>
          </w:tcPr>
          <w:p w:rsidR="002C0CB5" w:rsidRPr="00131ACC" w:rsidRDefault="002C0CB5" w:rsidP="0073415B">
            <w:pPr>
              <w:pStyle w:val="Paragraph"/>
              <w:spacing w:before="0" w:line="240" w:lineRule="auto"/>
              <w:rPr>
                <w:sz w:val="22"/>
                <w:szCs w:val="22"/>
              </w:rPr>
            </w:pPr>
          </w:p>
        </w:tc>
      </w:tr>
      <w:tr w:rsidR="0073415B" w:rsidRPr="002C0CB5" w:rsidTr="00131ACC">
        <w:trPr>
          <w:trHeight w:val="213"/>
        </w:trPr>
        <w:tc>
          <w:tcPr>
            <w:tcW w:w="1747" w:type="pct"/>
          </w:tcPr>
          <w:p w:rsidR="002C0CB5" w:rsidRPr="00131ACC" w:rsidRDefault="002C0CB5" w:rsidP="0073415B">
            <w:pPr>
              <w:pStyle w:val="Paragraph"/>
              <w:spacing w:before="0" w:line="240" w:lineRule="auto"/>
              <w:rPr>
                <w:sz w:val="22"/>
                <w:szCs w:val="22"/>
              </w:rPr>
            </w:pPr>
            <w:r w:rsidRPr="00131ACC">
              <w:rPr>
                <w:sz w:val="22"/>
                <w:szCs w:val="22"/>
              </w:rPr>
              <w:t>Bulk Density (Loose) (kg/m</w:t>
            </w:r>
            <w:r w:rsidRPr="00131ACC">
              <w:rPr>
                <w:sz w:val="22"/>
                <w:szCs w:val="22"/>
                <w:vertAlign w:val="superscript"/>
              </w:rPr>
              <w:t>3</w:t>
            </w:r>
            <w:r w:rsidRPr="00131ACC">
              <w:rPr>
                <w:sz w:val="22"/>
                <w:szCs w:val="22"/>
              </w:rPr>
              <w:t>)</w:t>
            </w:r>
          </w:p>
        </w:tc>
        <w:tc>
          <w:tcPr>
            <w:tcW w:w="1244" w:type="pct"/>
          </w:tcPr>
          <w:p w:rsidR="002C0CB5" w:rsidRPr="00131ACC" w:rsidRDefault="002C0CB5" w:rsidP="0073415B">
            <w:pPr>
              <w:pStyle w:val="Paragraph"/>
              <w:spacing w:before="0" w:line="240" w:lineRule="auto"/>
              <w:rPr>
                <w:sz w:val="22"/>
                <w:szCs w:val="22"/>
              </w:rPr>
            </w:pPr>
            <w:r w:rsidRPr="00131ACC">
              <w:rPr>
                <w:sz w:val="22"/>
                <w:szCs w:val="22"/>
              </w:rPr>
              <w:t xml:space="preserve">ASTM C29 </w:t>
            </w:r>
            <w:r w:rsidRPr="00131ACC">
              <w:rPr>
                <w:sz w:val="22"/>
                <w:szCs w:val="22"/>
              </w:rPr>
              <w:fldChar w:fldCharType="begin"/>
            </w:r>
            <w:r w:rsidRPr="00131ACC">
              <w:rPr>
                <w:sz w:val="22"/>
                <w:szCs w:val="22"/>
              </w:rPr>
              <w:instrText xml:space="preserve"> ADDIN EN.CITE &lt;EndNote&gt;&lt;Cite ExcludeAuth="1"&gt;&lt;Author&gt;ASTM&lt;/Author&gt;&lt;Year&gt;2016&lt;/Year&gt;&lt;RecNum&gt;257&lt;/RecNum&gt;&lt;DisplayText&gt;(2016b)&lt;/DisplayText&gt;&lt;record&gt;&lt;rec-number&gt;257&lt;/rec-number&gt;&lt;foreign-keys&gt;&lt;key app="EN" db-id="25a5fvaw7f5peyeeez7xawr9wzraf29tswtp" timestamp="1478741728"&gt;257&lt;/key&gt;&lt;/foreign-keys&gt;&lt;ref-type name="Standard"&gt;58&lt;/ref-type&gt;&lt;contributors&gt;&lt;authors&gt;&lt;author&gt;ASTM&lt;/author&gt;&lt;/authors&gt;&lt;/contributors&gt;&lt;titles&gt;&lt;title&gt;Standard Test Method for Bulk Density (“Unit Weight”) and Voids in Aggregate&lt;/title&gt;&lt;/titles&gt;&lt;volume&gt;Standard C29/C29M-16 &lt;/volume&gt;&lt;dates&gt;&lt;year&gt;2016&lt;/year&gt;&lt;pub-dates&gt;&lt;date&gt;2016&lt;/date&gt;&lt;/pub-dates&gt;&lt;/dates&gt;&lt;pub-location&gt;West Conshohocken, PA USA&lt;/pub-location&gt;&lt;publisher&gt;ASTM International&lt;/publisher&gt;&lt;urls&gt;&lt;/urls&gt;&lt;/record&gt;&lt;/Cite&gt;&lt;/EndNote&gt;</w:instrText>
            </w:r>
            <w:r w:rsidRPr="00131ACC">
              <w:rPr>
                <w:sz w:val="22"/>
                <w:szCs w:val="22"/>
              </w:rPr>
              <w:fldChar w:fldCharType="separate"/>
            </w:r>
            <w:r w:rsidRPr="00131ACC">
              <w:rPr>
                <w:sz w:val="22"/>
                <w:szCs w:val="22"/>
              </w:rPr>
              <w:t>(2016b)</w:t>
            </w:r>
            <w:r w:rsidRPr="00131ACC">
              <w:rPr>
                <w:sz w:val="22"/>
                <w:szCs w:val="22"/>
              </w:rPr>
              <w:fldChar w:fldCharType="end"/>
            </w:r>
          </w:p>
        </w:tc>
        <w:tc>
          <w:tcPr>
            <w:tcW w:w="398" w:type="pct"/>
          </w:tcPr>
          <w:p w:rsidR="002C0CB5" w:rsidRPr="00131ACC" w:rsidRDefault="002C0CB5" w:rsidP="0073415B">
            <w:pPr>
              <w:pStyle w:val="Paragraph"/>
              <w:spacing w:before="0" w:line="240" w:lineRule="auto"/>
              <w:rPr>
                <w:sz w:val="22"/>
                <w:szCs w:val="22"/>
              </w:rPr>
            </w:pPr>
            <w:r w:rsidRPr="00131ACC">
              <w:rPr>
                <w:sz w:val="22"/>
                <w:szCs w:val="22"/>
              </w:rPr>
              <w:t>1736</w:t>
            </w:r>
          </w:p>
        </w:tc>
        <w:tc>
          <w:tcPr>
            <w:tcW w:w="419" w:type="pct"/>
          </w:tcPr>
          <w:p w:rsidR="002C0CB5" w:rsidRPr="00131ACC" w:rsidRDefault="002C0CB5" w:rsidP="0073415B">
            <w:pPr>
              <w:pStyle w:val="Paragraph"/>
              <w:spacing w:before="0" w:line="240" w:lineRule="auto"/>
              <w:rPr>
                <w:sz w:val="22"/>
                <w:szCs w:val="22"/>
              </w:rPr>
            </w:pPr>
            <w:r w:rsidRPr="00131ACC">
              <w:rPr>
                <w:sz w:val="22"/>
                <w:szCs w:val="22"/>
              </w:rPr>
              <w:t>1530</w:t>
            </w:r>
          </w:p>
        </w:tc>
        <w:tc>
          <w:tcPr>
            <w:tcW w:w="480" w:type="pct"/>
          </w:tcPr>
          <w:p w:rsidR="002C0CB5" w:rsidRPr="00131ACC" w:rsidRDefault="002C0CB5" w:rsidP="0073415B">
            <w:pPr>
              <w:pStyle w:val="Paragraph"/>
              <w:spacing w:before="0" w:line="240" w:lineRule="auto"/>
              <w:rPr>
                <w:sz w:val="22"/>
                <w:szCs w:val="22"/>
              </w:rPr>
            </w:pPr>
            <w:r w:rsidRPr="00131ACC">
              <w:rPr>
                <w:sz w:val="22"/>
                <w:szCs w:val="22"/>
              </w:rPr>
              <w:t>1141</w:t>
            </w:r>
          </w:p>
        </w:tc>
        <w:tc>
          <w:tcPr>
            <w:tcW w:w="712" w:type="pct"/>
          </w:tcPr>
          <w:p w:rsidR="002C0CB5" w:rsidRPr="00131ACC" w:rsidRDefault="002C0CB5" w:rsidP="0073415B">
            <w:pPr>
              <w:pStyle w:val="Paragraph"/>
              <w:spacing w:before="0" w:line="240" w:lineRule="auto"/>
              <w:rPr>
                <w:sz w:val="22"/>
                <w:szCs w:val="22"/>
              </w:rPr>
            </w:pPr>
          </w:p>
        </w:tc>
      </w:tr>
      <w:tr w:rsidR="0073415B" w:rsidRPr="002C0CB5" w:rsidTr="00131ACC">
        <w:trPr>
          <w:trHeight w:val="213"/>
        </w:trPr>
        <w:tc>
          <w:tcPr>
            <w:tcW w:w="1747" w:type="pct"/>
          </w:tcPr>
          <w:p w:rsidR="002C0CB5" w:rsidRPr="00131ACC" w:rsidRDefault="002C0CB5" w:rsidP="0073415B">
            <w:pPr>
              <w:pStyle w:val="Paragraph"/>
              <w:spacing w:before="0" w:line="240" w:lineRule="auto"/>
              <w:rPr>
                <w:sz w:val="22"/>
                <w:szCs w:val="22"/>
              </w:rPr>
            </w:pPr>
            <w:r w:rsidRPr="00131ACC">
              <w:rPr>
                <w:sz w:val="22"/>
                <w:szCs w:val="22"/>
              </w:rPr>
              <w:t>Fineness modulus</w:t>
            </w:r>
          </w:p>
        </w:tc>
        <w:tc>
          <w:tcPr>
            <w:tcW w:w="1244" w:type="pct"/>
          </w:tcPr>
          <w:p w:rsidR="002C0CB5" w:rsidRPr="00131ACC" w:rsidRDefault="002C0CB5" w:rsidP="0073415B">
            <w:pPr>
              <w:pStyle w:val="Paragraph"/>
              <w:spacing w:before="0" w:line="240" w:lineRule="auto"/>
              <w:rPr>
                <w:sz w:val="22"/>
                <w:szCs w:val="22"/>
              </w:rPr>
            </w:pPr>
          </w:p>
        </w:tc>
        <w:tc>
          <w:tcPr>
            <w:tcW w:w="398" w:type="pct"/>
          </w:tcPr>
          <w:p w:rsidR="002C0CB5" w:rsidRPr="00131ACC" w:rsidRDefault="002C0CB5" w:rsidP="0073415B">
            <w:pPr>
              <w:pStyle w:val="Paragraph"/>
              <w:spacing w:before="0" w:line="240" w:lineRule="auto"/>
              <w:rPr>
                <w:sz w:val="22"/>
                <w:szCs w:val="22"/>
              </w:rPr>
            </w:pPr>
            <w:r w:rsidRPr="00131ACC">
              <w:rPr>
                <w:sz w:val="22"/>
                <w:szCs w:val="22"/>
              </w:rPr>
              <w:t>3.19</w:t>
            </w:r>
          </w:p>
        </w:tc>
        <w:tc>
          <w:tcPr>
            <w:tcW w:w="419" w:type="pct"/>
          </w:tcPr>
          <w:p w:rsidR="002C0CB5" w:rsidRPr="00131ACC" w:rsidRDefault="002C0CB5" w:rsidP="0073415B">
            <w:pPr>
              <w:pStyle w:val="Paragraph"/>
              <w:spacing w:before="0" w:line="240" w:lineRule="auto"/>
              <w:rPr>
                <w:sz w:val="22"/>
                <w:szCs w:val="22"/>
              </w:rPr>
            </w:pPr>
            <w:r w:rsidRPr="00131ACC">
              <w:rPr>
                <w:sz w:val="22"/>
                <w:szCs w:val="22"/>
              </w:rPr>
              <w:t>5.71</w:t>
            </w:r>
          </w:p>
        </w:tc>
        <w:tc>
          <w:tcPr>
            <w:tcW w:w="480" w:type="pct"/>
          </w:tcPr>
          <w:p w:rsidR="002C0CB5" w:rsidRPr="00131ACC" w:rsidRDefault="002C0CB5" w:rsidP="0073415B">
            <w:pPr>
              <w:pStyle w:val="Paragraph"/>
              <w:spacing w:before="0" w:line="240" w:lineRule="auto"/>
              <w:rPr>
                <w:sz w:val="22"/>
                <w:szCs w:val="22"/>
              </w:rPr>
            </w:pPr>
            <w:r w:rsidRPr="00131ACC">
              <w:rPr>
                <w:sz w:val="22"/>
                <w:szCs w:val="22"/>
              </w:rPr>
              <w:t>4.69</w:t>
            </w:r>
          </w:p>
        </w:tc>
        <w:tc>
          <w:tcPr>
            <w:tcW w:w="712" w:type="pct"/>
          </w:tcPr>
          <w:p w:rsidR="002C0CB5" w:rsidRPr="00131ACC" w:rsidRDefault="002C0CB5" w:rsidP="0073415B">
            <w:pPr>
              <w:pStyle w:val="Paragraph"/>
              <w:spacing w:before="0" w:line="240" w:lineRule="auto"/>
              <w:rPr>
                <w:sz w:val="22"/>
                <w:szCs w:val="22"/>
              </w:rPr>
            </w:pPr>
            <w:r w:rsidRPr="00131ACC">
              <w:rPr>
                <w:sz w:val="22"/>
                <w:szCs w:val="22"/>
              </w:rPr>
              <w:t>3.2 – 4.2</w:t>
            </w:r>
          </w:p>
        </w:tc>
      </w:tr>
      <w:tr w:rsidR="0073415B" w:rsidRPr="002C0CB5" w:rsidTr="00131ACC">
        <w:trPr>
          <w:trHeight w:val="213"/>
        </w:trPr>
        <w:tc>
          <w:tcPr>
            <w:tcW w:w="1747" w:type="pct"/>
          </w:tcPr>
          <w:p w:rsidR="002C0CB5" w:rsidRPr="00131ACC" w:rsidRDefault="002C0CB5" w:rsidP="0073415B">
            <w:pPr>
              <w:pStyle w:val="Paragraph"/>
              <w:spacing w:before="0" w:line="240" w:lineRule="auto"/>
              <w:rPr>
                <w:sz w:val="22"/>
                <w:szCs w:val="22"/>
              </w:rPr>
            </w:pPr>
            <w:r w:rsidRPr="00131ACC">
              <w:rPr>
                <w:sz w:val="22"/>
                <w:szCs w:val="22"/>
              </w:rPr>
              <w:t>Coefﬁcient of uniformity (c</w:t>
            </w:r>
            <w:r w:rsidRPr="00131ACC">
              <w:rPr>
                <w:sz w:val="22"/>
                <w:szCs w:val="22"/>
                <w:vertAlign w:val="subscript"/>
              </w:rPr>
              <w:t>u</w:t>
            </w:r>
            <w:r w:rsidRPr="00131ACC">
              <w:rPr>
                <w:sz w:val="22"/>
                <w:szCs w:val="22"/>
              </w:rPr>
              <w:t>)</w:t>
            </w:r>
          </w:p>
        </w:tc>
        <w:tc>
          <w:tcPr>
            <w:tcW w:w="1244" w:type="pct"/>
          </w:tcPr>
          <w:p w:rsidR="002C0CB5" w:rsidRPr="00131ACC" w:rsidRDefault="002C0CB5" w:rsidP="0073415B">
            <w:pPr>
              <w:pStyle w:val="Paragraph"/>
              <w:spacing w:before="0" w:line="240" w:lineRule="auto"/>
              <w:rPr>
                <w:sz w:val="22"/>
                <w:szCs w:val="22"/>
              </w:rPr>
            </w:pPr>
          </w:p>
        </w:tc>
        <w:tc>
          <w:tcPr>
            <w:tcW w:w="398" w:type="pct"/>
          </w:tcPr>
          <w:p w:rsidR="002C0CB5" w:rsidRPr="00131ACC" w:rsidRDefault="002C0CB5" w:rsidP="0073415B">
            <w:pPr>
              <w:pStyle w:val="Paragraph"/>
              <w:spacing w:before="0" w:line="240" w:lineRule="auto"/>
              <w:rPr>
                <w:sz w:val="22"/>
                <w:szCs w:val="22"/>
              </w:rPr>
            </w:pPr>
            <w:r w:rsidRPr="00131ACC">
              <w:rPr>
                <w:sz w:val="22"/>
                <w:szCs w:val="22"/>
              </w:rPr>
              <w:t>4</w:t>
            </w:r>
          </w:p>
        </w:tc>
        <w:tc>
          <w:tcPr>
            <w:tcW w:w="419" w:type="pct"/>
          </w:tcPr>
          <w:p w:rsidR="002C0CB5" w:rsidRPr="00131ACC" w:rsidRDefault="002C0CB5" w:rsidP="0073415B">
            <w:pPr>
              <w:pStyle w:val="Paragraph"/>
              <w:spacing w:before="0" w:line="240" w:lineRule="auto"/>
              <w:rPr>
                <w:sz w:val="22"/>
                <w:szCs w:val="22"/>
              </w:rPr>
            </w:pPr>
            <w:r w:rsidRPr="00131ACC">
              <w:rPr>
                <w:sz w:val="22"/>
                <w:szCs w:val="22"/>
              </w:rPr>
              <w:t>2</w:t>
            </w:r>
          </w:p>
        </w:tc>
        <w:tc>
          <w:tcPr>
            <w:tcW w:w="480" w:type="pct"/>
          </w:tcPr>
          <w:p w:rsidR="002C0CB5" w:rsidRPr="00131ACC" w:rsidRDefault="002C0CB5" w:rsidP="0073415B">
            <w:pPr>
              <w:pStyle w:val="Paragraph"/>
              <w:spacing w:before="0" w:line="240" w:lineRule="auto"/>
              <w:rPr>
                <w:sz w:val="22"/>
                <w:szCs w:val="22"/>
              </w:rPr>
            </w:pPr>
            <w:r w:rsidRPr="00131ACC">
              <w:rPr>
                <w:sz w:val="22"/>
                <w:szCs w:val="22"/>
              </w:rPr>
              <w:t>8</w:t>
            </w:r>
          </w:p>
        </w:tc>
        <w:tc>
          <w:tcPr>
            <w:tcW w:w="712" w:type="pct"/>
          </w:tcPr>
          <w:p w:rsidR="002C0CB5" w:rsidRPr="00131ACC" w:rsidRDefault="002C0CB5" w:rsidP="0073415B">
            <w:pPr>
              <w:pStyle w:val="Paragraph"/>
              <w:spacing w:before="0" w:line="240" w:lineRule="auto"/>
              <w:rPr>
                <w:sz w:val="22"/>
                <w:szCs w:val="22"/>
              </w:rPr>
            </w:pPr>
            <w:r w:rsidRPr="00131ACC">
              <w:rPr>
                <w:sz w:val="22"/>
                <w:szCs w:val="22"/>
              </w:rPr>
              <w:t>&gt;4</w:t>
            </w:r>
          </w:p>
        </w:tc>
      </w:tr>
      <w:tr w:rsidR="0073415B" w:rsidRPr="002C0CB5" w:rsidTr="00131ACC">
        <w:trPr>
          <w:trHeight w:val="213"/>
        </w:trPr>
        <w:tc>
          <w:tcPr>
            <w:tcW w:w="1747" w:type="pct"/>
          </w:tcPr>
          <w:p w:rsidR="002C0CB5" w:rsidRPr="00131ACC" w:rsidRDefault="002C0CB5" w:rsidP="0073415B">
            <w:pPr>
              <w:pStyle w:val="Paragraph"/>
              <w:spacing w:before="0" w:line="240" w:lineRule="auto"/>
              <w:rPr>
                <w:sz w:val="22"/>
                <w:szCs w:val="22"/>
              </w:rPr>
            </w:pPr>
            <w:r w:rsidRPr="00131ACC">
              <w:rPr>
                <w:sz w:val="22"/>
                <w:szCs w:val="22"/>
              </w:rPr>
              <w:t>Coefﬁcient of curvature (c</w:t>
            </w:r>
            <w:r w:rsidRPr="00131ACC">
              <w:rPr>
                <w:sz w:val="22"/>
                <w:szCs w:val="22"/>
                <w:vertAlign w:val="subscript"/>
              </w:rPr>
              <w:t>c</w:t>
            </w:r>
            <w:r w:rsidRPr="00131ACC">
              <w:rPr>
                <w:sz w:val="22"/>
                <w:szCs w:val="22"/>
              </w:rPr>
              <w:t>)</w:t>
            </w:r>
          </w:p>
        </w:tc>
        <w:tc>
          <w:tcPr>
            <w:tcW w:w="1244" w:type="pct"/>
          </w:tcPr>
          <w:p w:rsidR="002C0CB5" w:rsidRPr="00131ACC" w:rsidRDefault="002C0CB5" w:rsidP="0073415B">
            <w:pPr>
              <w:pStyle w:val="Paragraph"/>
              <w:spacing w:before="0" w:line="240" w:lineRule="auto"/>
              <w:rPr>
                <w:sz w:val="22"/>
                <w:szCs w:val="22"/>
              </w:rPr>
            </w:pPr>
          </w:p>
        </w:tc>
        <w:tc>
          <w:tcPr>
            <w:tcW w:w="398" w:type="pct"/>
          </w:tcPr>
          <w:p w:rsidR="002C0CB5" w:rsidRPr="00131ACC" w:rsidRDefault="002C0CB5" w:rsidP="0073415B">
            <w:pPr>
              <w:pStyle w:val="Paragraph"/>
              <w:spacing w:before="0" w:line="240" w:lineRule="auto"/>
              <w:rPr>
                <w:sz w:val="22"/>
                <w:szCs w:val="22"/>
              </w:rPr>
            </w:pPr>
            <w:r w:rsidRPr="00131ACC">
              <w:rPr>
                <w:sz w:val="22"/>
                <w:szCs w:val="22"/>
              </w:rPr>
              <w:t>1</w:t>
            </w:r>
          </w:p>
        </w:tc>
        <w:tc>
          <w:tcPr>
            <w:tcW w:w="419" w:type="pct"/>
          </w:tcPr>
          <w:p w:rsidR="002C0CB5" w:rsidRPr="00131ACC" w:rsidRDefault="002C0CB5" w:rsidP="0073415B">
            <w:pPr>
              <w:pStyle w:val="Paragraph"/>
              <w:spacing w:before="0" w:line="240" w:lineRule="auto"/>
              <w:rPr>
                <w:sz w:val="22"/>
                <w:szCs w:val="22"/>
              </w:rPr>
            </w:pPr>
            <w:r w:rsidRPr="00131ACC">
              <w:rPr>
                <w:sz w:val="22"/>
                <w:szCs w:val="22"/>
              </w:rPr>
              <w:t>1</w:t>
            </w:r>
          </w:p>
        </w:tc>
        <w:tc>
          <w:tcPr>
            <w:tcW w:w="480" w:type="pct"/>
          </w:tcPr>
          <w:p w:rsidR="002C0CB5" w:rsidRPr="00131ACC" w:rsidRDefault="002C0CB5" w:rsidP="0073415B">
            <w:pPr>
              <w:pStyle w:val="Paragraph"/>
              <w:spacing w:before="0" w:line="240" w:lineRule="auto"/>
              <w:rPr>
                <w:sz w:val="22"/>
                <w:szCs w:val="22"/>
              </w:rPr>
            </w:pPr>
            <w:r w:rsidRPr="00131ACC">
              <w:rPr>
                <w:sz w:val="22"/>
                <w:szCs w:val="22"/>
              </w:rPr>
              <w:t>1</w:t>
            </w:r>
          </w:p>
        </w:tc>
        <w:tc>
          <w:tcPr>
            <w:tcW w:w="712" w:type="pct"/>
          </w:tcPr>
          <w:p w:rsidR="002C0CB5" w:rsidRPr="00131ACC" w:rsidRDefault="002C0CB5" w:rsidP="0073415B">
            <w:pPr>
              <w:pStyle w:val="Paragraph"/>
              <w:spacing w:before="0" w:line="240" w:lineRule="auto"/>
              <w:rPr>
                <w:sz w:val="22"/>
                <w:szCs w:val="22"/>
              </w:rPr>
            </w:pPr>
            <w:r w:rsidRPr="00131ACC">
              <w:rPr>
                <w:sz w:val="22"/>
                <w:szCs w:val="22"/>
              </w:rPr>
              <w:t>1 ≤ Cc ≤ 3</w:t>
            </w:r>
          </w:p>
        </w:tc>
      </w:tr>
      <w:tr w:rsidR="0073415B" w:rsidRPr="002C0CB5" w:rsidTr="00131ACC">
        <w:trPr>
          <w:trHeight w:val="213"/>
        </w:trPr>
        <w:tc>
          <w:tcPr>
            <w:tcW w:w="1747" w:type="pct"/>
          </w:tcPr>
          <w:p w:rsidR="002C0CB5" w:rsidRPr="00131ACC" w:rsidRDefault="002C0CB5" w:rsidP="0073415B">
            <w:pPr>
              <w:pStyle w:val="Paragraph"/>
              <w:spacing w:before="0" w:line="240" w:lineRule="auto"/>
              <w:rPr>
                <w:sz w:val="22"/>
                <w:szCs w:val="22"/>
              </w:rPr>
            </w:pPr>
            <w:r w:rsidRPr="00131ACC">
              <w:rPr>
                <w:sz w:val="22"/>
                <w:szCs w:val="22"/>
              </w:rPr>
              <w:t>Voids ratio</w:t>
            </w:r>
          </w:p>
        </w:tc>
        <w:tc>
          <w:tcPr>
            <w:tcW w:w="1244" w:type="pct"/>
          </w:tcPr>
          <w:p w:rsidR="002C0CB5" w:rsidRPr="00131ACC" w:rsidRDefault="002C0CB5" w:rsidP="0073415B">
            <w:pPr>
              <w:pStyle w:val="Paragraph"/>
              <w:spacing w:before="0" w:line="240" w:lineRule="auto"/>
              <w:rPr>
                <w:sz w:val="22"/>
                <w:szCs w:val="22"/>
              </w:rPr>
            </w:pPr>
          </w:p>
        </w:tc>
        <w:tc>
          <w:tcPr>
            <w:tcW w:w="398" w:type="pct"/>
          </w:tcPr>
          <w:p w:rsidR="002C0CB5" w:rsidRPr="00131ACC" w:rsidRDefault="002C0CB5" w:rsidP="0073415B">
            <w:pPr>
              <w:pStyle w:val="Paragraph"/>
              <w:spacing w:before="0" w:line="240" w:lineRule="auto"/>
              <w:rPr>
                <w:sz w:val="22"/>
                <w:szCs w:val="22"/>
              </w:rPr>
            </w:pPr>
            <w:r w:rsidRPr="00131ACC">
              <w:rPr>
                <w:sz w:val="22"/>
                <w:szCs w:val="22"/>
              </w:rPr>
              <w:t>-</w:t>
            </w:r>
          </w:p>
        </w:tc>
        <w:tc>
          <w:tcPr>
            <w:tcW w:w="419" w:type="pct"/>
          </w:tcPr>
          <w:p w:rsidR="002C0CB5" w:rsidRPr="00131ACC" w:rsidRDefault="002C0CB5" w:rsidP="0073415B">
            <w:pPr>
              <w:pStyle w:val="Paragraph"/>
              <w:spacing w:before="0" w:line="240" w:lineRule="auto"/>
              <w:rPr>
                <w:sz w:val="22"/>
                <w:szCs w:val="22"/>
              </w:rPr>
            </w:pPr>
            <w:r w:rsidRPr="00131ACC">
              <w:rPr>
                <w:sz w:val="22"/>
                <w:szCs w:val="22"/>
              </w:rPr>
              <w:t>0.433</w:t>
            </w:r>
          </w:p>
        </w:tc>
        <w:tc>
          <w:tcPr>
            <w:tcW w:w="480" w:type="pct"/>
          </w:tcPr>
          <w:p w:rsidR="002C0CB5" w:rsidRPr="00131ACC" w:rsidRDefault="002C0CB5" w:rsidP="0073415B">
            <w:pPr>
              <w:pStyle w:val="Paragraph"/>
              <w:spacing w:before="0" w:line="240" w:lineRule="auto"/>
              <w:rPr>
                <w:sz w:val="22"/>
                <w:szCs w:val="22"/>
              </w:rPr>
            </w:pPr>
            <w:r w:rsidRPr="00131ACC">
              <w:rPr>
                <w:sz w:val="22"/>
                <w:szCs w:val="22"/>
              </w:rPr>
              <w:t>0.285</w:t>
            </w:r>
          </w:p>
        </w:tc>
        <w:tc>
          <w:tcPr>
            <w:tcW w:w="712" w:type="pct"/>
          </w:tcPr>
          <w:p w:rsidR="002C0CB5" w:rsidRPr="00131ACC" w:rsidRDefault="002C0CB5" w:rsidP="0073415B">
            <w:pPr>
              <w:pStyle w:val="Paragraph"/>
              <w:spacing w:before="0" w:line="240" w:lineRule="auto"/>
              <w:rPr>
                <w:sz w:val="22"/>
                <w:szCs w:val="22"/>
              </w:rPr>
            </w:pPr>
          </w:p>
        </w:tc>
      </w:tr>
      <w:tr w:rsidR="0073415B" w:rsidRPr="002C0CB5" w:rsidTr="00131ACC">
        <w:trPr>
          <w:trHeight w:val="213"/>
        </w:trPr>
        <w:tc>
          <w:tcPr>
            <w:tcW w:w="1747" w:type="pct"/>
          </w:tcPr>
          <w:p w:rsidR="002C0CB5" w:rsidRPr="00131ACC" w:rsidRDefault="002C0CB5" w:rsidP="0073415B">
            <w:pPr>
              <w:pStyle w:val="Paragraph"/>
              <w:spacing w:before="0" w:line="240" w:lineRule="auto"/>
              <w:rPr>
                <w:sz w:val="22"/>
                <w:szCs w:val="22"/>
              </w:rPr>
            </w:pPr>
            <w:r w:rsidRPr="00131ACC">
              <w:rPr>
                <w:sz w:val="22"/>
                <w:szCs w:val="22"/>
              </w:rPr>
              <w:t>Porosity (%)</w:t>
            </w:r>
          </w:p>
        </w:tc>
        <w:tc>
          <w:tcPr>
            <w:tcW w:w="1244" w:type="pct"/>
          </w:tcPr>
          <w:p w:rsidR="002C0CB5" w:rsidRPr="00131ACC" w:rsidRDefault="002C0CB5" w:rsidP="0073415B">
            <w:pPr>
              <w:pStyle w:val="Paragraph"/>
              <w:spacing w:before="0" w:line="240" w:lineRule="auto"/>
              <w:rPr>
                <w:sz w:val="22"/>
                <w:szCs w:val="22"/>
              </w:rPr>
            </w:pPr>
          </w:p>
        </w:tc>
        <w:tc>
          <w:tcPr>
            <w:tcW w:w="398" w:type="pct"/>
          </w:tcPr>
          <w:p w:rsidR="002C0CB5" w:rsidRPr="00131ACC" w:rsidRDefault="002C0CB5" w:rsidP="0073415B">
            <w:pPr>
              <w:pStyle w:val="Paragraph"/>
              <w:spacing w:before="0" w:line="240" w:lineRule="auto"/>
              <w:rPr>
                <w:sz w:val="22"/>
                <w:szCs w:val="22"/>
              </w:rPr>
            </w:pPr>
            <w:r w:rsidRPr="00131ACC">
              <w:rPr>
                <w:sz w:val="22"/>
                <w:szCs w:val="22"/>
              </w:rPr>
              <w:t>-</w:t>
            </w:r>
          </w:p>
        </w:tc>
        <w:tc>
          <w:tcPr>
            <w:tcW w:w="419" w:type="pct"/>
          </w:tcPr>
          <w:p w:rsidR="002C0CB5" w:rsidRPr="00131ACC" w:rsidRDefault="002C0CB5" w:rsidP="0073415B">
            <w:pPr>
              <w:pStyle w:val="Paragraph"/>
              <w:spacing w:before="0" w:line="240" w:lineRule="auto"/>
              <w:rPr>
                <w:sz w:val="22"/>
                <w:szCs w:val="22"/>
              </w:rPr>
            </w:pPr>
            <w:r w:rsidRPr="00131ACC">
              <w:rPr>
                <w:sz w:val="22"/>
                <w:szCs w:val="22"/>
              </w:rPr>
              <w:t>30</w:t>
            </w:r>
          </w:p>
        </w:tc>
        <w:tc>
          <w:tcPr>
            <w:tcW w:w="480" w:type="pct"/>
          </w:tcPr>
          <w:p w:rsidR="002C0CB5" w:rsidRPr="00131ACC" w:rsidRDefault="002C0CB5" w:rsidP="0073415B">
            <w:pPr>
              <w:pStyle w:val="Paragraph"/>
              <w:spacing w:before="0" w:line="240" w:lineRule="auto"/>
              <w:rPr>
                <w:sz w:val="22"/>
                <w:szCs w:val="22"/>
              </w:rPr>
            </w:pPr>
            <w:r w:rsidRPr="00131ACC">
              <w:rPr>
                <w:sz w:val="22"/>
                <w:szCs w:val="22"/>
              </w:rPr>
              <w:t>22.2</w:t>
            </w:r>
          </w:p>
        </w:tc>
        <w:tc>
          <w:tcPr>
            <w:tcW w:w="712" w:type="pct"/>
          </w:tcPr>
          <w:p w:rsidR="002C0CB5" w:rsidRPr="00131ACC" w:rsidRDefault="002C0CB5" w:rsidP="0073415B">
            <w:pPr>
              <w:pStyle w:val="Paragraph"/>
              <w:spacing w:before="0" w:line="240" w:lineRule="auto"/>
              <w:rPr>
                <w:sz w:val="22"/>
                <w:szCs w:val="22"/>
              </w:rPr>
            </w:pPr>
          </w:p>
        </w:tc>
      </w:tr>
      <w:tr w:rsidR="0073415B" w:rsidRPr="002C0CB5" w:rsidTr="00131ACC">
        <w:trPr>
          <w:trHeight w:val="227"/>
        </w:trPr>
        <w:tc>
          <w:tcPr>
            <w:tcW w:w="1747" w:type="pct"/>
            <w:tcBorders>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pH</w:t>
            </w:r>
          </w:p>
        </w:tc>
        <w:tc>
          <w:tcPr>
            <w:tcW w:w="1244" w:type="pct"/>
            <w:tcBorders>
              <w:bottom w:val="single" w:sz="4" w:space="0" w:color="auto"/>
            </w:tcBorders>
          </w:tcPr>
          <w:p w:rsidR="002C0CB5" w:rsidRPr="00131ACC" w:rsidRDefault="002C0CB5" w:rsidP="000B1BE6">
            <w:pPr>
              <w:pStyle w:val="Paragraph"/>
              <w:spacing w:before="0" w:line="240" w:lineRule="auto"/>
              <w:rPr>
                <w:sz w:val="22"/>
                <w:szCs w:val="22"/>
              </w:rPr>
            </w:pPr>
            <w:r w:rsidRPr="00131ACC">
              <w:rPr>
                <w:sz w:val="22"/>
                <w:szCs w:val="22"/>
              </w:rPr>
              <w:t xml:space="preserve">BS 1377 </w:t>
            </w:r>
            <w:r w:rsidRPr="00131ACC">
              <w:rPr>
                <w:sz w:val="22"/>
                <w:szCs w:val="22"/>
              </w:rPr>
              <w:fldChar w:fldCharType="begin"/>
            </w:r>
            <w:r w:rsidR="000B1BE6">
              <w:rPr>
                <w:sz w:val="22"/>
                <w:szCs w:val="22"/>
              </w:rPr>
              <w:instrText xml:space="preserve"> ADDIN EN.CITE &lt;EndNote&gt;&lt;Cite ExcludeAuth="1"&gt;&lt;Author&gt;BS&lt;/Author&gt;&lt;Year&gt;1990&lt;/Year&gt;&lt;RecNum&gt;261&lt;/RecNum&gt;&lt;DisplayText&gt;(1990a)&lt;/DisplayText&gt;&lt;record&gt;&lt;rec-number&gt;261&lt;/rec-number&gt;&lt;foreign-keys&gt;&lt;key app="EN" db-id="25a5fvaw7f5peyeeez7xawr9wzraf29tswtp" timestamp="1478742977"&gt;261&lt;/key&gt;&lt;/foreign-keys&gt;&lt;ref-type name="Standard"&gt;58&lt;/ref-type&gt;&lt;contributors&gt;&lt;authors&gt;&lt;author&gt;BS&lt;/author&gt;&lt;/authors&gt;&lt;/contributors&gt;&lt;titles&gt;&lt;title&gt;Methods of test for soils for civil engineering purposes. Chemical and electro-chemical tests&lt;/title&gt;&lt;/titles&gt;&lt;volume&gt;Standard 1377-3:1990&lt;/volume&gt;&lt;dates&gt;&lt;year&gt;1990&lt;/year&gt;&lt;pub-dates&gt;&lt;date&gt;1990&lt;/date&gt;&lt;/pub-dates&gt;&lt;/dates&gt;&lt;pub-location&gt;London, U.K&lt;/pub-location&gt;&lt;publisher&gt;British Standard Institution BSI&lt;/publisher&gt;&lt;urls&gt;&lt;/urls&gt;&lt;/record&gt;&lt;/Cite&gt;&lt;/EndNote&gt;</w:instrText>
            </w:r>
            <w:r w:rsidRPr="00131ACC">
              <w:rPr>
                <w:sz w:val="22"/>
                <w:szCs w:val="22"/>
              </w:rPr>
              <w:fldChar w:fldCharType="separate"/>
            </w:r>
            <w:r w:rsidR="000B1BE6">
              <w:rPr>
                <w:noProof/>
                <w:sz w:val="22"/>
                <w:szCs w:val="22"/>
              </w:rPr>
              <w:t>(1990a)</w:t>
            </w:r>
            <w:r w:rsidRPr="00131ACC">
              <w:rPr>
                <w:sz w:val="22"/>
                <w:szCs w:val="22"/>
              </w:rPr>
              <w:fldChar w:fldCharType="end"/>
            </w:r>
          </w:p>
        </w:tc>
        <w:tc>
          <w:tcPr>
            <w:tcW w:w="398" w:type="pct"/>
            <w:tcBorders>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w:t>
            </w:r>
          </w:p>
        </w:tc>
        <w:tc>
          <w:tcPr>
            <w:tcW w:w="419" w:type="pct"/>
            <w:tcBorders>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8.51</w:t>
            </w:r>
          </w:p>
        </w:tc>
        <w:tc>
          <w:tcPr>
            <w:tcW w:w="480" w:type="pct"/>
            <w:tcBorders>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12.26</w:t>
            </w:r>
          </w:p>
        </w:tc>
        <w:tc>
          <w:tcPr>
            <w:tcW w:w="712" w:type="pct"/>
            <w:tcBorders>
              <w:bottom w:val="single" w:sz="4" w:space="0" w:color="auto"/>
            </w:tcBorders>
          </w:tcPr>
          <w:p w:rsidR="002C0CB5" w:rsidRPr="00131ACC" w:rsidRDefault="002C0CB5" w:rsidP="0073415B">
            <w:pPr>
              <w:pStyle w:val="Paragraph"/>
              <w:spacing w:before="0" w:line="240" w:lineRule="auto"/>
              <w:rPr>
                <w:sz w:val="22"/>
                <w:szCs w:val="22"/>
              </w:rPr>
            </w:pPr>
            <w:r w:rsidRPr="00131ACC">
              <w:rPr>
                <w:sz w:val="22"/>
                <w:szCs w:val="22"/>
              </w:rPr>
              <w:t>6 - 11</w:t>
            </w:r>
          </w:p>
        </w:tc>
      </w:tr>
    </w:tbl>
    <w:p w:rsidR="002C0CB5" w:rsidRPr="002C0CB5" w:rsidRDefault="002C0CB5" w:rsidP="002C0CB5">
      <w:pPr>
        <w:pStyle w:val="Paragraph"/>
        <w:rPr>
          <w:lang w:val="en-US"/>
        </w:rPr>
      </w:pPr>
      <w:r w:rsidRPr="002C0CB5">
        <w:rPr>
          <w:noProof/>
        </w:rPr>
        <w:lastRenderedPageBreak/>
        <w:drawing>
          <wp:inline distT="0" distB="0" distL="0" distR="0" wp14:anchorId="14E7A9C1" wp14:editId="16681D05">
            <wp:extent cx="5212080" cy="2743200"/>
            <wp:effectExtent l="0" t="0" r="762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0CB5" w:rsidRPr="002C0CB5" w:rsidRDefault="002C0CB5" w:rsidP="001A7CD6">
      <w:pPr>
        <w:pStyle w:val="Figurecaption"/>
        <w:rPr>
          <w:lang w:val="en-US"/>
        </w:rPr>
      </w:pPr>
      <w:bookmarkStart w:id="6" w:name="_Ref525370953"/>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4</w:t>
      </w:r>
      <w:r w:rsidRPr="002C0CB5">
        <w:fldChar w:fldCharType="end"/>
      </w:r>
      <w:bookmarkEnd w:id="6"/>
      <w:r w:rsidRPr="002C0CB5">
        <w:rPr>
          <w:lang w:val="en-US"/>
        </w:rPr>
        <w:t xml:space="preserve">: Particle Size </w:t>
      </w:r>
      <w:r w:rsidRPr="001A7CD6">
        <w:t>Distributions</w:t>
      </w:r>
      <w:r w:rsidRPr="002C0CB5">
        <w:rPr>
          <w:lang w:val="en-US"/>
        </w:rPr>
        <w:t xml:space="preserve"> (PSD) of aggregates and fines</w:t>
      </w:r>
    </w:p>
    <w:p w:rsidR="009826F6" w:rsidRPr="009826F6" w:rsidRDefault="002C0CB5" w:rsidP="002C0CB5">
      <w:pPr>
        <w:pStyle w:val="Heading2"/>
      </w:pPr>
      <w:r>
        <w:lastRenderedPageBreak/>
        <w:t>Methods</w:t>
      </w:r>
    </w:p>
    <w:p w:rsidR="00FF2E55" w:rsidRDefault="00FF2E55" w:rsidP="002C0CB5">
      <w:pPr>
        <w:pStyle w:val="Heading3"/>
      </w:pPr>
      <w:r>
        <w:t>Production of concrete samples</w:t>
      </w:r>
      <w:r w:rsidR="002C0CB5">
        <w:t xml:space="preserve"> and solid concrete permeable pavement blocks</w:t>
      </w:r>
    </w:p>
    <w:p w:rsidR="002C0CB5" w:rsidRPr="002C0CB5" w:rsidRDefault="002C0CB5" w:rsidP="002C0CB5">
      <w:pPr>
        <w:pStyle w:val="Paragraph"/>
      </w:pPr>
      <w:r w:rsidRPr="002C0CB5">
        <w:t>Six different concrete mixes were produced whereby NA were replaced with CNA by mass in varying percentages</w:t>
      </w:r>
      <w:r w:rsidR="00B07817">
        <w:t xml:space="preserve"> of 0, 15, 30, 50, 75 and 100. </w:t>
      </w:r>
      <w:r w:rsidRPr="002C0CB5">
        <w:t>All mixes were prepared in a 50 dm</w:t>
      </w:r>
      <w:r w:rsidRPr="002C0CB5">
        <w:rPr>
          <w:vertAlign w:val="superscript"/>
        </w:rPr>
        <w:t>3</w:t>
      </w:r>
      <w:r w:rsidRPr="002C0CB5">
        <w:t xml:space="preserve"> capacity rotary mixer in the laboratory. Increased NA replacement had a negative effect on the workability of the fresh concrete because of the higher water absorption of the CNA. Consequently, the </w:t>
      </w:r>
      <w:r w:rsidRPr="002C0CB5">
        <w:lastRenderedPageBreak/>
        <w:t xml:space="preserve">water-cement ratio was increased as the CNA percentages increased. The additional water was predetermined based on the water absorption of the CNA. Alternatively, the CNA could have been pre-soaked to saturation </w:t>
      </w:r>
      <w:r w:rsidRPr="002C0CB5">
        <w:fldChar w:fldCharType="begin"/>
      </w:r>
      <w:r w:rsidRPr="002C0CB5">
        <w:instrText xml:space="preserve"> ADDIN EN.CITE &lt;EndNote&gt;&lt;Cite&gt;&lt;Author&gt;Kockal&lt;/Author&gt;&lt;Year&gt;2011&lt;/Year&gt;&lt;RecNum&gt;364&lt;/RecNum&gt;&lt;DisplayText&gt;(Kockal and Ozturan 2011)&lt;/DisplayText&gt;&lt;record&gt;&lt;rec-number&gt;364&lt;/rec-number&gt;&lt;foreign-keys&gt;&lt;key app="EN" db-id="25a5fvaw7f5peyeeez7xawr9wzraf29tswtp" timestamp="1509292976"&gt;364&lt;/key&gt;&lt;/foreign-keys&gt;&lt;ref-type name="Journal Article"&gt;17&lt;/ref-type&gt;&lt;contributors&gt;&lt;authors&gt;&lt;author&gt;Kockal, Niyazi Ugur&lt;/author&gt;&lt;author&gt;Ozturan, Turan&lt;/author&gt;&lt;/authors&gt;&lt;/contributors&gt;&lt;titles&gt;&lt;title&gt;Durability of lightweight concretes with lightweight fly ash aggregates&lt;/title&gt;&lt;secondary-title&gt;Construction and Building Materials&lt;/secondary-title&gt;&lt;/titles&gt;&lt;periodical&gt;&lt;full-title&gt;Construction and Building Materials&lt;/full-title&gt;&lt;abbr-1&gt;Constr. Build. Mater.&lt;/abbr-1&gt;&lt;/periodical&gt;&lt;pages&gt;1430-1438&lt;/pages&gt;&lt;volume&gt;25&lt;/volume&gt;&lt;number&gt;3&lt;/number&gt;&lt;keywords&gt;&lt;keyword&gt;Lightweight fly ash aggregate&lt;/keyword&gt;&lt;keyword&gt;Strength&lt;/keyword&gt;&lt;keyword&gt;Microstructure&lt;/keyword&gt;&lt;keyword&gt;Specific gravity&lt;/keyword&gt;&lt;keyword&gt;Durability&lt;/keyword&gt;&lt;/keywords&gt;&lt;dates&gt;&lt;year&gt;2011&lt;/year&gt;&lt;pub-dates&gt;&lt;date&gt;2011/03/01/&lt;/date&gt;&lt;/pub-dates&gt;&lt;/dates&gt;&lt;isbn&gt;0950-0618&lt;/isbn&gt;&lt;urls&gt;&lt;related-urls&gt;&lt;url&gt;http://www.sciencedirect.com/science/article/pii/S0950061810004551&lt;/url&gt;&lt;/related-urls&gt;&lt;/urls&gt;&lt;electronic-resource-num&gt;https://doi.org/10.1016/j.conbuildmat.2010.09.022&lt;/electronic-resource-num&gt;&lt;/record&gt;&lt;/Cite&gt;&lt;/EndNote&gt;</w:instrText>
      </w:r>
      <w:r w:rsidRPr="002C0CB5">
        <w:fldChar w:fldCharType="separate"/>
      </w:r>
      <w:r w:rsidRPr="002C0CB5">
        <w:t>(Kockal and Ozturan 2011)</w:t>
      </w:r>
      <w:r w:rsidRPr="002C0CB5">
        <w:fldChar w:fldCharType="end"/>
      </w:r>
      <w:r w:rsidRPr="002C0CB5">
        <w:t xml:space="preserve"> or pre-wetted </w:t>
      </w:r>
      <w:r w:rsidRPr="002C0CB5">
        <w:fldChar w:fldCharType="begin"/>
      </w:r>
      <w:r w:rsidRPr="002C0CB5">
        <w:instrText xml:space="preserve"> ADDIN EN.CITE &lt;EndNote&gt;&lt;Cite&gt;&lt;Author&gt;Jiajun&lt;/Author&gt;&lt;Year&gt;2006&lt;/Year&gt;&lt;RecNum&gt;414&lt;/RecNum&gt;&lt;DisplayText&gt;(Jiajun et al. 2006, ACI 2013)&lt;/DisplayText&gt;&lt;record&gt;&lt;rec-number&gt;414&lt;/rec-number&gt;&lt;foreign-keys&gt;&lt;key app="EN" db-id="25a5fvaw7f5peyeeez7xawr9wzraf29tswtp" timestamp="1537676843"&gt;414&lt;/key&gt;&lt;/foreign-keys&gt;&lt;ref-type name="Journal Article"&gt;17&lt;/ref-type&gt;&lt;contributors&gt;&lt;authors&gt;&lt;author&gt;Jiajun, Ye&lt;/author&gt;&lt;author&gt;Shuguang, Hu&lt;/author&gt;&lt;author&gt;Fazhou, Wang&lt;/author&gt;&lt;author&gt;Yufei, Zhou&lt;/author&gt;&lt;author&gt;Zhichao, Liu&lt;/author&gt;&lt;/authors&gt;&lt;/contributors&gt;&lt;titles&gt;&lt;title&gt;Effect of pre-wetted light-weight aggregate on internal relative humidity and autogenous shrinkage of concrete&lt;/title&gt;&lt;secondary-title&gt;Journal of Wuhan University of Technology-Mater. Sci. Ed.&lt;/secondary-title&gt;&lt;/titles&gt;&lt;periodical&gt;&lt;full-title&gt;Journal of Wuhan University of Technology-Mater. Sci. Ed.&lt;/full-title&gt;&lt;/periodical&gt;&lt;pages&gt;134-137&lt;/pages&gt;&lt;volume&gt;21&lt;/volume&gt;&lt;number&gt;1&lt;/number&gt;&lt;dates&gt;&lt;year&gt;2006&lt;/year&gt;&lt;pub-dates&gt;&lt;date&gt;March 01&lt;/date&gt;&lt;/pub-dates&gt;&lt;/dates&gt;&lt;isbn&gt;1993-0437&lt;/isbn&gt;&lt;label&gt;Jiajun2006&lt;/label&gt;&lt;work-type&gt;journal article&lt;/work-type&gt;&lt;urls&gt;&lt;related-urls&gt;&lt;url&gt;https://doi.org/10.1007/BF02861491&lt;/url&gt;&lt;/related-urls&gt;&lt;/urls&gt;&lt;electronic-resource-num&gt;10.1007/bf02861491&lt;/electronic-resource-num&gt;&lt;/record&gt;&lt;/Cite&gt;&lt;Cite&gt;&lt;Author&gt;ACI&lt;/Author&gt;&lt;Year&gt;2013&lt;/Year&gt;&lt;RecNum&gt;415&lt;/RecNum&gt;&lt;record&gt;&lt;rec-number&gt;415&lt;/rec-number&gt;&lt;foreign-keys&gt;&lt;key app="EN" db-id="25a5fvaw7f5peyeeez7xawr9wzraf29tswtp" timestamp="1537678148"&gt;415&lt;/key&gt;&lt;/foreign-keys&gt;&lt;ref-type name="Report"&gt;27&lt;/ref-type&gt;&lt;contributors&gt;&lt;authors&gt;&lt;author&gt;ACI&lt;/author&gt;&lt;/authors&gt;&lt;/contributors&gt;&lt;titles&gt;&lt;title&gt;Report on Internally Cured Concrete Using Prewetted Absorptive Lightweight Aggregate&lt;/title&gt;&lt;/titles&gt;&lt;dates&gt;&lt;year&gt;2013&lt;/year&gt;&lt;/dates&gt;&lt;pub-location&gt;MI, USA&lt;/pub-location&gt;&lt;publisher&gt;American Concrete Institute&lt;/publisher&gt;&lt;urls&gt;&lt;/urls&gt;&lt;/record&gt;&lt;/Cite&gt;&lt;/EndNote&gt;</w:instrText>
      </w:r>
      <w:r w:rsidRPr="002C0CB5">
        <w:fldChar w:fldCharType="separate"/>
      </w:r>
      <w:r w:rsidRPr="002C0CB5">
        <w:t>(Jiajun et al. 2006, ACI 2013)</w:t>
      </w:r>
      <w:r w:rsidRPr="002C0CB5">
        <w:fldChar w:fldCharType="end"/>
      </w:r>
      <w:r w:rsidRPr="002C0CB5">
        <w:t xml:space="preserve"> prior to mixing. For all mixes, the fresh concrete slump values were measured immediately after mixing. The </w:t>
      </w:r>
      <w:r w:rsidR="00085ABA">
        <w:t>mix compositions</w:t>
      </w:r>
      <w:r w:rsidRPr="002C0CB5">
        <w:t xml:space="preserve"> </w:t>
      </w:r>
      <w:r w:rsidR="007E77ED">
        <w:t xml:space="preserve">and slump values of all concrete mixes </w:t>
      </w:r>
      <w:r w:rsidRPr="002C0CB5">
        <w:t xml:space="preserve">are listed in </w:t>
      </w:r>
      <w:r w:rsidRPr="002C0CB5">
        <w:fldChar w:fldCharType="begin"/>
      </w:r>
      <w:r w:rsidRPr="002C0CB5">
        <w:instrText xml:space="preserve"> REF _Ref525388189 \h </w:instrText>
      </w:r>
      <w:r w:rsidRPr="002C0CB5">
        <w:fldChar w:fldCharType="separate"/>
      </w:r>
      <w:r w:rsidR="00665D66" w:rsidRPr="002C0CB5">
        <w:t xml:space="preserve">Table </w:t>
      </w:r>
      <w:r w:rsidR="00665D66">
        <w:rPr>
          <w:noProof/>
        </w:rPr>
        <w:t>3</w:t>
      </w:r>
      <w:r w:rsidRPr="002C0CB5">
        <w:fldChar w:fldCharType="end"/>
      </w:r>
      <w:r w:rsidRPr="002C0CB5">
        <w:t>.</w:t>
      </w:r>
    </w:p>
    <w:p w:rsidR="002C0CB5" w:rsidRPr="002C0CB5" w:rsidRDefault="002C0CB5" w:rsidP="00B07817">
      <w:pPr>
        <w:pStyle w:val="Newparagraph"/>
      </w:pPr>
      <w:r w:rsidRPr="002C0CB5">
        <w:lastRenderedPageBreak/>
        <w:t>For each mix, four 100mm x 200mm cylinder samples, five 100mm cube samples and four 200mm x 100mm</w:t>
      </w:r>
      <w:r w:rsidR="008F0374">
        <w:t xml:space="preserve"> x 80mm</w:t>
      </w:r>
      <w:r w:rsidR="00893F7E">
        <w:t xml:space="preserve"> solid C</w:t>
      </w:r>
      <w:r w:rsidRPr="002C0CB5">
        <w:t xml:space="preserve">PB were prepared in accordance with BS EN 12390-3:2009 </w:t>
      </w:r>
      <w:r w:rsidRPr="002C0CB5">
        <w:fldChar w:fldCharType="begin"/>
      </w:r>
      <w:r w:rsidRPr="002C0CB5">
        <w:instrText xml:space="preserve"> ADDIN EN.CITE &lt;EndNote&gt;&lt;Cite&gt;&lt;Author&gt;BS&lt;/Author&gt;&lt;Year&gt;2009&lt;/Year&gt;&lt;RecNum&gt;399&lt;/RecNum&gt;&lt;DisplayText&gt;(BS 2009)&lt;/DisplayText&gt;&lt;record&gt;&lt;rec-number&gt;399&lt;/rec-number&gt;&lt;foreign-keys&gt;&lt;key app="EN" db-id="25a5fvaw7f5peyeeez7xawr9wzraf29tswtp" timestamp="1534821178"&gt;399&lt;/key&gt;&lt;/foreign-keys&gt;&lt;ref-type name="Standard"&gt;58&lt;/ref-type&gt;&lt;contributors&gt;&lt;authors&gt;&lt;author&gt;BS&lt;/author&gt;&lt;/authors&gt;&lt;/contributors&gt;&lt;titles&gt;&lt;title&gt;Testing hardened concrete. Compressive strength of test specimens&lt;/title&gt;&lt;/titles&gt;&lt;volume&gt;BS EN 12390-3:2009&lt;/volume&gt;&lt;dates&gt;&lt;year&gt;2009&lt;/year&gt;&lt;pub-dates&gt;&lt;date&gt;2009&lt;/date&gt;&lt;/pub-dates&gt;&lt;/dates&gt;&lt;pub-location&gt;London, U.K&lt;/pub-location&gt;&lt;publisher&gt;British Standard Institution BSI&lt;/publisher&gt;&lt;urls&gt;&lt;/urls&gt;&lt;/record&gt;&lt;/Cite&gt;&lt;/EndNote&gt;</w:instrText>
      </w:r>
      <w:r w:rsidRPr="002C0CB5">
        <w:fldChar w:fldCharType="separate"/>
      </w:r>
      <w:r w:rsidRPr="002C0CB5">
        <w:t>(BS 2009)</w:t>
      </w:r>
      <w:r w:rsidRPr="002C0CB5">
        <w:fldChar w:fldCharType="end"/>
      </w:r>
      <w:r w:rsidRPr="002C0CB5">
        <w:t xml:space="preserve"> and ASTM C936 </w:t>
      </w:r>
      <w:r w:rsidRPr="002C0CB5">
        <w:fldChar w:fldCharType="begin"/>
      </w:r>
      <w:r w:rsidRPr="002C0CB5">
        <w:instrText xml:space="preserve"> ADDIN EN.CITE &lt;EndNote&gt;&lt;Cite&gt;&lt;Author&gt;ASTM&lt;/Author&gt;&lt;Year&gt;2018&lt;/Year&gt;&lt;RecNum&gt;164&lt;/RecNum&gt;&lt;DisplayText&gt;(ASTM 2018b)&lt;/DisplayText&gt;&lt;record&gt;&lt;rec-number&gt;164&lt;/rec-number&gt;&lt;foreign-keys&gt;&lt;key app="EN" db-id="25a5fvaw7f5peyeeez7xawr9wzraf29tswtp" timestamp="1470086052"&gt;164&lt;/key&gt;&lt;/foreign-keys&gt;&lt;ref-type name="Standard"&gt;58&lt;/ref-type&gt;&lt;contributors&gt;&lt;authors&gt;&lt;author&gt;ASTM&lt;/author&gt;&lt;/authors&gt;&lt;/contributors&gt;&lt;titles&gt;&lt;title&gt;Standard Specification for Solid Concrete Interlocking Paving Units&lt;/title&gt;&lt;/titles&gt;&lt;volume&gt;C936/C936M-18&lt;/volume&gt;&lt;dates&gt;&lt;year&gt;2018&lt;/year&gt;&lt;pub-dates&gt;&lt;date&gt;2016&lt;/date&gt;&lt;/pub-dates&gt;&lt;/dates&gt;&lt;pub-location&gt;West Conshohocken, PA USA&lt;/pub-location&gt;&lt;publisher&gt;ASTM International&lt;/publisher&gt;&lt;urls&gt;&lt;/urls&gt;&lt;/record&gt;&lt;/Cite&gt;&lt;/EndNote&gt;</w:instrText>
      </w:r>
      <w:r w:rsidRPr="002C0CB5">
        <w:fldChar w:fldCharType="separate"/>
      </w:r>
      <w:r w:rsidRPr="002C0CB5">
        <w:t>(ASTM 2018b)</w:t>
      </w:r>
      <w:r w:rsidRPr="002C0CB5">
        <w:fldChar w:fldCharType="end"/>
      </w:r>
      <w:r w:rsidRPr="002C0CB5">
        <w:t xml:space="preserve"> respectively. All samples and blocks were </w:t>
      </w:r>
      <w:r w:rsidR="008F0374">
        <w:t>secured, de-moulded after 24 hr</w:t>
      </w:r>
      <w:r w:rsidRPr="002C0CB5">
        <w:t>, labelled and cured in water at a standard temperature of 20±1°C for 28 days before testing. A total of 54 samples and 24 C</w:t>
      </w:r>
      <w:r w:rsidR="00C07558">
        <w:t>BP</w:t>
      </w:r>
      <w:r w:rsidRPr="002C0CB5">
        <w:t xml:space="preserve"> were prepared.</w:t>
      </w:r>
    </w:p>
    <w:p w:rsidR="002C0CB5" w:rsidRPr="002C0CB5" w:rsidRDefault="002C0CB5" w:rsidP="00B07817">
      <w:pPr>
        <w:pStyle w:val="Tabletitle"/>
      </w:pPr>
      <w:bookmarkStart w:id="7" w:name="_Ref522567455"/>
      <w:bookmarkStart w:id="8" w:name="_Ref525388189"/>
      <w:r w:rsidRPr="002C0CB5">
        <w:t xml:space="preserve">Table </w:t>
      </w:r>
      <w:fldSimple w:instr=" SEQ Table \* ARABIC ">
        <w:r w:rsidR="00665D66">
          <w:rPr>
            <w:noProof/>
          </w:rPr>
          <w:t>3</w:t>
        </w:r>
      </w:fldSimple>
      <w:bookmarkEnd w:id="7"/>
      <w:bookmarkEnd w:id="8"/>
      <w:r w:rsidRPr="002C0CB5">
        <w:t>: Composition of various concrete mixtures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013"/>
        <w:gridCol w:w="741"/>
        <w:gridCol w:w="922"/>
        <w:gridCol w:w="647"/>
        <w:gridCol w:w="648"/>
        <w:gridCol w:w="737"/>
        <w:gridCol w:w="739"/>
        <w:gridCol w:w="1107"/>
        <w:gridCol w:w="831"/>
        <w:gridCol w:w="647"/>
        <w:gridCol w:w="683"/>
      </w:tblGrid>
      <w:tr w:rsidR="00131ACC" w:rsidRPr="0073415B" w:rsidTr="00131ACC">
        <w:trPr>
          <w:trHeight w:val="267"/>
        </w:trPr>
        <w:tc>
          <w:tcPr>
            <w:tcW w:w="581"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Mix</w:t>
            </w:r>
          </w:p>
        </w:tc>
        <w:tc>
          <w:tcPr>
            <w:tcW w:w="425"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CNA</w:t>
            </w:r>
            <w:r w:rsidRPr="0073415B">
              <w:rPr>
                <w:sz w:val="20"/>
                <w:szCs w:val="20"/>
              </w:rPr>
              <w:lastRenderedPageBreak/>
              <w:t>%</w:t>
            </w:r>
          </w:p>
        </w:tc>
        <w:tc>
          <w:tcPr>
            <w:tcW w:w="529"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lastRenderedPageBreak/>
              <w:t>Cement (kg)</w:t>
            </w:r>
          </w:p>
        </w:tc>
        <w:tc>
          <w:tcPr>
            <w:tcW w:w="371"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Sand (kg)</w:t>
            </w:r>
          </w:p>
        </w:tc>
        <w:tc>
          <w:tcPr>
            <w:tcW w:w="372"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NA (kg)</w:t>
            </w:r>
          </w:p>
        </w:tc>
        <w:tc>
          <w:tcPr>
            <w:tcW w:w="423"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CNA (kg)</w:t>
            </w:r>
          </w:p>
        </w:tc>
        <w:tc>
          <w:tcPr>
            <w:tcW w:w="424"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Water (kg)</w:t>
            </w:r>
          </w:p>
        </w:tc>
        <w:tc>
          <w:tcPr>
            <w:tcW w:w="635"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Super plasticizer (ml)</w:t>
            </w:r>
          </w:p>
        </w:tc>
        <w:tc>
          <w:tcPr>
            <w:tcW w:w="477"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Slump (mm)</w:t>
            </w:r>
          </w:p>
        </w:tc>
        <w:tc>
          <w:tcPr>
            <w:tcW w:w="371"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W/C ratio</w:t>
            </w:r>
          </w:p>
        </w:tc>
        <w:tc>
          <w:tcPr>
            <w:tcW w:w="392" w:type="pct"/>
            <w:tcBorders>
              <w:top w:val="single" w:sz="4" w:space="0" w:color="auto"/>
              <w:bottom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A/C ratio</w:t>
            </w:r>
          </w:p>
        </w:tc>
      </w:tr>
      <w:tr w:rsidR="00131ACC" w:rsidRPr="0073415B" w:rsidTr="00131ACC">
        <w:trPr>
          <w:trHeight w:val="267"/>
        </w:trPr>
        <w:tc>
          <w:tcPr>
            <w:tcW w:w="581" w:type="pct"/>
            <w:tcBorders>
              <w:top w:val="single" w:sz="4" w:space="0" w:color="auto"/>
            </w:tcBorders>
            <w:shd w:val="clear" w:color="auto" w:fill="auto"/>
            <w:noWrap/>
            <w:vAlign w:val="center"/>
            <w:hideMark/>
          </w:tcPr>
          <w:p w:rsidR="002C0CB5" w:rsidRPr="0073415B" w:rsidRDefault="002C0CB5" w:rsidP="00602943">
            <w:pPr>
              <w:pStyle w:val="Paragraph"/>
              <w:spacing w:before="0" w:line="240" w:lineRule="auto"/>
              <w:rPr>
                <w:sz w:val="20"/>
                <w:szCs w:val="20"/>
              </w:rPr>
            </w:pPr>
            <w:r w:rsidRPr="0073415B">
              <w:rPr>
                <w:sz w:val="20"/>
                <w:szCs w:val="20"/>
              </w:rPr>
              <w:lastRenderedPageBreak/>
              <w:t>C</w:t>
            </w:r>
            <w:r w:rsidR="000B5D1C">
              <w:rPr>
                <w:sz w:val="20"/>
                <w:szCs w:val="20"/>
              </w:rPr>
              <w:t>ontrol</w:t>
            </w:r>
          </w:p>
        </w:tc>
        <w:tc>
          <w:tcPr>
            <w:tcW w:w="425"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w:t>
            </w:r>
          </w:p>
        </w:tc>
        <w:tc>
          <w:tcPr>
            <w:tcW w:w="529"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8</w:t>
            </w:r>
          </w:p>
        </w:tc>
        <w:tc>
          <w:tcPr>
            <w:tcW w:w="371"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16</w:t>
            </w:r>
          </w:p>
        </w:tc>
        <w:tc>
          <w:tcPr>
            <w:tcW w:w="372"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24</w:t>
            </w:r>
          </w:p>
        </w:tc>
        <w:tc>
          <w:tcPr>
            <w:tcW w:w="423"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w:t>
            </w:r>
          </w:p>
        </w:tc>
        <w:tc>
          <w:tcPr>
            <w:tcW w:w="424"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3.2</w:t>
            </w:r>
          </w:p>
        </w:tc>
        <w:tc>
          <w:tcPr>
            <w:tcW w:w="635"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50</w:t>
            </w:r>
          </w:p>
        </w:tc>
        <w:tc>
          <w:tcPr>
            <w:tcW w:w="477"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10</w:t>
            </w:r>
          </w:p>
        </w:tc>
        <w:tc>
          <w:tcPr>
            <w:tcW w:w="371"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0.4</w:t>
            </w:r>
          </w:p>
        </w:tc>
        <w:tc>
          <w:tcPr>
            <w:tcW w:w="392" w:type="pct"/>
            <w:tcBorders>
              <w:top w:val="single" w:sz="4" w:space="0" w:color="auto"/>
            </w:tcBorders>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3</w:t>
            </w:r>
          </w:p>
        </w:tc>
      </w:tr>
      <w:tr w:rsidR="00131ACC" w:rsidRPr="0073415B" w:rsidTr="00131ACC">
        <w:trPr>
          <w:trHeight w:val="267"/>
        </w:trPr>
        <w:tc>
          <w:tcPr>
            <w:tcW w:w="58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CNA15</w:t>
            </w:r>
          </w:p>
        </w:tc>
        <w:tc>
          <w:tcPr>
            <w:tcW w:w="42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15</w:t>
            </w:r>
          </w:p>
        </w:tc>
        <w:tc>
          <w:tcPr>
            <w:tcW w:w="529"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8</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16</w:t>
            </w:r>
          </w:p>
        </w:tc>
        <w:tc>
          <w:tcPr>
            <w:tcW w:w="37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20.4</w:t>
            </w:r>
          </w:p>
        </w:tc>
        <w:tc>
          <w:tcPr>
            <w:tcW w:w="423"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3.6</w:t>
            </w:r>
          </w:p>
        </w:tc>
        <w:tc>
          <w:tcPr>
            <w:tcW w:w="424"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4</w:t>
            </w:r>
            <w:r w:rsidR="00131ACC">
              <w:rPr>
                <w:sz w:val="20"/>
                <w:szCs w:val="20"/>
              </w:rPr>
              <w:t>.0</w:t>
            </w:r>
          </w:p>
        </w:tc>
        <w:tc>
          <w:tcPr>
            <w:tcW w:w="63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50</w:t>
            </w:r>
          </w:p>
        </w:tc>
        <w:tc>
          <w:tcPr>
            <w:tcW w:w="477"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15</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0.5</w:t>
            </w:r>
          </w:p>
        </w:tc>
        <w:tc>
          <w:tcPr>
            <w:tcW w:w="39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3</w:t>
            </w:r>
          </w:p>
        </w:tc>
      </w:tr>
      <w:tr w:rsidR="00131ACC" w:rsidRPr="0073415B" w:rsidTr="00131ACC">
        <w:trPr>
          <w:trHeight w:val="267"/>
        </w:trPr>
        <w:tc>
          <w:tcPr>
            <w:tcW w:w="58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CNA30</w:t>
            </w:r>
          </w:p>
        </w:tc>
        <w:tc>
          <w:tcPr>
            <w:tcW w:w="42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30</w:t>
            </w:r>
          </w:p>
        </w:tc>
        <w:tc>
          <w:tcPr>
            <w:tcW w:w="529"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8</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16</w:t>
            </w:r>
          </w:p>
        </w:tc>
        <w:tc>
          <w:tcPr>
            <w:tcW w:w="37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16.8</w:t>
            </w:r>
          </w:p>
        </w:tc>
        <w:tc>
          <w:tcPr>
            <w:tcW w:w="423"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7.2</w:t>
            </w:r>
          </w:p>
        </w:tc>
        <w:tc>
          <w:tcPr>
            <w:tcW w:w="424"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4</w:t>
            </w:r>
            <w:r w:rsidR="00131ACC">
              <w:rPr>
                <w:sz w:val="20"/>
                <w:szCs w:val="20"/>
              </w:rPr>
              <w:t>.0</w:t>
            </w:r>
          </w:p>
        </w:tc>
        <w:tc>
          <w:tcPr>
            <w:tcW w:w="63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50</w:t>
            </w:r>
          </w:p>
        </w:tc>
        <w:tc>
          <w:tcPr>
            <w:tcW w:w="477"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0.5</w:t>
            </w:r>
          </w:p>
        </w:tc>
        <w:tc>
          <w:tcPr>
            <w:tcW w:w="39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3</w:t>
            </w:r>
          </w:p>
        </w:tc>
      </w:tr>
      <w:tr w:rsidR="00131ACC" w:rsidRPr="0073415B" w:rsidTr="00131ACC">
        <w:trPr>
          <w:trHeight w:val="267"/>
        </w:trPr>
        <w:tc>
          <w:tcPr>
            <w:tcW w:w="58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CNA50</w:t>
            </w:r>
          </w:p>
        </w:tc>
        <w:tc>
          <w:tcPr>
            <w:tcW w:w="42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50</w:t>
            </w:r>
          </w:p>
        </w:tc>
        <w:tc>
          <w:tcPr>
            <w:tcW w:w="529"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8</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16</w:t>
            </w:r>
          </w:p>
        </w:tc>
        <w:tc>
          <w:tcPr>
            <w:tcW w:w="37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12</w:t>
            </w:r>
          </w:p>
        </w:tc>
        <w:tc>
          <w:tcPr>
            <w:tcW w:w="423"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12</w:t>
            </w:r>
          </w:p>
        </w:tc>
        <w:tc>
          <w:tcPr>
            <w:tcW w:w="424"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w:t>
            </w:r>
            <w:r w:rsidR="00131ACC">
              <w:rPr>
                <w:sz w:val="20"/>
                <w:szCs w:val="20"/>
              </w:rPr>
              <w:t>.0</w:t>
            </w:r>
          </w:p>
        </w:tc>
        <w:tc>
          <w:tcPr>
            <w:tcW w:w="63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50</w:t>
            </w:r>
          </w:p>
        </w:tc>
        <w:tc>
          <w:tcPr>
            <w:tcW w:w="477"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0.6</w:t>
            </w:r>
          </w:p>
        </w:tc>
        <w:tc>
          <w:tcPr>
            <w:tcW w:w="39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3</w:t>
            </w:r>
          </w:p>
        </w:tc>
      </w:tr>
      <w:tr w:rsidR="00131ACC" w:rsidRPr="0073415B" w:rsidTr="00131ACC">
        <w:trPr>
          <w:trHeight w:val="267"/>
        </w:trPr>
        <w:tc>
          <w:tcPr>
            <w:tcW w:w="58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CNA75</w:t>
            </w:r>
          </w:p>
        </w:tc>
        <w:tc>
          <w:tcPr>
            <w:tcW w:w="42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75</w:t>
            </w:r>
          </w:p>
        </w:tc>
        <w:tc>
          <w:tcPr>
            <w:tcW w:w="529"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8</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16</w:t>
            </w:r>
          </w:p>
        </w:tc>
        <w:tc>
          <w:tcPr>
            <w:tcW w:w="37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6</w:t>
            </w:r>
          </w:p>
        </w:tc>
        <w:tc>
          <w:tcPr>
            <w:tcW w:w="423"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18</w:t>
            </w:r>
          </w:p>
        </w:tc>
        <w:tc>
          <w:tcPr>
            <w:tcW w:w="424"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6</w:t>
            </w:r>
            <w:r w:rsidR="00131ACC">
              <w:rPr>
                <w:sz w:val="20"/>
                <w:szCs w:val="20"/>
              </w:rPr>
              <w:t>.0</w:t>
            </w:r>
          </w:p>
        </w:tc>
        <w:tc>
          <w:tcPr>
            <w:tcW w:w="63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50</w:t>
            </w:r>
          </w:p>
        </w:tc>
        <w:tc>
          <w:tcPr>
            <w:tcW w:w="477"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10</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0.8</w:t>
            </w:r>
          </w:p>
        </w:tc>
        <w:tc>
          <w:tcPr>
            <w:tcW w:w="39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3</w:t>
            </w:r>
          </w:p>
        </w:tc>
      </w:tr>
      <w:tr w:rsidR="00131ACC" w:rsidRPr="0073415B" w:rsidTr="00131ACC">
        <w:trPr>
          <w:trHeight w:val="267"/>
        </w:trPr>
        <w:tc>
          <w:tcPr>
            <w:tcW w:w="58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CNA100</w:t>
            </w:r>
          </w:p>
        </w:tc>
        <w:tc>
          <w:tcPr>
            <w:tcW w:w="42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100</w:t>
            </w:r>
          </w:p>
        </w:tc>
        <w:tc>
          <w:tcPr>
            <w:tcW w:w="529"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8</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16</w:t>
            </w:r>
          </w:p>
        </w:tc>
        <w:tc>
          <w:tcPr>
            <w:tcW w:w="37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w:t>
            </w:r>
          </w:p>
        </w:tc>
        <w:tc>
          <w:tcPr>
            <w:tcW w:w="423"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24</w:t>
            </w:r>
          </w:p>
        </w:tc>
        <w:tc>
          <w:tcPr>
            <w:tcW w:w="424"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6</w:t>
            </w:r>
            <w:r w:rsidR="00131ACC">
              <w:rPr>
                <w:sz w:val="20"/>
                <w:szCs w:val="20"/>
              </w:rPr>
              <w:t>.0</w:t>
            </w:r>
          </w:p>
        </w:tc>
        <w:tc>
          <w:tcPr>
            <w:tcW w:w="635"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50</w:t>
            </w:r>
          </w:p>
        </w:tc>
        <w:tc>
          <w:tcPr>
            <w:tcW w:w="477"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w:t>
            </w:r>
          </w:p>
        </w:tc>
        <w:tc>
          <w:tcPr>
            <w:tcW w:w="371"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0.8</w:t>
            </w:r>
          </w:p>
        </w:tc>
        <w:tc>
          <w:tcPr>
            <w:tcW w:w="392" w:type="pct"/>
            <w:shd w:val="clear" w:color="auto" w:fill="auto"/>
            <w:noWrap/>
            <w:vAlign w:val="center"/>
            <w:hideMark/>
          </w:tcPr>
          <w:p w:rsidR="002C0CB5" w:rsidRPr="0073415B" w:rsidRDefault="002C0CB5" w:rsidP="0073415B">
            <w:pPr>
              <w:pStyle w:val="Paragraph"/>
              <w:spacing w:before="0" w:line="240" w:lineRule="auto"/>
              <w:rPr>
                <w:sz w:val="20"/>
                <w:szCs w:val="20"/>
              </w:rPr>
            </w:pPr>
            <w:r w:rsidRPr="0073415B">
              <w:rPr>
                <w:sz w:val="20"/>
                <w:szCs w:val="20"/>
              </w:rPr>
              <w:t>3</w:t>
            </w:r>
          </w:p>
        </w:tc>
      </w:tr>
    </w:tbl>
    <w:p w:rsidR="002C0CB5" w:rsidRPr="002C0CB5" w:rsidRDefault="002C0CB5" w:rsidP="002C0CB5">
      <w:pPr>
        <w:pStyle w:val="Paragraph"/>
      </w:pPr>
      <w:r w:rsidRPr="002C0CB5">
        <w:t>W/C – water/cement ratio</w:t>
      </w:r>
    </w:p>
    <w:p w:rsidR="009826F6" w:rsidRPr="002C0CB5" w:rsidRDefault="002C0CB5" w:rsidP="002C0CB5">
      <w:pPr>
        <w:pStyle w:val="Paragraph"/>
      </w:pPr>
      <w:r w:rsidRPr="002C0CB5">
        <w:t>A/C – aggregate/cement ratio</w:t>
      </w:r>
    </w:p>
    <w:p w:rsidR="00FF2E55" w:rsidRDefault="00FF2E55" w:rsidP="002C0CB5">
      <w:pPr>
        <w:pStyle w:val="Heading3"/>
      </w:pPr>
      <w:r>
        <w:t>Testing of hardened concrete samples</w:t>
      </w:r>
    </w:p>
    <w:p w:rsidR="00FF2E55" w:rsidRDefault="009826F6" w:rsidP="002C0CB5">
      <w:pPr>
        <w:pStyle w:val="Heading4Paragraph"/>
      </w:pPr>
      <w:r w:rsidRPr="002C0CB5">
        <w:t>Compressive</w:t>
      </w:r>
      <w:r>
        <w:t xml:space="preserve"> and splitting tensile strength tests</w:t>
      </w:r>
    </w:p>
    <w:p w:rsidR="002C0CB5" w:rsidRPr="002C0CB5" w:rsidRDefault="002C0CB5" w:rsidP="002C0CB5">
      <w:pPr>
        <w:pStyle w:val="Newparagraph"/>
      </w:pPr>
      <w:r w:rsidRPr="002C0CB5">
        <w:t xml:space="preserve">The 28-day compressive strength of the cube samples was measured in accordance with BS EN 12390-3:2009 </w:t>
      </w:r>
      <w:r w:rsidRPr="002C0CB5">
        <w:fldChar w:fldCharType="begin"/>
      </w:r>
      <w:r w:rsidRPr="002C0CB5">
        <w:instrText xml:space="preserve"> ADDIN EN.CITE &lt;EndNote&gt;&lt;Cite&gt;&lt;Author&gt;BS&lt;/Author&gt;&lt;Year&gt;2009&lt;/Year&gt;&lt;RecNum&gt;399&lt;/RecNum&gt;&lt;DisplayText&gt;(BS 2009)&lt;/DisplayText&gt;&lt;record&gt;&lt;rec-number&gt;399&lt;/rec-number&gt;&lt;foreign-keys&gt;&lt;key app="EN" db-id="25a5fvaw7f5peyeeez7xawr9wzraf29tswtp" timestamp="1534821178"&gt;399&lt;/key&gt;&lt;/foreign-keys&gt;&lt;ref-type name="Standard"&gt;58&lt;/ref-type&gt;&lt;contributors&gt;&lt;authors&gt;&lt;author&gt;BS&lt;/author&gt;&lt;/authors&gt;&lt;/contributors&gt;&lt;titles&gt;&lt;title&gt;Testing hardened concrete. Compressive strength of test specimens&lt;/title&gt;&lt;/titles&gt;&lt;volume&gt;BS EN 12390-3:2009&lt;/volume&gt;&lt;dates&gt;&lt;year&gt;2009&lt;/year&gt;&lt;pub-dates&gt;&lt;date&gt;2009&lt;/date&gt;&lt;/pub-dates&gt;&lt;/dates&gt;&lt;pub-location&gt;London, U.K&lt;/pub-location&gt;&lt;publisher&gt;British Standard Institution BSI&lt;/publisher&gt;&lt;urls&gt;&lt;/urls&gt;&lt;/record&gt;&lt;/Cite&gt;&lt;/EndNote&gt;</w:instrText>
      </w:r>
      <w:r w:rsidRPr="002C0CB5">
        <w:fldChar w:fldCharType="separate"/>
      </w:r>
      <w:r w:rsidRPr="002C0CB5">
        <w:t>(BS 2009)</w:t>
      </w:r>
      <w:r w:rsidRPr="002C0CB5">
        <w:fldChar w:fldCharType="end"/>
      </w:r>
      <w:r w:rsidRPr="002C0CB5">
        <w:t xml:space="preserve">. The splitting tensile strength </w:t>
      </w:r>
      <w:r w:rsidR="00602943">
        <w:t xml:space="preserve">tests </w:t>
      </w:r>
      <w:r w:rsidRPr="002C0CB5">
        <w:t xml:space="preserve">of </w:t>
      </w:r>
      <w:r w:rsidRPr="002C0CB5">
        <w:lastRenderedPageBreak/>
        <w:t xml:space="preserve">the cylinder samples were performed according to ASTM C 496 </w:t>
      </w:r>
      <w:r w:rsidRPr="002C0CB5">
        <w:fldChar w:fldCharType="begin"/>
      </w:r>
      <w:r w:rsidRPr="002C0CB5">
        <w:instrText xml:space="preserve"> ADDIN EN.CITE &lt;EndNote&gt;&lt;Cite&gt;&lt;Author&gt;ASTM&lt;/Author&gt;&lt;Year&gt;2017&lt;/Year&gt;&lt;RecNum&gt;400&lt;/RecNum&gt;&lt;DisplayText&gt;(ASTM 2017d)&lt;/DisplayText&gt;&lt;record&gt;&lt;rec-number&gt;400&lt;/rec-number&gt;&lt;foreign-keys&gt;&lt;key app="EN" db-id="25a5fvaw7f5peyeeez7xawr9wzraf29tswtp" timestamp="1534821369"&gt;400&lt;/key&gt;&lt;/foreign-keys&gt;&lt;ref-type name="Standard"&gt;58&lt;/ref-type&gt;&lt;contributors&gt;&lt;authors&gt;&lt;author&gt;ASTM&lt;/author&gt;&lt;/authors&gt;&lt;/contributors&gt;&lt;titles&gt;&lt;title&gt;Standard Test Method for Splitting Tensile Strength of Cylindrical Concrete Specimens&lt;/title&gt;&lt;/titles&gt;&lt;volume&gt;Standard C496/C496M-17&lt;/volume&gt;&lt;dates&gt;&lt;year&gt;2017&lt;/year&gt;&lt;pub-dates&gt;&lt;date&gt;2017&lt;/date&gt;&lt;/pub-dates&gt;&lt;/dates&gt;&lt;pub-location&gt;West Conshohocken, PA USA&lt;/pub-location&gt;&lt;publisher&gt;ASTM International&lt;/publisher&gt;&lt;urls&gt;&lt;/urls&gt;&lt;/record&gt;&lt;/Cite&gt;&lt;/EndNote&gt;</w:instrText>
      </w:r>
      <w:r w:rsidRPr="002C0CB5">
        <w:fldChar w:fldCharType="separate"/>
      </w:r>
      <w:r w:rsidRPr="002C0CB5">
        <w:t>(ASTM 2017d)</w:t>
      </w:r>
      <w:r w:rsidRPr="002C0CB5">
        <w:fldChar w:fldCharType="end"/>
      </w:r>
      <w:r w:rsidRPr="002C0CB5">
        <w:t xml:space="preserve">. </w:t>
      </w:r>
    </w:p>
    <w:p w:rsidR="009826F6" w:rsidRDefault="009826F6" w:rsidP="002C0CB5">
      <w:pPr>
        <w:pStyle w:val="Heading4Paragraph"/>
      </w:pPr>
      <w:r>
        <w:t>Density and water absorption</w:t>
      </w:r>
    </w:p>
    <w:p w:rsidR="002C0CB5" w:rsidRPr="002C0CB5" w:rsidRDefault="002C0CB5" w:rsidP="002C0CB5">
      <w:pPr>
        <w:pStyle w:val="Newparagraph"/>
      </w:pPr>
      <w:r w:rsidRPr="002C0CB5">
        <w:t xml:space="preserve">Density and water absorption were determined in accordance with ASTM C642 </w:t>
      </w:r>
      <w:r w:rsidRPr="002C0CB5">
        <w:fldChar w:fldCharType="begin"/>
      </w:r>
      <w:r w:rsidRPr="002C0CB5">
        <w:instrText xml:space="preserve"> ADDIN EN.CITE &lt;EndNote&gt;&lt;Cite&gt;&lt;Author&gt;ASTM&lt;/Author&gt;&lt;Year&gt;2013&lt;/Year&gt;&lt;RecNum&gt;401&lt;/RecNum&gt;&lt;DisplayText&gt;(ASTM 2013)&lt;/DisplayText&gt;&lt;record&gt;&lt;rec-number&gt;401&lt;/rec-number&gt;&lt;foreign-keys&gt;&lt;key app="EN" db-id="25a5fvaw7f5peyeeez7xawr9wzraf29tswtp" timestamp="1534821898"&gt;401&lt;/key&gt;&lt;/foreign-keys&gt;&lt;ref-type name="Standard"&gt;58&lt;/ref-type&gt;&lt;contributors&gt;&lt;authors&gt;&lt;author&gt;ASTM&lt;/author&gt;&lt;/authors&gt;&lt;/contributors&gt;&lt;titles&gt;&lt;title&gt;Standard Test Method for Density, Absorption, and Voids in Hardened Concrete&lt;/title&gt;&lt;/titles&gt;&lt;volume&gt;Standard C642 -13&lt;/volume&gt;&lt;dates&gt;&lt;year&gt;2013&lt;/year&gt;&lt;pub-dates&gt;&lt;date&gt;2017&lt;/date&gt;&lt;/pub-dates&gt;&lt;/dates&gt;&lt;pub-location&gt;West Conshohocken, PA USA&lt;/pub-location&gt;&lt;publisher&gt;ASTM International&lt;/publisher&gt;&lt;urls&gt;&lt;/urls&gt;&lt;/record&gt;&lt;/Cite&gt;&lt;/EndNote&gt;</w:instrText>
      </w:r>
      <w:r w:rsidRPr="002C0CB5">
        <w:fldChar w:fldCharType="separate"/>
      </w:r>
      <w:r w:rsidRPr="002C0CB5">
        <w:t>(ASTM 2013)</w:t>
      </w:r>
      <w:r w:rsidRPr="002C0CB5">
        <w:fldChar w:fldCharType="end"/>
      </w:r>
      <w:r w:rsidRPr="002C0CB5">
        <w:t>.</w:t>
      </w:r>
    </w:p>
    <w:p w:rsidR="002C0CB5" w:rsidRDefault="002C0CB5" w:rsidP="002C0CB5">
      <w:pPr>
        <w:pStyle w:val="Heading4Paragraph"/>
      </w:pPr>
      <w:r w:rsidRPr="002C0CB5">
        <w:t>Micro-structural observations through SEM</w:t>
      </w:r>
    </w:p>
    <w:p w:rsidR="002C0CB5" w:rsidRDefault="002C0CB5" w:rsidP="002C0CB5">
      <w:pPr>
        <w:pStyle w:val="Newparagraph"/>
      </w:pPr>
      <w:r w:rsidRPr="002C0CB5">
        <w:t xml:space="preserve">A scanning electron microscope (SEM) equipped with an Edax Energy Dispersive System (EDS) and Gatan Digscan imaging system </w:t>
      </w:r>
      <w:r w:rsidR="00BB3C49">
        <w:t xml:space="preserve">shown in </w:t>
      </w:r>
      <w:r w:rsidRPr="002C0CB5">
        <w:fldChar w:fldCharType="begin"/>
      </w:r>
      <w:r w:rsidRPr="002C0CB5">
        <w:instrText xml:space="preserve"> REF _Ref525388449 \h </w:instrText>
      </w:r>
      <w:r w:rsidRPr="002C0CB5">
        <w:fldChar w:fldCharType="separate"/>
      </w:r>
      <w:r w:rsidR="00665D66" w:rsidRPr="002C0CB5">
        <w:rPr>
          <w:lang w:val="en-US"/>
        </w:rPr>
        <w:t xml:space="preserve">Figure </w:t>
      </w:r>
      <w:r w:rsidR="00665D66">
        <w:rPr>
          <w:noProof/>
          <w:lang w:val="en-US"/>
        </w:rPr>
        <w:t>5</w:t>
      </w:r>
      <w:r w:rsidRPr="002C0CB5">
        <w:fldChar w:fldCharType="end"/>
      </w:r>
      <w:r w:rsidR="00BB3C49">
        <w:t>,</w:t>
      </w:r>
      <w:r w:rsidRPr="002C0CB5">
        <w:t xml:space="preserve"> was </w:t>
      </w:r>
      <w:r w:rsidRPr="002C0CB5">
        <w:lastRenderedPageBreak/>
        <w:t xml:space="preserve">used to examine the micro-structure and bonding or interfacial transition zone (ITZ) between the aggregates and the cementitious paste. The EDS was not used in this study. A total of two small (&lt; 10mm in diameter) samples were taken from split concrete samples for examination. Samples from the control mix and the CNA100 mix were used. Several attempts were made prior to retrieving suitable samples without affecting the </w:t>
      </w:r>
      <w:r w:rsidR="00FF0EFD">
        <w:t>ITZ</w:t>
      </w:r>
      <w:r w:rsidRPr="002C0CB5">
        <w:t xml:space="preserve">. A Denton Vacuum Desk II Sputter Coater, shown in </w:t>
      </w:r>
      <w:r w:rsidRPr="002C0CB5">
        <w:fldChar w:fldCharType="begin"/>
      </w:r>
      <w:r w:rsidRPr="002C0CB5">
        <w:instrText xml:space="preserve"> REF _Ref525388518 \h </w:instrText>
      </w:r>
      <w:r w:rsidRPr="002C0CB5">
        <w:fldChar w:fldCharType="separate"/>
      </w:r>
      <w:r w:rsidR="00665D66" w:rsidRPr="002C0CB5">
        <w:rPr>
          <w:lang w:val="en-US"/>
        </w:rPr>
        <w:t xml:space="preserve">Figure </w:t>
      </w:r>
      <w:r w:rsidR="00665D66">
        <w:rPr>
          <w:noProof/>
          <w:lang w:val="en-US"/>
        </w:rPr>
        <w:t>6</w:t>
      </w:r>
      <w:r w:rsidRPr="002C0CB5">
        <w:fldChar w:fldCharType="end"/>
      </w:r>
      <w:r w:rsidRPr="002C0CB5">
        <w:t xml:space="preserve">, was used to gold coat the samples for better </w:t>
      </w:r>
      <w:r w:rsidRPr="002C0CB5">
        <w:lastRenderedPageBreak/>
        <w:t>electrical conductivity prior to placement in the electron microscope. The microscope was operated at medium vacuum and 10-30 kV accelerating voltage with magnifications ranging from X20 to X3000. All micrographs were digitised to 768 x 768 pixels.</w:t>
      </w:r>
    </w:p>
    <w:p w:rsidR="00486967" w:rsidRPr="002C0CB5" w:rsidRDefault="00486967" w:rsidP="00486967">
      <w:pPr>
        <w:pStyle w:val="Newparagraph"/>
        <w:ind w:firstLine="0"/>
      </w:pPr>
      <w:r w:rsidRPr="002C0CB5">
        <w:rPr>
          <w:noProof/>
        </w:rPr>
        <w:drawing>
          <wp:inline distT="0" distB="0" distL="0" distR="0" wp14:anchorId="39851DDB" wp14:editId="42D723D7">
            <wp:extent cx="4396952" cy="2136038"/>
            <wp:effectExtent l="0" t="0" r="381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482399" cy="2177548"/>
                    </a:xfrm>
                    <a:prstGeom prst="rect">
                      <a:avLst/>
                    </a:prstGeom>
                    <a:noFill/>
                    <a:ln>
                      <a:noFill/>
                    </a:ln>
                  </pic:spPr>
                </pic:pic>
              </a:graphicData>
            </a:graphic>
          </wp:inline>
        </w:drawing>
      </w:r>
    </w:p>
    <w:p w:rsidR="00486967" w:rsidRPr="002C0CB5" w:rsidRDefault="00486967" w:rsidP="00486967">
      <w:pPr>
        <w:pStyle w:val="Figurecaption"/>
      </w:pPr>
      <w:bookmarkStart w:id="9" w:name="_Ref525388449"/>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5</w:t>
      </w:r>
      <w:r w:rsidRPr="002C0CB5">
        <w:fldChar w:fldCharType="end"/>
      </w:r>
      <w:bookmarkEnd w:id="9"/>
      <w:r w:rsidRPr="002C0CB5">
        <w:rPr>
          <w:lang w:val="en-US"/>
        </w:rPr>
        <w:t>: Scanning Electron Microscope</w:t>
      </w:r>
    </w:p>
    <w:p w:rsidR="00486967" w:rsidRPr="002C0CB5" w:rsidRDefault="00486967" w:rsidP="00486967">
      <w:pPr>
        <w:pStyle w:val="Newparagraph"/>
        <w:ind w:firstLine="0"/>
      </w:pPr>
    </w:p>
    <w:p w:rsidR="002C0CB5" w:rsidRPr="002C0CB5" w:rsidRDefault="002C0CB5" w:rsidP="00B11C0C">
      <w:pPr>
        <w:pStyle w:val="Newparagraph"/>
        <w:ind w:firstLine="0"/>
      </w:pPr>
      <w:r w:rsidRPr="002C0CB5">
        <w:rPr>
          <w:noProof/>
        </w:rPr>
        <w:drawing>
          <wp:inline distT="0" distB="0" distL="0" distR="0" wp14:anchorId="2990A2FA" wp14:editId="2CC90DE3">
            <wp:extent cx="4427067" cy="2150668"/>
            <wp:effectExtent l="0" t="0" r="0" b="254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482172" cy="2177438"/>
                    </a:xfrm>
                    <a:prstGeom prst="rect">
                      <a:avLst/>
                    </a:prstGeom>
                    <a:noFill/>
                    <a:ln>
                      <a:noFill/>
                    </a:ln>
                  </pic:spPr>
                </pic:pic>
              </a:graphicData>
            </a:graphic>
          </wp:inline>
        </w:drawing>
      </w:r>
    </w:p>
    <w:p w:rsidR="002C0CB5" w:rsidRPr="002C0CB5" w:rsidRDefault="002C0CB5" w:rsidP="001A7CD6">
      <w:pPr>
        <w:pStyle w:val="Figurecaption"/>
        <w:rPr>
          <w:lang w:val="en-US"/>
        </w:rPr>
      </w:pPr>
      <w:bookmarkStart w:id="10" w:name="_Ref525388518"/>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6</w:t>
      </w:r>
      <w:r w:rsidRPr="002C0CB5">
        <w:fldChar w:fldCharType="end"/>
      </w:r>
      <w:bookmarkEnd w:id="10"/>
      <w:r w:rsidRPr="002C0CB5">
        <w:rPr>
          <w:lang w:val="en-US"/>
        </w:rPr>
        <w:t>: Denton Vacuum Desk II Sputter Coater</w:t>
      </w:r>
    </w:p>
    <w:p w:rsidR="00FF2E55" w:rsidRDefault="00FF2E55" w:rsidP="00FF2E55">
      <w:pPr>
        <w:pStyle w:val="Heading1"/>
      </w:pPr>
      <w:r>
        <w:lastRenderedPageBreak/>
        <w:t>Results and discussion</w:t>
      </w:r>
    </w:p>
    <w:p w:rsidR="00FF2E55" w:rsidRDefault="00FF2E55" w:rsidP="00FF2E55">
      <w:pPr>
        <w:pStyle w:val="Heading2"/>
      </w:pPr>
      <w:r>
        <w:t>Density</w:t>
      </w:r>
      <w:r w:rsidR="002C0CB5">
        <w:t xml:space="preserve"> and water absorption</w:t>
      </w:r>
    </w:p>
    <w:p w:rsidR="002C0CB5" w:rsidRPr="002C0CB5" w:rsidRDefault="002C0CB5" w:rsidP="002C0CB5">
      <w:pPr>
        <w:pStyle w:val="Paragraph"/>
      </w:pPr>
      <w:r w:rsidRPr="002C0CB5">
        <w:t xml:space="preserve">The </w:t>
      </w:r>
      <w:r w:rsidR="000B5D1C">
        <w:t>relation</w:t>
      </w:r>
      <w:r w:rsidR="00B56AA1">
        <w:t>ship</w:t>
      </w:r>
      <w:r w:rsidR="002E2F2D">
        <w:t xml:space="preserve"> between %CNA replacement and </w:t>
      </w:r>
      <w:r w:rsidR="000B5D1C">
        <w:t xml:space="preserve">average </w:t>
      </w:r>
      <w:r w:rsidRPr="002C0CB5">
        <w:t xml:space="preserve">28-day </w:t>
      </w:r>
      <w:r w:rsidR="00A20613" w:rsidRPr="002C0CB5">
        <w:t xml:space="preserve">saturated surface dry (SSD) densities </w:t>
      </w:r>
      <w:r w:rsidR="00B56AA1">
        <w:t>is</w:t>
      </w:r>
      <w:r w:rsidRPr="002C0CB5">
        <w:t xml:space="preserve"> </w:t>
      </w:r>
      <w:r w:rsidR="000B5D1C">
        <w:t>presented</w:t>
      </w:r>
      <w:r w:rsidRPr="002C0CB5">
        <w:t xml:space="preserve"> in </w:t>
      </w:r>
      <w:r w:rsidRPr="002C0CB5">
        <w:fldChar w:fldCharType="begin"/>
      </w:r>
      <w:r w:rsidRPr="002C0CB5">
        <w:instrText xml:space="preserve"> REF _Ref525241430 \h </w:instrText>
      </w:r>
      <w:r w:rsidRPr="002C0CB5">
        <w:fldChar w:fldCharType="separate"/>
      </w:r>
      <w:r w:rsidR="00665D66" w:rsidRPr="002C0CB5">
        <w:rPr>
          <w:lang w:val="en-US"/>
        </w:rPr>
        <w:t xml:space="preserve">Figure </w:t>
      </w:r>
      <w:r w:rsidR="00665D66">
        <w:rPr>
          <w:noProof/>
          <w:lang w:val="en-US"/>
        </w:rPr>
        <w:t>7</w:t>
      </w:r>
      <w:r w:rsidRPr="002C0CB5">
        <w:fldChar w:fldCharType="end"/>
      </w:r>
      <w:r w:rsidRPr="002C0CB5">
        <w:t xml:space="preserve">. </w:t>
      </w:r>
      <w:r w:rsidR="009302F0">
        <w:t xml:space="preserve">As seen from </w:t>
      </w:r>
      <w:r w:rsidR="009302F0" w:rsidRPr="002C0CB5">
        <w:fldChar w:fldCharType="begin"/>
      </w:r>
      <w:r w:rsidR="009302F0" w:rsidRPr="002C0CB5">
        <w:instrText xml:space="preserve"> REF _Ref525241430 \h </w:instrText>
      </w:r>
      <w:r w:rsidR="009302F0" w:rsidRPr="002C0CB5">
        <w:fldChar w:fldCharType="separate"/>
      </w:r>
      <w:r w:rsidR="009302F0" w:rsidRPr="002C0CB5">
        <w:rPr>
          <w:lang w:val="en-US"/>
        </w:rPr>
        <w:t xml:space="preserve">Figure </w:t>
      </w:r>
      <w:r w:rsidR="009302F0">
        <w:rPr>
          <w:noProof/>
          <w:lang w:val="en-US"/>
        </w:rPr>
        <w:t>7</w:t>
      </w:r>
      <w:r w:rsidR="009302F0" w:rsidRPr="002C0CB5">
        <w:fldChar w:fldCharType="end"/>
      </w:r>
      <w:r w:rsidR="009302F0">
        <w:t>, d</w:t>
      </w:r>
      <w:r w:rsidRPr="002C0CB5">
        <w:t xml:space="preserve">ensity values decrease with increases in </w:t>
      </w:r>
      <w:r w:rsidR="000B5D1C">
        <w:t>%</w:t>
      </w:r>
      <w:r w:rsidRPr="002C0CB5">
        <w:t>CNA</w:t>
      </w:r>
      <w:r w:rsidR="00486967">
        <w:t>.</w:t>
      </w:r>
      <w:r w:rsidR="00946B04">
        <w:t xml:space="preserve"> </w:t>
      </w:r>
      <w:r w:rsidR="00946B04" w:rsidRPr="002C0CB5">
        <w:t xml:space="preserve">Eq.1 represents the best fit for these </w:t>
      </w:r>
      <w:r w:rsidR="00946B04">
        <w:t xml:space="preserve">density </w:t>
      </w:r>
      <w:r w:rsidR="00946B04" w:rsidRPr="002C0CB5">
        <w:t xml:space="preserve">results. </w:t>
      </w:r>
      <w:r w:rsidR="00946B04">
        <w:t xml:space="preserve"> This relationship can be </w:t>
      </w:r>
      <w:r w:rsidR="00946B04" w:rsidRPr="002C0CB5">
        <w:t xml:space="preserve">attributed to the </w:t>
      </w:r>
      <w:r w:rsidR="00742122">
        <w:t>lower specific gravity</w:t>
      </w:r>
      <w:r w:rsidR="00946B04" w:rsidRPr="002C0CB5">
        <w:t xml:space="preserve"> of the CNA </w:t>
      </w:r>
      <w:r w:rsidR="00742122">
        <w:t xml:space="preserve">compared to that of the NA. Additionally, the spherical shape of the CNA reduced the packing density of the </w:t>
      </w:r>
      <w:r w:rsidR="00742122">
        <w:lastRenderedPageBreak/>
        <w:t>concrete mixtures</w:t>
      </w:r>
      <w:r w:rsidR="00946B04" w:rsidRPr="002C0CB5">
        <w:t xml:space="preserve">. </w:t>
      </w:r>
      <w:r w:rsidR="00FA19F8">
        <w:t xml:space="preserve">The </w:t>
      </w:r>
      <w:r w:rsidR="00946B04" w:rsidRPr="002C0CB5">
        <w:t xml:space="preserve">NA on the other hand, </w:t>
      </w:r>
      <w:r w:rsidR="00FA19F8">
        <w:t>were</w:t>
      </w:r>
      <w:r w:rsidR="00742122">
        <w:t xml:space="preserve"> predominantly </w:t>
      </w:r>
      <w:r w:rsidR="00946B04" w:rsidRPr="002C0CB5">
        <w:t xml:space="preserve">angular and fractured, thereby </w:t>
      </w:r>
      <w:r w:rsidR="00742122">
        <w:t xml:space="preserve">increasing the </w:t>
      </w:r>
      <w:r w:rsidR="00946B04" w:rsidRPr="002C0CB5">
        <w:t>packing density</w:t>
      </w:r>
      <w:r w:rsidR="00742122">
        <w:t xml:space="preserve"> of the mixes</w:t>
      </w:r>
      <w:r w:rsidR="00946B04" w:rsidRPr="002C0CB5">
        <w:t>. The average 28-day SSD densities ranged from 2211 kg/m</w:t>
      </w:r>
      <w:r w:rsidR="00946B04" w:rsidRPr="002C0CB5">
        <w:rPr>
          <w:vertAlign w:val="superscript"/>
        </w:rPr>
        <w:t>3</w:t>
      </w:r>
      <w:r w:rsidR="00946B04" w:rsidRPr="002C0CB5">
        <w:t xml:space="preserve"> (100% CNA mix) to 2591 kg/m</w:t>
      </w:r>
      <w:r w:rsidR="00946B04" w:rsidRPr="002C0CB5">
        <w:rPr>
          <w:vertAlign w:val="superscript"/>
        </w:rPr>
        <w:t>3</w:t>
      </w:r>
      <w:r w:rsidR="00946B04" w:rsidRPr="002C0CB5">
        <w:t xml:space="preserve"> (0% CNA mix).</w:t>
      </w:r>
      <w:r w:rsidRPr="002C0CB5">
        <w:t xml:space="preserve"> </w:t>
      </w:r>
      <w:r w:rsidR="00D52837">
        <w:t xml:space="preserve">Concrete with dry densities between 2000-2200 kg/m3 is considered as semi-lightweight </w:t>
      </w:r>
      <w:r w:rsidR="00D52837">
        <w:fldChar w:fldCharType="begin"/>
      </w:r>
      <w:r w:rsidR="00D52837">
        <w:instrText xml:space="preserve"> ADDIN EN.CITE &lt;EndNote&gt;&lt;Cite&gt;&lt;Author&gt;Abouhussien&lt;/Author&gt;&lt;Year&gt;2015&lt;/Year&gt;&lt;RecNum&gt;418&lt;/RecNum&gt;&lt;DisplayText&gt;(Abouhussien et al. 2015)&lt;/DisplayText&gt;&lt;record&gt;&lt;rec-number&gt;418&lt;/rec-number&gt;&lt;foreign-keys&gt;&lt;key app="EN" db-id="25a5fvaw7f5peyeeez7xawr9wzraf29tswtp" timestamp="1539396499"&gt;418&lt;/key&gt;&lt;/foreign-keys&gt;&lt;ref-type name="Journal Article"&gt;17&lt;/ref-type&gt;&lt;contributors&gt;&lt;authors&gt;&lt;author&gt;Abouhussien, Ahmed A.&lt;/author&gt;&lt;author&gt;Hassan, Assem A. A.&lt;/author&gt;&lt;author&gt;Ismail, Mohamed K.&lt;/author&gt;&lt;/authors&gt;&lt;/contributors&gt;&lt;titles&gt;&lt;title&gt;Properties of semi-lightweight self-consolidating concrete containing lightweight slag aggregate&lt;/title&gt;&lt;secondary-title&gt;Construction and Building Materials&lt;/secondary-title&gt;&lt;/titles&gt;&lt;periodical&gt;&lt;full-title&gt;Construction and Building Materials&lt;/full-title&gt;&lt;abbr-1&gt;Constr. Build. Mater.&lt;/abbr-1&gt;&lt;/periodical&gt;&lt;pages&gt;63-73&lt;/pages&gt;&lt;volume&gt;75&lt;/volume&gt;&lt;keywords&gt;&lt;keyword&gt;Semi-lightweight self-consolidating concrete&lt;/keyword&gt;&lt;keyword&gt;Lightweight slag aggregate&lt;/keyword&gt;&lt;keyword&gt;Metakaolin&lt;/keyword&gt;&lt;keyword&gt;Fresh properties&lt;/keyword&gt;&lt;keyword&gt;Mechanical properties&lt;/keyword&gt;&lt;keyword&gt;Shear strength&lt;/keyword&gt;&lt;keyword&gt;Cracking behaviour&lt;/keyword&gt;&lt;/keywords&gt;&lt;dates&gt;&lt;year&gt;2015&lt;/year&gt;&lt;pub-dates&gt;&lt;date&gt;2015/01/30/&lt;/date&gt;&lt;/pub-dates&gt;&lt;/dates&gt;&lt;isbn&gt;0950-0618&lt;/isbn&gt;&lt;urls&gt;&lt;related-urls&gt;&lt;url&gt;http://www.sciencedirect.com/science/article/pii/S0950061814011726&lt;/url&gt;&lt;/related-urls&gt;&lt;/urls&gt;&lt;electronic-resource-num&gt;https://doi.org/10.1016/j.conbuildmat.2014.10.028&lt;/electronic-resource-num&gt;&lt;/record&gt;&lt;/Cite&gt;&lt;/EndNote&gt;</w:instrText>
      </w:r>
      <w:r w:rsidR="00D52837">
        <w:fldChar w:fldCharType="separate"/>
      </w:r>
      <w:r w:rsidR="00D52837">
        <w:rPr>
          <w:noProof/>
        </w:rPr>
        <w:t>(Abouhussien et al. 2015)</w:t>
      </w:r>
      <w:r w:rsidR="00D52837">
        <w:fldChar w:fldCharType="end"/>
      </w:r>
      <w:r w:rsidR="00D52837">
        <w:t>.</w:t>
      </w:r>
    </w:p>
    <w:p w:rsidR="002C0CB5" w:rsidRPr="002C0CB5" w:rsidRDefault="00072796" w:rsidP="00034650">
      <w:pPr>
        <w:pStyle w:val="Displayedequation"/>
        <w:rPr>
          <w:lang w:val="en-US"/>
        </w:rPr>
      </w:pPr>
      <w:r w:rsidRPr="00734F79">
        <w:rPr>
          <w:position w:val="-12"/>
        </w:rPr>
        <w:object w:dxaOrig="22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18.75pt" o:ole="">
            <v:imagedata r:id="rId16" o:title=""/>
          </v:shape>
          <o:OLEObject Type="Embed" ProgID="Equation.3" ShapeID="_x0000_i1025" DrawAspect="Content" ObjectID="_1610341805" r:id="rId17"/>
        </w:object>
      </w:r>
      <w:r w:rsidR="002C0CB5" w:rsidRPr="002C0CB5">
        <w:rPr>
          <w:lang w:val="en-US"/>
        </w:rPr>
        <w:tab/>
      </w:r>
      <w:r w:rsidR="002C0CB5" w:rsidRPr="002C0CB5">
        <w:rPr>
          <w:lang w:val="en-US"/>
        </w:rPr>
        <w:tab/>
        <w:t>(</w:t>
      </w:r>
      <w:r w:rsidR="002C0CB5" w:rsidRPr="002C0CB5">
        <w:rPr>
          <w:lang w:val="en-US"/>
        </w:rPr>
        <w:fldChar w:fldCharType="begin"/>
      </w:r>
      <w:r w:rsidR="002C0CB5" w:rsidRPr="002C0CB5">
        <w:rPr>
          <w:lang w:val="en-US"/>
        </w:rPr>
        <w:instrText xml:space="preserve"> SEQ Eq. \* ARABIC </w:instrText>
      </w:r>
      <w:r w:rsidR="002C0CB5" w:rsidRPr="002C0CB5">
        <w:rPr>
          <w:lang w:val="en-US"/>
        </w:rPr>
        <w:fldChar w:fldCharType="separate"/>
      </w:r>
      <w:r w:rsidR="00112BE7">
        <w:rPr>
          <w:noProof/>
          <w:lang w:val="en-US"/>
        </w:rPr>
        <w:t>1</w:t>
      </w:r>
      <w:r w:rsidR="002C0CB5" w:rsidRPr="002C0CB5">
        <w:fldChar w:fldCharType="end"/>
      </w:r>
      <w:r w:rsidR="002C0CB5" w:rsidRPr="002C0CB5">
        <w:rPr>
          <w:lang w:val="en-US"/>
        </w:rPr>
        <w:t>)</w:t>
      </w:r>
    </w:p>
    <w:p w:rsidR="00B56AA1" w:rsidRDefault="002C0CB5" w:rsidP="002C0CB5">
      <w:pPr>
        <w:pStyle w:val="Paragraph"/>
      </w:pPr>
      <w:r w:rsidRPr="002C0CB5">
        <w:t xml:space="preserve">where </w:t>
      </w:r>
      <w:r w:rsidR="00F60EDF" w:rsidRPr="00734F79">
        <w:rPr>
          <w:position w:val="-12"/>
        </w:rPr>
        <w:object w:dxaOrig="300" w:dyaOrig="360">
          <v:shape id="_x0000_i1026" type="#_x0000_t75" style="width:14.25pt;height:18.75pt" o:ole="">
            <v:imagedata r:id="rId18" o:title=""/>
          </v:shape>
          <o:OLEObject Type="Embed" ProgID="Equation.3" ShapeID="_x0000_i1026" DrawAspect="Content" ObjectID="_1610341806" r:id="rId19"/>
        </w:object>
      </w:r>
      <w:r w:rsidRPr="002C0CB5">
        <w:t xml:space="preserve"> is average 28-day saturated surface dry density (kg/m</w:t>
      </w:r>
      <w:r w:rsidRPr="002C0CB5">
        <w:rPr>
          <w:vertAlign w:val="superscript"/>
        </w:rPr>
        <w:t>3</w:t>
      </w:r>
      <w:r w:rsidRPr="002C0CB5">
        <w:t xml:space="preserve">) and CNA is the percentage of carbon-negative </w:t>
      </w:r>
      <w:r w:rsidRPr="002C0CB5">
        <w:lastRenderedPageBreak/>
        <w:t>aggregates added by mass</w:t>
      </w:r>
      <w:r w:rsidR="003F75D4">
        <w:t>.</w:t>
      </w:r>
    </w:p>
    <w:p w:rsidR="00B56AA1" w:rsidRPr="002C0CB5" w:rsidRDefault="00B56AA1" w:rsidP="00B56AA1">
      <w:pPr>
        <w:pStyle w:val="Paragraph"/>
      </w:pPr>
      <w:r w:rsidRPr="002C0CB5">
        <w:rPr>
          <w:noProof/>
        </w:rPr>
        <w:drawing>
          <wp:inline distT="0" distB="0" distL="0" distR="0" wp14:anchorId="6D6F4E23" wp14:editId="62158315">
            <wp:extent cx="5212080" cy="2743200"/>
            <wp:effectExtent l="0" t="0" r="762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6AA1" w:rsidRPr="002C0CB5" w:rsidRDefault="00B56AA1" w:rsidP="00B56AA1">
      <w:pPr>
        <w:pStyle w:val="Figurecaption"/>
      </w:pPr>
      <w:bookmarkStart w:id="11" w:name="_Ref525241430"/>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Pr>
          <w:noProof/>
          <w:lang w:val="en-US"/>
        </w:rPr>
        <w:t>7</w:t>
      </w:r>
      <w:r w:rsidRPr="002C0CB5">
        <w:fldChar w:fldCharType="end"/>
      </w:r>
      <w:bookmarkEnd w:id="11"/>
      <w:r w:rsidRPr="002C0CB5">
        <w:rPr>
          <w:lang w:val="en-US"/>
        </w:rPr>
        <w:t>: Relationship between average 28-day (SSD) density and percent CNA</w:t>
      </w:r>
    </w:p>
    <w:p w:rsidR="002C0CB5" w:rsidRDefault="00B56AA1" w:rsidP="002E2F2D">
      <w:pPr>
        <w:pStyle w:val="Paragraph"/>
      </w:pPr>
      <w:r>
        <w:t xml:space="preserve">Water absorption results are presented in </w:t>
      </w:r>
      <w:r w:rsidR="00CF5F70">
        <w:fldChar w:fldCharType="begin"/>
      </w:r>
      <w:r w:rsidR="00CF5F70">
        <w:instrText xml:space="preserve"> REF _Ref525245956 \h </w:instrText>
      </w:r>
      <w:r w:rsidR="00CF5F70">
        <w:fldChar w:fldCharType="separate"/>
      </w:r>
      <w:r w:rsidR="00CF5F70" w:rsidRPr="002C0CB5">
        <w:rPr>
          <w:lang w:val="en-US"/>
        </w:rPr>
        <w:t xml:space="preserve">Figure </w:t>
      </w:r>
      <w:r w:rsidR="00CF5F70">
        <w:rPr>
          <w:noProof/>
          <w:lang w:val="en-US"/>
        </w:rPr>
        <w:t>8</w:t>
      </w:r>
      <w:r w:rsidR="00CF5F70">
        <w:fldChar w:fldCharType="end"/>
      </w:r>
      <w:r w:rsidR="00CF5F70">
        <w:t xml:space="preserve"> and </w:t>
      </w:r>
      <w:r w:rsidR="00CF5F70">
        <w:lastRenderedPageBreak/>
        <w:fldChar w:fldCharType="begin"/>
      </w:r>
      <w:r w:rsidR="00CF5F70">
        <w:instrText xml:space="preserve"> REF _Ref527190081 \h </w:instrText>
      </w:r>
      <w:r w:rsidR="00CF5F70">
        <w:fldChar w:fldCharType="separate"/>
      </w:r>
      <w:r w:rsidR="00CF5F70">
        <w:t xml:space="preserve">Figure </w:t>
      </w:r>
      <w:r w:rsidR="00CF5F70">
        <w:rPr>
          <w:noProof/>
        </w:rPr>
        <w:t>9</w:t>
      </w:r>
      <w:r w:rsidR="00CF5F70">
        <w:fldChar w:fldCharType="end"/>
      </w:r>
      <w:r w:rsidR="00CF5F70">
        <w:t xml:space="preserve">. As shown in </w:t>
      </w:r>
      <w:r w:rsidR="00CF5F70">
        <w:fldChar w:fldCharType="begin"/>
      </w:r>
      <w:r w:rsidR="00CF5F70">
        <w:instrText xml:space="preserve"> REF _Ref525245956 \h </w:instrText>
      </w:r>
      <w:r w:rsidR="00CF5F70">
        <w:fldChar w:fldCharType="separate"/>
      </w:r>
      <w:r w:rsidR="00CF5F70" w:rsidRPr="002C0CB5">
        <w:rPr>
          <w:lang w:val="en-US"/>
        </w:rPr>
        <w:t xml:space="preserve">Figure </w:t>
      </w:r>
      <w:r w:rsidR="00CF5F70">
        <w:rPr>
          <w:noProof/>
          <w:lang w:val="en-US"/>
        </w:rPr>
        <w:t>8</w:t>
      </w:r>
      <w:r w:rsidR="00CF5F70">
        <w:fldChar w:fldCharType="end"/>
      </w:r>
      <w:r w:rsidR="00CF5F70">
        <w:t>, f</w:t>
      </w:r>
      <w:r w:rsidR="002C0CB5" w:rsidRPr="002C0CB5">
        <w:t xml:space="preserve">or all mixes, the </w:t>
      </w:r>
      <w:r w:rsidR="00F15885">
        <w:t xml:space="preserve">average </w:t>
      </w:r>
      <w:r w:rsidR="002C0CB5" w:rsidRPr="002C0CB5">
        <w:t>water absorption percentages increased rapidly during the first 20 minutes of s</w:t>
      </w:r>
      <w:r w:rsidR="003B728F">
        <w:t>aturation</w:t>
      </w:r>
      <w:r w:rsidR="002C0CB5" w:rsidRPr="002C0CB5">
        <w:t xml:space="preserve">, then gradually flattened off at a slight positive gradient </w:t>
      </w:r>
      <w:r w:rsidR="003B728F">
        <w:t xml:space="preserve">after 2 hours until the end of the test at </w:t>
      </w:r>
      <w:r w:rsidR="003F75D4">
        <w:t>24 hours</w:t>
      </w:r>
      <w:r w:rsidR="002C0CB5" w:rsidRPr="002C0CB5">
        <w:t xml:space="preserve">. </w:t>
      </w:r>
      <w:r w:rsidR="00CF5F70">
        <w:t xml:space="preserve">From </w:t>
      </w:r>
      <w:r w:rsidR="00CF5F70">
        <w:fldChar w:fldCharType="begin"/>
      </w:r>
      <w:r w:rsidR="00CF5F70">
        <w:instrText xml:space="preserve"> REF _Ref527190081 \h </w:instrText>
      </w:r>
      <w:r w:rsidR="00CF5F70">
        <w:fldChar w:fldCharType="separate"/>
      </w:r>
      <w:r w:rsidR="00CF5F70">
        <w:t xml:space="preserve">Figure </w:t>
      </w:r>
      <w:r w:rsidR="00CF5F70">
        <w:rPr>
          <w:noProof/>
        </w:rPr>
        <w:t>9</w:t>
      </w:r>
      <w:r w:rsidR="00CF5F70">
        <w:fldChar w:fldCharType="end"/>
      </w:r>
      <w:r w:rsidR="00CF5F70">
        <w:t xml:space="preserve">, it can be seen that water </w:t>
      </w:r>
      <w:r w:rsidR="002C0CB5" w:rsidRPr="002C0CB5">
        <w:t xml:space="preserve">absorption increased </w:t>
      </w:r>
      <w:r w:rsidR="00B03A2E">
        <w:t xml:space="preserve">linearly </w:t>
      </w:r>
      <w:r w:rsidR="002C0CB5" w:rsidRPr="002C0CB5">
        <w:t>with increases in CNA percent</w:t>
      </w:r>
      <w:r w:rsidR="00CF5F70">
        <w:t>.</w:t>
      </w:r>
      <w:r w:rsidR="002C0CB5" w:rsidRPr="002C0CB5">
        <w:t xml:space="preserve"> </w:t>
      </w:r>
      <w:r w:rsidR="00CF5F70">
        <w:t>Th</w:t>
      </w:r>
      <w:r w:rsidR="003B728F">
        <w:t>ese water absorption results</w:t>
      </w:r>
      <w:r w:rsidR="00CF5F70">
        <w:t xml:space="preserve"> can be attributed </w:t>
      </w:r>
      <w:r w:rsidR="002C0CB5" w:rsidRPr="002C0CB5">
        <w:t xml:space="preserve">to the high porosity </w:t>
      </w:r>
      <w:r w:rsidR="00F8673F">
        <w:t xml:space="preserve">and high-water absorption </w:t>
      </w:r>
      <w:r w:rsidR="002C0CB5" w:rsidRPr="002C0CB5">
        <w:t xml:space="preserve">of the CNA. The average </w:t>
      </w:r>
      <w:r w:rsidR="002E2F2D">
        <w:t>24-hour</w:t>
      </w:r>
      <w:r w:rsidR="00CE45FC">
        <w:t xml:space="preserve"> </w:t>
      </w:r>
      <w:r w:rsidR="002C0CB5" w:rsidRPr="002C0CB5">
        <w:t xml:space="preserve">water absorption percentages of the various concrete mixes ranged </w:t>
      </w:r>
      <w:r w:rsidR="002C0CB5" w:rsidRPr="002C0CB5">
        <w:lastRenderedPageBreak/>
        <w:t>from 1.</w:t>
      </w:r>
      <w:r w:rsidR="00CE45FC">
        <w:t>66</w:t>
      </w:r>
      <w:r w:rsidR="002C0CB5" w:rsidRPr="002C0CB5">
        <w:t xml:space="preserve"> (0% CN</w:t>
      </w:r>
      <w:r w:rsidR="00B07817">
        <w:t xml:space="preserve">A mix) to </w:t>
      </w:r>
      <w:r w:rsidR="00CE45FC">
        <w:t>9.17</w:t>
      </w:r>
      <w:r w:rsidR="00B07817">
        <w:t>% (100% CNA mix).</w:t>
      </w:r>
      <w:r w:rsidR="002E2F2D">
        <w:t xml:space="preserve"> Although absorption is not used as a measure of quality of concrete, most good concretes have absorption below 10% </w:t>
      </w:r>
      <w:r w:rsidR="002E2F2D">
        <w:fldChar w:fldCharType="begin"/>
      </w:r>
      <w:r w:rsidR="002E2F2D">
        <w:instrText xml:space="preserve"> ADDIN EN.CITE &lt;EndNote&gt;&lt;Cite&gt;&lt;Author&gt;Gencel&lt;/Author&gt;&lt;Year&gt;2012&lt;/Year&gt;&lt;RecNum&gt;422&lt;/RecNum&gt;&lt;DisplayText&gt;(Gencel et al. 2012)&lt;/DisplayText&gt;&lt;record&gt;&lt;rec-number&gt;422&lt;/rec-number&gt;&lt;foreign-keys&gt;&lt;key app="EN" db-id="25a5fvaw7f5peyeeez7xawr9wzraf29tswtp" timestamp="1539435737"&gt;422&lt;/key&gt;&lt;/foreign-keys&gt;&lt;ref-type name="Journal Article"&gt;17&lt;/ref-type&gt;&lt;contributors&gt;&lt;authors&gt;&lt;author&gt;Gencel, Osman&lt;/author&gt;&lt;author&gt;Ozel, Cengiz&lt;/author&gt;&lt;author&gt;Koksal, Fuat&lt;/author&gt;&lt;author&gt;Erdogmus, Ertugrul&lt;/author&gt;&lt;author&gt;Martínez-Barrera, Gonzalo&lt;/author&gt;&lt;author&gt;Brostow, Witold&lt;/author&gt;&lt;/authors&gt;&lt;/contributors&gt;&lt;titles&gt;&lt;title&gt;Properties of concrete paving blocks made with waste marble&lt;/title&gt;&lt;secondary-title&gt;Journal of Cleaner Production&lt;/secondary-title&gt;&lt;/titles&gt;&lt;periodical&gt;&lt;full-title&gt;Journal of Cleaner Production&lt;/full-title&gt;&lt;abbr-1&gt;J. Cleaner Prod.&lt;/abbr-1&gt;&lt;/periodical&gt;&lt;pages&gt;62-70&lt;/pages&gt;&lt;volume&gt;21&lt;/volume&gt;&lt;number&gt;1&lt;/number&gt;&lt;keywords&gt;&lt;keyword&gt;Concrete paving blocks&lt;/keyword&gt;&lt;keyword&gt;Recycled aggregate&lt;/keyword&gt;&lt;keyword&gt;Marble waste&lt;/keyword&gt;&lt;keyword&gt;Concrete wear&lt;/keyword&gt;&lt;/keywords&gt;&lt;dates&gt;&lt;year&gt;2012&lt;/year&gt;&lt;pub-dates&gt;&lt;date&gt;2012/01/01/&lt;/date&gt;&lt;/pub-dates&gt;&lt;/dates&gt;&lt;isbn&gt;0959-6526&lt;/isbn&gt;&lt;urls&gt;&lt;related-urls&gt;&lt;url&gt;http://www.sciencedirect.com/science/article/pii/S0959652611003349&lt;/url&gt;&lt;/related-urls&gt;&lt;/urls&gt;&lt;electronic-resource-num&gt;https://doi.org/10.1016/j.jclepro.2011.08.023&lt;/electronic-resource-num&gt;&lt;/record&gt;&lt;/Cite&gt;&lt;/EndNote&gt;</w:instrText>
      </w:r>
      <w:r w:rsidR="002E2F2D">
        <w:fldChar w:fldCharType="separate"/>
      </w:r>
      <w:r w:rsidR="002E2F2D">
        <w:rPr>
          <w:noProof/>
        </w:rPr>
        <w:t>(Gencel et al. 2012)</w:t>
      </w:r>
      <w:r w:rsidR="002E2F2D">
        <w:fldChar w:fldCharType="end"/>
      </w:r>
      <w:r w:rsidR="002E2F2D">
        <w:t>.</w:t>
      </w:r>
    </w:p>
    <w:p w:rsidR="00B07817" w:rsidRPr="002C0CB5" w:rsidRDefault="00C07AC7" w:rsidP="007C37FD">
      <w:pPr>
        <w:pStyle w:val="Paragraph"/>
      </w:pPr>
      <w:r>
        <w:rPr>
          <w:noProof/>
        </w:rPr>
        <w:drawing>
          <wp:inline distT="0" distB="0" distL="0" distR="0" wp14:anchorId="385E92B6" wp14:editId="1F2F19B3">
            <wp:extent cx="5212080" cy="2743200"/>
            <wp:effectExtent l="0" t="0" r="762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7CD6" w:rsidRDefault="002C0CB5" w:rsidP="001A7CD6">
      <w:pPr>
        <w:pStyle w:val="Figurecaption"/>
        <w:rPr>
          <w:lang w:val="en-US"/>
        </w:rPr>
      </w:pPr>
      <w:bookmarkStart w:id="12" w:name="_Ref525245956"/>
      <w:r w:rsidRPr="002C0CB5">
        <w:rPr>
          <w:lang w:val="en-US"/>
        </w:rPr>
        <w:lastRenderedPageBreak/>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8</w:t>
      </w:r>
      <w:r w:rsidRPr="002C0CB5">
        <w:fldChar w:fldCharType="end"/>
      </w:r>
      <w:bookmarkEnd w:id="12"/>
      <w:r w:rsidRPr="002C0CB5">
        <w:rPr>
          <w:lang w:val="en-US"/>
        </w:rPr>
        <w:t>: Water absorption rate for the various concrete mixes</w:t>
      </w:r>
    </w:p>
    <w:p w:rsidR="00B56AA1" w:rsidRDefault="007C37FD" w:rsidP="00B56AA1">
      <w:pPr>
        <w:pStyle w:val="Paragraph"/>
        <w:keepNext/>
      </w:pPr>
      <w:r w:rsidRPr="007C37FD">
        <w:rPr>
          <w:noProof/>
        </w:rPr>
        <w:drawing>
          <wp:inline distT="0" distB="0" distL="0" distR="0" wp14:anchorId="6CF9A9BD" wp14:editId="40F19CF7">
            <wp:extent cx="5212080" cy="2743200"/>
            <wp:effectExtent l="0" t="0" r="762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37FD" w:rsidRPr="007C37FD" w:rsidRDefault="00B56AA1" w:rsidP="00B56AA1">
      <w:pPr>
        <w:pStyle w:val="Figurecaption"/>
        <w:rPr>
          <w:lang w:val="en-US"/>
        </w:rPr>
      </w:pPr>
      <w:bookmarkStart w:id="13" w:name="_Ref527190081"/>
      <w:r>
        <w:t xml:space="preserve">Figure </w:t>
      </w:r>
      <w:fldSimple w:instr=" SEQ Figure \* ARABIC ">
        <w:r>
          <w:rPr>
            <w:noProof/>
          </w:rPr>
          <w:t>9</w:t>
        </w:r>
      </w:fldSimple>
      <w:bookmarkEnd w:id="13"/>
      <w:r>
        <w:t xml:space="preserve">: </w:t>
      </w:r>
      <w:r w:rsidRPr="002C0CB5">
        <w:rPr>
          <w:lang w:val="en-US"/>
        </w:rPr>
        <w:t xml:space="preserve">Relationship between </w:t>
      </w:r>
      <w:r>
        <w:rPr>
          <w:lang w:val="en-US"/>
        </w:rPr>
        <w:t>water absorption and</w:t>
      </w:r>
      <w:r w:rsidRPr="002C0CB5">
        <w:rPr>
          <w:lang w:val="en-US"/>
        </w:rPr>
        <w:t xml:space="preserve"> percent CNA</w:t>
      </w:r>
    </w:p>
    <w:p w:rsidR="00FF2E55" w:rsidRDefault="00FF2E55" w:rsidP="00FF2E55">
      <w:pPr>
        <w:pStyle w:val="Heading2"/>
      </w:pPr>
      <w:r>
        <w:lastRenderedPageBreak/>
        <w:t>Compressive Strength</w:t>
      </w:r>
    </w:p>
    <w:p w:rsidR="002C0CB5" w:rsidRPr="002C0CB5" w:rsidRDefault="002C0CB5" w:rsidP="002C0CB5">
      <w:pPr>
        <w:pStyle w:val="Paragraph"/>
      </w:pPr>
      <w:r w:rsidRPr="002C0CB5">
        <w:fldChar w:fldCharType="begin"/>
      </w:r>
      <w:r w:rsidRPr="002C0CB5">
        <w:instrText xml:space="preserve"> REF _Ref525304552 \h </w:instrText>
      </w:r>
      <w:r w:rsidRPr="002C0CB5">
        <w:fldChar w:fldCharType="separate"/>
      </w:r>
      <w:r w:rsidR="00B56AA1" w:rsidRPr="002C0CB5">
        <w:rPr>
          <w:lang w:val="en-US"/>
        </w:rPr>
        <w:t xml:space="preserve">Figure </w:t>
      </w:r>
      <w:r w:rsidR="00B56AA1">
        <w:rPr>
          <w:noProof/>
          <w:lang w:val="en-US"/>
        </w:rPr>
        <w:t>10</w:t>
      </w:r>
      <w:r w:rsidRPr="002C0CB5">
        <w:fldChar w:fldCharType="end"/>
      </w:r>
      <w:r w:rsidRPr="002C0CB5">
        <w:t xml:space="preserve"> shows the relationship between average 28-day compressive strength values and </w:t>
      </w:r>
      <w:r w:rsidR="00F15885">
        <w:t>%</w:t>
      </w:r>
      <w:r w:rsidRPr="002C0CB5">
        <w:t>CNA. Compressive strengths dec</w:t>
      </w:r>
      <w:r w:rsidR="00F15885">
        <w:t>reased</w:t>
      </w:r>
      <w:r w:rsidRPr="002C0CB5">
        <w:t xml:space="preserve"> exponentially with increasing </w:t>
      </w:r>
      <w:r w:rsidR="00F15885">
        <w:t>%</w:t>
      </w:r>
      <w:r w:rsidRPr="002C0CB5">
        <w:t xml:space="preserve">CNA. Values ranged from 68.8 MPa (0% CNA mix) to 18.5 MPa (100% CNA mix). </w:t>
      </w:r>
      <w:r w:rsidR="00CA556A">
        <w:t xml:space="preserve">The </w:t>
      </w:r>
      <w:r w:rsidR="003B728F">
        <w:t>reduction</w:t>
      </w:r>
      <w:r w:rsidR="00CA556A">
        <w:t xml:space="preserve"> in compressive strength is primarily because the CNA have a significantly lower crushing resistance and density as compared to the NA</w:t>
      </w:r>
      <w:r w:rsidRPr="002C0CB5">
        <w:t>. Eq. 2 represents the best fit for the results obtained.</w:t>
      </w:r>
    </w:p>
    <w:p w:rsidR="002C0CB5" w:rsidRPr="002C0CB5" w:rsidRDefault="00072796" w:rsidP="00212602">
      <w:pPr>
        <w:pStyle w:val="Displayedequation"/>
        <w:rPr>
          <w:lang w:val="en-US"/>
        </w:rPr>
      </w:pPr>
      <w:r w:rsidRPr="00072796">
        <w:rPr>
          <w:position w:val="-12"/>
          <w:lang w:val="en-US"/>
        </w:rPr>
        <w:object w:dxaOrig="1860" w:dyaOrig="380">
          <v:shape id="_x0000_i1027" type="#_x0000_t75" style="width:93pt;height:20.25pt" o:ole="">
            <v:imagedata r:id="rId23" o:title=""/>
          </v:shape>
          <o:OLEObject Type="Embed" ProgID="Equation.3" ShapeID="_x0000_i1027" DrawAspect="Content" ObjectID="_1610341807" r:id="rId24"/>
        </w:object>
      </w:r>
      <w:r w:rsidR="001A7CD6">
        <w:rPr>
          <w:lang w:val="en-US"/>
        </w:rPr>
        <w:tab/>
      </w:r>
      <w:r w:rsidR="001A7CD6">
        <w:rPr>
          <w:lang w:val="en-US"/>
        </w:rPr>
        <w:tab/>
      </w:r>
      <w:r w:rsidR="002C0CB5" w:rsidRPr="002C0CB5">
        <w:rPr>
          <w:lang w:val="en-US"/>
        </w:rPr>
        <w:t>(</w:t>
      </w:r>
      <w:r w:rsidR="002C0CB5" w:rsidRPr="002C0CB5">
        <w:rPr>
          <w:lang w:val="en-US"/>
        </w:rPr>
        <w:fldChar w:fldCharType="begin"/>
      </w:r>
      <w:r w:rsidR="002C0CB5" w:rsidRPr="002C0CB5">
        <w:rPr>
          <w:lang w:val="en-US"/>
        </w:rPr>
        <w:instrText xml:space="preserve"> SEQ Eq. \* ARABIC </w:instrText>
      </w:r>
      <w:r w:rsidR="002C0CB5" w:rsidRPr="002C0CB5">
        <w:rPr>
          <w:lang w:val="en-US"/>
        </w:rPr>
        <w:fldChar w:fldCharType="separate"/>
      </w:r>
      <w:r w:rsidR="00112BE7">
        <w:rPr>
          <w:noProof/>
          <w:lang w:val="en-US"/>
        </w:rPr>
        <w:t>2</w:t>
      </w:r>
      <w:r w:rsidR="002C0CB5" w:rsidRPr="002C0CB5">
        <w:fldChar w:fldCharType="end"/>
      </w:r>
      <w:r w:rsidR="002C0CB5" w:rsidRPr="002C0CB5">
        <w:rPr>
          <w:lang w:val="en-US"/>
        </w:rPr>
        <w:t>)</w:t>
      </w:r>
    </w:p>
    <w:p w:rsidR="002C0CB5" w:rsidRDefault="002C0CB5" w:rsidP="002C0CB5">
      <w:pPr>
        <w:pStyle w:val="Paragraph"/>
      </w:pPr>
      <w:r w:rsidRPr="002C0CB5">
        <w:t xml:space="preserve">where </w:t>
      </w:r>
      <w:r w:rsidR="00F60EDF" w:rsidRPr="00734F79">
        <w:rPr>
          <w:position w:val="-12"/>
        </w:rPr>
        <w:object w:dxaOrig="340" w:dyaOrig="360">
          <v:shape id="_x0000_i1028" type="#_x0000_t75" style="width:16.5pt;height:18.75pt" o:ole="">
            <v:imagedata r:id="rId25" o:title=""/>
          </v:shape>
          <o:OLEObject Type="Embed" ProgID="Equation.3" ShapeID="_x0000_i1028" DrawAspect="Content" ObjectID="_1610341808" r:id="rId26"/>
        </w:object>
      </w:r>
      <w:r w:rsidR="00B1636C">
        <w:t xml:space="preserve"> is </w:t>
      </w:r>
      <w:r w:rsidR="00F60EDF">
        <w:t>cube</w:t>
      </w:r>
      <w:r w:rsidRPr="002C0CB5">
        <w:t xml:space="preserve"> compressive strength (MPa) and CNA is the percentage of carbon-negative aggregates added by mass</w:t>
      </w:r>
      <w:r w:rsidR="00B1636C">
        <w:t>.</w:t>
      </w:r>
    </w:p>
    <w:p w:rsidR="00B1636C" w:rsidRPr="002C0CB5" w:rsidRDefault="00B1636C" w:rsidP="00B1636C">
      <w:pPr>
        <w:pStyle w:val="Paragraph"/>
      </w:pPr>
      <w:r w:rsidRPr="002C0CB5">
        <w:rPr>
          <w:noProof/>
        </w:rPr>
        <w:drawing>
          <wp:inline distT="0" distB="0" distL="0" distR="0" wp14:anchorId="29C45FEE" wp14:editId="6DA100A1">
            <wp:extent cx="5164531" cy="3006547"/>
            <wp:effectExtent l="0" t="0" r="17145" b="381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636C" w:rsidRPr="002C0CB5" w:rsidRDefault="00B1636C" w:rsidP="00B1636C">
      <w:pPr>
        <w:pStyle w:val="Figurecaption"/>
        <w:rPr>
          <w:lang w:val="en-US"/>
        </w:rPr>
      </w:pPr>
      <w:bookmarkStart w:id="14" w:name="_Ref525304552"/>
      <w:r w:rsidRPr="002C0CB5">
        <w:rPr>
          <w:lang w:val="en-US"/>
        </w:rPr>
        <w:lastRenderedPageBreak/>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10</w:t>
      </w:r>
      <w:r w:rsidRPr="002C0CB5">
        <w:fldChar w:fldCharType="end"/>
      </w:r>
      <w:bookmarkEnd w:id="14"/>
      <w:r w:rsidRPr="002C0CB5">
        <w:rPr>
          <w:lang w:val="en-US"/>
        </w:rPr>
        <w:t xml:space="preserve">: Relationship between 28-day </w:t>
      </w:r>
      <w:r w:rsidRPr="00B1636C">
        <w:t>compressive</w:t>
      </w:r>
      <w:r w:rsidRPr="002C0CB5">
        <w:rPr>
          <w:lang w:val="en-US"/>
        </w:rPr>
        <w:t xml:space="preserve"> strength and percent CNA</w:t>
      </w:r>
    </w:p>
    <w:p w:rsidR="002C0CB5" w:rsidRPr="002C0CB5" w:rsidRDefault="002C0CB5" w:rsidP="00B1636C">
      <w:pPr>
        <w:pStyle w:val="Paragraph"/>
      </w:pPr>
      <w:r w:rsidRPr="002C0CB5">
        <w:fldChar w:fldCharType="begin"/>
      </w:r>
      <w:r w:rsidRPr="002C0CB5">
        <w:instrText xml:space="preserve"> REF _Ref525304564 \h </w:instrText>
      </w:r>
      <w:r w:rsidRPr="002C0CB5">
        <w:fldChar w:fldCharType="separate"/>
      </w:r>
      <w:r w:rsidR="00B56AA1" w:rsidRPr="002C0CB5">
        <w:rPr>
          <w:lang w:val="en-US"/>
        </w:rPr>
        <w:t xml:space="preserve">Figure </w:t>
      </w:r>
      <w:r w:rsidR="00B56AA1">
        <w:rPr>
          <w:noProof/>
          <w:lang w:val="en-US"/>
        </w:rPr>
        <w:t>11</w:t>
      </w:r>
      <w:r w:rsidRPr="002C0CB5">
        <w:fldChar w:fldCharType="end"/>
      </w:r>
      <w:r w:rsidRPr="002C0CB5">
        <w:t xml:space="preserve"> and </w:t>
      </w:r>
      <w:r w:rsidRPr="002C0CB5">
        <w:fldChar w:fldCharType="begin"/>
      </w:r>
      <w:r w:rsidRPr="002C0CB5">
        <w:instrText xml:space="preserve"> REF _Ref525391921 \h </w:instrText>
      </w:r>
      <w:r w:rsidR="00B11C0C">
        <w:instrText xml:space="preserve"> \* MERGEFORMAT </w:instrText>
      </w:r>
      <w:r w:rsidRPr="002C0CB5">
        <w:fldChar w:fldCharType="separate"/>
      </w:r>
      <w:r w:rsidR="00B56AA1" w:rsidRPr="00B56AA1">
        <w:t>Figure 12</w:t>
      </w:r>
      <w:r w:rsidRPr="002C0CB5">
        <w:fldChar w:fldCharType="end"/>
      </w:r>
      <w:r w:rsidRPr="002C0CB5">
        <w:t xml:space="preserve"> show the </w:t>
      </w:r>
      <w:r w:rsidRPr="00B1636C">
        <w:t>relationships</w:t>
      </w:r>
      <w:r w:rsidRPr="002C0CB5">
        <w:t xml:space="preserve"> between compressive strength and percent water absorption and between compressive strength and density respectively. For the same reasons mentioned previously, compressive strength decreased with increased water absorption and decreased density. These relationsh</w:t>
      </w:r>
      <w:r w:rsidR="00EF2644">
        <w:t>ips are further presented in Equations</w:t>
      </w:r>
      <w:r w:rsidRPr="002C0CB5">
        <w:t xml:space="preserve"> 3 and 4.</w:t>
      </w:r>
    </w:p>
    <w:p w:rsidR="002C0CB5" w:rsidRPr="002C0CB5" w:rsidRDefault="00072796" w:rsidP="00212602">
      <w:pPr>
        <w:pStyle w:val="Displayedequation"/>
        <w:rPr>
          <w:lang w:val="en-US"/>
        </w:rPr>
      </w:pPr>
      <w:r w:rsidRPr="00072796">
        <w:rPr>
          <w:position w:val="-12"/>
          <w:lang w:val="en-US"/>
        </w:rPr>
        <w:object w:dxaOrig="1719" w:dyaOrig="380">
          <v:shape id="_x0000_i1029" type="#_x0000_t75" style="width:85.5pt;height:19.5pt" o:ole="">
            <v:imagedata r:id="rId28" o:title=""/>
          </v:shape>
          <o:OLEObject Type="Embed" ProgID="Equation.3" ShapeID="_x0000_i1029" DrawAspect="Content" ObjectID="_1610341809" r:id="rId29"/>
        </w:object>
      </w:r>
      <w:r w:rsidR="001A7CD6">
        <w:rPr>
          <w:lang w:val="en-US"/>
        </w:rPr>
        <w:tab/>
      </w:r>
      <w:r w:rsidR="001A7CD6">
        <w:rPr>
          <w:lang w:val="en-US"/>
        </w:rPr>
        <w:tab/>
      </w:r>
      <w:r w:rsidR="002C0CB5" w:rsidRPr="002C0CB5">
        <w:rPr>
          <w:lang w:val="en-US"/>
        </w:rPr>
        <w:t>(</w:t>
      </w:r>
      <w:r w:rsidR="002C0CB5" w:rsidRPr="002C0CB5">
        <w:rPr>
          <w:lang w:val="en-US"/>
        </w:rPr>
        <w:fldChar w:fldCharType="begin"/>
      </w:r>
      <w:r w:rsidR="002C0CB5" w:rsidRPr="002C0CB5">
        <w:rPr>
          <w:lang w:val="en-US"/>
        </w:rPr>
        <w:instrText xml:space="preserve"> SEQ Eq. \* ARABIC </w:instrText>
      </w:r>
      <w:r w:rsidR="002C0CB5" w:rsidRPr="002C0CB5">
        <w:rPr>
          <w:lang w:val="en-US"/>
        </w:rPr>
        <w:fldChar w:fldCharType="separate"/>
      </w:r>
      <w:r w:rsidR="00112BE7">
        <w:rPr>
          <w:noProof/>
          <w:lang w:val="en-US"/>
        </w:rPr>
        <w:t>3</w:t>
      </w:r>
      <w:r w:rsidR="002C0CB5" w:rsidRPr="002C0CB5">
        <w:fldChar w:fldCharType="end"/>
      </w:r>
      <w:r w:rsidR="002C0CB5" w:rsidRPr="002C0CB5">
        <w:rPr>
          <w:lang w:val="en-US"/>
        </w:rPr>
        <w:t>)</w:t>
      </w:r>
    </w:p>
    <w:p w:rsidR="002C0CB5" w:rsidRPr="002C0CB5" w:rsidRDefault="00072796" w:rsidP="00212602">
      <w:pPr>
        <w:pStyle w:val="Displayedequation"/>
        <w:rPr>
          <w:lang w:val="en-US"/>
        </w:rPr>
      </w:pPr>
      <w:r w:rsidRPr="00072796">
        <w:rPr>
          <w:position w:val="-12"/>
          <w:lang w:val="en-US"/>
        </w:rPr>
        <w:object w:dxaOrig="1760" w:dyaOrig="380">
          <v:shape id="_x0000_i1030" type="#_x0000_t75" style="width:87.75pt;height:20.25pt" o:ole="">
            <v:imagedata r:id="rId30" o:title=""/>
          </v:shape>
          <o:OLEObject Type="Embed" ProgID="Equation.3" ShapeID="_x0000_i1030" DrawAspect="Content" ObjectID="_1610341810" r:id="rId31"/>
        </w:object>
      </w:r>
      <w:r w:rsidR="001A7CD6">
        <w:rPr>
          <w:lang w:val="en-US"/>
        </w:rPr>
        <w:tab/>
      </w:r>
      <w:r w:rsidR="001A7CD6">
        <w:rPr>
          <w:lang w:val="en-US"/>
        </w:rPr>
        <w:tab/>
      </w:r>
      <w:r w:rsidR="002C0CB5" w:rsidRPr="002C0CB5">
        <w:rPr>
          <w:lang w:val="en-US"/>
        </w:rPr>
        <w:t>(</w:t>
      </w:r>
      <w:r w:rsidR="002C0CB5" w:rsidRPr="002C0CB5">
        <w:rPr>
          <w:lang w:val="en-US"/>
        </w:rPr>
        <w:fldChar w:fldCharType="begin"/>
      </w:r>
      <w:r w:rsidR="002C0CB5" w:rsidRPr="002C0CB5">
        <w:rPr>
          <w:lang w:val="en-US"/>
        </w:rPr>
        <w:instrText xml:space="preserve"> SEQ Eq. \* ARABIC </w:instrText>
      </w:r>
      <w:r w:rsidR="002C0CB5" w:rsidRPr="002C0CB5">
        <w:rPr>
          <w:lang w:val="en-US"/>
        </w:rPr>
        <w:fldChar w:fldCharType="separate"/>
      </w:r>
      <w:r w:rsidR="00112BE7">
        <w:rPr>
          <w:noProof/>
          <w:lang w:val="en-US"/>
        </w:rPr>
        <w:t>4</w:t>
      </w:r>
      <w:r w:rsidR="002C0CB5" w:rsidRPr="002C0CB5">
        <w:fldChar w:fldCharType="end"/>
      </w:r>
      <w:r w:rsidR="002C0CB5" w:rsidRPr="002C0CB5">
        <w:rPr>
          <w:lang w:val="en-US"/>
        </w:rPr>
        <w:t>)</w:t>
      </w:r>
    </w:p>
    <w:p w:rsidR="002C0CB5" w:rsidRPr="002C0CB5" w:rsidRDefault="00F60EDF" w:rsidP="00B1636C">
      <w:pPr>
        <w:pStyle w:val="Paragraph"/>
      </w:pPr>
      <w:r>
        <w:t xml:space="preserve">where </w:t>
      </w:r>
      <w:r w:rsidRPr="00734F79">
        <w:rPr>
          <w:position w:val="-12"/>
        </w:rPr>
        <w:object w:dxaOrig="340" w:dyaOrig="360">
          <v:shape id="_x0000_i1031" type="#_x0000_t75" style="width:16.5pt;height:18.75pt" o:ole="">
            <v:imagedata r:id="rId25" o:title=""/>
          </v:shape>
          <o:OLEObject Type="Embed" ProgID="Equation.3" ShapeID="_x0000_i1031" DrawAspect="Content" ObjectID="_1610341811" r:id="rId32"/>
        </w:object>
      </w:r>
      <w:r w:rsidR="002C0CB5" w:rsidRPr="002C0CB5">
        <w:t xml:space="preserve"> is </w:t>
      </w:r>
      <w:r w:rsidR="003B728F">
        <w:t xml:space="preserve">the cube </w:t>
      </w:r>
      <w:r w:rsidR="00B1636C">
        <w:t>compressive strength (MPa),</w:t>
      </w:r>
      <w:r w:rsidR="002C0CB5" w:rsidRPr="002C0CB5">
        <w:t xml:space="preserve"> </w:t>
      </w:r>
      <w:r w:rsidRPr="00F60EDF">
        <w:rPr>
          <w:position w:val="-10"/>
        </w:rPr>
        <w:object w:dxaOrig="200" w:dyaOrig="320">
          <v:shape id="_x0000_i1032" type="#_x0000_t75" style="width:9.75pt;height:16.5pt" o:ole="">
            <v:imagedata r:id="rId33" o:title=""/>
          </v:shape>
          <o:OLEObject Type="Embed" ProgID="Equation.3" ShapeID="_x0000_i1032" DrawAspect="Content" ObjectID="_1610341812" r:id="rId34"/>
        </w:object>
      </w:r>
      <w:r>
        <w:t xml:space="preserve"> </w:t>
      </w:r>
      <w:r w:rsidR="002C0CB5" w:rsidRPr="002C0CB5">
        <w:t xml:space="preserve">is the water absorption </w:t>
      </w:r>
      <w:r w:rsidR="002C0CB5" w:rsidRPr="00B1636C">
        <w:t>percentage</w:t>
      </w:r>
      <w:r w:rsidR="002C0CB5" w:rsidRPr="002C0CB5">
        <w:t xml:space="preserve"> of the </w:t>
      </w:r>
      <w:r w:rsidR="00B1636C">
        <w:t xml:space="preserve">CNA and </w:t>
      </w:r>
      <w:r w:rsidR="00034650" w:rsidRPr="00734F79">
        <w:rPr>
          <w:position w:val="-12"/>
        </w:rPr>
        <w:object w:dxaOrig="300" w:dyaOrig="360">
          <v:shape id="_x0000_i1033" type="#_x0000_t75" style="width:14.25pt;height:18.75pt" o:ole="">
            <v:imagedata r:id="rId35" o:title=""/>
          </v:shape>
          <o:OLEObject Type="Embed" ProgID="Equation.3" ShapeID="_x0000_i1033" DrawAspect="Content" ObjectID="_1610341813" r:id="rId36"/>
        </w:object>
      </w:r>
      <w:r w:rsidR="00B1636C" w:rsidRPr="002C0CB5">
        <w:t xml:space="preserve"> is average 28-day saturated surface dry density (kg/m</w:t>
      </w:r>
      <w:r w:rsidR="00B1636C" w:rsidRPr="002C0CB5">
        <w:rPr>
          <w:vertAlign w:val="superscript"/>
        </w:rPr>
        <w:t>3</w:t>
      </w:r>
      <w:r w:rsidR="00B1636C" w:rsidRPr="002C0CB5">
        <w:t>)</w:t>
      </w:r>
      <w:r w:rsidR="00B1636C">
        <w:t>.</w:t>
      </w:r>
    </w:p>
    <w:p w:rsidR="002C0CB5" w:rsidRPr="002C0CB5" w:rsidRDefault="002C0CB5" w:rsidP="002C0CB5">
      <w:pPr>
        <w:pStyle w:val="Paragraph"/>
      </w:pPr>
      <w:r w:rsidRPr="002C0CB5">
        <w:rPr>
          <w:noProof/>
        </w:rPr>
        <w:drawing>
          <wp:inline distT="0" distB="0" distL="0" distR="0" wp14:anchorId="54A21227" wp14:editId="689F5122">
            <wp:extent cx="5212080" cy="2743200"/>
            <wp:effectExtent l="0" t="0" r="762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C0CB5" w:rsidRPr="002C0CB5" w:rsidRDefault="002C0CB5" w:rsidP="001A7CD6">
      <w:pPr>
        <w:pStyle w:val="Figurecaption"/>
        <w:rPr>
          <w:lang w:val="en-US"/>
        </w:rPr>
      </w:pPr>
      <w:bookmarkStart w:id="15" w:name="_Ref525304564"/>
      <w:r w:rsidRPr="002C0CB5">
        <w:rPr>
          <w:lang w:val="en-US"/>
        </w:rPr>
        <w:lastRenderedPageBreak/>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11</w:t>
      </w:r>
      <w:r w:rsidRPr="002C0CB5">
        <w:fldChar w:fldCharType="end"/>
      </w:r>
      <w:bookmarkEnd w:id="15"/>
      <w:r w:rsidRPr="002C0CB5">
        <w:rPr>
          <w:lang w:val="en-US"/>
        </w:rPr>
        <w:t>: Relationship between 28-day compressive strength and average water absorption percent</w:t>
      </w:r>
    </w:p>
    <w:p w:rsidR="002C0CB5" w:rsidRPr="002C0CB5" w:rsidRDefault="002C0CB5" w:rsidP="002C0CB5">
      <w:pPr>
        <w:pStyle w:val="Paragraph"/>
      </w:pPr>
      <w:r w:rsidRPr="002C0CB5">
        <w:rPr>
          <w:noProof/>
        </w:rPr>
        <w:drawing>
          <wp:inline distT="0" distB="0" distL="0" distR="0" wp14:anchorId="42F885EE" wp14:editId="5336C99C">
            <wp:extent cx="5212080" cy="2743200"/>
            <wp:effectExtent l="0" t="0" r="7620"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F2E55" w:rsidRDefault="002C0CB5" w:rsidP="001A7CD6">
      <w:pPr>
        <w:pStyle w:val="Figurecaption"/>
      </w:pPr>
      <w:bookmarkStart w:id="16" w:name="_Ref525391921"/>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12</w:t>
      </w:r>
      <w:r w:rsidRPr="002C0CB5">
        <w:fldChar w:fldCharType="end"/>
      </w:r>
      <w:bookmarkEnd w:id="16"/>
      <w:r w:rsidRPr="002C0CB5">
        <w:rPr>
          <w:lang w:val="en-US"/>
        </w:rPr>
        <w:t>: Relationship between 28-day compressive strength and density</w:t>
      </w:r>
    </w:p>
    <w:p w:rsidR="00FF2E55" w:rsidRDefault="00FF2E55" w:rsidP="00FF2E55">
      <w:pPr>
        <w:pStyle w:val="Heading2"/>
      </w:pPr>
      <w:r>
        <w:lastRenderedPageBreak/>
        <w:t>Splitting Tensile Strength</w:t>
      </w:r>
    </w:p>
    <w:p w:rsidR="005F704C" w:rsidRDefault="00E66328" w:rsidP="002C0CB5">
      <w:pPr>
        <w:pStyle w:val="Paragraph"/>
      </w:pPr>
      <w:r>
        <w:t xml:space="preserve">Tensile loading is usually carried by steel reinforcement in reinforced concrete. However, it is essentially unfeasible to use steel reinforcement in solid </w:t>
      </w:r>
      <w:r w:rsidR="00C07558">
        <w:t>CBP</w:t>
      </w:r>
      <w:r>
        <w:t>. It is necessary therefore, for a reliable assessment of the splitting tensile strength of concrete for application as solid C</w:t>
      </w:r>
      <w:r w:rsidR="00C07558">
        <w:t>BP</w:t>
      </w:r>
      <w:r>
        <w:t>.</w:t>
      </w:r>
    </w:p>
    <w:p w:rsidR="00692F03" w:rsidRPr="002C0CB5" w:rsidRDefault="002C0CB5" w:rsidP="0083563C">
      <w:pPr>
        <w:pStyle w:val="Newparagraph"/>
      </w:pPr>
      <w:r w:rsidRPr="002C0CB5">
        <w:t xml:space="preserve">The average 28-day splitting tensile strength results for each mix are </w:t>
      </w:r>
      <w:r w:rsidR="006009C8">
        <w:t xml:space="preserve">shown </w:t>
      </w:r>
      <w:r w:rsidRPr="002C0CB5">
        <w:t xml:space="preserve">in </w:t>
      </w:r>
      <w:r w:rsidRPr="002C0CB5">
        <w:fldChar w:fldCharType="begin"/>
      </w:r>
      <w:r w:rsidRPr="002C0CB5">
        <w:instrText xml:space="preserve"> REF _Ref525290481 \h </w:instrText>
      </w:r>
      <w:r w:rsidRPr="002C0CB5">
        <w:fldChar w:fldCharType="separate"/>
      </w:r>
      <w:r w:rsidR="00B56AA1" w:rsidRPr="002C0CB5">
        <w:rPr>
          <w:lang w:val="en-US"/>
        </w:rPr>
        <w:t xml:space="preserve">Figure </w:t>
      </w:r>
      <w:r w:rsidR="00B56AA1">
        <w:rPr>
          <w:noProof/>
          <w:lang w:val="en-US"/>
        </w:rPr>
        <w:t>13</w:t>
      </w:r>
      <w:r w:rsidRPr="002C0CB5">
        <w:fldChar w:fldCharType="end"/>
      </w:r>
      <w:r w:rsidRPr="002C0CB5">
        <w:t>.</w:t>
      </w:r>
      <w:r w:rsidR="00692F03">
        <w:t xml:space="preserve"> </w:t>
      </w:r>
      <w:r w:rsidR="00692F03" w:rsidRPr="002C0CB5">
        <w:t xml:space="preserve">As with compressive strength values, </w:t>
      </w:r>
      <w:r w:rsidR="00692F03">
        <w:t xml:space="preserve">splitting </w:t>
      </w:r>
      <w:r w:rsidR="00692F03" w:rsidRPr="002C0CB5">
        <w:t>tensile strengths dec</w:t>
      </w:r>
      <w:r w:rsidR="00692F03">
        <w:t>reased</w:t>
      </w:r>
      <w:r w:rsidR="00692F03" w:rsidRPr="002C0CB5">
        <w:t xml:space="preserve"> exponentially with increasing </w:t>
      </w:r>
      <w:r w:rsidR="00B03A2E">
        <w:t>%</w:t>
      </w:r>
      <w:r w:rsidR="00692F03" w:rsidRPr="002C0CB5">
        <w:t xml:space="preserve">CNA. The values </w:t>
      </w:r>
      <w:r w:rsidR="00692F03" w:rsidRPr="002C0CB5">
        <w:lastRenderedPageBreak/>
        <w:t>ranged from 3.8</w:t>
      </w:r>
      <w:r w:rsidR="00072796">
        <w:t>4</w:t>
      </w:r>
      <w:r w:rsidR="00692F03" w:rsidRPr="002C0CB5">
        <w:t xml:space="preserve"> MPa (0% CNA mix) to 1.2</w:t>
      </w:r>
      <w:r w:rsidR="00072796">
        <w:t>3</w:t>
      </w:r>
      <w:r w:rsidR="00692F03" w:rsidRPr="002C0CB5">
        <w:t xml:space="preserve"> MPa (100% CNA mix). Again this was expected because of the </w:t>
      </w:r>
      <w:r w:rsidR="00692F03">
        <w:t>physical properties of the CNA as previous</w:t>
      </w:r>
      <w:r w:rsidR="00F674DB">
        <w:t>ly</w:t>
      </w:r>
      <w:r w:rsidR="00692F03">
        <w:t xml:space="preserve"> discussed</w:t>
      </w:r>
      <w:r w:rsidR="00692F03" w:rsidRPr="002C0CB5">
        <w:t xml:space="preserve">. Eq. 5 represents the best fit for the results. </w:t>
      </w:r>
      <w:r w:rsidR="0083563C">
        <w:t xml:space="preserve">According to ASTM C330/C330M-17 </w:t>
      </w:r>
      <w:r w:rsidR="0083563C">
        <w:fldChar w:fldCharType="begin"/>
      </w:r>
      <w:r w:rsidR="0083563C">
        <w:instrText xml:space="preserve"> ADDIN EN.CITE &lt;EndNote&gt;&lt;Cite&gt;&lt;Author&gt;ASTM&lt;/Author&gt;&lt;Year&gt;2017&lt;/Year&gt;&lt;RecNum&gt;347&lt;/RecNum&gt;&lt;DisplayText&gt;(ASTM 2017b)&lt;/DisplayText&gt;&lt;record&gt;&lt;rec-number&gt;347&lt;/rec-number&gt;&lt;foreign-keys&gt;&lt;key app="EN" db-id="25a5fvaw7f5peyeeez7xawr9wzraf29tswtp" timestamp="1496877712"&gt;347&lt;/key&gt;&lt;/foreign-keys&gt;&lt;ref-type name="Standard"&gt;58&lt;/ref-type&gt;&lt;contributors&gt;&lt;authors&gt;&lt;author&gt;ASTM&lt;/author&gt;&lt;/authors&gt;&lt;/contributors&gt;&lt;titles&gt;&lt;title&gt;Standard Specification for Lightweight Aggregates for Structural Concrete&lt;/title&gt;&lt;/titles&gt;&lt;volume&gt;Standard C330/C330M-17a&lt;/volume&gt;&lt;dates&gt;&lt;year&gt;2017&lt;/year&gt;&lt;pub-dates&gt;&lt;date&gt;2017&lt;/date&gt;&lt;/pub-dates&gt;&lt;/dates&gt;&lt;pub-location&gt;West Conshohocken, PA USA&lt;/pub-location&gt;&lt;publisher&gt;ASTM International&lt;/publisher&gt;&lt;urls&gt;&lt;/urls&gt;&lt;/record&gt;&lt;/Cite&gt;&lt;/EndNote&gt;</w:instrText>
      </w:r>
      <w:r w:rsidR="0083563C">
        <w:fldChar w:fldCharType="separate"/>
      </w:r>
      <w:r w:rsidR="0083563C">
        <w:rPr>
          <w:noProof/>
        </w:rPr>
        <w:t>(ASTM 2017b)</w:t>
      </w:r>
      <w:r w:rsidR="0083563C">
        <w:fldChar w:fldCharType="end"/>
      </w:r>
      <w:r w:rsidR="0083563C">
        <w:t xml:space="preserve">, a 28-day splitting tensile strength of 2.0 MPa is </w:t>
      </w:r>
      <w:r w:rsidR="00F47582">
        <w:t xml:space="preserve">the </w:t>
      </w:r>
      <w:r w:rsidR="0083563C">
        <w:t>minimum requirement for structural lightweight aggregate concrete. NA replaced with ≤50 wt.%CNA satisfied this minimum requirement.</w:t>
      </w:r>
    </w:p>
    <w:p w:rsidR="00692F03" w:rsidRPr="002C0CB5" w:rsidRDefault="00072796" w:rsidP="00692F03">
      <w:pPr>
        <w:pStyle w:val="Displayedequation"/>
        <w:rPr>
          <w:lang w:val="en-US"/>
        </w:rPr>
      </w:pPr>
      <w:r w:rsidRPr="00072796">
        <w:rPr>
          <w:position w:val="-12"/>
          <w:lang w:val="en-US"/>
        </w:rPr>
        <w:object w:dxaOrig="1700" w:dyaOrig="380">
          <v:shape id="_x0000_i1034" type="#_x0000_t75" style="width:85.5pt;height:20.25pt" o:ole="">
            <v:imagedata r:id="rId39" o:title=""/>
          </v:shape>
          <o:OLEObject Type="Embed" ProgID="Equation.3" ShapeID="_x0000_i1034" DrawAspect="Content" ObjectID="_1610341814" r:id="rId40"/>
        </w:object>
      </w:r>
      <w:r w:rsidR="00692F03">
        <w:rPr>
          <w:lang w:val="en-US"/>
        </w:rPr>
        <w:t xml:space="preserve"> </w:t>
      </w:r>
      <w:r w:rsidR="00692F03">
        <w:rPr>
          <w:lang w:val="en-US"/>
        </w:rPr>
        <w:tab/>
      </w:r>
      <w:r w:rsidR="00692F03">
        <w:rPr>
          <w:lang w:val="en-US"/>
        </w:rPr>
        <w:tab/>
      </w:r>
      <w:r w:rsidR="00692F03" w:rsidRPr="002C0CB5">
        <w:rPr>
          <w:lang w:val="en-US"/>
        </w:rPr>
        <w:t>(</w:t>
      </w:r>
      <w:r w:rsidR="00692F03" w:rsidRPr="002C0CB5">
        <w:rPr>
          <w:lang w:val="en-US"/>
        </w:rPr>
        <w:fldChar w:fldCharType="begin"/>
      </w:r>
      <w:r w:rsidR="00692F03" w:rsidRPr="002C0CB5">
        <w:rPr>
          <w:lang w:val="en-US"/>
        </w:rPr>
        <w:instrText xml:space="preserve"> SEQ Eq. \* ARABIC </w:instrText>
      </w:r>
      <w:r w:rsidR="00692F03" w:rsidRPr="002C0CB5">
        <w:rPr>
          <w:lang w:val="en-US"/>
        </w:rPr>
        <w:fldChar w:fldCharType="separate"/>
      </w:r>
      <w:r w:rsidR="00112BE7">
        <w:rPr>
          <w:noProof/>
          <w:lang w:val="en-US"/>
        </w:rPr>
        <w:t>5</w:t>
      </w:r>
      <w:r w:rsidR="00692F03" w:rsidRPr="002C0CB5">
        <w:fldChar w:fldCharType="end"/>
      </w:r>
      <w:r w:rsidR="00692F03" w:rsidRPr="002C0CB5">
        <w:rPr>
          <w:lang w:val="en-US"/>
        </w:rPr>
        <w:t>)</w:t>
      </w:r>
    </w:p>
    <w:p w:rsidR="00692F03" w:rsidRPr="002C0CB5" w:rsidRDefault="00692F03" w:rsidP="00692F03">
      <w:pPr>
        <w:pStyle w:val="Paragraph"/>
      </w:pPr>
      <w:r w:rsidRPr="002C0CB5">
        <w:lastRenderedPageBreak/>
        <w:t xml:space="preserve">where </w:t>
      </w:r>
      <w:r w:rsidR="00F60EDF" w:rsidRPr="00734F79">
        <w:rPr>
          <w:position w:val="-12"/>
        </w:rPr>
        <w:object w:dxaOrig="320" w:dyaOrig="360">
          <v:shape id="_x0000_i1035" type="#_x0000_t75" style="width:15.75pt;height:18.75pt" o:ole="">
            <v:imagedata r:id="rId41" o:title=""/>
          </v:shape>
          <o:OLEObject Type="Embed" ProgID="Equation.3" ShapeID="_x0000_i1035" DrawAspect="Content" ObjectID="_1610341815" r:id="rId42"/>
        </w:object>
      </w:r>
      <w:r w:rsidRPr="002C0CB5">
        <w:t xml:space="preserve"> is the 28-day splitting tensile strength (MPa)</w:t>
      </w:r>
      <w:r>
        <w:t xml:space="preserve"> and </w:t>
      </w:r>
      <w:r w:rsidRPr="002C0CB5">
        <w:t>CNA is the percentage of carbon-negative aggregates added by mass</w:t>
      </w:r>
      <w:r>
        <w:t>.</w:t>
      </w:r>
    </w:p>
    <w:p w:rsidR="002C0CB5" w:rsidRPr="002C0CB5" w:rsidRDefault="002C0CB5" w:rsidP="005F704C">
      <w:pPr>
        <w:pStyle w:val="Newparagraph"/>
      </w:pPr>
    </w:p>
    <w:p w:rsidR="002C0CB5" w:rsidRPr="002C0CB5" w:rsidRDefault="002C0CB5" w:rsidP="002C0CB5">
      <w:pPr>
        <w:pStyle w:val="Paragraph"/>
      </w:pPr>
      <w:r w:rsidRPr="002C0CB5">
        <w:rPr>
          <w:noProof/>
        </w:rPr>
        <w:drawing>
          <wp:inline distT="0" distB="0" distL="0" distR="0" wp14:anchorId="77E150D1" wp14:editId="19E65864">
            <wp:extent cx="5212080" cy="2743200"/>
            <wp:effectExtent l="0" t="0" r="762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C0CB5" w:rsidRPr="002C0CB5" w:rsidRDefault="002C0CB5" w:rsidP="001A7CD6">
      <w:pPr>
        <w:pStyle w:val="Figurecaption"/>
        <w:rPr>
          <w:lang w:val="en-US"/>
        </w:rPr>
      </w:pPr>
      <w:bookmarkStart w:id="17" w:name="_Ref525290481"/>
      <w:r w:rsidRPr="002C0CB5">
        <w:rPr>
          <w:lang w:val="en-US"/>
        </w:rPr>
        <w:lastRenderedPageBreak/>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13</w:t>
      </w:r>
      <w:r w:rsidRPr="002C0CB5">
        <w:fldChar w:fldCharType="end"/>
      </w:r>
      <w:bookmarkEnd w:id="17"/>
      <w:r w:rsidRPr="002C0CB5">
        <w:rPr>
          <w:lang w:val="en-US"/>
        </w:rPr>
        <w:t>: Relationship between 28-day splitting tensile strength and percent CNA</w:t>
      </w:r>
    </w:p>
    <w:p w:rsidR="00112BE7" w:rsidRDefault="002C0CB5" w:rsidP="009E55CD">
      <w:pPr>
        <w:pStyle w:val="Paragraph"/>
      </w:pPr>
      <w:r w:rsidRPr="002C0CB5">
        <w:t xml:space="preserve">Images of </w:t>
      </w:r>
      <w:r w:rsidR="00F47582">
        <w:t>some cylinder</w:t>
      </w:r>
      <w:r w:rsidRPr="002C0CB5">
        <w:t xml:space="preserve"> samples after spli</w:t>
      </w:r>
      <w:r w:rsidR="00B11C0C">
        <w:t xml:space="preserve">tting are shown in </w:t>
      </w:r>
      <w:r w:rsidR="00B11C0C">
        <w:fldChar w:fldCharType="begin"/>
      </w:r>
      <w:r w:rsidR="00B11C0C">
        <w:instrText xml:space="preserve"> REF _Ref526970059 \h </w:instrText>
      </w:r>
      <w:r w:rsidR="00B11C0C">
        <w:fldChar w:fldCharType="separate"/>
      </w:r>
      <w:r w:rsidR="00B56AA1" w:rsidRPr="00B07817">
        <w:t xml:space="preserve">Figure </w:t>
      </w:r>
      <w:r w:rsidR="00B56AA1">
        <w:rPr>
          <w:noProof/>
        </w:rPr>
        <w:t>14</w:t>
      </w:r>
      <w:r w:rsidR="00B11C0C">
        <w:fldChar w:fldCharType="end"/>
      </w:r>
      <w:r w:rsidRPr="002C0CB5">
        <w:t xml:space="preserve">. The predominant mode of failure of all concrete mixes </w:t>
      </w:r>
      <w:r w:rsidR="00F47582">
        <w:t>was</w:t>
      </w:r>
      <w:r w:rsidRPr="002C0CB5">
        <w:t xml:space="preserve"> coarse aggregate failure. </w:t>
      </w:r>
      <w:r w:rsidR="00955C01">
        <w:t>M</w:t>
      </w:r>
      <w:r w:rsidR="00955C01" w:rsidRPr="002C0CB5">
        <w:t xml:space="preserve">inute cracks (&lt; 2 µm) at the </w:t>
      </w:r>
      <w:r w:rsidR="00B03A2E">
        <w:t>ITZ</w:t>
      </w:r>
      <w:r w:rsidR="00955C01" w:rsidRPr="002C0CB5">
        <w:t xml:space="preserve"> between the CNA and the cementitious paste</w:t>
      </w:r>
      <w:r w:rsidR="00955C01">
        <w:t xml:space="preserve"> were observed through</w:t>
      </w:r>
      <w:r w:rsidR="00955C01" w:rsidRPr="002C0CB5">
        <w:t xml:space="preserve"> </w:t>
      </w:r>
      <w:r w:rsidR="0032010B">
        <w:t xml:space="preserve">SEM </w:t>
      </w:r>
      <w:r w:rsidR="00955C01">
        <w:t>m</w:t>
      </w:r>
      <w:r w:rsidRPr="002C0CB5">
        <w:t>icrostructural examination of the fractu</w:t>
      </w:r>
      <w:r w:rsidR="00955C01">
        <w:t>red surfaces</w:t>
      </w:r>
      <w:r w:rsidRPr="002C0CB5">
        <w:t xml:space="preserve">. </w:t>
      </w:r>
      <w:r w:rsidR="0032010B">
        <w:t>These</w:t>
      </w:r>
      <w:r w:rsidR="00955C01">
        <w:t xml:space="preserve"> cracks</w:t>
      </w:r>
      <w:r w:rsidRPr="002C0CB5">
        <w:t xml:space="preserve"> were insignificant, thereby confirming good bonding between aggregates and the cementitious paste.</w:t>
      </w:r>
    </w:p>
    <w:p w:rsidR="00181057" w:rsidRDefault="00181057" w:rsidP="00181057">
      <w:pPr>
        <w:pStyle w:val="Figurecaption"/>
      </w:pPr>
      <w:bookmarkStart w:id="18" w:name="_Ref522568175"/>
      <w:r w:rsidRPr="00B07817">
        <w:rPr>
          <w:noProof/>
        </w:rPr>
        <w:lastRenderedPageBreak/>
        <w:drawing>
          <wp:inline distT="0" distB="0" distL="0" distR="0" wp14:anchorId="760D73EE" wp14:editId="7D25666C">
            <wp:extent cx="1920240" cy="888598"/>
            <wp:effectExtent l="1587" t="0" r="5398" b="5397"/>
            <wp:docPr id="2" name="Picture 2" descr="C:\Users\John\Google Drive\PhD\Photos_videos\DSCN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Google Drive\PhD\Photos_videos\DSCN3176.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608" b="10694"/>
                    <a:stretch/>
                  </pic:blipFill>
                  <pic:spPr bwMode="auto">
                    <a:xfrm rot="5400000">
                      <a:off x="0" y="0"/>
                      <a:ext cx="1920240" cy="888598"/>
                    </a:xfrm>
                    <a:prstGeom prst="rect">
                      <a:avLst/>
                    </a:prstGeom>
                    <a:noFill/>
                    <a:ln>
                      <a:noFill/>
                    </a:ln>
                    <a:extLst>
                      <a:ext uri="{53640926-AAD7-44D8-BBD7-CCE9431645EC}">
                        <a14:shadowObscured xmlns:a14="http://schemas.microsoft.com/office/drawing/2010/main"/>
                      </a:ext>
                    </a:extLst>
                  </pic:spPr>
                </pic:pic>
              </a:graphicData>
            </a:graphic>
          </wp:inline>
        </w:drawing>
      </w:r>
      <w:r w:rsidRPr="00B07817">
        <w:rPr>
          <w:noProof/>
        </w:rPr>
        <w:drawing>
          <wp:inline distT="0" distB="0" distL="0" distR="0" wp14:anchorId="1ED72BE8" wp14:editId="3FBC21B2">
            <wp:extent cx="1920240" cy="893135"/>
            <wp:effectExtent l="0" t="635" r="3175" b="3175"/>
            <wp:docPr id="6" name="Picture 6" descr="C:\Users\John\Google Drive\PhD\Photos_videos\DSCN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Google Drive\PhD\Photos_videos\DSCN317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0826" b="8774"/>
                    <a:stretch/>
                  </pic:blipFill>
                  <pic:spPr bwMode="auto">
                    <a:xfrm rot="5400000">
                      <a:off x="0" y="0"/>
                      <a:ext cx="1920240" cy="893135"/>
                    </a:xfrm>
                    <a:prstGeom prst="rect">
                      <a:avLst/>
                    </a:prstGeom>
                    <a:noFill/>
                    <a:ln>
                      <a:noFill/>
                    </a:ln>
                    <a:extLst>
                      <a:ext uri="{53640926-AAD7-44D8-BBD7-CCE9431645EC}">
                        <a14:shadowObscured xmlns:a14="http://schemas.microsoft.com/office/drawing/2010/main"/>
                      </a:ext>
                    </a:extLst>
                  </pic:spPr>
                </pic:pic>
              </a:graphicData>
            </a:graphic>
          </wp:inline>
        </w:drawing>
      </w:r>
      <w:r w:rsidRPr="00B07817">
        <w:rPr>
          <w:noProof/>
        </w:rPr>
        <w:drawing>
          <wp:inline distT="0" distB="0" distL="0" distR="0" wp14:anchorId="2F658F45" wp14:editId="6636093B">
            <wp:extent cx="1920240" cy="893135"/>
            <wp:effectExtent l="0" t="635" r="3175" b="3175"/>
            <wp:docPr id="7" name="Picture 7" descr="C:\Users\John\Google Drive\PhD\Photos_videos\DSCN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Google Drive\PhD\Photos_videos\DSCN3174.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6518" b="12039"/>
                    <a:stretch/>
                  </pic:blipFill>
                  <pic:spPr bwMode="auto">
                    <a:xfrm rot="5400000" flipH="1">
                      <a:off x="0" y="0"/>
                      <a:ext cx="1920240" cy="893135"/>
                    </a:xfrm>
                    <a:prstGeom prst="rect">
                      <a:avLst/>
                    </a:prstGeom>
                    <a:noFill/>
                    <a:ln>
                      <a:noFill/>
                    </a:ln>
                    <a:extLst>
                      <a:ext uri="{53640926-AAD7-44D8-BBD7-CCE9431645EC}">
                        <a14:shadowObscured xmlns:a14="http://schemas.microsoft.com/office/drawing/2010/main"/>
                      </a:ext>
                    </a:extLst>
                  </pic:spPr>
                </pic:pic>
              </a:graphicData>
            </a:graphic>
          </wp:inline>
        </w:drawing>
      </w:r>
      <w:r w:rsidRPr="00B07817">
        <w:rPr>
          <w:noProof/>
        </w:rPr>
        <w:drawing>
          <wp:inline distT="0" distB="0" distL="0" distR="0" wp14:anchorId="420CFAFE" wp14:editId="0705C4F5">
            <wp:extent cx="1920240" cy="893135"/>
            <wp:effectExtent l="0" t="635" r="3175" b="3175"/>
            <wp:docPr id="8" name="Picture 8" descr="C:\Users\John\Google Drive\PhD\Photos_videos\DSCN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Google Drive\PhD\Photos_videos\DSCN317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9321" b="4342"/>
                    <a:stretch/>
                  </pic:blipFill>
                  <pic:spPr bwMode="auto">
                    <a:xfrm rot="5400000">
                      <a:off x="0" y="0"/>
                      <a:ext cx="1920240" cy="893135"/>
                    </a:xfrm>
                    <a:prstGeom prst="rect">
                      <a:avLst/>
                    </a:prstGeom>
                    <a:noFill/>
                    <a:ln>
                      <a:noFill/>
                    </a:ln>
                    <a:extLst>
                      <a:ext uri="{53640926-AAD7-44D8-BBD7-CCE9431645EC}">
                        <a14:shadowObscured xmlns:a14="http://schemas.microsoft.com/office/drawing/2010/main"/>
                      </a:ext>
                    </a:extLst>
                  </pic:spPr>
                </pic:pic>
              </a:graphicData>
            </a:graphic>
          </wp:inline>
        </w:drawing>
      </w:r>
      <w:r w:rsidRPr="00B07817">
        <w:rPr>
          <w:noProof/>
        </w:rPr>
        <w:drawing>
          <wp:inline distT="0" distB="0" distL="0" distR="0" wp14:anchorId="0361A6F3" wp14:editId="544E77BE">
            <wp:extent cx="1920240" cy="893135"/>
            <wp:effectExtent l="0" t="635" r="3175" b="3175"/>
            <wp:docPr id="9" name="Picture 9" descr="C:\Users\John\Google Drive\PhD\Photos_videos\DSCN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Google Drive\PhD\Photos_videos\DSCN317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1661" b="11800"/>
                    <a:stretch/>
                  </pic:blipFill>
                  <pic:spPr bwMode="auto">
                    <a:xfrm rot="5400000">
                      <a:off x="0" y="0"/>
                      <a:ext cx="1920240" cy="893135"/>
                    </a:xfrm>
                    <a:prstGeom prst="rect">
                      <a:avLst/>
                    </a:prstGeom>
                    <a:noFill/>
                    <a:ln>
                      <a:noFill/>
                    </a:ln>
                    <a:extLst>
                      <a:ext uri="{53640926-AAD7-44D8-BBD7-CCE9431645EC}">
                        <a14:shadowObscured xmlns:a14="http://schemas.microsoft.com/office/drawing/2010/main"/>
                      </a:ext>
                    </a:extLst>
                  </pic:spPr>
                </pic:pic>
              </a:graphicData>
            </a:graphic>
          </wp:inline>
        </w:drawing>
      </w:r>
      <w:r w:rsidRPr="00B07817">
        <w:rPr>
          <w:noProof/>
        </w:rPr>
        <w:drawing>
          <wp:inline distT="0" distB="0" distL="0" distR="0" wp14:anchorId="61548817" wp14:editId="02F5D2EB">
            <wp:extent cx="1920240" cy="893135"/>
            <wp:effectExtent l="0" t="635" r="3175" b="3175"/>
            <wp:docPr id="10" name="Picture 10" descr="C:\Users\John\Google Drive\PhD\Photos_videos\DSCN31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Google Drive\PhD\Photos_videos\DSCN3171 (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1206" b="13356"/>
                    <a:stretch/>
                  </pic:blipFill>
                  <pic:spPr bwMode="auto">
                    <a:xfrm rot="5400000">
                      <a:off x="0" y="0"/>
                      <a:ext cx="1920240" cy="893135"/>
                    </a:xfrm>
                    <a:prstGeom prst="rect">
                      <a:avLst/>
                    </a:prstGeom>
                    <a:noFill/>
                    <a:ln>
                      <a:noFill/>
                    </a:ln>
                    <a:extLst>
                      <a:ext uri="{53640926-AAD7-44D8-BBD7-CCE9431645EC}">
                        <a14:shadowObscured xmlns:a14="http://schemas.microsoft.com/office/drawing/2010/main"/>
                      </a:ext>
                    </a:extLst>
                  </pic:spPr>
                </pic:pic>
              </a:graphicData>
            </a:graphic>
          </wp:inline>
        </w:drawing>
      </w:r>
    </w:p>
    <w:p w:rsidR="00181057" w:rsidRPr="007A2324" w:rsidRDefault="00181057" w:rsidP="00181057">
      <w:pPr>
        <w:ind w:firstLine="720"/>
      </w:pPr>
      <w:r>
        <w:t>(a)               (b)</w:t>
      </w:r>
      <w:r>
        <w:tab/>
        <w:t xml:space="preserve">           (c)</w:t>
      </w:r>
      <w:r>
        <w:tab/>
        <w:t xml:space="preserve">         (d)</w:t>
      </w:r>
      <w:r>
        <w:tab/>
        <w:t xml:space="preserve">        (e)</w:t>
      </w:r>
      <w:r>
        <w:tab/>
        <w:t xml:space="preserve">       (f)</w:t>
      </w:r>
    </w:p>
    <w:p w:rsidR="00181057" w:rsidRDefault="00181057" w:rsidP="00181057">
      <w:pPr>
        <w:pStyle w:val="Figurecaption"/>
      </w:pPr>
      <w:bookmarkStart w:id="19" w:name="_Ref526970059"/>
      <w:r w:rsidRPr="00B07817">
        <w:t xml:space="preserve">Figure </w:t>
      </w:r>
      <w:fldSimple w:instr=" SEQ Figure \* ARABIC ">
        <w:r>
          <w:rPr>
            <w:noProof/>
          </w:rPr>
          <w:t>14</w:t>
        </w:r>
      </w:fldSimple>
      <w:bookmarkEnd w:id="18"/>
      <w:bookmarkEnd w:id="19"/>
      <w:r w:rsidRPr="00B07817">
        <w:t xml:space="preserve">: </w:t>
      </w:r>
      <w:r>
        <w:t>Photos</w:t>
      </w:r>
      <w:r w:rsidRPr="00B07817">
        <w:t xml:space="preserve"> of samples after splitting tensile strength tests</w:t>
      </w:r>
      <w:r>
        <w:t xml:space="preserve"> (a) – 0%CNA, (b) – 15%CNA, (c) – 30%CNA, (d) – 50%CNA, (e) – 75%CNA, (f) – 100%CNA</w:t>
      </w:r>
    </w:p>
    <w:p w:rsidR="00480676" w:rsidRDefault="00480676" w:rsidP="00480676">
      <w:pPr>
        <w:pStyle w:val="Heading2"/>
      </w:pPr>
      <w:r>
        <w:lastRenderedPageBreak/>
        <w:t>Relationship between splitting tensile strength and compressive strength</w:t>
      </w:r>
    </w:p>
    <w:p w:rsidR="00112BE7" w:rsidRPr="00181057" w:rsidRDefault="00112BE7" w:rsidP="00181057">
      <w:pPr>
        <w:pStyle w:val="Paragraph"/>
      </w:pPr>
      <w:r>
        <w:t xml:space="preserve">Splitting tensile strength and compressive strength are widely used indices for characterising the mechanical properties of concrete </w:t>
      </w:r>
      <w:r>
        <w:fldChar w:fldCharType="begin"/>
      </w:r>
      <w:r>
        <w:instrText xml:space="preserve"> ADDIN EN.CITE &lt;EndNote&gt;&lt;Cite&gt;&lt;Author&gt;Gencel&lt;/Author&gt;&lt;Year&gt;2012&lt;/Year&gt;&lt;RecNum&gt;422&lt;/RecNum&gt;&lt;DisplayText&gt;(Gencel et al. 2012)&lt;/DisplayText&gt;&lt;record&gt;&lt;rec-number&gt;422&lt;/rec-number&gt;&lt;foreign-keys&gt;&lt;key app="EN" db-id="25a5fvaw7f5peyeeez7xawr9wzraf29tswtp" timestamp="1539435737"&gt;422&lt;/key&gt;&lt;/foreign-keys&gt;&lt;ref-type name="Journal Article"&gt;17&lt;/ref-type&gt;&lt;contributors&gt;&lt;authors&gt;&lt;author&gt;Gencel, Osman&lt;/author&gt;&lt;author&gt;Ozel, Cengiz&lt;/author&gt;&lt;author&gt;Koksal, Fuat&lt;/author&gt;&lt;author&gt;Erdogmus, Ertugrul&lt;/author&gt;&lt;author&gt;Martínez-Barrera, Gonzalo&lt;/author&gt;&lt;author&gt;Brostow, Witold&lt;/author&gt;&lt;/authors&gt;&lt;/contributors&gt;&lt;titles&gt;&lt;title&gt;Properties of concrete paving blocks made with waste marble&lt;/title&gt;&lt;secondary-title&gt;Journal of Cleaner Production&lt;/secondary-title&gt;&lt;/titles&gt;&lt;periodical&gt;&lt;full-title&gt;Journal of Cleaner Production&lt;/full-title&gt;&lt;abbr-1&gt;J. Cleaner Prod.&lt;/abbr-1&gt;&lt;/periodical&gt;&lt;pages&gt;62-70&lt;/pages&gt;&lt;volume&gt;21&lt;/volume&gt;&lt;number&gt;1&lt;/number&gt;&lt;keywords&gt;&lt;keyword&gt;Concrete paving blocks&lt;/keyword&gt;&lt;keyword&gt;Recycled aggregate&lt;/keyword&gt;&lt;keyword&gt;Marble waste&lt;/keyword&gt;&lt;keyword&gt;Concrete wear&lt;/keyword&gt;&lt;/keywords&gt;&lt;dates&gt;&lt;year&gt;2012&lt;/year&gt;&lt;pub-dates&gt;&lt;date&gt;2012/01/01/&lt;/date&gt;&lt;/pub-dates&gt;&lt;/dates&gt;&lt;isbn&gt;0959-6526&lt;/isbn&gt;&lt;urls&gt;&lt;related-urls&gt;&lt;url&gt;http://www.sciencedirect.com/science/article/pii/S0959652611003349&lt;/url&gt;&lt;/related-urls&gt;&lt;/urls&gt;&lt;electronic-resource-num&gt;https://doi.org/10.1016/j.jclepro.2011.08.023&lt;/electronic-resource-num&gt;&lt;/record&gt;&lt;/Cite&gt;&lt;/EndNote&gt;</w:instrText>
      </w:r>
      <w:r>
        <w:fldChar w:fldCharType="separate"/>
      </w:r>
      <w:r>
        <w:rPr>
          <w:noProof/>
        </w:rPr>
        <w:t>(Gencel et al. 2012)</w:t>
      </w:r>
      <w:r>
        <w:fldChar w:fldCharType="end"/>
      </w:r>
      <w:r>
        <w:t xml:space="preserve">. Splitting tensile strength can be estimated from compressive strength </w:t>
      </w:r>
      <w:r w:rsidR="00A4422B">
        <w:t>using</w:t>
      </w:r>
      <w:r>
        <w:t xml:space="preserve"> Eq. 6</w:t>
      </w:r>
      <w:r w:rsidR="00181057">
        <w:t xml:space="preserve">. </w:t>
      </w:r>
      <w:r w:rsidR="00181057" w:rsidRPr="00181057">
        <w:t>An increase in co</w:t>
      </w:r>
      <w:r w:rsidR="00181057">
        <w:t>mpressive strength results in a general</w:t>
      </w:r>
      <w:r w:rsidR="00181057" w:rsidRPr="00181057">
        <w:t xml:space="preserve"> increase in splitting tensile strength.</w:t>
      </w:r>
    </w:p>
    <w:p w:rsidR="00112BE7" w:rsidRDefault="00734F79" w:rsidP="00112BE7">
      <w:pPr>
        <w:pStyle w:val="Displayedequation"/>
      </w:pPr>
      <w:r w:rsidRPr="00734F79">
        <w:rPr>
          <w:position w:val="-12"/>
        </w:rPr>
        <w:object w:dxaOrig="980" w:dyaOrig="380">
          <v:shape id="_x0000_i1036" type="#_x0000_t75" style="width:48.75pt;height:20.25pt" o:ole="">
            <v:imagedata r:id="rId50" o:title=""/>
          </v:shape>
          <o:OLEObject Type="Embed" ProgID="Equation.3" ShapeID="_x0000_i1036" DrawAspect="Content" ObjectID="_1610341816" r:id="rId51"/>
        </w:object>
      </w:r>
      <w:r w:rsidR="00112BE7">
        <w:tab/>
      </w:r>
      <w:r w:rsidR="00112BE7">
        <w:tab/>
        <w:t>(</w:t>
      </w:r>
      <w:fldSimple w:instr=" SEQ Eq. \* ARABIC ">
        <w:r w:rsidR="00112BE7">
          <w:rPr>
            <w:noProof/>
          </w:rPr>
          <w:t>6</w:t>
        </w:r>
      </w:fldSimple>
      <w:r w:rsidR="00112BE7">
        <w:t>)</w:t>
      </w:r>
    </w:p>
    <w:p w:rsidR="007568C6" w:rsidRDefault="00112BE7" w:rsidP="00112BE7">
      <w:pPr>
        <w:pStyle w:val="Paragraph"/>
      </w:pPr>
      <w:r w:rsidRPr="002C0CB5">
        <w:t xml:space="preserve">where </w:t>
      </w:r>
      <w:r w:rsidR="00734F79" w:rsidRPr="00734F79">
        <w:rPr>
          <w:position w:val="-12"/>
        </w:rPr>
        <w:object w:dxaOrig="320" w:dyaOrig="360">
          <v:shape id="_x0000_i1037" type="#_x0000_t75" style="width:15.75pt;height:18.75pt" o:ole="">
            <v:imagedata r:id="rId41" o:title=""/>
          </v:shape>
          <o:OLEObject Type="Embed" ProgID="Equation.3" ShapeID="_x0000_i1037" DrawAspect="Content" ObjectID="_1610341817" r:id="rId52"/>
        </w:object>
      </w:r>
      <w:r w:rsidRPr="002C0CB5">
        <w:t xml:space="preserve"> is the 28-day splitting tensile strength (MPa)</w:t>
      </w:r>
      <w:r w:rsidR="00181057">
        <w:t>,</w:t>
      </w:r>
      <w:r w:rsidR="00F60EDF">
        <w:t xml:space="preserve"> </w:t>
      </w:r>
      <w:r w:rsidR="00F60EDF" w:rsidRPr="00F60EDF">
        <w:rPr>
          <w:position w:val="-12"/>
        </w:rPr>
        <w:object w:dxaOrig="340" w:dyaOrig="360">
          <v:shape id="_x0000_i1038" type="#_x0000_t75" style="width:17.25pt;height:18.75pt" o:ole="">
            <v:imagedata r:id="rId53" o:title=""/>
          </v:shape>
          <o:OLEObject Type="Embed" ProgID="Equation.3" ShapeID="_x0000_i1038" DrawAspect="Content" ObjectID="_1610341818" r:id="rId54"/>
        </w:object>
      </w:r>
      <w:r w:rsidR="00F60EDF" w:rsidRPr="002C0CB5">
        <w:t xml:space="preserve"> </w:t>
      </w:r>
      <w:r w:rsidRPr="002C0CB5">
        <w:t xml:space="preserve">is </w:t>
      </w:r>
      <w:r w:rsidR="001E2C49">
        <w:t>the cube</w:t>
      </w:r>
      <w:r>
        <w:t xml:space="preserve"> co</w:t>
      </w:r>
      <w:r w:rsidR="00181057">
        <w:t xml:space="preserve">mpressive strength (MPa); </w:t>
      </w:r>
      <w:r w:rsidR="00181057" w:rsidRPr="00181057">
        <w:t>A and B are adjustable parameters</w:t>
      </w:r>
      <w:r w:rsidR="00181057">
        <w:t>.</w:t>
      </w:r>
      <w:r>
        <w:t xml:space="preserve"> </w:t>
      </w:r>
    </w:p>
    <w:p w:rsidR="00760400" w:rsidRDefault="002C0CB5" w:rsidP="00112BE7">
      <w:pPr>
        <w:pStyle w:val="Paragraph"/>
      </w:pPr>
      <w:r w:rsidRPr="002C0CB5">
        <w:fldChar w:fldCharType="begin"/>
      </w:r>
      <w:r w:rsidRPr="002C0CB5">
        <w:instrText xml:space="preserve"> REF _Ref525304023 \h </w:instrText>
      </w:r>
      <w:r w:rsidRPr="002C0CB5">
        <w:fldChar w:fldCharType="separate"/>
      </w:r>
      <w:r w:rsidR="00B56AA1" w:rsidRPr="002C0CB5">
        <w:rPr>
          <w:lang w:val="en-US"/>
        </w:rPr>
        <w:t xml:space="preserve">Figure </w:t>
      </w:r>
      <w:r w:rsidR="00B56AA1">
        <w:rPr>
          <w:noProof/>
          <w:lang w:val="en-US"/>
        </w:rPr>
        <w:t>15</w:t>
      </w:r>
      <w:r w:rsidRPr="002C0CB5">
        <w:fldChar w:fldCharType="end"/>
      </w:r>
      <w:r w:rsidR="00DB6544">
        <w:t xml:space="preserve"> shows the relationship between 28-day splitting tensile strength and compressive strength of the concrete mixes</w:t>
      </w:r>
      <w:r w:rsidRPr="002C0CB5">
        <w:t>.</w:t>
      </w:r>
      <w:r w:rsidR="006E324C">
        <w:t xml:space="preserve"> Coefficient of determination (R</w:t>
      </w:r>
      <w:r w:rsidR="006E324C" w:rsidRPr="002E56B7">
        <w:rPr>
          <w:vertAlign w:val="superscript"/>
        </w:rPr>
        <w:t>2</w:t>
      </w:r>
      <w:r w:rsidR="006E324C">
        <w:t xml:space="preserve">) of the relationship was found to be 0.95 which shows satisfactory correlation. Eq. 7 represents the best fit for the results presented. </w:t>
      </w:r>
      <w:r w:rsidR="00DB6544">
        <w:t xml:space="preserve">For comparison, other proposed relationships (Eqs. </w:t>
      </w:r>
      <w:r w:rsidR="006E324C">
        <w:t>8</w:t>
      </w:r>
      <w:r w:rsidR="00DB6544">
        <w:t xml:space="preserve"> to 1</w:t>
      </w:r>
      <w:r w:rsidR="006E324C">
        <w:t>1</w:t>
      </w:r>
      <w:r w:rsidR="00DB6544">
        <w:t xml:space="preserve">) from the literature are also shown in </w:t>
      </w:r>
      <w:r w:rsidR="00DB6544" w:rsidRPr="002C0CB5">
        <w:fldChar w:fldCharType="begin"/>
      </w:r>
      <w:r w:rsidR="00DB6544" w:rsidRPr="002C0CB5">
        <w:instrText xml:space="preserve"> REF _Ref525304023 \h </w:instrText>
      </w:r>
      <w:r w:rsidR="00DB6544" w:rsidRPr="002C0CB5">
        <w:fldChar w:fldCharType="separate"/>
      </w:r>
      <w:r w:rsidR="00DB6544" w:rsidRPr="002C0CB5">
        <w:rPr>
          <w:lang w:val="en-US"/>
        </w:rPr>
        <w:t xml:space="preserve">Figure </w:t>
      </w:r>
      <w:r w:rsidR="00DB6544">
        <w:rPr>
          <w:noProof/>
          <w:lang w:val="en-US"/>
        </w:rPr>
        <w:t>15</w:t>
      </w:r>
      <w:r w:rsidR="00DB6544" w:rsidRPr="002C0CB5">
        <w:fldChar w:fldCharType="end"/>
      </w:r>
      <w:r w:rsidR="00DB6544">
        <w:t xml:space="preserve">. </w:t>
      </w:r>
      <w:r w:rsidR="008724AE">
        <w:t xml:space="preserve">Eq. </w:t>
      </w:r>
      <w:r w:rsidR="006E324C">
        <w:t>8</w:t>
      </w:r>
      <w:r w:rsidR="008724AE">
        <w:t xml:space="preserve"> was proposed by </w:t>
      </w:r>
      <w:r w:rsidR="008724AE">
        <w:fldChar w:fldCharType="begin"/>
      </w:r>
      <w:r w:rsidR="008724AE">
        <w:instrText xml:space="preserve"> ADDIN EN.CITE &lt;EndNote&gt;&lt;Cite AuthorYear="1"&gt;&lt;Author&gt;Lo&lt;/Author&gt;&lt;Year&gt;2016&lt;/Year&gt;&lt;RecNum&gt;426&lt;/RecNum&gt;&lt;DisplayText&gt;Lo et al. (2016)&lt;/DisplayText&gt;&lt;record&gt;&lt;rec-number&gt;426&lt;/rec-number&gt;&lt;foreign-keys&gt;&lt;key app="EN" db-id="25a5fvaw7f5peyeeez7xawr9wzraf29tswtp" timestamp="1539449429"&gt;426&lt;/key&gt;&lt;/foreign-keys&gt;&lt;ref-type name="Journal Article"&gt;17&lt;/ref-type&gt;&lt;contributors&gt;&lt;authors&gt;&lt;author&gt;Lo, Tommy Yiu&lt;/author&gt;&lt;author&gt;Cui, Hongzhi&lt;/author&gt;&lt;author&gt;Memon, Shazim Ali&lt;/author&gt;&lt;author&gt;Noguchi, Takafumi&lt;/author&gt;&lt;/authors&gt;&lt;/contributors&gt;&lt;titles&gt;&lt;title&gt;Manufacturing of sintered lightweight aggregate using high-carbon fly ash and its effect on the mechanical properties and microstructure of concrete&lt;/title&gt;&lt;secondary-title&gt;Journal of Cleaner Production&lt;/secondary-title&gt;&lt;/titles&gt;&lt;periodical&gt;&lt;full-title&gt;Journal of Cleaner Production&lt;/full-title&gt;&lt;abbr-1&gt;J. Cleaner Prod.&lt;/abbr-1&gt;&lt;/periodical&gt;&lt;pages&gt;753-762&lt;/pages&gt;&lt;volume&gt;112&lt;/volume&gt;&lt;keywords&gt;&lt;keyword&gt;High-carbon fly ash&lt;/keyword&gt;&lt;keyword&gt;Lightweight aggregate&lt;/keyword&gt;&lt;keyword&gt;Temperature regime&lt;/keyword&gt;&lt;keyword&gt;Concrete&lt;/keyword&gt;&lt;keyword&gt;Mechanical properties&lt;/keyword&gt;&lt;keyword&gt;Microstructure&lt;/keyword&gt;&lt;/keywords&gt;&lt;dates&gt;&lt;year&gt;2016&lt;/year&gt;&lt;pub-dates&gt;&lt;date&gt;2016/01/20/&lt;/date&gt;&lt;/pub-dates&gt;&lt;/dates&gt;&lt;isbn&gt;0959-6526&lt;/isbn&gt;&lt;urls&gt;&lt;related-urls&gt;&lt;url&gt;http://www.sciencedirect.com/science/article/pii/S095965261500880X&lt;/url&gt;&lt;/related-urls&gt;&lt;/urls&gt;&lt;electronic-resource-num&gt;https://doi.org/10.1016/j.jclepro.2015.07.001&lt;/electronic-resource-num&gt;&lt;/record&gt;&lt;/Cite&gt;&lt;/EndNote&gt;</w:instrText>
      </w:r>
      <w:r w:rsidR="008724AE">
        <w:fldChar w:fldCharType="separate"/>
      </w:r>
      <w:r w:rsidR="008724AE">
        <w:rPr>
          <w:noProof/>
        </w:rPr>
        <w:t xml:space="preserve">Lo et al. </w:t>
      </w:r>
      <w:r w:rsidR="008724AE">
        <w:rPr>
          <w:noProof/>
        </w:rPr>
        <w:lastRenderedPageBreak/>
        <w:t>(2016)</w:t>
      </w:r>
      <w:r w:rsidR="008724AE">
        <w:fldChar w:fldCharType="end"/>
      </w:r>
      <w:r w:rsidR="008724AE">
        <w:t xml:space="preserve"> for </w:t>
      </w:r>
      <w:r w:rsidR="00A4422B">
        <w:t>light</w:t>
      </w:r>
      <w:r w:rsidR="00C07558">
        <w:t>weight aggregate concrete</w:t>
      </w:r>
      <w:r w:rsidR="00A4422B">
        <w:t xml:space="preserve"> </w:t>
      </w:r>
      <w:r w:rsidR="008724AE">
        <w:t xml:space="preserve">containing sintered high-carbon fly ash aggregates with a cubical compressive strength range of 33–55 MPa. </w:t>
      </w:r>
      <w:r w:rsidR="00DB6544">
        <w:t xml:space="preserve">Eq. </w:t>
      </w:r>
      <w:r w:rsidR="006E324C">
        <w:t>9</w:t>
      </w:r>
      <w:r w:rsidR="00DB6544">
        <w:t xml:space="preserve"> was proposed by </w:t>
      </w:r>
      <w:r w:rsidR="00DB6544">
        <w:fldChar w:fldCharType="begin"/>
      </w:r>
      <w:r w:rsidR="00DB6544">
        <w:instrText xml:space="preserve"> ADDIN EN.CITE &lt;EndNote&gt;&lt;Cite AuthorYear="1"&gt;&lt;Author&gt;Gesoğlu&lt;/Author&gt;&lt;Year&gt;2004&lt;/Year&gt;&lt;RecNum&gt;425&lt;/RecNum&gt;&lt;DisplayText&gt;Gesoğlu et al. (2004)&lt;/DisplayText&gt;&lt;record&gt;&lt;rec-number&gt;425&lt;/rec-number&gt;&lt;foreign-keys&gt;&lt;key app="EN" db-id="25a5fvaw7f5peyeeez7xawr9wzraf29tswtp" timestamp="1539448813"&gt;425&lt;/key&gt;&lt;/foreign-keys&gt;&lt;ref-type name="Journal Article"&gt;17&lt;/ref-type&gt;&lt;contributors&gt;&lt;authors&gt;&lt;author&gt;Gesoğlu, Mehmet&lt;/author&gt;&lt;author&gt;Özturan, Turan&lt;/author&gt;&lt;author&gt;Güneyisi, Erhan&lt;/author&gt;&lt;/authors&gt;&lt;/contributors&gt;&lt;titles&gt;&lt;title&gt;Shrinkage cracking of lightweight concrete made with cold-bonded fly ash aggregates&lt;/title&gt;&lt;secondary-title&gt;Cement and Concrete Research&lt;/secondary-title&gt;&lt;/titles&gt;&lt;periodical&gt;&lt;full-title&gt;Cement and Concrete Research&lt;/full-title&gt;&lt;/periodical&gt;&lt;pages&gt;1121-1130&lt;/pages&gt;&lt;volume&gt;34&lt;/volume&gt;&lt;number&gt;7&lt;/number&gt;&lt;keywords&gt;&lt;keyword&gt;Creep&lt;/keyword&gt;&lt;keyword&gt;Lightweight concrete&lt;/keyword&gt;&lt;keyword&gt;Mechanical properties&lt;/keyword&gt;&lt;keyword&gt;Silica fume&lt;/keyword&gt;&lt;keyword&gt;Shrinkage&lt;/keyword&gt;&lt;/keywords&gt;&lt;dates&gt;&lt;year&gt;2004&lt;/year&gt;&lt;pub-dates&gt;&lt;date&gt;2004/07/01/&lt;/date&gt;&lt;/pub-dates&gt;&lt;/dates&gt;&lt;isbn&gt;0008-8846&lt;/isbn&gt;&lt;urls&gt;&lt;related-urls&gt;&lt;url&gt;http://www.sciencedirect.com/science/article/pii/S0008884603004204&lt;/url&gt;&lt;/related-urls&gt;&lt;/urls&gt;&lt;electronic-resource-num&gt;https://doi.org/10.1016/j.cemconres.2003.11.024&lt;/electronic-resource-num&gt;&lt;/record&gt;&lt;/Cite&gt;&lt;/EndNote&gt;</w:instrText>
      </w:r>
      <w:r w:rsidR="00DB6544">
        <w:fldChar w:fldCharType="separate"/>
      </w:r>
      <w:r w:rsidR="00DB6544">
        <w:rPr>
          <w:noProof/>
        </w:rPr>
        <w:t>Gesoğlu et al. (2004)</w:t>
      </w:r>
      <w:r w:rsidR="00DB6544">
        <w:fldChar w:fldCharType="end"/>
      </w:r>
      <w:r w:rsidR="00DB6544">
        <w:t xml:space="preserve"> for </w:t>
      </w:r>
      <w:r w:rsidR="00C07558">
        <w:t>lightweight aggregate concrete</w:t>
      </w:r>
      <w:r w:rsidR="00DB6544">
        <w:t xml:space="preserve"> containing cold-bonded fly ash with a cubical compressive strength ra</w:t>
      </w:r>
      <w:r w:rsidR="009425C3">
        <w:t>n</w:t>
      </w:r>
      <w:r w:rsidR="00DB6544">
        <w:t xml:space="preserve">ge of 20–47 MPa. </w:t>
      </w:r>
      <w:r w:rsidR="008724AE">
        <w:t xml:space="preserve">Eq. </w:t>
      </w:r>
      <w:r w:rsidR="006E324C">
        <w:t>10</w:t>
      </w:r>
      <w:r w:rsidR="008724AE">
        <w:t xml:space="preserve"> was proposed by ACI 318-14 </w:t>
      </w:r>
      <w:r w:rsidR="008724AE">
        <w:fldChar w:fldCharType="begin"/>
      </w:r>
      <w:r w:rsidR="00876F4B">
        <w:instrText xml:space="preserve"> ADDIN EN.CITE &lt;EndNote&gt;&lt;Cite&gt;&lt;Author&gt;ACI&lt;/Author&gt;&lt;Year&gt;2014&lt;/Year&gt;&lt;RecNum&gt;428&lt;/RecNum&gt;&lt;DisplayText&gt;(ACI 2014a)&lt;/DisplayText&gt;&lt;record&gt;&lt;rec-number&gt;428&lt;/rec-number&gt;&lt;foreign-keys&gt;&lt;key app="EN" db-id="25a5fvaw7f5peyeeez7xawr9wzraf29tswtp" timestamp="1539462088"&gt;428&lt;/key&gt;&lt;/foreign-keys&gt;&lt;ref-type name="Standard"&gt;58&lt;/ref-type&gt;&lt;contributors&gt;&lt;authors&gt;&lt;author&gt;ACI&lt;/author&gt;&lt;/authors&gt;&lt;/contributors&gt;&lt;titles&gt;&lt;title&gt;Building code requirements for structural concrete (ACI 318-14) and commentary&lt;/title&gt;&lt;/titles&gt;&lt;dates&gt;&lt;year&gt;2014&lt;/year&gt;&lt;/dates&gt;&lt;pub-location&gt;MI, USA&lt;/pub-location&gt;&lt;publisher&gt;American Concrete Institute&lt;/publisher&gt;&lt;urls&gt;&lt;/urls&gt;&lt;/record&gt;&lt;/Cite&gt;&lt;/EndNote&gt;</w:instrText>
      </w:r>
      <w:r w:rsidR="008724AE">
        <w:fldChar w:fldCharType="separate"/>
      </w:r>
      <w:r w:rsidR="008724AE">
        <w:rPr>
          <w:noProof/>
        </w:rPr>
        <w:t>(ACI 2014a)</w:t>
      </w:r>
      <w:r w:rsidR="008724AE">
        <w:fldChar w:fldCharType="end"/>
      </w:r>
      <w:r w:rsidR="00760400">
        <w:t xml:space="preserve"> for normal weight concrete with 28-day cylinder compressive strength range of </w:t>
      </w:r>
      <w:r w:rsidR="00760400" w:rsidRPr="00760400">
        <w:t>21–83 MPa</w:t>
      </w:r>
      <w:r w:rsidR="00760400">
        <w:t>. Eq.1</w:t>
      </w:r>
      <w:r w:rsidR="00A143A5">
        <w:t>1</w:t>
      </w:r>
      <w:r w:rsidR="00760400">
        <w:t xml:space="preserve"> was proposed </w:t>
      </w:r>
      <w:r w:rsidR="00A143A5">
        <w:t>by</w:t>
      </w:r>
      <w:r w:rsidR="00760400">
        <w:t xml:space="preserve"> </w:t>
      </w:r>
      <w:r w:rsidR="001D0F74">
        <w:t xml:space="preserve">BS EN 1992 </w:t>
      </w:r>
      <w:r w:rsidR="001D0F74">
        <w:fldChar w:fldCharType="begin"/>
      </w:r>
      <w:r w:rsidR="00EC3E62">
        <w:instrText xml:space="preserve"> ADDIN EN.CITE &lt;EndNote&gt;&lt;Cite AuthorYear="1"&gt;&lt;Author&gt;EN&lt;/Author&gt;&lt;Year&gt;2004&lt;/Year&gt;&lt;RecNum&gt;429&lt;/RecNum&gt;&lt;DisplayText&gt;BS EN (2004)&lt;/DisplayText&gt;&lt;record&gt;&lt;rec-number&gt;429&lt;/rec-number&gt;&lt;foreign-keys&gt;&lt;key app="EN" db-id="25a5fvaw7f5peyeeez7xawr9wzraf29tswtp" timestamp="1539464090"&gt;429&lt;/key&gt;&lt;/foreign-keys&gt;&lt;ref-type name="Standard"&gt;58&lt;/ref-type&gt;&lt;contributors&gt;&lt;authors&gt;&lt;author&gt;BS EN,&lt;/author&gt;&lt;/authors&gt;&lt;/contributors&gt;&lt;titles&gt;&lt;title&gt;Eurocode 2: Design of concrete structures Part 1-1–General rules and rules for buildings (including NA)&lt;/title&gt;&lt;secondary-title&gt;London: British Standards Institution&lt;/secondary-title&gt;&lt;/titles&gt;&lt;periodical&gt;&lt;full-title&gt;London: British Standards Institution&lt;/full-title&gt;&lt;/periodical&gt;&lt;dates&gt;&lt;year&gt;2004&lt;/year&gt;&lt;/dates&gt;&lt;urls&gt;&lt;/urls&gt;&lt;/record&gt;&lt;/Cite&gt;&lt;/EndNote&gt;</w:instrText>
      </w:r>
      <w:r w:rsidR="001D0F74">
        <w:fldChar w:fldCharType="separate"/>
      </w:r>
      <w:r w:rsidR="00EC3E62">
        <w:rPr>
          <w:noProof/>
        </w:rPr>
        <w:t>BS EN (2004)</w:t>
      </w:r>
      <w:r w:rsidR="001D0F74">
        <w:fldChar w:fldCharType="end"/>
      </w:r>
      <w:r w:rsidR="00A143A5">
        <w:t>.</w:t>
      </w:r>
    </w:p>
    <w:p w:rsidR="002C0CB5" w:rsidRDefault="00760400" w:rsidP="006E324C">
      <w:pPr>
        <w:pStyle w:val="Newparagraph"/>
      </w:pPr>
      <w:r>
        <w:lastRenderedPageBreak/>
        <w:t xml:space="preserve">By analysing </w:t>
      </w:r>
      <w:r w:rsidRPr="002C0CB5">
        <w:fldChar w:fldCharType="begin"/>
      </w:r>
      <w:r w:rsidRPr="002C0CB5">
        <w:instrText xml:space="preserve"> REF _Ref525304023 \h </w:instrText>
      </w:r>
      <w:r w:rsidRPr="002C0CB5">
        <w:fldChar w:fldCharType="separate"/>
      </w:r>
      <w:r w:rsidRPr="002C0CB5">
        <w:rPr>
          <w:lang w:val="en-US"/>
        </w:rPr>
        <w:t xml:space="preserve">Figure </w:t>
      </w:r>
      <w:r>
        <w:rPr>
          <w:noProof/>
          <w:lang w:val="en-US"/>
        </w:rPr>
        <w:t>15</w:t>
      </w:r>
      <w:r w:rsidRPr="002C0CB5">
        <w:fldChar w:fldCharType="end"/>
      </w:r>
      <w:r w:rsidR="00A143A5">
        <w:t>, it is found out that the equations</w:t>
      </w:r>
      <w:r>
        <w:t xml:space="preserve"> provided by </w:t>
      </w:r>
      <w:r w:rsidR="005A46A0">
        <w:t xml:space="preserve">ACI 318, </w:t>
      </w:r>
      <w:r w:rsidR="001D0F74">
        <w:t xml:space="preserve">BS </w:t>
      </w:r>
      <w:r w:rsidR="005A46A0">
        <w:t xml:space="preserve">EN 1992, </w:t>
      </w:r>
      <w:r w:rsidR="005A46A0">
        <w:fldChar w:fldCharType="begin"/>
      </w:r>
      <w:r w:rsidR="005A46A0">
        <w:instrText xml:space="preserve"> ADDIN EN.CITE &lt;EndNote&gt;&lt;Cite AuthorYear="1"&gt;&lt;Author&gt;Gesoğlu&lt;/Author&gt;&lt;Year&gt;2004&lt;/Year&gt;&lt;RecNum&gt;425&lt;/RecNum&gt;&lt;DisplayText&gt;Gesoğlu et al. (2004)&lt;/DisplayText&gt;&lt;record&gt;&lt;rec-number&gt;425&lt;/rec-number&gt;&lt;foreign-keys&gt;&lt;key app="EN" db-id="25a5fvaw7f5peyeeez7xawr9wzraf29tswtp" timestamp="1539448813"&gt;425&lt;/key&gt;&lt;/foreign-keys&gt;&lt;ref-type name="Journal Article"&gt;17&lt;/ref-type&gt;&lt;contributors&gt;&lt;authors&gt;&lt;author&gt;Gesoğlu, Mehmet&lt;/author&gt;&lt;author&gt;Özturan, Turan&lt;/author&gt;&lt;author&gt;Güneyisi, Erhan&lt;/author&gt;&lt;/authors&gt;&lt;/contributors&gt;&lt;titles&gt;&lt;title&gt;Shrinkage cracking of lightweight concrete made with cold-bonded fly ash aggregates&lt;/title&gt;&lt;secondary-title&gt;Cement and Concrete Research&lt;/secondary-title&gt;&lt;/titles&gt;&lt;periodical&gt;&lt;full-title&gt;Cement and Concrete Research&lt;/full-title&gt;&lt;/periodical&gt;&lt;pages&gt;1121-1130&lt;/pages&gt;&lt;volume&gt;34&lt;/volume&gt;&lt;number&gt;7&lt;/number&gt;&lt;keywords&gt;&lt;keyword&gt;Creep&lt;/keyword&gt;&lt;keyword&gt;Lightweight concrete&lt;/keyword&gt;&lt;keyword&gt;Mechanical properties&lt;/keyword&gt;&lt;keyword&gt;Silica fume&lt;/keyword&gt;&lt;keyword&gt;Shrinkage&lt;/keyword&gt;&lt;/keywords&gt;&lt;dates&gt;&lt;year&gt;2004&lt;/year&gt;&lt;pub-dates&gt;&lt;date&gt;2004/07/01/&lt;/date&gt;&lt;/pub-dates&gt;&lt;/dates&gt;&lt;isbn&gt;0008-8846&lt;/isbn&gt;&lt;urls&gt;&lt;related-urls&gt;&lt;url&gt;http://www.sciencedirect.com/science/article/pii/S0008884603004204&lt;/url&gt;&lt;/related-urls&gt;&lt;/urls&gt;&lt;electronic-resource-num&gt;https://doi.org/10.1016/j.cemconres.2003.11.024&lt;/electronic-resource-num&gt;&lt;/record&gt;&lt;/Cite&gt;&lt;/EndNote&gt;</w:instrText>
      </w:r>
      <w:r w:rsidR="005A46A0">
        <w:fldChar w:fldCharType="separate"/>
      </w:r>
      <w:r w:rsidR="005A46A0">
        <w:rPr>
          <w:noProof/>
        </w:rPr>
        <w:t>Gesoğlu et al. (2004)</w:t>
      </w:r>
      <w:r w:rsidR="005A46A0">
        <w:fldChar w:fldCharType="end"/>
      </w:r>
      <w:r w:rsidR="005A46A0">
        <w:t xml:space="preserve"> and </w:t>
      </w:r>
      <w:r w:rsidR="005A46A0">
        <w:fldChar w:fldCharType="begin"/>
      </w:r>
      <w:r w:rsidR="005A46A0">
        <w:instrText xml:space="preserve"> ADDIN EN.CITE &lt;EndNote&gt;&lt;Cite AuthorYear="1"&gt;&lt;Author&gt;Lo&lt;/Author&gt;&lt;Year&gt;2016&lt;/Year&gt;&lt;RecNum&gt;426&lt;/RecNum&gt;&lt;DisplayText&gt;Lo et al. (2016)&lt;/DisplayText&gt;&lt;record&gt;&lt;rec-number&gt;426&lt;/rec-number&gt;&lt;foreign-keys&gt;&lt;key app="EN" db-id="25a5fvaw7f5peyeeez7xawr9wzraf29tswtp" timestamp="1539449429"&gt;426&lt;/key&gt;&lt;/foreign-keys&gt;&lt;ref-type name="Journal Article"&gt;17&lt;/ref-type&gt;&lt;contributors&gt;&lt;authors&gt;&lt;author&gt;Lo, Tommy Yiu&lt;/author&gt;&lt;author&gt;Cui, Hongzhi&lt;/author&gt;&lt;author&gt;Memon, Shazim Ali&lt;/author&gt;&lt;author&gt;Noguchi, Takafumi&lt;/author&gt;&lt;/authors&gt;&lt;/contributors&gt;&lt;titles&gt;&lt;title&gt;Manufacturing of sintered lightweight aggregate using high-carbon fly ash and its effect on the mechanical properties and microstructure of concrete&lt;/title&gt;&lt;secondary-title&gt;Journal of Cleaner Production&lt;/secondary-title&gt;&lt;/titles&gt;&lt;periodical&gt;&lt;full-title&gt;Journal of Cleaner Production&lt;/full-title&gt;&lt;abbr-1&gt;J. Cleaner Prod.&lt;/abbr-1&gt;&lt;/periodical&gt;&lt;pages&gt;753-762&lt;/pages&gt;&lt;volume&gt;112&lt;/volume&gt;&lt;keywords&gt;&lt;keyword&gt;High-carbon fly ash&lt;/keyword&gt;&lt;keyword&gt;Lightweight aggregate&lt;/keyword&gt;&lt;keyword&gt;Temperature regime&lt;/keyword&gt;&lt;keyword&gt;Concrete&lt;/keyword&gt;&lt;keyword&gt;Mechanical properties&lt;/keyword&gt;&lt;keyword&gt;Microstructure&lt;/keyword&gt;&lt;/keywords&gt;&lt;dates&gt;&lt;year&gt;2016&lt;/year&gt;&lt;pub-dates&gt;&lt;date&gt;2016/01/20/&lt;/date&gt;&lt;/pub-dates&gt;&lt;/dates&gt;&lt;isbn&gt;0959-6526&lt;/isbn&gt;&lt;urls&gt;&lt;related-urls&gt;&lt;url&gt;http://www.sciencedirect.com/science/article/pii/S095965261500880X&lt;/url&gt;&lt;/related-urls&gt;&lt;/urls&gt;&lt;electronic-resource-num&gt;https://doi.org/10.1016/j.jclepro.2015.07.001&lt;/electronic-resource-num&gt;&lt;/record&gt;&lt;/Cite&gt;&lt;/EndNote&gt;</w:instrText>
      </w:r>
      <w:r w:rsidR="005A46A0">
        <w:fldChar w:fldCharType="separate"/>
      </w:r>
      <w:r w:rsidR="005A46A0">
        <w:rPr>
          <w:noProof/>
        </w:rPr>
        <w:t>Lo et al. (2016)</w:t>
      </w:r>
      <w:r w:rsidR="005A46A0">
        <w:fldChar w:fldCharType="end"/>
      </w:r>
      <w:r w:rsidR="005A46A0">
        <w:t xml:space="preserve"> overestimated the splitting tensile strength by</w:t>
      </w:r>
      <w:r w:rsidR="00A143A5">
        <w:t xml:space="preserve"> on average</w:t>
      </w:r>
      <w:r w:rsidR="005A46A0">
        <w:t xml:space="preserve"> 72%, 57%, 41% and 13% respectively. </w:t>
      </w:r>
    </w:p>
    <w:p w:rsidR="006E324C" w:rsidRPr="006E324C" w:rsidRDefault="006E324C" w:rsidP="006E324C">
      <w:pPr>
        <w:pStyle w:val="Displayedequation"/>
        <w:rPr>
          <w:lang w:val="en-US"/>
        </w:rPr>
      </w:pPr>
      <w:r w:rsidRPr="00734F79">
        <w:rPr>
          <w:position w:val="-12"/>
        </w:rPr>
        <w:object w:dxaOrig="1420" w:dyaOrig="380">
          <v:shape id="_x0000_i1039" type="#_x0000_t75" style="width:70.5pt;height:20.25pt" o:ole="">
            <v:imagedata r:id="rId55" o:title=""/>
          </v:shape>
          <o:OLEObject Type="Embed" ProgID="Equation.3" ShapeID="_x0000_i1039" DrawAspect="Content" ObjectID="_1610341819" r:id="rId56"/>
        </w:object>
      </w:r>
      <w:r w:rsidRPr="002C0CB5">
        <w:rPr>
          <w:lang w:val="en-US"/>
        </w:rPr>
        <w:tab/>
      </w:r>
      <w:r>
        <w:rPr>
          <w:lang w:val="en-US"/>
        </w:rPr>
        <w:tab/>
      </w:r>
      <w:r w:rsidRPr="002C0CB5">
        <w:rPr>
          <w:lang w:val="en-US"/>
        </w:rPr>
        <w:t>(</w:t>
      </w:r>
      <w:r w:rsidRPr="002C0CB5">
        <w:rPr>
          <w:lang w:val="en-US"/>
        </w:rPr>
        <w:fldChar w:fldCharType="begin"/>
      </w:r>
      <w:r w:rsidRPr="002C0CB5">
        <w:rPr>
          <w:lang w:val="en-US"/>
        </w:rPr>
        <w:instrText xml:space="preserve"> SEQ Eq. \* ARABIC </w:instrText>
      </w:r>
      <w:r w:rsidRPr="002C0CB5">
        <w:rPr>
          <w:lang w:val="en-US"/>
        </w:rPr>
        <w:fldChar w:fldCharType="separate"/>
      </w:r>
      <w:r>
        <w:rPr>
          <w:noProof/>
          <w:lang w:val="en-US"/>
        </w:rPr>
        <w:t>7</w:t>
      </w:r>
      <w:r w:rsidRPr="002C0CB5">
        <w:fldChar w:fldCharType="end"/>
      </w:r>
      <w:bookmarkStart w:id="20" w:name="_Ref525341797"/>
      <w:r w:rsidRPr="002C0CB5">
        <w:rPr>
          <w:lang w:val="en-US"/>
        </w:rPr>
        <w:t>)</w:t>
      </w:r>
      <w:bookmarkEnd w:id="20"/>
    </w:p>
    <w:p w:rsidR="00DB6544" w:rsidRDefault="00DB6544" w:rsidP="00DB6544">
      <w:pPr>
        <w:pStyle w:val="Displayedequation"/>
        <w:rPr>
          <w:lang w:val="en-US"/>
        </w:rPr>
      </w:pPr>
      <w:r w:rsidRPr="00734F79">
        <w:rPr>
          <w:position w:val="-12"/>
        </w:rPr>
        <w:object w:dxaOrig="1420" w:dyaOrig="380">
          <v:shape id="_x0000_i1040" type="#_x0000_t75" style="width:70.5pt;height:20.25pt" o:ole="">
            <v:imagedata r:id="rId57" o:title=""/>
          </v:shape>
          <o:OLEObject Type="Embed" ProgID="Equation.3" ShapeID="_x0000_i1040" DrawAspect="Content" ObjectID="_1610341820" r:id="rId58"/>
        </w:object>
      </w:r>
      <w:r w:rsidRPr="002C0CB5">
        <w:rPr>
          <w:lang w:val="en-US"/>
        </w:rPr>
        <w:tab/>
      </w:r>
      <w:r>
        <w:rPr>
          <w:lang w:val="en-US"/>
        </w:rPr>
        <w:tab/>
      </w:r>
      <w:r w:rsidRPr="002C0CB5">
        <w:rPr>
          <w:lang w:val="en-US"/>
        </w:rPr>
        <w:t>(</w:t>
      </w:r>
      <w:r w:rsidRPr="002C0CB5">
        <w:rPr>
          <w:lang w:val="en-US"/>
        </w:rPr>
        <w:fldChar w:fldCharType="begin"/>
      </w:r>
      <w:r w:rsidRPr="002C0CB5">
        <w:rPr>
          <w:lang w:val="en-US"/>
        </w:rPr>
        <w:instrText xml:space="preserve"> SEQ Eq. \* ARABIC </w:instrText>
      </w:r>
      <w:r w:rsidRPr="002C0CB5">
        <w:rPr>
          <w:lang w:val="en-US"/>
        </w:rPr>
        <w:fldChar w:fldCharType="separate"/>
      </w:r>
      <w:r w:rsidR="006E324C">
        <w:rPr>
          <w:noProof/>
          <w:lang w:val="en-US"/>
        </w:rPr>
        <w:t>8</w:t>
      </w:r>
      <w:r w:rsidRPr="002C0CB5">
        <w:fldChar w:fldCharType="end"/>
      </w:r>
      <w:r w:rsidRPr="002C0CB5">
        <w:rPr>
          <w:lang w:val="en-US"/>
        </w:rPr>
        <w:t>)</w:t>
      </w:r>
    </w:p>
    <w:p w:rsidR="00DB6544" w:rsidRDefault="002410C6" w:rsidP="00DB6544">
      <w:pPr>
        <w:pStyle w:val="Displayedequation"/>
        <w:rPr>
          <w:lang w:val="en-US"/>
        </w:rPr>
      </w:pPr>
      <w:r w:rsidRPr="002410C6">
        <w:rPr>
          <w:position w:val="-20"/>
        </w:rPr>
        <w:object w:dxaOrig="1579" w:dyaOrig="580">
          <v:shape id="_x0000_i1041" type="#_x0000_t75" style="width:78.75pt;height:30.75pt" o:ole="">
            <v:imagedata r:id="rId59" o:title=""/>
          </v:shape>
          <o:OLEObject Type="Embed" ProgID="Equation.3" ShapeID="_x0000_i1041" DrawAspect="Content" ObjectID="_1610341821" r:id="rId60"/>
        </w:object>
      </w:r>
      <w:r w:rsidR="00DB6544" w:rsidRPr="002C0CB5">
        <w:rPr>
          <w:lang w:val="en-US"/>
        </w:rPr>
        <w:tab/>
      </w:r>
      <w:r w:rsidR="00DB6544">
        <w:rPr>
          <w:lang w:val="en-US"/>
        </w:rPr>
        <w:tab/>
      </w:r>
      <w:r w:rsidR="00DB6544" w:rsidRPr="002C0CB5">
        <w:rPr>
          <w:lang w:val="en-US"/>
        </w:rPr>
        <w:t>(</w:t>
      </w:r>
      <w:r w:rsidR="00DB6544" w:rsidRPr="002C0CB5">
        <w:rPr>
          <w:lang w:val="en-US"/>
        </w:rPr>
        <w:fldChar w:fldCharType="begin"/>
      </w:r>
      <w:r w:rsidR="00DB6544" w:rsidRPr="002C0CB5">
        <w:rPr>
          <w:lang w:val="en-US"/>
        </w:rPr>
        <w:instrText xml:space="preserve"> SEQ Eq. \* ARABIC </w:instrText>
      </w:r>
      <w:r w:rsidR="00DB6544" w:rsidRPr="002C0CB5">
        <w:rPr>
          <w:lang w:val="en-US"/>
        </w:rPr>
        <w:fldChar w:fldCharType="separate"/>
      </w:r>
      <w:r w:rsidR="006E324C">
        <w:rPr>
          <w:noProof/>
          <w:lang w:val="en-US"/>
        </w:rPr>
        <w:t>9</w:t>
      </w:r>
      <w:r w:rsidR="00DB6544" w:rsidRPr="002C0CB5">
        <w:fldChar w:fldCharType="end"/>
      </w:r>
      <w:r w:rsidR="00DB6544" w:rsidRPr="002C0CB5">
        <w:rPr>
          <w:lang w:val="en-US"/>
        </w:rPr>
        <w:t>)</w:t>
      </w:r>
    </w:p>
    <w:p w:rsidR="00DB6544" w:rsidRDefault="00760400" w:rsidP="00DB6544">
      <w:pPr>
        <w:pStyle w:val="Displayedequation"/>
        <w:rPr>
          <w:lang w:val="en-US"/>
        </w:rPr>
      </w:pPr>
      <w:r w:rsidRPr="00760400">
        <w:rPr>
          <w:position w:val="-14"/>
        </w:rPr>
        <w:object w:dxaOrig="1359" w:dyaOrig="400">
          <v:shape id="_x0000_i1042" type="#_x0000_t75" style="width:68.25pt;height:21pt" o:ole="">
            <v:imagedata r:id="rId61" o:title=""/>
          </v:shape>
          <o:OLEObject Type="Embed" ProgID="Equation.3" ShapeID="_x0000_i1042" DrawAspect="Content" ObjectID="_1610341822" r:id="rId62"/>
        </w:object>
      </w:r>
      <w:r w:rsidR="00DB6544" w:rsidRPr="002C0CB5">
        <w:rPr>
          <w:lang w:val="en-US"/>
        </w:rPr>
        <w:tab/>
      </w:r>
      <w:r w:rsidR="00DB6544">
        <w:rPr>
          <w:lang w:val="en-US"/>
        </w:rPr>
        <w:tab/>
      </w:r>
      <w:r w:rsidR="00DB6544" w:rsidRPr="002C0CB5">
        <w:rPr>
          <w:lang w:val="en-US"/>
        </w:rPr>
        <w:t>(</w:t>
      </w:r>
      <w:r w:rsidR="00DB6544" w:rsidRPr="002C0CB5">
        <w:rPr>
          <w:lang w:val="en-US"/>
        </w:rPr>
        <w:fldChar w:fldCharType="begin"/>
      </w:r>
      <w:r w:rsidR="00DB6544" w:rsidRPr="002C0CB5">
        <w:rPr>
          <w:lang w:val="en-US"/>
        </w:rPr>
        <w:instrText xml:space="preserve"> SEQ Eq. \* ARABIC </w:instrText>
      </w:r>
      <w:r w:rsidR="00DB6544" w:rsidRPr="002C0CB5">
        <w:rPr>
          <w:lang w:val="en-US"/>
        </w:rPr>
        <w:fldChar w:fldCharType="separate"/>
      </w:r>
      <w:r w:rsidR="006E324C">
        <w:rPr>
          <w:noProof/>
          <w:lang w:val="en-US"/>
        </w:rPr>
        <w:t>10</w:t>
      </w:r>
      <w:r w:rsidR="00DB6544" w:rsidRPr="002C0CB5">
        <w:fldChar w:fldCharType="end"/>
      </w:r>
      <w:r w:rsidR="00DB6544" w:rsidRPr="002C0CB5">
        <w:rPr>
          <w:lang w:val="en-US"/>
        </w:rPr>
        <w:t>)</w:t>
      </w:r>
    </w:p>
    <w:p w:rsidR="00DB6544" w:rsidRDefault="008724AE" w:rsidP="002410C6">
      <w:pPr>
        <w:pStyle w:val="Displayedequation"/>
        <w:rPr>
          <w:lang w:val="en-US"/>
        </w:rPr>
      </w:pPr>
      <w:r w:rsidRPr="00734F79">
        <w:rPr>
          <w:position w:val="-12"/>
        </w:rPr>
        <w:object w:dxaOrig="1500" w:dyaOrig="380">
          <v:shape id="_x0000_i1043" type="#_x0000_t75" style="width:75pt;height:20.25pt" o:ole="">
            <v:imagedata r:id="rId63" o:title=""/>
          </v:shape>
          <o:OLEObject Type="Embed" ProgID="Equation.3" ShapeID="_x0000_i1043" DrawAspect="Content" ObjectID="_1610341823" r:id="rId64"/>
        </w:object>
      </w:r>
      <w:r w:rsidR="00DB6544" w:rsidRPr="002C0CB5">
        <w:rPr>
          <w:lang w:val="en-US"/>
        </w:rPr>
        <w:tab/>
      </w:r>
      <w:r w:rsidR="00DB6544">
        <w:rPr>
          <w:lang w:val="en-US"/>
        </w:rPr>
        <w:tab/>
      </w:r>
      <w:r w:rsidR="00DB6544" w:rsidRPr="002C0CB5">
        <w:rPr>
          <w:lang w:val="en-US"/>
        </w:rPr>
        <w:t>(</w:t>
      </w:r>
      <w:r w:rsidR="00DB6544" w:rsidRPr="002C0CB5">
        <w:rPr>
          <w:lang w:val="en-US"/>
        </w:rPr>
        <w:fldChar w:fldCharType="begin"/>
      </w:r>
      <w:r w:rsidR="00DB6544" w:rsidRPr="002C0CB5">
        <w:rPr>
          <w:lang w:val="en-US"/>
        </w:rPr>
        <w:instrText xml:space="preserve"> SEQ Eq. \* ARABIC </w:instrText>
      </w:r>
      <w:r w:rsidR="00DB6544" w:rsidRPr="002C0CB5">
        <w:rPr>
          <w:lang w:val="en-US"/>
        </w:rPr>
        <w:fldChar w:fldCharType="separate"/>
      </w:r>
      <w:r w:rsidR="006E324C">
        <w:rPr>
          <w:noProof/>
          <w:lang w:val="en-US"/>
        </w:rPr>
        <w:t>11</w:t>
      </w:r>
      <w:r w:rsidR="00DB6544" w:rsidRPr="002C0CB5">
        <w:fldChar w:fldCharType="end"/>
      </w:r>
      <w:r w:rsidR="00DB6544" w:rsidRPr="002C0CB5">
        <w:rPr>
          <w:lang w:val="en-US"/>
        </w:rPr>
        <w:t>)</w:t>
      </w:r>
    </w:p>
    <w:p w:rsidR="006E324C" w:rsidRPr="006E324C" w:rsidRDefault="006E324C" w:rsidP="006E324C">
      <w:pPr>
        <w:pStyle w:val="Paragraph"/>
        <w:rPr>
          <w:lang w:val="en-US"/>
        </w:rPr>
      </w:pPr>
      <w:r w:rsidRPr="002C0CB5">
        <w:t xml:space="preserve">where </w:t>
      </w:r>
      <w:r w:rsidRPr="00734F79">
        <w:rPr>
          <w:position w:val="-12"/>
        </w:rPr>
        <w:object w:dxaOrig="320" w:dyaOrig="360">
          <v:shape id="_x0000_i1044" type="#_x0000_t75" style="width:15.75pt;height:18.75pt" o:ole="">
            <v:imagedata r:id="rId41" o:title=""/>
          </v:shape>
          <o:OLEObject Type="Embed" ProgID="Equation.3" ShapeID="_x0000_i1044" DrawAspect="Content" ObjectID="_1610341824" r:id="rId65"/>
        </w:object>
      </w:r>
      <w:r w:rsidRPr="002C0CB5">
        <w:t xml:space="preserve"> is the 28-day splitting tensile strength (MPa)</w:t>
      </w:r>
      <w:r>
        <w:t>,</w:t>
      </w:r>
      <w:r w:rsidR="00F60EDF">
        <w:t xml:space="preserve"> </w:t>
      </w:r>
      <w:r w:rsidR="00F60EDF" w:rsidRPr="00F60EDF">
        <w:rPr>
          <w:position w:val="-12"/>
        </w:rPr>
        <w:object w:dxaOrig="340" w:dyaOrig="360">
          <v:shape id="_x0000_i1045" type="#_x0000_t75" style="width:17.25pt;height:18.75pt" o:ole="">
            <v:imagedata r:id="rId66" o:title=""/>
          </v:shape>
          <o:OLEObject Type="Embed" ProgID="Equation.3" ShapeID="_x0000_i1045" DrawAspect="Content" ObjectID="_1610341825" r:id="rId67"/>
        </w:object>
      </w:r>
      <w:r w:rsidRPr="002C0CB5">
        <w:t xml:space="preserve"> </w:t>
      </w:r>
      <w:r>
        <w:t xml:space="preserve">and </w:t>
      </w:r>
      <w:r w:rsidR="001D0F74" w:rsidRPr="006E324C">
        <w:rPr>
          <w:position w:val="-14"/>
        </w:rPr>
        <w:object w:dxaOrig="340" w:dyaOrig="380">
          <v:shape id="_x0000_i1046" type="#_x0000_t75" style="width:17.25pt;height:20.25pt" o:ole="">
            <v:imagedata r:id="rId68" o:title=""/>
          </v:shape>
          <o:OLEObject Type="Embed" ProgID="Equation.3" ShapeID="_x0000_i1046" DrawAspect="Content" ObjectID="_1610341826" r:id="rId69"/>
        </w:object>
      </w:r>
      <w:r>
        <w:t>are the cube and cylindrical 28-day compressive strengths (MPa), respectively.</w:t>
      </w:r>
    </w:p>
    <w:p w:rsidR="00B11C0C" w:rsidRPr="002C0CB5" w:rsidRDefault="00A143A5" w:rsidP="007C34B8">
      <w:pPr>
        <w:pStyle w:val="Paragraph"/>
      </w:pPr>
      <w:r>
        <w:rPr>
          <w:noProof/>
        </w:rPr>
        <w:lastRenderedPageBreak/>
        <w:drawing>
          <wp:inline distT="0" distB="0" distL="0" distR="0" wp14:anchorId="0B089766" wp14:editId="4BE52451">
            <wp:extent cx="5372100" cy="305752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11C0C" w:rsidRPr="002C0CB5" w:rsidRDefault="00B11C0C" w:rsidP="004A59A3">
      <w:pPr>
        <w:pStyle w:val="Figurecaption"/>
        <w:rPr>
          <w:lang w:val="en-US"/>
        </w:rPr>
      </w:pPr>
      <w:bookmarkStart w:id="21" w:name="_Ref525304023"/>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A143A5">
        <w:rPr>
          <w:noProof/>
          <w:lang w:val="en-US"/>
        </w:rPr>
        <w:t>15</w:t>
      </w:r>
      <w:r w:rsidRPr="002C0CB5">
        <w:fldChar w:fldCharType="end"/>
      </w:r>
      <w:bookmarkEnd w:id="21"/>
      <w:r w:rsidRPr="002C0CB5">
        <w:rPr>
          <w:lang w:val="en-US"/>
        </w:rPr>
        <w:t xml:space="preserve">: Relationship between </w:t>
      </w:r>
      <w:r w:rsidRPr="004A59A3">
        <w:t>compressive</w:t>
      </w:r>
      <w:r w:rsidRPr="002C0CB5">
        <w:rPr>
          <w:lang w:val="en-US"/>
        </w:rPr>
        <w:t xml:space="preserve"> strength and splitting tensile strength</w:t>
      </w:r>
    </w:p>
    <w:p w:rsidR="00FF2E55" w:rsidRDefault="002C0CB5" w:rsidP="00FF2E55">
      <w:pPr>
        <w:pStyle w:val="Heading2"/>
      </w:pPr>
      <w:r>
        <w:lastRenderedPageBreak/>
        <w:t>SEM observations</w:t>
      </w:r>
    </w:p>
    <w:p w:rsidR="002C0CB5" w:rsidRPr="002C0CB5" w:rsidRDefault="002C0CB5" w:rsidP="002C0CB5">
      <w:pPr>
        <w:pStyle w:val="Paragraph"/>
      </w:pPr>
      <w:r w:rsidRPr="002C0CB5">
        <w:t>SEM was used to examine the micro-structure and bonding (</w:t>
      </w:r>
      <w:r w:rsidR="00B03A2E">
        <w:t>ITZ</w:t>
      </w:r>
      <w:r w:rsidRPr="002C0CB5">
        <w:t xml:space="preserve">) between the coarse aggregates (CNA and </w:t>
      </w:r>
      <w:r w:rsidR="00BB6A32">
        <w:t>NA) and cementitious paste. Figures</w:t>
      </w:r>
      <w:r w:rsidRPr="002C0CB5">
        <w:t xml:space="preserve"> 1</w:t>
      </w:r>
      <w:r w:rsidR="00B56AA1">
        <w:t>6</w:t>
      </w:r>
      <w:r w:rsidRPr="002C0CB5">
        <w:t>-1</w:t>
      </w:r>
      <w:r w:rsidR="00B56AA1">
        <w:t>8</w:t>
      </w:r>
      <w:r w:rsidRPr="002C0CB5">
        <w:t xml:space="preserve"> show the SEM micrographs for the CNA-paste interface </w:t>
      </w:r>
      <w:r w:rsidR="00BB6A32" w:rsidRPr="002C0CB5">
        <w:t xml:space="preserve">whilst </w:t>
      </w:r>
      <w:r w:rsidRPr="002C0CB5">
        <w:fldChar w:fldCharType="begin"/>
      </w:r>
      <w:r w:rsidRPr="002C0CB5">
        <w:instrText xml:space="preserve"> REF _Ref525311455 \h </w:instrText>
      </w:r>
      <w:r w:rsidRPr="002C0CB5">
        <w:fldChar w:fldCharType="separate"/>
      </w:r>
      <w:r w:rsidR="00B56AA1" w:rsidRPr="002C0CB5">
        <w:rPr>
          <w:lang w:val="en-US"/>
        </w:rPr>
        <w:t xml:space="preserve">Figure </w:t>
      </w:r>
      <w:r w:rsidR="00B56AA1">
        <w:rPr>
          <w:noProof/>
          <w:lang w:val="en-US"/>
        </w:rPr>
        <w:t>19</w:t>
      </w:r>
      <w:r w:rsidRPr="002C0CB5">
        <w:fldChar w:fldCharType="end"/>
      </w:r>
      <w:r w:rsidRPr="002C0CB5">
        <w:t xml:space="preserve"> and </w:t>
      </w:r>
      <w:r w:rsidRPr="002C0CB5">
        <w:fldChar w:fldCharType="begin"/>
      </w:r>
      <w:r w:rsidRPr="002C0CB5">
        <w:instrText xml:space="preserve"> REF _Ref525311460 \h </w:instrText>
      </w:r>
      <w:r w:rsidRPr="002C0CB5">
        <w:fldChar w:fldCharType="separate"/>
      </w:r>
      <w:r w:rsidR="00B56AA1" w:rsidRPr="002C0CB5">
        <w:rPr>
          <w:lang w:val="en-US"/>
        </w:rPr>
        <w:t xml:space="preserve">Figure </w:t>
      </w:r>
      <w:r w:rsidR="00B56AA1">
        <w:rPr>
          <w:noProof/>
          <w:lang w:val="en-US"/>
        </w:rPr>
        <w:t>20</w:t>
      </w:r>
      <w:r w:rsidRPr="002C0CB5">
        <w:fldChar w:fldCharType="end"/>
      </w:r>
      <w:r w:rsidRPr="002C0CB5">
        <w:t xml:space="preserve"> show the micrographs for the NA-paste interface. As mentioned previously, two samples were examined at selected points of interest along the </w:t>
      </w:r>
      <w:r w:rsidR="00B03A2E">
        <w:t>ITZ</w:t>
      </w:r>
      <w:r w:rsidRPr="002C0CB5">
        <w:t xml:space="preserve">. The cementitious paste appeared to be homogenous and dense in both samples. Overall, the bonding </w:t>
      </w:r>
      <w:r w:rsidRPr="002C0CB5">
        <w:lastRenderedPageBreak/>
        <w:t xml:space="preserve">between the two phases in both samples appeared to be solid. The continuous hydration of the cementitious paste promotes the formation of the cementitious matrix inside the pores of the CNA therefore ‘gripping’ the aggregate and producing good bonding between the phases </w:t>
      </w:r>
      <w:r w:rsidRPr="002C0CB5">
        <w:fldChar w:fldCharType="begin"/>
      </w:r>
      <w:r w:rsidR="000B1BE6">
        <w:instrText xml:space="preserve"> ADDIN EN.CITE &lt;EndNote&gt;&lt;Cite&gt;&lt;Author&gt;Juan&lt;/Author&gt;&lt;Year&gt;2011&lt;/Year&gt;&lt;RecNum&gt;413&lt;/RecNum&gt;&lt;DisplayText&gt;(Juan 2011)&lt;/DisplayText&gt;&lt;record&gt;&lt;rec-number&gt;413&lt;/rec-number&gt;&lt;foreign-keys&gt;&lt;key app="EN" db-id="25a5fvaw7f5peyeeez7xawr9wzraf29tswtp" timestamp="1537672669"&gt;413&lt;/key&gt;&lt;/foreign-keys&gt;&lt;ref-type name="Thesis"&gt;32&lt;/ref-type&gt;&lt;contributors&gt;&lt;authors&gt;&lt;author&gt;Juan, K. Y.&lt;/author&gt;&lt;/authors&gt;&lt;/contributors&gt;&lt;titles&gt;&lt;title&gt;Cracking Mode and Shear Strength of Lightweight Concrete Beams&lt;/title&gt;&lt;secondary-title&gt;Department of Civil and Environmental Engineering&lt;/secondary-title&gt;&lt;/titles&gt;&lt;dates&gt;&lt;year&gt;2011&lt;/year&gt;&lt;/dates&gt;&lt;publisher&gt;National University of Singapore&lt;/publisher&gt;&lt;work-type&gt;Ph.D Thesis&lt;/work-type&gt;&lt;urls&gt;&lt;related-urls&gt;&lt;url&gt;https://www.era.lib.ed.ac.uk/bitstream/handle/1842/4909/Kiran%20Tota-Maharaj%20PhD%20Thesis.pdf?sequence=1&amp;amp;isAllowed=y&lt;/url&gt;&lt;/related-urls&gt;&lt;/urls&gt;&lt;access-date&gt;1st May 2016&lt;/access-date&gt;&lt;/record&gt;&lt;/Cite&gt;&lt;/EndNote&gt;</w:instrText>
      </w:r>
      <w:r w:rsidRPr="002C0CB5">
        <w:fldChar w:fldCharType="separate"/>
      </w:r>
      <w:r w:rsidRPr="002C0CB5">
        <w:rPr>
          <w:noProof/>
        </w:rPr>
        <w:t>(Juan 2011)</w:t>
      </w:r>
      <w:r w:rsidRPr="002C0CB5">
        <w:fldChar w:fldCharType="end"/>
      </w:r>
      <w:r w:rsidRPr="002C0CB5">
        <w:t xml:space="preserve">. Some amount of micro-cracking (&lt; 2 µm) was observed in both samples but appeared to be limited to the bonding zone. This separation could have occurred during the preparation of the samples for examination through SEM. This possibility was reported by </w:t>
      </w:r>
      <w:r w:rsidRPr="002C0CB5">
        <w:lastRenderedPageBreak/>
        <w:fldChar w:fldCharType="begin"/>
      </w:r>
      <w:r w:rsidRPr="002C0CB5">
        <w:instrText xml:space="preserve"> ADDIN EN.CITE &lt;EndNote&gt;&lt;Cite AuthorYear="1"&gt;&lt;Author&gt;Kockal&lt;/Author&gt;&lt;Year&gt;2010&lt;/Year&gt;&lt;RecNum&gt;371&lt;/RecNum&gt;&lt;DisplayText&gt;Kockal and Ozturan (2010)&lt;/DisplayText&gt;&lt;record&gt;&lt;rec-number&gt;371&lt;/rec-number&gt;&lt;foreign-keys&gt;&lt;key app="EN" db-id="25a5fvaw7f5peyeeez7xawr9wzraf29tswtp" timestamp="1509294475"&gt;371&lt;/key&gt;&lt;/foreign-keys&gt;&lt;ref-type name="Journal Article"&gt;17&lt;/ref-type&gt;&lt;contributors&gt;&lt;authors&gt;&lt;author&gt;Kockal, Niyazi Ugur&lt;/author&gt;&lt;author&gt;Ozturan, Turan&lt;/author&gt;&lt;/authors&gt;&lt;/contributors&gt;&lt;titles&gt;&lt;title&gt;Effects of lightweight fly ash aggregate properties on the behavior of lightweight concretes&lt;/title&gt;&lt;secondary-title&gt;Journal of Hazardous Materials&lt;/secondary-title&gt;&lt;/titles&gt;&lt;periodical&gt;&lt;full-title&gt;Journal of Hazardous Materials&lt;/full-title&gt;&lt;abbr-1&gt;J. Hazard. Mater.&lt;/abbr-1&gt;&lt;/periodical&gt;&lt;pages&gt;954-965&lt;/pages&gt;&lt;volume&gt;179&lt;/volume&gt;&lt;number&gt;1&lt;/number&gt;&lt;keywords&gt;&lt;keyword&gt;Lightweight fly ash concrete&lt;/keyword&gt;&lt;keyword&gt;Mechanical behavior&lt;/keyword&gt;&lt;keyword&gt;Durability&lt;/keyword&gt;&lt;keyword&gt;Transition zone&lt;/keyword&gt;&lt;/keywords&gt;&lt;dates&gt;&lt;year&gt;2010&lt;/year&gt;&lt;pub-dates&gt;&lt;date&gt;2010/07/15/&lt;/date&gt;&lt;/pub-dates&gt;&lt;/dates&gt;&lt;isbn&gt;0304-3894&lt;/isbn&gt;&lt;urls&gt;&lt;related-urls&gt;&lt;url&gt;http://www.sciencedirect.com/science/article/pii/S0304389410004048&lt;/url&gt;&lt;/related-urls&gt;&lt;/urls&gt;&lt;electronic-resource-num&gt;https://doi.org/10.1016/j.jhazmat.2010.03.098&lt;/electronic-resource-num&gt;&lt;/record&gt;&lt;/Cite&gt;&lt;/EndNote&gt;</w:instrText>
      </w:r>
      <w:r w:rsidRPr="002C0CB5">
        <w:fldChar w:fldCharType="separate"/>
      </w:r>
      <w:r w:rsidRPr="002C0CB5">
        <w:t>Kockal and Ozturan (2010)</w:t>
      </w:r>
      <w:r w:rsidRPr="002C0CB5">
        <w:fldChar w:fldCharType="end"/>
      </w:r>
      <w:r w:rsidRPr="002C0CB5">
        <w:t>.</w:t>
      </w:r>
    </w:p>
    <w:p w:rsidR="002C0CB5" w:rsidRPr="002C0CB5" w:rsidRDefault="002C0CB5" w:rsidP="00B07817">
      <w:pPr>
        <w:pStyle w:val="Newparagraph"/>
      </w:pPr>
      <w:r w:rsidRPr="002C0CB5">
        <w:t xml:space="preserve">Further examination of the CNA revealed numerous micro-cracks (&lt; 2 µm) in a mapped pattern over the surface of the CNA as shown in </w:t>
      </w:r>
      <w:r w:rsidRPr="002C0CB5">
        <w:fldChar w:fldCharType="begin"/>
      </w:r>
      <w:r w:rsidRPr="002C0CB5">
        <w:instrText xml:space="preserve"> REF _Ref525311551 \h </w:instrText>
      </w:r>
      <w:r w:rsidRPr="002C0CB5">
        <w:fldChar w:fldCharType="separate"/>
      </w:r>
      <w:r w:rsidR="00B56AA1" w:rsidRPr="002C0CB5">
        <w:rPr>
          <w:lang w:val="en-US"/>
        </w:rPr>
        <w:t xml:space="preserve">Figure </w:t>
      </w:r>
      <w:r w:rsidR="00B56AA1">
        <w:rPr>
          <w:noProof/>
          <w:lang w:val="en-US"/>
        </w:rPr>
        <w:t>21</w:t>
      </w:r>
      <w:r w:rsidRPr="002C0CB5">
        <w:fldChar w:fldCharType="end"/>
      </w:r>
      <w:r w:rsidRPr="002C0CB5">
        <w:t>. This was not surprising given the low strength and pozzolanic nature of the CNA.</w:t>
      </w:r>
    </w:p>
    <w:p w:rsidR="002C0CB5" w:rsidRPr="002C0CB5" w:rsidRDefault="007454E8" w:rsidP="002C0CB5">
      <w:pPr>
        <w:pStyle w:val="Paragraph"/>
      </w:pPr>
      <w:r w:rsidRPr="007454E8">
        <w:rPr>
          <w:noProof/>
        </w:rPr>
        <w:lastRenderedPageBreak/>
        <w:drawing>
          <wp:inline distT="0" distB="0" distL="0" distR="0">
            <wp:extent cx="3291840" cy="3291840"/>
            <wp:effectExtent l="0" t="0" r="3810" b="3810"/>
            <wp:docPr id="13" name="Picture 13" descr="C:\Users\John\Dropbox\PhD\Working Folder\Lab Tests\Structural\SEM\SEM 19-09-18\Carbon-negative aggregate - paste interface x 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hn\Dropbox\PhD\Working Folder\Lab Tests\Structural\SEM\SEM 19-09-18\Carbon-negative aggregate - paste interface x 20.tif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rsidR="002C0CB5" w:rsidRPr="002C0CB5" w:rsidRDefault="002C0CB5" w:rsidP="001A7CD6">
      <w:pPr>
        <w:pStyle w:val="Figurecaption"/>
        <w:rPr>
          <w:lang w:val="en-US"/>
        </w:rPr>
      </w:pPr>
      <w:bookmarkStart w:id="22" w:name="_Ref525309493"/>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16</w:t>
      </w:r>
      <w:r w:rsidRPr="002C0CB5">
        <w:fldChar w:fldCharType="end"/>
      </w:r>
      <w:bookmarkEnd w:id="22"/>
      <w:r w:rsidRPr="002C0CB5">
        <w:rPr>
          <w:lang w:val="en-US"/>
        </w:rPr>
        <w:t>: SEM micrograph of CNA-cementitious paste interface X 20</w:t>
      </w:r>
    </w:p>
    <w:p w:rsidR="002C0CB5" w:rsidRPr="002C0CB5" w:rsidRDefault="003A645D" w:rsidP="002C0CB5">
      <w:pPr>
        <w:pStyle w:val="Paragraph"/>
      </w:pPr>
      <w:r w:rsidRPr="003A645D">
        <w:rPr>
          <w:noProof/>
        </w:rPr>
        <w:lastRenderedPageBreak/>
        <w:drawing>
          <wp:inline distT="0" distB="0" distL="0" distR="0">
            <wp:extent cx="3291840" cy="3291840"/>
            <wp:effectExtent l="0" t="0" r="3810" b="3810"/>
            <wp:docPr id="14" name="Picture 14" descr="C:\Users\John\Dropbox\PhD\Working Folder\Lab Tests\Structural\SEM\SEM 19-09-18\Carbon-negative aggregate - paste interface x136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hn\Dropbox\PhD\Working Folder\Lab Tests\Structural\SEM\SEM 19-09-18\Carbon-negative aggregate - paste interface x1360.ti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rsidR="002C0CB5" w:rsidRPr="002C0CB5" w:rsidRDefault="002C0CB5" w:rsidP="001A7CD6">
      <w:pPr>
        <w:pStyle w:val="Figurecaption"/>
        <w:rPr>
          <w:lang w:val="en-US"/>
        </w:rPr>
      </w:pPr>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17</w:t>
      </w:r>
      <w:r w:rsidRPr="002C0CB5">
        <w:fldChar w:fldCharType="end"/>
      </w:r>
      <w:r w:rsidR="00BB6A32">
        <w:rPr>
          <w:lang w:val="en-US"/>
        </w:rPr>
        <w:t>: SEM micrograph of CNA-</w:t>
      </w:r>
      <w:r w:rsidRPr="002C0CB5">
        <w:rPr>
          <w:lang w:val="en-US"/>
        </w:rPr>
        <w:t>cementitious paste interface X 1360</w:t>
      </w:r>
    </w:p>
    <w:p w:rsidR="002C0CB5" w:rsidRPr="002C0CB5" w:rsidRDefault="002C0CB5" w:rsidP="002C0CB5">
      <w:pPr>
        <w:pStyle w:val="Paragraph"/>
      </w:pPr>
    </w:p>
    <w:p w:rsidR="002C0CB5" w:rsidRPr="002C0CB5" w:rsidRDefault="003A645D" w:rsidP="002C0CB5">
      <w:pPr>
        <w:pStyle w:val="Paragraph"/>
      </w:pPr>
      <w:r w:rsidRPr="003A645D">
        <w:rPr>
          <w:noProof/>
        </w:rPr>
        <w:lastRenderedPageBreak/>
        <w:drawing>
          <wp:inline distT="0" distB="0" distL="0" distR="0">
            <wp:extent cx="3291840" cy="3291840"/>
            <wp:effectExtent l="0" t="0" r="3810" b="3810"/>
            <wp:docPr id="19" name="Picture 19" descr="C:\Users\John\Dropbox\PhD\Working Folder\Lab Tests\Structural\SEM\SEM 19-09-18\Carbon-negative aggregate - paste interface x14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hn\Dropbox\PhD\Working Folder\Lab Tests\Structural\SEM\SEM 19-09-18\Carbon-negative aggregate - paste interface x1420.tif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rsidR="002C0CB5" w:rsidRPr="002C0CB5" w:rsidRDefault="002C0CB5" w:rsidP="001A7CD6">
      <w:pPr>
        <w:pStyle w:val="Figurecaption"/>
        <w:rPr>
          <w:lang w:val="en-US"/>
        </w:rPr>
      </w:pPr>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18</w:t>
      </w:r>
      <w:r w:rsidRPr="002C0CB5">
        <w:fldChar w:fldCharType="end"/>
      </w:r>
      <w:r w:rsidR="00BB6A32">
        <w:rPr>
          <w:lang w:val="en-US"/>
        </w:rPr>
        <w:t>: SEM micrograph of CNA-</w:t>
      </w:r>
      <w:r w:rsidRPr="002C0CB5">
        <w:rPr>
          <w:lang w:val="en-US"/>
        </w:rPr>
        <w:t>cementitious paste interface X 1420</w:t>
      </w:r>
    </w:p>
    <w:p w:rsidR="002C0CB5" w:rsidRPr="002C0CB5" w:rsidRDefault="003A645D" w:rsidP="002C0CB5">
      <w:pPr>
        <w:pStyle w:val="Paragraph"/>
      </w:pPr>
      <w:r w:rsidRPr="003A645D">
        <w:rPr>
          <w:noProof/>
        </w:rPr>
        <w:lastRenderedPageBreak/>
        <w:drawing>
          <wp:inline distT="0" distB="0" distL="0" distR="0">
            <wp:extent cx="3291840" cy="3291840"/>
            <wp:effectExtent l="0" t="0" r="3810" b="3810"/>
            <wp:docPr id="20" name="Picture 20" descr="C:\Users\John\Dropbox\PhD\Working Folder\Lab Tests\Structural\SEM\SEM 19-09-18\Natural aggregate - paste interface x 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hn\Dropbox\PhD\Working Folder\Lab Tests\Structural\SEM\SEM 19-09-18\Natural aggregate - paste interface x 20.tif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rsidR="002C0CB5" w:rsidRPr="002C0CB5" w:rsidRDefault="002C0CB5" w:rsidP="001A7CD6">
      <w:pPr>
        <w:pStyle w:val="Figurecaption"/>
        <w:rPr>
          <w:lang w:val="en-US"/>
        </w:rPr>
      </w:pPr>
      <w:bookmarkStart w:id="23" w:name="_Ref525311455"/>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19</w:t>
      </w:r>
      <w:r w:rsidRPr="002C0CB5">
        <w:fldChar w:fldCharType="end"/>
      </w:r>
      <w:bookmarkEnd w:id="23"/>
      <w:r w:rsidR="00BB6A32">
        <w:rPr>
          <w:lang w:val="en-US"/>
        </w:rPr>
        <w:t>: SEM micrograph of NA-</w:t>
      </w:r>
      <w:r w:rsidRPr="002C0CB5">
        <w:rPr>
          <w:lang w:val="en-US"/>
        </w:rPr>
        <w:t>cementitious paste interface X 20</w:t>
      </w:r>
    </w:p>
    <w:p w:rsidR="002C0CB5" w:rsidRPr="002C0CB5" w:rsidRDefault="002C0CB5" w:rsidP="002C0CB5">
      <w:pPr>
        <w:pStyle w:val="Paragraph"/>
      </w:pPr>
    </w:p>
    <w:p w:rsidR="002C0CB5" w:rsidRPr="002C0CB5" w:rsidRDefault="003A645D" w:rsidP="002C0CB5">
      <w:pPr>
        <w:pStyle w:val="Paragraph"/>
      </w:pPr>
      <w:r w:rsidRPr="003A645D">
        <w:rPr>
          <w:noProof/>
        </w:rPr>
        <w:lastRenderedPageBreak/>
        <w:drawing>
          <wp:inline distT="0" distB="0" distL="0" distR="0">
            <wp:extent cx="3291840" cy="3291840"/>
            <wp:effectExtent l="0" t="0" r="3810" b="3810"/>
            <wp:docPr id="22" name="Picture 22" descr="C:\Users\John\Dropbox\PhD\Working Folder\Lab Tests\Structural\SEM\SEM 19-09-18\Natural aggregate - paste interface x2620 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hn\Dropbox\PhD\Working Folder\Lab Tests\Structural\SEM\SEM 19-09-18\Natural aggregate - paste interface x2620 m.tif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rsidR="002C0CB5" w:rsidRPr="002C0CB5" w:rsidRDefault="002C0CB5" w:rsidP="001A7CD6">
      <w:pPr>
        <w:pStyle w:val="Figurecaption"/>
        <w:rPr>
          <w:lang w:val="en-US"/>
        </w:rPr>
      </w:pPr>
      <w:bookmarkStart w:id="24" w:name="_Ref525311460"/>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B56AA1">
        <w:rPr>
          <w:noProof/>
          <w:lang w:val="en-US"/>
        </w:rPr>
        <w:t>20</w:t>
      </w:r>
      <w:r w:rsidRPr="002C0CB5">
        <w:fldChar w:fldCharType="end"/>
      </w:r>
      <w:bookmarkEnd w:id="24"/>
      <w:r w:rsidR="00BB6A32">
        <w:rPr>
          <w:lang w:val="en-US"/>
        </w:rPr>
        <w:t>: SEM micrograph of NA-</w:t>
      </w:r>
      <w:r w:rsidRPr="002C0CB5">
        <w:rPr>
          <w:lang w:val="en-US"/>
        </w:rPr>
        <w:t>cementitious paste interface X 2620</w:t>
      </w:r>
    </w:p>
    <w:p w:rsidR="002C0CB5" w:rsidRPr="002C0CB5" w:rsidRDefault="00F13C24" w:rsidP="002C0CB5">
      <w:pPr>
        <w:pStyle w:val="Paragraph"/>
      </w:pPr>
      <w:r w:rsidRPr="00F13C24">
        <w:rPr>
          <w:noProof/>
        </w:rPr>
        <w:lastRenderedPageBreak/>
        <w:drawing>
          <wp:inline distT="0" distB="0" distL="0" distR="0">
            <wp:extent cx="3291840" cy="3291840"/>
            <wp:effectExtent l="0" t="0" r="3810" b="3810"/>
            <wp:docPr id="37" name="Picture 37" descr="C:\Users\John\Dropbox\PhD\Working Folder\Lab Tests\Structural\SEM\SEM 19-09-18\Cracks within Carbon-negative aggregate x17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John\Dropbox\PhD\Working Folder\Lab Tests\Structural\SEM\SEM 19-09-18\Cracks within Carbon-negative aggregate x178.tif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rsidR="002C0CB5" w:rsidRPr="002C0CB5" w:rsidRDefault="002C0CB5" w:rsidP="001A7CD6">
      <w:pPr>
        <w:pStyle w:val="Figurecaption"/>
        <w:rPr>
          <w:lang w:val="en-US"/>
        </w:rPr>
      </w:pPr>
      <w:bookmarkStart w:id="25" w:name="_Ref525311551"/>
      <w:r w:rsidRPr="002C0CB5">
        <w:rPr>
          <w:lang w:val="en-US"/>
        </w:rPr>
        <w:t xml:space="preserve">Figure </w:t>
      </w:r>
      <w:r w:rsidRPr="002C0CB5">
        <w:rPr>
          <w:lang w:val="en-US"/>
        </w:rPr>
        <w:fldChar w:fldCharType="begin"/>
      </w:r>
      <w:r w:rsidRPr="002C0CB5">
        <w:rPr>
          <w:lang w:val="en-US"/>
        </w:rPr>
        <w:instrText xml:space="preserve"> SEQ Figure \* ARABIC </w:instrText>
      </w:r>
      <w:r w:rsidRPr="002C0CB5">
        <w:rPr>
          <w:lang w:val="en-US"/>
        </w:rPr>
        <w:fldChar w:fldCharType="separate"/>
      </w:r>
      <w:r w:rsidR="000F1E7B">
        <w:rPr>
          <w:noProof/>
          <w:lang w:val="en-US"/>
        </w:rPr>
        <w:t>21</w:t>
      </w:r>
      <w:r w:rsidRPr="002C0CB5">
        <w:fldChar w:fldCharType="end"/>
      </w:r>
      <w:bookmarkEnd w:id="25"/>
      <w:r w:rsidRPr="002C0CB5">
        <w:rPr>
          <w:lang w:val="en-US"/>
        </w:rPr>
        <w:t>: SEM micrograph of micro-cracking across CNA surface X 178</w:t>
      </w:r>
    </w:p>
    <w:p w:rsidR="00FF2E55" w:rsidRDefault="00FF2E55" w:rsidP="00FF2E55">
      <w:pPr>
        <w:pStyle w:val="Heading1"/>
      </w:pPr>
      <w:r>
        <w:lastRenderedPageBreak/>
        <w:t>Conclusion</w:t>
      </w:r>
    </w:p>
    <w:p w:rsidR="002C0CB5" w:rsidRPr="002C0CB5" w:rsidRDefault="00B61D96" w:rsidP="002C0CB5">
      <w:pPr>
        <w:pStyle w:val="Paragraph"/>
      </w:pPr>
      <w:r>
        <w:t>This study investigated the structural impact of</w:t>
      </w:r>
      <w:r w:rsidR="002C0CB5" w:rsidRPr="002C0CB5">
        <w:t xml:space="preserve"> commercially produced lightweight carbon-negative aggregates (CNA) </w:t>
      </w:r>
      <w:r>
        <w:t xml:space="preserve">on concrete </w:t>
      </w:r>
      <w:r w:rsidR="00072796">
        <w:t xml:space="preserve">for solid concrete block pavers (CBP) in </w:t>
      </w:r>
      <w:r w:rsidR="002C0CB5" w:rsidRPr="002C0CB5">
        <w:t>permeable pavement</w:t>
      </w:r>
      <w:r w:rsidR="00072796">
        <w:t>s</w:t>
      </w:r>
      <w:r w:rsidR="002C0CB5" w:rsidRPr="002C0CB5">
        <w:t>. Natural aggregates (NA) were substituted by mass, with CNA at percentag</w:t>
      </w:r>
      <w:r>
        <w:t>es of 0, 15, 30, 50, 75 and 100</w:t>
      </w:r>
      <w:r w:rsidR="002C0CB5" w:rsidRPr="002C0CB5">
        <w:t>. 28-day compressive and splitting tensile strengths and water absorption tests were evaluated and compared.</w:t>
      </w:r>
      <w:r>
        <w:t xml:space="preserve"> </w:t>
      </w:r>
      <w:r w:rsidR="004D485C">
        <w:t>Based on the results of this study, t</w:t>
      </w:r>
      <w:r>
        <w:t xml:space="preserve">he following conclusions </w:t>
      </w:r>
      <w:r w:rsidR="004D485C">
        <w:t>are made</w:t>
      </w:r>
      <w:r>
        <w:t>.</w:t>
      </w:r>
    </w:p>
    <w:p w:rsidR="002C0CB5" w:rsidRPr="002C0CB5" w:rsidRDefault="00B61D96" w:rsidP="00B07817">
      <w:pPr>
        <w:pStyle w:val="Numberedlist"/>
      </w:pPr>
      <w:r>
        <w:lastRenderedPageBreak/>
        <w:t xml:space="preserve">Depending on </w:t>
      </w:r>
      <w:r w:rsidR="002C0CB5" w:rsidRPr="002C0CB5">
        <w:t>structural loading requirements, CNA can replace NA in solid concrete permeable pavement blocks by up to 100%.</w:t>
      </w:r>
    </w:p>
    <w:p w:rsidR="002C0CB5" w:rsidRPr="002C0CB5" w:rsidRDefault="00CD5F15" w:rsidP="00B07817">
      <w:pPr>
        <w:pStyle w:val="Numberedlist"/>
      </w:pPr>
      <w:r>
        <w:t>The high water absorption percent in CNA necessitates p</w:t>
      </w:r>
      <w:r w:rsidR="002C0CB5" w:rsidRPr="002C0CB5">
        <w:t>re-soaking or increasing the water/cement ratio when increasin</w:t>
      </w:r>
      <w:r w:rsidR="00C94ED6">
        <w:t xml:space="preserve">g the </w:t>
      </w:r>
      <w:r w:rsidR="00072796">
        <w:t>mass</w:t>
      </w:r>
      <w:r w:rsidR="00C94ED6">
        <w:t xml:space="preserve"> of CNA in concrete</w:t>
      </w:r>
      <w:r w:rsidR="002C0CB5" w:rsidRPr="002C0CB5">
        <w:t>.</w:t>
      </w:r>
    </w:p>
    <w:p w:rsidR="002C0CB5" w:rsidRPr="002C0CB5" w:rsidRDefault="002C0CB5" w:rsidP="00B07817">
      <w:pPr>
        <w:pStyle w:val="Numberedlist"/>
      </w:pPr>
      <w:r w:rsidRPr="002C0CB5">
        <w:t>The 28-day compressive strengths and densities ranged from 18.48 to 68.80 MPa and from 2236 to 2612 kg/m</w:t>
      </w:r>
      <w:r w:rsidRPr="002C0CB5">
        <w:rPr>
          <w:vertAlign w:val="superscript"/>
        </w:rPr>
        <w:t>3</w:t>
      </w:r>
      <w:r w:rsidRPr="002C0CB5">
        <w:t>, respectively.</w:t>
      </w:r>
    </w:p>
    <w:p w:rsidR="00C94ED6" w:rsidRDefault="002C0CB5" w:rsidP="00B07817">
      <w:pPr>
        <w:pStyle w:val="Numberedlist"/>
      </w:pPr>
      <w:r w:rsidRPr="002C0CB5">
        <w:lastRenderedPageBreak/>
        <w:t>The 28-day splitting tensile strengths and water absorption percentages ranged from 1.23 to 3.84 MPa and from 1.</w:t>
      </w:r>
      <w:r w:rsidR="00072796">
        <w:t>66</w:t>
      </w:r>
      <w:r w:rsidRPr="002C0CB5">
        <w:t xml:space="preserve"> to </w:t>
      </w:r>
      <w:r w:rsidR="00072796">
        <w:t>9.17</w:t>
      </w:r>
      <w:r w:rsidRPr="002C0CB5">
        <w:t xml:space="preserve"> %, respectively. </w:t>
      </w:r>
    </w:p>
    <w:p w:rsidR="002C0CB5" w:rsidRPr="002C0CB5" w:rsidRDefault="002C0CB5" w:rsidP="00B07817">
      <w:pPr>
        <w:pStyle w:val="Numberedlist"/>
      </w:pPr>
      <w:r w:rsidRPr="002C0CB5">
        <w:t xml:space="preserve">Examination of the split aggregate-cementitious paste interfacial </w:t>
      </w:r>
      <w:r w:rsidR="00072796">
        <w:t xml:space="preserve">transition </w:t>
      </w:r>
      <w:r w:rsidRPr="002C0CB5">
        <w:t>zone through SEM microstructural studies revealed good bonding results for both the CNA and NA. Further examination of the CNA revealed micro-cracks (&lt; 2 µm) over the surface of the CNA.</w:t>
      </w:r>
    </w:p>
    <w:p w:rsidR="002C0CB5" w:rsidRPr="002C0CB5" w:rsidRDefault="002C0CB5" w:rsidP="00B07817">
      <w:pPr>
        <w:pStyle w:val="Numberedlist"/>
      </w:pPr>
      <w:r w:rsidRPr="002C0CB5">
        <w:lastRenderedPageBreak/>
        <w:t xml:space="preserve">The use of CNA aggregates in solid concrete permeable pavement blocks is novel; presents opportunities for the conservation of </w:t>
      </w:r>
      <w:r w:rsidR="00C94ED6">
        <w:t>rapidly-</w:t>
      </w:r>
      <w:r w:rsidRPr="002C0CB5">
        <w:t xml:space="preserve">diminishing natural rocks; significantly reduces the carbon footprint </w:t>
      </w:r>
      <w:r w:rsidR="00C94ED6">
        <w:t>during the production</w:t>
      </w:r>
      <w:r w:rsidRPr="002C0CB5">
        <w:t xml:space="preserve"> phase of pavement</w:t>
      </w:r>
      <w:r w:rsidR="00C94ED6">
        <w:t>s and promotes an ecologically-</w:t>
      </w:r>
      <w:r w:rsidRPr="002C0CB5">
        <w:t>sustainable solution in relation to the management of municipal solid waste.</w:t>
      </w:r>
    </w:p>
    <w:p w:rsidR="002C0CB5" w:rsidRDefault="002C0CB5" w:rsidP="00786690">
      <w:pPr>
        <w:pStyle w:val="Heading1"/>
      </w:pPr>
      <w:r>
        <w:t>Acknowledgements</w:t>
      </w:r>
    </w:p>
    <w:p w:rsidR="002C0CB5" w:rsidRDefault="002C0CB5" w:rsidP="00786690">
      <w:pPr>
        <w:pStyle w:val="Acknowledgements"/>
      </w:pPr>
      <w:r>
        <w:t xml:space="preserve">This research was supported by the University of the West Indies, St. Augustine Campus and international </w:t>
      </w:r>
      <w:r w:rsidR="000D03AF">
        <w:t>e</w:t>
      </w:r>
      <w:r>
        <w:t xml:space="preserve">ngineering firm AECOM. </w:t>
      </w:r>
      <w:r w:rsidR="000D03AF">
        <w:t xml:space="preserve">Special thanks to Engineer Robert Weishaupt </w:t>
      </w:r>
      <w:r w:rsidR="000D03AF">
        <w:lastRenderedPageBreak/>
        <w:t xml:space="preserve">from AECOM for his valuable input. </w:t>
      </w:r>
      <w:r>
        <w:t xml:space="preserve">The support of Prof Chad Staddon, </w:t>
      </w:r>
      <w:r w:rsidR="000D03AF">
        <w:t>D</w:t>
      </w:r>
      <w:r>
        <w:t>irector of the International Water Securities Network (UWE, Bristol) is also acknowledged.</w:t>
      </w:r>
    </w:p>
    <w:p w:rsidR="00FF2E55" w:rsidRPr="002C0CB5" w:rsidRDefault="002C0CB5" w:rsidP="002C0CB5">
      <w:pPr>
        <w:pStyle w:val="Paragraph"/>
        <w:rPr>
          <w:i/>
        </w:rPr>
      </w:pPr>
      <w:r w:rsidRPr="002C0CB5">
        <w:rPr>
          <w:i/>
        </w:rPr>
        <w:t>The authors have declared no conflict of interest.</w:t>
      </w:r>
    </w:p>
    <w:p w:rsidR="00603933" w:rsidRDefault="00FF2E55" w:rsidP="00603933">
      <w:pPr>
        <w:pStyle w:val="Heading1"/>
      </w:pPr>
      <w:r>
        <w:t>References</w:t>
      </w:r>
    </w:p>
    <w:p w:rsidR="000B1BE6" w:rsidRPr="000B1BE6" w:rsidRDefault="00603933" w:rsidP="000B1BE6">
      <w:pPr>
        <w:pStyle w:val="EndNoteBibliography"/>
        <w:ind w:left="720" w:hanging="720"/>
      </w:pPr>
      <w:r>
        <w:fldChar w:fldCharType="begin"/>
      </w:r>
      <w:r>
        <w:instrText xml:space="preserve"> ADDIN EN.REFLIST </w:instrText>
      </w:r>
      <w:r>
        <w:fldChar w:fldCharType="separate"/>
      </w:r>
      <w:r w:rsidR="000B1BE6" w:rsidRPr="000B1BE6">
        <w:t xml:space="preserve">Abouhussien, A. A., Hassan, A. A. A. and Ismail, M. K. 2015. Properties of semi-lightweight self-consolidating concrete containing lightweight slag aggregate. </w:t>
      </w:r>
      <w:r w:rsidR="000B1BE6" w:rsidRPr="000B1BE6">
        <w:rPr>
          <w:i/>
        </w:rPr>
        <w:t>Construction and Building Materials,</w:t>
      </w:r>
      <w:r w:rsidR="000B1BE6" w:rsidRPr="000B1BE6">
        <w:t xml:space="preserve"> 75, 63-73.</w:t>
      </w:r>
    </w:p>
    <w:p w:rsidR="000B1BE6" w:rsidRPr="000B1BE6" w:rsidRDefault="000B1BE6" w:rsidP="000B1BE6">
      <w:pPr>
        <w:pStyle w:val="EndNoteBibliography"/>
        <w:ind w:left="720" w:hanging="720"/>
      </w:pPr>
      <w:r w:rsidRPr="000B1BE6">
        <w:t xml:space="preserve">ACI, 2013. </w:t>
      </w:r>
      <w:r w:rsidRPr="000B1BE6">
        <w:rPr>
          <w:i/>
        </w:rPr>
        <w:t>Report on Internally Cured Concrete Using Prewetted Absorptive Lightweight Aggregate.</w:t>
      </w:r>
      <w:r w:rsidRPr="000B1BE6">
        <w:t xml:space="preserve"> MI, USA: American Concrete Institute.</w:t>
      </w:r>
    </w:p>
    <w:p w:rsidR="000B1BE6" w:rsidRPr="000B1BE6" w:rsidRDefault="000B1BE6" w:rsidP="000B1BE6">
      <w:pPr>
        <w:pStyle w:val="EndNoteBibliography"/>
        <w:ind w:left="720" w:hanging="720"/>
      </w:pPr>
      <w:r w:rsidRPr="000B1BE6">
        <w:t>ACI, 2014a. Building code requirements for structural concrete (ACI 318-14) and commentary. MI, USA: American Concrete Institute.</w:t>
      </w:r>
    </w:p>
    <w:p w:rsidR="000B1BE6" w:rsidRPr="000B1BE6" w:rsidRDefault="000B1BE6" w:rsidP="000B1BE6">
      <w:pPr>
        <w:pStyle w:val="EndNoteBibliography"/>
        <w:ind w:left="720" w:hanging="720"/>
      </w:pPr>
      <w:r w:rsidRPr="000B1BE6">
        <w:lastRenderedPageBreak/>
        <w:t>ACI, 2014b. Guide for Structural Lightweight-Aggregate Concrete. MI, USA: American Concrete Institute.</w:t>
      </w:r>
    </w:p>
    <w:p w:rsidR="000B1BE6" w:rsidRPr="000B1BE6" w:rsidRDefault="000B1BE6" w:rsidP="000B1BE6">
      <w:pPr>
        <w:pStyle w:val="EndNoteBibliography"/>
        <w:ind w:left="720" w:hanging="720"/>
      </w:pPr>
      <w:r w:rsidRPr="000B1BE6">
        <w:t xml:space="preserve">Al-Khaiat, H. and Haque, M. N. 1998. Effect of initial curing on early strength and physical properties of a lightweight concrete. </w:t>
      </w:r>
      <w:r w:rsidRPr="000B1BE6">
        <w:rPr>
          <w:i/>
        </w:rPr>
        <w:t>Cement and Concrete Research,</w:t>
      </w:r>
      <w:r w:rsidRPr="000B1BE6">
        <w:t xml:space="preserve"> 28(6), 859-866.</w:t>
      </w:r>
    </w:p>
    <w:p w:rsidR="000B1BE6" w:rsidRPr="000B1BE6" w:rsidRDefault="000B1BE6" w:rsidP="000B1BE6">
      <w:pPr>
        <w:pStyle w:val="EndNoteBibliography"/>
        <w:ind w:left="720" w:hanging="720"/>
      </w:pPr>
      <w:r w:rsidRPr="000B1BE6">
        <w:t>ASTM, 2013. Standard Test Method for Density, Absorption, and Voids in Hardened Concrete. West Conshohocken, PA USA: ASTM International.</w:t>
      </w:r>
    </w:p>
    <w:p w:rsidR="000B1BE6" w:rsidRPr="000B1BE6" w:rsidRDefault="000B1BE6" w:rsidP="000B1BE6">
      <w:pPr>
        <w:pStyle w:val="EndNoteBibliography"/>
        <w:ind w:left="720" w:hanging="720"/>
      </w:pPr>
      <w:r w:rsidRPr="000B1BE6">
        <w:t>ASTM, 2014a. Standard Test Method for Resistance to Degradation of Small-Size Coarse Aggregate by Abrasion and Impact in the Los Angeles Machine. West Conshohocken, PA USA: ASTM International.</w:t>
      </w:r>
    </w:p>
    <w:p w:rsidR="000B1BE6" w:rsidRPr="000B1BE6" w:rsidRDefault="000B1BE6" w:rsidP="000B1BE6">
      <w:pPr>
        <w:pStyle w:val="EndNoteBibliography"/>
        <w:ind w:left="720" w:hanging="720"/>
      </w:pPr>
      <w:r w:rsidRPr="000B1BE6">
        <w:t>ASTM, 2014b. Standard Test Method for Sieve Analysis of Fine and Coarse Aggregates. West Conshohocken, PA USA: ASTM International.</w:t>
      </w:r>
    </w:p>
    <w:p w:rsidR="000B1BE6" w:rsidRPr="000B1BE6" w:rsidRDefault="000B1BE6" w:rsidP="000B1BE6">
      <w:pPr>
        <w:pStyle w:val="EndNoteBibliography"/>
        <w:ind w:left="720" w:hanging="720"/>
      </w:pPr>
      <w:r w:rsidRPr="000B1BE6">
        <w:lastRenderedPageBreak/>
        <w:t>ASTM, 2015. Standard Test Method for Relative Density (Specific Gravity) and Absorption of Coarse Aggregate. West Conshohocken, PA USA: ASTM International.</w:t>
      </w:r>
    </w:p>
    <w:p w:rsidR="000B1BE6" w:rsidRPr="000B1BE6" w:rsidRDefault="000B1BE6" w:rsidP="000B1BE6">
      <w:pPr>
        <w:pStyle w:val="EndNoteBibliography"/>
        <w:ind w:left="720" w:hanging="720"/>
      </w:pPr>
      <w:r w:rsidRPr="000B1BE6">
        <w:t>ASTM, 2016a. Standard specification for concrete aggreates. West Conshohocken, PA USA: ASTM International.</w:t>
      </w:r>
    </w:p>
    <w:p w:rsidR="000B1BE6" w:rsidRPr="000B1BE6" w:rsidRDefault="000B1BE6" w:rsidP="000B1BE6">
      <w:pPr>
        <w:pStyle w:val="EndNoteBibliography"/>
        <w:ind w:left="720" w:hanging="720"/>
      </w:pPr>
      <w:r w:rsidRPr="000B1BE6">
        <w:t>ASTM, 2016b. Standard Test Method for Bulk Density (“Unit Weight”) and Voids in Aggregate. West Conshohocken, PA USA: ASTM International.</w:t>
      </w:r>
    </w:p>
    <w:p w:rsidR="000B1BE6" w:rsidRPr="000B1BE6" w:rsidRDefault="000B1BE6" w:rsidP="000B1BE6">
      <w:pPr>
        <w:pStyle w:val="EndNoteBibliography"/>
        <w:ind w:left="720" w:hanging="720"/>
      </w:pPr>
      <w:r w:rsidRPr="000B1BE6">
        <w:t>ASTM, 2017a. Standard Specification for Lightweight Aggregates for Structural Concrete. West Conshohocken, PA USA: ASTM International.</w:t>
      </w:r>
    </w:p>
    <w:p w:rsidR="000B1BE6" w:rsidRPr="000B1BE6" w:rsidRDefault="000B1BE6" w:rsidP="000B1BE6">
      <w:pPr>
        <w:pStyle w:val="EndNoteBibliography"/>
        <w:ind w:left="720" w:hanging="720"/>
      </w:pPr>
      <w:r w:rsidRPr="000B1BE6">
        <w:t>ASTM, 2017b. Standard Specification for Lightweight Aggregates for Structural Concrete. West Conshohocken, PA USA: ASTM International.</w:t>
      </w:r>
    </w:p>
    <w:p w:rsidR="000B1BE6" w:rsidRPr="000B1BE6" w:rsidRDefault="000B1BE6" w:rsidP="000B1BE6">
      <w:pPr>
        <w:pStyle w:val="EndNoteBibliography"/>
        <w:ind w:left="720" w:hanging="720"/>
      </w:pPr>
      <w:r w:rsidRPr="000B1BE6">
        <w:t>ASTM, 2017c. Standard Specification for Portland Cement. West Conshohocken, PA USA: ASTM International.</w:t>
      </w:r>
    </w:p>
    <w:p w:rsidR="000B1BE6" w:rsidRPr="000B1BE6" w:rsidRDefault="000B1BE6" w:rsidP="000B1BE6">
      <w:pPr>
        <w:pStyle w:val="EndNoteBibliography"/>
        <w:ind w:left="720" w:hanging="720"/>
      </w:pPr>
      <w:r w:rsidRPr="000B1BE6">
        <w:lastRenderedPageBreak/>
        <w:t>ASTM, 2017d. Standard Test Method for Splitting Tensile Strength of Cylindrical Concrete Specimens. West Conshohocken, PA USA: ASTM International.</w:t>
      </w:r>
    </w:p>
    <w:p w:rsidR="000B1BE6" w:rsidRPr="000B1BE6" w:rsidRDefault="000B1BE6" w:rsidP="000B1BE6">
      <w:pPr>
        <w:pStyle w:val="EndNoteBibliography"/>
        <w:ind w:left="720" w:hanging="720"/>
      </w:pPr>
      <w:r w:rsidRPr="000B1BE6">
        <w:t>ASTM, 2018a. Standard Specification for Concrete Aggregates. West Conshohocken, PA USA: ASTM International.</w:t>
      </w:r>
    </w:p>
    <w:p w:rsidR="000B1BE6" w:rsidRPr="000B1BE6" w:rsidRDefault="000B1BE6" w:rsidP="000B1BE6">
      <w:pPr>
        <w:pStyle w:val="EndNoteBibliography"/>
        <w:ind w:left="720" w:hanging="720"/>
      </w:pPr>
      <w:r w:rsidRPr="000B1BE6">
        <w:t>ASTM, 2018b. Standard Specification for Solid Concrete Interlocking Paving Units. West Conshohocken, PA USA: ASTM International.</w:t>
      </w:r>
    </w:p>
    <w:p w:rsidR="000B1BE6" w:rsidRPr="000B1BE6" w:rsidRDefault="000B1BE6" w:rsidP="000B1BE6">
      <w:pPr>
        <w:pStyle w:val="EndNoteBibliography"/>
        <w:ind w:left="720" w:hanging="720"/>
      </w:pPr>
      <w:r w:rsidRPr="000B1BE6">
        <w:t xml:space="preserve">Bai, Y., Ibrahim, R. and Basheer, P. A., Properties of lightweight concrete manufactured with fly ash, furnace bottom ash, and Lytag. ed. </w:t>
      </w:r>
      <w:r w:rsidRPr="000B1BE6">
        <w:rPr>
          <w:i/>
        </w:rPr>
        <w:t>International Wokshop on Sustainable Development and Concrete Technology</w:t>
      </w:r>
      <w:r w:rsidRPr="000B1BE6">
        <w:t>, 2004 Beijing, 77-88.</w:t>
      </w:r>
    </w:p>
    <w:p w:rsidR="000B1BE6" w:rsidRPr="000B1BE6" w:rsidRDefault="000B1BE6" w:rsidP="000B1BE6">
      <w:pPr>
        <w:pStyle w:val="EndNoteBibliography"/>
        <w:ind w:left="720" w:hanging="720"/>
      </w:pPr>
      <w:r w:rsidRPr="000B1BE6">
        <w:t>BS, 1990a. Methods of test for soils for civil engineering purposes. Chemical and electro-chemical tests. London, U.K: British Standard Institution BSI.</w:t>
      </w:r>
    </w:p>
    <w:p w:rsidR="000B1BE6" w:rsidRPr="000B1BE6" w:rsidRDefault="000B1BE6" w:rsidP="000B1BE6">
      <w:pPr>
        <w:pStyle w:val="EndNoteBibliography"/>
        <w:ind w:left="720" w:hanging="720"/>
      </w:pPr>
      <w:r w:rsidRPr="000B1BE6">
        <w:lastRenderedPageBreak/>
        <w:t>BS, 1990b. Testing aggregates. Method for determination of aggregate impact value (AIV). London, U.K: British Standard Institution BSI.</w:t>
      </w:r>
    </w:p>
    <w:p w:rsidR="000B1BE6" w:rsidRPr="000B1BE6" w:rsidRDefault="000B1BE6" w:rsidP="000B1BE6">
      <w:pPr>
        <w:pStyle w:val="EndNoteBibliography"/>
        <w:ind w:left="720" w:hanging="720"/>
      </w:pPr>
      <w:r w:rsidRPr="000B1BE6">
        <w:t>BS, 2003. Concrete Paving Blocks - Requirements and Test Methods. London, U.K: British Standard Institution BSI.</w:t>
      </w:r>
    </w:p>
    <w:p w:rsidR="000B1BE6" w:rsidRPr="000B1BE6" w:rsidRDefault="000B1BE6" w:rsidP="000B1BE6">
      <w:pPr>
        <w:pStyle w:val="EndNoteBibliography"/>
        <w:ind w:left="720" w:hanging="720"/>
      </w:pPr>
      <w:r w:rsidRPr="000B1BE6">
        <w:t>BS, 2009. Testing hardened concrete. Compressive strength of test specimens. London, U.K: British Standard Institution BSI.</w:t>
      </w:r>
    </w:p>
    <w:p w:rsidR="000B1BE6" w:rsidRPr="000B1BE6" w:rsidRDefault="000B1BE6" w:rsidP="000B1BE6">
      <w:pPr>
        <w:pStyle w:val="EndNoteBibliography"/>
        <w:ind w:left="720" w:hanging="720"/>
        <w:rPr>
          <w:i/>
        </w:rPr>
      </w:pPr>
      <w:r w:rsidRPr="000B1BE6">
        <w:t xml:space="preserve">BS EN, 2004. Eurocode 2: Design of concrete structures Part 1-1–General rules and rules for buildings (including NA). </w:t>
      </w:r>
      <w:r w:rsidRPr="000B1BE6">
        <w:rPr>
          <w:i/>
        </w:rPr>
        <w:t>London: British Standards Institution.</w:t>
      </w:r>
    </w:p>
    <w:p w:rsidR="000B1BE6" w:rsidRPr="000B1BE6" w:rsidRDefault="000B1BE6" w:rsidP="000B1BE6">
      <w:pPr>
        <w:pStyle w:val="EndNoteBibliography"/>
        <w:ind w:left="720" w:hanging="720"/>
      </w:pPr>
      <w:r w:rsidRPr="000B1BE6">
        <w:t xml:space="preserve">Collins, K. A., 2007. </w:t>
      </w:r>
      <w:r w:rsidRPr="000B1BE6">
        <w:rPr>
          <w:i/>
        </w:rPr>
        <w:t xml:space="preserve">A field evaluation of four types of permeable pavement with respect to water quality improvement and flood control. </w:t>
      </w:r>
      <w:r w:rsidRPr="000B1BE6">
        <w:t>MSc. Thesis. North Carolina State University.</w:t>
      </w:r>
    </w:p>
    <w:p w:rsidR="000B1BE6" w:rsidRPr="000B1BE6" w:rsidRDefault="000B1BE6" w:rsidP="000B1BE6">
      <w:pPr>
        <w:pStyle w:val="EndNoteBibliography"/>
        <w:ind w:left="720" w:hanging="720"/>
      </w:pPr>
      <w:r w:rsidRPr="000B1BE6">
        <w:t>EN 197-1, 2011. Cement - Part 1: Composition, specifications and conformity criteria for common cements. Brussels, Belgium: CEN.</w:t>
      </w:r>
    </w:p>
    <w:p w:rsidR="000B1BE6" w:rsidRPr="000B1BE6" w:rsidRDefault="000B1BE6" w:rsidP="000B1BE6">
      <w:pPr>
        <w:pStyle w:val="EndNoteBibliography"/>
        <w:ind w:left="720" w:hanging="720"/>
      </w:pPr>
      <w:r w:rsidRPr="000B1BE6">
        <w:lastRenderedPageBreak/>
        <w:t xml:space="preserve">Fassman, E. A. and Blackbourn, S. 2010. Urban Runoff Mitigation by a Permeable Pavement System over Impermeable Soils. </w:t>
      </w:r>
      <w:r w:rsidRPr="000B1BE6">
        <w:rPr>
          <w:i/>
        </w:rPr>
        <w:t>Journal of Hydrologic Engineering,</w:t>
      </w:r>
      <w:r w:rsidRPr="000B1BE6">
        <w:t xml:space="preserve"> 15(6), 475-485.</w:t>
      </w:r>
    </w:p>
    <w:p w:rsidR="000B1BE6" w:rsidRPr="000B1BE6" w:rsidRDefault="000B1BE6" w:rsidP="000B1BE6">
      <w:pPr>
        <w:pStyle w:val="EndNoteBibliography"/>
        <w:ind w:left="720" w:hanging="720"/>
      </w:pPr>
      <w:r w:rsidRPr="000B1BE6">
        <w:t>Fernández Bertos, M.</w:t>
      </w:r>
      <w:r w:rsidRPr="000B1BE6">
        <w:rPr>
          <w:i/>
        </w:rPr>
        <w:t>, et al.</w:t>
      </w:r>
      <w:r w:rsidRPr="000B1BE6">
        <w:t xml:space="preserve"> 2004. A review of accelerated carbonation technology in the treatment of cement-based materials and sequestration of CO2. </w:t>
      </w:r>
      <w:r w:rsidRPr="000B1BE6">
        <w:rPr>
          <w:i/>
        </w:rPr>
        <w:t>Journal of Hazardous Materials,</w:t>
      </w:r>
      <w:r w:rsidRPr="000B1BE6">
        <w:t xml:space="preserve"> 112(3), 193-205.</w:t>
      </w:r>
    </w:p>
    <w:p w:rsidR="000B1BE6" w:rsidRPr="000B1BE6" w:rsidRDefault="000B1BE6" w:rsidP="000B1BE6">
      <w:pPr>
        <w:pStyle w:val="EndNoteBibliography"/>
        <w:ind w:left="720" w:hanging="720"/>
      </w:pPr>
      <w:r w:rsidRPr="000B1BE6">
        <w:t xml:space="preserve">Ganjian, E., Jalull, G. and Sadeghi-Pouya, H. 2015. Using waste materials and by-products to produce concrete paving blocks. </w:t>
      </w:r>
      <w:r w:rsidRPr="000B1BE6">
        <w:rPr>
          <w:i/>
        </w:rPr>
        <w:t>Construction and Building Materials,</w:t>
      </w:r>
      <w:r w:rsidRPr="000B1BE6">
        <w:t xml:space="preserve"> 77, 270-275.</w:t>
      </w:r>
    </w:p>
    <w:p w:rsidR="000B1BE6" w:rsidRPr="000B1BE6" w:rsidRDefault="000B1BE6" w:rsidP="000B1BE6">
      <w:pPr>
        <w:pStyle w:val="EndNoteBibliography"/>
        <w:ind w:left="720" w:hanging="720"/>
      </w:pPr>
      <w:r w:rsidRPr="000B1BE6">
        <w:t>Gencel, O.</w:t>
      </w:r>
      <w:r w:rsidRPr="000B1BE6">
        <w:rPr>
          <w:i/>
        </w:rPr>
        <w:t>, et al.</w:t>
      </w:r>
      <w:r w:rsidRPr="000B1BE6">
        <w:t xml:space="preserve"> 2012. Properties of concrete paving blocks made with waste marble. </w:t>
      </w:r>
      <w:r w:rsidRPr="000B1BE6">
        <w:rPr>
          <w:i/>
        </w:rPr>
        <w:t>Journal of Cleaner Production,</w:t>
      </w:r>
      <w:r w:rsidRPr="000B1BE6">
        <w:t xml:space="preserve"> 21(1), 62-70.</w:t>
      </w:r>
    </w:p>
    <w:p w:rsidR="000B1BE6" w:rsidRPr="000B1BE6" w:rsidRDefault="000B1BE6" w:rsidP="000B1BE6">
      <w:pPr>
        <w:pStyle w:val="EndNoteBibliography"/>
        <w:ind w:left="720" w:hanging="720"/>
      </w:pPr>
      <w:r w:rsidRPr="000B1BE6">
        <w:t xml:space="preserve">Gesoğlu, M., Özturan, T. and Güneyisi, E. 2004. Shrinkage cracking of lightweight concrete made with cold-bonded fly ash aggregates. </w:t>
      </w:r>
      <w:r w:rsidRPr="000B1BE6">
        <w:rPr>
          <w:i/>
        </w:rPr>
        <w:t>Cement and Concrete Research,</w:t>
      </w:r>
      <w:r w:rsidRPr="000B1BE6">
        <w:t xml:space="preserve"> 34(7), 1121-1130.</w:t>
      </w:r>
    </w:p>
    <w:p w:rsidR="000B1BE6" w:rsidRPr="000B1BE6" w:rsidRDefault="000B1BE6" w:rsidP="000B1BE6">
      <w:pPr>
        <w:pStyle w:val="EndNoteBibliography"/>
        <w:ind w:left="720" w:hanging="720"/>
      </w:pPr>
      <w:r w:rsidRPr="000B1BE6">
        <w:lastRenderedPageBreak/>
        <w:t xml:space="preserve">González-Corrochano, B., Alonso-Azcárate, J. and Rodas, M. 2009. Characterization of lightweight aggregates manufactured from washing aggregate sludge and fly ash. </w:t>
      </w:r>
      <w:r w:rsidRPr="000B1BE6">
        <w:rPr>
          <w:i/>
        </w:rPr>
        <w:t>Resources, Conservation and Recycling,</w:t>
      </w:r>
      <w:r w:rsidRPr="000B1BE6">
        <w:t xml:space="preserve"> 53(10), 571-581.</w:t>
      </w:r>
    </w:p>
    <w:p w:rsidR="000B1BE6" w:rsidRPr="000B1BE6" w:rsidRDefault="000B1BE6" w:rsidP="000B1BE6">
      <w:pPr>
        <w:pStyle w:val="EndNoteBibliography"/>
        <w:ind w:left="720" w:hanging="720"/>
      </w:pPr>
      <w:r w:rsidRPr="000B1BE6">
        <w:t xml:space="preserve">Gunning, P. J., Hills, C. D. and Carey, P. J. 2009. Production of lightweight aggregate from industrial waste and carbon dioxide. </w:t>
      </w:r>
      <w:r w:rsidRPr="000B1BE6">
        <w:rPr>
          <w:i/>
        </w:rPr>
        <w:t>Waste Management,</w:t>
      </w:r>
      <w:r w:rsidRPr="000B1BE6">
        <w:t xml:space="preserve"> 29(10), 2722-2728.</w:t>
      </w:r>
    </w:p>
    <w:p w:rsidR="000B1BE6" w:rsidRPr="000B1BE6" w:rsidRDefault="000B1BE6" w:rsidP="000B1BE6">
      <w:pPr>
        <w:pStyle w:val="EndNoteBibliography"/>
        <w:ind w:left="720" w:hanging="720"/>
      </w:pPr>
      <w:r w:rsidRPr="000B1BE6">
        <w:t xml:space="preserve">Gunning, P. J., Hills, C. D. and Carey, P. J. 2010. Accelerated carbonation treatment of industrial wastes. </w:t>
      </w:r>
      <w:r w:rsidRPr="000B1BE6">
        <w:rPr>
          <w:i/>
        </w:rPr>
        <w:t>Waste Management,</w:t>
      </w:r>
      <w:r w:rsidRPr="000B1BE6">
        <w:t xml:space="preserve"> 30(6), 1081-1090.</w:t>
      </w:r>
    </w:p>
    <w:p w:rsidR="000B1BE6" w:rsidRPr="000B1BE6" w:rsidRDefault="000B1BE6" w:rsidP="000B1BE6">
      <w:pPr>
        <w:pStyle w:val="EndNoteBibliography"/>
        <w:ind w:left="720" w:hanging="720"/>
      </w:pPr>
      <w:r w:rsidRPr="000B1BE6">
        <w:t>Gunning, P. J.</w:t>
      </w:r>
      <w:r w:rsidRPr="000B1BE6">
        <w:rPr>
          <w:i/>
        </w:rPr>
        <w:t>, et al.</w:t>
      </w:r>
      <w:r w:rsidRPr="000B1BE6">
        <w:t xml:space="preserve">, 2012. Carbonation of MSWI APCr for re-use as a light-weight aggregate. </w:t>
      </w:r>
      <w:r w:rsidRPr="000B1BE6">
        <w:rPr>
          <w:i/>
        </w:rPr>
        <w:t>Ash Utilisation 2012 - Ashes in a Sustainable Society.</w:t>
      </w:r>
      <w:r w:rsidRPr="000B1BE6">
        <w:t xml:space="preserve"> Stockholm, Sweden.</w:t>
      </w:r>
    </w:p>
    <w:p w:rsidR="000B1BE6" w:rsidRPr="000B1BE6" w:rsidRDefault="000B1BE6" w:rsidP="000B1BE6">
      <w:pPr>
        <w:pStyle w:val="EndNoteBibliography"/>
        <w:ind w:left="720" w:hanging="720"/>
      </w:pPr>
      <w:r w:rsidRPr="000B1BE6">
        <w:t xml:space="preserve">Haque, M. N., Al-Khaiat, H. and Kayali, O. 2004. Strength and durability of lightweight concrete. </w:t>
      </w:r>
      <w:r w:rsidRPr="000B1BE6">
        <w:rPr>
          <w:i/>
        </w:rPr>
        <w:t>Cement and Concrete Composites,</w:t>
      </w:r>
      <w:r w:rsidRPr="000B1BE6">
        <w:t xml:space="preserve"> 26(4), 307-314.</w:t>
      </w:r>
    </w:p>
    <w:p w:rsidR="000B1BE6" w:rsidRPr="000B1BE6" w:rsidRDefault="000B1BE6" w:rsidP="000B1BE6">
      <w:pPr>
        <w:pStyle w:val="EndNoteBibliography"/>
        <w:ind w:left="720" w:hanging="720"/>
      </w:pPr>
      <w:r w:rsidRPr="000B1BE6">
        <w:lastRenderedPageBreak/>
        <w:t>Jamshidi, A.</w:t>
      </w:r>
      <w:r w:rsidRPr="000B1BE6">
        <w:rPr>
          <w:i/>
        </w:rPr>
        <w:t>, et al.</w:t>
      </w:r>
      <w:r w:rsidRPr="000B1BE6">
        <w:t xml:space="preserve"> 2016. Performance of pavements incorporating waste glass: The current state of the art. </w:t>
      </w:r>
      <w:r w:rsidRPr="000B1BE6">
        <w:rPr>
          <w:i/>
        </w:rPr>
        <w:t>Renewable and Sustainable Energy Reviews,</w:t>
      </w:r>
      <w:r w:rsidRPr="000B1BE6">
        <w:t xml:space="preserve"> 64(Supplement C), 211-236.</w:t>
      </w:r>
    </w:p>
    <w:p w:rsidR="000B1BE6" w:rsidRPr="000B1BE6" w:rsidRDefault="000B1BE6" w:rsidP="000B1BE6">
      <w:pPr>
        <w:pStyle w:val="EndNoteBibliography"/>
        <w:ind w:left="720" w:hanging="720"/>
      </w:pPr>
      <w:r w:rsidRPr="000B1BE6">
        <w:t>Jiajun, Y.</w:t>
      </w:r>
      <w:r w:rsidRPr="000B1BE6">
        <w:rPr>
          <w:i/>
        </w:rPr>
        <w:t>, et al.</w:t>
      </w:r>
      <w:r w:rsidRPr="000B1BE6">
        <w:t xml:space="preserve"> 2006. Effect of pre-wetted light-weight aggregate on internal relative humidity and autogenous shrinkage of concrete. </w:t>
      </w:r>
      <w:r w:rsidRPr="000B1BE6">
        <w:rPr>
          <w:i/>
        </w:rPr>
        <w:t>Journal of Wuhan University of Technology-Mater. Sci. Ed.,</w:t>
      </w:r>
      <w:r w:rsidRPr="000B1BE6">
        <w:t xml:space="preserve"> 21(1), 134-137.</w:t>
      </w:r>
    </w:p>
    <w:p w:rsidR="000B1BE6" w:rsidRPr="000B1BE6" w:rsidRDefault="000B1BE6" w:rsidP="000B1BE6">
      <w:pPr>
        <w:pStyle w:val="EndNoteBibliography"/>
        <w:ind w:left="720" w:hanging="720"/>
      </w:pPr>
      <w:r w:rsidRPr="000B1BE6">
        <w:t xml:space="preserve">Juan, K. Y., 2011. </w:t>
      </w:r>
      <w:r w:rsidRPr="000B1BE6">
        <w:rPr>
          <w:i/>
        </w:rPr>
        <w:t xml:space="preserve">Cracking Mode and Shear Strength of Lightweight Concrete Beams. </w:t>
      </w:r>
      <w:r w:rsidRPr="000B1BE6">
        <w:t>Ph.D Thesis. National University of Singapore.</w:t>
      </w:r>
    </w:p>
    <w:p w:rsidR="000B1BE6" w:rsidRPr="000B1BE6" w:rsidRDefault="000B1BE6" w:rsidP="000B1BE6">
      <w:pPr>
        <w:pStyle w:val="EndNoteBibliography"/>
        <w:ind w:left="720" w:hanging="720"/>
      </w:pPr>
      <w:r w:rsidRPr="000B1BE6">
        <w:t xml:space="preserve">Kockal, N. U. and Ozturan, T. 2010. Effects of lightweight fly ash aggregate properties on the behavior of lightweight concretes. </w:t>
      </w:r>
      <w:r w:rsidRPr="000B1BE6">
        <w:rPr>
          <w:i/>
        </w:rPr>
        <w:t>Journal of Hazardous Materials,</w:t>
      </w:r>
      <w:r w:rsidRPr="000B1BE6">
        <w:t xml:space="preserve"> 179(1), 954-965.</w:t>
      </w:r>
    </w:p>
    <w:p w:rsidR="000B1BE6" w:rsidRPr="000B1BE6" w:rsidRDefault="000B1BE6" w:rsidP="000B1BE6">
      <w:pPr>
        <w:pStyle w:val="EndNoteBibliography"/>
        <w:ind w:left="720" w:hanging="720"/>
      </w:pPr>
      <w:r w:rsidRPr="000B1BE6">
        <w:t xml:space="preserve">Kockal, N. U. and Ozturan, T. 2011. Durability of lightweight concretes with lightweight fly ash aggregates. </w:t>
      </w:r>
      <w:r w:rsidRPr="000B1BE6">
        <w:rPr>
          <w:i/>
        </w:rPr>
        <w:t>Construction and Building Materials,</w:t>
      </w:r>
      <w:r w:rsidRPr="000B1BE6">
        <w:t xml:space="preserve"> 25(3), 1430-1438.</w:t>
      </w:r>
    </w:p>
    <w:p w:rsidR="000B1BE6" w:rsidRPr="000B1BE6" w:rsidRDefault="000B1BE6" w:rsidP="000B1BE6">
      <w:pPr>
        <w:pStyle w:val="EndNoteBibliography"/>
        <w:ind w:left="720" w:hanging="720"/>
      </w:pPr>
      <w:r w:rsidRPr="000B1BE6">
        <w:lastRenderedPageBreak/>
        <w:t xml:space="preserve">Kumar, K., 2014. Review on Permeable Pavement Systems. </w:t>
      </w:r>
      <w:r w:rsidRPr="000B1BE6">
        <w:rPr>
          <w:i/>
        </w:rPr>
        <w:t xml:space="preserve">11th Transportation planning and methodologies for developing countries </w:t>
      </w:r>
      <w:r w:rsidRPr="000B1BE6">
        <w:t>Bombay.</w:t>
      </w:r>
    </w:p>
    <w:p w:rsidR="000B1BE6" w:rsidRPr="000B1BE6" w:rsidRDefault="000B1BE6" w:rsidP="000B1BE6">
      <w:pPr>
        <w:pStyle w:val="EndNoteBibliography"/>
        <w:ind w:left="720" w:hanging="720"/>
      </w:pPr>
      <w:r w:rsidRPr="000B1BE6">
        <w:t xml:space="preserve">Lalla, J. R. F. and Mwasha, A. 2014. Investigating the Compressive Strengths of Guanapo Recycled Aggregate Concrete as Compared to that of its Waste Material. </w:t>
      </w:r>
      <w:r w:rsidRPr="000B1BE6">
        <w:rPr>
          <w:i/>
        </w:rPr>
        <w:t>West Indian Journal of Engineering,</w:t>
      </w:r>
      <w:r w:rsidRPr="000B1BE6">
        <w:t xml:space="preserve"> 36(2), 1.</w:t>
      </w:r>
    </w:p>
    <w:p w:rsidR="000B1BE6" w:rsidRPr="000B1BE6" w:rsidRDefault="000B1BE6" w:rsidP="000B1BE6">
      <w:pPr>
        <w:pStyle w:val="EndNoteBibliography"/>
        <w:ind w:left="720" w:hanging="720"/>
      </w:pPr>
      <w:r w:rsidRPr="000B1BE6">
        <w:t>Li, X.</w:t>
      </w:r>
      <w:r w:rsidRPr="000B1BE6">
        <w:rPr>
          <w:i/>
        </w:rPr>
        <w:t>, et al.</w:t>
      </w:r>
      <w:r w:rsidRPr="000B1BE6">
        <w:t xml:space="preserve"> 2007. Accelerated carbonation of municipal solid waste incineration fly ashes. </w:t>
      </w:r>
      <w:r w:rsidRPr="000B1BE6">
        <w:rPr>
          <w:i/>
        </w:rPr>
        <w:t>Waste Management,</w:t>
      </w:r>
      <w:r w:rsidRPr="000B1BE6">
        <w:t xml:space="preserve"> 27(9), 1200-1206.</w:t>
      </w:r>
    </w:p>
    <w:p w:rsidR="000B1BE6" w:rsidRPr="000B1BE6" w:rsidRDefault="000B1BE6" w:rsidP="000B1BE6">
      <w:pPr>
        <w:pStyle w:val="EndNoteBibliography"/>
        <w:ind w:left="720" w:hanging="720"/>
      </w:pPr>
      <w:r w:rsidRPr="000B1BE6">
        <w:t>Lo, T. Y.</w:t>
      </w:r>
      <w:r w:rsidRPr="000B1BE6">
        <w:rPr>
          <w:i/>
        </w:rPr>
        <w:t>, et al.</w:t>
      </w:r>
      <w:r w:rsidRPr="000B1BE6">
        <w:t xml:space="preserve"> 2016. Manufacturing of sintered lightweight aggregate using high-carbon fly ash and its effect on the mechanical properties and microstructure of concrete. </w:t>
      </w:r>
      <w:r w:rsidRPr="000B1BE6">
        <w:rPr>
          <w:i/>
        </w:rPr>
        <w:t>Journal of Cleaner Production,</w:t>
      </w:r>
      <w:r w:rsidRPr="000B1BE6">
        <w:t xml:space="preserve"> 112, 753-762.</w:t>
      </w:r>
    </w:p>
    <w:p w:rsidR="000B1BE6" w:rsidRPr="000B1BE6" w:rsidRDefault="000B1BE6" w:rsidP="000B1BE6">
      <w:pPr>
        <w:pStyle w:val="EndNoteBibliography"/>
        <w:ind w:left="720" w:hanging="720"/>
      </w:pPr>
      <w:r w:rsidRPr="000B1BE6">
        <w:t xml:space="preserve">Monrose, J. and Tota-Maharaj, K. 2018. Technological Review of Permeable Pavement Systems for Applications in Small Island Developing States. </w:t>
      </w:r>
      <w:r w:rsidRPr="000B1BE6">
        <w:rPr>
          <w:i/>
        </w:rPr>
        <w:t>CLEAN – Soil, Air, Water,</w:t>
      </w:r>
      <w:r w:rsidRPr="000B1BE6">
        <w:t xml:space="preserve"> 46(9), 16.</w:t>
      </w:r>
    </w:p>
    <w:p w:rsidR="000B1BE6" w:rsidRPr="000B1BE6" w:rsidRDefault="000B1BE6" w:rsidP="000B1BE6">
      <w:pPr>
        <w:pStyle w:val="EndNoteBibliography"/>
        <w:ind w:left="720" w:hanging="720"/>
      </w:pPr>
      <w:r w:rsidRPr="000B1BE6">
        <w:lastRenderedPageBreak/>
        <w:t xml:space="preserve">Murugan, R. B., Natarajan, C. and Chen, S.-E. 2016. Material development for a sustainable precast concrete block pavement. </w:t>
      </w:r>
      <w:r w:rsidRPr="000B1BE6">
        <w:rPr>
          <w:i/>
        </w:rPr>
        <w:t>Journal of Traffic and Transportation Engineering (English Edition),</w:t>
      </w:r>
      <w:r w:rsidRPr="000B1BE6">
        <w:t xml:space="preserve"> 3(5), 483-491.</w:t>
      </w:r>
    </w:p>
    <w:p w:rsidR="000B1BE6" w:rsidRPr="000B1BE6" w:rsidRDefault="000B1BE6" w:rsidP="000B1BE6">
      <w:pPr>
        <w:pStyle w:val="EndNoteBibliography"/>
        <w:ind w:left="720" w:hanging="720"/>
      </w:pPr>
      <w:r w:rsidRPr="000B1BE6">
        <w:t xml:space="preserve">Mwasha, A. 2009. Natural and Recycled Guanapo Quarzite Aggregates for Ready Mix Concrete. </w:t>
      </w:r>
      <w:r w:rsidRPr="000B1BE6">
        <w:rPr>
          <w:i/>
        </w:rPr>
        <w:t>The Journal of the Association of Professional Engineers of Trinidad and Tobago,</w:t>
      </w:r>
      <w:r w:rsidRPr="000B1BE6">
        <w:t xml:space="preserve"> 38(1), 50-56.</w:t>
      </w:r>
    </w:p>
    <w:p w:rsidR="000B1BE6" w:rsidRPr="000B1BE6" w:rsidRDefault="000B1BE6" w:rsidP="000B1BE6">
      <w:pPr>
        <w:pStyle w:val="EndNoteBibliography"/>
        <w:ind w:left="720" w:hanging="720"/>
      </w:pPr>
      <w:r w:rsidRPr="000B1BE6">
        <w:t xml:space="preserve">Poon, C. S. and Chan, D. 2006. Paving blocks made with recycled concrete aggregate and crushed clay brick. </w:t>
      </w:r>
      <w:r w:rsidRPr="000B1BE6">
        <w:rPr>
          <w:i/>
        </w:rPr>
        <w:t>Construction and Building Materials,</w:t>
      </w:r>
      <w:r w:rsidRPr="000B1BE6">
        <w:t xml:space="preserve"> 20(8), 569-577.</w:t>
      </w:r>
    </w:p>
    <w:p w:rsidR="000B1BE6" w:rsidRPr="000B1BE6" w:rsidRDefault="000B1BE6" w:rsidP="000B1BE6">
      <w:pPr>
        <w:pStyle w:val="EndNoteBibliography"/>
        <w:ind w:left="720" w:hanging="720"/>
      </w:pPr>
      <w:r w:rsidRPr="000B1BE6">
        <w:t xml:space="preserve">Rao, A., Jha, K. N. and Misra, S. 2007. Use of aggregates from recycled construction and demolition waste in concrete. </w:t>
      </w:r>
      <w:r w:rsidRPr="000B1BE6">
        <w:rPr>
          <w:i/>
        </w:rPr>
        <w:t>Resources, Conservation and Recycling,</w:t>
      </w:r>
      <w:r w:rsidRPr="000B1BE6">
        <w:t xml:space="preserve"> 50(1), 71-81.</w:t>
      </w:r>
    </w:p>
    <w:p w:rsidR="000B1BE6" w:rsidRPr="000B1BE6" w:rsidRDefault="000B1BE6" w:rsidP="000B1BE6">
      <w:pPr>
        <w:pStyle w:val="EndNoteBibliography"/>
        <w:ind w:left="720" w:hanging="720"/>
      </w:pPr>
      <w:r w:rsidRPr="000B1BE6">
        <w:t>Terzić, A.</w:t>
      </w:r>
      <w:r w:rsidRPr="000B1BE6">
        <w:rPr>
          <w:i/>
        </w:rPr>
        <w:t>, et al.</w:t>
      </w:r>
      <w:r w:rsidRPr="000B1BE6">
        <w:t xml:space="preserve"> 2015. Artificial fly ash based aggregates properties influence on lightweight </w:t>
      </w:r>
      <w:r w:rsidRPr="000B1BE6">
        <w:lastRenderedPageBreak/>
        <w:t xml:space="preserve">concrete performances. </w:t>
      </w:r>
      <w:r w:rsidRPr="000B1BE6">
        <w:rPr>
          <w:i/>
        </w:rPr>
        <w:t>Ceramics International,</w:t>
      </w:r>
      <w:r w:rsidRPr="000B1BE6">
        <w:t xml:space="preserve"> 41(2, Part B), 2714-2726.</w:t>
      </w:r>
    </w:p>
    <w:p w:rsidR="000B1BE6" w:rsidRPr="000B1BE6" w:rsidRDefault="000B1BE6" w:rsidP="000B1BE6">
      <w:pPr>
        <w:pStyle w:val="EndNoteBibliography"/>
        <w:ind w:left="720" w:hanging="720"/>
      </w:pPr>
      <w:r w:rsidRPr="000B1BE6">
        <w:t xml:space="preserve">Wattanasiriwech, D., Saiton, A. and Wattanasiriwech, S. 2009. Paving blocks from ceramic tile production waste. </w:t>
      </w:r>
      <w:r w:rsidRPr="000B1BE6">
        <w:rPr>
          <w:i/>
        </w:rPr>
        <w:t>Journal of Cleaner Production,</w:t>
      </w:r>
      <w:r w:rsidRPr="000B1BE6">
        <w:t xml:space="preserve"> 17(18), 1663-1668.</w:t>
      </w:r>
    </w:p>
    <w:p w:rsidR="00FF2E55" w:rsidRPr="00FF2E55" w:rsidRDefault="00603933" w:rsidP="00876F4B">
      <w:pPr>
        <w:pStyle w:val="References"/>
      </w:pPr>
      <w:r>
        <w:fldChar w:fldCharType="end"/>
      </w:r>
    </w:p>
    <w:sectPr w:rsidR="00FF2E55" w:rsidRPr="00FF2E55" w:rsidSect="002C0CB5">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54A" w:rsidRDefault="0087554A" w:rsidP="00AF2C92">
      <w:r>
        <w:separator/>
      </w:r>
    </w:p>
  </w:endnote>
  <w:endnote w:type="continuationSeparator" w:id="0">
    <w:p w:rsidR="0087554A" w:rsidRDefault="0087554A"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54A" w:rsidRDefault="0087554A" w:rsidP="00AF2C92">
      <w:r>
        <w:separator/>
      </w:r>
    </w:p>
  </w:footnote>
  <w:footnote w:type="continuationSeparator" w:id="0">
    <w:p w:rsidR="0087554A" w:rsidRDefault="0087554A" w:rsidP="00AF2C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CC454E"/>
    <w:multiLevelType w:val="hybridMultilevel"/>
    <w:tmpl w:val="123CF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7C238B"/>
    <w:multiLevelType w:val="hybridMultilevel"/>
    <w:tmpl w:val="ACD4D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1082C63"/>
    <w:multiLevelType w:val="hybridMultilevel"/>
    <w:tmpl w:val="B922DD5A"/>
    <w:lvl w:ilvl="0" w:tplc="0F98AD8E">
      <w:numFmt w:val="decimal"/>
      <w:lvlText w:val="(%1)"/>
      <w:lvlJc w:val="left"/>
      <w:pPr>
        <w:ind w:left="1530" w:hanging="72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7D738FA"/>
    <w:multiLevelType w:val="hybridMultilevel"/>
    <w:tmpl w:val="186E7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286BEE"/>
    <w:multiLevelType w:val="hybridMultilevel"/>
    <w:tmpl w:val="AC967A82"/>
    <w:lvl w:ilvl="0" w:tplc="B0F8B3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3"/>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0"/>
  </w:num>
  <w:num w:numId="14">
    <w:abstractNumId w:val="24"/>
  </w:num>
  <w:num w:numId="15">
    <w:abstractNumId w:val="16"/>
  </w:num>
  <w:num w:numId="16">
    <w:abstractNumId w:val="19"/>
  </w:num>
  <w:num w:numId="17">
    <w:abstractNumId w:val="11"/>
  </w:num>
  <w:num w:numId="18">
    <w:abstractNumId w:val="0"/>
  </w:num>
  <w:num w:numId="19">
    <w:abstractNumId w:val="12"/>
  </w:num>
  <w:num w:numId="20">
    <w:abstractNumId w:val="24"/>
  </w:num>
  <w:num w:numId="21">
    <w:abstractNumId w:val="24"/>
  </w:num>
  <w:num w:numId="22">
    <w:abstractNumId w:val="24"/>
  </w:num>
  <w:num w:numId="23">
    <w:abstractNumId w:val="24"/>
  </w:num>
  <w:num w:numId="24">
    <w:abstractNumId w:val="20"/>
  </w:num>
  <w:num w:numId="25">
    <w:abstractNumId w:val="21"/>
  </w:num>
  <w:num w:numId="26">
    <w:abstractNumId w:val="25"/>
  </w:num>
  <w:num w:numId="27">
    <w:abstractNumId w:val="27"/>
  </w:num>
  <w:num w:numId="28">
    <w:abstractNumId w:val="24"/>
  </w:num>
  <w:num w:numId="29">
    <w:abstractNumId w:val="15"/>
  </w:num>
  <w:num w:numId="30">
    <w:abstractNumId w:val="28"/>
  </w:num>
  <w:num w:numId="31">
    <w:abstractNumId w:val="22"/>
  </w:num>
  <w:num w:numId="32">
    <w:abstractNumId w:val="26"/>
  </w:num>
  <w:num w:numId="33">
    <w:abstractNumId w:val="18"/>
  </w:num>
  <w:num w:numId="34">
    <w:abstractNumId w:val="1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F-V Harvard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a5fvaw7f5peyeeez7xawr9wzraf29tswtp&quot;&gt;PhD Library-Saved-Saved&lt;record-ids&gt;&lt;item&gt;4&lt;/item&gt;&lt;item&gt;8&lt;/item&gt;&lt;item&gt;49&lt;/item&gt;&lt;item&gt;148&lt;/item&gt;&lt;item&gt;164&lt;/item&gt;&lt;item&gt;165&lt;/item&gt;&lt;item&gt;256&lt;/item&gt;&lt;item&gt;257&lt;/item&gt;&lt;item&gt;258&lt;/item&gt;&lt;item&gt;259&lt;/item&gt;&lt;item&gt;261&lt;/item&gt;&lt;item&gt;268&lt;/item&gt;&lt;item&gt;276&lt;/item&gt;&lt;item&gt;283&lt;/item&gt;&lt;item&gt;346&lt;/item&gt;&lt;item&gt;347&lt;/item&gt;&lt;item&gt;359&lt;/item&gt;&lt;item&gt;364&lt;/item&gt;&lt;item&gt;370&lt;/item&gt;&lt;item&gt;371&lt;/item&gt;&lt;item&gt;397&lt;/item&gt;&lt;item&gt;399&lt;/item&gt;&lt;item&gt;400&lt;/item&gt;&lt;item&gt;401&lt;/item&gt;&lt;item&gt;402&lt;/item&gt;&lt;item&gt;403&lt;/item&gt;&lt;item&gt;404&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8&lt;/item&gt;&lt;item&gt;429&lt;/item&gt;&lt;/record-ids&gt;&lt;/item&gt;&lt;/Libraries&gt;"/>
  </w:docVars>
  <w:rsids>
    <w:rsidRoot w:val="0091159A"/>
    <w:rsid w:val="00001899"/>
    <w:rsid w:val="00002711"/>
    <w:rsid w:val="000049AD"/>
    <w:rsid w:val="0000681B"/>
    <w:rsid w:val="000133C0"/>
    <w:rsid w:val="00014C4E"/>
    <w:rsid w:val="00017107"/>
    <w:rsid w:val="000202E2"/>
    <w:rsid w:val="00022441"/>
    <w:rsid w:val="0002261E"/>
    <w:rsid w:val="00024839"/>
    <w:rsid w:val="00026871"/>
    <w:rsid w:val="00033DBF"/>
    <w:rsid w:val="00034650"/>
    <w:rsid w:val="00037A98"/>
    <w:rsid w:val="000427FB"/>
    <w:rsid w:val="0004455E"/>
    <w:rsid w:val="00047CB5"/>
    <w:rsid w:val="00051951"/>
    <w:rsid w:val="00051FAA"/>
    <w:rsid w:val="000572A9"/>
    <w:rsid w:val="00061325"/>
    <w:rsid w:val="00067014"/>
    <w:rsid w:val="00072796"/>
    <w:rsid w:val="000733AC"/>
    <w:rsid w:val="00074B81"/>
    <w:rsid w:val="00074D22"/>
    <w:rsid w:val="00075081"/>
    <w:rsid w:val="0007528A"/>
    <w:rsid w:val="000811AB"/>
    <w:rsid w:val="00083C5F"/>
    <w:rsid w:val="00085ABA"/>
    <w:rsid w:val="0009172C"/>
    <w:rsid w:val="000930EC"/>
    <w:rsid w:val="00095E61"/>
    <w:rsid w:val="000966C1"/>
    <w:rsid w:val="000970AC"/>
    <w:rsid w:val="000A1167"/>
    <w:rsid w:val="000A4428"/>
    <w:rsid w:val="000A6D40"/>
    <w:rsid w:val="000A7BC3"/>
    <w:rsid w:val="000B1661"/>
    <w:rsid w:val="000B1BE6"/>
    <w:rsid w:val="000B1F0B"/>
    <w:rsid w:val="000B2E88"/>
    <w:rsid w:val="000B4603"/>
    <w:rsid w:val="000B5D1C"/>
    <w:rsid w:val="000C09BE"/>
    <w:rsid w:val="000C1380"/>
    <w:rsid w:val="000C25D6"/>
    <w:rsid w:val="000C554F"/>
    <w:rsid w:val="000C6275"/>
    <w:rsid w:val="000D03AF"/>
    <w:rsid w:val="000D0DC5"/>
    <w:rsid w:val="000D15FF"/>
    <w:rsid w:val="000D28DF"/>
    <w:rsid w:val="000D488B"/>
    <w:rsid w:val="000D68DF"/>
    <w:rsid w:val="000E138D"/>
    <w:rsid w:val="000E187A"/>
    <w:rsid w:val="000E190F"/>
    <w:rsid w:val="000E2D61"/>
    <w:rsid w:val="000E450E"/>
    <w:rsid w:val="000E6259"/>
    <w:rsid w:val="000F1E7B"/>
    <w:rsid w:val="000F2D7E"/>
    <w:rsid w:val="000F4677"/>
    <w:rsid w:val="000F5BE0"/>
    <w:rsid w:val="00100587"/>
    <w:rsid w:val="0010123E"/>
    <w:rsid w:val="0010284E"/>
    <w:rsid w:val="00103122"/>
    <w:rsid w:val="0010336A"/>
    <w:rsid w:val="001050F1"/>
    <w:rsid w:val="00105AEA"/>
    <w:rsid w:val="00106DAF"/>
    <w:rsid w:val="00112BE7"/>
    <w:rsid w:val="00114ABE"/>
    <w:rsid w:val="00116023"/>
    <w:rsid w:val="00131ACC"/>
    <w:rsid w:val="00134A51"/>
    <w:rsid w:val="00140727"/>
    <w:rsid w:val="0014569C"/>
    <w:rsid w:val="00160628"/>
    <w:rsid w:val="00161344"/>
    <w:rsid w:val="00162195"/>
    <w:rsid w:val="0016322A"/>
    <w:rsid w:val="00165A21"/>
    <w:rsid w:val="00166123"/>
    <w:rsid w:val="00166796"/>
    <w:rsid w:val="001705CE"/>
    <w:rsid w:val="00172078"/>
    <w:rsid w:val="00175C42"/>
    <w:rsid w:val="0017714B"/>
    <w:rsid w:val="001804DF"/>
    <w:rsid w:val="00181057"/>
    <w:rsid w:val="00181347"/>
    <w:rsid w:val="001815DC"/>
    <w:rsid w:val="00181974"/>
    <w:rsid w:val="00181BDC"/>
    <w:rsid w:val="00181DB0"/>
    <w:rsid w:val="001829E3"/>
    <w:rsid w:val="00187A97"/>
    <w:rsid w:val="001924C0"/>
    <w:rsid w:val="0019731E"/>
    <w:rsid w:val="001A09FE"/>
    <w:rsid w:val="001A67C9"/>
    <w:rsid w:val="001A69DE"/>
    <w:rsid w:val="001A713C"/>
    <w:rsid w:val="001A7CD6"/>
    <w:rsid w:val="001B1C7C"/>
    <w:rsid w:val="001B398F"/>
    <w:rsid w:val="001B46C6"/>
    <w:rsid w:val="001B4B48"/>
    <w:rsid w:val="001B4D1F"/>
    <w:rsid w:val="001B7681"/>
    <w:rsid w:val="001B7CAE"/>
    <w:rsid w:val="001C0691"/>
    <w:rsid w:val="001C0772"/>
    <w:rsid w:val="001C0D4F"/>
    <w:rsid w:val="001C1BA3"/>
    <w:rsid w:val="001C1DEC"/>
    <w:rsid w:val="001C5736"/>
    <w:rsid w:val="001D0F74"/>
    <w:rsid w:val="001D5B4A"/>
    <w:rsid w:val="001D647F"/>
    <w:rsid w:val="001D6857"/>
    <w:rsid w:val="001E0572"/>
    <w:rsid w:val="001E0A67"/>
    <w:rsid w:val="001E1028"/>
    <w:rsid w:val="001E14E2"/>
    <w:rsid w:val="001E2C49"/>
    <w:rsid w:val="001E45E3"/>
    <w:rsid w:val="001E4880"/>
    <w:rsid w:val="001E6302"/>
    <w:rsid w:val="001E7DCB"/>
    <w:rsid w:val="001F3411"/>
    <w:rsid w:val="001F4287"/>
    <w:rsid w:val="001F4DBA"/>
    <w:rsid w:val="0020415E"/>
    <w:rsid w:val="00204FF4"/>
    <w:rsid w:val="0021056E"/>
    <w:rsid w:val="0021075D"/>
    <w:rsid w:val="0021165A"/>
    <w:rsid w:val="00211BC9"/>
    <w:rsid w:val="00212602"/>
    <w:rsid w:val="0021620C"/>
    <w:rsid w:val="00216E78"/>
    <w:rsid w:val="00217275"/>
    <w:rsid w:val="002211DD"/>
    <w:rsid w:val="00226952"/>
    <w:rsid w:val="00236F4B"/>
    <w:rsid w:val="002410C6"/>
    <w:rsid w:val="00242B0D"/>
    <w:rsid w:val="002467C6"/>
    <w:rsid w:val="0024692A"/>
    <w:rsid w:val="00251C5F"/>
    <w:rsid w:val="00251ED1"/>
    <w:rsid w:val="00252BBA"/>
    <w:rsid w:val="00253123"/>
    <w:rsid w:val="0026068D"/>
    <w:rsid w:val="00264001"/>
    <w:rsid w:val="00266354"/>
    <w:rsid w:val="00267A18"/>
    <w:rsid w:val="00273462"/>
    <w:rsid w:val="0027395B"/>
    <w:rsid w:val="00274395"/>
    <w:rsid w:val="00275854"/>
    <w:rsid w:val="00283B41"/>
    <w:rsid w:val="00285F28"/>
    <w:rsid w:val="00286398"/>
    <w:rsid w:val="002A3C42"/>
    <w:rsid w:val="002A5D75"/>
    <w:rsid w:val="002B0C3F"/>
    <w:rsid w:val="002B1B1A"/>
    <w:rsid w:val="002B7228"/>
    <w:rsid w:val="002C0CB5"/>
    <w:rsid w:val="002C53EE"/>
    <w:rsid w:val="002D24F7"/>
    <w:rsid w:val="002D2799"/>
    <w:rsid w:val="002D2CD7"/>
    <w:rsid w:val="002D4DDC"/>
    <w:rsid w:val="002D4F75"/>
    <w:rsid w:val="002D6493"/>
    <w:rsid w:val="002D7AB6"/>
    <w:rsid w:val="002E06D0"/>
    <w:rsid w:val="002E2F2D"/>
    <w:rsid w:val="002E3C27"/>
    <w:rsid w:val="002E403A"/>
    <w:rsid w:val="002E56B7"/>
    <w:rsid w:val="002E7F3A"/>
    <w:rsid w:val="002F4EDB"/>
    <w:rsid w:val="002F6054"/>
    <w:rsid w:val="00302AF5"/>
    <w:rsid w:val="00310E13"/>
    <w:rsid w:val="00315713"/>
    <w:rsid w:val="0031686C"/>
    <w:rsid w:val="00316FE0"/>
    <w:rsid w:val="0032010B"/>
    <w:rsid w:val="003204D2"/>
    <w:rsid w:val="0032605E"/>
    <w:rsid w:val="003275D1"/>
    <w:rsid w:val="00330B2A"/>
    <w:rsid w:val="00331E17"/>
    <w:rsid w:val="00333063"/>
    <w:rsid w:val="00336C3C"/>
    <w:rsid w:val="003408E3"/>
    <w:rsid w:val="00343480"/>
    <w:rsid w:val="00345E89"/>
    <w:rsid w:val="003522A1"/>
    <w:rsid w:val="0035254B"/>
    <w:rsid w:val="00353555"/>
    <w:rsid w:val="003565D4"/>
    <w:rsid w:val="003607FB"/>
    <w:rsid w:val="00360FD5"/>
    <w:rsid w:val="0036340D"/>
    <w:rsid w:val="003634A5"/>
    <w:rsid w:val="003642B8"/>
    <w:rsid w:val="00366868"/>
    <w:rsid w:val="00367506"/>
    <w:rsid w:val="00370085"/>
    <w:rsid w:val="003744A7"/>
    <w:rsid w:val="00376235"/>
    <w:rsid w:val="00381FB6"/>
    <w:rsid w:val="003836D3"/>
    <w:rsid w:val="00383A52"/>
    <w:rsid w:val="00391652"/>
    <w:rsid w:val="0039507F"/>
    <w:rsid w:val="003A1260"/>
    <w:rsid w:val="003A295F"/>
    <w:rsid w:val="003A41DD"/>
    <w:rsid w:val="003A645D"/>
    <w:rsid w:val="003A7033"/>
    <w:rsid w:val="003B3BC8"/>
    <w:rsid w:val="003B47FE"/>
    <w:rsid w:val="003B5673"/>
    <w:rsid w:val="003B6287"/>
    <w:rsid w:val="003B62C9"/>
    <w:rsid w:val="003B728F"/>
    <w:rsid w:val="003C7176"/>
    <w:rsid w:val="003D0929"/>
    <w:rsid w:val="003D0D6B"/>
    <w:rsid w:val="003D250A"/>
    <w:rsid w:val="003D4729"/>
    <w:rsid w:val="003D6D70"/>
    <w:rsid w:val="003D7DD6"/>
    <w:rsid w:val="003E5AAF"/>
    <w:rsid w:val="003E600D"/>
    <w:rsid w:val="003E64DF"/>
    <w:rsid w:val="003E6A5D"/>
    <w:rsid w:val="003F193A"/>
    <w:rsid w:val="003F4207"/>
    <w:rsid w:val="003F5C46"/>
    <w:rsid w:val="003F75D4"/>
    <w:rsid w:val="003F7CBB"/>
    <w:rsid w:val="003F7D34"/>
    <w:rsid w:val="00403E91"/>
    <w:rsid w:val="004115E1"/>
    <w:rsid w:val="00412C8E"/>
    <w:rsid w:val="0041518D"/>
    <w:rsid w:val="0042221D"/>
    <w:rsid w:val="00424DD3"/>
    <w:rsid w:val="004269C5"/>
    <w:rsid w:val="00435939"/>
    <w:rsid w:val="00437CC7"/>
    <w:rsid w:val="00442B9C"/>
    <w:rsid w:val="00444B03"/>
    <w:rsid w:val="00445EFA"/>
    <w:rsid w:val="0044738A"/>
    <w:rsid w:val="004473D3"/>
    <w:rsid w:val="00452231"/>
    <w:rsid w:val="00460C13"/>
    <w:rsid w:val="00463228"/>
    <w:rsid w:val="00463782"/>
    <w:rsid w:val="004667E0"/>
    <w:rsid w:val="0046760E"/>
    <w:rsid w:val="00470E10"/>
    <w:rsid w:val="00477A97"/>
    <w:rsid w:val="00480676"/>
    <w:rsid w:val="00480F27"/>
    <w:rsid w:val="00481343"/>
    <w:rsid w:val="0048549E"/>
    <w:rsid w:val="00486967"/>
    <w:rsid w:val="00492595"/>
    <w:rsid w:val="004930C6"/>
    <w:rsid w:val="00493347"/>
    <w:rsid w:val="00496092"/>
    <w:rsid w:val="004A08DB"/>
    <w:rsid w:val="004A25D0"/>
    <w:rsid w:val="004A37E8"/>
    <w:rsid w:val="004A59A3"/>
    <w:rsid w:val="004A7549"/>
    <w:rsid w:val="004B09D4"/>
    <w:rsid w:val="004B309D"/>
    <w:rsid w:val="004B330A"/>
    <w:rsid w:val="004B7C8E"/>
    <w:rsid w:val="004C3D3C"/>
    <w:rsid w:val="004D0EDC"/>
    <w:rsid w:val="004D1220"/>
    <w:rsid w:val="004D14B3"/>
    <w:rsid w:val="004D1529"/>
    <w:rsid w:val="004D2253"/>
    <w:rsid w:val="004D2853"/>
    <w:rsid w:val="004D485C"/>
    <w:rsid w:val="004D5514"/>
    <w:rsid w:val="004D56C3"/>
    <w:rsid w:val="004E0338"/>
    <w:rsid w:val="004E1180"/>
    <w:rsid w:val="004E4FF3"/>
    <w:rsid w:val="004E56A8"/>
    <w:rsid w:val="004F3B55"/>
    <w:rsid w:val="004F428E"/>
    <w:rsid w:val="004F4E46"/>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68EB"/>
    <w:rsid w:val="005476FA"/>
    <w:rsid w:val="0055595E"/>
    <w:rsid w:val="00557988"/>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A1F54"/>
    <w:rsid w:val="005A3020"/>
    <w:rsid w:val="005A46A0"/>
    <w:rsid w:val="005B134E"/>
    <w:rsid w:val="005B2039"/>
    <w:rsid w:val="005B344F"/>
    <w:rsid w:val="005B3FBA"/>
    <w:rsid w:val="005B4A1D"/>
    <w:rsid w:val="005B674D"/>
    <w:rsid w:val="005B7326"/>
    <w:rsid w:val="005C056D"/>
    <w:rsid w:val="005C0CBE"/>
    <w:rsid w:val="005C1FCF"/>
    <w:rsid w:val="005C3F41"/>
    <w:rsid w:val="005D1885"/>
    <w:rsid w:val="005D4A38"/>
    <w:rsid w:val="005E2EEA"/>
    <w:rsid w:val="005E3708"/>
    <w:rsid w:val="005E3CCD"/>
    <w:rsid w:val="005E3D6B"/>
    <w:rsid w:val="005E5B55"/>
    <w:rsid w:val="005E5D75"/>
    <w:rsid w:val="005E5E4A"/>
    <w:rsid w:val="005E693D"/>
    <w:rsid w:val="005E75BF"/>
    <w:rsid w:val="005F1346"/>
    <w:rsid w:val="005F57BA"/>
    <w:rsid w:val="005F61E6"/>
    <w:rsid w:val="005F6C45"/>
    <w:rsid w:val="005F704C"/>
    <w:rsid w:val="006009C8"/>
    <w:rsid w:val="00602943"/>
    <w:rsid w:val="00603933"/>
    <w:rsid w:val="00605A69"/>
    <w:rsid w:val="00606C54"/>
    <w:rsid w:val="00612919"/>
    <w:rsid w:val="00614375"/>
    <w:rsid w:val="00615B0A"/>
    <w:rsid w:val="006168CF"/>
    <w:rsid w:val="0062011B"/>
    <w:rsid w:val="00626DE0"/>
    <w:rsid w:val="00630901"/>
    <w:rsid w:val="00631F8E"/>
    <w:rsid w:val="00636EE9"/>
    <w:rsid w:val="00640950"/>
    <w:rsid w:val="00641AE7"/>
    <w:rsid w:val="00642629"/>
    <w:rsid w:val="0064782B"/>
    <w:rsid w:val="0065293D"/>
    <w:rsid w:val="00653EFC"/>
    <w:rsid w:val="00654021"/>
    <w:rsid w:val="00661045"/>
    <w:rsid w:val="00665D66"/>
    <w:rsid w:val="00666DA8"/>
    <w:rsid w:val="00671057"/>
    <w:rsid w:val="0067462F"/>
    <w:rsid w:val="00675AAF"/>
    <w:rsid w:val="0068031A"/>
    <w:rsid w:val="00681B2F"/>
    <w:rsid w:val="0068335F"/>
    <w:rsid w:val="00687217"/>
    <w:rsid w:val="00692F03"/>
    <w:rsid w:val="00693302"/>
    <w:rsid w:val="0069640B"/>
    <w:rsid w:val="00697976"/>
    <w:rsid w:val="006A1B83"/>
    <w:rsid w:val="006A21CD"/>
    <w:rsid w:val="006A5918"/>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4C"/>
    <w:rsid w:val="006E325A"/>
    <w:rsid w:val="006E33EC"/>
    <w:rsid w:val="006E3802"/>
    <w:rsid w:val="006E6C02"/>
    <w:rsid w:val="006F131E"/>
    <w:rsid w:val="006F231A"/>
    <w:rsid w:val="006F6B55"/>
    <w:rsid w:val="006F788D"/>
    <w:rsid w:val="006F78E1"/>
    <w:rsid w:val="006F7C78"/>
    <w:rsid w:val="00701072"/>
    <w:rsid w:val="00702054"/>
    <w:rsid w:val="007035A4"/>
    <w:rsid w:val="00707585"/>
    <w:rsid w:val="00711799"/>
    <w:rsid w:val="00712B78"/>
    <w:rsid w:val="0071393B"/>
    <w:rsid w:val="00713EE2"/>
    <w:rsid w:val="007157F6"/>
    <w:rsid w:val="007177FC"/>
    <w:rsid w:val="00720C5E"/>
    <w:rsid w:val="00721701"/>
    <w:rsid w:val="00731835"/>
    <w:rsid w:val="0073415B"/>
    <w:rsid w:val="007341F8"/>
    <w:rsid w:val="00734372"/>
    <w:rsid w:val="00734EB8"/>
    <w:rsid w:val="00734F79"/>
    <w:rsid w:val="00735F8B"/>
    <w:rsid w:val="0074090B"/>
    <w:rsid w:val="00742122"/>
    <w:rsid w:val="00742D1F"/>
    <w:rsid w:val="00743EBA"/>
    <w:rsid w:val="00744C8E"/>
    <w:rsid w:val="007454E8"/>
    <w:rsid w:val="0074707E"/>
    <w:rsid w:val="00747BFA"/>
    <w:rsid w:val="007516DC"/>
    <w:rsid w:val="00752E58"/>
    <w:rsid w:val="00754B80"/>
    <w:rsid w:val="00755F0F"/>
    <w:rsid w:val="007568C6"/>
    <w:rsid w:val="00760400"/>
    <w:rsid w:val="00761918"/>
    <w:rsid w:val="00762F03"/>
    <w:rsid w:val="00763B02"/>
    <w:rsid w:val="0076413B"/>
    <w:rsid w:val="007648AE"/>
    <w:rsid w:val="00764BF8"/>
    <w:rsid w:val="0076514D"/>
    <w:rsid w:val="00773D59"/>
    <w:rsid w:val="00781003"/>
    <w:rsid w:val="00781415"/>
    <w:rsid w:val="00786690"/>
    <w:rsid w:val="007911FD"/>
    <w:rsid w:val="00793855"/>
    <w:rsid w:val="00793930"/>
    <w:rsid w:val="00793DD1"/>
    <w:rsid w:val="00794FEC"/>
    <w:rsid w:val="007A003E"/>
    <w:rsid w:val="007A1965"/>
    <w:rsid w:val="007A2324"/>
    <w:rsid w:val="007A2ED1"/>
    <w:rsid w:val="007A4BE6"/>
    <w:rsid w:val="007B0DC6"/>
    <w:rsid w:val="007B1094"/>
    <w:rsid w:val="007B1762"/>
    <w:rsid w:val="007B3320"/>
    <w:rsid w:val="007C0461"/>
    <w:rsid w:val="007C301F"/>
    <w:rsid w:val="007C34B8"/>
    <w:rsid w:val="007C37FD"/>
    <w:rsid w:val="007C4540"/>
    <w:rsid w:val="007C65AF"/>
    <w:rsid w:val="007D135D"/>
    <w:rsid w:val="007D730F"/>
    <w:rsid w:val="007D7CD8"/>
    <w:rsid w:val="007E3AA7"/>
    <w:rsid w:val="007E58C3"/>
    <w:rsid w:val="007E77ED"/>
    <w:rsid w:val="007F0B1B"/>
    <w:rsid w:val="007F737D"/>
    <w:rsid w:val="0080308E"/>
    <w:rsid w:val="00805303"/>
    <w:rsid w:val="00806705"/>
    <w:rsid w:val="00806738"/>
    <w:rsid w:val="00813B6A"/>
    <w:rsid w:val="00816C59"/>
    <w:rsid w:val="008216D5"/>
    <w:rsid w:val="008249CE"/>
    <w:rsid w:val="00831A50"/>
    <w:rsid w:val="00831B3C"/>
    <w:rsid w:val="00831C89"/>
    <w:rsid w:val="00831D80"/>
    <w:rsid w:val="00832114"/>
    <w:rsid w:val="00832202"/>
    <w:rsid w:val="00834C46"/>
    <w:rsid w:val="0083563C"/>
    <w:rsid w:val="0084093E"/>
    <w:rsid w:val="00841CE1"/>
    <w:rsid w:val="008473D8"/>
    <w:rsid w:val="008528DC"/>
    <w:rsid w:val="00852B8C"/>
    <w:rsid w:val="00854981"/>
    <w:rsid w:val="00864B2E"/>
    <w:rsid w:val="00865963"/>
    <w:rsid w:val="00871C1D"/>
    <w:rsid w:val="008724AE"/>
    <w:rsid w:val="0087450E"/>
    <w:rsid w:val="0087554A"/>
    <w:rsid w:val="00875A82"/>
    <w:rsid w:val="00876CA3"/>
    <w:rsid w:val="00876F4B"/>
    <w:rsid w:val="008772FE"/>
    <w:rsid w:val="008775F1"/>
    <w:rsid w:val="008821AE"/>
    <w:rsid w:val="00883D3A"/>
    <w:rsid w:val="008854F7"/>
    <w:rsid w:val="00885A9D"/>
    <w:rsid w:val="00886E9E"/>
    <w:rsid w:val="008929D2"/>
    <w:rsid w:val="00892D82"/>
    <w:rsid w:val="00893636"/>
    <w:rsid w:val="00893B94"/>
    <w:rsid w:val="00893F7E"/>
    <w:rsid w:val="00896E9D"/>
    <w:rsid w:val="00896F11"/>
    <w:rsid w:val="008A1049"/>
    <w:rsid w:val="008A1C98"/>
    <w:rsid w:val="008A322D"/>
    <w:rsid w:val="008A4D72"/>
    <w:rsid w:val="008A6285"/>
    <w:rsid w:val="008A63B2"/>
    <w:rsid w:val="008B345D"/>
    <w:rsid w:val="008C1FC2"/>
    <w:rsid w:val="008C2980"/>
    <w:rsid w:val="008C4DD6"/>
    <w:rsid w:val="008C5AFB"/>
    <w:rsid w:val="008C74C6"/>
    <w:rsid w:val="008D07FB"/>
    <w:rsid w:val="008D0C02"/>
    <w:rsid w:val="008D357D"/>
    <w:rsid w:val="008D435A"/>
    <w:rsid w:val="008E387B"/>
    <w:rsid w:val="008E4800"/>
    <w:rsid w:val="008E6087"/>
    <w:rsid w:val="008E758D"/>
    <w:rsid w:val="008F0374"/>
    <w:rsid w:val="008F10A7"/>
    <w:rsid w:val="008F755D"/>
    <w:rsid w:val="008F7A39"/>
    <w:rsid w:val="009021E8"/>
    <w:rsid w:val="00904677"/>
    <w:rsid w:val="00905EE2"/>
    <w:rsid w:val="00911440"/>
    <w:rsid w:val="0091159A"/>
    <w:rsid w:val="00911712"/>
    <w:rsid w:val="00911B27"/>
    <w:rsid w:val="009170BE"/>
    <w:rsid w:val="00920B55"/>
    <w:rsid w:val="009262C9"/>
    <w:rsid w:val="009302F0"/>
    <w:rsid w:val="00930EB9"/>
    <w:rsid w:val="00933DC7"/>
    <w:rsid w:val="009418F4"/>
    <w:rsid w:val="009425C3"/>
    <w:rsid w:val="00942BBC"/>
    <w:rsid w:val="00944180"/>
    <w:rsid w:val="00944AA0"/>
    <w:rsid w:val="00946B04"/>
    <w:rsid w:val="00947DA2"/>
    <w:rsid w:val="00947F74"/>
    <w:rsid w:val="00951177"/>
    <w:rsid w:val="00955C01"/>
    <w:rsid w:val="009673E8"/>
    <w:rsid w:val="00974DB8"/>
    <w:rsid w:val="00980661"/>
    <w:rsid w:val="0098093B"/>
    <w:rsid w:val="009826F6"/>
    <w:rsid w:val="009859DB"/>
    <w:rsid w:val="009876D4"/>
    <w:rsid w:val="009914A5"/>
    <w:rsid w:val="0099548E"/>
    <w:rsid w:val="00996456"/>
    <w:rsid w:val="00996A12"/>
    <w:rsid w:val="00997B0F"/>
    <w:rsid w:val="009A0CC3"/>
    <w:rsid w:val="009A1CAD"/>
    <w:rsid w:val="009A3440"/>
    <w:rsid w:val="009A5832"/>
    <w:rsid w:val="009A6838"/>
    <w:rsid w:val="009B24B5"/>
    <w:rsid w:val="009B4EBC"/>
    <w:rsid w:val="009B5017"/>
    <w:rsid w:val="009B5ABB"/>
    <w:rsid w:val="009B73CE"/>
    <w:rsid w:val="009C2461"/>
    <w:rsid w:val="009C4E3A"/>
    <w:rsid w:val="009C5A15"/>
    <w:rsid w:val="009C6FE2"/>
    <w:rsid w:val="009C7674"/>
    <w:rsid w:val="009D004A"/>
    <w:rsid w:val="009D5880"/>
    <w:rsid w:val="009E1FD4"/>
    <w:rsid w:val="009E3B07"/>
    <w:rsid w:val="009E42B6"/>
    <w:rsid w:val="009E51D1"/>
    <w:rsid w:val="009E5531"/>
    <w:rsid w:val="009E55CD"/>
    <w:rsid w:val="009F171E"/>
    <w:rsid w:val="009F3D2F"/>
    <w:rsid w:val="009F7052"/>
    <w:rsid w:val="00A02668"/>
    <w:rsid w:val="00A02801"/>
    <w:rsid w:val="00A041D2"/>
    <w:rsid w:val="00A06A39"/>
    <w:rsid w:val="00A07F58"/>
    <w:rsid w:val="00A131CB"/>
    <w:rsid w:val="00A143A5"/>
    <w:rsid w:val="00A14847"/>
    <w:rsid w:val="00A16D6D"/>
    <w:rsid w:val="00A20613"/>
    <w:rsid w:val="00A21383"/>
    <w:rsid w:val="00A2199F"/>
    <w:rsid w:val="00A21B31"/>
    <w:rsid w:val="00A2360E"/>
    <w:rsid w:val="00A2552D"/>
    <w:rsid w:val="00A26E0C"/>
    <w:rsid w:val="00A32FCB"/>
    <w:rsid w:val="00A34C25"/>
    <w:rsid w:val="00A3507D"/>
    <w:rsid w:val="00A3717A"/>
    <w:rsid w:val="00A4088C"/>
    <w:rsid w:val="00A4422B"/>
    <w:rsid w:val="00A4456B"/>
    <w:rsid w:val="00A448D4"/>
    <w:rsid w:val="00A452E0"/>
    <w:rsid w:val="00A506DF"/>
    <w:rsid w:val="00A51EA5"/>
    <w:rsid w:val="00A53742"/>
    <w:rsid w:val="00A557A1"/>
    <w:rsid w:val="00A63059"/>
    <w:rsid w:val="00A63AE3"/>
    <w:rsid w:val="00A651A4"/>
    <w:rsid w:val="00A66333"/>
    <w:rsid w:val="00A71361"/>
    <w:rsid w:val="00A746E2"/>
    <w:rsid w:val="00A81FF2"/>
    <w:rsid w:val="00A83904"/>
    <w:rsid w:val="00A90A79"/>
    <w:rsid w:val="00A96B30"/>
    <w:rsid w:val="00AA3FF1"/>
    <w:rsid w:val="00AA442D"/>
    <w:rsid w:val="00AA59B5"/>
    <w:rsid w:val="00AA7777"/>
    <w:rsid w:val="00AA7B84"/>
    <w:rsid w:val="00AC0B4C"/>
    <w:rsid w:val="00AC1164"/>
    <w:rsid w:val="00AC2296"/>
    <w:rsid w:val="00AC2754"/>
    <w:rsid w:val="00AC48B0"/>
    <w:rsid w:val="00AC4ACD"/>
    <w:rsid w:val="00AC5DFB"/>
    <w:rsid w:val="00AD13DC"/>
    <w:rsid w:val="00AD1F8D"/>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1863"/>
    <w:rsid w:val="00B024B9"/>
    <w:rsid w:val="00B02567"/>
    <w:rsid w:val="00B038E5"/>
    <w:rsid w:val="00B03A2E"/>
    <w:rsid w:val="00B077FA"/>
    <w:rsid w:val="00B07817"/>
    <w:rsid w:val="00B11C0C"/>
    <w:rsid w:val="00B127D7"/>
    <w:rsid w:val="00B13B0C"/>
    <w:rsid w:val="00B14408"/>
    <w:rsid w:val="00B1453A"/>
    <w:rsid w:val="00B1636C"/>
    <w:rsid w:val="00B178F0"/>
    <w:rsid w:val="00B20F82"/>
    <w:rsid w:val="00B25BD5"/>
    <w:rsid w:val="00B34079"/>
    <w:rsid w:val="00B3793A"/>
    <w:rsid w:val="00B401BA"/>
    <w:rsid w:val="00B407E4"/>
    <w:rsid w:val="00B412A6"/>
    <w:rsid w:val="00B425B6"/>
    <w:rsid w:val="00B42A72"/>
    <w:rsid w:val="00B441AE"/>
    <w:rsid w:val="00B45A65"/>
    <w:rsid w:val="00B45F33"/>
    <w:rsid w:val="00B46D50"/>
    <w:rsid w:val="00B53170"/>
    <w:rsid w:val="00B548B9"/>
    <w:rsid w:val="00B56AA1"/>
    <w:rsid w:val="00B56DBE"/>
    <w:rsid w:val="00B61D96"/>
    <w:rsid w:val="00B62999"/>
    <w:rsid w:val="00B63BE3"/>
    <w:rsid w:val="00B64885"/>
    <w:rsid w:val="00B64FA3"/>
    <w:rsid w:val="00B66810"/>
    <w:rsid w:val="00B72BE3"/>
    <w:rsid w:val="00B73B80"/>
    <w:rsid w:val="00B770C7"/>
    <w:rsid w:val="00B80F26"/>
    <w:rsid w:val="00B822BD"/>
    <w:rsid w:val="00B842F4"/>
    <w:rsid w:val="00B84D97"/>
    <w:rsid w:val="00B85AB3"/>
    <w:rsid w:val="00B91A7B"/>
    <w:rsid w:val="00B929DD"/>
    <w:rsid w:val="00B93AF6"/>
    <w:rsid w:val="00B95405"/>
    <w:rsid w:val="00B963F1"/>
    <w:rsid w:val="00BA020A"/>
    <w:rsid w:val="00BA60CE"/>
    <w:rsid w:val="00BB025A"/>
    <w:rsid w:val="00BB02A4"/>
    <w:rsid w:val="00BB1270"/>
    <w:rsid w:val="00BB1E44"/>
    <w:rsid w:val="00BB3C49"/>
    <w:rsid w:val="00BB5267"/>
    <w:rsid w:val="00BB52B8"/>
    <w:rsid w:val="00BB59D8"/>
    <w:rsid w:val="00BB6A32"/>
    <w:rsid w:val="00BB7E69"/>
    <w:rsid w:val="00BC0E51"/>
    <w:rsid w:val="00BC3C1F"/>
    <w:rsid w:val="00BC7CE7"/>
    <w:rsid w:val="00BD295E"/>
    <w:rsid w:val="00BD4664"/>
    <w:rsid w:val="00BE1193"/>
    <w:rsid w:val="00BF4849"/>
    <w:rsid w:val="00BF4EA7"/>
    <w:rsid w:val="00BF6525"/>
    <w:rsid w:val="00C00EDB"/>
    <w:rsid w:val="00C02863"/>
    <w:rsid w:val="00C0383A"/>
    <w:rsid w:val="00C067FF"/>
    <w:rsid w:val="00C07558"/>
    <w:rsid w:val="00C07AC7"/>
    <w:rsid w:val="00C12862"/>
    <w:rsid w:val="00C13D28"/>
    <w:rsid w:val="00C14585"/>
    <w:rsid w:val="00C165A0"/>
    <w:rsid w:val="00C216CE"/>
    <w:rsid w:val="00C2184F"/>
    <w:rsid w:val="00C21EA6"/>
    <w:rsid w:val="00C22A78"/>
    <w:rsid w:val="00C23C7E"/>
    <w:rsid w:val="00C246C5"/>
    <w:rsid w:val="00C25A82"/>
    <w:rsid w:val="00C270D0"/>
    <w:rsid w:val="00C305DB"/>
    <w:rsid w:val="00C30A2A"/>
    <w:rsid w:val="00C334A9"/>
    <w:rsid w:val="00C33993"/>
    <w:rsid w:val="00C4069E"/>
    <w:rsid w:val="00C41ADC"/>
    <w:rsid w:val="00C44149"/>
    <w:rsid w:val="00C44410"/>
    <w:rsid w:val="00C44A15"/>
    <w:rsid w:val="00C4630A"/>
    <w:rsid w:val="00C523F0"/>
    <w:rsid w:val="00C526D2"/>
    <w:rsid w:val="00C53A91"/>
    <w:rsid w:val="00C55171"/>
    <w:rsid w:val="00C5794E"/>
    <w:rsid w:val="00C60968"/>
    <w:rsid w:val="00C63D39"/>
    <w:rsid w:val="00C63EDD"/>
    <w:rsid w:val="00C65B36"/>
    <w:rsid w:val="00C7292E"/>
    <w:rsid w:val="00C74E88"/>
    <w:rsid w:val="00C80924"/>
    <w:rsid w:val="00C8286B"/>
    <w:rsid w:val="00C947F8"/>
    <w:rsid w:val="00C94E4B"/>
    <w:rsid w:val="00C94ED6"/>
    <w:rsid w:val="00C9515F"/>
    <w:rsid w:val="00C963C5"/>
    <w:rsid w:val="00CA030C"/>
    <w:rsid w:val="00CA1F41"/>
    <w:rsid w:val="00CA32EE"/>
    <w:rsid w:val="00CA556A"/>
    <w:rsid w:val="00CA5771"/>
    <w:rsid w:val="00CA6A1A"/>
    <w:rsid w:val="00CC1E75"/>
    <w:rsid w:val="00CC2E0E"/>
    <w:rsid w:val="00CC361C"/>
    <w:rsid w:val="00CC474B"/>
    <w:rsid w:val="00CC658C"/>
    <w:rsid w:val="00CC67BF"/>
    <w:rsid w:val="00CD0843"/>
    <w:rsid w:val="00CD47D1"/>
    <w:rsid w:val="00CD4E31"/>
    <w:rsid w:val="00CD5A78"/>
    <w:rsid w:val="00CD5F15"/>
    <w:rsid w:val="00CD64C4"/>
    <w:rsid w:val="00CD7345"/>
    <w:rsid w:val="00CE372E"/>
    <w:rsid w:val="00CE45FC"/>
    <w:rsid w:val="00CF0A1B"/>
    <w:rsid w:val="00CF19F6"/>
    <w:rsid w:val="00CF2F4F"/>
    <w:rsid w:val="00CF536D"/>
    <w:rsid w:val="00CF5F70"/>
    <w:rsid w:val="00D00C9D"/>
    <w:rsid w:val="00D02E9D"/>
    <w:rsid w:val="00D034A3"/>
    <w:rsid w:val="00D0576D"/>
    <w:rsid w:val="00D10CB8"/>
    <w:rsid w:val="00D12806"/>
    <w:rsid w:val="00D12D44"/>
    <w:rsid w:val="00D15018"/>
    <w:rsid w:val="00D158AC"/>
    <w:rsid w:val="00D1694C"/>
    <w:rsid w:val="00D20F5E"/>
    <w:rsid w:val="00D23B76"/>
    <w:rsid w:val="00D24B4A"/>
    <w:rsid w:val="00D379A3"/>
    <w:rsid w:val="00D45FF3"/>
    <w:rsid w:val="00D512CF"/>
    <w:rsid w:val="00D52837"/>
    <w:rsid w:val="00D528B9"/>
    <w:rsid w:val="00D53186"/>
    <w:rsid w:val="00D5487D"/>
    <w:rsid w:val="00D60140"/>
    <w:rsid w:val="00D6024A"/>
    <w:rsid w:val="00D608B5"/>
    <w:rsid w:val="00D64739"/>
    <w:rsid w:val="00D71F99"/>
    <w:rsid w:val="00D72F6A"/>
    <w:rsid w:val="00D73CA4"/>
    <w:rsid w:val="00D73D71"/>
    <w:rsid w:val="00D74396"/>
    <w:rsid w:val="00D80284"/>
    <w:rsid w:val="00D81F71"/>
    <w:rsid w:val="00D831B0"/>
    <w:rsid w:val="00D8642D"/>
    <w:rsid w:val="00D90A5E"/>
    <w:rsid w:val="00D91A68"/>
    <w:rsid w:val="00D95A68"/>
    <w:rsid w:val="00D96A10"/>
    <w:rsid w:val="00D97EA9"/>
    <w:rsid w:val="00DA17C7"/>
    <w:rsid w:val="00DA4262"/>
    <w:rsid w:val="00DA6A9A"/>
    <w:rsid w:val="00DB1EFD"/>
    <w:rsid w:val="00DB3EAF"/>
    <w:rsid w:val="00DB46C6"/>
    <w:rsid w:val="00DB6544"/>
    <w:rsid w:val="00DC1D36"/>
    <w:rsid w:val="00DC3203"/>
    <w:rsid w:val="00DC3C99"/>
    <w:rsid w:val="00DC52F5"/>
    <w:rsid w:val="00DC5FD0"/>
    <w:rsid w:val="00DD0354"/>
    <w:rsid w:val="00DD27D7"/>
    <w:rsid w:val="00DD458C"/>
    <w:rsid w:val="00DD697C"/>
    <w:rsid w:val="00DD72E9"/>
    <w:rsid w:val="00DD7605"/>
    <w:rsid w:val="00DE2020"/>
    <w:rsid w:val="00DE3476"/>
    <w:rsid w:val="00DE7BEA"/>
    <w:rsid w:val="00DF57B1"/>
    <w:rsid w:val="00DF5B84"/>
    <w:rsid w:val="00DF6D5B"/>
    <w:rsid w:val="00DF771B"/>
    <w:rsid w:val="00DF7EE2"/>
    <w:rsid w:val="00E01BAA"/>
    <w:rsid w:val="00E0282A"/>
    <w:rsid w:val="00E02F9B"/>
    <w:rsid w:val="00E031D2"/>
    <w:rsid w:val="00E07E14"/>
    <w:rsid w:val="00E12544"/>
    <w:rsid w:val="00E14F94"/>
    <w:rsid w:val="00E17336"/>
    <w:rsid w:val="00E17D15"/>
    <w:rsid w:val="00E22B95"/>
    <w:rsid w:val="00E30331"/>
    <w:rsid w:val="00E30BB8"/>
    <w:rsid w:val="00E31F9C"/>
    <w:rsid w:val="00E40488"/>
    <w:rsid w:val="00E50367"/>
    <w:rsid w:val="00E5061E"/>
    <w:rsid w:val="00E51ABA"/>
    <w:rsid w:val="00E524CB"/>
    <w:rsid w:val="00E60658"/>
    <w:rsid w:val="00E65456"/>
    <w:rsid w:val="00E65A91"/>
    <w:rsid w:val="00E66188"/>
    <w:rsid w:val="00E66328"/>
    <w:rsid w:val="00E664FB"/>
    <w:rsid w:val="00E66B8B"/>
    <w:rsid w:val="00E672F0"/>
    <w:rsid w:val="00E673B1"/>
    <w:rsid w:val="00E70373"/>
    <w:rsid w:val="00E70802"/>
    <w:rsid w:val="00E72E40"/>
    <w:rsid w:val="00E73665"/>
    <w:rsid w:val="00E73999"/>
    <w:rsid w:val="00E73BDC"/>
    <w:rsid w:val="00E73E9E"/>
    <w:rsid w:val="00E745E0"/>
    <w:rsid w:val="00E81660"/>
    <w:rsid w:val="00E854FE"/>
    <w:rsid w:val="00E906CC"/>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282"/>
    <w:rsid w:val="00EC198B"/>
    <w:rsid w:val="00EC3E62"/>
    <w:rsid w:val="00EC426D"/>
    <w:rsid w:val="00EC571B"/>
    <w:rsid w:val="00EC57D7"/>
    <w:rsid w:val="00EC6385"/>
    <w:rsid w:val="00ED1DE9"/>
    <w:rsid w:val="00ED23D4"/>
    <w:rsid w:val="00ED5E0B"/>
    <w:rsid w:val="00EE37B6"/>
    <w:rsid w:val="00EF0ECD"/>
    <w:rsid w:val="00EF0F45"/>
    <w:rsid w:val="00EF2644"/>
    <w:rsid w:val="00EF7463"/>
    <w:rsid w:val="00EF7971"/>
    <w:rsid w:val="00F002EF"/>
    <w:rsid w:val="00F01EE9"/>
    <w:rsid w:val="00F04900"/>
    <w:rsid w:val="00F065A4"/>
    <w:rsid w:val="00F126B9"/>
    <w:rsid w:val="00F12715"/>
    <w:rsid w:val="00F13C24"/>
    <w:rsid w:val="00F144D5"/>
    <w:rsid w:val="00F146F0"/>
    <w:rsid w:val="00F15039"/>
    <w:rsid w:val="00F15885"/>
    <w:rsid w:val="00F20FF3"/>
    <w:rsid w:val="00F2190B"/>
    <w:rsid w:val="00F228B5"/>
    <w:rsid w:val="00F2389C"/>
    <w:rsid w:val="00F25C67"/>
    <w:rsid w:val="00F30DFF"/>
    <w:rsid w:val="00F32B80"/>
    <w:rsid w:val="00F340EB"/>
    <w:rsid w:val="00F35285"/>
    <w:rsid w:val="00F43B9D"/>
    <w:rsid w:val="00F44D5E"/>
    <w:rsid w:val="00F47582"/>
    <w:rsid w:val="00F53A35"/>
    <w:rsid w:val="00F55A3D"/>
    <w:rsid w:val="00F5744B"/>
    <w:rsid w:val="00F60EDF"/>
    <w:rsid w:val="00F61209"/>
    <w:rsid w:val="00F6259E"/>
    <w:rsid w:val="00F63BF9"/>
    <w:rsid w:val="00F65DD4"/>
    <w:rsid w:val="00F672B2"/>
    <w:rsid w:val="00F674DB"/>
    <w:rsid w:val="00F83973"/>
    <w:rsid w:val="00F83FF8"/>
    <w:rsid w:val="00F84730"/>
    <w:rsid w:val="00F8673F"/>
    <w:rsid w:val="00F87FA3"/>
    <w:rsid w:val="00F93D8C"/>
    <w:rsid w:val="00FA19F8"/>
    <w:rsid w:val="00FA3102"/>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4713"/>
    <w:rsid w:val="00FF0EFD"/>
    <w:rsid w:val="00FF1F44"/>
    <w:rsid w:val="00FF225E"/>
    <w:rsid w:val="00FF2E55"/>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30"/>
  <w15:docId w15:val="{1188598F-756C-4CD0-AD5D-8DE78A2F2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793855"/>
    <w:pPr>
      <w:widowControl w:val="0"/>
      <w:spacing w:before="240"/>
      <w:jc w:val="both"/>
    </w:pPr>
  </w:style>
  <w:style w:type="paragraph" w:customStyle="1" w:styleId="Newparagraph">
    <w:name w:val="New paragraph"/>
    <w:basedOn w:val="Normal"/>
    <w:qFormat/>
    <w:rsid w:val="00793855"/>
    <w:pPr>
      <w:ind w:firstLine="720"/>
      <w:jc w:val="both"/>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2C0CB5"/>
    <w:pPr>
      <w:widowControl/>
      <w:spacing w:before="360"/>
    </w:pPr>
    <w:rPr>
      <w:i/>
    </w:rPr>
  </w:style>
  <w:style w:type="table" w:styleId="TableGrid">
    <w:name w:val="Table Grid"/>
    <w:basedOn w:val="TableNormal"/>
    <w:rsid w:val="00403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rsid w:val="00603933"/>
    <w:pPr>
      <w:spacing w:after="200" w:line="240" w:lineRule="auto"/>
    </w:pPr>
    <w:rPr>
      <w:i/>
      <w:iCs/>
      <w:color w:val="1F497D" w:themeColor="text2"/>
      <w:sz w:val="18"/>
      <w:szCs w:val="18"/>
    </w:rPr>
  </w:style>
  <w:style w:type="paragraph" w:customStyle="1" w:styleId="EndNoteBibliographyTitle">
    <w:name w:val="EndNote Bibliography Title"/>
    <w:basedOn w:val="Normal"/>
    <w:link w:val="EndNoteBibliographyTitleChar"/>
    <w:rsid w:val="00603933"/>
    <w:pPr>
      <w:jc w:val="center"/>
    </w:pPr>
    <w:rPr>
      <w:noProof/>
    </w:rPr>
  </w:style>
  <w:style w:type="character" w:customStyle="1" w:styleId="EndNoteBibliographyTitleChar">
    <w:name w:val="EndNote Bibliography Title Char"/>
    <w:basedOn w:val="DefaultParagraphFont"/>
    <w:link w:val="EndNoteBibliographyTitle"/>
    <w:rsid w:val="00603933"/>
    <w:rPr>
      <w:noProof/>
      <w:sz w:val="24"/>
      <w:szCs w:val="24"/>
    </w:rPr>
  </w:style>
  <w:style w:type="paragraph" w:customStyle="1" w:styleId="EndNoteBibliography">
    <w:name w:val="EndNote Bibliography"/>
    <w:basedOn w:val="Normal"/>
    <w:link w:val="EndNoteBibliographyChar"/>
    <w:rsid w:val="00603933"/>
    <w:pPr>
      <w:spacing w:line="240" w:lineRule="auto"/>
    </w:pPr>
    <w:rPr>
      <w:noProof/>
    </w:rPr>
  </w:style>
  <w:style w:type="character" w:customStyle="1" w:styleId="EndNoteBibliographyChar">
    <w:name w:val="EndNote Bibliography Char"/>
    <w:basedOn w:val="DefaultParagraphFont"/>
    <w:link w:val="EndNoteBibliography"/>
    <w:rsid w:val="00603933"/>
    <w:rPr>
      <w:noProof/>
      <w:sz w:val="24"/>
      <w:szCs w:val="24"/>
    </w:rPr>
  </w:style>
  <w:style w:type="paragraph" w:styleId="NormalWeb">
    <w:name w:val="Normal (Web)"/>
    <w:basedOn w:val="Normal"/>
    <w:semiHidden/>
    <w:unhideWhenUsed/>
    <w:rsid w:val="002C0CB5"/>
  </w:style>
  <w:style w:type="character" w:styleId="Strong">
    <w:name w:val="Strong"/>
    <w:uiPriority w:val="22"/>
    <w:qFormat/>
    <w:rsid w:val="002C0CB5"/>
    <w:rPr>
      <w:b/>
      <w:bCs/>
    </w:rPr>
  </w:style>
  <w:style w:type="paragraph" w:styleId="ListParagraph">
    <w:name w:val="List Paragraph"/>
    <w:basedOn w:val="Normal"/>
    <w:rsid w:val="007A2324"/>
    <w:pPr>
      <w:ind w:left="720"/>
      <w:contextualSpacing/>
    </w:pPr>
  </w:style>
  <w:style w:type="paragraph" w:styleId="BalloonText">
    <w:name w:val="Balloon Text"/>
    <w:basedOn w:val="Normal"/>
    <w:link w:val="BalloonTextChar"/>
    <w:semiHidden/>
    <w:unhideWhenUsed/>
    <w:rsid w:val="00DF57B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F57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51930">
      <w:bodyDiv w:val="1"/>
      <w:marLeft w:val="0"/>
      <w:marRight w:val="0"/>
      <w:marTop w:val="0"/>
      <w:marBottom w:val="0"/>
      <w:divBdr>
        <w:top w:val="none" w:sz="0" w:space="0" w:color="auto"/>
        <w:left w:val="none" w:sz="0" w:space="0" w:color="auto"/>
        <w:bottom w:val="none" w:sz="0" w:space="0" w:color="auto"/>
        <w:right w:val="none" w:sz="0" w:space="0" w:color="auto"/>
      </w:divBdr>
    </w:div>
    <w:div w:id="52378560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1986e79e-ed86-4690-b124-5ce76c37627d" TargetMode="External"/><Relationship Id="rId18" Type="http://schemas.openxmlformats.org/officeDocument/2006/relationships/image" Target="media/image6.wmf"/><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chart" Target="charts/chart4.xml"/><Relationship Id="rId34" Type="http://schemas.openxmlformats.org/officeDocument/2006/relationships/oleObject" Target="embeddings/oleObject8.bin"/><Relationship Id="rId42" Type="http://schemas.openxmlformats.org/officeDocument/2006/relationships/oleObject" Target="embeddings/oleObject11.bin"/><Relationship Id="rId47" Type="http://schemas.openxmlformats.org/officeDocument/2006/relationships/image" Target="media/image18.jpeg"/><Relationship Id="rId50" Type="http://schemas.openxmlformats.org/officeDocument/2006/relationships/image" Target="media/image21.wmf"/><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image" Target="media/image29.wmf"/><Relationship Id="rId76" Type="http://schemas.openxmlformats.org/officeDocument/2006/relationships/image" Target="media/image35.tiff"/><Relationship Id="rId7" Type="http://schemas.openxmlformats.org/officeDocument/2006/relationships/endnotes" Target="endnotes.xml"/><Relationship Id="rId71" Type="http://schemas.openxmlformats.org/officeDocument/2006/relationships/image" Target="media/image30.tif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5.bin"/><Relationship Id="rId11" Type="http://schemas.openxmlformats.org/officeDocument/2006/relationships/chart" Target="charts/chart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chart" Target="charts/chart7.xml"/><Relationship Id="rId40" Type="http://schemas.openxmlformats.org/officeDocument/2006/relationships/oleObject" Target="embeddings/oleObject10.bin"/><Relationship Id="rId45" Type="http://schemas.openxmlformats.org/officeDocument/2006/relationships/image" Target="media/image16.jpeg"/><Relationship Id="rId53" Type="http://schemas.openxmlformats.org/officeDocument/2006/relationships/image" Target="media/image22.wmf"/><Relationship Id="rId58" Type="http://schemas.openxmlformats.org/officeDocument/2006/relationships/oleObject" Target="embeddings/oleObject16.bin"/><Relationship Id="rId66" Type="http://schemas.openxmlformats.org/officeDocument/2006/relationships/image" Target="media/image28.wmf"/><Relationship Id="rId74" Type="http://schemas.openxmlformats.org/officeDocument/2006/relationships/image" Target="media/image33.tiff"/><Relationship Id="rId5" Type="http://schemas.openxmlformats.org/officeDocument/2006/relationships/webSettings" Target="webSettings.xml"/><Relationship Id="rId15" Type="http://schemas.openxmlformats.org/officeDocument/2006/relationships/image" Target="cid:4414bf18-48c6-4b41-ab7a-1d16d073fbd2" TargetMode="Externa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oleObject" Target="embeddings/oleObject9.bin"/><Relationship Id="rId49" Type="http://schemas.openxmlformats.org/officeDocument/2006/relationships/image" Target="media/image20.jpeg"/><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15.jpeg"/><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image" Target="media/image32.tif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6.xml"/><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chart" Target="charts/chart9.xml"/><Relationship Id="rId48" Type="http://schemas.openxmlformats.org/officeDocument/2006/relationships/image" Target="media/image19.jpeg"/><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oleObject" Target="embeddings/oleObject22.bin"/><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image" Target="media/image31.tif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chart" Target="charts/chart8.xml"/><Relationship Id="rId46" Type="http://schemas.openxmlformats.org/officeDocument/2006/relationships/image" Target="media/image17.jpeg"/><Relationship Id="rId59" Type="http://schemas.openxmlformats.org/officeDocument/2006/relationships/image" Target="media/image25.wmf"/><Relationship Id="rId67" Type="http://schemas.openxmlformats.org/officeDocument/2006/relationships/oleObject" Target="embeddings/oleObject21.bin"/><Relationship Id="rId20" Type="http://schemas.openxmlformats.org/officeDocument/2006/relationships/chart" Target="charts/chart3.xml"/><Relationship Id="rId41" Type="http://schemas.openxmlformats.org/officeDocument/2006/relationships/image" Target="media/image14.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chart" Target="charts/chart10.xml"/><Relationship Id="rId75" Type="http://schemas.openxmlformats.org/officeDocument/2006/relationships/image" Target="media/image34.tif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ohn\Dropbox\PhD\Working%20Folder\Lab%20Tests\Structural\Paver%20Block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hn\Dropbox\PhD\Working%20Folder\Lab%20Tests\Sieve%20analysis%20(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hn\Dropbox\PhD\Working%20Folder\Lab%20Tests\Structural\Paver%20Block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hn\Dropbox\PhD\Working%20Folder\Lab%20Tests\Structural\Paver%20Block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hn\Dropbox\PhD\Working%20Folder\Lab%20Tests\Structural\Paver%20Block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John\Dropbox\PhD\Working%20Folder\Lab%20Tests\Structural\Paver%20Blocks.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John\Dropbox\PhD\Working%20Folder\Lab%20Tests\Structural\Paver%20Blocks.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John\Dropbox\PhD\Working%20Folder\Lab%20Tests\Structural\Paver%20Block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Compressive Strength (Mpa)</c:v>
                </c:pt>
              </c:strCache>
            </c:strRef>
          </c:tx>
          <c:spPr>
            <a:pattFill prst="dkDnDiag">
              <a:fgClr>
                <a:schemeClr val="tx1"/>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Germany</c:v>
                </c:pt>
                <c:pt idx="1">
                  <c:v>Belgium</c:v>
                </c:pt>
                <c:pt idx="2">
                  <c:v>Japan</c:v>
                </c:pt>
                <c:pt idx="3">
                  <c:v>U.S.A.</c:v>
                </c:pt>
                <c:pt idx="4">
                  <c:v>Norway</c:v>
                </c:pt>
                <c:pt idx="5">
                  <c:v>Canada</c:v>
                </c:pt>
                <c:pt idx="6">
                  <c:v>Italy</c:v>
                </c:pt>
                <c:pt idx="7">
                  <c:v>U.K.</c:v>
                </c:pt>
                <c:pt idx="8">
                  <c:v>Hong Kong</c:v>
                </c:pt>
                <c:pt idx="9">
                  <c:v>Australia</c:v>
                </c:pt>
                <c:pt idx="10">
                  <c:v>New Zealand</c:v>
                </c:pt>
              </c:strCache>
            </c:strRef>
          </c:cat>
          <c:val>
            <c:numRef>
              <c:f>Sheet1!$B$2:$B$12</c:f>
              <c:numCache>
                <c:formatCode>General</c:formatCode>
                <c:ptCount val="11"/>
                <c:pt idx="0">
                  <c:v>60</c:v>
                </c:pt>
                <c:pt idx="1">
                  <c:v>60</c:v>
                </c:pt>
                <c:pt idx="2">
                  <c:v>59</c:v>
                </c:pt>
                <c:pt idx="3">
                  <c:v>55</c:v>
                </c:pt>
                <c:pt idx="4">
                  <c:v>54</c:v>
                </c:pt>
                <c:pt idx="5">
                  <c:v>50</c:v>
                </c:pt>
                <c:pt idx="6">
                  <c:v>50</c:v>
                </c:pt>
                <c:pt idx="7">
                  <c:v>49</c:v>
                </c:pt>
                <c:pt idx="8">
                  <c:v>45</c:v>
                </c:pt>
                <c:pt idx="9">
                  <c:v>43</c:v>
                </c:pt>
                <c:pt idx="10">
                  <c:v>40</c:v>
                </c:pt>
              </c:numCache>
            </c:numRef>
          </c:val>
          <c:extLst>
            <c:ext xmlns:c16="http://schemas.microsoft.com/office/drawing/2014/chart" uri="{C3380CC4-5D6E-409C-BE32-E72D297353CC}">
              <c16:uniqueId val="{00000000-A8CF-4871-88B8-BDFD173F759C}"/>
            </c:ext>
          </c:extLst>
        </c:ser>
        <c:dLbls>
          <c:showLegendKey val="0"/>
          <c:showVal val="0"/>
          <c:showCatName val="0"/>
          <c:showSerName val="0"/>
          <c:showPercent val="0"/>
          <c:showBubbleSize val="0"/>
        </c:dLbls>
        <c:gapWidth val="500"/>
        <c:axId val="143214848"/>
        <c:axId val="231624704"/>
      </c:barChart>
      <c:catAx>
        <c:axId val="1432148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624704"/>
        <c:crosses val="autoZero"/>
        <c:auto val="1"/>
        <c:lblAlgn val="ctr"/>
        <c:lblOffset val="100"/>
        <c:noMultiLvlLbl val="0"/>
      </c:catAx>
      <c:valAx>
        <c:axId val="23162470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00"/>
                  <a:t>Compressive Strength (MPa)</a:t>
                </a:r>
              </a:p>
            </c:rich>
          </c:tx>
          <c:overlay val="0"/>
          <c:spPr>
            <a:noFill/>
            <a:ln>
              <a:noFill/>
            </a:ln>
            <a:effectLst/>
          </c:spPr>
        </c:title>
        <c:numFmt formatCode="General" sourceLinked="1"/>
        <c:majorTickMark val="cross"/>
        <c:minorTickMark val="in"/>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3214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'Splitting ten vs compress stren'!$B$2</c:f>
              <c:strCache>
                <c:ptCount val="1"/>
                <c:pt idx="0">
                  <c:v>NA-CNA</c:v>
                </c:pt>
              </c:strCache>
            </c:strRef>
          </c:tx>
          <c:spPr>
            <a:ln w="28575">
              <a:noFill/>
            </a:ln>
          </c:spPr>
          <c:trendline>
            <c:name>NA-CNA (best fit)</c:name>
            <c:spPr>
              <a:ln w="22225"/>
            </c:spPr>
            <c:trendlineType val="power"/>
            <c:dispRSqr val="1"/>
            <c:dispEq val="1"/>
            <c:trendlineLbl>
              <c:layout>
                <c:manualLayout>
                  <c:x val="0.19592356806463013"/>
                  <c:y val="-6.2312818374338719E-2"/>
                </c:manualLayout>
              </c:layout>
              <c:numFmt formatCode="#,##0.00" sourceLinked="0"/>
            </c:trendlineLbl>
          </c:trendline>
          <c:xVal>
            <c:numRef>
              <c:f>'Splitting ten vs compress stren'!$A$3:$A$8</c:f>
              <c:numCache>
                <c:formatCode>General</c:formatCode>
                <c:ptCount val="6"/>
                <c:pt idx="0">
                  <c:v>68.8</c:v>
                </c:pt>
                <c:pt idx="1">
                  <c:v>54.760000000000005</c:v>
                </c:pt>
                <c:pt idx="2">
                  <c:v>46.36</c:v>
                </c:pt>
                <c:pt idx="3">
                  <c:v>29.860000000000003</c:v>
                </c:pt>
                <c:pt idx="4">
                  <c:v>19.3</c:v>
                </c:pt>
                <c:pt idx="5">
                  <c:v>18.48</c:v>
                </c:pt>
              </c:numCache>
            </c:numRef>
          </c:xVal>
          <c:yVal>
            <c:numRef>
              <c:f>'Splitting ten vs compress stren'!$B$3:$B$8</c:f>
              <c:numCache>
                <c:formatCode>0.00</c:formatCode>
                <c:ptCount val="6"/>
                <c:pt idx="0">
                  <c:v>3.8356341285146773</c:v>
                </c:pt>
                <c:pt idx="1">
                  <c:v>2.7613382626443839</c:v>
                </c:pt>
                <c:pt idx="2">
                  <c:v>2.1724649732043715</c:v>
                </c:pt>
                <c:pt idx="3">
                  <c:v>1.8859860756389597</c:v>
                </c:pt>
                <c:pt idx="4">
                  <c:v>1.4244367406724632</c:v>
                </c:pt>
                <c:pt idx="5">
                  <c:v>1.2254930618075941</c:v>
                </c:pt>
              </c:numCache>
            </c:numRef>
          </c:yVal>
          <c:smooth val="0"/>
          <c:extLst>
            <c:ext xmlns:c16="http://schemas.microsoft.com/office/drawing/2014/chart" uri="{C3380CC4-5D6E-409C-BE32-E72D297353CC}">
              <c16:uniqueId val="{00000000-0B70-4A3D-81F6-23D0DBC12B00}"/>
            </c:ext>
          </c:extLst>
        </c:ser>
        <c:ser>
          <c:idx val="2"/>
          <c:order val="1"/>
          <c:tx>
            <c:strRef>
              <c:f>'Splitting ten vs compress stren'!$D$2</c:f>
              <c:strCache>
                <c:ptCount val="1"/>
                <c:pt idx="0">
                  <c:v>Gesoğlu et al. (2004)</c:v>
                </c:pt>
              </c:strCache>
            </c:strRef>
          </c:tx>
          <c:spPr>
            <a:ln w="28575">
              <a:solidFill>
                <a:srgbClr val="00B050"/>
              </a:solidFill>
              <a:prstDash val="dashDot"/>
            </a:ln>
          </c:spPr>
          <c:xVal>
            <c:numRef>
              <c:f>'Splitting ten vs compress stren'!$A$3:$A$8</c:f>
              <c:numCache>
                <c:formatCode>General</c:formatCode>
                <c:ptCount val="6"/>
                <c:pt idx="0">
                  <c:v>68.8</c:v>
                </c:pt>
                <c:pt idx="1">
                  <c:v>54.760000000000005</c:v>
                </c:pt>
                <c:pt idx="2">
                  <c:v>46.36</c:v>
                </c:pt>
                <c:pt idx="3">
                  <c:v>29.860000000000003</c:v>
                </c:pt>
                <c:pt idx="4">
                  <c:v>19.3</c:v>
                </c:pt>
                <c:pt idx="5">
                  <c:v>18.48</c:v>
                </c:pt>
              </c:numCache>
            </c:numRef>
          </c:xVal>
          <c:yVal>
            <c:numRef>
              <c:f>'Splitting ten vs compress stren'!$D$3:$D$8</c:f>
              <c:numCache>
                <c:formatCode>0.00</c:formatCode>
                <c:ptCount val="6"/>
                <c:pt idx="0">
                  <c:v>4.5333862492862114</c:v>
                </c:pt>
                <c:pt idx="1">
                  <c:v>3.8934929304285668</c:v>
                </c:pt>
                <c:pt idx="2">
                  <c:v>3.4843843064185513</c:v>
                </c:pt>
                <c:pt idx="3">
                  <c:v>2.5987049066218306</c:v>
                </c:pt>
                <c:pt idx="4">
                  <c:v>1.9426831359365249</c:v>
                </c:pt>
                <c:pt idx="5">
                  <c:v>1.8872600297305904</c:v>
                </c:pt>
              </c:numCache>
            </c:numRef>
          </c:yVal>
          <c:smooth val="1"/>
          <c:extLst>
            <c:ext xmlns:c16="http://schemas.microsoft.com/office/drawing/2014/chart" uri="{C3380CC4-5D6E-409C-BE32-E72D297353CC}">
              <c16:uniqueId val="{00000001-0B70-4A3D-81F6-23D0DBC12B00}"/>
            </c:ext>
          </c:extLst>
        </c:ser>
        <c:ser>
          <c:idx val="4"/>
          <c:order val="2"/>
          <c:tx>
            <c:strRef>
              <c:f>'Splitting ten vs compress stren'!$E$2</c:f>
              <c:strCache>
                <c:ptCount val="1"/>
                <c:pt idx="0">
                  <c:v>Lo et al. (2006)</c:v>
                </c:pt>
              </c:strCache>
            </c:strRef>
          </c:tx>
          <c:spPr>
            <a:ln w="28575">
              <a:solidFill>
                <a:schemeClr val="accent1"/>
              </a:solidFill>
              <a:prstDash val="sysDash"/>
            </a:ln>
          </c:spPr>
          <c:xVal>
            <c:numRef>
              <c:f>'Splitting ten vs compress stren'!$A$3:$A$8</c:f>
              <c:numCache>
                <c:formatCode>General</c:formatCode>
                <c:ptCount val="6"/>
                <c:pt idx="0">
                  <c:v>68.8</c:v>
                </c:pt>
                <c:pt idx="1">
                  <c:v>54.760000000000005</c:v>
                </c:pt>
                <c:pt idx="2">
                  <c:v>46.36</c:v>
                </c:pt>
                <c:pt idx="3">
                  <c:v>29.860000000000003</c:v>
                </c:pt>
                <c:pt idx="4">
                  <c:v>19.3</c:v>
                </c:pt>
                <c:pt idx="5">
                  <c:v>18.48</c:v>
                </c:pt>
              </c:numCache>
            </c:numRef>
          </c:xVal>
          <c:yVal>
            <c:numRef>
              <c:f>'Splitting ten vs compress stren'!$E$3:$E$8</c:f>
              <c:numCache>
                <c:formatCode>0.00</c:formatCode>
                <c:ptCount val="6"/>
                <c:pt idx="0">
                  <c:v>3.2960205943686032</c:v>
                </c:pt>
                <c:pt idx="1">
                  <c:v>2.9204761723972306</c:v>
                </c:pt>
                <c:pt idx="2">
                  <c:v>2.6737700903034818</c:v>
                </c:pt>
                <c:pt idx="3">
                  <c:v>2.117705868647783</c:v>
                </c:pt>
                <c:pt idx="4">
                  <c:v>1.6804028836041245</c:v>
                </c:pt>
                <c:pt idx="5">
                  <c:v>1.6421774598133463</c:v>
                </c:pt>
              </c:numCache>
            </c:numRef>
          </c:yVal>
          <c:smooth val="1"/>
          <c:extLst>
            <c:ext xmlns:c16="http://schemas.microsoft.com/office/drawing/2014/chart" uri="{C3380CC4-5D6E-409C-BE32-E72D297353CC}">
              <c16:uniqueId val="{00000002-0B70-4A3D-81F6-23D0DBC12B00}"/>
            </c:ext>
          </c:extLst>
        </c:ser>
        <c:ser>
          <c:idx val="1"/>
          <c:order val="3"/>
          <c:tx>
            <c:strRef>
              <c:f>'Splitting ten vs compress stren'!$C$2</c:f>
              <c:strCache>
                <c:ptCount val="1"/>
                <c:pt idx="0">
                  <c:v>ACI 318</c:v>
                </c:pt>
              </c:strCache>
            </c:strRef>
          </c:tx>
          <c:spPr>
            <a:ln w="28575">
              <a:solidFill>
                <a:schemeClr val="accent2"/>
              </a:solidFill>
              <a:prstDash val="sysDot"/>
            </a:ln>
          </c:spPr>
          <c:xVal>
            <c:numRef>
              <c:f>'Splitting ten vs compress stren'!$A$3:$A$8</c:f>
              <c:numCache>
                <c:formatCode>General</c:formatCode>
                <c:ptCount val="6"/>
                <c:pt idx="0">
                  <c:v>68.8</c:v>
                </c:pt>
                <c:pt idx="1">
                  <c:v>54.760000000000005</c:v>
                </c:pt>
                <c:pt idx="2">
                  <c:v>46.36</c:v>
                </c:pt>
                <c:pt idx="3">
                  <c:v>29.860000000000003</c:v>
                </c:pt>
                <c:pt idx="4">
                  <c:v>19.3</c:v>
                </c:pt>
                <c:pt idx="5">
                  <c:v>18.48</c:v>
                </c:pt>
              </c:numCache>
            </c:numRef>
          </c:xVal>
          <c:yVal>
            <c:numRef>
              <c:f>'Splitting ten vs compress stren'!$C$3:$C$8</c:f>
              <c:numCache>
                <c:formatCode>0.00</c:formatCode>
                <c:ptCount val="6"/>
                <c:pt idx="0">
                  <c:v>4.8938001593853411</c:v>
                </c:pt>
                <c:pt idx="1">
                  <c:v>4.3659999999999997</c:v>
                </c:pt>
                <c:pt idx="2">
                  <c:v>4.0172025092096115</c:v>
                </c:pt>
                <c:pt idx="3">
                  <c:v>3.2240139577861631</c:v>
                </c:pt>
                <c:pt idx="4">
                  <c:v>2.5919741511056782</c:v>
                </c:pt>
                <c:pt idx="5">
                  <c:v>2.5363138607041518</c:v>
                </c:pt>
              </c:numCache>
            </c:numRef>
          </c:yVal>
          <c:smooth val="1"/>
          <c:extLst>
            <c:ext xmlns:c16="http://schemas.microsoft.com/office/drawing/2014/chart" uri="{C3380CC4-5D6E-409C-BE32-E72D297353CC}">
              <c16:uniqueId val="{00000003-0B70-4A3D-81F6-23D0DBC12B00}"/>
            </c:ext>
          </c:extLst>
        </c:ser>
        <c:ser>
          <c:idx val="3"/>
          <c:order val="4"/>
          <c:tx>
            <c:strRef>
              <c:f>'Splitting ten vs compress stren'!$F$2</c:f>
              <c:strCache>
                <c:ptCount val="1"/>
                <c:pt idx="0">
                  <c:v>EN 1992</c:v>
                </c:pt>
              </c:strCache>
            </c:strRef>
          </c:tx>
          <c:spPr>
            <a:ln w="28575">
              <a:solidFill>
                <a:schemeClr val="accent4"/>
              </a:solidFill>
              <a:prstDash val="dash"/>
            </a:ln>
          </c:spPr>
          <c:xVal>
            <c:numRef>
              <c:f>'Splitting ten vs compress stren'!$A$3:$A$8</c:f>
              <c:numCache>
                <c:formatCode>General</c:formatCode>
                <c:ptCount val="6"/>
                <c:pt idx="0">
                  <c:v>68.8</c:v>
                </c:pt>
                <c:pt idx="1">
                  <c:v>54.760000000000005</c:v>
                </c:pt>
                <c:pt idx="2">
                  <c:v>46.36</c:v>
                </c:pt>
                <c:pt idx="3">
                  <c:v>29.860000000000003</c:v>
                </c:pt>
                <c:pt idx="4">
                  <c:v>19.3</c:v>
                </c:pt>
                <c:pt idx="5">
                  <c:v>18.48</c:v>
                </c:pt>
              </c:numCache>
            </c:numRef>
          </c:xVal>
          <c:yVal>
            <c:numRef>
              <c:f>'Splitting ten vs compress stren'!$F$3:$F$8</c:f>
              <c:numCache>
                <c:formatCode>0.00</c:formatCode>
                <c:ptCount val="6"/>
                <c:pt idx="0">
                  <c:v>5.0370958325402349</c:v>
                </c:pt>
                <c:pt idx="1">
                  <c:v>4.3261032560317405</c:v>
                </c:pt>
                <c:pt idx="2">
                  <c:v>3.8715381182428343</c:v>
                </c:pt>
                <c:pt idx="3">
                  <c:v>2.8874498962464785</c:v>
                </c:pt>
                <c:pt idx="4">
                  <c:v>2.1585368177072497</c:v>
                </c:pt>
                <c:pt idx="5">
                  <c:v>2.0969555885895446</c:v>
                </c:pt>
              </c:numCache>
            </c:numRef>
          </c:yVal>
          <c:smooth val="1"/>
          <c:extLst>
            <c:ext xmlns:c16="http://schemas.microsoft.com/office/drawing/2014/chart" uri="{C3380CC4-5D6E-409C-BE32-E72D297353CC}">
              <c16:uniqueId val="{00000004-0B70-4A3D-81F6-23D0DBC12B00}"/>
            </c:ext>
          </c:extLst>
        </c:ser>
        <c:dLbls>
          <c:showLegendKey val="0"/>
          <c:showVal val="0"/>
          <c:showCatName val="0"/>
          <c:showSerName val="0"/>
          <c:showPercent val="0"/>
          <c:showBubbleSize val="0"/>
        </c:dLbls>
        <c:axId val="443245312"/>
        <c:axId val="443247232"/>
      </c:scatterChart>
      <c:valAx>
        <c:axId val="443245312"/>
        <c:scaling>
          <c:orientation val="minMax"/>
          <c:max val="100"/>
        </c:scaling>
        <c:delete val="0"/>
        <c:axPos val="b"/>
        <c:title>
          <c:tx>
            <c:rich>
              <a:bodyPr/>
              <a:lstStyle/>
              <a:p>
                <a:pPr>
                  <a:defRPr/>
                </a:pPr>
                <a:r>
                  <a:rPr lang="en-US"/>
                  <a:t>Compressive Strength (MPa)</a:t>
                </a:r>
              </a:p>
            </c:rich>
          </c:tx>
          <c:overlay val="0"/>
        </c:title>
        <c:numFmt formatCode="#,##0" sourceLinked="0"/>
        <c:majorTickMark val="out"/>
        <c:minorTickMark val="none"/>
        <c:tickLblPos val="nextTo"/>
        <c:crossAx val="443247232"/>
        <c:crosses val="autoZero"/>
        <c:crossBetween val="midCat"/>
      </c:valAx>
      <c:valAx>
        <c:axId val="443247232"/>
        <c:scaling>
          <c:orientation val="minMax"/>
        </c:scaling>
        <c:delete val="0"/>
        <c:axPos val="l"/>
        <c:majorGridlines/>
        <c:title>
          <c:tx>
            <c:rich>
              <a:bodyPr rot="-5400000" vert="horz"/>
              <a:lstStyle/>
              <a:p>
                <a:pPr>
                  <a:defRPr/>
                </a:pPr>
                <a:r>
                  <a:rPr lang="en-US"/>
                  <a:t>Splitting Tensile Strength (MPa)</a:t>
                </a:r>
              </a:p>
            </c:rich>
          </c:tx>
          <c:overlay val="0"/>
        </c:title>
        <c:numFmt formatCode="0" sourceLinked="0"/>
        <c:majorTickMark val="out"/>
        <c:minorTickMark val="none"/>
        <c:tickLblPos val="nextTo"/>
        <c:crossAx val="443245312"/>
        <c:crosses val="autoZero"/>
        <c:crossBetween val="midCat"/>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06049024573682"/>
          <c:y val="8.8092373869932919E-2"/>
          <c:w val="0.69744252345476598"/>
          <c:h val="0.65472265459847601"/>
        </c:manualLayout>
      </c:layout>
      <c:scatterChart>
        <c:scatterStyle val="lineMarker"/>
        <c:varyColors val="0"/>
        <c:ser>
          <c:idx val="0"/>
          <c:order val="0"/>
          <c:tx>
            <c:v>NA</c:v>
          </c:tx>
          <c:spPr>
            <a:ln w="19050">
              <a:solidFill>
                <a:schemeClr val="tx1"/>
              </a:solidFill>
              <a:prstDash val="dash"/>
            </a:ln>
          </c:spPr>
          <c:marker>
            <c:spPr>
              <a:solidFill>
                <a:schemeClr val="tx1"/>
              </a:solidFill>
              <a:ln>
                <a:solidFill>
                  <a:schemeClr val="tx1"/>
                </a:solidFill>
              </a:ln>
            </c:spPr>
          </c:marker>
          <c:dLbls>
            <c:delete val="1"/>
          </c:dLbls>
          <c:xVal>
            <c:numRef>
              <c:f>('Paver Blocks Aggreagtes'!$C$20:$C$22,'Paver Blocks Aggreagtes'!$C$24:$C$30)</c:f>
              <c:numCache>
                <c:formatCode>General</c:formatCode>
                <c:ptCount val="10"/>
                <c:pt idx="0">
                  <c:v>12.5</c:v>
                </c:pt>
                <c:pt idx="1">
                  <c:v>9.5</c:v>
                </c:pt>
                <c:pt idx="2">
                  <c:v>4.75</c:v>
                </c:pt>
                <c:pt idx="3">
                  <c:v>2.36</c:v>
                </c:pt>
                <c:pt idx="4" formatCode="0.00">
                  <c:v>2</c:v>
                </c:pt>
                <c:pt idx="5" formatCode="0.00">
                  <c:v>1.18</c:v>
                </c:pt>
                <c:pt idx="6" formatCode="0.000">
                  <c:v>0.6</c:v>
                </c:pt>
                <c:pt idx="7" formatCode="0.000">
                  <c:v>0.3</c:v>
                </c:pt>
                <c:pt idx="8" formatCode="0.000">
                  <c:v>0.15</c:v>
                </c:pt>
                <c:pt idx="9" formatCode="0.000">
                  <c:v>7.4999999999999997E-2</c:v>
                </c:pt>
              </c:numCache>
            </c:numRef>
          </c:xVal>
          <c:yVal>
            <c:numRef>
              <c:f>('Paver Blocks Aggreagtes'!$I$20:$I$22,'Paver Blocks Aggreagtes'!$I$24:$I$31)</c:f>
              <c:numCache>
                <c:formatCode>0.00</c:formatCode>
                <c:ptCount val="11"/>
                <c:pt idx="0">
                  <c:v>100</c:v>
                </c:pt>
                <c:pt idx="1">
                  <c:v>99.893532073462836</c:v>
                </c:pt>
                <c:pt idx="2">
                  <c:v>25.13530298997426</c:v>
                </c:pt>
                <c:pt idx="3">
                  <c:v>2.6705704906396899</c:v>
                </c:pt>
                <c:pt idx="4">
                  <c:v>1.384083044982688</c:v>
                </c:pt>
                <c:pt idx="5">
                  <c:v>7.9850944902830207E-2</c:v>
                </c:pt>
                <c:pt idx="6">
                  <c:v>6.2106290479974298E-2</c:v>
                </c:pt>
                <c:pt idx="7">
                  <c:v>6.2106290479974298E-2</c:v>
                </c:pt>
                <c:pt idx="8">
                  <c:v>6.2106290479974298E-2</c:v>
                </c:pt>
                <c:pt idx="9">
                  <c:v>6.2106290479974298E-2</c:v>
                </c:pt>
                <c:pt idx="10">
                  <c:v>0</c:v>
                </c:pt>
              </c:numCache>
            </c:numRef>
          </c:yVal>
          <c:smooth val="0"/>
          <c:extLst>
            <c:ext xmlns:c16="http://schemas.microsoft.com/office/drawing/2014/chart" uri="{C3380CC4-5D6E-409C-BE32-E72D297353CC}">
              <c16:uniqueId val="{00000000-E2B3-443B-9500-1CE930AABFF5}"/>
            </c:ext>
          </c:extLst>
        </c:ser>
        <c:ser>
          <c:idx val="3"/>
          <c:order val="3"/>
          <c:tx>
            <c:v>CNA</c:v>
          </c:tx>
          <c:spPr>
            <a:ln w="22225">
              <a:solidFill>
                <a:schemeClr val="tx1"/>
              </a:solidFill>
              <a:prstDash val="sysDot"/>
            </a:ln>
          </c:spPr>
          <c:marker>
            <c:spPr>
              <a:solidFill>
                <a:schemeClr val="tx1"/>
              </a:solidFill>
              <a:ln>
                <a:solidFill>
                  <a:schemeClr val="tx1"/>
                </a:solidFill>
              </a:ln>
            </c:spPr>
          </c:marker>
          <c:dLbls>
            <c:delete val="1"/>
          </c:dLbls>
          <c:xVal>
            <c:numRef>
              <c:f>('C8 Fines new'!$C$20:$C$22,'C8 Fines new'!$C$24:$C$30)</c:f>
              <c:numCache>
                <c:formatCode>General</c:formatCode>
                <c:ptCount val="10"/>
                <c:pt idx="0">
                  <c:v>12.5</c:v>
                </c:pt>
                <c:pt idx="1">
                  <c:v>9.5</c:v>
                </c:pt>
                <c:pt idx="2">
                  <c:v>4.75</c:v>
                </c:pt>
                <c:pt idx="3">
                  <c:v>2.36</c:v>
                </c:pt>
                <c:pt idx="4" formatCode="0.00">
                  <c:v>2</c:v>
                </c:pt>
                <c:pt idx="5" formatCode="0.00">
                  <c:v>1.18</c:v>
                </c:pt>
                <c:pt idx="6" formatCode="0.000">
                  <c:v>0.6</c:v>
                </c:pt>
                <c:pt idx="7" formatCode="0.000">
                  <c:v>0.3</c:v>
                </c:pt>
                <c:pt idx="8" formatCode="0.000">
                  <c:v>0.15</c:v>
                </c:pt>
                <c:pt idx="9" formatCode="0.000">
                  <c:v>7.4999999999999997E-2</c:v>
                </c:pt>
              </c:numCache>
            </c:numRef>
          </c:xVal>
          <c:yVal>
            <c:numRef>
              <c:f>('C8 Fines new'!$I$20:$I$22,'C8 Fines new'!$I$24:$I$30)</c:f>
              <c:numCache>
                <c:formatCode>0.00</c:formatCode>
                <c:ptCount val="10"/>
                <c:pt idx="0">
                  <c:v>100</c:v>
                </c:pt>
                <c:pt idx="1">
                  <c:v>99.723309221708362</c:v>
                </c:pt>
                <c:pt idx="2">
                  <c:v>68.141033242420647</c:v>
                </c:pt>
                <c:pt idx="3">
                  <c:v>35.056721609549797</c:v>
                </c:pt>
                <c:pt idx="4">
                  <c:v>29.673109609075471</c:v>
                </c:pt>
                <c:pt idx="5">
                  <c:v>17.198308233527019</c:v>
                </c:pt>
                <c:pt idx="6">
                  <c:v>6.5022332898533657</c:v>
                </c:pt>
                <c:pt idx="7">
                  <c:v>3.3914383967745878</c:v>
                </c:pt>
                <c:pt idx="8">
                  <c:v>1.0553776829123791</c:v>
                </c:pt>
                <c:pt idx="9">
                  <c:v>0.20949444642081999</c:v>
                </c:pt>
              </c:numCache>
            </c:numRef>
          </c:yVal>
          <c:smooth val="0"/>
          <c:extLst>
            <c:ext xmlns:c16="http://schemas.microsoft.com/office/drawing/2014/chart" uri="{C3380CC4-5D6E-409C-BE32-E72D297353CC}">
              <c16:uniqueId val="{00000001-E2B3-443B-9500-1CE930AABFF5}"/>
            </c:ext>
          </c:extLst>
        </c:ser>
        <c:ser>
          <c:idx val="4"/>
          <c:order val="4"/>
          <c:tx>
            <c:v>Sand</c:v>
          </c:tx>
          <c:spPr>
            <a:ln w="19050">
              <a:solidFill>
                <a:schemeClr val="tx1"/>
              </a:solidFill>
            </a:ln>
          </c:spPr>
          <c:marker>
            <c:symbol val="triangle"/>
            <c:size val="7"/>
            <c:spPr>
              <a:solidFill>
                <a:schemeClr val="tx1"/>
              </a:solidFill>
              <a:ln>
                <a:solidFill>
                  <a:schemeClr val="tx1"/>
                </a:solidFill>
              </a:ln>
            </c:spPr>
          </c:marker>
          <c:dLbls>
            <c:delete val="1"/>
          </c:dLbls>
          <c:xVal>
            <c:numRef>
              <c:f>('River sand'!$C$20:$C$22,'River sand'!$C$24,'River sand'!$C$28:$C$30)</c:f>
              <c:numCache>
                <c:formatCode>General</c:formatCode>
                <c:ptCount val="7"/>
                <c:pt idx="0">
                  <c:v>12.5</c:v>
                </c:pt>
                <c:pt idx="1">
                  <c:v>9.5</c:v>
                </c:pt>
                <c:pt idx="2">
                  <c:v>4.75</c:v>
                </c:pt>
                <c:pt idx="3">
                  <c:v>2.36</c:v>
                </c:pt>
                <c:pt idx="4" formatCode="0.000">
                  <c:v>0.3</c:v>
                </c:pt>
                <c:pt idx="5" formatCode="0.000">
                  <c:v>0.15</c:v>
                </c:pt>
                <c:pt idx="6" formatCode="0.000">
                  <c:v>7.4999999999999997E-2</c:v>
                </c:pt>
              </c:numCache>
            </c:numRef>
          </c:xVal>
          <c:yVal>
            <c:numRef>
              <c:f>('River sand'!$I$20:$I$22,'River sand'!$I$24,'River sand'!$I$28:$I$30)</c:f>
              <c:numCache>
                <c:formatCode>0.00</c:formatCode>
                <c:ptCount val="7"/>
                <c:pt idx="0">
                  <c:v>100</c:v>
                </c:pt>
                <c:pt idx="1">
                  <c:v>100</c:v>
                </c:pt>
                <c:pt idx="2">
                  <c:v>90.675174969123077</c:v>
                </c:pt>
                <c:pt idx="3">
                  <c:v>77.315767805681318</c:v>
                </c:pt>
                <c:pt idx="4">
                  <c:v>10.54617812542884</c:v>
                </c:pt>
                <c:pt idx="5">
                  <c:v>1.3174145738987171</c:v>
                </c:pt>
                <c:pt idx="6">
                  <c:v>0.178399890215445</c:v>
                </c:pt>
              </c:numCache>
            </c:numRef>
          </c:yVal>
          <c:smooth val="0"/>
          <c:extLst>
            <c:ext xmlns:c16="http://schemas.microsoft.com/office/drawing/2014/chart" uri="{C3380CC4-5D6E-409C-BE32-E72D297353CC}">
              <c16:uniqueId val="{00000002-E2B3-443B-9500-1CE930AABFF5}"/>
            </c:ext>
          </c:extLst>
        </c:ser>
        <c:dLbls>
          <c:showLegendKey val="0"/>
          <c:showVal val="1"/>
          <c:showCatName val="0"/>
          <c:showSerName val="0"/>
          <c:showPercent val="0"/>
          <c:showBubbleSize val="0"/>
        </c:dLbls>
        <c:axId val="231651584"/>
        <c:axId val="231654144"/>
        <c:extLst>
          <c:ext xmlns:c15="http://schemas.microsoft.com/office/drawing/2012/chart" uri="{02D57815-91ED-43cb-92C2-25804820EDAC}">
            <c15:filteredScatterSeries>
              <c15:ser>
                <c:idx val="1"/>
                <c:order val="1"/>
                <c:tx>
                  <c:v>LL</c:v>
                </c:tx>
                <c:spPr>
                  <a:ln w="22225"/>
                </c:spPr>
                <c:marker>
                  <c:symbol val="square"/>
                  <c:size val="4"/>
                </c:marker>
                <c:dLbls>
                  <c:delete val="1"/>
                </c:dLbls>
                <c:xVal>
                  <c:numRef>
                    <c:extLst>
                      <c:ext uri="{02D57815-91ED-43cb-92C2-25804820EDAC}">
                        <c15:formulaRef>
                          <c15:sqref>('Paver Blocks Aggreagtes'!$C$20,'Paver Blocks Aggreagtes'!$C$21,'Paver Blocks Aggreagtes'!$C$22,'Paver Blocks Aggreagtes'!$C$24,'Paver Blocks Aggreagtes'!$C$28,'Paver Blocks Aggreagtes'!$C$29,'Paver Blocks Aggreagtes'!$C$30)</c15:sqref>
                        </c15:formulaRef>
                      </c:ext>
                    </c:extLst>
                    <c:numCache>
                      <c:formatCode>General</c:formatCode>
                      <c:ptCount val="7"/>
                      <c:pt idx="0">
                        <c:v>12.5</c:v>
                      </c:pt>
                      <c:pt idx="1">
                        <c:v>9.5</c:v>
                      </c:pt>
                      <c:pt idx="2">
                        <c:v>4.75</c:v>
                      </c:pt>
                      <c:pt idx="3">
                        <c:v>2.36</c:v>
                      </c:pt>
                      <c:pt idx="4" formatCode="0.000">
                        <c:v>0.3</c:v>
                      </c:pt>
                      <c:pt idx="5" formatCode="0.000">
                        <c:v>0.15</c:v>
                      </c:pt>
                      <c:pt idx="6" formatCode="0.000">
                        <c:v>7.4999999999999997E-2</c:v>
                      </c:pt>
                    </c:numCache>
                  </c:numRef>
                </c:xVal>
                <c:yVal>
                  <c:numRef>
                    <c:extLst>
                      <c:ext uri="{02D57815-91ED-43cb-92C2-25804820EDAC}">
                        <c15:formulaRef>
                          <c15:sqref>('Paver Blocks Aggreagtes'!$J$20,'Paver Blocks Aggreagtes'!$J$21,'Paver Blocks Aggreagtes'!$J$22,'Paver Blocks Aggreagtes'!$J$24,'Paver Blocks Aggreagtes'!$J$28,'Paver Blocks Aggreagtes'!$J$29,'Paver Blocks Aggreagtes'!$J$30)</c15:sqref>
                        </c15:formulaRef>
                      </c:ext>
                    </c:extLst>
                    <c:numCache>
                      <c:formatCode>General</c:formatCode>
                      <c:ptCount val="7"/>
                      <c:pt idx="0">
                        <c:v>100</c:v>
                      </c:pt>
                      <c:pt idx="1">
                        <c:v>90</c:v>
                      </c:pt>
                      <c:pt idx="2">
                        <c:v>70</c:v>
                      </c:pt>
                      <c:pt idx="3">
                        <c:v>50</c:v>
                      </c:pt>
                      <c:pt idx="4">
                        <c:v>10</c:v>
                      </c:pt>
                      <c:pt idx="5">
                        <c:v>5</c:v>
                      </c:pt>
                      <c:pt idx="6">
                        <c:v>2</c:v>
                      </c:pt>
                    </c:numCache>
                  </c:numRef>
                </c:yVal>
                <c:smooth val="0"/>
                <c:extLst>
                  <c:ext xmlns:c16="http://schemas.microsoft.com/office/drawing/2014/chart" uri="{C3380CC4-5D6E-409C-BE32-E72D297353CC}">
                    <c16:uniqueId val="{00000003-E2B3-443B-9500-1CE930AABFF5}"/>
                  </c:ext>
                </c:extLst>
              </c15:ser>
            </c15:filteredScatterSeries>
            <c15:filteredScatterSeries>
              <c15:ser>
                <c:idx val="2"/>
                <c:order val="2"/>
                <c:tx>
                  <c:v>UL</c:v>
                </c:tx>
                <c:spPr>
                  <a:ln w="22225">
                    <a:solidFill>
                      <a:schemeClr val="accent2"/>
                    </a:solidFill>
                  </a:ln>
                </c:spPr>
                <c:marker>
                  <c:symbol val="triangle"/>
                  <c:size val="4"/>
                  <c:spPr>
                    <a:solidFill>
                      <a:schemeClr val="accent2"/>
                    </a:solidFill>
                    <a:ln>
                      <a:solidFill>
                        <a:schemeClr val="accent2"/>
                      </a:solidFill>
                    </a:ln>
                  </c:spPr>
                </c:marker>
                <c:dLbls>
                  <c:delete val="1"/>
                </c:dLbls>
                <c:xVal>
                  <c:numRef>
                    <c:extLst xmlns:c15="http://schemas.microsoft.com/office/drawing/2012/chart">
                      <c:ext xmlns:c15="http://schemas.microsoft.com/office/drawing/2012/chart" uri="{02D57815-91ED-43cb-92C2-25804820EDAC}">
                        <c15:formulaRef>
                          <c15:sqref>('Paver Blocks Aggreagtes'!$C$20,'Paver Blocks Aggreagtes'!$C$21,'Paver Blocks Aggreagtes'!$C$22,'Paver Blocks Aggreagtes'!$C$24,'Paver Blocks Aggreagtes'!$C$28,'Paver Blocks Aggreagtes'!$C$29,'Paver Blocks Aggreagtes'!$C$30)</c15:sqref>
                        </c15:formulaRef>
                      </c:ext>
                    </c:extLst>
                    <c:numCache>
                      <c:formatCode>General</c:formatCode>
                      <c:ptCount val="7"/>
                      <c:pt idx="0">
                        <c:v>12.5</c:v>
                      </c:pt>
                      <c:pt idx="1">
                        <c:v>9.5</c:v>
                      </c:pt>
                      <c:pt idx="2">
                        <c:v>4.75</c:v>
                      </c:pt>
                      <c:pt idx="3">
                        <c:v>2.36</c:v>
                      </c:pt>
                      <c:pt idx="4" formatCode="0.000">
                        <c:v>0.3</c:v>
                      </c:pt>
                      <c:pt idx="5" formatCode="0.000">
                        <c:v>0.15</c:v>
                      </c:pt>
                      <c:pt idx="6" formatCode="0.000">
                        <c:v>7.4999999999999997E-2</c:v>
                      </c:pt>
                    </c:numCache>
                  </c:numRef>
                </c:xVal>
                <c:yVal>
                  <c:numRef>
                    <c:extLst xmlns:c15="http://schemas.microsoft.com/office/drawing/2012/chart">
                      <c:ext xmlns:c15="http://schemas.microsoft.com/office/drawing/2012/chart" uri="{02D57815-91ED-43cb-92C2-25804820EDAC}">
                        <c15:formulaRef>
                          <c15:sqref>('Paver Blocks Aggreagtes'!$L$20,'Paver Blocks Aggreagtes'!$L$21,'Paver Blocks Aggreagtes'!$L$22,'Paver Blocks Aggreagtes'!$L$24,'Paver Blocks Aggreagtes'!$L$28,'Paver Blocks Aggreagtes'!$L$29,'Paver Blocks Aggreagtes'!$L$30)</c15:sqref>
                        </c15:formulaRef>
                      </c:ext>
                    </c:extLst>
                    <c:numCache>
                      <c:formatCode>General</c:formatCode>
                      <c:ptCount val="7"/>
                      <c:pt idx="0">
                        <c:v>100</c:v>
                      </c:pt>
                      <c:pt idx="1">
                        <c:v>100</c:v>
                      </c:pt>
                      <c:pt idx="2">
                        <c:v>85</c:v>
                      </c:pt>
                      <c:pt idx="3">
                        <c:v>65</c:v>
                      </c:pt>
                      <c:pt idx="4">
                        <c:v>25</c:v>
                      </c:pt>
                      <c:pt idx="5">
                        <c:v>15</c:v>
                      </c:pt>
                      <c:pt idx="6">
                        <c:v>10</c:v>
                      </c:pt>
                    </c:numCache>
                  </c:numRef>
                </c:yVal>
                <c:smooth val="0"/>
                <c:extLst xmlns:c15="http://schemas.microsoft.com/office/drawing/2012/chart">
                  <c:ext xmlns:c16="http://schemas.microsoft.com/office/drawing/2014/chart" uri="{C3380CC4-5D6E-409C-BE32-E72D297353CC}">
                    <c16:uniqueId val="{00000004-E2B3-443B-9500-1CE930AABFF5}"/>
                  </c:ext>
                </c:extLst>
              </c15:ser>
            </c15:filteredScatterSeries>
          </c:ext>
        </c:extLst>
      </c:scatterChart>
      <c:valAx>
        <c:axId val="231651584"/>
        <c:scaling>
          <c:logBase val="10"/>
          <c:orientation val="minMax"/>
          <c:max val="100"/>
        </c:scaling>
        <c:delete val="0"/>
        <c:axPos val="b"/>
        <c:majorGridlines/>
        <c:minorGridlines/>
        <c:title>
          <c:tx>
            <c:rich>
              <a:bodyPr/>
              <a:lstStyle/>
              <a:p>
                <a:pPr>
                  <a:defRPr/>
                </a:pPr>
                <a:r>
                  <a:rPr lang="en-TT"/>
                  <a:t>SIEVE SIZE (mm)</a:t>
                </a:r>
              </a:p>
            </c:rich>
          </c:tx>
          <c:overlay val="0"/>
        </c:title>
        <c:numFmt formatCode="#,##0.00" sourceLinked="0"/>
        <c:majorTickMark val="out"/>
        <c:minorTickMark val="none"/>
        <c:tickLblPos val="nextTo"/>
        <c:crossAx val="231654144"/>
        <c:crossesAt val="0"/>
        <c:crossBetween val="midCat"/>
        <c:majorUnit val="10"/>
      </c:valAx>
      <c:valAx>
        <c:axId val="231654144"/>
        <c:scaling>
          <c:orientation val="minMax"/>
          <c:max val="100"/>
          <c:min val="0"/>
        </c:scaling>
        <c:delete val="0"/>
        <c:axPos val="l"/>
        <c:majorGridlines/>
        <c:minorGridlines>
          <c:spPr>
            <a:ln>
              <a:noFill/>
            </a:ln>
          </c:spPr>
        </c:minorGridlines>
        <c:title>
          <c:tx>
            <c:rich>
              <a:bodyPr rot="-5400000" vert="horz"/>
              <a:lstStyle/>
              <a:p>
                <a:pPr>
                  <a:defRPr/>
                </a:pPr>
                <a:r>
                  <a:rPr lang="en-TT"/>
                  <a:t>% FINER BY WEIGHT PASSING</a:t>
                </a:r>
              </a:p>
            </c:rich>
          </c:tx>
          <c:overlay val="0"/>
        </c:title>
        <c:numFmt formatCode="General" sourceLinked="0"/>
        <c:majorTickMark val="out"/>
        <c:minorTickMark val="none"/>
        <c:tickLblPos val="nextTo"/>
        <c:crossAx val="231651584"/>
        <c:crossesAt val="0.01"/>
        <c:crossBetween val="midCat"/>
        <c:minorUnit val="5"/>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28-Day Density vs % CNA</c:v>
          </c:tx>
          <c:spPr>
            <a:ln w="28575">
              <a:noFill/>
            </a:ln>
          </c:spPr>
          <c:trendline>
            <c:trendlineType val="linear"/>
            <c:dispRSqr val="1"/>
            <c:dispEq val="1"/>
            <c:trendlineLbl>
              <c:layout>
                <c:manualLayout>
                  <c:x val="-2.8515580085085967E-3"/>
                  <c:y val="-0.57337392461079573"/>
                </c:manualLayout>
              </c:layout>
              <c:numFmt formatCode="#,##0.00" sourceLinked="0"/>
              <c:spPr>
                <a:solidFill>
                  <a:schemeClr val="bg1"/>
                </a:solidFill>
                <a:ln>
                  <a:solidFill>
                    <a:schemeClr val="tx1"/>
                  </a:solidFill>
                </a:ln>
              </c:spPr>
            </c:trendlineLbl>
          </c:trendline>
          <c:xVal>
            <c:numRef>
              <c:f>'Mix 2+Mix 3'!$B$37:$B$42</c:f>
              <c:numCache>
                <c:formatCode>General</c:formatCode>
                <c:ptCount val="6"/>
                <c:pt idx="0">
                  <c:v>0</c:v>
                </c:pt>
                <c:pt idx="1">
                  <c:v>15</c:v>
                </c:pt>
                <c:pt idx="2">
                  <c:v>30</c:v>
                </c:pt>
                <c:pt idx="3">
                  <c:v>50</c:v>
                </c:pt>
                <c:pt idx="4">
                  <c:v>75</c:v>
                </c:pt>
                <c:pt idx="5">
                  <c:v>100</c:v>
                </c:pt>
              </c:numCache>
            </c:numRef>
          </c:xVal>
          <c:yVal>
            <c:numRef>
              <c:f>'Mix 2+Mix 3'!$D$37:$D$42</c:f>
              <c:numCache>
                <c:formatCode>0</c:formatCode>
                <c:ptCount val="6"/>
                <c:pt idx="0">
                  <c:v>2591.1761654670545</c:v>
                </c:pt>
                <c:pt idx="1">
                  <c:v>2515.3874296940808</c:v>
                </c:pt>
                <c:pt idx="2">
                  <c:v>2469.4719353848914</c:v>
                </c:pt>
                <c:pt idx="3">
                  <c:v>2359.7888317254306</c:v>
                </c:pt>
                <c:pt idx="4">
                  <c:v>2246.267700505105</c:v>
                </c:pt>
                <c:pt idx="5">
                  <c:v>2211.3944590413203</c:v>
                </c:pt>
              </c:numCache>
            </c:numRef>
          </c:yVal>
          <c:smooth val="0"/>
          <c:extLst>
            <c:ext xmlns:c16="http://schemas.microsoft.com/office/drawing/2014/chart" uri="{C3380CC4-5D6E-409C-BE32-E72D297353CC}">
              <c16:uniqueId val="{00000000-CD76-4CA8-8186-64813732EFDF}"/>
            </c:ext>
          </c:extLst>
        </c:ser>
        <c:dLbls>
          <c:showLegendKey val="0"/>
          <c:showVal val="0"/>
          <c:showCatName val="0"/>
          <c:showSerName val="0"/>
          <c:showPercent val="0"/>
          <c:showBubbleSize val="0"/>
        </c:dLbls>
        <c:axId val="231548800"/>
        <c:axId val="231555072"/>
      </c:scatterChart>
      <c:valAx>
        <c:axId val="231548800"/>
        <c:scaling>
          <c:orientation val="minMax"/>
          <c:max val="100"/>
        </c:scaling>
        <c:delete val="0"/>
        <c:axPos val="b"/>
        <c:title>
          <c:tx>
            <c:rich>
              <a:bodyPr/>
              <a:lstStyle/>
              <a:p>
                <a:pPr>
                  <a:defRPr/>
                </a:pPr>
                <a:r>
                  <a:rPr lang="en-US"/>
                  <a:t>% CNA (by Mass) (%)</a:t>
                </a:r>
              </a:p>
            </c:rich>
          </c:tx>
          <c:overlay val="0"/>
        </c:title>
        <c:numFmt formatCode="#,##0" sourceLinked="0"/>
        <c:majorTickMark val="out"/>
        <c:minorTickMark val="none"/>
        <c:tickLblPos val="nextTo"/>
        <c:crossAx val="231555072"/>
        <c:crosses val="autoZero"/>
        <c:crossBetween val="midCat"/>
        <c:majorUnit val="25"/>
      </c:valAx>
      <c:valAx>
        <c:axId val="231555072"/>
        <c:scaling>
          <c:orientation val="minMax"/>
        </c:scaling>
        <c:delete val="0"/>
        <c:axPos val="l"/>
        <c:majorGridlines/>
        <c:title>
          <c:tx>
            <c:rich>
              <a:bodyPr rot="-5400000" vert="horz"/>
              <a:lstStyle/>
              <a:p>
                <a:pPr>
                  <a:defRPr/>
                </a:pPr>
                <a:r>
                  <a:rPr lang="en-US"/>
                  <a:t>Density (kg/m</a:t>
                </a:r>
                <a:r>
                  <a:rPr lang="en-US" baseline="30000"/>
                  <a:t>3</a:t>
                </a:r>
                <a:r>
                  <a:rPr lang="en-US"/>
                  <a:t>)</a:t>
                </a:r>
              </a:p>
            </c:rich>
          </c:tx>
          <c:overlay val="0"/>
        </c:title>
        <c:numFmt formatCode="0" sourceLinked="0"/>
        <c:majorTickMark val="out"/>
        <c:minorTickMark val="none"/>
        <c:tickLblPos val="nextTo"/>
        <c:crossAx val="231548800"/>
        <c:crosses val="autoZero"/>
        <c:crossBetween val="midCat"/>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0%CNA</c:v>
          </c:tx>
          <c:spPr>
            <a:ln w="25400"/>
          </c:spPr>
          <c:marker>
            <c:symbol val="diamond"/>
            <c:size val="5"/>
          </c:marker>
          <c:xVal>
            <c:numRef>
              <c:f>Absorption!$A$4:$A$13</c:f>
              <c:numCache>
                <c:formatCode>General</c:formatCode>
                <c:ptCount val="10"/>
                <c:pt idx="0">
                  <c:v>0</c:v>
                </c:pt>
                <c:pt idx="1">
                  <c:v>10</c:v>
                </c:pt>
                <c:pt idx="2">
                  <c:v>20</c:v>
                </c:pt>
                <c:pt idx="3">
                  <c:v>30</c:v>
                </c:pt>
                <c:pt idx="4">
                  <c:v>45</c:v>
                </c:pt>
                <c:pt idx="5">
                  <c:v>60</c:v>
                </c:pt>
                <c:pt idx="6">
                  <c:v>90</c:v>
                </c:pt>
                <c:pt idx="7">
                  <c:v>120</c:v>
                </c:pt>
                <c:pt idx="8">
                  <c:v>720</c:v>
                </c:pt>
                <c:pt idx="9">
                  <c:v>1440</c:v>
                </c:pt>
              </c:numCache>
            </c:numRef>
          </c:xVal>
          <c:yVal>
            <c:numRef>
              <c:f>Absorption!$G$4:$G$13</c:f>
              <c:numCache>
                <c:formatCode>0.00%</c:formatCode>
                <c:ptCount val="10"/>
                <c:pt idx="0">
                  <c:v>0</c:v>
                </c:pt>
                <c:pt idx="1">
                  <c:v>8.155721283718333E-3</c:v>
                </c:pt>
                <c:pt idx="2">
                  <c:v>1.0016931846088185E-2</c:v>
                </c:pt>
                <c:pt idx="3">
                  <c:v>1.0598560146828813E-2</c:v>
                </c:pt>
                <c:pt idx="4">
                  <c:v>1.0999237420672213E-2</c:v>
                </c:pt>
                <c:pt idx="5">
                  <c:v>1.1218963667618841E-2</c:v>
                </c:pt>
                <c:pt idx="6">
                  <c:v>1.1723041528260673E-2</c:v>
                </c:pt>
                <c:pt idx="7">
                  <c:v>1.2097868655404664E-2</c:v>
                </c:pt>
                <c:pt idx="8">
                  <c:v>1.4140030244671515E-2</c:v>
                </c:pt>
                <c:pt idx="9">
                  <c:v>1.6590624151791737E-2</c:v>
                </c:pt>
              </c:numCache>
            </c:numRef>
          </c:yVal>
          <c:smooth val="1"/>
          <c:extLst>
            <c:ext xmlns:c16="http://schemas.microsoft.com/office/drawing/2014/chart" uri="{C3380CC4-5D6E-409C-BE32-E72D297353CC}">
              <c16:uniqueId val="{00000000-49E0-4AE1-A0A4-D5ADDAC4512C}"/>
            </c:ext>
          </c:extLst>
        </c:ser>
        <c:ser>
          <c:idx val="2"/>
          <c:order val="1"/>
          <c:tx>
            <c:v>15%CNA</c:v>
          </c:tx>
          <c:spPr>
            <a:ln w="25400">
              <a:prstDash val="lgDashDotDot"/>
            </a:ln>
          </c:spPr>
          <c:marker>
            <c:symbol val="triangle"/>
            <c:size val="5"/>
          </c:marker>
          <c:xVal>
            <c:numRef>
              <c:f>Absorption!$A$4:$A$13</c:f>
              <c:numCache>
                <c:formatCode>General</c:formatCode>
                <c:ptCount val="10"/>
                <c:pt idx="0">
                  <c:v>0</c:v>
                </c:pt>
                <c:pt idx="1">
                  <c:v>10</c:v>
                </c:pt>
                <c:pt idx="2">
                  <c:v>20</c:v>
                </c:pt>
                <c:pt idx="3">
                  <c:v>30</c:v>
                </c:pt>
                <c:pt idx="4">
                  <c:v>45</c:v>
                </c:pt>
                <c:pt idx="5">
                  <c:v>60</c:v>
                </c:pt>
                <c:pt idx="6">
                  <c:v>90</c:v>
                </c:pt>
                <c:pt idx="7">
                  <c:v>120</c:v>
                </c:pt>
                <c:pt idx="8">
                  <c:v>720</c:v>
                </c:pt>
                <c:pt idx="9">
                  <c:v>1440</c:v>
                </c:pt>
              </c:numCache>
            </c:numRef>
          </c:xVal>
          <c:yVal>
            <c:numRef>
              <c:f>Absorption!$S$4:$S$13</c:f>
              <c:numCache>
                <c:formatCode>0.00%</c:formatCode>
                <c:ptCount val="10"/>
                <c:pt idx="0">
                  <c:v>0</c:v>
                </c:pt>
                <c:pt idx="1">
                  <c:v>1.4131860922807746E-2</c:v>
                </c:pt>
                <c:pt idx="2">
                  <c:v>1.712497266564621E-2</c:v>
                </c:pt>
                <c:pt idx="3">
                  <c:v>1.8437021648808345E-2</c:v>
                </c:pt>
                <c:pt idx="4">
                  <c:v>1.9434725563087674E-2</c:v>
                </c:pt>
                <c:pt idx="5">
                  <c:v>2.0459763831183055E-2</c:v>
                </c:pt>
                <c:pt idx="6">
                  <c:v>2.1293461622567386E-2</c:v>
                </c:pt>
                <c:pt idx="7">
                  <c:v>2.2072490706319732E-2</c:v>
                </c:pt>
                <c:pt idx="8">
                  <c:v>2.5598622348567746E-2</c:v>
                </c:pt>
                <c:pt idx="9">
                  <c:v>2.9829980319265363E-2</c:v>
                </c:pt>
              </c:numCache>
            </c:numRef>
          </c:yVal>
          <c:smooth val="1"/>
          <c:extLst>
            <c:ext xmlns:c16="http://schemas.microsoft.com/office/drawing/2014/chart" uri="{C3380CC4-5D6E-409C-BE32-E72D297353CC}">
              <c16:uniqueId val="{00000001-49E0-4AE1-A0A4-D5ADDAC4512C}"/>
            </c:ext>
          </c:extLst>
        </c:ser>
        <c:ser>
          <c:idx val="3"/>
          <c:order val="2"/>
          <c:tx>
            <c:v>30%CNA</c:v>
          </c:tx>
          <c:spPr>
            <a:ln w="25400">
              <a:prstDash val="dashDot"/>
            </a:ln>
          </c:spPr>
          <c:marker>
            <c:symbol val="x"/>
            <c:size val="5"/>
          </c:marker>
          <c:xVal>
            <c:numRef>
              <c:f>Absorption!$A$4:$A$13</c:f>
              <c:numCache>
                <c:formatCode>General</c:formatCode>
                <c:ptCount val="10"/>
                <c:pt idx="0">
                  <c:v>0</c:v>
                </c:pt>
                <c:pt idx="1">
                  <c:v>10</c:v>
                </c:pt>
                <c:pt idx="2">
                  <c:v>20</c:v>
                </c:pt>
                <c:pt idx="3">
                  <c:v>30</c:v>
                </c:pt>
                <c:pt idx="4">
                  <c:v>45</c:v>
                </c:pt>
                <c:pt idx="5">
                  <c:v>60</c:v>
                </c:pt>
                <c:pt idx="6">
                  <c:v>90</c:v>
                </c:pt>
                <c:pt idx="7">
                  <c:v>120</c:v>
                </c:pt>
                <c:pt idx="8">
                  <c:v>720</c:v>
                </c:pt>
                <c:pt idx="9">
                  <c:v>1440</c:v>
                </c:pt>
              </c:numCache>
            </c:numRef>
          </c:xVal>
          <c:yVal>
            <c:numRef>
              <c:f>Absorption!$Y$4:$Y$13</c:f>
              <c:numCache>
                <c:formatCode>0.00%</c:formatCode>
                <c:ptCount val="10"/>
                <c:pt idx="0">
                  <c:v>0</c:v>
                </c:pt>
                <c:pt idx="1">
                  <c:v>1.7684032559344531E-2</c:v>
                </c:pt>
                <c:pt idx="2">
                  <c:v>2.1488076571724694E-2</c:v>
                </c:pt>
                <c:pt idx="3">
                  <c:v>2.326057019756491E-2</c:v>
                </c:pt>
                <c:pt idx="4">
                  <c:v>2.4637661399179302E-2</c:v>
                </c:pt>
                <c:pt idx="5">
                  <c:v>2.6028387167146158E-2</c:v>
                </c:pt>
                <c:pt idx="6">
                  <c:v>2.7160056174413409E-2</c:v>
                </c:pt>
                <c:pt idx="7">
                  <c:v>2.7964495589217764E-2</c:v>
                </c:pt>
                <c:pt idx="8">
                  <c:v>3.2845670343454592E-2</c:v>
                </c:pt>
                <c:pt idx="9">
                  <c:v>3.8703080048538785E-2</c:v>
                </c:pt>
              </c:numCache>
            </c:numRef>
          </c:yVal>
          <c:smooth val="1"/>
          <c:extLst>
            <c:ext xmlns:c16="http://schemas.microsoft.com/office/drawing/2014/chart" uri="{C3380CC4-5D6E-409C-BE32-E72D297353CC}">
              <c16:uniqueId val="{00000002-49E0-4AE1-A0A4-D5ADDAC4512C}"/>
            </c:ext>
          </c:extLst>
        </c:ser>
        <c:ser>
          <c:idx val="4"/>
          <c:order val="3"/>
          <c:tx>
            <c:v>50%CNA</c:v>
          </c:tx>
          <c:spPr>
            <a:ln w="25400">
              <a:prstDash val="sysDash"/>
            </a:ln>
          </c:spPr>
          <c:marker>
            <c:symbol val="star"/>
            <c:size val="5"/>
          </c:marker>
          <c:xVal>
            <c:numRef>
              <c:f>Absorption!$A$4:$A$13</c:f>
              <c:numCache>
                <c:formatCode>General</c:formatCode>
                <c:ptCount val="10"/>
                <c:pt idx="0">
                  <c:v>0</c:v>
                </c:pt>
                <c:pt idx="1">
                  <c:v>10</c:v>
                </c:pt>
                <c:pt idx="2">
                  <c:v>20</c:v>
                </c:pt>
                <c:pt idx="3">
                  <c:v>30</c:v>
                </c:pt>
                <c:pt idx="4">
                  <c:v>45</c:v>
                </c:pt>
                <c:pt idx="5">
                  <c:v>60</c:v>
                </c:pt>
                <c:pt idx="6">
                  <c:v>90</c:v>
                </c:pt>
                <c:pt idx="7">
                  <c:v>120</c:v>
                </c:pt>
                <c:pt idx="8">
                  <c:v>720</c:v>
                </c:pt>
                <c:pt idx="9">
                  <c:v>1440</c:v>
                </c:pt>
              </c:numCache>
            </c:numRef>
          </c:xVal>
          <c:yVal>
            <c:numRef>
              <c:f>Absorption!$AE$4:$AE$13</c:f>
              <c:numCache>
                <c:formatCode>0.00%</c:formatCode>
                <c:ptCount val="10"/>
                <c:pt idx="0">
                  <c:v>0</c:v>
                </c:pt>
                <c:pt idx="1">
                  <c:v>2.8570163004961055E-2</c:v>
                </c:pt>
                <c:pt idx="2">
                  <c:v>3.5347271438695801E-2</c:v>
                </c:pt>
                <c:pt idx="3">
                  <c:v>3.9289510985117036E-2</c:v>
                </c:pt>
                <c:pt idx="4">
                  <c:v>4.2198204583038045E-2</c:v>
                </c:pt>
                <c:pt idx="5">
                  <c:v>4.4634420033073441E-2</c:v>
                </c:pt>
                <c:pt idx="6">
                  <c:v>4.7424994094023176E-2</c:v>
                </c:pt>
                <c:pt idx="7">
                  <c:v>4.9078667611622932E-2</c:v>
                </c:pt>
                <c:pt idx="8">
                  <c:v>5.6313489251122291E-2</c:v>
                </c:pt>
                <c:pt idx="9">
                  <c:v>6.4995275218521525E-2</c:v>
                </c:pt>
              </c:numCache>
            </c:numRef>
          </c:yVal>
          <c:smooth val="1"/>
          <c:extLst>
            <c:ext xmlns:c16="http://schemas.microsoft.com/office/drawing/2014/chart" uri="{C3380CC4-5D6E-409C-BE32-E72D297353CC}">
              <c16:uniqueId val="{00000003-49E0-4AE1-A0A4-D5ADDAC4512C}"/>
            </c:ext>
          </c:extLst>
        </c:ser>
        <c:ser>
          <c:idx val="5"/>
          <c:order val="4"/>
          <c:tx>
            <c:v>75%CNA</c:v>
          </c:tx>
          <c:spPr>
            <a:ln w="25400">
              <a:prstDash val="dash"/>
            </a:ln>
          </c:spPr>
          <c:marker>
            <c:symbol val="circle"/>
            <c:size val="5"/>
          </c:marker>
          <c:xVal>
            <c:numRef>
              <c:f>Absorption!$A$4:$A$13</c:f>
              <c:numCache>
                <c:formatCode>General</c:formatCode>
                <c:ptCount val="10"/>
                <c:pt idx="0">
                  <c:v>0</c:v>
                </c:pt>
                <c:pt idx="1">
                  <c:v>10</c:v>
                </c:pt>
                <c:pt idx="2">
                  <c:v>20</c:v>
                </c:pt>
                <c:pt idx="3">
                  <c:v>30</c:v>
                </c:pt>
                <c:pt idx="4">
                  <c:v>45</c:v>
                </c:pt>
                <c:pt idx="5">
                  <c:v>60</c:v>
                </c:pt>
                <c:pt idx="6">
                  <c:v>90</c:v>
                </c:pt>
                <c:pt idx="7">
                  <c:v>120</c:v>
                </c:pt>
                <c:pt idx="8">
                  <c:v>720</c:v>
                </c:pt>
                <c:pt idx="9">
                  <c:v>1440</c:v>
                </c:pt>
              </c:numCache>
            </c:numRef>
          </c:xVal>
          <c:yVal>
            <c:numRef>
              <c:f>Absorption!$AK$4:$AK$13</c:f>
              <c:numCache>
                <c:formatCode>0.00%</c:formatCode>
                <c:ptCount val="10"/>
                <c:pt idx="0">
                  <c:v>0</c:v>
                </c:pt>
                <c:pt idx="1">
                  <c:v>4.0703022869224073E-2</c:v>
                </c:pt>
                <c:pt idx="2">
                  <c:v>4.9708687722922598E-2</c:v>
                </c:pt>
                <c:pt idx="3">
                  <c:v>5.6890624747825101E-2</c:v>
                </c:pt>
                <c:pt idx="4">
                  <c:v>6.1974467810396769E-2</c:v>
                </c:pt>
                <c:pt idx="5">
                  <c:v>6.5799454495569676E-2</c:v>
                </c:pt>
                <c:pt idx="6">
                  <c:v>6.9511466890463183E-2</c:v>
                </c:pt>
                <c:pt idx="7">
                  <c:v>7.1948483723632495E-2</c:v>
                </c:pt>
                <c:pt idx="8">
                  <c:v>7.9388647697745382E-2</c:v>
                </c:pt>
                <c:pt idx="9">
                  <c:v>8.8316844466680838E-2</c:v>
                </c:pt>
              </c:numCache>
            </c:numRef>
          </c:yVal>
          <c:smooth val="1"/>
          <c:extLst>
            <c:ext xmlns:c16="http://schemas.microsoft.com/office/drawing/2014/chart" uri="{C3380CC4-5D6E-409C-BE32-E72D297353CC}">
              <c16:uniqueId val="{00000004-49E0-4AE1-A0A4-D5ADDAC4512C}"/>
            </c:ext>
          </c:extLst>
        </c:ser>
        <c:ser>
          <c:idx val="1"/>
          <c:order val="5"/>
          <c:tx>
            <c:v>100%CNA</c:v>
          </c:tx>
          <c:spPr>
            <a:ln w="25400">
              <a:prstDash val="sysDot"/>
            </a:ln>
          </c:spPr>
          <c:marker>
            <c:symbol val="square"/>
            <c:size val="5"/>
          </c:marker>
          <c:xVal>
            <c:numRef>
              <c:f>Absorption!$A$4:$A$13</c:f>
              <c:numCache>
                <c:formatCode>General</c:formatCode>
                <c:ptCount val="10"/>
                <c:pt idx="0">
                  <c:v>0</c:v>
                </c:pt>
                <c:pt idx="1">
                  <c:v>10</c:v>
                </c:pt>
                <c:pt idx="2">
                  <c:v>20</c:v>
                </c:pt>
                <c:pt idx="3">
                  <c:v>30</c:v>
                </c:pt>
                <c:pt idx="4">
                  <c:v>45</c:v>
                </c:pt>
                <c:pt idx="5">
                  <c:v>60</c:v>
                </c:pt>
                <c:pt idx="6">
                  <c:v>90</c:v>
                </c:pt>
                <c:pt idx="7">
                  <c:v>120</c:v>
                </c:pt>
                <c:pt idx="8">
                  <c:v>720</c:v>
                </c:pt>
                <c:pt idx="9">
                  <c:v>1440</c:v>
                </c:pt>
              </c:numCache>
            </c:numRef>
          </c:xVal>
          <c:yVal>
            <c:numRef>
              <c:f>Absorption!$M$4:$M$13</c:f>
              <c:numCache>
                <c:formatCode>0.00%</c:formatCode>
                <c:ptCount val="10"/>
                <c:pt idx="0">
                  <c:v>0</c:v>
                </c:pt>
                <c:pt idx="1">
                  <c:v>3.1905439033060784E-2</c:v>
                </c:pt>
                <c:pt idx="2">
                  <c:v>4.3921080696764953E-2</c:v>
                </c:pt>
                <c:pt idx="3">
                  <c:v>5.1546391752577324E-2</c:v>
                </c:pt>
                <c:pt idx="4">
                  <c:v>5.7607536437966511E-2</c:v>
                </c:pt>
                <c:pt idx="5">
                  <c:v>6.2317810167081406E-2</c:v>
                </c:pt>
                <c:pt idx="6">
                  <c:v>6.6921436189121941E-2</c:v>
                </c:pt>
                <c:pt idx="7">
                  <c:v>7.033416281549941E-2</c:v>
                </c:pt>
                <c:pt idx="8">
                  <c:v>8.0056878777106308E-2</c:v>
                </c:pt>
                <c:pt idx="9">
                  <c:v>9.172413793103458E-2</c:v>
                </c:pt>
              </c:numCache>
            </c:numRef>
          </c:yVal>
          <c:smooth val="1"/>
          <c:extLst>
            <c:ext xmlns:c16="http://schemas.microsoft.com/office/drawing/2014/chart" uri="{C3380CC4-5D6E-409C-BE32-E72D297353CC}">
              <c16:uniqueId val="{00000005-49E0-4AE1-A0A4-D5ADDAC4512C}"/>
            </c:ext>
          </c:extLst>
        </c:ser>
        <c:dLbls>
          <c:showLegendKey val="0"/>
          <c:showVal val="0"/>
          <c:showCatName val="0"/>
          <c:showSerName val="0"/>
          <c:showPercent val="0"/>
          <c:showBubbleSize val="0"/>
        </c:dLbls>
        <c:axId val="231593856"/>
        <c:axId val="231596032"/>
      </c:scatterChart>
      <c:valAx>
        <c:axId val="231593856"/>
        <c:scaling>
          <c:orientation val="minMax"/>
        </c:scaling>
        <c:delete val="0"/>
        <c:axPos val="b"/>
        <c:majorGridlines/>
        <c:minorGridlines/>
        <c:title>
          <c:tx>
            <c:rich>
              <a:bodyPr/>
              <a:lstStyle/>
              <a:p>
                <a:pPr>
                  <a:defRPr/>
                </a:pPr>
                <a:r>
                  <a:rPr lang="en-GB"/>
                  <a:t>Time (min)</a:t>
                </a:r>
              </a:p>
            </c:rich>
          </c:tx>
          <c:overlay val="0"/>
        </c:title>
        <c:numFmt formatCode="General" sourceLinked="1"/>
        <c:majorTickMark val="out"/>
        <c:minorTickMark val="none"/>
        <c:tickLblPos val="nextTo"/>
        <c:crossAx val="231596032"/>
        <c:crosses val="autoZero"/>
        <c:crossBetween val="midCat"/>
      </c:valAx>
      <c:valAx>
        <c:axId val="231596032"/>
        <c:scaling>
          <c:orientation val="minMax"/>
        </c:scaling>
        <c:delete val="0"/>
        <c:axPos val="l"/>
        <c:majorGridlines/>
        <c:title>
          <c:tx>
            <c:rich>
              <a:bodyPr/>
              <a:lstStyle/>
              <a:p>
                <a:pPr>
                  <a:defRPr/>
                </a:pPr>
                <a:r>
                  <a:rPr lang="en-GB"/>
                  <a:t>Average Percent Absorption (%)</a:t>
                </a:r>
              </a:p>
            </c:rich>
          </c:tx>
          <c:overlay val="0"/>
        </c:title>
        <c:numFmt formatCode="0%" sourceLinked="0"/>
        <c:majorTickMark val="out"/>
        <c:minorTickMark val="none"/>
        <c:tickLblPos val="nextTo"/>
        <c:crossAx val="231593856"/>
        <c:crosses val="autoZero"/>
        <c:crossBetween val="midCat"/>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water absorption vs % CNA</c:v>
          </c:tx>
          <c:spPr>
            <a:ln w="28575">
              <a:noFill/>
            </a:ln>
          </c:spPr>
          <c:trendline>
            <c:trendlineType val="linear"/>
            <c:dispRSqr val="1"/>
            <c:dispEq val="1"/>
            <c:trendlineLbl>
              <c:layout>
                <c:manualLayout>
                  <c:x val="-8.2762677962113188E-2"/>
                  <c:y val="-5.5235127838205542E-2"/>
                </c:manualLayout>
              </c:layout>
              <c:numFmt formatCode="#,##0.00" sourceLinked="0"/>
            </c:trendlineLbl>
          </c:trendline>
          <c:xVal>
            <c:numRef>
              <c:f>'Mix 2+Mix 3'!$B$55:$B$60</c:f>
              <c:numCache>
                <c:formatCode>General</c:formatCode>
                <c:ptCount val="6"/>
                <c:pt idx="0">
                  <c:v>0</c:v>
                </c:pt>
                <c:pt idx="1">
                  <c:v>15</c:v>
                </c:pt>
                <c:pt idx="2">
                  <c:v>30</c:v>
                </c:pt>
                <c:pt idx="3">
                  <c:v>50</c:v>
                </c:pt>
                <c:pt idx="4">
                  <c:v>75</c:v>
                </c:pt>
                <c:pt idx="5">
                  <c:v>100</c:v>
                </c:pt>
              </c:numCache>
            </c:numRef>
          </c:xVal>
          <c:yVal>
            <c:numRef>
              <c:f>'Mix 2+Mix 3'!$E$55:$E$60</c:f>
              <c:numCache>
                <c:formatCode>0.00</c:formatCode>
                <c:ptCount val="6"/>
                <c:pt idx="0">
                  <c:v>1.66</c:v>
                </c:pt>
                <c:pt idx="1">
                  <c:v>2.98</c:v>
                </c:pt>
                <c:pt idx="2">
                  <c:v>3.87</c:v>
                </c:pt>
                <c:pt idx="3">
                  <c:v>6.5</c:v>
                </c:pt>
                <c:pt idx="4">
                  <c:v>8.83</c:v>
                </c:pt>
                <c:pt idx="5">
                  <c:v>9.17</c:v>
                </c:pt>
              </c:numCache>
            </c:numRef>
          </c:yVal>
          <c:smooth val="0"/>
          <c:extLst>
            <c:ext xmlns:c16="http://schemas.microsoft.com/office/drawing/2014/chart" uri="{C3380CC4-5D6E-409C-BE32-E72D297353CC}">
              <c16:uniqueId val="{00000000-5210-4793-BB11-36DD674A08D4}"/>
            </c:ext>
          </c:extLst>
        </c:ser>
        <c:dLbls>
          <c:showLegendKey val="0"/>
          <c:showVal val="0"/>
          <c:showCatName val="0"/>
          <c:showSerName val="0"/>
          <c:showPercent val="0"/>
          <c:showBubbleSize val="0"/>
        </c:dLbls>
        <c:axId val="448533632"/>
        <c:axId val="448535552"/>
      </c:scatterChart>
      <c:valAx>
        <c:axId val="448533632"/>
        <c:scaling>
          <c:orientation val="minMax"/>
          <c:max val="100"/>
        </c:scaling>
        <c:delete val="0"/>
        <c:axPos val="b"/>
        <c:title>
          <c:tx>
            <c:rich>
              <a:bodyPr/>
              <a:lstStyle/>
              <a:p>
                <a:pPr>
                  <a:defRPr/>
                </a:pPr>
                <a:r>
                  <a:rPr lang="en-US"/>
                  <a:t>% CNA (by Mass) (%)</a:t>
                </a:r>
              </a:p>
            </c:rich>
          </c:tx>
          <c:overlay val="0"/>
        </c:title>
        <c:numFmt formatCode="#,##0" sourceLinked="0"/>
        <c:majorTickMark val="out"/>
        <c:minorTickMark val="none"/>
        <c:tickLblPos val="nextTo"/>
        <c:crossAx val="448535552"/>
        <c:crosses val="autoZero"/>
        <c:crossBetween val="midCat"/>
      </c:valAx>
      <c:valAx>
        <c:axId val="448535552"/>
        <c:scaling>
          <c:orientation val="minMax"/>
        </c:scaling>
        <c:delete val="0"/>
        <c:axPos val="l"/>
        <c:majorGridlines/>
        <c:title>
          <c:tx>
            <c:rich>
              <a:bodyPr rot="-5400000" vert="horz"/>
              <a:lstStyle/>
              <a:p>
                <a:pPr>
                  <a:defRPr/>
                </a:pPr>
                <a:r>
                  <a:rPr lang="en-US"/>
                  <a:t>Water absorption (%)</a:t>
                </a:r>
              </a:p>
            </c:rich>
          </c:tx>
          <c:overlay val="0"/>
        </c:title>
        <c:numFmt formatCode="0" sourceLinked="0"/>
        <c:majorTickMark val="out"/>
        <c:minorTickMark val="none"/>
        <c:tickLblPos val="nextTo"/>
        <c:crossAx val="448533632"/>
        <c:crosses val="autoZero"/>
        <c:crossBetween val="midCat"/>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Compressive Strength vs % CNA</c:v>
          </c:tx>
          <c:spPr>
            <a:ln w="28575">
              <a:noFill/>
            </a:ln>
          </c:spPr>
          <c:trendline>
            <c:trendlineType val="exp"/>
            <c:dispRSqr val="1"/>
            <c:dispEq val="1"/>
            <c:trendlineLbl>
              <c:layout>
                <c:manualLayout>
                  <c:x val="5.1134076990376198E-2"/>
                  <c:y val="-0.43995285311558302"/>
                </c:manualLayout>
              </c:layout>
              <c:numFmt formatCode="#,##0.00" sourceLinked="0"/>
              <c:spPr>
                <a:solidFill>
                  <a:sysClr val="window" lastClr="FFFFFF"/>
                </a:solidFill>
                <a:ln>
                  <a:solidFill>
                    <a:sysClr val="windowText" lastClr="000000"/>
                  </a:solidFill>
                </a:ln>
              </c:spPr>
            </c:trendlineLbl>
          </c:trendline>
          <c:xVal>
            <c:numRef>
              <c:f>'Mix 2+Mix 3'!$B$37:$B$42</c:f>
              <c:numCache>
                <c:formatCode>General</c:formatCode>
                <c:ptCount val="6"/>
                <c:pt idx="0">
                  <c:v>0</c:v>
                </c:pt>
                <c:pt idx="1">
                  <c:v>15</c:v>
                </c:pt>
                <c:pt idx="2">
                  <c:v>30</c:v>
                </c:pt>
                <c:pt idx="3">
                  <c:v>50</c:v>
                </c:pt>
                <c:pt idx="4">
                  <c:v>75</c:v>
                </c:pt>
                <c:pt idx="5">
                  <c:v>100</c:v>
                </c:pt>
              </c:numCache>
            </c:numRef>
          </c:xVal>
          <c:yVal>
            <c:numRef>
              <c:f>'Mix 2+Mix 3'!$A$37:$A$42</c:f>
              <c:numCache>
                <c:formatCode>0.00</c:formatCode>
                <c:ptCount val="6"/>
                <c:pt idx="0">
                  <c:v>68.8</c:v>
                </c:pt>
                <c:pt idx="1">
                  <c:v>54.760000000000005</c:v>
                </c:pt>
                <c:pt idx="2">
                  <c:v>46.36</c:v>
                </c:pt>
                <c:pt idx="3">
                  <c:v>29.860000000000003</c:v>
                </c:pt>
                <c:pt idx="4">
                  <c:v>19.3</c:v>
                </c:pt>
                <c:pt idx="5">
                  <c:v>18.48</c:v>
                </c:pt>
              </c:numCache>
            </c:numRef>
          </c:yVal>
          <c:smooth val="0"/>
          <c:extLst>
            <c:ext xmlns:c16="http://schemas.microsoft.com/office/drawing/2014/chart" uri="{C3380CC4-5D6E-409C-BE32-E72D297353CC}">
              <c16:uniqueId val="{00000000-5C39-45C2-B544-604313D4366A}"/>
            </c:ext>
          </c:extLst>
        </c:ser>
        <c:dLbls>
          <c:showLegendKey val="0"/>
          <c:showVal val="0"/>
          <c:showCatName val="0"/>
          <c:showSerName val="0"/>
          <c:showPercent val="0"/>
          <c:showBubbleSize val="0"/>
        </c:dLbls>
        <c:axId val="448577920"/>
        <c:axId val="448579840"/>
      </c:scatterChart>
      <c:valAx>
        <c:axId val="448577920"/>
        <c:scaling>
          <c:orientation val="minMax"/>
          <c:max val="100"/>
        </c:scaling>
        <c:delete val="0"/>
        <c:axPos val="b"/>
        <c:title>
          <c:tx>
            <c:rich>
              <a:bodyPr/>
              <a:lstStyle/>
              <a:p>
                <a:pPr>
                  <a:defRPr/>
                </a:pPr>
                <a:r>
                  <a:rPr lang="en-US"/>
                  <a:t>% CNA (by Mass) (%)</a:t>
                </a:r>
              </a:p>
            </c:rich>
          </c:tx>
          <c:overlay val="0"/>
        </c:title>
        <c:numFmt formatCode="#,##0" sourceLinked="0"/>
        <c:majorTickMark val="out"/>
        <c:minorTickMark val="none"/>
        <c:tickLblPos val="nextTo"/>
        <c:crossAx val="448579840"/>
        <c:crosses val="autoZero"/>
        <c:crossBetween val="midCat"/>
        <c:majorUnit val="25"/>
      </c:valAx>
      <c:valAx>
        <c:axId val="448579840"/>
        <c:scaling>
          <c:orientation val="minMax"/>
        </c:scaling>
        <c:delete val="0"/>
        <c:axPos val="l"/>
        <c:majorGridlines/>
        <c:title>
          <c:tx>
            <c:rich>
              <a:bodyPr rot="-5400000" vert="horz"/>
              <a:lstStyle/>
              <a:p>
                <a:pPr>
                  <a:defRPr/>
                </a:pPr>
                <a:r>
                  <a:rPr lang="en-US"/>
                  <a:t>Compressive Strength (MPa)</a:t>
                </a:r>
              </a:p>
            </c:rich>
          </c:tx>
          <c:overlay val="0"/>
        </c:title>
        <c:numFmt formatCode="0" sourceLinked="0"/>
        <c:majorTickMark val="out"/>
        <c:minorTickMark val="none"/>
        <c:tickLblPos val="nextTo"/>
        <c:crossAx val="448577920"/>
        <c:crosses val="autoZero"/>
        <c:crossBetween val="midCat"/>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Compressive Strength vs % Absorption</c:v>
          </c:tx>
          <c:spPr>
            <a:ln w="28575">
              <a:noFill/>
            </a:ln>
          </c:spPr>
          <c:trendline>
            <c:trendlineType val="exp"/>
            <c:dispRSqr val="1"/>
            <c:dispEq val="1"/>
            <c:trendlineLbl>
              <c:layout>
                <c:manualLayout>
                  <c:x val="0.18516221930592"/>
                  <c:y val="-0.425580830174006"/>
                </c:manualLayout>
              </c:layout>
              <c:numFmt formatCode="#,##0.00" sourceLinked="0"/>
              <c:spPr>
                <a:solidFill>
                  <a:sysClr val="window" lastClr="FFFFFF"/>
                </a:solidFill>
                <a:ln>
                  <a:solidFill>
                    <a:sysClr val="windowText" lastClr="000000"/>
                  </a:solidFill>
                </a:ln>
              </c:spPr>
            </c:trendlineLbl>
          </c:trendline>
          <c:xVal>
            <c:numRef>
              <c:f>'Mix 2+Mix 3'!$E$37:$E$42</c:f>
              <c:numCache>
                <c:formatCode>0.00%</c:formatCode>
                <c:ptCount val="6"/>
                <c:pt idx="0">
                  <c:v>1.41400302446715E-2</c:v>
                </c:pt>
                <c:pt idx="1">
                  <c:v>2.55986223485677E-2</c:v>
                </c:pt>
                <c:pt idx="2">
                  <c:v>3.2845670343454599E-2</c:v>
                </c:pt>
                <c:pt idx="3">
                  <c:v>5.6313489251122298E-2</c:v>
                </c:pt>
                <c:pt idx="4">
                  <c:v>7.9388647697745396E-2</c:v>
                </c:pt>
                <c:pt idx="5">
                  <c:v>8.0056878777106294E-2</c:v>
                </c:pt>
              </c:numCache>
            </c:numRef>
          </c:xVal>
          <c:yVal>
            <c:numRef>
              <c:f>'Mix 2+Mix 3'!$A$37:$A$42</c:f>
              <c:numCache>
                <c:formatCode>0.00</c:formatCode>
                <c:ptCount val="6"/>
                <c:pt idx="0">
                  <c:v>68.8</c:v>
                </c:pt>
                <c:pt idx="1">
                  <c:v>54.760000000000012</c:v>
                </c:pt>
                <c:pt idx="2">
                  <c:v>46.36</c:v>
                </c:pt>
                <c:pt idx="3">
                  <c:v>29.86</c:v>
                </c:pt>
                <c:pt idx="4">
                  <c:v>19.3</c:v>
                </c:pt>
                <c:pt idx="5">
                  <c:v>18.48</c:v>
                </c:pt>
              </c:numCache>
            </c:numRef>
          </c:yVal>
          <c:smooth val="0"/>
          <c:extLst>
            <c:ext xmlns:c16="http://schemas.microsoft.com/office/drawing/2014/chart" uri="{C3380CC4-5D6E-409C-BE32-E72D297353CC}">
              <c16:uniqueId val="{00000000-01D2-41BC-807B-DBEFB4A3600B}"/>
            </c:ext>
          </c:extLst>
        </c:ser>
        <c:dLbls>
          <c:showLegendKey val="0"/>
          <c:showVal val="0"/>
          <c:showCatName val="0"/>
          <c:showSerName val="0"/>
          <c:showPercent val="0"/>
          <c:showBubbleSize val="0"/>
        </c:dLbls>
        <c:axId val="169253888"/>
        <c:axId val="169264256"/>
      </c:scatterChart>
      <c:valAx>
        <c:axId val="169253888"/>
        <c:scaling>
          <c:orientation val="minMax"/>
        </c:scaling>
        <c:delete val="0"/>
        <c:axPos val="b"/>
        <c:title>
          <c:tx>
            <c:rich>
              <a:bodyPr/>
              <a:lstStyle/>
              <a:p>
                <a:pPr>
                  <a:defRPr/>
                </a:pPr>
                <a:r>
                  <a:rPr lang="en-US"/>
                  <a:t>Water Absorption (%)</a:t>
                </a:r>
              </a:p>
            </c:rich>
          </c:tx>
          <c:overlay val="0"/>
        </c:title>
        <c:numFmt formatCode="0%" sourceLinked="0"/>
        <c:majorTickMark val="out"/>
        <c:minorTickMark val="none"/>
        <c:tickLblPos val="nextTo"/>
        <c:crossAx val="169264256"/>
        <c:crosses val="autoZero"/>
        <c:crossBetween val="midCat"/>
        <c:majorUnit val="0.05"/>
      </c:valAx>
      <c:valAx>
        <c:axId val="169264256"/>
        <c:scaling>
          <c:orientation val="minMax"/>
        </c:scaling>
        <c:delete val="0"/>
        <c:axPos val="l"/>
        <c:majorGridlines/>
        <c:title>
          <c:tx>
            <c:rich>
              <a:bodyPr rot="-5400000" vert="horz"/>
              <a:lstStyle/>
              <a:p>
                <a:pPr>
                  <a:defRPr/>
                </a:pPr>
                <a:r>
                  <a:rPr lang="en-US"/>
                  <a:t>Compressive Strength (MPa)</a:t>
                </a:r>
              </a:p>
            </c:rich>
          </c:tx>
          <c:overlay val="0"/>
        </c:title>
        <c:numFmt formatCode="0" sourceLinked="0"/>
        <c:majorTickMark val="out"/>
        <c:minorTickMark val="none"/>
        <c:tickLblPos val="nextTo"/>
        <c:crossAx val="169253888"/>
        <c:crosses val="autoZero"/>
        <c:crossBetween val="midCat"/>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Compressive strength vs Density</c:v>
          </c:tx>
          <c:spPr>
            <a:ln w="28575">
              <a:noFill/>
            </a:ln>
          </c:spPr>
          <c:trendline>
            <c:trendlineType val="exp"/>
            <c:dispRSqr val="1"/>
            <c:dispEq val="1"/>
            <c:trendlineLbl>
              <c:layout>
                <c:manualLayout>
                  <c:x val="-0.171536526684164"/>
                  <c:y val="-3.7037037037037E-2"/>
                </c:manualLayout>
              </c:layout>
              <c:numFmt formatCode="#,##0.000" sourceLinked="0"/>
              <c:spPr>
                <a:solidFill>
                  <a:schemeClr val="bg1"/>
                </a:solidFill>
                <a:ln>
                  <a:solidFill>
                    <a:sysClr val="windowText" lastClr="000000"/>
                  </a:solidFill>
                </a:ln>
              </c:spPr>
            </c:trendlineLbl>
          </c:trendline>
          <c:xVal>
            <c:numRef>
              <c:f>'Mix 2+Mix 3'!$D$37:$D$42</c:f>
              <c:numCache>
                <c:formatCode>0</c:formatCode>
                <c:ptCount val="6"/>
                <c:pt idx="0">
                  <c:v>2591.1761654670545</c:v>
                </c:pt>
                <c:pt idx="1">
                  <c:v>2515.3874296940808</c:v>
                </c:pt>
                <c:pt idx="2">
                  <c:v>2469.4719353848914</c:v>
                </c:pt>
                <c:pt idx="3">
                  <c:v>2359.7888317254306</c:v>
                </c:pt>
                <c:pt idx="4">
                  <c:v>2246.267700505105</c:v>
                </c:pt>
                <c:pt idx="5">
                  <c:v>2211.3944590413203</c:v>
                </c:pt>
              </c:numCache>
            </c:numRef>
          </c:xVal>
          <c:yVal>
            <c:numRef>
              <c:f>'Mix 2+Mix 3'!$A$37:$A$42</c:f>
              <c:numCache>
                <c:formatCode>0.00</c:formatCode>
                <c:ptCount val="6"/>
                <c:pt idx="0">
                  <c:v>68.8</c:v>
                </c:pt>
                <c:pt idx="1">
                  <c:v>54.760000000000005</c:v>
                </c:pt>
                <c:pt idx="2">
                  <c:v>46.36</c:v>
                </c:pt>
                <c:pt idx="3">
                  <c:v>29.860000000000003</c:v>
                </c:pt>
                <c:pt idx="4">
                  <c:v>19.3</c:v>
                </c:pt>
                <c:pt idx="5">
                  <c:v>18.48</c:v>
                </c:pt>
              </c:numCache>
            </c:numRef>
          </c:yVal>
          <c:smooth val="0"/>
          <c:extLst>
            <c:ext xmlns:c16="http://schemas.microsoft.com/office/drawing/2014/chart" uri="{C3380CC4-5D6E-409C-BE32-E72D297353CC}">
              <c16:uniqueId val="{00000000-8BB5-482A-9565-31060E8CECBA}"/>
            </c:ext>
          </c:extLst>
        </c:ser>
        <c:dLbls>
          <c:showLegendKey val="0"/>
          <c:showVal val="0"/>
          <c:showCatName val="0"/>
          <c:showSerName val="0"/>
          <c:showPercent val="0"/>
          <c:showBubbleSize val="0"/>
        </c:dLbls>
        <c:axId val="442529664"/>
        <c:axId val="443174912"/>
      </c:scatterChart>
      <c:valAx>
        <c:axId val="442529664"/>
        <c:scaling>
          <c:orientation val="minMax"/>
          <c:min val="2100"/>
        </c:scaling>
        <c:delete val="0"/>
        <c:axPos val="b"/>
        <c:title>
          <c:tx>
            <c:rich>
              <a:bodyPr/>
              <a:lstStyle/>
              <a:p>
                <a:pPr>
                  <a:defRPr/>
                </a:pPr>
                <a:r>
                  <a:rPr lang="en-US"/>
                  <a:t>Density (kg/m</a:t>
                </a:r>
                <a:r>
                  <a:rPr lang="en-US" baseline="30000"/>
                  <a:t>3</a:t>
                </a:r>
                <a:r>
                  <a:rPr lang="en-US"/>
                  <a:t>)</a:t>
                </a:r>
              </a:p>
            </c:rich>
          </c:tx>
          <c:overlay val="0"/>
        </c:title>
        <c:numFmt formatCode="0" sourceLinked="1"/>
        <c:majorTickMark val="out"/>
        <c:minorTickMark val="none"/>
        <c:tickLblPos val="nextTo"/>
        <c:crossAx val="443174912"/>
        <c:crosses val="autoZero"/>
        <c:crossBetween val="midCat"/>
      </c:valAx>
      <c:valAx>
        <c:axId val="443174912"/>
        <c:scaling>
          <c:orientation val="minMax"/>
        </c:scaling>
        <c:delete val="0"/>
        <c:axPos val="l"/>
        <c:majorGridlines/>
        <c:title>
          <c:tx>
            <c:rich>
              <a:bodyPr rot="-5400000" vert="horz"/>
              <a:lstStyle/>
              <a:p>
                <a:pPr>
                  <a:defRPr/>
                </a:pPr>
                <a:r>
                  <a:rPr lang="en-US"/>
                  <a:t>Compressive Strength (MPa)</a:t>
                </a:r>
              </a:p>
            </c:rich>
          </c:tx>
          <c:overlay val="0"/>
        </c:title>
        <c:numFmt formatCode="0" sourceLinked="0"/>
        <c:majorTickMark val="out"/>
        <c:minorTickMark val="none"/>
        <c:tickLblPos val="nextTo"/>
        <c:crossAx val="442529664"/>
        <c:crosses val="autoZero"/>
        <c:crossBetween val="midCat"/>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Splitting Tensile Strength vs % CNA</c:v>
          </c:tx>
          <c:spPr>
            <a:ln w="28575">
              <a:noFill/>
            </a:ln>
          </c:spPr>
          <c:trendline>
            <c:trendlineType val="exp"/>
            <c:dispRSqr val="1"/>
            <c:dispEq val="1"/>
            <c:trendlineLbl>
              <c:layout>
                <c:manualLayout>
                  <c:x val="3.8448891805191003E-2"/>
                  <c:y val="-0.43125644016720099"/>
                </c:manualLayout>
              </c:layout>
              <c:numFmt formatCode="#,##0.00" sourceLinked="0"/>
              <c:spPr>
                <a:solidFill>
                  <a:sysClr val="window" lastClr="FFFFFF"/>
                </a:solidFill>
                <a:ln>
                  <a:solidFill>
                    <a:sysClr val="windowText" lastClr="000000"/>
                  </a:solidFill>
                </a:ln>
              </c:spPr>
            </c:trendlineLbl>
          </c:trendline>
          <c:xVal>
            <c:numRef>
              <c:f>'Mix 2+Mix 3'!$B$55:$B$60</c:f>
              <c:numCache>
                <c:formatCode>General</c:formatCode>
                <c:ptCount val="6"/>
                <c:pt idx="0">
                  <c:v>0</c:v>
                </c:pt>
                <c:pt idx="1">
                  <c:v>15</c:v>
                </c:pt>
                <c:pt idx="2">
                  <c:v>30</c:v>
                </c:pt>
                <c:pt idx="3">
                  <c:v>50</c:v>
                </c:pt>
                <c:pt idx="4">
                  <c:v>75</c:v>
                </c:pt>
                <c:pt idx="5">
                  <c:v>100</c:v>
                </c:pt>
              </c:numCache>
            </c:numRef>
          </c:xVal>
          <c:yVal>
            <c:numRef>
              <c:f>'Mix 2+Mix 3'!$A$55:$A$60</c:f>
              <c:numCache>
                <c:formatCode>0.00</c:formatCode>
                <c:ptCount val="6"/>
                <c:pt idx="0">
                  <c:v>3.8356341285146773</c:v>
                </c:pt>
                <c:pt idx="1">
                  <c:v>2.7613382626443839</c:v>
                </c:pt>
                <c:pt idx="2">
                  <c:v>2.1724649732043715</c:v>
                </c:pt>
                <c:pt idx="3">
                  <c:v>1.8859860756389597</c:v>
                </c:pt>
                <c:pt idx="4">
                  <c:v>1.4244367406724632</c:v>
                </c:pt>
                <c:pt idx="5">
                  <c:v>1.2254930618075941</c:v>
                </c:pt>
              </c:numCache>
            </c:numRef>
          </c:yVal>
          <c:smooth val="0"/>
          <c:extLst>
            <c:ext xmlns:c16="http://schemas.microsoft.com/office/drawing/2014/chart" uri="{C3380CC4-5D6E-409C-BE32-E72D297353CC}">
              <c16:uniqueId val="{00000000-24C8-4853-88C6-42947DDC4F9F}"/>
            </c:ext>
          </c:extLst>
        </c:ser>
        <c:dLbls>
          <c:showLegendKey val="0"/>
          <c:showVal val="0"/>
          <c:showCatName val="0"/>
          <c:showSerName val="0"/>
          <c:showPercent val="0"/>
          <c:showBubbleSize val="0"/>
        </c:dLbls>
        <c:axId val="443200256"/>
        <c:axId val="443202176"/>
      </c:scatterChart>
      <c:valAx>
        <c:axId val="443200256"/>
        <c:scaling>
          <c:orientation val="minMax"/>
          <c:max val="100"/>
        </c:scaling>
        <c:delete val="0"/>
        <c:axPos val="b"/>
        <c:title>
          <c:tx>
            <c:rich>
              <a:bodyPr/>
              <a:lstStyle/>
              <a:p>
                <a:pPr>
                  <a:defRPr/>
                </a:pPr>
                <a:r>
                  <a:rPr lang="en-US"/>
                  <a:t>% CNA (by Mass) (%)</a:t>
                </a:r>
              </a:p>
            </c:rich>
          </c:tx>
          <c:overlay val="0"/>
        </c:title>
        <c:numFmt formatCode="#,##0" sourceLinked="0"/>
        <c:majorTickMark val="out"/>
        <c:minorTickMark val="none"/>
        <c:tickLblPos val="nextTo"/>
        <c:crossAx val="443202176"/>
        <c:crosses val="autoZero"/>
        <c:crossBetween val="midCat"/>
        <c:majorUnit val="25"/>
      </c:valAx>
      <c:valAx>
        <c:axId val="443202176"/>
        <c:scaling>
          <c:orientation val="minMax"/>
        </c:scaling>
        <c:delete val="0"/>
        <c:axPos val="l"/>
        <c:majorGridlines/>
        <c:title>
          <c:tx>
            <c:rich>
              <a:bodyPr rot="-5400000" vert="horz"/>
              <a:lstStyle/>
              <a:p>
                <a:pPr>
                  <a:defRPr/>
                </a:pPr>
                <a:r>
                  <a:rPr lang="en-US"/>
                  <a:t>Splitting Tensile Strength (MPa)</a:t>
                </a:r>
              </a:p>
            </c:rich>
          </c:tx>
          <c:overlay val="0"/>
        </c:title>
        <c:numFmt formatCode="0" sourceLinked="0"/>
        <c:majorTickMark val="out"/>
        <c:minorTickMark val="none"/>
        <c:tickLblPos val="nextTo"/>
        <c:crossAx val="443200256"/>
        <c:crosses val="autoZero"/>
        <c:crossBetween val="midCat"/>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9A17A-F771-4025-972A-28A5FFC13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14167</Words>
  <Characters>80754</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94732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John Monrose</dc:creator>
  <cp:lastModifiedBy>Lisa Hacker</cp:lastModifiedBy>
  <cp:revision>2</cp:revision>
  <cp:lastPrinted>2011-07-22T14:54:00Z</cp:lastPrinted>
  <dcterms:created xsi:type="dcterms:W3CDTF">2019-01-30T08:23:00Z</dcterms:created>
  <dcterms:modified xsi:type="dcterms:W3CDTF">2019-01-30T08:23:00Z</dcterms:modified>
</cp:coreProperties>
</file>