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3" w:rsidRPr="005C0CD3" w:rsidRDefault="005C0CD3" w:rsidP="005C0CD3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5C0CD3">
        <w:rPr>
          <w:rFonts w:asciiTheme="minorHAnsi" w:hAnsiTheme="minorHAnsi"/>
          <w:b/>
          <w:bCs/>
          <w:sz w:val="20"/>
          <w:szCs w:val="20"/>
        </w:rPr>
        <w:t xml:space="preserve">TITLE: Accuracy of NEXUS II head injury decision rule in children. </w:t>
      </w:r>
      <w:proofErr w:type="gramStart"/>
      <w:r w:rsidRPr="005C0CD3">
        <w:rPr>
          <w:rFonts w:asciiTheme="minorHAnsi" w:hAnsiTheme="minorHAnsi"/>
          <w:b/>
          <w:bCs/>
          <w:sz w:val="20"/>
          <w:szCs w:val="20"/>
        </w:rPr>
        <w:t>A prospective cohort study.</w:t>
      </w:r>
      <w:proofErr w:type="gramEnd"/>
    </w:p>
    <w:p w:rsidR="005C0CD3" w:rsidRPr="005C0CD3" w:rsidRDefault="005C0CD3" w:rsidP="005C0CD3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5C0CD3" w:rsidRPr="005C0CD3" w:rsidRDefault="005C0CD3" w:rsidP="005C0CD3">
      <w:pPr>
        <w:rPr>
          <w:rFonts w:asciiTheme="minorHAnsi" w:eastAsia="Times New Roman" w:hAnsiTheme="minorHAnsi"/>
          <w:b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/>
          <w:b/>
          <w:sz w:val="20"/>
          <w:szCs w:val="20"/>
          <w:lang w:eastAsia="en-AU"/>
        </w:rPr>
        <w:t xml:space="preserve">AUTHORS: 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</w:p>
    <w:p w:rsidR="005C0CD3" w:rsidRPr="005C0CD3" w:rsidRDefault="005C0CD3" w:rsidP="005C0CD3">
      <w:pPr>
        <w:tabs>
          <w:tab w:val="left" w:pos="5590"/>
        </w:tabs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val="de-DE"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val="de-DE" w:eastAsia="en-AU"/>
        </w:rPr>
        <w:t xml:space="preserve">Franz E Babl MD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val="de-DE" w:eastAsia="en-AU"/>
        </w:rPr>
        <w:t>1-3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val="de-DE" w:eastAsia="en-AU"/>
        </w:rPr>
        <w:tab/>
      </w:r>
    </w:p>
    <w:p w:rsidR="005C0CD3" w:rsidRPr="005C0CD3" w:rsidRDefault="005C0CD3" w:rsidP="005C0CD3">
      <w:pPr>
        <w:spacing w:line="276" w:lineRule="auto"/>
        <w:rPr>
          <w:rFonts w:asciiTheme="minorHAnsi" w:hAnsiTheme="minorHAnsi"/>
          <w:sz w:val="20"/>
          <w:szCs w:val="20"/>
        </w:rPr>
      </w:pPr>
      <w:hyperlink r:id="rId6" w:history="1">
        <w:r w:rsidRPr="005C0CD3">
          <w:rPr>
            <w:rStyle w:val="Hyperlink"/>
            <w:rFonts w:asciiTheme="minorHAnsi" w:hAnsiTheme="minorHAnsi"/>
            <w:sz w:val="20"/>
            <w:szCs w:val="20"/>
          </w:rPr>
          <w:t>franz.babl@rch.org.au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val="de-DE"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Ed Oakley MBBS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1-3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7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ed.oakley@rch.org.au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Stuart R Dalziel PhD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15, 16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8" w:history="1">
        <w:r w:rsidRPr="005C0CD3">
          <w:rPr>
            <w:rFonts w:asciiTheme="minorHAnsi" w:eastAsia="Times New Roman" w:hAnsiTheme="minorHAnsi" w:cs="Arial"/>
            <w:sz w:val="20"/>
            <w:szCs w:val="20"/>
            <w:lang w:eastAsia="en-AU"/>
          </w:rPr>
          <w:t>sdalziel@adhb.govt.nz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Meredith Borland MBBS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4, 5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9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meredith.borland@health.wa.gov.au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Natalie Phillips MBBS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6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0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natalie.phillips@merton-oxford.com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Amit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Kochar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MD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 xml:space="preserve"> 7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1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amit.kochar@health.sa.gov.au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Sarah Dalton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BMed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8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2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sarah.dalton@health.nsw.gov.au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John A. Cheek MBBS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1, 2, 9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john.cheek@rch.org.au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Yuri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Gilhotra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MBBS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6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yurigilhotra@me.com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Jeremy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Furyk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MBBS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10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3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jeremy.furyk@health.qld.gov.au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Jocelyn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Neutze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MBChB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11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4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jocelyn.neutze@middlemore.co.nz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Mark D. Lyttle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MBChB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2, 12, 13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5" w:history="1">
        <w:r w:rsidRPr="005C0CD3">
          <w:rPr>
            <w:rFonts w:asciiTheme="minorHAnsi" w:eastAsia="Times New Roman" w:hAnsiTheme="minorHAnsi" w:cs="Arial"/>
            <w:sz w:val="20"/>
            <w:szCs w:val="20"/>
            <w:lang w:eastAsia="en-AU"/>
          </w:rPr>
          <w:t>mdlyttle77@gmail.com</w:t>
        </w:r>
      </w:hyperlink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Susan Donath MA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2, 3</w:t>
      </w:r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6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susan.donath@mcri.edu.au</w:t>
        </w:r>
      </w:hyperlink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Stephen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Hearps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PGDipPsych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2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7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stephen.hearps@mcri.edu.au</w:t>
        </w:r>
      </w:hyperlink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Louise Crowe PhD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2</w:t>
      </w:r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louise.crowe@mcri.edu.au</w:t>
      </w:r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lastRenderedPageBreak/>
        <w:t xml:space="preserve">Marta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Arpone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MSc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2, 3</w:t>
      </w:r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8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marta.arpone@mcri.edu.au</w:t>
        </w:r>
      </w:hyperlink>
    </w:p>
    <w:p w:rsidR="005C0CD3" w:rsidRPr="005C0CD3" w:rsidRDefault="005C0CD3" w:rsidP="005C0CD3">
      <w:pPr>
        <w:spacing w:line="276" w:lineRule="auto"/>
        <w:jc w:val="both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Silvia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Bressan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MD, PhD </w:t>
      </w: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2, 14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hyperlink r:id="rId19" w:history="1">
        <w:r w:rsidRPr="005C0CD3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AU"/>
          </w:rPr>
          <w:t>silviabress@gmail.com</w:t>
        </w:r>
      </w:hyperlink>
    </w:p>
    <w:p w:rsidR="005C0CD3" w:rsidRPr="005C0CD3" w:rsidRDefault="005C0CD3" w:rsidP="005C0CD3">
      <w:pPr>
        <w:rPr>
          <w:rFonts w:asciiTheme="minorHAnsi" w:eastAsia="Times New Roman" w:hAnsiTheme="minorHAnsi"/>
          <w:sz w:val="20"/>
          <w:szCs w:val="20"/>
          <w:lang w:eastAsia="en-AU"/>
        </w:rPr>
      </w:pPr>
    </w:p>
    <w:p w:rsidR="005C0CD3" w:rsidRPr="005C0CD3" w:rsidRDefault="005C0CD3" w:rsidP="005C0CD3">
      <w:pPr>
        <w:rPr>
          <w:rFonts w:asciiTheme="minorHAnsi" w:eastAsia="Times New Roman" w:hAnsiTheme="minorHAnsi"/>
          <w:sz w:val="20"/>
          <w:szCs w:val="20"/>
          <w:lang w:eastAsia="en-AU"/>
        </w:rPr>
      </w:pPr>
    </w:p>
    <w:p w:rsidR="005C0CD3" w:rsidRPr="005C0CD3" w:rsidRDefault="005C0CD3" w:rsidP="005C0CD3">
      <w:pPr>
        <w:rPr>
          <w:rFonts w:asciiTheme="minorHAnsi" w:eastAsia="Times New Roman" w:hAnsiTheme="minorHAnsi"/>
          <w:b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/>
          <w:b/>
          <w:sz w:val="20"/>
          <w:szCs w:val="20"/>
          <w:lang w:eastAsia="en-AU"/>
        </w:rPr>
        <w:t xml:space="preserve">Affiliations: 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1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Royal Children’s Hospital, Melbourne.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Address: Emergency Department, Royal Children’s Hospital, 50 Flemington Rd, Parkville, VIC, 3052, Australia.  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2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Murdoch Children’s Research Institute, Melbourne.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Address: 50 Flemington Rd, Parkville, VIC, 3052, Australia.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3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Department</w:t>
      </w:r>
      <w:proofErr w:type="gram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of Paediatrics, Faculty of Medicine, Dentistry and Health Sciences, University of Melbourne, Melbourne.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Address: Grattan St, Parkville, VIC, 3010, Australia.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 xml:space="preserve">4 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Princess Margaret </w:t>
      </w: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Hospital</w:t>
      </w:r>
      <w:proofErr w:type="gram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for Children, Perth.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Address: Emergency Department, Princess Margaret Hospital for Children, Roberts Rd, Subiaco, Perth, WA, 6008, Australia.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 xml:space="preserve">5 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Schools of Paediatrics and Child Health and Primary, Aboriginal and Rural Healthcare, University of Western Australia.</w:t>
      </w:r>
      <w:proofErr w:type="gramEnd"/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Address: 35 Stirling Hwy, Crawley, WA, 6009, Australia.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 xml:space="preserve">6 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Lady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Cilento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Children’s Hospital, Brisbane and Child Health Research Centre, School of Medicine, </w:t>
      </w: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The</w:t>
      </w:r>
      <w:proofErr w:type="gram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University of Queensland.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Address: Emergency Department, Lady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Cilento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Children’s Hospital, 501 Stanley St, South Brisbane, QLD, 4101, Australia.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 xml:space="preserve">7 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Women’s &amp; Children’s Hospital, Adelaide.</w:t>
      </w:r>
      <w:proofErr w:type="gramEnd"/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Address: Emergency Department, Women’s &amp; Children’s Hospital, 72 King William St, North Adelaide, SA, 5006, Australia.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8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The Children’s Hospital at Westmead, Sydney.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Address: Emergency Department, The Children’s Hospital at Westmead, 212 Hawkesbury Rd, Westmead, NSW, 2145, Australia.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9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Monash Medical </w:t>
      </w: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Centre</w:t>
      </w:r>
      <w:proofErr w:type="gram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, Melbourne.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Address: Emergency Department, Monash Medical Centre, 246 Clayton Rd, Clayton, VIC, 3186, Australia. 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i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10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The Townsville Hospital, Townsville.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Address: Emergency Department, </w:t>
      </w: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The</w:t>
      </w:r>
      <w:proofErr w:type="gram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Townsville Hospital, 100 Angus Smith Dr, Douglas, QLD, 4814, Australia.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11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Kidzfirst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Middlemore </w:t>
      </w: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Hospital</w:t>
      </w:r>
      <w:proofErr w:type="gram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, Auckland.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Address:  Emergency Department,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Kidzfirst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Middlemore Hospital, 100 Hospital Rd, Auckland, 2025, New Zealand.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lastRenderedPageBreak/>
        <w:t xml:space="preserve">12 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Bristol Royal </w:t>
      </w: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Hospital</w:t>
      </w:r>
      <w:proofErr w:type="gram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for Children, Bristol.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Address: Emergency Department, Bristol Children’s Hospital, Paul O’Gorman Building, Upper Maudlin St, Bristol, BS2 8BJ, United Kingdom. 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 xml:space="preserve">13 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Academic Department of Emergency Care, University of the West of England, Bristol.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Address: Blackberry Hill, Bristol, BS16 1XS, United Kingdom.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 xml:space="preserve">14 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Department of Women’s and Children’s Health, University of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Padova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,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Padova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.</w:t>
      </w:r>
      <w:proofErr w:type="gramEnd"/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Address: Via Giustiniani3, 2 35128,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Padova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, PD, Italy.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>15</w:t>
      </w: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Starship Children’s Health, Auckland.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Address: Emergency Department, Starship Children’s Health, 2 Park Rd, Grafton, Auckland, 1023, New Zealand.</w:t>
      </w: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proofErr w:type="gramStart"/>
      <w:r w:rsidRPr="005C0CD3">
        <w:rPr>
          <w:rFonts w:asciiTheme="minorHAnsi" w:eastAsia="Times New Roman" w:hAnsiTheme="minorHAnsi" w:cs="Arial"/>
          <w:sz w:val="20"/>
          <w:szCs w:val="20"/>
          <w:vertAlign w:val="superscript"/>
          <w:lang w:eastAsia="en-AU"/>
        </w:rPr>
        <w:t xml:space="preserve">16 </w:t>
      </w:r>
      <w:proofErr w:type="spellStart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Liggins</w:t>
      </w:r>
      <w:proofErr w:type="spellEnd"/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 xml:space="preserve"> Institute, University of Auckland, Auckland.</w:t>
      </w:r>
      <w:proofErr w:type="gramEnd"/>
    </w:p>
    <w:p w:rsidR="005C0CD3" w:rsidRPr="005C0CD3" w:rsidRDefault="005C0CD3" w:rsidP="005C0CD3">
      <w:pPr>
        <w:spacing w:line="276" w:lineRule="auto"/>
        <w:rPr>
          <w:rFonts w:asciiTheme="minorHAnsi" w:eastAsia="Times New Roman" w:hAnsiTheme="minorHAnsi" w:cs="Arial"/>
          <w:sz w:val="20"/>
          <w:szCs w:val="20"/>
          <w:lang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eastAsia="en-AU"/>
        </w:rPr>
        <w:t>Address: 85 Park Ave, Grafton, Auckland, 1023, New Zealand.</w:t>
      </w:r>
    </w:p>
    <w:p w:rsidR="005C0CD3" w:rsidRDefault="005C0CD3" w:rsidP="005C0CD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</w:p>
    <w:p w:rsidR="005C0CD3" w:rsidRDefault="005C0CD3" w:rsidP="005C0CD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rPr>
          <w:rFonts w:asciiTheme="minorHAnsi" w:hAnsiTheme="minorHAnsi" w:cs="Arial"/>
          <w:b/>
          <w:sz w:val="20"/>
          <w:szCs w:val="20"/>
        </w:rPr>
      </w:pPr>
      <w:r w:rsidRPr="005C0CD3">
        <w:rPr>
          <w:rFonts w:asciiTheme="minorHAnsi" w:hAnsiTheme="minorHAnsi" w:cs="Arial"/>
          <w:b/>
          <w:sz w:val="20"/>
          <w:szCs w:val="20"/>
        </w:rPr>
        <w:t>CORRESPONDING AUTHOR:</w:t>
      </w:r>
    </w:p>
    <w:p w:rsidR="005C0CD3" w:rsidRPr="005C0CD3" w:rsidRDefault="005C0CD3" w:rsidP="005C0CD3">
      <w:pPr>
        <w:rPr>
          <w:rFonts w:asciiTheme="minorHAnsi" w:hAnsiTheme="minorHAnsi" w:cs="Arial"/>
          <w:sz w:val="20"/>
          <w:szCs w:val="20"/>
          <w:lang w:val="it-IT"/>
        </w:rPr>
      </w:pPr>
      <w:r w:rsidRPr="005C0CD3">
        <w:rPr>
          <w:rFonts w:asciiTheme="minorHAnsi" w:hAnsiTheme="minorHAnsi" w:cs="Arial"/>
          <w:sz w:val="20"/>
          <w:szCs w:val="20"/>
        </w:rPr>
        <w:t xml:space="preserve">Franz E </w:t>
      </w:r>
      <w:proofErr w:type="spellStart"/>
      <w:r w:rsidRPr="005C0CD3">
        <w:rPr>
          <w:rFonts w:asciiTheme="minorHAnsi" w:hAnsiTheme="minorHAnsi" w:cs="Arial"/>
          <w:sz w:val="20"/>
          <w:szCs w:val="20"/>
        </w:rPr>
        <w:t>Babl</w:t>
      </w:r>
      <w:proofErr w:type="spellEnd"/>
    </w:p>
    <w:p w:rsidR="005C0CD3" w:rsidRPr="005C0CD3" w:rsidRDefault="005C0CD3" w:rsidP="005C0CD3">
      <w:pPr>
        <w:rPr>
          <w:rFonts w:asciiTheme="minorHAnsi" w:hAnsiTheme="minorHAnsi"/>
          <w:sz w:val="20"/>
          <w:szCs w:val="20"/>
          <w:lang w:eastAsia="en-AU"/>
        </w:rPr>
      </w:pPr>
      <w:r w:rsidRPr="005C0CD3">
        <w:rPr>
          <w:rFonts w:asciiTheme="minorHAnsi" w:hAnsiTheme="minorHAnsi"/>
          <w:sz w:val="20"/>
          <w:szCs w:val="20"/>
          <w:lang w:eastAsia="en-AU"/>
        </w:rPr>
        <w:t>Emergency Research</w:t>
      </w:r>
    </w:p>
    <w:p w:rsidR="005C0CD3" w:rsidRPr="005C0CD3" w:rsidRDefault="005C0CD3" w:rsidP="005C0CD3">
      <w:pPr>
        <w:rPr>
          <w:rFonts w:asciiTheme="minorHAnsi" w:hAnsiTheme="minorHAnsi" w:cs="Arial"/>
          <w:sz w:val="20"/>
          <w:szCs w:val="20"/>
          <w:lang w:val="it-IT"/>
        </w:rPr>
      </w:pPr>
      <w:r w:rsidRPr="005C0CD3">
        <w:rPr>
          <w:rFonts w:asciiTheme="minorHAnsi" w:hAnsiTheme="minorHAnsi"/>
          <w:sz w:val="20"/>
          <w:szCs w:val="20"/>
          <w:lang w:eastAsia="en-AU"/>
        </w:rPr>
        <w:t xml:space="preserve">Murdoch </w:t>
      </w:r>
      <w:proofErr w:type="spellStart"/>
      <w:r w:rsidRPr="005C0CD3">
        <w:rPr>
          <w:rFonts w:asciiTheme="minorHAnsi" w:hAnsiTheme="minorHAnsi"/>
          <w:sz w:val="20"/>
          <w:szCs w:val="20"/>
          <w:lang w:eastAsia="en-AU"/>
        </w:rPr>
        <w:t>Childrens</w:t>
      </w:r>
      <w:proofErr w:type="spellEnd"/>
      <w:r w:rsidRPr="005C0CD3">
        <w:rPr>
          <w:rFonts w:asciiTheme="minorHAnsi" w:hAnsiTheme="minorHAnsi"/>
          <w:sz w:val="20"/>
          <w:szCs w:val="20"/>
          <w:lang w:eastAsia="en-AU"/>
        </w:rPr>
        <w:t xml:space="preserve"> Research Institute</w:t>
      </w:r>
      <w:r w:rsidRPr="005C0CD3">
        <w:rPr>
          <w:rFonts w:asciiTheme="minorHAnsi" w:hAnsiTheme="minorHAnsi"/>
          <w:sz w:val="20"/>
          <w:szCs w:val="20"/>
          <w:lang w:eastAsia="en-AU"/>
        </w:rPr>
        <w:br/>
        <w:t>Flemington Rd</w:t>
      </w:r>
      <w:r w:rsidRPr="005C0CD3">
        <w:rPr>
          <w:rFonts w:asciiTheme="minorHAnsi" w:hAnsiTheme="minorHAnsi"/>
          <w:sz w:val="20"/>
          <w:szCs w:val="20"/>
          <w:lang w:eastAsia="en-AU"/>
        </w:rPr>
        <w:br/>
        <w:t>Parkville</w:t>
      </w:r>
      <w:r w:rsidRPr="005C0CD3">
        <w:rPr>
          <w:rFonts w:asciiTheme="minorHAnsi" w:hAnsiTheme="minorHAnsi"/>
          <w:sz w:val="20"/>
          <w:szCs w:val="20"/>
          <w:lang w:eastAsia="en-AU"/>
        </w:rPr>
        <w:br/>
        <w:t>Victoria 3052</w:t>
      </w:r>
      <w:r w:rsidRPr="005C0CD3">
        <w:rPr>
          <w:rFonts w:asciiTheme="minorHAnsi" w:hAnsiTheme="minorHAnsi" w:cs="Arial"/>
          <w:sz w:val="20"/>
          <w:szCs w:val="20"/>
          <w:lang w:val="it-IT"/>
        </w:rPr>
        <w:t xml:space="preserve"> </w:t>
      </w:r>
    </w:p>
    <w:p w:rsidR="005C0CD3" w:rsidRPr="005C0CD3" w:rsidRDefault="005C0CD3" w:rsidP="005C0CD3">
      <w:pPr>
        <w:rPr>
          <w:rFonts w:asciiTheme="minorHAnsi" w:hAnsiTheme="minorHAnsi" w:cs="Arial"/>
          <w:sz w:val="20"/>
          <w:szCs w:val="20"/>
          <w:lang w:val="it-IT"/>
        </w:rPr>
      </w:pPr>
      <w:r w:rsidRPr="005C0CD3">
        <w:rPr>
          <w:rFonts w:asciiTheme="minorHAnsi" w:hAnsiTheme="minorHAnsi" w:cs="Arial"/>
          <w:sz w:val="20"/>
          <w:szCs w:val="20"/>
          <w:lang w:val="it-IT"/>
        </w:rPr>
        <w:t>Australia</w:t>
      </w:r>
    </w:p>
    <w:p w:rsidR="005C0CD3" w:rsidRPr="005C0CD3" w:rsidRDefault="005C0CD3" w:rsidP="005C0CD3">
      <w:pPr>
        <w:rPr>
          <w:rFonts w:asciiTheme="minorHAnsi" w:hAnsiTheme="minorHAnsi" w:cs="Arial"/>
          <w:sz w:val="20"/>
          <w:szCs w:val="20"/>
          <w:lang w:val="it-IT"/>
        </w:rPr>
      </w:pPr>
      <w:r w:rsidRPr="005C0CD3">
        <w:rPr>
          <w:rFonts w:asciiTheme="minorHAnsi" w:hAnsiTheme="minorHAnsi" w:cs="Arial"/>
          <w:sz w:val="20"/>
          <w:szCs w:val="20"/>
          <w:lang w:val="it-IT"/>
        </w:rPr>
        <w:t>Phone 61 3 9345 6153</w:t>
      </w:r>
    </w:p>
    <w:p w:rsidR="005C0CD3" w:rsidRPr="005C0CD3" w:rsidRDefault="005C0CD3" w:rsidP="005C0CD3">
      <w:pPr>
        <w:rPr>
          <w:rFonts w:asciiTheme="minorHAnsi" w:hAnsiTheme="minorHAnsi" w:cs="Arial"/>
          <w:sz w:val="20"/>
          <w:szCs w:val="20"/>
          <w:lang w:val="it-IT"/>
        </w:rPr>
      </w:pPr>
      <w:r w:rsidRPr="005C0CD3">
        <w:rPr>
          <w:rFonts w:asciiTheme="minorHAnsi" w:hAnsiTheme="minorHAnsi" w:cs="Arial"/>
          <w:sz w:val="20"/>
          <w:szCs w:val="20"/>
          <w:lang w:val="it-IT"/>
        </w:rPr>
        <w:t>Fax 61 3 9345 600</w:t>
      </w:r>
    </w:p>
    <w:p w:rsidR="005C0CD3" w:rsidRPr="005C0CD3" w:rsidRDefault="005C0CD3" w:rsidP="005C0CD3">
      <w:pPr>
        <w:rPr>
          <w:rFonts w:asciiTheme="minorHAnsi" w:hAnsiTheme="minorHAnsi" w:cs="Arial"/>
          <w:sz w:val="20"/>
          <w:szCs w:val="20"/>
          <w:lang w:val="it-IT"/>
        </w:rPr>
      </w:pPr>
      <w:r w:rsidRPr="005C0CD3">
        <w:rPr>
          <w:rFonts w:asciiTheme="minorHAnsi" w:hAnsiTheme="minorHAnsi" w:cs="Arial"/>
          <w:sz w:val="20"/>
          <w:szCs w:val="20"/>
          <w:lang w:val="it-IT"/>
        </w:rPr>
        <w:t xml:space="preserve">Email </w:t>
      </w:r>
      <w:hyperlink r:id="rId20" w:history="1">
        <w:r w:rsidRPr="005C0CD3">
          <w:rPr>
            <w:rStyle w:val="Hyperlink"/>
            <w:rFonts w:asciiTheme="minorHAnsi" w:hAnsiTheme="minorHAnsi" w:cs="Arial"/>
            <w:sz w:val="20"/>
            <w:szCs w:val="20"/>
            <w:lang w:val="it-IT"/>
          </w:rPr>
          <w:t>franz.babl@rch.org.au</w:t>
        </w:r>
      </w:hyperlink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FrutigerLTPro-BoldCn"/>
          <w:b/>
          <w:bCs/>
          <w:sz w:val="20"/>
          <w:szCs w:val="20"/>
          <w:lang w:val="en-GB"/>
        </w:rPr>
      </w:pPr>
      <w:r>
        <w:rPr>
          <w:rFonts w:asciiTheme="minorHAnsi" w:hAnsiTheme="minorHAnsi" w:cs="FrutigerLTPro-BoldCn"/>
          <w:b/>
          <w:bCs/>
          <w:sz w:val="20"/>
          <w:szCs w:val="20"/>
          <w:lang w:val="en-GB"/>
        </w:rPr>
        <w:lastRenderedPageBreak/>
        <w:t>A</w:t>
      </w:r>
      <w:r w:rsidRPr="005C0CD3">
        <w:rPr>
          <w:rFonts w:asciiTheme="minorHAnsi" w:hAnsiTheme="minorHAnsi" w:cs="FrutigerLTPro-BoldCn"/>
          <w:b/>
          <w:bCs/>
          <w:sz w:val="20"/>
          <w:szCs w:val="20"/>
          <w:lang w:val="en-GB"/>
        </w:rPr>
        <w:t>STRACT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FrutigerLTPro-LightCn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sz w:val="20"/>
          <w:szCs w:val="20"/>
          <w:lang w:val="en-GB"/>
        </w:rPr>
        <w:t xml:space="preserve">Objective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The National Emergency X-Radiography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Utilisation Study II (NEXUS I</w:t>
      </w:r>
      <w:r>
        <w:rPr>
          <w:rFonts w:asciiTheme="minorHAnsi" w:hAnsiTheme="minorHAnsi" w:cs="FrutigerLTPro-LightCn"/>
          <w:sz w:val="20"/>
          <w:szCs w:val="20"/>
          <w:lang w:val="en-GB"/>
        </w:rPr>
        <w:t>I) clinical decision rule (CDR) c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an be used to optimise the use of CT in children with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 xml:space="preserve">head trauma. We set out 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to externally validate this CDR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in a large cohort.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FrutigerLTPro-LightCn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sz w:val="20"/>
          <w:szCs w:val="20"/>
          <w:lang w:val="en-GB"/>
        </w:rPr>
        <w:t xml:space="preserve">Methods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We performed a prospective observational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study of patients aged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&lt;18 years presenting with head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trauma of any severi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ty to 10 Australian/New Zealand </w:t>
      </w:r>
      <w:proofErr w:type="spellStart"/>
      <w:r w:rsidRPr="005C0CD3">
        <w:rPr>
          <w:rFonts w:asciiTheme="minorHAnsi" w:hAnsiTheme="minorHAnsi" w:cs="FrutigerLTPro-LightCn"/>
          <w:sz w:val="20"/>
          <w:szCs w:val="20"/>
          <w:lang w:val="en-GB"/>
        </w:rPr>
        <w:t>EDs.</w:t>
      </w:r>
      <w:proofErr w:type="spellEnd"/>
      <w:r w:rsidRPr="005C0CD3">
        <w:rPr>
          <w:rFonts w:asciiTheme="minorHAnsi" w:hAnsiTheme="minorHAnsi" w:cs="FrutigerLTPro-LightCn"/>
          <w:sz w:val="20"/>
          <w:szCs w:val="20"/>
          <w:lang w:val="en-GB"/>
        </w:rPr>
        <w:t xml:space="preserve"> In a planned secondar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y analysis, we assessed the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accuracy of the NEXUS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II CDR (with 95% CI) to detect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clinically important int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racranial injury (ICI). We also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assessed clinician accuracy without the rule.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FrutigerLTPro-LightCn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sz w:val="20"/>
          <w:szCs w:val="20"/>
          <w:lang w:val="en-GB"/>
        </w:rPr>
        <w:t xml:space="preserve">Results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Of 20 137 tota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l patients, we excluded 28 with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suspected penetrating in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jury. Median age was 4.2 years.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 xml:space="preserve">CTs were obtained in 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ED for 1962 (9.8%), of whom 377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(19.2%) had ICI as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defined by NEXUS II. 74 (19.6%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of ICI) patients underwent neurosurgery. Sensitivity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for ICI based on the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NEXUS II CDR was 379/383 (99.0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(95% CI 97.3% to 99.7%)) and specificity was 9320/19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726 (47.2% (95% CI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46.5% to 47.9%)) for the total cohort.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Sensitivity in the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CT-only cohort was similar. Of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the 18 022 children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without CT in ED, 49.4% had at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least one NEXUS II risk criterion. Sensitivity for ICI by the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clinicians without th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e rule was 377/377 (100.0% (95%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CI 99.0% to 100.0%)) and specificity was 18 147/19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732 (92.0% (95% CI 91.6% to 92.3%)).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FrutigerLTPro-LightCn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sz w:val="20"/>
          <w:szCs w:val="20"/>
          <w:lang w:val="en-GB"/>
        </w:rPr>
        <w:t xml:space="preserve">Conclusions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NEXUS II had high sensitivity, similar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to the derivation stu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dy. However, approximately half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 xml:space="preserve">of </w:t>
      </w:r>
      <w:proofErr w:type="spellStart"/>
      <w:r w:rsidRPr="005C0CD3">
        <w:rPr>
          <w:rFonts w:asciiTheme="minorHAnsi" w:hAnsiTheme="minorHAnsi" w:cs="FrutigerLTPro-LightCn"/>
          <w:sz w:val="20"/>
          <w:szCs w:val="20"/>
          <w:lang w:val="en-GB"/>
        </w:rPr>
        <w:t>unimaged</w:t>
      </w:r>
      <w:proofErr w:type="spellEnd"/>
      <w:r w:rsidRPr="005C0CD3">
        <w:rPr>
          <w:rFonts w:asciiTheme="minorHAnsi" w:hAnsiTheme="minorHAnsi" w:cs="FrutigerLTPro-LightCn"/>
          <w:sz w:val="20"/>
          <w:szCs w:val="20"/>
          <w:lang w:val="en-GB"/>
        </w:rPr>
        <w:t xml:space="preserve"> patients were positive for NEXUS II risk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criteria; this may resu</w:t>
      </w:r>
      <w:r>
        <w:rPr>
          <w:rFonts w:asciiTheme="minorHAnsi" w:hAnsiTheme="minorHAnsi" w:cs="FrutigerLTPro-LightCn"/>
          <w:sz w:val="20"/>
          <w:szCs w:val="20"/>
          <w:lang w:val="en-GB"/>
        </w:rPr>
        <w:t xml:space="preserve">lt in an increased CT rate in a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setting with high clinician accuracy.</w:t>
      </w:r>
    </w:p>
    <w:p w:rsidR="005C0CD3" w:rsidRPr="005C0CD3" w:rsidRDefault="005C0CD3" w:rsidP="0038420B">
      <w:pPr>
        <w:spacing w:after="240" w:line="360" w:lineRule="auto"/>
        <w:rPr>
          <w:rFonts w:asciiTheme="minorHAnsi" w:hAnsiTheme="minorHAnsi" w:cs="FrutigerLTPro-LightCn"/>
          <w:sz w:val="20"/>
          <w:szCs w:val="20"/>
          <w:lang w:val="en-GB"/>
        </w:rPr>
      </w:pPr>
      <w:r w:rsidRPr="005C0CD3">
        <w:rPr>
          <w:rFonts w:asciiTheme="minorHAnsi" w:hAnsiTheme="minorHAnsi" w:cs="FrutigerLTPro-LightCn"/>
          <w:sz w:val="20"/>
          <w:szCs w:val="20"/>
          <w:lang w:val="en-GB"/>
        </w:rPr>
        <w:br w:type="page"/>
      </w:r>
    </w:p>
    <w:p w:rsidR="005C0CD3" w:rsidRPr="005C0CD3" w:rsidRDefault="0038420B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lastRenderedPageBreak/>
        <w:t>INTRODUCTION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FF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Over the last 20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years, a number of head injury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clinical decision ru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les (CDRs) have been developed.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They are generally designed to determine which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patients should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or should not undergo CT of the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head by stratifying patients into those at increased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or decreased risk 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f intracranial injury (ICI). In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children with head injuries, concerns about diagnostic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speed, accuracy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, resource use and variation in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practice are amplified by concerns about radiation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exposure and subsequent iatrogenic cancer risk</w:t>
      </w:r>
      <w:r w:rsidR="0038420B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1 2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the need for sedation in young and uncooperative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patients.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3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Several child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-specific head injury CDRs have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been developed using large data sets.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4–8 </w:t>
      </w:r>
      <w:proofErr w:type="gramStart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This</w:t>
      </w:r>
      <w:proofErr w:type="gramEnd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necessitates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that clinicians use a CDR for paediatric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patients and a sepa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rate CDR for adult patients. In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contrast, the National Emergency X-Radiography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Utilisation Study II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(NEXUS II) collaboration aimed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to provide a low-risk decision instrument for head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injured patients of all ages.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9 10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This CDR, prospectively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derived in a multicentre data set of 13 728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patients who un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derwent CT for their blunt head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injury includes eight p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redictor variables (age over 65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years, evidence of 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kull fracture, scalp haematoma,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neurological defici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t, abnormal alertness, abnormal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behaviour, coagulop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athy or persistent vomiting). A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7-criteria NEXUS I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 instrument, excluding the age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predictor variable, was then tested in the paediatric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subgroup of 1666 ch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ildren included in the original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derivation data set, showing a very high sensitivity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(98.6%, 95%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CI 94.9% to 99.8%) and negative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predictive value (NPV) (99.1%, 95% CI 96.9%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to 99.9%). Ho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wever, the NEXUS II CDR has not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been externally valid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ated in a child-specific cohort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of undifferentiated head injuries.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Only CDRs that have bee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n derived according to rigorous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methodological standards and are externally validated should be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implemented in routine clinical practice.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4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As &gt;80% of paediatric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emergencies are managed in EDs that care for both adult and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paediatric patients CDRs devel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oped to be used for patients of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all ages have the potential to be ideal decision instruments for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emergency physicians in mixed departments.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We undertook an external va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lidation of the NEXUS II CDR in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head injured children using prospectively collected multicentre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data outside the derivation setting.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11 12 </w:t>
      </w:r>
      <w:proofErr w:type="gramStart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We</w:t>
      </w:r>
      <w:proofErr w:type="gramEnd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used the NEXUS II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predictor variables and the rule-specific outcome of clinically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important ICI to determine the dia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gnostic accuracy of the rule in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 undifferentiated cohort of children with head injuries of any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severity. We also analysed the accuracy in the cohort that underwent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head CT, consistent with the original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derivation cohort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inclusion criteria.</w:t>
      </w:r>
    </w:p>
    <w:p w:rsidR="005C0CD3" w:rsidRPr="005C0CD3" w:rsidRDefault="0038420B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>METHODS</w:t>
      </w:r>
    </w:p>
    <w:p w:rsidR="005C0CD3" w:rsidRPr="005C0CD3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>Study design and setting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This was a planned secondary analysis of a prospective multicentre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observational study, which enrolled children aged &lt;18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years presenting with head injury of any severity to 10 paediatr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ic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EDs in Australia and New Zealand between April 2011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November 2014. All ED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s are members of the Paediatric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Research in Emergency Departm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ents International Collaborative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research network.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While the focus of the parent study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11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was on the validation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of three other paediatric-specific neuroimaging rules ((</w:t>
      </w:r>
      <w:proofErr w:type="spell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</w:t>
      </w:r>
      <w:proofErr w:type="spellEnd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)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prediction rule for the identif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ication of children at very low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risk of clinically important traumatic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lastRenderedPageBreak/>
        <w:t>brain injury developed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by the Paediatric Emergenc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y Care Applied Research Network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(PECARN),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6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(ii) the Canadian Assessment of Tomography for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Childhood Head Injury (CATCH) rule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7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and (iii) the Children’s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Head Injury Algorithm for the Prediction of Important Clinical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Events (CHALICE))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8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published elsewhere,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11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we also collected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predictor and outcome variables of the NEXUS II rule.</w:t>
      </w:r>
      <w:r w:rsidR="0038420B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9 10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Using the published predictor variables and ICI as outcome variable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as defined by NEXUS, we asse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ssed the accuracy (sensitivity,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specificity, negative predictive value (NPV), and positive predictive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value (PPV)) of NEXUS II in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patients in the whole cohort of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patients, using systematic telephon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 follow-up data as a surrogate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for negative primary outcome of no ICI if no CT scan had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been performed. In a secondary ana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lysis, we assessed the accuracy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of NEXUS II only in the cohort who underwent a CT scan,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similar to the original derivation papers.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9 10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As predictor and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outcome variables were not collected verbatim as published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9</w:t>
      </w:r>
      <w:proofErr w:type="gramEnd"/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10</w:t>
      </w:r>
      <w:r w:rsidR="0038420B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we adapted them base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d on available data (see online supplementary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tables 1 and 2). We also assessed clinician accuracy for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predicting the outcome of ICI by whether they conducted a CT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 the ED and compared the res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ults with the accuracy of NEXUS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II.</w:t>
      </w:r>
    </w:p>
    <w:p w:rsidR="0038420B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FF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We obtained informed verba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l consent from parents/guardian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apart from instances of significant life-threatening or fatal injuries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where participating ethics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committees granted a waiver of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consent.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trial protocol was published in detail elsewhere.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12 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</w:t>
      </w:r>
      <w:proofErr w:type="gramEnd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study was registered with the Australian New Zealand Clinical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Trials Registry ACTRN1261400046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3673 and followed the Standards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for Reporting Diagnostic accuracy studies guidelines.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13</w:t>
      </w:r>
      <w:r w:rsidR="0038420B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</w:p>
    <w:p w:rsidR="005C0CD3" w:rsidRPr="0038420B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eastAsia="FrutigerLTPro-Condensed" w:hAnsiTheme="minorHAnsi" w:cs="FrutigerLTPro-Condensed"/>
          <w:b/>
          <w:color w:val="000000"/>
          <w:sz w:val="20"/>
          <w:szCs w:val="20"/>
          <w:lang w:val="en-GB"/>
        </w:rPr>
      </w:pPr>
      <w:r w:rsidRPr="0038420B">
        <w:rPr>
          <w:rFonts w:asciiTheme="minorHAnsi" w:eastAsia="FrutigerLTPro-Condensed" w:hAnsiTheme="minorHAnsi" w:cs="FrutigerLTPro-Condensed"/>
          <w:b/>
          <w:color w:val="000000"/>
          <w:sz w:val="20"/>
          <w:szCs w:val="20"/>
          <w:lang w:val="en-GB"/>
        </w:rPr>
        <w:t>Selection of participants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Patients were enrolled by the trea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ting ED clinician who collected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demographic, epidemiological and clinical data on a standardised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case report form prior to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any neuroimaging. ED clinicians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decided to obtain head CTs at the initial presentation in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ED based on their clinical judgement and their own criteria,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study exerted no influence on this process. A research assistant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(RA) recorded ED and hospital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management data after the visit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conducted a telephone fol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low-up for patients who had not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undergone neuroimaging. Up to six follow-up call attempts were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made up to 90 days after injury. In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addition, data of any patients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who had representations to the study hospitals leading to a CT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scan within the follow-up peri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od prior to the phone call were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used to assess outcomes. Any patients who had representations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to other hospitals based on the telephone follow-up had neuroimaging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neurosurgery reports requested where applicable.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Patients were excluded if th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ey had trivial facial injuries,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refused participation, had neuroimaging prior to arrival in ED,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did not wait to be seen or were 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eferred for care outside the ED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if there were social issues preventing an approach of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patient or family.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RAs were not blinded to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the purpose of the study. </w:t>
      </w:r>
      <w:proofErr w:type="gramStart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Site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investigators,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RAs and participatin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g ED clinicians received formal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training prior to and during the study.</w:t>
      </w:r>
      <w:proofErr w:type="gramEnd"/>
    </w:p>
    <w:p w:rsidR="005C0CD3" w:rsidRPr="005C0CD3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>Methods and measurements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NEXUS II decision instrument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9 10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was used for this study.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It includes eight risk criteria: evidence of significant skull fracture,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altered level of alertness, neurological deficit, persis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tent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vomiting, presence of scalp haematoma, abnormal behaviour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coagulopathy and age &gt;65 ye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ars. Patients fulfilling one or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more of these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lastRenderedPageBreak/>
        <w:t>criteria are considered at high risk for ICI and are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recommended to undergo a head CT. Similar to Oman </w:t>
      </w:r>
      <w:r w:rsidRPr="005C0CD3">
        <w:rPr>
          <w:rFonts w:asciiTheme="minorHAnsi" w:hAnsiTheme="minorHAnsi" w:cs="ClassicalGaramondBT-Italic"/>
          <w:i/>
          <w:iCs/>
          <w:color w:val="000000"/>
          <w:sz w:val="20"/>
          <w:szCs w:val="20"/>
          <w:lang w:val="en-GB"/>
        </w:rPr>
        <w:t>et al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10</w:t>
      </w:r>
      <w:proofErr w:type="gramEnd"/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removed the age criterion as not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relevant; online supplementary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table 1 presents the definition of the seven risk criteria used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10</w:t>
      </w:r>
      <w:r w:rsidR="0038420B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how closely they matched th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 predictor variables available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from PEACRN, CATCH and CHALICE.</w:t>
      </w:r>
    </w:p>
    <w:p w:rsidR="005C0CD3" w:rsidRPr="005C0CD3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>Outcomes</w:t>
      </w:r>
    </w:p>
    <w:p w:rsidR="005C0CD3" w:rsidRPr="0038420B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definition of ICI applied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in this study was based on the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original definition proposed by Mower </w:t>
      </w:r>
      <w:r w:rsidRPr="005C0CD3">
        <w:rPr>
          <w:rFonts w:asciiTheme="minorHAnsi" w:hAnsiTheme="minorHAnsi" w:cs="ClassicalGaramondBT-Italic"/>
          <w:i/>
          <w:iCs/>
          <w:color w:val="000000"/>
          <w:sz w:val="20"/>
          <w:szCs w:val="20"/>
          <w:lang w:val="en-GB"/>
        </w:rPr>
        <w:t>et al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9</w:t>
      </w:r>
      <w:proofErr w:type="gramEnd"/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according to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presence of one or more of 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number of CT findings shown in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online supplementary table 2. These were derived from previous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clinical work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14</w:t>
      </w:r>
      <w:proofErr w:type="gramEnd"/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which showed tha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 patients with these CT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findings may require neurosurgical intervention (craniotomy,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intracranial pressure monitoring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or mechanical ventilation), or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are likely to suffer significant lon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g-term neurological impairment. 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10 14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 this study, we used senior radiologist reports to determine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results of CT scans. RAs and site investigators abstracted these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data from CT reports for agre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ement with the outcome measures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consulted local site radiologists if there was uncertainty in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interpretation of individual sc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ans. De-identified copies of CT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findings were provided to the centra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l site. If there was a question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as to the classification of the CT, a central site investigator would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review the reports and if needed u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se a third site investigator to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resolve disagreements.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 comparison between the NEXUS II CT criteria and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corresponding information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used in our study is provided in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online supplementary table 2.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For the descriptive analyses of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neurosurgical interventions, we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used operative reports. RAs and site investigators abstracted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information from operative repo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rts. If there was a question as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to the classification of the operative reports, a central site investigator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would review the reports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and if needed use a third site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investigator to resolve disagreements.</w:t>
      </w:r>
    </w:p>
    <w:p w:rsidR="005C0CD3" w:rsidRPr="005C0CD3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>Analysis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Data were entered into </w:t>
      </w:r>
      <w:proofErr w:type="spell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Ep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idata</w:t>
      </w:r>
      <w:proofErr w:type="spellEnd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(The </w:t>
      </w:r>
      <w:proofErr w:type="spellStart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Epidata</w:t>
      </w:r>
      <w:proofErr w:type="spellEnd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Association,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Odense, Denmark), and later REDCap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15</w:t>
      </w:r>
      <w:proofErr w:type="gramEnd"/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analysed using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Stata 13 (</w:t>
      </w:r>
      <w:proofErr w:type="spell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StataCorp</w:t>
      </w:r>
      <w:proofErr w:type="spellEnd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 College St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ation, Texas, USA). Descriptive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statistics were calculated for key variables with 95% CIs where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relevant.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Primary analysis was the diagnostic accu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racy (sensitivity, specificity,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NPV and PPV) of NEXUS II for ICI in patients in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cohort of all presenting patients.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In this analysis, patients who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did not undergo a CT scan, but were followed up by telephone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up to 90 days after the injury w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ere coded as not having ICI. In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 secondary analysis, the diagnostic accuracy (sensitivity, specificity,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NPV and PPV) of NEX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US II for ICI was tested in the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cohort who underwent a CT scan. Finally, we assesse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d the diagnostic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accuracy of clinician practice to detect ICI if a CT scan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had been conducted.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Missing predictor variables w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ere treated as missing presumed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negative. A sample size calculation had been conducted for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parent study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11 12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; no add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itional sample size calculation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was conducted for this </w:t>
      </w:r>
      <w:proofErr w:type="spell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substudy</w:t>
      </w:r>
      <w:proofErr w:type="spellEnd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and all available patients who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fulfilled inclusion criteria were used.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We conducted a seconda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ry analysis where patients with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missing pre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dictor variables were excluded.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As in the study by Oman </w:t>
      </w:r>
      <w:r w:rsidRPr="005C0CD3">
        <w:rPr>
          <w:rFonts w:asciiTheme="minorHAnsi" w:hAnsiTheme="minorHAnsi" w:cs="ClassicalGaramondBT-Italic"/>
          <w:i/>
          <w:iCs/>
          <w:color w:val="000000"/>
          <w:sz w:val="20"/>
          <w:szCs w:val="20"/>
          <w:lang w:val="en-GB"/>
        </w:rPr>
        <w:t>et al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10</w:t>
      </w:r>
      <w:proofErr w:type="gramEnd"/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we also performed a subgroup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analysis in children aged ≤3 years. This subgroup analysis was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performed in consideration of the f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act that assessment of criteria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pertaining to behavioural and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lastRenderedPageBreak/>
        <w:t>neurological functioning domains,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as well as to other domains, may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be more challenging in children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of this very young age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10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thus may affect the diagnostic accuracy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of the CDR instrument.</w:t>
      </w:r>
    </w:p>
    <w:p w:rsidR="005C0CD3" w:rsidRPr="005C0CD3" w:rsidRDefault="0038420B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>RESULTS</w:t>
      </w:r>
    </w:p>
    <w:p w:rsidR="005C0CD3" w:rsidRPr="005C0CD3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>Characteristics of study subjects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 total of 29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433 patients present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ed to the ED with injury of any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severity, of which 5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203 were missed. Of the remaining 24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230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patients assessed for eligibility, 1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706 were excluded. Of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22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524 eligible patients, 2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240 were lost to follow-up, 147 had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records that were not evaluable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and 28 were suspected by the ED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clinician to have sustained a penetrating head injury; this led to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 total number of 20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109 patients evaluable for analyses. Patient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flow is described in 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figure 1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. 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Of 1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962 (9.6%) patients wh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o received a CT scan in the ED,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377/1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962 (19.2%) had ICI as defined by NEXUS II (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table 1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).</w:t>
      </w:r>
      <w:proofErr w:type="gramEnd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Mean age of patients was 6.6 (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SD 5.2) years for patients with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ICI and 8.8 (SD 5.2) years for th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ose without ICI on CT. Overall,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26.3% of patients with a CT scan were &lt;3 years of age. Main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signs and symptoms were loss of consciousness and vomitin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g,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main mechanism of injury was fall related. Ten children died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from their head injuries. The most f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requent types of ICI identified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on CT were skull fractures, and subdural/extradural haemorrhages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and contusions, with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the most frequent neurosurgical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interventions (74, 19.6%) being moni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toring of intracranial pressure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craniotomy (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table 2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).</w:t>
      </w:r>
    </w:p>
    <w:p w:rsidR="005C0CD3" w:rsidRPr="0038420B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eastAsia="FrutigerLTPro-Condensed" w:hAnsiTheme="minorHAnsi" w:cs="FrutigerLTPro-Condensed"/>
          <w:b/>
          <w:color w:val="000000"/>
          <w:sz w:val="20"/>
          <w:szCs w:val="20"/>
          <w:lang w:val="en-GB"/>
        </w:rPr>
      </w:pPr>
      <w:r w:rsidRPr="0038420B">
        <w:rPr>
          <w:rFonts w:asciiTheme="minorHAnsi" w:eastAsia="FrutigerLTPro-Condensed" w:hAnsiTheme="minorHAnsi" w:cs="FrutigerLTPro-Condensed"/>
          <w:b/>
          <w:color w:val="000000"/>
          <w:sz w:val="20"/>
          <w:szCs w:val="20"/>
          <w:lang w:val="en-GB"/>
        </w:rPr>
        <w:t>Main results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The most frequent positive NEXUS II risk criteria in children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with ICI (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>table 3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) were scalp haematomas (217/377; 57.6%) and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altered level of alertness (235/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377; 62.3%). Four patients with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CT confirmed ICI had no NEXUS II risk criteria. These four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children were aged between 4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and 15 years, presented with a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GCS of 15 and fell from height, fell off scooter or were struck by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another person at sch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ool. All were admitted and none required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neurosurgery (see online supple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mentary table 3). Most children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with ICI had two or three positive risk criteria (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>table 3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).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When analysing risk criteri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a among 18 022 children who had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no initial or subsequent CT scan, 8909 (49.4%) had at least one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risk criterion and 2476 (13.7%)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had at least two risk criteria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(see online supplementary table 4).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When analysing the diagnosti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c accuracy of the rule based on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all presenting patients, with the assumption that patients not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undergoing a CT scan were nega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tive for ICI based on telephone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follow-up, it showed a sensitivity of 379/383 (99.0% (95% CI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97.3% to 99.7%)) and specifi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city of 9320/19 726 (47.2% (95%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CI 46.5% to 47.9%)) (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>table 4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). When assessing the accuracy of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NEXUS II based on initial CT 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scan in ED, the sensitivity for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ICI based on the NEXUS II CDR was 373/377 (98.9%; 95%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CI 97.3% to 99.7%) and spe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cificity 156/1585 (9.8%; 95% CI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8.4% to 11.4%) (</w:t>
      </w:r>
      <w:proofErr w:type="gramStart"/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>table</w:t>
      </w:r>
      <w:proofErr w:type="gramEnd"/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 xml:space="preserve"> 4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). Results were similar when all CTs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performed at any 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time point were included and in children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aged &lt;3 and ≥3 years (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>table 5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). The sensitivity of NEXUS II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increased with the number of risk criteria (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>table 6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). We also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conducted a sensitivity analy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sis where patients who had a CT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scan with missing risk criteria were excluded. Accuracy results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were unchanged (see online su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pplementary table 5). Clinician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accuracy in detecting ICI without the rule was 377/377 (100.0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(95% CI 99.0% to 100.0%)) and specificity was 18 147/19 732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(92.0% (95% CI 91.6% to 92.3%)) (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>table 4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).</w:t>
      </w:r>
    </w:p>
    <w:p w:rsidR="005C0CD3" w:rsidRPr="005C0CD3" w:rsidRDefault="0038420B" w:rsidP="0038420B">
      <w:pPr>
        <w:autoSpaceDE w:val="0"/>
        <w:autoSpaceDN w:val="0"/>
        <w:adjustRightInd w:val="0"/>
        <w:spacing w:line="360" w:lineRule="auto"/>
        <w:rPr>
          <w:rFonts w:asciiTheme="minorHAnsi" w:eastAsia="FrutigerLTPro-Condensed" w:hAnsiTheme="minorHAnsi" w:cs="FrutigerLTPro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eastAsia="FrutigerLTPro-Condensed" w:hAnsiTheme="minorHAnsi" w:cs="FrutigerLTPro-BoldCn"/>
          <w:b/>
          <w:bCs/>
          <w:color w:val="000000"/>
          <w:sz w:val="20"/>
          <w:szCs w:val="20"/>
          <w:lang w:val="en-GB"/>
        </w:rPr>
        <w:lastRenderedPageBreak/>
        <w:t>DISCUSSION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In this multicentre validation s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tudy, we found NEXUS II to have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high sensitivity in detecting the NEXUS-specific outcome of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ICI in the overall cohort and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in the cohort who underwent CT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scanning. Four patients were missed by the rule, that is, had no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NEXUS II risk criteria but were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positive for ICI; none of them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required neurosurgery. Overall accuracy results did not change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when patients were excluded 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who had missing information for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NEXUS criteria. Both high sensitivity (98.9%; 95% CI 97.3%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to 99.7%) and low specifici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ty (9.8%; 95% CI 8.4% to 11.4%)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in the CT-only cohort were similar 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to the analysis of the original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NEXUS data overall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 xml:space="preserve">9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and for the paediatric cohort in particular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(sensitivity 98.6% (95% CI 94.9 to 99.8); specificity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15.1%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(95% CI 13.3 to 16.9)).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 xml:space="preserve">10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Our data set differed from the NEXUS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II cohort in that more young 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children were enrolled compared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with the ‘J’-shaped distribution with an increased number of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teenagers in NEXUS.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External validation for NEXUS II in children is limited. In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three paediatric studies from Finland</w:t>
      </w:r>
      <w:proofErr w:type="gramStart"/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>16</w:t>
      </w:r>
      <w:proofErr w:type="gramEnd"/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Italy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 xml:space="preserve">17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and the USA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>18</w:t>
      </w:r>
      <w:r w:rsidR="0038420B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outside the derivation setting,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NEXUS II was assessed in terms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of accuracy and compared with other head injury rules. All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were limited by being conducte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d in single-centre settings and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by the retrospective nature of data extraction</w:t>
      </w:r>
      <w:r w:rsidRPr="005C0CD3">
        <w:rPr>
          <w:rFonts w:asciiTheme="minorHAnsi" w:eastAsia="FrutigerLTPro-Condensed" w:hAnsiTheme="minorHAnsi" w:cs="ClassicalGaramondBT-Roman"/>
          <w:color w:val="0000FF"/>
          <w:sz w:val="20"/>
          <w:szCs w:val="20"/>
          <w:lang w:val="en-GB"/>
        </w:rPr>
        <w:t xml:space="preserve">16 18 </w:t>
      </w:r>
      <w:r w:rsidRPr="005C0CD3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>or the use of</w:t>
      </w:r>
      <w:r w:rsidR="0038420B">
        <w:rPr>
          <w:rFonts w:asciiTheme="minorHAnsi" w:eastAsia="FrutigerLTPro-Condensed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 prospective data set collected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before the NEXUS II derivation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data had been published.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17 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Neither</w:t>
      </w:r>
      <w:proofErr w:type="gramEnd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paper lists in detail how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NEXUS definitions were modifi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ed to conform with pre-existing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data sets. NEXUS sensitiviti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es were reported at 96% (95% CI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90 to 99)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16</w:t>
      </w:r>
      <w:proofErr w:type="gramEnd"/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88.9% (95% CI 63.9 to 95.6)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17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78.3% (95%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CI 69.9 to 86.7),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18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respectively. I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 is not clear if a multicentre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prospective study of NEXUS II from Korea includes any children.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19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Recently, the original team which derived the NEXUS II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CDR conducted a validation st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udy in a new data set including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11 750 blunt head injuries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20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; in an analysis of the paediatric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cohort of 1018 children sens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itivity was 98.0% (95% CI 89.1%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to 99.9%) and specificity of 34.0% (95% CI 31.0% to 37.0%)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for the assessment of high-risk status in patients with ICI.</w:t>
      </w:r>
      <w:r w:rsidR="0038420B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21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However, similar to the derivation cohort only patient who had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received a CT scan were included in the study.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While we also followed th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 original adult and </w:t>
      </w:r>
      <w:proofErr w:type="spellStart"/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paediatric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papers</w:t>
      </w:r>
      <w:proofErr w:type="spellEnd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for NEXUS II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9 10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by analysing rule accuracy (external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validation) solely based on pat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ients who actually underwent CT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scanning, in particular as CT imaging was required for outcome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assessment, this does not reflect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how rules such as NEXUS II may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actually be used in the clinical setting. Therefore, we primarily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analysed the accuracy using all patients, including those without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CT scans; while sensitivity was similar, specificity was higher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 the overall cohort compared with the CT-only cohort. Of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18 022 head injured children in our study who did not undergo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CT imaging, 49.4% of these patients fulfilled at least one of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NEXUS predictor variables and therefore, based on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the rule,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were deemed not at very low risk. If this rule was applied and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followed in an undifferentiated co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hort of paediatric patients, it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would have the potential to increase the head CT rate. When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adding predictor positive patients who underwent any CT scan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(n=1497) and those who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did not (n=8909), 51.7% (10 406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of 20 109) of all head injured children would be required to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undergo CT imaging as compa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red with 10.4% (2087 of 20 109)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who actually did, an increase of about 400%. This is particularly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striking considering the high 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ensitivity—where clinicians did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not miss a single patient with ICI—and specificity of clinician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practice at the participating sites without using the NEXUS rule.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lastRenderedPageBreak/>
        <w:t>NEXUS II used ICI as primar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y outcome. Although the outcome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was consensus based and aimed to capture CT changes that may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require neurosurgical intervention,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‘or lead to rapid deterioration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or significant long-term neurological impairment’,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actual criteria used to define IC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 were solely based on recorded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CT changes.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9 22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Other paediatric CDRs, such as PECARN, use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definitions of clinically import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ant traumatic brain injury that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explicitly require, in addition to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specified CT changes, relevant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clinical changes, such as admission &gt;2 days or intubation &gt;1 day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(in addition to death or neurosurgery).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6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Such tightening of the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outcome definition would likely change sensitivity and specificity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calculations of NEXUS II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in both the derivation data set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in our data.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This study has a number of limitations. The predictor and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outcome variables for the NEXUS II CDR would have ideally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been collected verbatim. Any changes in definitions and wording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of head injury rules have the potential to alter the final results.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23</w:t>
      </w:r>
      <w:r w:rsidR="0038420B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focus of the parent study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11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used for this paper, however,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was on the paediatric-specific CATCH, CHALICE and PECARN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rules.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6–8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We felt that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by collecting the predictor and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outcome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variables of three rules in detail,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the modified definitions could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be closely approximated to the actual NEXUS II criteria used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for this study. A further limitati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on of this study was a 10% loss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to follow-up in the parent study, which may have affected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analysis including patients who did not undergo CT scanning.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 the NEXUS derivation stud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y as well as in the validations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study by the same group, patients who were not imaged were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generally not followed up.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9 </w:t>
      </w:r>
      <w:proofErr w:type="gramStart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</w:t>
      </w:r>
      <w:proofErr w:type="gramEnd"/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our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study, participating sites were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usually also the only paediatric neurosurgical centres in the local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areas. A further limitation is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that CT scans were not reviewed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centrally; rather CT reports were used to assess ICI. Finally, this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study reflects practice at tertiary Australian and New Zealand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centres, where imaging rates ar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 generally lower than in North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America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6 7 11 24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and no specific rule predominates.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25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developers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of NEXUS presumed that p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atients in the derivation study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perceived by clinicians to be at high risk (independent of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NEXUS criteria per se) would b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e imaged by treating clinicians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anyway. Therefore, no com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prehensive follow-up system was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put in place and only a small fraction of the original derivation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cohort (9.2%) were followed up by interview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>9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; it is unclear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how many head injured children were included in this cohort.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ClassicalGaramondBT-Roma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Although no denominator of patie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nts presenting to participating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EDs or the actual imaging rate at NEXUS sites was provided in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NEXUS derivation or validation papers,</w:t>
      </w:r>
      <w:r w:rsidRPr="005C0CD3">
        <w:rPr>
          <w:rFonts w:asciiTheme="minorHAnsi" w:hAnsiTheme="minorHAnsi" w:cs="ClassicalGaramondBT-Roman"/>
          <w:color w:val="0000FF"/>
          <w:sz w:val="20"/>
          <w:szCs w:val="20"/>
          <w:lang w:val="en-GB"/>
        </w:rPr>
        <w:t xml:space="preserve">9 10 20 21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in settings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with a presumably high CT rate this may accurately capture all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or most relevant patients. In 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settings with a much lower scan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rate, such as in our setting, this may not be true and patients may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be missed unless a comprehensive follow-up system is in place.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In this multicentre prospective external validation study, the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NEXUS II CDR had high sensitivity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and low specificity similar to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the derivation study. However, as approximately half of patients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who did not receive a CT scan were positive for NEXUS II risk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criteria, this CDR has the potentia</w:t>
      </w:r>
      <w:r w:rsidR="0038420B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 xml:space="preserve">l to lead to increased scanning </w:t>
      </w:r>
      <w:r w:rsidRPr="005C0CD3">
        <w:rPr>
          <w:rFonts w:asciiTheme="minorHAnsi" w:hAnsiTheme="minorHAnsi" w:cs="ClassicalGaramondBT-Roman"/>
          <w:color w:val="000000"/>
          <w:sz w:val="20"/>
          <w:szCs w:val="20"/>
          <w:lang w:val="en-GB"/>
        </w:rPr>
        <w:t>rates in a setting with high clinician accuracy.</w:t>
      </w:r>
    </w:p>
    <w:p w:rsidR="0038420B" w:rsidRDefault="0038420B">
      <w:pPr>
        <w:spacing w:after="200" w:line="276" w:lineRule="auto"/>
        <w:rPr>
          <w:rFonts w:asciiTheme="minorHAnsi" w:hAnsiTheme="minorHAnsi" w:cs="FrutigerLTPro-BoldCn"/>
          <w:b/>
          <w:bCs/>
          <w:sz w:val="20"/>
          <w:szCs w:val="20"/>
          <w:lang w:val="en-GB"/>
        </w:rPr>
      </w:pPr>
      <w:r>
        <w:rPr>
          <w:rFonts w:asciiTheme="minorHAnsi" w:hAnsiTheme="minorHAnsi" w:cs="FrutigerLTPro-BoldCn"/>
          <w:b/>
          <w:bCs/>
          <w:sz w:val="20"/>
          <w:szCs w:val="20"/>
          <w:lang w:val="en-GB"/>
        </w:rPr>
        <w:br w:type="page"/>
      </w:r>
    </w:p>
    <w:p w:rsidR="0038420B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FrutigerLTPro-LightCn"/>
          <w:sz w:val="20"/>
          <w:szCs w:val="20"/>
          <w:lang w:val="en-GB"/>
        </w:rPr>
      </w:pPr>
      <w:bookmarkStart w:id="0" w:name="_GoBack"/>
      <w:bookmarkEnd w:id="0"/>
      <w:r w:rsidRPr="005C0CD3">
        <w:rPr>
          <w:rFonts w:asciiTheme="minorHAnsi" w:hAnsiTheme="minorHAnsi" w:cs="FrutigerLTPro-BoldCn"/>
          <w:b/>
          <w:bCs/>
          <w:sz w:val="20"/>
          <w:szCs w:val="20"/>
          <w:lang w:val="en-GB"/>
        </w:rPr>
        <w:lastRenderedPageBreak/>
        <w:t xml:space="preserve">Acknowledgements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The authors would like to thank the participating families,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emergency department staff and research staff at participating sites.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FrutigerLTPro-LightCn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sz w:val="20"/>
          <w:szCs w:val="20"/>
          <w:lang w:val="en-GB"/>
        </w:rPr>
        <w:t xml:space="preserve">Contributors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FEB: conceived the study, obtained grant funding,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 designed the study,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provided overall supervision, interpreted the data, wrote the initial draft of the paper,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gave final approval to be published and agreed to be accountable for all aspects of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the work. MLB, NP, AK, SD, JAC, YG, JF, JN, MDL, MA, SH, SB, LMC, EO, SRD: designed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the study, obtained the data, provided supervision, i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nterpreted the data, drafted or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revised it critically, gave final approval to be published and agreed to be accountable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for all aspects of the work. SD: designed the study, supervised the analysis of the data,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contributed to the interpretation of the data, revised the paper critically, gave final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approval to be published and agreed to be acc</w:t>
      </w:r>
      <w:r w:rsidR="0038420B">
        <w:rPr>
          <w:rFonts w:asciiTheme="minorHAnsi" w:hAnsiTheme="minorHAnsi" w:cs="FrutigerLTPro-LightCn"/>
          <w:sz w:val="20"/>
          <w:szCs w:val="20"/>
          <w:lang w:val="en-GB"/>
        </w:rPr>
        <w:t xml:space="preserve">ountable for all aspects of the </w:t>
      </w:r>
      <w:r w:rsidRPr="005C0CD3">
        <w:rPr>
          <w:rFonts w:asciiTheme="minorHAnsi" w:hAnsiTheme="minorHAnsi" w:cs="FrutigerLTPro-LightCn"/>
          <w:sz w:val="20"/>
          <w:szCs w:val="20"/>
          <w:lang w:val="en-GB"/>
        </w:rPr>
        <w:t>work.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 xml:space="preserve">Funding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The study was funded by grants from the National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Health and Medical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Research Council (project grant GNT1046727, Centre of Research Excellence for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Paediatric Emergency Medicine GNT1058560), 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Canberra, Australia; the Murdoc </w:t>
      </w:r>
      <w:proofErr w:type="spellStart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Childrens</w:t>
      </w:r>
      <w:proofErr w:type="spellEnd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Research Institute, Melbourne, Au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stralia; the Emergency Medicine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Foundation (EMPJ-11162), Brisbane, Australia; Perpetual Philanthropic Services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(2012/1140), Australia; Auckland Medical Research Foundation (No. 3112011)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and the A + Trust (Auckland Distri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ct Health Board), Auckland, New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Zealand; WA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Health Targeted Research Funds 2013, Perth, Aus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tralia; the Townsville Hospital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and Health Service Private Practice Research and Education Trust Fund, Townsville,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Australia and supported by the Victorian Government’s Infrastructure Support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Program, Melbourne, Australia. FEB’s time was part funded by a grant from the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Royal Children’s Hospital Foundation, Melbourne, A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ustralia, an NHMRC Practitioner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Fellowship GNT1124466 and a Melbourne Children’s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Clinician Scientist Fellowship. 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SRD’s time was part funded by the Health Research Council of Ne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w Zealand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(HRC13/556).</w:t>
      </w:r>
    </w:p>
    <w:p w:rsidR="005C0CD3" w:rsidRPr="005C0CD3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 xml:space="preserve">Competing interests </w:t>
      </w:r>
      <w:proofErr w:type="gramStart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None</w:t>
      </w:r>
      <w:proofErr w:type="gramEnd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declared.</w:t>
      </w:r>
    </w:p>
    <w:p w:rsidR="005C0CD3" w:rsidRPr="005C0CD3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 xml:space="preserve">Patient consent </w:t>
      </w:r>
      <w:proofErr w:type="gramStart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Not</w:t>
      </w:r>
      <w:proofErr w:type="gramEnd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required.</w:t>
      </w:r>
    </w:p>
    <w:p w:rsidR="005C0CD3" w:rsidRPr="005C0CD3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 xml:space="preserve">Ethics approval </w:t>
      </w:r>
      <w:proofErr w:type="gramStart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The</w:t>
      </w:r>
      <w:proofErr w:type="gramEnd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study was approved by the Royal Children’s Hospital,</w:t>
      </w:r>
      <w:r w:rsidR="0038420B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</w:t>
      </w: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Melbourne, Australia.</w:t>
      </w:r>
    </w:p>
    <w:p w:rsidR="005C0CD3" w:rsidRPr="005C0CD3" w:rsidRDefault="005C0CD3" w:rsidP="0038420B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 xml:space="preserve">Provenance and peer review </w:t>
      </w:r>
      <w:proofErr w:type="gramStart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Not</w:t>
      </w:r>
      <w:proofErr w:type="gramEnd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commissioned; externally peer reviewed.</w:t>
      </w:r>
    </w:p>
    <w:p w:rsidR="005C0CD3" w:rsidRPr="005C0CD3" w:rsidRDefault="005C0CD3" w:rsidP="0038420B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BoldCn"/>
          <w:b/>
          <w:bCs/>
          <w:color w:val="000000"/>
          <w:sz w:val="20"/>
          <w:szCs w:val="20"/>
          <w:lang w:val="en-GB"/>
        </w:rPr>
        <w:t xml:space="preserve">Data sharing statement </w:t>
      </w:r>
      <w:proofErr w:type="gramStart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>There</w:t>
      </w:r>
      <w:proofErr w:type="gramEnd"/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t xml:space="preserve"> are no additional data available.</w:t>
      </w:r>
    </w:p>
    <w:p w:rsidR="0038420B" w:rsidRDefault="0038420B" w:rsidP="0038420B">
      <w:pPr>
        <w:spacing w:after="240" w:line="360" w:lineRule="auto"/>
        <w:rPr>
          <w:rFonts w:asciiTheme="minorHAnsi" w:hAnsiTheme="minorHAnsi" w:cs="FrutigerLTStd-BoldCn"/>
          <w:b/>
          <w:bCs/>
          <w:color w:val="000000"/>
          <w:sz w:val="20"/>
          <w:szCs w:val="20"/>
          <w:lang w:val="en-GB"/>
        </w:rPr>
      </w:pPr>
      <w:r>
        <w:rPr>
          <w:rFonts w:asciiTheme="minorHAnsi" w:hAnsiTheme="minorHAnsi" w:cs="FrutigerLTStd-BoldCn"/>
          <w:b/>
          <w:bCs/>
          <w:color w:val="000000"/>
          <w:sz w:val="20"/>
          <w:szCs w:val="20"/>
          <w:lang w:val="en-GB"/>
        </w:rPr>
        <w:br w:type="page"/>
      </w:r>
    </w:p>
    <w:p w:rsidR="005C0CD3" w:rsidRPr="005C0CD3" w:rsidRDefault="005C0CD3" w:rsidP="005C0CD3">
      <w:pPr>
        <w:autoSpaceDE w:val="0"/>
        <w:autoSpaceDN w:val="0"/>
        <w:adjustRightInd w:val="0"/>
        <w:rPr>
          <w:rFonts w:asciiTheme="minorHAnsi" w:hAnsiTheme="minorHAnsi" w:cs="FrutigerLTStd-BoldCn"/>
          <w:b/>
          <w:bCs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Std-BoldCn"/>
          <w:b/>
          <w:bCs/>
          <w:color w:val="000000"/>
          <w:sz w:val="20"/>
          <w:szCs w:val="20"/>
          <w:lang w:val="en-GB"/>
        </w:rPr>
        <w:lastRenderedPageBreak/>
        <w:t>References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Pearce MS,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Salotti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JA, Little MP,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Radiation exposure from CT scans in childhood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and subsequent risk of leukaemia and brain tumours: a retrospective cohort study.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Lancet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2012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;380:499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–505.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Miglioretti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DL, Johnson E, Williams A,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The use of computed tomography in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pediatrics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and the associated radiation exposure and estimated cancer risk.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>JAMA</w:t>
      </w:r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Pediatr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2013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;167:700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–7.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Goldwasser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T,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Bressan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S, Oakley E,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Use of sedation in children receiving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computed tomography after head injuries.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Eur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J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Med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2015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;22:413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–8.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Pickering A,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Harnan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S, Fitzgerald P,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Clinical decision rules for children with minor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head injury: a systematic review.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Arch Dis Child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2011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;96:414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–21.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Lyttle MD, Crowe L, Oakley E,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Comparing CATCH, CHALICE and PECARN clinical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decision rules for paediatric head injuries.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Med J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2012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;29:785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–94.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Kuppermann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N, Holmes JF, Dayan PS,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Identification of children at very low risk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of clinically-important brain injuries after head trauma: a prospective cohort study.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Lancet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2009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;374:1160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–70.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Osmond MH, Klassen TP, 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Wells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GA,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CATCH: a clinical decision rule for the use of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computed tomography in children with minor head injury.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CMAJ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2010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;182:341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–8.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Dunning J, Daly JP, Lomas JP,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Derivation of the c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hildren’s head injury algorithm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for the prediction of important clinical events decision rule for head injury in children.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Arch Dis Child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2006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;91:885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–91.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Mower WR, Hoffman JR, Herbert M,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. 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Dev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>eloping</w:t>
      </w:r>
      <w:proofErr w:type="gramEnd"/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a decision instrument to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guide computed tomographic imaging of blunt head injury patients.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>J Trauma</w:t>
      </w:r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2005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;59:954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–9.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Oman JA, Cooper RJ, Holmes JF,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Performance of a decision rule to predict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need for computed tomography among children with blunt head trauma.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Pediatrics</w:t>
      </w:r>
      <w:proofErr w:type="spellEnd"/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2006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;117:e238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–e246.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Babl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FE, Borland ML, Phillips N,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Accuracy of PECARN, CATCH, and CHALICE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head injury decision rules in children: a prospective cohort study.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>Lancet</w:t>
      </w:r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2017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;389:2393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–402.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Babl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FE, Lyttle MD,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Bressan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S,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A prospective observational study to assess the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diagnostic accuracy of clinical decision rules for children presenting to emergency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departments after head injuries (protocol): the 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>Au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stralasian Paediatric Head Injury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Rules Study (APHIRST).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BMC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Pediatr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2014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;14:148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Bossuyt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PM,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Reitsma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JB,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Bruns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DE,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Toward complete and accurate reporting of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studies of diagnostic accuracy: the STARD initiative.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Acad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Radiol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2003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;10:664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–9.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lastRenderedPageBreak/>
        <w:t>Atzema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C, Mower WR, Hoffman JR,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. 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Defining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"therapeutically inconsequential"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head computed tomographic findings in patients with blunt head trauma.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Ann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Med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2004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;44:47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–56.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Harris PA, Taylor R,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Thielke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R,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Research electronic data capture (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REDCap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>)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>—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a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metadata-driven methodology and workflow process for providing translational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research informatics support.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J Biomed Inform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2009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;42:377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–81.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Klemetti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S,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Uhari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M, Pokka T,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Evaluation of Decision Rules for Identifying Serious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Consequences of Traumatic Head Injuries in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Pediatric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Patients.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Pediatr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Care</w:t>
      </w:r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2009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;25:811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–5.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Fabbri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A,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Servadei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F,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Marchesini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G,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Analysis of different decision aids for clinical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use in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pediatric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head injury in an emergency department of a general hospital.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>J</w:t>
      </w:r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Trauma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2011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;70:E79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–E83.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Schachar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JL,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Zampolin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RL, Miller TS,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External validation of the New Orleans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Criteria (NOC), the Canadian CT Head Rule (CCHR) and the National Emergency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X-Radiography Utilization Study II (NEXUS II) for CT scanning in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pediatric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patients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with minor head injury in a non-trauma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center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Pediatr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Radiol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2011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;41:971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–9.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Ro YS, Shin SD, Holmes JF,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Comparison of clinical performance of cranial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computed tomography rules in patients with minor head injury: a 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multicentre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prospective study.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Acad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Med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2011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;18:597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–604.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Mower WR, Gupta M, Rodriguez R,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Validation of the sensitivity of the National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Emergency X-Radiography Utilization Study (NEXUS) Head computed tomographic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(CT) decision instrument for selective imaging of blunt head injury patients: An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observational study.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PLoS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Med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2017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;14:e1002313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Gupta M, Mower WR, Rodriguez RM,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. Validation of the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pediatric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nexus ii head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computed tomography decision instrument for selective imaging of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pediatric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patients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with blunt head trauma.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Acad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Med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2018:729–37.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Mower WR, Hoffman JR, Herbert M,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. 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Developing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a clinical decision instrument to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rule out intracranial injuries in patients with minor head trauma: methodology of the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NEXUS II investigation.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Ann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Med </w:t>
      </w:r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>2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002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;40:505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–15.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>Sun BC, Hoffman JR, Mower WR. Evaluation of a modified prediction instrument to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identify significant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pediatric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intracranial injury after blunt head trauma.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Ann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Med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2007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;49:325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–32.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Oakley E, May R, </w:t>
      </w: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t>Hoeppner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T, </w:t>
      </w:r>
      <w:proofErr w:type="gramStart"/>
      <w:r w:rsidRPr="0038420B">
        <w:rPr>
          <w:rFonts w:cs="FrutigerLTPro-LightCnIta"/>
          <w:color w:val="000000"/>
          <w:sz w:val="20"/>
          <w:szCs w:val="20"/>
          <w:lang w:val="en-GB"/>
        </w:rPr>
        <w:t>et</w:t>
      </w:r>
      <w:proofErr w:type="gramEnd"/>
      <w:r w:rsidRPr="0038420B">
        <w:rPr>
          <w:rFonts w:cs="FrutigerLTPro-LightCnIta"/>
          <w:color w:val="000000"/>
          <w:sz w:val="20"/>
          <w:szCs w:val="20"/>
          <w:lang w:val="en-GB"/>
        </w:rPr>
        <w:t xml:space="preserve">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Computed tomography for head injuries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in children: Change in Australian usage rates over time.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Med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Australas</w:t>
      </w:r>
      <w:proofErr w:type="spellEnd"/>
      <w:r w:rsidR="0038420B"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2017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;29:192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–7.</w:t>
      </w:r>
    </w:p>
    <w:p w:rsidR="005C0CD3" w:rsidRPr="0038420B" w:rsidRDefault="005C0CD3" w:rsidP="003842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FrutigerLTPro-LightCn"/>
          <w:color w:val="000000"/>
          <w:sz w:val="20"/>
          <w:szCs w:val="20"/>
          <w:lang w:val="en-GB"/>
        </w:rPr>
      </w:pPr>
      <w:proofErr w:type="spellStart"/>
      <w:r w:rsidRPr="0038420B">
        <w:rPr>
          <w:rFonts w:cs="FrutigerLTPro-LightCn"/>
          <w:color w:val="000000"/>
          <w:sz w:val="20"/>
          <w:szCs w:val="20"/>
          <w:lang w:val="en-GB"/>
        </w:rPr>
        <w:lastRenderedPageBreak/>
        <w:t>Lockie</w:t>
      </w:r>
      <w:proofErr w:type="spellEnd"/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 FD, Dalton S, Oakley E, </w:t>
      </w:r>
      <w:r w:rsidRPr="0038420B">
        <w:rPr>
          <w:rFonts w:cs="FrutigerLTPro-LightCnIta"/>
          <w:color w:val="000000"/>
          <w:sz w:val="20"/>
          <w:szCs w:val="20"/>
          <w:lang w:val="en-GB"/>
        </w:rPr>
        <w:t>et al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. Triggers for head computed tomography following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paediatric head injury: Comparison of physicians’ reported practice and clinical</w:t>
      </w:r>
      <w:r w:rsidR="0038420B" w:rsidRPr="0038420B">
        <w:rPr>
          <w:rFonts w:cs="FrutigerLTPro-LightCn"/>
          <w:color w:val="000000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 xml:space="preserve">decision rules.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Emerg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Med </w:t>
      </w:r>
      <w:proofErr w:type="spellStart"/>
      <w:r w:rsidRPr="0038420B">
        <w:rPr>
          <w:rFonts w:cs="FrutigerLTPro-LightCnIta"/>
          <w:color w:val="0000FF"/>
          <w:sz w:val="20"/>
          <w:szCs w:val="20"/>
          <w:lang w:val="en-GB"/>
        </w:rPr>
        <w:t>Australas</w:t>
      </w:r>
      <w:proofErr w:type="spellEnd"/>
      <w:r w:rsidRPr="0038420B">
        <w:rPr>
          <w:rFonts w:cs="FrutigerLTPro-LightCnIta"/>
          <w:color w:val="0000FF"/>
          <w:sz w:val="20"/>
          <w:szCs w:val="20"/>
          <w:lang w:val="en-GB"/>
        </w:rPr>
        <w:t xml:space="preserve"> </w:t>
      </w:r>
      <w:r w:rsidRPr="0038420B">
        <w:rPr>
          <w:rFonts w:cs="FrutigerLTPro-LightCn"/>
          <w:color w:val="000000"/>
          <w:sz w:val="20"/>
          <w:szCs w:val="20"/>
          <w:lang w:val="en-GB"/>
        </w:rPr>
        <w:t>2013</w:t>
      </w:r>
      <w:proofErr w:type="gramStart"/>
      <w:r w:rsidRPr="0038420B">
        <w:rPr>
          <w:rFonts w:cs="FrutigerLTPro-LightCn"/>
          <w:color w:val="000000"/>
          <w:sz w:val="20"/>
          <w:szCs w:val="20"/>
          <w:lang w:val="en-GB"/>
        </w:rPr>
        <w:t>;25:75</w:t>
      </w:r>
      <w:proofErr w:type="gramEnd"/>
      <w:r w:rsidRPr="0038420B">
        <w:rPr>
          <w:rFonts w:cs="FrutigerLTPro-LightCn"/>
          <w:color w:val="000000"/>
          <w:sz w:val="20"/>
          <w:szCs w:val="20"/>
          <w:lang w:val="en-GB"/>
        </w:rPr>
        <w:t>–82.</w:t>
      </w:r>
    </w:p>
    <w:p w:rsidR="005C0CD3" w:rsidRPr="005C0CD3" w:rsidRDefault="005C0CD3" w:rsidP="005C0CD3">
      <w:pPr>
        <w:spacing w:line="360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</w:p>
    <w:p w:rsidR="005C0CD3" w:rsidRPr="005C0CD3" w:rsidRDefault="005C0CD3" w:rsidP="005C0CD3">
      <w:pPr>
        <w:spacing w:line="360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</w:p>
    <w:p w:rsidR="005C0CD3" w:rsidRPr="005C0CD3" w:rsidRDefault="005C0CD3" w:rsidP="005C0CD3">
      <w:pPr>
        <w:spacing w:line="360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</w:p>
    <w:p w:rsidR="005C0CD3" w:rsidRPr="005C0CD3" w:rsidRDefault="005C0CD3">
      <w:pPr>
        <w:spacing w:after="200" w:line="276" w:lineRule="auto"/>
        <w:rPr>
          <w:rFonts w:asciiTheme="minorHAnsi" w:hAnsiTheme="minorHAnsi" w:cs="FrutigerLTPro-LightCn"/>
          <w:color w:val="000000"/>
          <w:sz w:val="20"/>
          <w:szCs w:val="20"/>
          <w:lang w:val="en-GB"/>
        </w:rPr>
      </w:pPr>
      <w:r w:rsidRPr="005C0CD3">
        <w:rPr>
          <w:rFonts w:asciiTheme="minorHAnsi" w:hAnsiTheme="minorHAnsi" w:cs="FrutigerLTPro-LightCn"/>
          <w:color w:val="000000"/>
          <w:sz w:val="20"/>
          <w:szCs w:val="20"/>
          <w:lang w:val="en-GB"/>
        </w:rPr>
        <w:br w:type="page"/>
      </w:r>
    </w:p>
    <w:p w:rsidR="005C0CD3" w:rsidRPr="005C0CD3" w:rsidRDefault="005C0CD3" w:rsidP="005C0CD3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5C0CD3">
        <w:rPr>
          <w:rFonts w:asciiTheme="minorHAnsi" w:hAnsiTheme="minorHAnsi"/>
          <w:b/>
          <w:sz w:val="20"/>
          <w:szCs w:val="20"/>
        </w:rPr>
        <w:lastRenderedPageBreak/>
        <w:t xml:space="preserve">Figure 1: Patients flow </w:t>
      </w:r>
    </w:p>
    <w:p w:rsidR="005C0CD3" w:rsidRPr="005C0CD3" w:rsidRDefault="005C0CD3" w:rsidP="005C0CD3">
      <w:pPr>
        <w:spacing w:after="160" w:line="259" w:lineRule="auto"/>
        <w:jc w:val="center"/>
        <w:rPr>
          <w:rFonts w:asciiTheme="minorHAnsi" w:hAnsiTheme="minorHAnsi"/>
          <w:sz w:val="20"/>
          <w:szCs w:val="20"/>
        </w:rPr>
      </w:pPr>
      <w:r w:rsidRPr="005C0CD3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inline distT="0" distB="0" distL="0" distR="0" wp14:anchorId="6621182A" wp14:editId="1EA8ECC2">
            <wp:extent cx="5943600" cy="4456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D3" w:rsidRPr="005C0CD3" w:rsidRDefault="005C0CD3" w:rsidP="005C0CD3">
      <w:pPr>
        <w:shd w:val="clear" w:color="auto" w:fill="FFFFFF"/>
        <w:rPr>
          <w:rFonts w:asciiTheme="minorHAnsi" w:eastAsia="Times New Roman" w:hAnsiTheme="minorHAnsi" w:cs="Arial"/>
          <w:color w:val="FF0000"/>
          <w:sz w:val="20"/>
          <w:szCs w:val="20"/>
          <w:lang w:val="en"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val="en" w:eastAsia="en-AU"/>
        </w:rPr>
        <w:t>*Head injuries not including trivial facial injuries defined as a ground level fall or walking or running into an object with no signs or symptoms of injury other than facial abrasions or lacerations below the eyebrows.</w:t>
      </w:r>
      <w:r w:rsidRPr="005C0CD3">
        <w:rPr>
          <w:rFonts w:asciiTheme="minorHAnsi" w:eastAsia="Times New Roman" w:hAnsiTheme="minorHAnsi" w:cs="Arial"/>
          <w:color w:val="FF0000"/>
          <w:sz w:val="20"/>
          <w:szCs w:val="20"/>
          <w:lang w:val="en" w:eastAsia="en-AU"/>
        </w:rPr>
        <w:t xml:space="preserve"> </w:t>
      </w:r>
    </w:p>
    <w:p w:rsidR="005C0CD3" w:rsidRPr="005C0CD3" w:rsidRDefault="005C0CD3" w:rsidP="005C0CD3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val="en" w:eastAsia="en-AU"/>
        </w:rPr>
      </w:pPr>
      <w:r w:rsidRPr="005C0CD3">
        <w:rPr>
          <w:rFonts w:asciiTheme="minorHAnsi" w:eastAsia="Times New Roman" w:hAnsiTheme="minorHAnsi" w:cs="Arial"/>
          <w:sz w:val="20"/>
          <w:szCs w:val="20"/>
          <w:lang w:val="en" w:eastAsia="en-AU"/>
        </w:rPr>
        <w:t xml:space="preserve">CT=computed tomography; ED = Emergency Department; GCS=Glasgow Coma Score; MRI=magnetic resonance imaging. </w:t>
      </w:r>
    </w:p>
    <w:p w:rsidR="005C0CD3" w:rsidRPr="005C0CD3" w:rsidRDefault="005C0CD3" w:rsidP="005C0CD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5C0CD3" w:rsidRPr="005C0CD3" w:rsidRDefault="005C0CD3" w:rsidP="005C0CD3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5C0CD3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4290"/>
        <w:gridCol w:w="4455"/>
      </w:tblGrid>
      <w:tr w:rsidR="005C0CD3" w:rsidRPr="005C0CD3" w:rsidTr="00317547">
        <w:tc>
          <w:tcPr>
            <w:tcW w:w="9576" w:type="dxa"/>
            <w:gridSpan w:val="3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Table 1. Definition of the seven risk criteria according to Oman et al., (2006) and adaptations to fit the definitions to our dataset</w:t>
            </w:r>
          </w:p>
        </w:tc>
      </w:tr>
      <w:tr w:rsidR="005C0CD3" w:rsidRPr="005C0CD3" w:rsidTr="00317547">
        <w:tc>
          <w:tcPr>
            <w:tcW w:w="509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C0CD3" w:rsidRPr="005C0CD3" w:rsidTr="00317547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t>DEFINITION (Oman et al., 2006)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ADAPTATION </w:t>
            </w:r>
          </w:p>
        </w:tc>
      </w:tr>
      <w:tr w:rsidR="005C0CD3" w:rsidRPr="005C0CD3" w:rsidTr="00317547">
        <w:trPr>
          <w:trHeight w:val="3871"/>
        </w:trPr>
        <w:tc>
          <w:tcPr>
            <w:tcW w:w="509" w:type="dxa"/>
            <w:tcBorders>
              <w:top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t>Evidence of significant skull fracture</w:t>
            </w: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iCs/>
                <w:sz w:val="20"/>
                <w:szCs w:val="20"/>
              </w:rPr>
              <w:t>Evidence of skull fracture includes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iCs/>
                <w:sz w:val="20"/>
                <w:szCs w:val="20"/>
              </w:rPr>
              <w:t>but it is not limited to any signs of basilar skull fracture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(periorbital or peri-auricular </w:t>
            </w:r>
            <w:proofErr w:type="spellStart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ecchymoses</w:t>
            </w:r>
            <w:proofErr w:type="spellEnd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hemotympanum</w:t>
            </w:r>
            <w:proofErr w:type="spellEnd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, and drainage of clear fluid from the ears or nose) or signs of </w:t>
            </w:r>
            <w:r w:rsidRPr="005C0CD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depressed or </w:t>
            </w:r>
            <w:proofErr w:type="spellStart"/>
            <w:r w:rsidRPr="005C0CD3">
              <w:rPr>
                <w:rFonts w:asciiTheme="minorHAnsi" w:hAnsiTheme="minorHAnsi" w:cstheme="minorHAnsi"/>
                <w:iCs/>
                <w:sz w:val="20"/>
                <w:szCs w:val="20"/>
              </w:rPr>
              <w:t>diastatic</w:t>
            </w:r>
            <w:proofErr w:type="spellEnd"/>
            <w:r w:rsidRPr="005C0CD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skull</w:t>
            </w: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iCs/>
                <w:sz w:val="20"/>
                <w:szCs w:val="20"/>
              </w:rPr>
              <w:t>fracture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iCs/>
                <w:sz w:val="20"/>
                <w:szCs w:val="20"/>
              </w:rPr>
              <w:t>(</w:t>
            </w: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a palpable step-off of the skull, a stellate laceration from a point source, or any injury produced by an object striking a localized region of the skull (e.g. a baseball bat, club, pool cue, golf-ball, baseball, pipe).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 w:rsidRPr="005C0CD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Presence of either one of the following was defined as satisfying risk criterion: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sz w:val="20"/>
                <w:szCs w:val="20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 xml:space="preserve">Obvious palpable skull fracture: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  <w:r w:rsidRPr="005C0CD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sz w:val="20"/>
                <w:szCs w:val="20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 xml:space="preserve">Possible skull fracture on palpation: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  <w:r w:rsidRPr="005C0CD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sz w:val="20"/>
                <w:szCs w:val="20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 xml:space="preserve">Open skull fracture: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  <w:r w:rsidRPr="005C0CD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sz w:val="20"/>
                <w:szCs w:val="20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 xml:space="preserve">Signs of basal skull fracture: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  <w:r w:rsidRPr="005C0CD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sz w:val="20"/>
                <w:szCs w:val="20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 xml:space="preserve">Was the injury caused by high speed projectile?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sz w:val="20"/>
                <w:szCs w:val="20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 xml:space="preserve">Was the injury caused by a high impact object?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</w:p>
          <w:p w:rsidR="005C0CD3" w:rsidRPr="005C0CD3" w:rsidRDefault="005C0CD3" w:rsidP="00317547">
            <w:pPr>
              <w:ind w:left="3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D3" w:rsidRPr="005C0CD3" w:rsidTr="00317547">
        <w:trPr>
          <w:trHeight w:val="2693"/>
        </w:trPr>
        <w:tc>
          <w:tcPr>
            <w:tcW w:w="509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61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t>Altered level of alertness</w:t>
            </w: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Abnormal level of alertness is evidenced by a variety of findings, including but not limited to a Glasgow coma score of 14 or less; delayed or inappropriate response to external stimuli; excessive somnolence; disorientation to person, place, time or events; inability to remember three objects.</w:t>
            </w:r>
          </w:p>
        </w:tc>
        <w:tc>
          <w:tcPr>
            <w:tcW w:w="4606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 w:rsidRPr="005C0CD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Presence of either one of the following was defined as a satisfying risk criterion: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>What is the current GCS?</w:t>
            </w:r>
            <w:r w:rsidRPr="005C0CD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14 or less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 xml:space="preserve">Is your patient abnormally </w:t>
            </w:r>
            <w:proofErr w:type="gramStart"/>
            <w:r w:rsidRPr="005C0CD3">
              <w:rPr>
                <w:rFonts w:cstheme="minorHAnsi"/>
                <w:iCs/>
                <w:sz w:val="20"/>
                <w:szCs w:val="20"/>
              </w:rPr>
              <w:t>drowsy/difficult</w:t>
            </w:r>
            <w:proofErr w:type="gramEnd"/>
            <w:r w:rsidRPr="005C0CD3">
              <w:rPr>
                <w:rFonts w:cstheme="minorHAnsi"/>
                <w:iCs/>
                <w:sz w:val="20"/>
                <w:szCs w:val="20"/>
              </w:rPr>
              <w:t xml:space="preserve"> to wake?</w:t>
            </w:r>
            <w:r w:rsidRPr="005C0CD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>Is your patient slow to respond to speech?</w:t>
            </w:r>
            <w:r w:rsidRPr="005C0CD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>Does your patient have an altered mental status?</w:t>
            </w:r>
            <w:r w:rsidRPr="005C0CD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0CD3" w:rsidRPr="005C0CD3" w:rsidTr="00317547">
        <w:tc>
          <w:tcPr>
            <w:tcW w:w="509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461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Neurological deficit </w:t>
            </w: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Neurologic deficits may include motor deficit which is a finding of abnormal weakness in any 1 or more of the 4 extremities, as determined by systematic testing of muscle strength in all 4 limbs; gait abnormality which is the inability to walk normally as a result of inadequate strength, loss of balance, or ataxia as determined by systematic testing of gait, including tandem and heel-to-toe walking, and Romberg testing; cerebellar abnormality which is manifested by ataxia, </w:t>
            </w:r>
            <w:proofErr w:type="spellStart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dysmetria</w:t>
            </w:r>
            <w:proofErr w:type="spellEnd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dysdiadokinesis</w:t>
            </w:r>
            <w:proofErr w:type="spellEnd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, or other impairment of cerebellar function as determined by systematic testing of cerebellar function, including tests of ataxia, and finger-nose-finger, heel-to-shin, and rapid alternating movement testing; cranial nerve abnormality which is an abnormality of cranial nerve II to XII, determined by systematic testing of each of these cranial nerves.  </w:t>
            </w: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iCs/>
                <w:sz w:val="20"/>
                <w:szCs w:val="20"/>
              </w:rPr>
              <w:t>Is there any focal neurology present?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YES/unknown</w:t>
            </w: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CD3" w:rsidRPr="005C0CD3" w:rsidTr="00317547">
        <w:tc>
          <w:tcPr>
            <w:tcW w:w="509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461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t>Persistent vomiting</w:t>
            </w: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High-risk vomiting is evidenced by recurrent, projectile, or forceful emesis (either observed or by history) after trauma or vomiting associated with altered sensorium. </w:t>
            </w:r>
          </w:p>
        </w:tc>
        <w:tc>
          <w:tcPr>
            <w:tcW w:w="4606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Has there been more than one episode of vomiting? 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YES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</w:t>
            </w:r>
            <w:r w:rsidRPr="005C0CD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AND/OR</w:t>
            </w:r>
            <w:r w:rsidRPr="005C0CD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ab/>
            </w: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Have there been 3 or more discrete episodes? 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YES</w:t>
            </w:r>
          </w:p>
        </w:tc>
      </w:tr>
      <w:tr w:rsidR="005C0CD3" w:rsidRPr="005C0CD3" w:rsidTr="00317547">
        <w:tc>
          <w:tcPr>
            <w:tcW w:w="509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4461" w:type="dxa"/>
          </w:tcPr>
          <w:p w:rsidR="005C0CD3" w:rsidRPr="005C0CD3" w:rsidRDefault="005C0CD3" w:rsidP="00317547">
            <w:pPr>
              <w:pStyle w:val="ListParagraph"/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5C0CD3">
              <w:rPr>
                <w:rFonts w:cstheme="minorHAnsi"/>
                <w:b/>
                <w:sz w:val="20"/>
                <w:szCs w:val="20"/>
              </w:rPr>
              <w:t xml:space="preserve">Scalp hematoma </w:t>
            </w:r>
          </w:p>
          <w:p w:rsidR="005C0CD3" w:rsidRPr="005C0CD3" w:rsidRDefault="005C0CD3" w:rsidP="00317547">
            <w:pPr>
              <w:pStyle w:val="ListParagraph"/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5C0CD3">
              <w:rPr>
                <w:rFonts w:cstheme="minorHAnsi"/>
                <w:sz w:val="20"/>
                <w:szCs w:val="20"/>
              </w:rPr>
              <w:t xml:space="preserve">A significant scalp hematoma includes any swelling of traumatic origin to the soft tissues overlying the </w:t>
            </w:r>
            <w:proofErr w:type="spellStart"/>
            <w:r w:rsidRPr="005C0CD3">
              <w:rPr>
                <w:rFonts w:cstheme="minorHAnsi"/>
                <w:sz w:val="20"/>
                <w:szCs w:val="20"/>
              </w:rPr>
              <w:t>calvarium</w:t>
            </w:r>
            <w:proofErr w:type="spellEnd"/>
            <w:r w:rsidRPr="005C0CD3">
              <w:rPr>
                <w:rFonts w:cstheme="minorHAnsi"/>
                <w:sz w:val="20"/>
                <w:szCs w:val="20"/>
              </w:rPr>
              <w:t>. Injuries to the face, neck, and jaw are not considered scalp hematomas.</w:t>
            </w:r>
          </w:p>
        </w:tc>
        <w:tc>
          <w:tcPr>
            <w:tcW w:w="4606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iCs/>
                <w:sz w:val="20"/>
                <w:szCs w:val="20"/>
              </w:rPr>
              <w:t>Scalp Hematoma: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YES/unknown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; </w:t>
            </w:r>
            <w:r w:rsidRPr="005C0CD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AND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Location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MUST BE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either frontal, or temporal, or occipital or parietal</w:t>
            </w:r>
            <w:r w:rsidRPr="005C0CD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(or more than one of these)</w:t>
            </w:r>
          </w:p>
        </w:tc>
      </w:tr>
      <w:tr w:rsidR="005C0CD3" w:rsidRPr="005C0CD3" w:rsidTr="00317547">
        <w:tc>
          <w:tcPr>
            <w:tcW w:w="509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461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Abnormal </w:t>
            </w:r>
            <w:proofErr w:type="spellStart"/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t>behavior</w:t>
            </w:r>
            <w:proofErr w:type="spellEnd"/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Abnormal </w:t>
            </w:r>
            <w:proofErr w:type="spellStart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behavior</w:t>
            </w:r>
            <w:proofErr w:type="spellEnd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 is any inappropriate action displayed by the victim. It includes such things as excessive agitation, inconsolability, refusal to cooperate, lack of affective response to questions or events, and violent activity.</w:t>
            </w:r>
          </w:p>
        </w:tc>
        <w:tc>
          <w:tcPr>
            <w:tcW w:w="4606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 w:rsidRPr="005C0CD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Presence of either one of the following was defined as satisfying risk criterion</w:t>
            </w:r>
            <w:r w:rsidRPr="005C0CD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: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>Is your patient irritable or agitated?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YES/unknown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>Is your patient asking questions repetitively?</w:t>
            </w:r>
            <w:r w:rsidRPr="005C0CD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</w:p>
          <w:p w:rsidR="005C0CD3" w:rsidRPr="005C0CD3" w:rsidRDefault="005C0CD3" w:rsidP="005C0CD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C0CD3">
              <w:rPr>
                <w:rFonts w:cstheme="minorHAnsi"/>
                <w:iCs/>
                <w:sz w:val="20"/>
                <w:szCs w:val="20"/>
              </w:rPr>
              <w:t>According to the parent/guardian, is your patient acting abnormally?</w:t>
            </w:r>
            <w:r w:rsidRPr="005C0CD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0CD3">
              <w:rPr>
                <w:rFonts w:cstheme="minorHAnsi"/>
                <w:i/>
                <w:iCs/>
                <w:sz w:val="20"/>
                <w:szCs w:val="20"/>
                <w:u w:val="single"/>
              </w:rPr>
              <w:t>YES/unknown</w:t>
            </w:r>
          </w:p>
        </w:tc>
      </w:tr>
      <w:tr w:rsidR="005C0CD3" w:rsidRPr="005C0CD3" w:rsidTr="00317547">
        <w:tc>
          <w:tcPr>
            <w:tcW w:w="509" w:type="dxa"/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b/>
                <w:sz w:val="20"/>
                <w:szCs w:val="20"/>
              </w:rPr>
              <w:t>Coagulopathy</w:t>
            </w:r>
          </w:p>
          <w:p w:rsidR="005C0CD3" w:rsidRPr="005C0CD3" w:rsidRDefault="005C0CD3" w:rsidP="00317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Coagulopathy</w:t>
            </w:r>
            <w:r w:rsidRPr="005C0C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 xml:space="preserve">is any impairment of normal blood clotting such as occurs in </w:t>
            </w:r>
            <w:proofErr w:type="spellStart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hemophilia</w:t>
            </w:r>
            <w:proofErr w:type="spellEnd"/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, secondary to medications (e.g. Coumadin, heparin, aspirin, etc.), hepatic insufficiency and other conditions.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0CD3">
              <w:rPr>
                <w:rFonts w:asciiTheme="minorHAnsi" w:hAnsiTheme="minorHAnsi" w:cstheme="minorHAnsi"/>
                <w:sz w:val="20"/>
                <w:szCs w:val="20"/>
              </w:rPr>
              <w:t>Is there a bleeding disorder?</w:t>
            </w:r>
            <w:r w:rsidRPr="005C0C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C0CD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YES/unknown</w:t>
            </w:r>
          </w:p>
        </w:tc>
      </w:tr>
    </w:tbl>
    <w:p w:rsidR="005C0CD3" w:rsidRPr="005C0CD3" w:rsidRDefault="005C0CD3" w:rsidP="005C0CD3">
      <w:pPr>
        <w:spacing w:line="360" w:lineRule="auto"/>
        <w:rPr>
          <w:rFonts w:asciiTheme="minorHAnsi" w:eastAsia="Calibri" w:hAnsiTheme="minorHAnsi" w:cs="Arial"/>
          <w:b/>
          <w:sz w:val="20"/>
          <w:szCs w:val="20"/>
        </w:rPr>
      </w:pPr>
    </w:p>
    <w:p w:rsidR="005C0CD3" w:rsidRDefault="005C0CD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38420B" w:rsidRPr="005C0CD3" w:rsidRDefault="0038420B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4240"/>
        <w:gridCol w:w="4459"/>
      </w:tblGrid>
      <w:tr w:rsidR="005C0CD3" w:rsidRPr="005C0CD3" w:rsidTr="00317547">
        <w:tc>
          <w:tcPr>
            <w:tcW w:w="9576" w:type="dxa"/>
            <w:gridSpan w:val="3"/>
          </w:tcPr>
          <w:p w:rsidR="005C0CD3" w:rsidRPr="005C0CD3" w:rsidRDefault="005C0CD3" w:rsidP="003175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/>
                <w:b/>
                <w:sz w:val="20"/>
                <w:szCs w:val="20"/>
              </w:rPr>
              <w:t xml:space="preserve">Table 2. Comparison between CT findings consistent with clinically important intracranial injury (ICI) according to Mower et al., and corresponding CT findings coded in this study </w:t>
            </w:r>
          </w:p>
        </w:tc>
      </w:tr>
      <w:tr w:rsidR="005C0CD3" w:rsidRPr="005C0CD3" w:rsidTr="00317547">
        <w:tc>
          <w:tcPr>
            <w:tcW w:w="551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0CD3" w:rsidRPr="005C0CD3" w:rsidTr="00317547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/>
                <w:b/>
                <w:sz w:val="20"/>
                <w:szCs w:val="20"/>
              </w:rPr>
              <w:t>Clinically important ICI definitions (Mower et al., 2005)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CD3">
              <w:rPr>
                <w:rFonts w:asciiTheme="minorHAnsi" w:hAnsiTheme="minorHAnsi"/>
                <w:b/>
                <w:sz w:val="20"/>
                <w:szCs w:val="20"/>
              </w:rPr>
              <w:t xml:space="preserve">Clinically important ICI definition as coded in the current study </w:t>
            </w:r>
          </w:p>
        </w:tc>
      </w:tr>
      <w:tr w:rsidR="005C0CD3" w:rsidRPr="005C0CD3" w:rsidTr="00317547">
        <w:tc>
          <w:tcPr>
            <w:tcW w:w="551" w:type="dxa"/>
            <w:tcBorders>
              <w:top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Substantial epidural or subdural hematoma (&gt;1.0 cm in width or causing mass effect)</w:t>
            </w:r>
          </w:p>
        </w:tc>
        <w:tc>
          <w:tcPr>
            <w:tcW w:w="4613" w:type="dxa"/>
            <w:tcBorders>
              <w:top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Intracranial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>/contusion – extra-axial (subdural/extradural)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Substantial cerebral contusion (&gt;1.0 cm in diameter or &gt;1 site)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Intracranial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>/contusion – parenchyma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Extensive subarachnoid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Intracranial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>/contusion – sub-arachnoid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Mass effect or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sulcal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 effacement 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C0CD3">
              <w:rPr>
                <w:rFonts w:asciiTheme="minorHAnsi" w:hAnsiTheme="minorHAnsi"/>
                <w:i/>
                <w:sz w:val="20"/>
                <w:szCs w:val="20"/>
              </w:rPr>
              <w:t xml:space="preserve">Not available 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Signs of herniation 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Midline shift or brain herniation 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Basal cistern compression or midline shift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Midline shift or brain herniation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 in the posterior fossa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Intracranial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>/contusion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Intraventricular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Intracranial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/contusion 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Bilateral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 of any type 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Intracranial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hemorrhage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/contusion 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Depressed or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diastatic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 skull fracture 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Diastasis of skull OR/AND Skull fracture - depressed </w:t>
            </w:r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Pneumocephalus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Pneumocephalus</w:t>
            </w:r>
            <w:proofErr w:type="spellEnd"/>
          </w:p>
        </w:tc>
      </w:tr>
      <w:tr w:rsidR="005C0CD3" w:rsidRPr="005C0CD3" w:rsidTr="00317547">
        <w:tc>
          <w:tcPr>
            <w:tcW w:w="551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412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Diffuse cerebral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edema</w:t>
            </w:r>
            <w:proofErr w:type="spellEnd"/>
          </w:p>
        </w:tc>
        <w:tc>
          <w:tcPr>
            <w:tcW w:w="4613" w:type="dxa"/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Cerebral </w:t>
            </w:r>
            <w:proofErr w:type="spellStart"/>
            <w:r w:rsidRPr="005C0CD3">
              <w:rPr>
                <w:rFonts w:asciiTheme="minorHAnsi" w:hAnsiTheme="minorHAnsi"/>
                <w:sz w:val="20"/>
                <w:szCs w:val="20"/>
              </w:rPr>
              <w:t>edema</w:t>
            </w:r>
            <w:proofErr w:type="spellEnd"/>
            <w:r w:rsidRPr="005C0CD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C0CD3" w:rsidRPr="005C0CD3" w:rsidTr="00317547">
        <w:tc>
          <w:tcPr>
            <w:tcW w:w="551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 xml:space="preserve">Diffuse axonal injury 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5C0CD3" w:rsidRPr="005C0CD3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t>Diffuse axonal injury</w:t>
            </w:r>
          </w:p>
        </w:tc>
      </w:tr>
    </w:tbl>
    <w:p w:rsidR="005C0CD3" w:rsidRPr="005C0CD3" w:rsidRDefault="005C0CD3">
      <w:pPr>
        <w:rPr>
          <w:rFonts w:asciiTheme="minorHAnsi" w:hAnsiTheme="minorHAnsi"/>
          <w:sz w:val="20"/>
          <w:szCs w:val="20"/>
        </w:rPr>
      </w:pPr>
    </w:p>
    <w:p w:rsidR="005C0CD3" w:rsidRPr="005C0CD3" w:rsidRDefault="005C0CD3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5C0CD3">
        <w:rPr>
          <w:rFonts w:asciiTheme="minorHAnsi" w:hAnsiTheme="minorHAnsi"/>
          <w:sz w:val="20"/>
          <w:szCs w:val="20"/>
        </w:rPr>
        <w:br w:type="page"/>
      </w:r>
    </w:p>
    <w:tbl>
      <w:tblPr>
        <w:tblW w:w="9557" w:type="dxa"/>
        <w:tblLook w:val="04A0" w:firstRow="1" w:lastRow="0" w:firstColumn="1" w:lastColumn="0" w:noHBand="0" w:noVBand="1"/>
      </w:tblPr>
      <w:tblGrid>
        <w:gridCol w:w="2790"/>
        <w:gridCol w:w="630"/>
        <w:gridCol w:w="1010"/>
        <w:gridCol w:w="717"/>
        <w:gridCol w:w="990"/>
        <w:gridCol w:w="864"/>
        <w:gridCol w:w="846"/>
        <w:gridCol w:w="864"/>
        <w:gridCol w:w="846"/>
      </w:tblGrid>
      <w:tr w:rsidR="005C0CD3" w:rsidRPr="005C0CD3" w:rsidTr="00317547">
        <w:trPr>
          <w:trHeight w:val="300"/>
        </w:trPr>
        <w:tc>
          <w:tcPr>
            <w:tcW w:w="9557" w:type="dxa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sz w:val="20"/>
                <w:szCs w:val="20"/>
                <w:lang w:val="en-US"/>
              </w:rPr>
              <w:lastRenderedPageBreak/>
              <w:t>Table 3. Demographics of the evaluable patients</w:t>
            </w: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tabs>
                <w:tab w:val="left" w:pos="4482"/>
              </w:tabs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CT in ED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No CT (in ED)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Entire Sample</w:t>
            </w:r>
          </w:p>
        </w:tc>
      </w:tr>
      <w:tr w:rsidR="005C0CD3" w:rsidRPr="005C0CD3" w:rsidTr="00317547">
        <w:trPr>
          <w:trHeight w:val="600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Clinically Important ICI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No Clinically Important ICI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18,147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20,109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  <w:t>Demographics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200" w:firstLine="4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Mean, SD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4.7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200" w:firstLine="4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&lt;3 years, n %</w:t>
            </w:r>
          </w:p>
        </w:tc>
        <w:tc>
          <w:tcPr>
            <w:tcW w:w="630" w:type="dxa"/>
            <w:noWrap/>
            <w:vAlign w:val="bottom"/>
          </w:tcPr>
          <w:p w:rsidR="005C0CD3" w:rsidRPr="005C0CD3" w:rsidRDefault="005C0CD3" w:rsidP="0031754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AU"/>
              </w:rPr>
            </w:pPr>
            <w:r w:rsidRPr="005C0CD3">
              <w:rPr>
                <w:rFonts w:asciiTheme="minorHAnsi"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10" w:type="dxa"/>
            <w:noWrap/>
            <w:vAlign w:val="bottom"/>
          </w:tcPr>
          <w:p w:rsidR="005C0CD3" w:rsidRPr="005C0CD3" w:rsidRDefault="005C0CD3" w:rsidP="0031754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717" w:type="dxa"/>
            <w:noWrap/>
            <w:vAlign w:val="bottom"/>
          </w:tcPr>
          <w:p w:rsidR="005C0CD3" w:rsidRPr="005C0CD3" w:rsidRDefault="005C0CD3" w:rsidP="0031754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0" w:type="dxa"/>
            <w:noWrap/>
            <w:vAlign w:val="bottom"/>
          </w:tcPr>
          <w:p w:rsidR="005C0CD3" w:rsidRPr="005C0CD3" w:rsidRDefault="005C0CD3" w:rsidP="0031754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64" w:type="dxa"/>
            <w:noWrap/>
            <w:vAlign w:val="bottom"/>
          </w:tcPr>
          <w:p w:rsidR="005C0CD3" w:rsidRPr="005C0CD3" w:rsidRDefault="005C0CD3" w:rsidP="0031754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color w:val="000000"/>
                <w:sz w:val="20"/>
                <w:szCs w:val="20"/>
              </w:rPr>
              <w:t>7,383</w:t>
            </w:r>
          </w:p>
        </w:tc>
        <w:tc>
          <w:tcPr>
            <w:tcW w:w="846" w:type="dxa"/>
            <w:noWrap/>
            <w:vAlign w:val="bottom"/>
          </w:tcPr>
          <w:p w:rsidR="005C0CD3" w:rsidRPr="005C0CD3" w:rsidRDefault="005C0CD3" w:rsidP="0031754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864" w:type="dxa"/>
            <w:noWrap/>
            <w:vAlign w:val="bottom"/>
          </w:tcPr>
          <w:p w:rsidR="005C0CD3" w:rsidRPr="005C0CD3" w:rsidRDefault="005C0CD3" w:rsidP="0031754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color w:val="000000"/>
                <w:sz w:val="20"/>
                <w:szCs w:val="20"/>
              </w:rPr>
              <w:t>7,872</w:t>
            </w:r>
          </w:p>
        </w:tc>
        <w:tc>
          <w:tcPr>
            <w:tcW w:w="846" w:type="dxa"/>
            <w:noWrap/>
            <w:vAlign w:val="bottom"/>
          </w:tcPr>
          <w:p w:rsidR="005C0CD3" w:rsidRPr="005C0CD3" w:rsidRDefault="005C0CD3" w:rsidP="0031754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color w:val="000000"/>
                <w:sz w:val="20"/>
                <w:szCs w:val="20"/>
              </w:rPr>
              <w:t>39.1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Male, n 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64.2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66.9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11,502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63.4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12,805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63.7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  <w:t>Symptoms and signs, n 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Known or suspected LOC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43.5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33.3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2,006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2,698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13.4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History of amnesia*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29.8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1,144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1,683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8.4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History of vomiting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39.3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43.0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2,618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3,448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17.1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32.4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48.1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3,233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17.8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4,117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20.5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Witnessed disorientation*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35.0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38.1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1,955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2,691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13.4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  <w:t>Mechanism of Injury, n 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Fall related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55.7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62.9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12,904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71.1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14,111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70.2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Motor vehicle incident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13.1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844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4.2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Bicycle-related; wearing no helmet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1.9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Head hit by high impact object/projectile,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1,110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6.5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5C0CD3">
            <w:pPr>
              <w:ind w:firstLineChars="100" w:firstLine="20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Suspected NAI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0.6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  <w:t>Cranial CT rate**, n 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2,087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10.4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  <w:t>Neurosurgery rate, n 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19.6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0.4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  <w:t>Admission rate, n 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93.9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62.0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3,192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17.6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4,528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22.5</w:t>
            </w:r>
          </w:p>
        </w:tc>
      </w:tr>
      <w:tr w:rsidR="005C0CD3" w:rsidRPr="005C0CD3" w:rsidTr="00317547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  <w:t>Mortality, n 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0.1</w:t>
            </w:r>
          </w:p>
        </w:tc>
      </w:tr>
      <w:tr w:rsidR="005C0CD3" w:rsidRPr="005C0CD3" w:rsidTr="00317547">
        <w:trPr>
          <w:trHeight w:val="300"/>
        </w:trPr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* = Preverbal cases excluded.</w:t>
            </w:r>
          </w:p>
        </w:tc>
      </w:tr>
      <w:tr w:rsidR="005C0CD3" w:rsidRPr="005C0CD3" w:rsidTr="00317547">
        <w:trPr>
          <w:trHeight w:val="300"/>
        </w:trPr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**= CT either in ED or subsequently (CT2) </w:t>
            </w:r>
          </w:p>
        </w:tc>
      </w:tr>
    </w:tbl>
    <w:p w:rsidR="005C0CD3" w:rsidRPr="005C0CD3" w:rsidRDefault="005C0CD3">
      <w:pPr>
        <w:rPr>
          <w:rFonts w:asciiTheme="minorHAnsi" w:hAnsiTheme="minorHAnsi"/>
          <w:sz w:val="20"/>
          <w:szCs w:val="20"/>
        </w:rPr>
      </w:pPr>
    </w:p>
    <w:p w:rsidR="005C0CD3" w:rsidRPr="005C0CD3" w:rsidRDefault="005C0CD3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5C0CD3">
        <w:rPr>
          <w:rFonts w:asciiTheme="minorHAnsi" w:hAnsiTheme="minorHAnsi"/>
          <w:sz w:val="20"/>
          <w:szCs w:val="20"/>
        </w:rPr>
        <w:br w:type="page"/>
      </w:r>
    </w:p>
    <w:tbl>
      <w:tblPr>
        <w:tblW w:w="8864" w:type="dxa"/>
        <w:jc w:val="center"/>
        <w:tblLook w:val="04A0" w:firstRow="1" w:lastRow="0" w:firstColumn="1" w:lastColumn="0" w:noHBand="0" w:noVBand="1"/>
      </w:tblPr>
      <w:tblGrid>
        <w:gridCol w:w="266"/>
        <w:gridCol w:w="6484"/>
        <w:gridCol w:w="990"/>
        <w:gridCol w:w="1124"/>
      </w:tblGrid>
      <w:tr w:rsidR="005C0CD3" w:rsidRPr="005C0CD3" w:rsidTr="00317547">
        <w:trPr>
          <w:trHeight w:val="300"/>
          <w:jc w:val="center"/>
        </w:trPr>
        <w:tc>
          <w:tcPr>
            <w:tcW w:w="8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>Table 4. Types of injuries and neurosurgical interventions in patients with clinically important ICI identified on ED CT  (n=377)</w:t>
            </w:r>
          </w:p>
        </w:tc>
      </w:tr>
      <w:tr w:rsidR="005C0CD3" w:rsidRPr="005C0CD3" w:rsidTr="00317547">
        <w:trPr>
          <w:trHeight w:val="900"/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Patients With Clinically Important ICI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Type of Injury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          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Skull Fracture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Depressed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23.1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Non-depressed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40.3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Basal skull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9.3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Diastasis of Skull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9.0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Extra-axial bleed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Subdural/extradural hemorrhage/contusion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53.8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Sub-arachnoid hemorrhage/contusion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17.2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Parenchymal lesions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Parenchyma hemorrhage/contusion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27.1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Cerebral edema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18.8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Diffuse axonal injury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6.9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Midline shift or brain herniation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10.1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Pneumocephalus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15.1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Other (shearing injury, traumatic infarction, sigmoid sinus thrombosis)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3.2</w:t>
            </w:r>
          </w:p>
        </w:tc>
      </w:tr>
    </w:tbl>
    <w:p w:rsidR="005C0CD3" w:rsidRPr="005C0CD3" w:rsidRDefault="005C0CD3">
      <w:pPr>
        <w:rPr>
          <w:rFonts w:asciiTheme="minorHAnsi" w:hAnsiTheme="minorHAnsi"/>
          <w:sz w:val="20"/>
          <w:szCs w:val="20"/>
        </w:rPr>
      </w:pPr>
    </w:p>
    <w:p w:rsidR="005C0CD3" w:rsidRPr="005C0CD3" w:rsidRDefault="005C0CD3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5C0CD3">
        <w:rPr>
          <w:rFonts w:asciiTheme="minorHAnsi" w:hAnsiTheme="minorHAnsi"/>
          <w:sz w:val="20"/>
          <w:szCs w:val="20"/>
        </w:rPr>
        <w:br w:type="page"/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351"/>
        <w:gridCol w:w="2350"/>
        <w:gridCol w:w="49"/>
        <w:gridCol w:w="990"/>
        <w:gridCol w:w="57"/>
        <w:gridCol w:w="1067"/>
        <w:gridCol w:w="208"/>
      </w:tblGrid>
      <w:tr w:rsidR="005C0CD3" w:rsidRPr="005C0CD3" w:rsidTr="00317547">
        <w:trPr>
          <w:gridAfter w:val="1"/>
          <w:wAfter w:w="208" w:type="dxa"/>
          <w:trHeight w:val="300"/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Neurosurgical intervention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         n   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        %</w:t>
            </w:r>
          </w:p>
        </w:tc>
      </w:tr>
      <w:tr w:rsidR="005C0CD3" w:rsidRPr="005C0CD3" w:rsidTr="00317547">
        <w:trPr>
          <w:gridAfter w:val="2"/>
          <w:wAfter w:w="1275" w:type="dxa"/>
          <w:trHeight w:val="315"/>
          <w:jc w:val="center"/>
        </w:trPr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Monitoring of intracranial pressure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59.5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Elevation of depressed skull fracture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18.9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Ventriculostomy</w:t>
            </w:r>
            <w:proofErr w:type="spellEnd"/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Craniotomy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58.1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Hematoma Evacuation 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43.2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Lobectomy 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4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Tissue debridement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2.7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Dura repair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12.2</w:t>
            </w:r>
          </w:p>
        </w:tc>
      </w:tr>
    </w:tbl>
    <w:p w:rsidR="005C0CD3" w:rsidRPr="005C0CD3" w:rsidRDefault="005C0CD3">
      <w:pPr>
        <w:rPr>
          <w:rFonts w:asciiTheme="minorHAnsi" w:hAnsiTheme="minorHAnsi"/>
          <w:sz w:val="20"/>
          <w:szCs w:val="20"/>
        </w:rPr>
      </w:pPr>
    </w:p>
    <w:tbl>
      <w:tblPr>
        <w:tblW w:w="9289" w:type="dxa"/>
        <w:jc w:val="center"/>
        <w:tblLook w:val="04A0" w:firstRow="1" w:lastRow="0" w:firstColumn="1" w:lastColumn="0" w:noHBand="0" w:noVBand="1"/>
      </w:tblPr>
      <w:tblGrid>
        <w:gridCol w:w="2700"/>
        <w:gridCol w:w="829"/>
        <w:gridCol w:w="810"/>
        <w:gridCol w:w="810"/>
        <w:gridCol w:w="900"/>
        <w:gridCol w:w="810"/>
        <w:gridCol w:w="810"/>
        <w:gridCol w:w="810"/>
        <w:gridCol w:w="810"/>
      </w:tblGrid>
      <w:tr w:rsidR="005C0CD3" w:rsidRPr="005C0CD3" w:rsidTr="00317547">
        <w:trPr>
          <w:trHeight w:val="300"/>
          <w:jc w:val="center"/>
        </w:trPr>
        <w:tc>
          <w:tcPr>
            <w:tcW w:w="9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0B" w:rsidRDefault="005C0CD3" w:rsidP="00317547">
            <w:pPr>
              <w:rPr>
                <w:rFonts w:asciiTheme="minorHAnsi" w:hAnsiTheme="minorHAnsi"/>
                <w:sz w:val="20"/>
                <w:szCs w:val="20"/>
              </w:rPr>
            </w:pPr>
            <w:r w:rsidRPr="005C0CD3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Table 5. Frequency and count of Individual Risk Criteria for all children, and for subsample ≤3 years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Criterion 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&lt;18 years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&lt;3 years 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no ICI   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ICI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no ICI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ICI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19,732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7,743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Risk Criteria 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9,320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3,503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6,902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2,899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7.0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2,435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31.0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34.1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19.4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7.0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1.6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Risk Criteria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1 - Evidence of skull fracture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1,819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72.1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2 - Scalp hematoma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5,570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28.2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2,641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80.6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3 - Neurological deficits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12.4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4 - Altered levels of alertness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1,663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51.2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5 - Abnormal behavior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3,382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1,372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58.1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6 - Persistent vomiting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2,019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17.1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 – Coagulopathy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1.6</w:t>
            </w:r>
          </w:p>
        </w:tc>
      </w:tr>
    </w:tbl>
    <w:p w:rsidR="005C0CD3" w:rsidRPr="005C0CD3" w:rsidRDefault="005C0CD3">
      <w:pPr>
        <w:rPr>
          <w:rFonts w:asciiTheme="minorHAnsi" w:hAnsiTheme="minorHAnsi"/>
          <w:sz w:val="20"/>
          <w:szCs w:val="20"/>
        </w:rPr>
      </w:pPr>
    </w:p>
    <w:p w:rsidR="005C0CD3" w:rsidRPr="005C0CD3" w:rsidRDefault="005C0CD3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5C0CD3">
        <w:rPr>
          <w:rFonts w:asciiTheme="minorHAnsi" w:hAnsiTheme="minorHAnsi"/>
          <w:sz w:val="20"/>
          <w:szCs w:val="20"/>
        </w:rPr>
        <w:br w:type="page"/>
      </w:r>
    </w:p>
    <w:tbl>
      <w:tblPr>
        <w:tblW w:w="12780" w:type="dxa"/>
        <w:jc w:val="center"/>
        <w:tblLook w:val="04A0" w:firstRow="1" w:lastRow="0" w:firstColumn="1" w:lastColumn="0" w:noHBand="0" w:noVBand="1"/>
      </w:tblPr>
      <w:tblGrid>
        <w:gridCol w:w="2880"/>
        <w:gridCol w:w="630"/>
        <w:gridCol w:w="720"/>
        <w:gridCol w:w="720"/>
        <w:gridCol w:w="720"/>
        <w:gridCol w:w="720"/>
        <w:gridCol w:w="720"/>
        <w:gridCol w:w="720"/>
        <w:gridCol w:w="720"/>
        <w:gridCol w:w="810"/>
        <w:gridCol w:w="720"/>
        <w:gridCol w:w="2700"/>
      </w:tblGrid>
      <w:tr w:rsidR="005C0CD3" w:rsidRPr="005C0CD3" w:rsidTr="00317547">
        <w:trPr>
          <w:trHeight w:val="300"/>
          <w:jc w:val="center"/>
        </w:trPr>
        <w:tc>
          <w:tcPr>
            <w:tcW w:w="12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>Table 6. Frequency and count of Individual Risk Criteria by ICI +/- for initial and follow up CT scans</w:t>
            </w: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ED CT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Either CT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ICI+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ICI-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ICI+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ICI-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CT-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18022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Risk Criteria 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50.6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35.7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10.7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19.4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2.5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0.1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Risk Criteria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1 - Evidence of skull fracture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1357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7.5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2 - Scalp hematoma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27.3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3 - Neurological deficits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8.9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2.4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4 - Altered levels of alertness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5.7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5 - Abnormal behavior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14.3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6 - Persistent vomiting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8.2</w:t>
            </w:r>
          </w:p>
        </w:tc>
      </w:tr>
      <w:tr w:rsidR="005C0CD3" w:rsidRPr="005C0CD3" w:rsidTr="00317547">
        <w:trPr>
          <w:gridAfter w:val="1"/>
          <w:wAfter w:w="2700" w:type="dxa"/>
          <w:trHeight w:val="300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7 - Coagulopathy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1.4</w:t>
            </w:r>
          </w:p>
        </w:tc>
      </w:tr>
    </w:tbl>
    <w:p w:rsidR="005C0CD3" w:rsidRPr="005C0CD3" w:rsidRDefault="005C0CD3">
      <w:pPr>
        <w:rPr>
          <w:rFonts w:asciiTheme="minorHAnsi" w:hAnsiTheme="minorHAnsi"/>
          <w:sz w:val="20"/>
          <w:szCs w:val="20"/>
        </w:rPr>
      </w:pPr>
    </w:p>
    <w:p w:rsidR="005C0CD3" w:rsidRPr="005C0CD3" w:rsidRDefault="005C0CD3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5C0CD3">
        <w:rPr>
          <w:rFonts w:asciiTheme="minorHAnsi" w:hAnsiTheme="minorHAnsi"/>
          <w:sz w:val="20"/>
          <w:szCs w:val="20"/>
        </w:rPr>
        <w:br w:type="page"/>
      </w:r>
    </w:p>
    <w:tbl>
      <w:tblPr>
        <w:tblW w:w="8962" w:type="dxa"/>
        <w:jc w:val="center"/>
        <w:tblLook w:val="04A0" w:firstRow="1" w:lastRow="0" w:firstColumn="1" w:lastColumn="0" w:noHBand="0" w:noVBand="1"/>
      </w:tblPr>
      <w:tblGrid>
        <w:gridCol w:w="2600"/>
        <w:gridCol w:w="2980"/>
        <w:gridCol w:w="360"/>
        <w:gridCol w:w="3022"/>
      </w:tblGrid>
      <w:tr w:rsidR="005C0CD3" w:rsidRPr="005C0CD3" w:rsidTr="00317547">
        <w:trPr>
          <w:trHeight w:val="300"/>
          <w:jc w:val="center"/>
        </w:trPr>
        <w:tc>
          <w:tcPr>
            <w:tcW w:w="89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>Table 7. Diagnostic testing of NEXUS II clinically important ICI, tested by presence of any risk criteria (of the 7)</w:t>
            </w:r>
          </w:p>
        </w:tc>
      </w:tr>
      <w:tr w:rsidR="005C0CD3" w:rsidRPr="005C0CD3" w:rsidTr="00317547">
        <w:trPr>
          <w:trHeight w:val="450"/>
          <w:jc w:val="center"/>
        </w:trPr>
        <w:tc>
          <w:tcPr>
            <w:tcW w:w="89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Initial CT Scan (ED CT) 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Risk Criteria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156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Sensitivity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373/377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98.9 (97.3-99.7)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Specificity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156/1585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9.8 (8.4-11.4)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PPV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373/1802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20.7 (18.8-22.6)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NPV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156/160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97.5 (93.7-99.3)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CT at any time 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Risk Criteria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red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red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207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Sensitivity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379/383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99.0 (97.3-99.7)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Specificity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207/1704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12.1 (10.6-13.8)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PPV (95% CI)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379/1876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20.2 (18.4-22.1)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NPV (95% CI)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207/211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98.1 (95.2-99.5)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Total Cohort 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Risk Criteria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red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10406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red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9320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Sensitivity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379/383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99.0 (97.3-99.7)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Specificity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9320/19726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47.2 (46.5-47.9)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PPV (95% CI)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379/10785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3.5 (3.2-3.9)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NPV (95% CI)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9320/9324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100.0 (99.9-100.0)</w:t>
            </w:r>
          </w:p>
        </w:tc>
      </w:tr>
    </w:tbl>
    <w:p w:rsidR="005C0CD3" w:rsidRPr="005C0CD3" w:rsidRDefault="005C0CD3">
      <w:pPr>
        <w:rPr>
          <w:rFonts w:asciiTheme="minorHAnsi" w:hAnsiTheme="minorHAnsi"/>
          <w:sz w:val="20"/>
          <w:szCs w:val="20"/>
        </w:rPr>
      </w:pPr>
    </w:p>
    <w:p w:rsidR="005C0CD3" w:rsidRPr="005C0CD3" w:rsidRDefault="005C0CD3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5C0CD3">
        <w:rPr>
          <w:rFonts w:asciiTheme="minorHAnsi" w:hAnsiTheme="minorHAnsi"/>
          <w:sz w:val="20"/>
          <w:szCs w:val="20"/>
        </w:rPr>
        <w:br w:type="page"/>
      </w:r>
    </w:p>
    <w:tbl>
      <w:tblPr>
        <w:tblW w:w="4478" w:type="pct"/>
        <w:tblLayout w:type="fixed"/>
        <w:tblLook w:val="04A0" w:firstRow="1" w:lastRow="0" w:firstColumn="1" w:lastColumn="0" w:noHBand="0" w:noVBand="1"/>
      </w:tblPr>
      <w:tblGrid>
        <w:gridCol w:w="817"/>
        <w:gridCol w:w="659"/>
        <w:gridCol w:w="568"/>
        <w:gridCol w:w="621"/>
        <w:gridCol w:w="1442"/>
        <w:gridCol w:w="2412"/>
        <w:gridCol w:w="1758"/>
      </w:tblGrid>
      <w:tr w:rsidR="005C0CD3" w:rsidRPr="005C0CD3" w:rsidTr="00317547">
        <w:trPr>
          <w:trHeight w:val="510"/>
        </w:trPr>
        <w:tc>
          <w:tcPr>
            <w:tcW w:w="494" w:type="pct"/>
            <w:tcBorders>
              <w:bottom w:val="single" w:sz="4" w:space="0" w:color="auto"/>
            </w:tcBorders>
            <w:shd w:val="clear" w:color="000000" w:fill="000000"/>
            <w:vAlign w:val="center"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ID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  <w:t>GCS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  <w:t>Mechanism of injury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  <w:t>Injury recorded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n-AU"/>
              </w:rPr>
              <w:t>Treatment</w:t>
            </w:r>
          </w:p>
        </w:tc>
      </w:tr>
      <w:tr w:rsidR="005C0CD3" w:rsidRPr="005C0CD3" w:rsidTr="00317547">
        <w:trPr>
          <w:trHeight w:val="1020"/>
        </w:trPr>
        <w:tc>
          <w:tcPr>
            <w:tcW w:w="494" w:type="pct"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4 y</w:t>
            </w:r>
          </w:p>
        </w:tc>
        <w:tc>
          <w:tcPr>
            <w:tcW w:w="343" w:type="pct"/>
            <w:shd w:val="clear" w:color="auto" w:fill="auto"/>
            <w:noWrap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375" w:type="pct"/>
            <w:shd w:val="clear" w:color="auto" w:fill="auto"/>
            <w:noWrap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871" w:type="pct"/>
            <w:shd w:val="clear" w:color="auto" w:fill="auto"/>
            <w:noWrap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Fell from scooter without wearing helmet</w:t>
            </w:r>
          </w:p>
        </w:tc>
        <w:tc>
          <w:tcPr>
            <w:tcW w:w="1457" w:type="pct"/>
            <w:shd w:val="clear" w:color="auto" w:fill="auto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Pneumocephalus</w:t>
            </w:r>
            <w:proofErr w:type="spellEnd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; basal skull fracture.</w:t>
            </w:r>
          </w:p>
        </w:tc>
        <w:tc>
          <w:tcPr>
            <w:tcW w:w="1062" w:type="pct"/>
            <w:shd w:val="clear" w:color="auto" w:fill="auto"/>
            <w:noWrap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Neurosurgery: No; Admission: 2 days</w:t>
            </w:r>
          </w:p>
        </w:tc>
      </w:tr>
      <w:tr w:rsidR="005C0CD3" w:rsidRPr="005C0CD3" w:rsidTr="00317547">
        <w:trPr>
          <w:trHeight w:val="1530"/>
        </w:trPr>
        <w:tc>
          <w:tcPr>
            <w:tcW w:w="494" w:type="pct"/>
            <w:shd w:val="clear" w:color="auto" w:fill="FFFFFF" w:themeFill="background1"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98" w:type="pct"/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5 y</w:t>
            </w:r>
          </w:p>
        </w:tc>
        <w:tc>
          <w:tcPr>
            <w:tcW w:w="343" w:type="pct"/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375" w:type="pct"/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871" w:type="pct"/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Fall &gt;3 m</w:t>
            </w:r>
          </w:p>
        </w:tc>
        <w:tc>
          <w:tcPr>
            <w:tcW w:w="1457" w:type="pct"/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Intracranial </w:t>
            </w:r>
            <w:proofErr w:type="spellStart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hemorrhage</w:t>
            </w:r>
            <w:proofErr w:type="spellEnd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/contusion - extra-axial; </w:t>
            </w:r>
            <w:proofErr w:type="spellStart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pneumocephalus</w:t>
            </w:r>
            <w:proofErr w:type="spellEnd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; basal skull fracture –non depressed </w:t>
            </w:r>
          </w:p>
        </w:tc>
        <w:tc>
          <w:tcPr>
            <w:tcW w:w="1062" w:type="pct"/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Neurosurgery: No;</w:t>
            </w:r>
          </w:p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Admission: 4 days</w:t>
            </w:r>
          </w:p>
        </w:tc>
      </w:tr>
      <w:tr w:rsidR="005C0CD3" w:rsidRPr="005C0CD3" w:rsidTr="00317547">
        <w:trPr>
          <w:trHeight w:val="1275"/>
        </w:trPr>
        <w:tc>
          <w:tcPr>
            <w:tcW w:w="494" w:type="pct"/>
            <w:shd w:val="clear" w:color="auto" w:fill="FFFFFF" w:themeFill="background1"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98" w:type="pct"/>
            <w:shd w:val="clear" w:color="auto" w:fill="FFFFFF" w:themeFill="background1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6 y</w:t>
            </w:r>
          </w:p>
        </w:tc>
        <w:tc>
          <w:tcPr>
            <w:tcW w:w="343" w:type="pct"/>
            <w:shd w:val="clear" w:color="auto" w:fill="FFFFFF" w:themeFill="background1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375" w:type="pct"/>
            <w:shd w:val="clear" w:color="auto" w:fill="FFFFFF" w:themeFill="background1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871" w:type="pct"/>
            <w:shd w:val="clear" w:color="auto" w:fill="FFFFFF" w:themeFill="background1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Fall 1.8m from home stairs. </w:t>
            </w:r>
          </w:p>
        </w:tc>
        <w:tc>
          <w:tcPr>
            <w:tcW w:w="1457" w:type="pct"/>
            <w:shd w:val="clear" w:color="auto" w:fill="FFFFFF" w:themeFill="background1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Intracranial </w:t>
            </w:r>
            <w:proofErr w:type="spellStart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hemorrhage</w:t>
            </w:r>
            <w:proofErr w:type="spellEnd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/contusion - extra-axial; </w:t>
            </w:r>
            <w:proofErr w:type="spellStart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pneumocephalus</w:t>
            </w:r>
            <w:proofErr w:type="spellEnd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; skull fracture – non-depressed. </w:t>
            </w:r>
          </w:p>
        </w:tc>
        <w:tc>
          <w:tcPr>
            <w:tcW w:w="1062" w:type="pct"/>
            <w:shd w:val="clear" w:color="auto" w:fill="FFFFFF" w:themeFill="background1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Neurosurgery: No;</w:t>
            </w:r>
          </w:p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Admission: 5 days</w:t>
            </w:r>
          </w:p>
        </w:tc>
      </w:tr>
      <w:tr w:rsidR="005C0CD3" w:rsidRPr="005C0CD3" w:rsidTr="00317547">
        <w:trPr>
          <w:trHeight w:val="1020"/>
        </w:trPr>
        <w:tc>
          <w:tcPr>
            <w:tcW w:w="4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15 y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Struck by/or collision with person at school. 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Intracranial </w:t>
            </w:r>
            <w:proofErr w:type="spellStart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hemorrhage</w:t>
            </w:r>
            <w:proofErr w:type="spellEnd"/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 xml:space="preserve">/contusion- parenchyma. 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Neurosurgery: No;</w:t>
            </w:r>
          </w:p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  <w:t>Admission: 5 days</w:t>
            </w:r>
          </w:p>
        </w:tc>
      </w:tr>
    </w:tbl>
    <w:p w:rsidR="005C0CD3" w:rsidRPr="005C0CD3" w:rsidRDefault="005C0CD3">
      <w:pPr>
        <w:rPr>
          <w:rFonts w:asciiTheme="minorHAnsi" w:hAnsiTheme="minorHAnsi"/>
          <w:sz w:val="20"/>
          <w:szCs w:val="20"/>
        </w:rPr>
      </w:pPr>
    </w:p>
    <w:p w:rsidR="005C0CD3" w:rsidRPr="005C0CD3" w:rsidRDefault="005C0CD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W w:w="8962" w:type="dxa"/>
        <w:jc w:val="center"/>
        <w:tblLook w:val="04A0" w:firstRow="1" w:lastRow="0" w:firstColumn="1" w:lastColumn="0" w:noHBand="0" w:noVBand="1"/>
      </w:tblPr>
      <w:tblGrid>
        <w:gridCol w:w="2600"/>
        <w:gridCol w:w="2980"/>
        <w:gridCol w:w="360"/>
        <w:gridCol w:w="3022"/>
      </w:tblGrid>
      <w:tr w:rsidR="005C0CD3" w:rsidRPr="005C0CD3" w:rsidTr="00317547">
        <w:trPr>
          <w:trHeight w:val="300"/>
          <w:jc w:val="center"/>
        </w:trPr>
        <w:tc>
          <w:tcPr>
            <w:tcW w:w="89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Supplement Table 2. Diagnostic testing of NEXUS II clinically important ICI, tested by presence of any risk criteria (of the 7) – MISSING EXCLUDED</w:t>
            </w:r>
          </w:p>
        </w:tc>
      </w:tr>
      <w:tr w:rsidR="005C0CD3" w:rsidRPr="005C0CD3" w:rsidTr="00317547">
        <w:trPr>
          <w:trHeight w:val="450"/>
          <w:jc w:val="center"/>
        </w:trPr>
        <w:tc>
          <w:tcPr>
            <w:tcW w:w="89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Initial CT Scan (ED CT) 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Risk Criteria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Sensitivity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373/377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98.9 (97.3-99.7)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Specificity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154/1583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9.7 (8.3-11.3)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PPV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373/1802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20.7 (18.8-22.6)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NPV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154/158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97.5 (93.6-99.3)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CT at any time 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Risk Criteria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Positive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Negative ICI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red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1497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red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Sensitivity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379/383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99.0 (97.3-99.7)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Specificity (95% CI)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204/1701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12.0 (10.5-13.6)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PPV (95% CI)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379/1876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20.2 (18.4-22.1)</w:t>
            </w:r>
          </w:p>
        </w:tc>
      </w:tr>
      <w:tr w:rsidR="005C0CD3" w:rsidRPr="005C0CD3" w:rsidTr="003175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NPV (95% CI)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204/208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0CD3" w:rsidRPr="005C0CD3" w:rsidRDefault="005C0CD3" w:rsidP="0031754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5C0CD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98.1 (95.1-99.5)</w:t>
            </w:r>
          </w:p>
        </w:tc>
      </w:tr>
    </w:tbl>
    <w:p w:rsidR="005C0CD3" w:rsidRPr="005C0CD3" w:rsidRDefault="005C0CD3">
      <w:pPr>
        <w:rPr>
          <w:rFonts w:asciiTheme="minorHAnsi" w:hAnsiTheme="minorHAnsi"/>
          <w:sz w:val="20"/>
          <w:szCs w:val="20"/>
        </w:rPr>
      </w:pPr>
    </w:p>
    <w:p w:rsidR="0059761E" w:rsidRPr="005C0CD3" w:rsidRDefault="0059761E" w:rsidP="005C0CD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sectPr w:rsidR="0059761E" w:rsidRPr="005C0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Pro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ssicalGaramondBT-Roman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FrutigerLTPro-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lassicalGaramond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LightCn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71B3"/>
    <w:multiLevelType w:val="hybridMultilevel"/>
    <w:tmpl w:val="73E0E8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1A4A"/>
    <w:multiLevelType w:val="hybridMultilevel"/>
    <w:tmpl w:val="66EA8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760A"/>
    <w:multiLevelType w:val="hybridMultilevel"/>
    <w:tmpl w:val="D3B4565E"/>
    <w:lvl w:ilvl="0" w:tplc="DD06AB0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F3495"/>
    <w:multiLevelType w:val="hybridMultilevel"/>
    <w:tmpl w:val="71A673CE"/>
    <w:lvl w:ilvl="0" w:tplc="3D74E3D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3"/>
    <w:rsid w:val="0038420B"/>
    <w:rsid w:val="0059761E"/>
    <w:rsid w:val="005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D3"/>
    <w:pPr>
      <w:spacing w:after="0" w:line="240" w:lineRule="auto"/>
    </w:pPr>
    <w:rPr>
      <w:rFonts w:ascii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0C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D3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5C0C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CD3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D3"/>
    <w:pPr>
      <w:spacing w:after="0" w:line="240" w:lineRule="auto"/>
    </w:pPr>
    <w:rPr>
      <w:rFonts w:ascii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0C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D3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5C0C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CD3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lziel@adhb.govt.nz" TargetMode="External"/><Relationship Id="rId13" Type="http://schemas.openxmlformats.org/officeDocument/2006/relationships/hyperlink" Target="mailto:jeremy.furyk@health.qld.gov.au" TargetMode="External"/><Relationship Id="rId18" Type="http://schemas.openxmlformats.org/officeDocument/2006/relationships/hyperlink" Target="mailto:marta.arpone@mcri.edu.a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mailto:ed.oakley@rch.org.au" TargetMode="External"/><Relationship Id="rId12" Type="http://schemas.openxmlformats.org/officeDocument/2006/relationships/hyperlink" Target="mailto:sarah.dalton@health.nsw.gov.au" TargetMode="External"/><Relationship Id="rId17" Type="http://schemas.openxmlformats.org/officeDocument/2006/relationships/hyperlink" Target="mailto:stephen.hearps@mcri.edu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susan.donath@mcri.edu.au" TargetMode="External"/><Relationship Id="rId20" Type="http://schemas.openxmlformats.org/officeDocument/2006/relationships/hyperlink" Target="mailto:franz.babl@rch.org.a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anz.babl@rch.org.au" TargetMode="External"/><Relationship Id="rId11" Type="http://schemas.openxmlformats.org/officeDocument/2006/relationships/hyperlink" Target="mailto:amit.kochar@health.sa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lyttle77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talie.phillips@merton-oxford.com" TargetMode="External"/><Relationship Id="rId19" Type="http://schemas.openxmlformats.org/officeDocument/2006/relationships/hyperlink" Target="mailto:silviabre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edith.borland@health.wa.gov.au" TargetMode="External"/><Relationship Id="rId14" Type="http://schemas.openxmlformats.org/officeDocument/2006/relationships/hyperlink" Target="mailto:jocelyn.neutze@middlemore.co.n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46408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Lyttle, Mark</dc:creator>
  <cp:lastModifiedBy>Lyttle, Mark</cp:lastModifiedBy>
  <cp:revision>2</cp:revision>
  <dcterms:created xsi:type="dcterms:W3CDTF">2018-10-22T13:38:00Z</dcterms:created>
  <dcterms:modified xsi:type="dcterms:W3CDTF">2018-10-22T15:39:00Z</dcterms:modified>
</cp:coreProperties>
</file>