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8329" w14:textId="0A41B856" w:rsidR="002A49D8" w:rsidRPr="003B1851" w:rsidRDefault="000C68BB" w:rsidP="00291BB8">
      <w:pPr>
        <w:spacing w:before="100" w:beforeAutospacing="1" w:after="100" w:afterAutospacing="1" w:line="480" w:lineRule="auto"/>
        <w:rPr>
          <w:rFonts w:ascii="Tahoma" w:hAnsi="Tahoma" w:cs="Tahoma"/>
          <w:b/>
          <w:highlight w:val="yellow"/>
        </w:rPr>
      </w:pPr>
      <w:r w:rsidRPr="003B1851">
        <w:rPr>
          <w:rFonts w:ascii="Tahoma" w:hAnsi="Tahoma" w:cs="Tahoma"/>
          <w:b/>
          <w:highlight w:val="yellow"/>
        </w:rPr>
        <w:t xml:space="preserve">NURSE </w:t>
      </w:r>
      <w:r w:rsidR="00AE53DE" w:rsidRPr="003B1851">
        <w:rPr>
          <w:rFonts w:ascii="Tahoma" w:hAnsi="Tahoma" w:cs="Tahoma"/>
          <w:b/>
          <w:highlight w:val="yellow"/>
        </w:rPr>
        <w:t>AMHPs</w:t>
      </w:r>
      <w:r w:rsidRPr="003B1851">
        <w:rPr>
          <w:rFonts w:ascii="Tahoma" w:hAnsi="Tahoma" w:cs="Tahoma"/>
          <w:b/>
          <w:highlight w:val="yellow"/>
        </w:rPr>
        <w:t>: AN EXP</w:t>
      </w:r>
      <w:r w:rsidR="00AA03A9" w:rsidRPr="003B1851">
        <w:rPr>
          <w:rFonts w:ascii="Tahoma" w:hAnsi="Tahoma" w:cs="Tahoma"/>
          <w:b/>
          <w:highlight w:val="yellow"/>
        </w:rPr>
        <w:t>L</w:t>
      </w:r>
      <w:r w:rsidRPr="003B1851">
        <w:rPr>
          <w:rFonts w:ascii="Tahoma" w:hAnsi="Tahoma" w:cs="Tahoma"/>
          <w:b/>
          <w:highlight w:val="yellow"/>
        </w:rPr>
        <w:t>ORAT</w:t>
      </w:r>
      <w:r w:rsidR="00AA03A9" w:rsidRPr="003B1851">
        <w:rPr>
          <w:rFonts w:ascii="Tahoma" w:hAnsi="Tahoma" w:cs="Tahoma"/>
          <w:b/>
          <w:highlight w:val="yellow"/>
        </w:rPr>
        <w:t>ORY STUDY</w:t>
      </w:r>
      <w:r w:rsidR="00E537E7" w:rsidRPr="003B1851">
        <w:rPr>
          <w:rFonts w:ascii="Tahoma" w:hAnsi="Tahoma" w:cs="Tahoma"/>
          <w:b/>
          <w:highlight w:val="yellow"/>
        </w:rPr>
        <w:t xml:space="preserve"> </w:t>
      </w:r>
      <w:r w:rsidR="00822012" w:rsidRPr="003B1851">
        <w:rPr>
          <w:rFonts w:ascii="Tahoma" w:hAnsi="Tahoma" w:cs="Tahoma"/>
          <w:b/>
          <w:highlight w:val="yellow"/>
        </w:rPr>
        <w:t xml:space="preserve">OF THEIR EXPEREINCES </w:t>
      </w:r>
      <w:r w:rsidRPr="003B1851">
        <w:rPr>
          <w:rFonts w:ascii="Tahoma" w:hAnsi="Tahoma" w:cs="Tahoma"/>
          <w:b/>
          <w:highlight w:val="yellow"/>
        </w:rPr>
        <w:t xml:space="preserve"> </w:t>
      </w:r>
    </w:p>
    <w:p w14:paraId="5F566C20" w14:textId="416B3E8A" w:rsidR="008A1608" w:rsidRPr="003B1851" w:rsidRDefault="00682990" w:rsidP="00291BB8">
      <w:pPr>
        <w:pStyle w:val="NoSpacing"/>
        <w:rPr>
          <w:rFonts w:ascii="Tahoma" w:hAnsi="Tahoma" w:cs="Tahoma"/>
          <w:b/>
          <w:highlight w:val="yellow"/>
          <w:u w:val="single"/>
        </w:rPr>
      </w:pPr>
      <w:r w:rsidRPr="003B1851">
        <w:rPr>
          <w:rFonts w:ascii="Tahoma" w:hAnsi="Tahoma" w:cs="Tahoma"/>
          <w:b/>
          <w:highlight w:val="yellow"/>
          <w:u w:val="single"/>
        </w:rPr>
        <w:t>Abstract</w:t>
      </w:r>
    </w:p>
    <w:p w14:paraId="4A4B14B7" w14:textId="77777777" w:rsidR="00DB0999" w:rsidRPr="003B1851" w:rsidRDefault="00DB0999" w:rsidP="00291BB8">
      <w:pPr>
        <w:pStyle w:val="NoSpacing"/>
        <w:rPr>
          <w:rFonts w:ascii="Tahoma" w:hAnsi="Tahoma" w:cs="Tahoma"/>
          <w:b/>
          <w:highlight w:val="yellow"/>
          <w:u w:val="single"/>
        </w:rPr>
      </w:pPr>
    </w:p>
    <w:p w14:paraId="117EE3B7" w14:textId="77777777" w:rsidR="005D74C8" w:rsidRPr="003B1851" w:rsidRDefault="005D74C8" w:rsidP="00291BB8">
      <w:pPr>
        <w:pStyle w:val="NoSpacing"/>
        <w:rPr>
          <w:rFonts w:ascii="Tahoma" w:eastAsiaTheme="minorHAnsi" w:hAnsi="Tahoma" w:cs="Tahoma"/>
          <w:b/>
          <w:highlight w:val="yellow"/>
        </w:rPr>
      </w:pPr>
      <w:r w:rsidRPr="003B1851">
        <w:rPr>
          <w:rFonts w:ascii="Tahoma" w:eastAsia="Times New Roman" w:hAnsi="Tahoma" w:cs="Tahoma"/>
          <w:b/>
          <w:highlight w:val="yellow"/>
          <w:lang w:eastAsia="en-GB"/>
        </w:rPr>
        <w:t xml:space="preserve">Purpose </w:t>
      </w:r>
    </w:p>
    <w:p w14:paraId="4BF2A006" w14:textId="5A58AE2C" w:rsidR="005D74C8" w:rsidRPr="003B1851" w:rsidRDefault="005D74C8" w:rsidP="00291BB8">
      <w:pPr>
        <w:pStyle w:val="NoSpacing"/>
        <w:jc w:val="both"/>
        <w:rPr>
          <w:rFonts w:ascii="Tahoma" w:hAnsi="Tahoma" w:cs="Tahoma"/>
          <w:highlight w:val="yellow"/>
        </w:rPr>
      </w:pPr>
      <w:r w:rsidRPr="003B1851">
        <w:rPr>
          <w:rFonts w:ascii="Tahoma" w:hAnsi="Tahoma" w:cs="Tahoma"/>
          <w:highlight w:val="yellow"/>
        </w:rPr>
        <w:t xml:space="preserve">Mental health and learning </w:t>
      </w:r>
      <w:r w:rsidR="003B1851" w:rsidRPr="003B1851">
        <w:rPr>
          <w:rFonts w:ascii="Tahoma" w:hAnsi="Tahoma" w:cs="Tahoma"/>
          <w:highlight w:val="yellow"/>
        </w:rPr>
        <w:t>disability</w:t>
      </w:r>
      <w:r w:rsidRPr="003B1851">
        <w:rPr>
          <w:rFonts w:ascii="Tahoma" w:hAnsi="Tahoma" w:cs="Tahoma"/>
          <w:highlight w:val="yellow"/>
        </w:rPr>
        <w:t xml:space="preserve"> nurses have been eligible to </w:t>
      </w:r>
      <w:r w:rsidR="00923352" w:rsidRPr="003B1851">
        <w:rPr>
          <w:rFonts w:ascii="Tahoma" w:hAnsi="Tahoma" w:cs="Tahoma"/>
          <w:highlight w:val="yellow"/>
        </w:rPr>
        <w:t>become</w:t>
      </w:r>
      <w:r w:rsidRPr="003B1851">
        <w:rPr>
          <w:rFonts w:ascii="Tahoma" w:hAnsi="Tahoma" w:cs="Tahoma"/>
          <w:highlight w:val="yellow"/>
        </w:rPr>
        <w:t xml:space="preserve"> Approved Mental Health Professional</w:t>
      </w:r>
      <w:r w:rsidR="00291BB8" w:rsidRPr="003B1851">
        <w:rPr>
          <w:rFonts w:ascii="Tahoma" w:hAnsi="Tahoma" w:cs="Tahoma"/>
          <w:highlight w:val="yellow"/>
        </w:rPr>
        <w:t>s</w:t>
      </w:r>
      <w:r w:rsidRPr="003B1851">
        <w:rPr>
          <w:rFonts w:ascii="Tahoma" w:hAnsi="Tahoma" w:cs="Tahoma"/>
          <w:highlight w:val="yellow"/>
        </w:rPr>
        <w:t xml:space="preserve"> (AMHP) since 2008 when the Mental Health Act 2007 was implemented. Despite this there have been proportionally low numbers of these nurses pursuing the AMHP role</w:t>
      </w:r>
      <w:r w:rsidR="00845894" w:rsidRPr="003B1851">
        <w:rPr>
          <w:rFonts w:ascii="Tahoma" w:hAnsi="Tahoma" w:cs="Tahoma"/>
          <w:highlight w:val="yellow"/>
        </w:rPr>
        <w:t xml:space="preserve">. The purpose of this study is explore the experiences of </w:t>
      </w:r>
      <w:r w:rsidR="00DB0999" w:rsidRPr="003B1851">
        <w:rPr>
          <w:rFonts w:ascii="Tahoma" w:hAnsi="Tahoma" w:cs="Tahoma"/>
          <w:highlight w:val="yellow"/>
        </w:rPr>
        <w:t xml:space="preserve">these </w:t>
      </w:r>
      <w:r w:rsidR="00845894" w:rsidRPr="003B1851">
        <w:rPr>
          <w:rFonts w:ascii="Tahoma" w:hAnsi="Tahoma" w:cs="Tahoma"/>
          <w:highlight w:val="yellow"/>
        </w:rPr>
        <w:t>nurse AMHPs</w:t>
      </w:r>
      <w:r w:rsidR="00DB0999" w:rsidRPr="003B1851">
        <w:rPr>
          <w:rFonts w:ascii="Tahoma" w:hAnsi="Tahoma" w:cs="Tahoma"/>
          <w:highlight w:val="yellow"/>
        </w:rPr>
        <w:t xml:space="preserve"> of training and practice. </w:t>
      </w:r>
      <w:r w:rsidR="00845894" w:rsidRPr="003B1851">
        <w:rPr>
          <w:rFonts w:ascii="Tahoma" w:hAnsi="Tahoma" w:cs="Tahoma"/>
          <w:highlight w:val="yellow"/>
        </w:rPr>
        <w:t xml:space="preserve"> </w:t>
      </w:r>
    </w:p>
    <w:p w14:paraId="35F1D707" w14:textId="77777777" w:rsidR="005F27EA" w:rsidRPr="003B1851" w:rsidRDefault="005F27EA" w:rsidP="00291BB8">
      <w:pPr>
        <w:pStyle w:val="NoSpacing"/>
        <w:jc w:val="both"/>
        <w:rPr>
          <w:rFonts w:ascii="Tahoma" w:eastAsia="Times New Roman" w:hAnsi="Tahoma" w:cs="Tahoma"/>
          <w:highlight w:val="yellow"/>
          <w:lang w:eastAsia="en-GB"/>
        </w:rPr>
      </w:pPr>
    </w:p>
    <w:p w14:paraId="19D30103" w14:textId="77777777" w:rsidR="005D74C8" w:rsidRPr="003B1851" w:rsidRDefault="005D74C8" w:rsidP="00291BB8">
      <w:pPr>
        <w:pStyle w:val="NoSpacing"/>
        <w:jc w:val="both"/>
        <w:rPr>
          <w:rFonts w:ascii="Tahoma" w:eastAsia="Times New Roman" w:hAnsi="Tahoma" w:cs="Tahoma"/>
          <w:b/>
          <w:highlight w:val="yellow"/>
          <w:lang w:eastAsia="en-GB"/>
        </w:rPr>
      </w:pPr>
      <w:r w:rsidRPr="003B1851">
        <w:rPr>
          <w:rFonts w:ascii="Tahoma" w:eastAsia="Times New Roman" w:hAnsi="Tahoma" w:cs="Tahoma"/>
          <w:b/>
          <w:highlight w:val="yellow"/>
          <w:lang w:eastAsia="en-GB"/>
        </w:rPr>
        <w:t xml:space="preserve">Design/methodology/approach </w:t>
      </w:r>
    </w:p>
    <w:p w14:paraId="4EDA7EEB" w14:textId="6C7B61D4" w:rsidR="008A1608" w:rsidRPr="003B1851" w:rsidRDefault="008A1608" w:rsidP="00291BB8">
      <w:pPr>
        <w:pStyle w:val="NoSpacing"/>
        <w:jc w:val="both"/>
        <w:rPr>
          <w:rFonts w:ascii="Tahoma" w:hAnsi="Tahoma" w:cs="Tahoma"/>
          <w:highlight w:val="yellow"/>
        </w:rPr>
      </w:pPr>
      <w:r w:rsidRPr="003B1851">
        <w:rPr>
          <w:rFonts w:ascii="Tahoma" w:hAnsi="Tahoma" w:cs="Tahoma"/>
          <w:highlight w:val="yellow"/>
        </w:rPr>
        <w:t xml:space="preserve">Ten practicing nurse AMHPs were recruited </w:t>
      </w:r>
      <w:r w:rsidR="00923352" w:rsidRPr="003B1851">
        <w:rPr>
          <w:rFonts w:ascii="Tahoma" w:hAnsi="Tahoma" w:cs="Tahoma"/>
          <w:highlight w:val="yellow"/>
        </w:rPr>
        <w:t xml:space="preserve">from across </w:t>
      </w:r>
      <w:r w:rsidRPr="003B1851">
        <w:rPr>
          <w:rFonts w:ascii="Tahoma" w:hAnsi="Tahoma" w:cs="Tahoma"/>
          <w:highlight w:val="yellow"/>
        </w:rPr>
        <w:t>four</w:t>
      </w:r>
      <w:r w:rsidR="00DB0999" w:rsidRPr="003B1851">
        <w:rPr>
          <w:rFonts w:ascii="Tahoma" w:hAnsi="Tahoma" w:cs="Tahoma"/>
          <w:highlight w:val="yellow"/>
        </w:rPr>
        <w:t xml:space="preserve"> local authority</w:t>
      </w:r>
      <w:r w:rsidRPr="003B1851">
        <w:rPr>
          <w:rFonts w:ascii="Tahoma" w:hAnsi="Tahoma" w:cs="Tahoma"/>
          <w:highlight w:val="yellow"/>
        </w:rPr>
        <w:t xml:space="preserve"> sites</w:t>
      </w:r>
      <w:r w:rsidR="00923352" w:rsidRPr="003B1851">
        <w:rPr>
          <w:rFonts w:ascii="Tahoma" w:hAnsi="Tahoma" w:cs="Tahoma"/>
          <w:highlight w:val="yellow"/>
        </w:rPr>
        <w:t>.</w:t>
      </w:r>
      <w:r w:rsidRPr="003B1851">
        <w:rPr>
          <w:rFonts w:ascii="Tahoma" w:hAnsi="Tahoma" w:cs="Tahoma"/>
          <w:highlight w:val="yellow"/>
        </w:rPr>
        <w:t xml:space="preserve"> </w:t>
      </w:r>
      <w:r w:rsidR="00923352" w:rsidRPr="003B1851">
        <w:rPr>
          <w:rFonts w:ascii="Tahoma" w:hAnsi="Tahoma" w:cs="Tahoma"/>
          <w:highlight w:val="yellow"/>
        </w:rPr>
        <w:t>U</w:t>
      </w:r>
      <w:r w:rsidRPr="003B1851">
        <w:rPr>
          <w:rFonts w:ascii="Tahoma" w:hAnsi="Tahoma" w:cs="Tahoma"/>
          <w:highlight w:val="yellow"/>
        </w:rPr>
        <w:t xml:space="preserve">sing semi-structured interviews </w:t>
      </w:r>
      <w:r w:rsidR="00923352" w:rsidRPr="003B1851">
        <w:rPr>
          <w:rFonts w:ascii="Tahoma" w:hAnsi="Tahoma" w:cs="Tahoma"/>
          <w:highlight w:val="yellow"/>
        </w:rPr>
        <w:t>p</w:t>
      </w:r>
      <w:r w:rsidRPr="003B1851">
        <w:rPr>
          <w:rFonts w:ascii="Tahoma" w:hAnsi="Tahoma" w:cs="Tahoma"/>
          <w:highlight w:val="yellow"/>
        </w:rPr>
        <w:t>articipants were asked to discuss their experiences of being an AMHP</w:t>
      </w:r>
      <w:r w:rsidR="00923352" w:rsidRPr="003B1851">
        <w:rPr>
          <w:rFonts w:ascii="Tahoma" w:hAnsi="Tahoma" w:cs="Tahoma"/>
          <w:highlight w:val="yellow"/>
        </w:rPr>
        <w:t>.</w:t>
      </w:r>
    </w:p>
    <w:p w14:paraId="2F43EB5E" w14:textId="77777777" w:rsidR="008A1608" w:rsidRPr="003B1851" w:rsidRDefault="008A1608" w:rsidP="00291BB8">
      <w:pPr>
        <w:pStyle w:val="NoSpacing"/>
        <w:jc w:val="both"/>
        <w:rPr>
          <w:rFonts w:ascii="Tahoma" w:hAnsi="Tahoma" w:cs="Tahoma"/>
          <w:highlight w:val="yellow"/>
        </w:rPr>
      </w:pPr>
    </w:p>
    <w:p w14:paraId="5BA94180" w14:textId="77777777" w:rsidR="005D74C8" w:rsidRPr="003B1851" w:rsidRDefault="005D74C8" w:rsidP="00291BB8">
      <w:pPr>
        <w:pStyle w:val="NoSpacing"/>
        <w:jc w:val="both"/>
        <w:rPr>
          <w:rFonts w:ascii="Tahoma" w:eastAsia="Times New Roman" w:hAnsi="Tahoma" w:cs="Tahoma"/>
          <w:b/>
          <w:highlight w:val="yellow"/>
          <w:lang w:eastAsia="en-GB"/>
        </w:rPr>
      </w:pPr>
      <w:r w:rsidRPr="003B1851">
        <w:rPr>
          <w:rFonts w:ascii="Tahoma" w:eastAsia="Times New Roman" w:hAnsi="Tahoma" w:cs="Tahoma"/>
          <w:b/>
          <w:highlight w:val="yellow"/>
          <w:lang w:eastAsia="en-GB"/>
        </w:rPr>
        <w:t xml:space="preserve">Findings </w:t>
      </w:r>
    </w:p>
    <w:p w14:paraId="0742A8DD" w14:textId="1C31A94A" w:rsidR="00923352" w:rsidRPr="003B1851" w:rsidRDefault="00923352" w:rsidP="00291BB8">
      <w:pPr>
        <w:pStyle w:val="NoSpacing"/>
        <w:jc w:val="both"/>
        <w:rPr>
          <w:rFonts w:ascii="Tahoma" w:hAnsi="Tahoma" w:cs="Tahoma"/>
          <w:highlight w:val="yellow"/>
        </w:rPr>
      </w:pPr>
      <w:r w:rsidRPr="003B1851">
        <w:rPr>
          <w:rFonts w:ascii="Tahoma" w:hAnsi="Tahoma" w:cs="Tahoma"/>
          <w:highlight w:val="yellow"/>
        </w:rPr>
        <w:t>The participants highlight</w:t>
      </w:r>
      <w:r w:rsidR="00603B1C" w:rsidRPr="003B1851">
        <w:rPr>
          <w:rFonts w:ascii="Tahoma" w:hAnsi="Tahoma" w:cs="Tahoma"/>
          <w:highlight w:val="yellow"/>
        </w:rPr>
        <w:t xml:space="preserve">ed </w:t>
      </w:r>
      <w:r w:rsidR="00352C98" w:rsidRPr="003B1851">
        <w:rPr>
          <w:rFonts w:ascii="Tahoma" w:hAnsi="Tahoma" w:cs="Tahoma"/>
          <w:highlight w:val="yellow"/>
        </w:rPr>
        <w:t>the need</w:t>
      </w:r>
      <w:r w:rsidR="000941AC" w:rsidRPr="003B1851">
        <w:rPr>
          <w:rFonts w:ascii="Tahoma" w:hAnsi="Tahoma" w:cs="Tahoma"/>
          <w:highlight w:val="yellow"/>
        </w:rPr>
        <w:t xml:space="preserve"> to navigate</w:t>
      </w:r>
      <w:r w:rsidR="008C2A74" w:rsidRPr="003B1851">
        <w:rPr>
          <w:rFonts w:ascii="Tahoma" w:hAnsi="Tahoma" w:cs="Tahoma"/>
          <w:highlight w:val="yellow"/>
        </w:rPr>
        <w:t xml:space="preserve"> personal, cultural and</w:t>
      </w:r>
      <w:r w:rsidR="009B65A5" w:rsidRPr="003B1851">
        <w:rPr>
          <w:rFonts w:ascii="Tahoma" w:hAnsi="Tahoma" w:cs="Tahoma"/>
          <w:highlight w:val="yellow"/>
        </w:rPr>
        <w:t xml:space="preserve"> </w:t>
      </w:r>
      <w:r w:rsidR="008C31FF" w:rsidRPr="003B1851">
        <w:rPr>
          <w:rFonts w:ascii="Tahoma" w:hAnsi="Tahoma" w:cs="Tahoma"/>
          <w:highlight w:val="yellow"/>
        </w:rPr>
        <w:t>structural</w:t>
      </w:r>
      <w:r w:rsidRPr="003B1851">
        <w:rPr>
          <w:rFonts w:ascii="Tahoma" w:hAnsi="Tahoma" w:cs="Tahoma"/>
          <w:highlight w:val="yellow"/>
        </w:rPr>
        <w:t xml:space="preserve"> </w:t>
      </w:r>
      <w:r w:rsidR="009B65A5" w:rsidRPr="003B1851">
        <w:rPr>
          <w:rFonts w:ascii="Tahoma" w:hAnsi="Tahoma" w:cs="Tahoma"/>
          <w:highlight w:val="yellow"/>
        </w:rPr>
        <w:t>factors</w:t>
      </w:r>
      <w:r w:rsidRPr="003B1851">
        <w:rPr>
          <w:rFonts w:ascii="Tahoma" w:hAnsi="Tahoma" w:cs="Tahoma"/>
          <w:highlight w:val="yellow"/>
        </w:rPr>
        <w:t xml:space="preserve"> </w:t>
      </w:r>
      <w:r w:rsidR="001661E5" w:rsidRPr="003B1851">
        <w:rPr>
          <w:rFonts w:ascii="Tahoma" w:hAnsi="Tahoma" w:cs="Tahoma"/>
          <w:highlight w:val="yellow"/>
        </w:rPr>
        <w:t xml:space="preserve">relating to </w:t>
      </w:r>
      <w:r w:rsidRPr="003B1851">
        <w:rPr>
          <w:rFonts w:ascii="Tahoma" w:hAnsi="Tahoma" w:cs="Tahoma"/>
          <w:highlight w:val="yellow"/>
        </w:rPr>
        <w:t>access</w:t>
      </w:r>
      <w:r w:rsidR="001661E5" w:rsidRPr="003B1851">
        <w:rPr>
          <w:rFonts w:ascii="Tahoma" w:hAnsi="Tahoma" w:cs="Tahoma"/>
          <w:highlight w:val="yellow"/>
        </w:rPr>
        <w:t>ing and applying for the training</w:t>
      </w:r>
      <w:r w:rsidRPr="003B1851">
        <w:rPr>
          <w:rFonts w:ascii="Tahoma" w:hAnsi="Tahoma" w:cs="Tahoma"/>
          <w:highlight w:val="yellow"/>
        </w:rPr>
        <w:t xml:space="preserve">, </w:t>
      </w:r>
      <w:r w:rsidR="001661E5" w:rsidRPr="003B1851">
        <w:rPr>
          <w:rFonts w:ascii="Tahoma" w:hAnsi="Tahoma" w:cs="Tahoma"/>
          <w:highlight w:val="yellow"/>
        </w:rPr>
        <w:t>difficulties with agreeing contracts</w:t>
      </w:r>
      <w:r w:rsidR="007101E9" w:rsidRPr="003B1851">
        <w:rPr>
          <w:rFonts w:ascii="Tahoma" w:hAnsi="Tahoma" w:cs="Tahoma"/>
          <w:highlight w:val="yellow"/>
        </w:rPr>
        <w:t xml:space="preserve"> terms</w:t>
      </w:r>
      <w:r w:rsidR="001661E5" w:rsidRPr="003B1851">
        <w:rPr>
          <w:rFonts w:ascii="Tahoma" w:hAnsi="Tahoma" w:cs="Tahoma"/>
          <w:highlight w:val="yellow"/>
        </w:rPr>
        <w:t xml:space="preserve">, </w:t>
      </w:r>
      <w:r w:rsidR="007101E9" w:rsidRPr="003B1851">
        <w:rPr>
          <w:rFonts w:ascii="Tahoma" w:hAnsi="Tahoma" w:cs="Tahoma"/>
          <w:highlight w:val="yellow"/>
        </w:rPr>
        <w:t xml:space="preserve">gaining </w:t>
      </w:r>
      <w:r w:rsidR="001661E5" w:rsidRPr="003B1851">
        <w:rPr>
          <w:rFonts w:ascii="Tahoma" w:hAnsi="Tahoma" w:cs="Tahoma"/>
          <w:highlight w:val="yellow"/>
        </w:rPr>
        <w:t>comparative pay</w:t>
      </w:r>
      <w:r w:rsidRPr="003B1851">
        <w:rPr>
          <w:rFonts w:ascii="Tahoma" w:hAnsi="Tahoma" w:cs="Tahoma"/>
          <w:highlight w:val="yellow"/>
        </w:rPr>
        <w:t xml:space="preserve"> </w:t>
      </w:r>
      <w:r w:rsidR="009B65A5" w:rsidRPr="003B1851">
        <w:rPr>
          <w:rFonts w:ascii="Tahoma" w:hAnsi="Tahoma" w:cs="Tahoma"/>
          <w:highlight w:val="yellow"/>
        </w:rPr>
        <w:t xml:space="preserve">and undertaking the role. </w:t>
      </w:r>
    </w:p>
    <w:p w14:paraId="2354E633" w14:textId="77777777" w:rsidR="005F27EA" w:rsidRPr="003B1851" w:rsidRDefault="005F27EA" w:rsidP="00291BB8">
      <w:pPr>
        <w:pStyle w:val="NoSpacing"/>
        <w:jc w:val="both"/>
        <w:rPr>
          <w:rFonts w:ascii="Tahoma" w:eastAsia="Times New Roman" w:hAnsi="Tahoma" w:cs="Tahoma"/>
          <w:highlight w:val="yellow"/>
          <w:lang w:eastAsia="en-GB"/>
        </w:rPr>
      </w:pPr>
    </w:p>
    <w:p w14:paraId="0B100A0C" w14:textId="77777777" w:rsidR="005D74C8" w:rsidRPr="003B1851" w:rsidRDefault="005D74C8" w:rsidP="00291BB8">
      <w:pPr>
        <w:pStyle w:val="NoSpacing"/>
        <w:jc w:val="both"/>
        <w:rPr>
          <w:rFonts w:ascii="Tahoma" w:eastAsia="Times New Roman" w:hAnsi="Tahoma" w:cs="Tahoma"/>
          <w:b/>
          <w:color w:val="000000" w:themeColor="text1"/>
          <w:highlight w:val="yellow"/>
          <w:lang w:eastAsia="en-GB"/>
        </w:rPr>
      </w:pPr>
      <w:r w:rsidRPr="003B1851">
        <w:rPr>
          <w:rFonts w:ascii="Tahoma" w:eastAsia="Times New Roman" w:hAnsi="Tahoma" w:cs="Tahoma"/>
          <w:b/>
          <w:color w:val="000000" w:themeColor="text1"/>
          <w:highlight w:val="yellow"/>
          <w:lang w:eastAsia="en-GB"/>
        </w:rPr>
        <w:t>Research limitations/implica</w:t>
      </w:r>
      <w:r w:rsidR="00845894" w:rsidRPr="003B1851">
        <w:rPr>
          <w:rFonts w:ascii="Tahoma" w:eastAsia="Times New Roman" w:hAnsi="Tahoma" w:cs="Tahoma"/>
          <w:b/>
          <w:color w:val="000000" w:themeColor="text1"/>
          <w:highlight w:val="yellow"/>
          <w:lang w:eastAsia="en-GB"/>
        </w:rPr>
        <w:t xml:space="preserve">tions </w:t>
      </w:r>
    </w:p>
    <w:p w14:paraId="015E27D5" w14:textId="77777777" w:rsidR="00845894" w:rsidRPr="003B1851" w:rsidRDefault="00845894" w:rsidP="00291BB8">
      <w:pPr>
        <w:pStyle w:val="NoSpacing"/>
        <w:jc w:val="both"/>
        <w:rPr>
          <w:rFonts w:ascii="Tahoma" w:eastAsia="Times New Roman" w:hAnsi="Tahoma" w:cs="Tahoma"/>
          <w:color w:val="000000" w:themeColor="text1"/>
          <w:highlight w:val="yellow"/>
          <w:lang w:eastAsia="en-GB"/>
        </w:rPr>
      </w:pPr>
      <w:r w:rsidRPr="003B1851">
        <w:rPr>
          <w:rFonts w:ascii="Tahoma" w:eastAsia="Times New Roman" w:hAnsi="Tahoma" w:cs="Tahoma"/>
          <w:color w:val="000000" w:themeColor="text1"/>
          <w:highlight w:val="yellow"/>
          <w:lang w:eastAsia="en-GB"/>
        </w:rPr>
        <w:t>The limitations of this study are the small number of participants, and therefore the generalisability of the findings</w:t>
      </w:r>
      <w:r w:rsidR="00923352" w:rsidRPr="003B1851">
        <w:rPr>
          <w:rFonts w:ascii="Tahoma" w:eastAsia="Times New Roman" w:hAnsi="Tahoma" w:cs="Tahoma"/>
          <w:color w:val="000000" w:themeColor="text1"/>
          <w:highlight w:val="yellow"/>
          <w:lang w:eastAsia="en-GB"/>
        </w:rPr>
        <w:t>.</w:t>
      </w:r>
      <w:r w:rsidR="00564AC4" w:rsidRPr="003B1851">
        <w:rPr>
          <w:rFonts w:ascii="Tahoma" w:eastAsia="Times New Roman" w:hAnsi="Tahoma" w:cs="Tahoma"/>
          <w:color w:val="000000" w:themeColor="text1"/>
          <w:highlight w:val="yellow"/>
          <w:lang w:eastAsia="en-GB"/>
        </w:rPr>
        <w:t xml:space="preserve"> Also respondents were practising AMHPs rather than nurses who </w:t>
      </w:r>
      <w:r w:rsidR="008C31FF" w:rsidRPr="003B1851">
        <w:rPr>
          <w:rFonts w:ascii="Tahoma" w:eastAsia="Times New Roman" w:hAnsi="Tahoma" w:cs="Tahoma"/>
          <w:color w:val="000000" w:themeColor="text1"/>
          <w:highlight w:val="yellow"/>
          <w:lang w:eastAsia="en-GB"/>
        </w:rPr>
        <w:t>considered</w:t>
      </w:r>
      <w:r w:rsidR="00564AC4" w:rsidRPr="003B1851">
        <w:rPr>
          <w:rFonts w:ascii="Tahoma" w:eastAsia="Times New Roman" w:hAnsi="Tahoma" w:cs="Tahoma"/>
          <w:color w:val="000000" w:themeColor="text1"/>
          <w:highlight w:val="yellow"/>
          <w:lang w:eastAsia="en-GB"/>
        </w:rPr>
        <w:t xml:space="preserve"> the role but then rejected it as a career option.</w:t>
      </w:r>
    </w:p>
    <w:p w14:paraId="142AD612" w14:textId="77777777" w:rsidR="00845894" w:rsidRPr="003B1851" w:rsidRDefault="00845894" w:rsidP="00291BB8">
      <w:pPr>
        <w:pStyle w:val="NoSpacing"/>
        <w:jc w:val="both"/>
        <w:rPr>
          <w:rFonts w:ascii="Tahoma" w:eastAsia="Times New Roman" w:hAnsi="Tahoma" w:cs="Tahoma"/>
          <w:color w:val="000000" w:themeColor="text1"/>
          <w:highlight w:val="yellow"/>
          <w:lang w:eastAsia="en-GB"/>
        </w:rPr>
      </w:pPr>
    </w:p>
    <w:p w14:paraId="4A633327" w14:textId="77777777" w:rsidR="005D74C8" w:rsidRPr="003B1851" w:rsidRDefault="005D74C8" w:rsidP="00291BB8">
      <w:pPr>
        <w:pStyle w:val="NoSpacing"/>
        <w:jc w:val="both"/>
        <w:rPr>
          <w:rFonts w:ascii="Tahoma" w:eastAsia="Times New Roman" w:hAnsi="Tahoma" w:cs="Tahoma"/>
          <w:b/>
          <w:color w:val="000000" w:themeColor="text1"/>
          <w:highlight w:val="yellow"/>
          <w:lang w:eastAsia="en-GB"/>
        </w:rPr>
      </w:pPr>
      <w:r w:rsidRPr="003B1851">
        <w:rPr>
          <w:rFonts w:ascii="Tahoma" w:eastAsia="Times New Roman" w:hAnsi="Tahoma" w:cs="Tahoma"/>
          <w:b/>
          <w:color w:val="000000" w:themeColor="text1"/>
          <w:highlight w:val="yellow"/>
          <w:lang w:eastAsia="en-GB"/>
        </w:rPr>
        <w:t xml:space="preserve">Practical implications </w:t>
      </w:r>
    </w:p>
    <w:p w14:paraId="5AAE3080" w14:textId="75CB5777" w:rsidR="00845894" w:rsidRPr="003B1851" w:rsidRDefault="00845894" w:rsidP="00291BB8">
      <w:pPr>
        <w:pStyle w:val="NoSpacing"/>
        <w:jc w:val="both"/>
        <w:rPr>
          <w:rFonts w:ascii="Tahoma" w:hAnsi="Tahoma" w:cs="Tahoma"/>
          <w:color w:val="000000" w:themeColor="text1"/>
          <w:spacing w:val="5"/>
          <w:highlight w:val="yellow"/>
          <w:lang w:val="en"/>
        </w:rPr>
      </w:pPr>
      <w:r w:rsidRPr="003B1851">
        <w:rPr>
          <w:rFonts w:ascii="Tahoma" w:hAnsi="Tahoma" w:cs="Tahoma"/>
          <w:color w:val="000000" w:themeColor="text1"/>
          <w:spacing w:val="5"/>
          <w:highlight w:val="yellow"/>
          <w:lang w:val="en"/>
        </w:rPr>
        <w:t xml:space="preserve">This study has led to a </w:t>
      </w:r>
      <w:r w:rsidR="001661E5" w:rsidRPr="003B1851">
        <w:rPr>
          <w:rFonts w:ascii="Tahoma" w:hAnsi="Tahoma" w:cs="Tahoma"/>
          <w:color w:val="000000" w:themeColor="text1"/>
          <w:spacing w:val="5"/>
          <w:highlight w:val="yellow"/>
          <w:lang w:val="en"/>
        </w:rPr>
        <w:t xml:space="preserve">gain a </w:t>
      </w:r>
      <w:r w:rsidRPr="003B1851">
        <w:rPr>
          <w:rFonts w:ascii="Tahoma" w:hAnsi="Tahoma" w:cs="Tahoma"/>
          <w:color w:val="000000" w:themeColor="text1"/>
          <w:spacing w:val="5"/>
          <w:highlight w:val="yellow"/>
          <w:lang w:val="en"/>
        </w:rPr>
        <w:t>greater understanding of the experiences of nurse AMHPs</w:t>
      </w:r>
      <w:r w:rsidR="00923352" w:rsidRPr="003B1851">
        <w:rPr>
          <w:rFonts w:ascii="Tahoma" w:hAnsi="Tahoma" w:cs="Tahoma"/>
          <w:color w:val="000000" w:themeColor="text1"/>
          <w:spacing w:val="5"/>
          <w:highlight w:val="yellow"/>
          <w:lang w:val="en"/>
        </w:rPr>
        <w:t>.</w:t>
      </w:r>
    </w:p>
    <w:p w14:paraId="6787920A" w14:textId="77777777" w:rsidR="00845894" w:rsidRPr="003B1851" w:rsidRDefault="00845894" w:rsidP="00291BB8">
      <w:pPr>
        <w:pStyle w:val="NoSpacing"/>
        <w:jc w:val="both"/>
        <w:rPr>
          <w:rFonts w:ascii="Tahoma" w:eastAsia="Times New Roman" w:hAnsi="Tahoma" w:cs="Tahoma"/>
          <w:highlight w:val="yellow"/>
          <w:lang w:eastAsia="en-GB"/>
        </w:rPr>
      </w:pPr>
    </w:p>
    <w:p w14:paraId="56FA66EB" w14:textId="77777777" w:rsidR="005D74C8" w:rsidRPr="003B1851" w:rsidRDefault="005D74C8" w:rsidP="00291BB8">
      <w:pPr>
        <w:pStyle w:val="NoSpacing"/>
        <w:jc w:val="both"/>
        <w:rPr>
          <w:rFonts w:ascii="Tahoma" w:eastAsia="Times New Roman" w:hAnsi="Tahoma" w:cs="Tahoma"/>
          <w:b/>
          <w:color w:val="000000" w:themeColor="text1"/>
          <w:highlight w:val="yellow"/>
          <w:lang w:eastAsia="en-GB"/>
        </w:rPr>
      </w:pPr>
      <w:r w:rsidRPr="003B1851">
        <w:rPr>
          <w:rFonts w:ascii="Tahoma" w:eastAsia="Times New Roman" w:hAnsi="Tahoma" w:cs="Tahoma"/>
          <w:b/>
          <w:color w:val="000000" w:themeColor="text1"/>
          <w:highlight w:val="yellow"/>
          <w:lang w:eastAsia="en-GB"/>
        </w:rPr>
        <w:t xml:space="preserve">Social implications </w:t>
      </w:r>
    </w:p>
    <w:p w14:paraId="5F4B24AE" w14:textId="61E605AA" w:rsidR="005D74C8" w:rsidRPr="003B1851" w:rsidRDefault="005D74C8" w:rsidP="00291BB8">
      <w:pPr>
        <w:pStyle w:val="NoSpacing"/>
        <w:jc w:val="both"/>
        <w:rPr>
          <w:rFonts w:ascii="Tahoma" w:eastAsiaTheme="minorHAnsi" w:hAnsi="Tahoma" w:cs="Tahoma"/>
          <w:color w:val="000000" w:themeColor="text1"/>
          <w:spacing w:val="5"/>
          <w:highlight w:val="yellow"/>
          <w:lang w:val="en"/>
        </w:rPr>
      </w:pPr>
      <w:r w:rsidRPr="003B1851">
        <w:rPr>
          <w:rFonts w:ascii="Tahoma" w:hAnsi="Tahoma" w:cs="Tahoma"/>
          <w:color w:val="000000" w:themeColor="text1"/>
          <w:spacing w:val="5"/>
          <w:highlight w:val="yellow"/>
          <w:lang w:val="en"/>
        </w:rPr>
        <w:t xml:space="preserve">The results from this study will assist employing local authorities and NHS consider the barriers to mental health and learning </w:t>
      </w:r>
      <w:r w:rsidR="003B1851" w:rsidRPr="003B1851">
        <w:rPr>
          <w:rFonts w:ascii="Tahoma" w:hAnsi="Tahoma" w:cs="Tahoma"/>
          <w:color w:val="000000" w:themeColor="text1"/>
          <w:spacing w:val="5"/>
          <w:highlight w:val="yellow"/>
          <w:lang w:val="en"/>
        </w:rPr>
        <w:t>disability</w:t>
      </w:r>
      <w:r w:rsidRPr="003B1851">
        <w:rPr>
          <w:rFonts w:ascii="Tahoma" w:hAnsi="Tahoma" w:cs="Tahoma"/>
          <w:color w:val="000000" w:themeColor="text1"/>
          <w:spacing w:val="5"/>
          <w:highlight w:val="yellow"/>
          <w:lang w:val="en"/>
        </w:rPr>
        <w:t xml:space="preserve"> nurses be</w:t>
      </w:r>
      <w:r w:rsidR="00603B1C" w:rsidRPr="003B1851">
        <w:rPr>
          <w:rFonts w:ascii="Tahoma" w:hAnsi="Tahoma" w:cs="Tahoma"/>
          <w:color w:val="000000" w:themeColor="text1"/>
          <w:spacing w:val="5"/>
          <w:highlight w:val="yellow"/>
          <w:lang w:val="en"/>
        </w:rPr>
        <w:t>coming</w:t>
      </w:r>
      <w:r w:rsidRPr="003B1851">
        <w:rPr>
          <w:rFonts w:ascii="Tahoma" w:hAnsi="Tahoma" w:cs="Tahoma"/>
          <w:color w:val="000000" w:themeColor="text1"/>
          <w:spacing w:val="5"/>
          <w:highlight w:val="yellow"/>
          <w:lang w:val="en"/>
        </w:rPr>
        <w:t xml:space="preserve"> AMHPs. </w:t>
      </w:r>
    </w:p>
    <w:p w14:paraId="60CB02D9" w14:textId="77777777" w:rsidR="00845894" w:rsidRPr="003B1851" w:rsidRDefault="00845894" w:rsidP="00291BB8">
      <w:pPr>
        <w:pStyle w:val="NoSpacing"/>
        <w:jc w:val="both"/>
        <w:rPr>
          <w:rFonts w:ascii="Tahoma" w:eastAsia="Times New Roman" w:hAnsi="Tahoma" w:cs="Tahoma"/>
          <w:b/>
          <w:color w:val="000000" w:themeColor="text1"/>
          <w:highlight w:val="yellow"/>
          <w:lang w:eastAsia="en-GB"/>
        </w:rPr>
      </w:pPr>
    </w:p>
    <w:p w14:paraId="67391E4A" w14:textId="77777777" w:rsidR="005D74C8" w:rsidRPr="003B1851" w:rsidRDefault="005D74C8" w:rsidP="00291BB8">
      <w:pPr>
        <w:pStyle w:val="NoSpacing"/>
        <w:jc w:val="both"/>
        <w:rPr>
          <w:rFonts w:ascii="Tahoma" w:eastAsia="Times New Roman" w:hAnsi="Tahoma" w:cs="Tahoma"/>
          <w:b/>
          <w:color w:val="000000" w:themeColor="text1"/>
          <w:highlight w:val="yellow"/>
          <w:lang w:eastAsia="en-GB"/>
        </w:rPr>
      </w:pPr>
      <w:r w:rsidRPr="003B1851">
        <w:rPr>
          <w:rFonts w:ascii="Tahoma" w:eastAsia="Times New Roman" w:hAnsi="Tahoma" w:cs="Tahoma"/>
          <w:b/>
          <w:color w:val="000000" w:themeColor="text1"/>
          <w:highlight w:val="yellow"/>
          <w:lang w:eastAsia="en-GB"/>
        </w:rPr>
        <w:t xml:space="preserve">Originality/value </w:t>
      </w:r>
    </w:p>
    <w:p w14:paraId="154BE676" w14:textId="7B822BC5" w:rsidR="00845894" w:rsidRPr="003B1851" w:rsidRDefault="00845894" w:rsidP="00291BB8">
      <w:pPr>
        <w:pStyle w:val="NoSpacing"/>
        <w:jc w:val="both"/>
        <w:rPr>
          <w:rFonts w:ascii="Tahoma" w:eastAsia="Times New Roman" w:hAnsi="Tahoma" w:cs="Tahoma"/>
          <w:color w:val="000000" w:themeColor="text1"/>
          <w:highlight w:val="yellow"/>
          <w:lang w:eastAsia="en-GB"/>
        </w:rPr>
      </w:pPr>
      <w:r w:rsidRPr="003B1851">
        <w:rPr>
          <w:rFonts w:ascii="Tahoma" w:eastAsia="Times New Roman" w:hAnsi="Tahoma" w:cs="Tahoma"/>
          <w:color w:val="000000" w:themeColor="text1"/>
          <w:highlight w:val="yellow"/>
          <w:lang w:eastAsia="en-GB"/>
        </w:rPr>
        <w:t xml:space="preserve">The value of this study is in the insight that provides of the experiences of nurse AMHP from applying to training </w:t>
      </w:r>
      <w:r w:rsidR="00603B1C" w:rsidRPr="003B1851">
        <w:rPr>
          <w:rFonts w:ascii="Tahoma" w:eastAsia="Times New Roman" w:hAnsi="Tahoma" w:cs="Tahoma"/>
          <w:color w:val="000000" w:themeColor="text1"/>
          <w:highlight w:val="yellow"/>
          <w:lang w:eastAsia="en-GB"/>
        </w:rPr>
        <w:t xml:space="preserve">through </w:t>
      </w:r>
      <w:r w:rsidRPr="003B1851">
        <w:rPr>
          <w:rFonts w:ascii="Tahoma" w:eastAsia="Times New Roman" w:hAnsi="Tahoma" w:cs="Tahoma"/>
          <w:color w:val="000000" w:themeColor="text1"/>
          <w:highlight w:val="yellow"/>
          <w:lang w:eastAsia="en-GB"/>
        </w:rPr>
        <w:t xml:space="preserve">to </w:t>
      </w:r>
      <w:r w:rsidR="00603B1C" w:rsidRPr="003B1851">
        <w:rPr>
          <w:rFonts w:ascii="Tahoma" w:eastAsia="Times New Roman" w:hAnsi="Tahoma" w:cs="Tahoma"/>
          <w:color w:val="000000" w:themeColor="text1"/>
          <w:highlight w:val="yellow"/>
          <w:lang w:eastAsia="en-GB"/>
        </w:rPr>
        <w:t xml:space="preserve">being a </w:t>
      </w:r>
      <w:r w:rsidR="00525AB7" w:rsidRPr="003B1851">
        <w:rPr>
          <w:rFonts w:ascii="Tahoma" w:eastAsia="Times New Roman" w:hAnsi="Tahoma" w:cs="Tahoma"/>
          <w:color w:val="000000" w:themeColor="text1"/>
          <w:highlight w:val="yellow"/>
          <w:lang w:eastAsia="en-GB"/>
        </w:rPr>
        <w:t>practis</w:t>
      </w:r>
      <w:r w:rsidRPr="003B1851">
        <w:rPr>
          <w:rFonts w:ascii="Tahoma" w:eastAsia="Times New Roman" w:hAnsi="Tahoma" w:cs="Tahoma"/>
          <w:color w:val="000000" w:themeColor="text1"/>
          <w:highlight w:val="yellow"/>
          <w:lang w:eastAsia="en-GB"/>
        </w:rPr>
        <w:t>ing</w:t>
      </w:r>
      <w:r w:rsidR="00603B1C" w:rsidRPr="003B1851">
        <w:rPr>
          <w:rFonts w:ascii="Tahoma" w:eastAsia="Times New Roman" w:hAnsi="Tahoma" w:cs="Tahoma"/>
          <w:color w:val="000000" w:themeColor="text1"/>
          <w:highlight w:val="yellow"/>
          <w:lang w:eastAsia="en-GB"/>
        </w:rPr>
        <w:t xml:space="preserve"> </w:t>
      </w:r>
      <w:r w:rsidR="008C31FF" w:rsidRPr="003B1851">
        <w:rPr>
          <w:rFonts w:ascii="Tahoma" w:eastAsia="Times New Roman" w:hAnsi="Tahoma" w:cs="Tahoma"/>
          <w:color w:val="000000" w:themeColor="text1"/>
          <w:highlight w:val="yellow"/>
          <w:lang w:eastAsia="en-GB"/>
        </w:rPr>
        <w:t>AMHP.</w:t>
      </w:r>
    </w:p>
    <w:p w14:paraId="1BD4EDB9" w14:textId="015C9C92" w:rsidR="00B92CDE" w:rsidRPr="003B1851" w:rsidRDefault="00682990" w:rsidP="00291BB8">
      <w:pPr>
        <w:spacing w:before="100" w:beforeAutospacing="1" w:after="100" w:afterAutospacing="1" w:line="480" w:lineRule="auto"/>
        <w:rPr>
          <w:rFonts w:ascii="Tahoma" w:eastAsia="Times New Roman" w:hAnsi="Tahoma" w:cs="Tahoma"/>
          <w:b/>
          <w:highlight w:val="yellow"/>
          <w:lang w:eastAsia="en-GB"/>
        </w:rPr>
      </w:pPr>
      <w:r w:rsidRPr="003B1851">
        <w:rPr>
          <w:rFonts w:ascii="Tahoma" w:eastAsia="Times New Roman" w:hAnsi="Tahoma" w:cs="Tahoma"/>
          <w:b/>
          <w:highlight w:val="yellow"/>
          <w:lang w:eastAsia="en-GB"/>
        </w:rPr>
        <w:t xml:space="preserve">Key words: Decision, </w:t>
      </w:r>
      <w:r w:rsidRPr="003B1851">
        <w:rPr>
          <w:rFonts w:ascii="Tahoma" w:eastAsia="Times New Roman" w:hAnsi="Tahoma" w:cs="Tahoma"/>
          <w:highlight w:val="yellow"/>
          <w:lang w:eastAsia="en-GB"/>
        </w:rPr>
        <w:t>AMHP, ASW, Admission, Risk, MHA, Detained</w:t>
      </w:r>
      <w:r w:rsidR="00DB0999" w:rsidRPr="003B1851">
        <w:rPr>
          <w:rFonts w:ascii="Tahoma" w:eastAsia="Times New Roman" w:hAnsi="Tahoma" w:cs="Tahoma"/>
          <w:highlight w:val="yellow"/>
          <w:lang w:eastAsia="en-GB"/>
        </w:rPr>
        <w:t>, Nurse</w:t>
      </w:r>
      <w:r w:rsidRPr="003B1851">
        <w:rPr>
          <w:rFonts w:ascii="Tahoma" w:eastAsia="Times New Roman" w:hAnsi="Tahoma" w:cs="Tahoma"/>
          <w:highlight w:val="yellow"/>
          <w:lang w:eastAsia="en-GB"/>
        </w:rPr>
        <w:t>.</w:t>
      </w:r>
    </w:p>
    <w:p w14:paraId="52B0962B" w14:textId="77777777" w:rsidR="003C6F79" w:rsidRPr="003B1851" w:rsidRDefault="003C6F79" w:rsidP="00291BB8">
      <w:pPr>
        <w:spacing w:before="100" w:beforeAutospacing="1" w:after="100" w:afterAutospacing="1" w:line="480" w:lineRule="auto"/>
        <w:rPr>
          <w:rFonts w:ascii="Tahoma" w:eastAsia="Times New Roman" w:hAnsi="Tahoma" w:cs="Tahoma"/>
          <w:b/>
          <w:highlight w:val="yellow"/>
          <w:lang w:eastAsia="en-GB"/>
        </w:rPr>
      </w:pPr>
    </w:p>
    <w:p w14:paraId="5B7DBFCB" w14:textId="58EF30EE" w:rsidR="00F500C4" w:rsidRPr="003B1851" w:rsidRDefault="00F500C4" w:rsidP="00291BB8">
      <w:pPr>
        <w:spacing w:before="100" w:beforeAutospacing="1" w:after="100" w:afterAutospacing="1" w:line="480" w:lineRule="auto"/>
        <w:rPr>
          <w:rFonts w:ascii="Tahoma" w:hAnsi="Tahoma" w:cs="Tahoma"/>
          <w:b/>
          <w:highlight w:val="yellow"/>
        </w:rPr>
      </w:pPr>
    </w:p>
    <w:p w14:paraId="6B34F486" w14:textId="383838A7" w:rsidR="00DB0999" w:rsidRPr="003B1851" w:rsidRDefault="00DB0999" w:rsidP="00291BB8">
      <w:pPr>
        <w:spacing w:before="100" w:beforeAutospacing="1" w:after="100" w:afterAutospacing="1" w:line="480" w:lineRule="auto"/>
        <w:rPr>
          <w:rFonts w:ascii="Tahoma" w:hAnsi="Tahoma" w:cs="Tahoma"/>
          <w:b/>
          <w:highlight w:val="yellow"/>
        </w:rPr>
      </w:pPr>
    </w:p>
    <w:p w14:paraId="5FE21E0E" w14:textId="77777777" w:rsidR="008C2A74" w:rsidRPr="003B1851" w:rsidRDefault="008C2A74" w:rsidP="00291BB8">
      <w:pPr>
        <w:spacing w:before="100" w:beforeAutospacing="1" w:after="100" w:afterAutospacing="1" w:line="480" w:lineRule="auto"/>
        <w:rPr>
          <w:rFonts w:ascii="Tahoma" w:hAnsi="Tahoma" w:cs="Tahoma"/>
          <w:b/>
          <w:highlight w:val="yellow"/>
        </w:rPr>
      </w:pPr>
    </w:p>
    <w:p w14:paraId="0233B63A" w14:textId="026D5E65" w:rsidR="00E13CAB" w:rsidRPr="003B1851" w:rsidRDefault="00624853" w:rsidP="00291BB8">
      <w:pPr>
        <w:spacing w:before="100" w:beforeAutospacing="1" w:after="100" w:afterAutospacing="1" w:line="480" w:lineRule="auto"/>
        <w:rPr>
          <w:rFonts w:ascii="Tahoma" w:hAnsi="Tahoma" w:cs="Tahoma"/>
          <w:b/>
          <w:highlight w:val="yellow"/>
        </w:rPr>
      </w:pPr>
      <w:r w:rsidRPr="003B1851">
        <w:rPr>
          <w:rFonts w:ascii="Tahoma" w:hAnsi="Tahoma" w:cs="Tahoma"/>
          <w:b/>
          <w:highlight w:val="yellow"/>
        </w:rPr>
        <w:lastRenderedPageBreak/>
        <w:t>Introduction</w:t>
      </w:r>
      <w:r w:rsidR="002E38C8" w:rsidRPr="003B1851">
        <w:rPr>
          <w:rFonts w:ascii="Tahoma" w:hAnsi="Tahoma" w:cs="Tahoma"/>
          <w:b/>
          <w:highlight w:val="yellow"/>
        </w:rPr>
        <w:t xml:space="preserve"> </w:t>
      </w:r>
    </w:p>
    <w:p w14:paraId="14E27CA1" w14:textId="46DD6F3B" w:rsidR="00026301" w:rsidRPr="003B1851" w:rsidRDefault="009F6940"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This article seeks to explore the experiences of </w:t>
      </w:r>
      <w:r w:rsidR="00DB0999" w:rsidRPr="003B1851">
        <w:rPr>
          <w:rFonts w:ascii="Tahoma" w:hAnsi="Tahoma" w:cs="Tahoma"/>
          <w:highlight w:val="yellow"/>
        </w:rPr>
        <w:t xml:space="preserve">mental health and learning </w:t>
      </w:r>
      <w:r w:rsidR="003B1851" w:rsidRPr="003B1851">
        <w:rPr>
          <w:rFonts w:ascii="Tahoma" w:hAnsi="Tahoma" w:cs="Tahoma"/>
          <w:highlight w:val="yellow"/>
        </w:rPr>
        <w:t>disability</w:t>
      </w:r>
      <w:r w:rsidR="00DB0999" w:rsidRPr="003B1851">
        <w:rPr>
          <w:rFonts w:ascii="Tahoma" w:hAnsi="Tahoma" w:cs="Tahoma"/>
          <w:highlight w:val="yellow"/>
        </w:rPr>
        <w:t xml:space="preserve"> nurses (thereafter ‘nurses’) </w:t>
      </w:r>
      <w:r w:rsidRPr="003B1851">
        <w:rPr>
          <w:rFonts w:ascii="Tahoma" w:hAnsi="Tahoma" w:cs="Tahoma"/>
          <w:highlight w:val="yellow"/>
        </w:rPr>
        <w:t>that have trained and practi</w:t>
      </w:r>
      <w:r w:rsidR="00525AB7" w:rsidRPr="003B1851">
        <w:rPr>
          <w:rFonts w:ascii="Tahoma" w:hAnsi="Tahoma" w:cs="Tahoma"/>
          <w:highlight w:val="yellow"/>
        </w:rPr>
        <w:t>s</w:t>
      </w:r>
      <w:r w:rsidRPr="003B1851">
        <w:rPr>
          <w:rFonts w:ascii="Tahoma" w:hAnsi="Tahoma" w:cs="Tahoma"/>
          <w:highlight w:val="yellow"/>
        </w:rPr>
        <w:t xml:space="preserve">ed as </w:t>
      </w:r>
      <w:r w:rsidR="00026301" w:rsidRPr="003B1851">
        <w:rPr>
          <w:rFonts w:ascii="Tahoma" w:hAnsi="Tahoma" w:cs="Tahoma"/>
          <w:highlight w:val="yellow"/>
        </w:rPr>
        <w:t>Approved Mental Health Professionals (AMHP</w:t>
      </w:r>
      <w:r w:rsidR="00564AC4" w:rsidRPr="003B1851">
        <w:rPr>
          <w:rFonts w:ascii="Tahoma" w:hAnsi="Tahoma" w:cs="Tahoma"/>
          <w:highlight w:val="yellow"/>
        </w:rPr>
        <w:t>s</w:t>
      </w:r>
      <w:r w:rsidR="00026301" w:rsidRPr="003B1851">
        <w:rPr>
          <w:rFonts w:ascii="Tahoma" w:hAnsi="Tahoma" w:cs="Tahoma"/>
          <w:highlight w:val="yellow"/>
        </w:rPr>
        <w:t>)</w:t>
      </w:r>
      <w:r w:rsidRPr="003B1851">
        <w:rPr>
          <w:rFonts w:ascii="Tahoma" w:hAnsi="Tahoma" w:cs="Tahoma"/>
          <w:highlight w:val="yellow"/>
        </w:rPr>
        <w:t xml:space="preserve">. </w:t>
      </w:r>
      <w:r w:rsidR="002C17C6" w:rsidRPr="003B1851">
        <w:rPr>
          <w:rFonts w:ascii="Tahoma" w:hAnsi="Tahoma" w:cs="Tahoma"/>
          <w:highlight w:val="yellow"/>
        </w:rPr>
        <w:t>S</w:t>
      </w:r>
      <w:r w:rsidR="003C6F79" w:rsidRPr="003B1851">
        <w:rPr>
          <w:rFonts w:ascii="Tahoma" w:hAnsi="Tahoma" w:cs="Tahoma"/>
          <w:highlight w:val="yellow"/>
        </w:rPr>
        <w:t>ince 2</w:t>
      </w:r>
      <w:r w:rsidR="00DB0999" w:rsidRPr="003B1851">
        <w:rPr>
          <w:rFonts w:ascii="Tahoma" w:hAnsi="Tahoma" w:cs="Tahoma"/>
          <w:highlight w:val="yellow"/>
        </w:rPr>
        <w:t>008</w:t>
      </w:r>
      <w:r w:rsidR="003C6F79" w:rsidRPr="003B1851">
        <w:rPr>
          <w:rFonts w:ascii="Tahoma" w:hAnsi="Tahoma" w:cs="Tahoma"/>
          <w:highlight w:val="yellow"/>
        </w:rPr>
        <w:t xml:space="preserve"> </w:t>
      </w:r>
      <w:r w:rsidR="002C17C6" w:rsidRPr="003B1851">
        <w:rPr>
          <w:rFonts w:ascii="Tahoma" w:hAnsi="Tahoma" w:cs="Tahoma"/>
          <w:highlight w:val="yellow"/>
        </w:rPr>
        <w:t>nurses</w:t>
      </w:r>
      <w:r w:rsidR="00DB0999" w:rsidRPr="003B1851">
        <w:rPr>
          <w:rFonts w:ascii="Tahoma" w:hAnsi="Tahoma" w:cs="Tahoma"/>
          <w:highlight w:val="yellow"/>
        </w:rPr>
        <w:t>,</w:t>
      </w:r>
      <w:r w:rsidR="003F7631" w:rsidRPr="003B1851">
        <w:rPr>
          <w:rFonts w:ascii="Tahoma" w:hAnsi="Tahoma" w:cs="Tahoma"/>
          <w:highlight w:val="yellow"/>
        </w:rPr>
        <w:t xml:space="preserve"> </w:t>
      </w:r>
      <w:r w:rsidR="00026301" w:rsidRPr="003B1851">
        <w:rPr>
          <w:rFonts w:ascii="Tahoma" w:hAnsi="Tahoma" w:cs="Tahoma"/>
          <w:highlight w:val="yellow"/>
        </w:rPr>
        <w:t xml:space="preserve">social workers, </w:t>
      </w:r>
      <w:r w:rsidR="002C17C6" w:rsidRPr="003B1851">
        <w:rPr>
          <w:rFonts w:ascii="Tahoma" w:hAnsi="Tahoma" w:cs="Tahoma"/>
          <w:highlight w:val="yellow"/>
        </w:rPr>
        <w:t xml:space="preserve">occupational therapists and psychologists have been able to train through a regulated programme of study </w:t>
      </w:r>
      <w:r w:rsidR="002E725B" w:rsidRPr="003B1851">
        <w:rPr>
          <w:rFonts w:ascii="Tahoma" w:hAnsi="Tahoma" w:cs="Tahoma"/>
          <w:highlight w:val="yellow"/>
        </w:rPr>
        <w:t>to become</w:t>
      </w:r>
      <w:r w:rsidR="002C17C6" w:rsidRPr="003B1851">
        <w:rPr>
          <w:rFonts w:ascii="Tahoma" w:hAnsi="Tahoma" w:cs="Tahoma"/>
          <w:highlight w:val="yellow"/>
        </w:rPr>
        <w:t xml:space="preserve"> </w:t>
      </w:r>
      <w:r w:rsidR="00026301" w:rsidRPr="003B1851">
        <w:rPr>
          <w:rFonts w:ascii="Tahoma" w:hAnsi="Tahoma" w:cs="Tahoma"/>
          <w:highlight w:val="yellow"/>
        </w:rPr>
        <w:t>an AMHP</w:t>
      </w:r>
      <w:r w:rsidR="002C17C6" w:rsidRPr="003B1851">
        <w:rPr>
          <w:rFonts w:ascii="Tahoma" w:hAnsi="Tahoma" w:cs="Tahoma"/>
          <w:highlight w:val="yellow"/>
        </w:rPr>
        <w:t xml:space="preserve"> once approved by a local authority</w:t>
      </w:r>
      <w:r w:rsidR="003C6F79" w:rsidRPr="003B1851">
        <w:rPr>
          <w:rFonts w:ascii="Tahoma" w:hAnsi="Tahoma" w:cs="Tahoma"/>
          <w:highlight w:val="yellow"/>
        </w:rPr>
        <w:t xml:space="preserve">. </w:t>
      </w:r>
      <w:r w:rsidR="002C17C6" w:rsidRPr="003B1851">
        <w:rPr>
          <w:rFonts w:ascii="Tahoma" w:hAnsi="Tahoma" w:cs="Tahoma"/>
          <w:highlight w:val="yellow"/>
          <w:shd w:val="clear" w:color="auto" w:fill="FFFF00"/>
        </w:rPr>
        <w:t xml:space="preserve">This </w:t>
      </w:r>
      <w:r w:rsidR="000B594A" w:rsidRPr="003B1851">
        <w:rPr>
          <w:rFonts w:ascii="Tahoma" w:hAnsi="Tahoma" w:cs="Tahoma"/>
          <w:highlight w:val="yellow"/>
          <w:shd w:val="clear" w:color="auto" w:fill="FFFF00"/>
        </w:rPr>
        <w:t xml:space="preserve">opportunity </w:t>
      </w:r>
      <w:r w:rsidR="002C17C6" w:rsidRPr="003B1851">
        <w:rPr>
          <w:rFonts w:ascii="Tahoma" w:hAnsi="Tahoma" w:cs="Tahoma"/>
          <w:highlight w:val="yellow"/>
          <w:shd w:val="clear" w:color="auto" w:fill="FFFF00"/>
        </w:rPr>
        <w:t>was</w:t>
      </w:r>
      <w:r w:rsidR="003C6F79" w:rsidRPr="003B1851">
        <w:rPr>
          <w:rFonts w:ascii="Tahoma" w:hAnsi="Tahoma" w:cs="Tahoma"/>
          <w:highlight w:val="yellow"/>
          <w:shd w:val="clear" w:color="auto" w:fill="FFFF00"/>
        </w:rPr>
        <w:t xml:space="preserve"> realised through </w:t>
      </w:r>
      <w:r w:rsidR="002C17C6" w:rsidRPr="003B1851">
        <w:rPr>
          <w:rFonts w:ascii="Tahoma" w:hAnsi="Tahoma" w:cs="Tahoma"/>
          <w:highlight w:val="yellow"/>
          <w:shd w:val="clear" w:color="auto" w:fill="FFFF00"/>
        </w:rPr>
        <w:t xml:space="preserve">the implementation of </w:t>
      </w:r>
      <w:r w:rsidR="003C6F79" w:rsidRPr="003B1851">
        <w:rPr>
          <w:rFonts w:ascii="Tahoma" w:hAnsi="Tahoma" w:cs="Tahoma"/>
          <w:highlight w:val="yellow"/>
          <w:shd w:val="clear" w:color="auto" w:fill="FFFF00"/>
        </w:rPr>
        <w:t>the Mental Health Act (MHA) 2007, which amended the e</w:t>
      </w:r>
      <w:r w:rsidR="002C17C6" w:rsidRPr="003B1851">
        <w:rPr>
          <w:rFonts w:ascii="Tahoma" w:hAnsi="Tahoma" w:cs="Tahoma"/>
          <w:highlight w:val="yellow"/>
          <w:shd w:val="clear" w:color="auto" w:fill="FFFF00"/>
        </w:rPr>
        <w:t xml:space="preserve">arlier </w:t>
      </w:r>
      <w:r w:rsidR="002E725B" w:rsidRPr="003B1851">
        <w:rPr>
          <w:rFonts w:ascii="Tahoma" w:hAnsi="Tahoma" w:cs="Tahoma"/>
          <w:highlight w:val="yellow"/>
          <w:shd w:val="clear" w:color="auto" w:fill="FFFF00"/>
        </w:rPr>
        <w:t xml:space="preserve">1983 </w:t>
      </w:r>
      <w:r w:rsidR="003C6F79" w:rsidRPr="003B1851">
        <w:rPr>
          <w:rFonts w:ascii="Tahoma" w:hAnsi="Tahoma" w:cs="Tahoma"/>
          <w:highlight w:val="yellow"/>
          <w:shd w:val="clear" w:color="auto" w:fill="FFFF00"/>
        </w:rPr>
        <w:t>MHA repealing the</w:t>
      </w:r>
      <w:r w:rsidR="002C17C6" w:rsidRPr="003B1851">
        <w:rPr>
          <w:rFonts w:ascii="Tahoma" w:hAnsi="Tahoma" w:cs="Tahoma"/>
          <w:highlight w:val="yellow"/>
          <w:shd w:val="clear" w:color="auto" w:fill="FFFF00"/>
        </w:rPr>
        <w:t xml:space="preserve"> previous role of the</w:t>
      </w:r>
      <w:r w:rsidR="003C6F79" w:rsidRPr="003B1851">
        <w:rPr>
          <w:rFonts w:ascii="Tahoma" w:hAnsi="Tahoma" w:cs="Tahoma"/>
          <w:highlight w:val="yellow"/>
          <w:shd w:val="clear" w:color="auto" w:fill="FFFF00"/>
        </w:rPr>
        <w:t xml:space="preserve"> Approved Social Worker</w:t>
      </w:r>
      <w:r w:rsidR="002E725B" w:rsidRPr="003B1851">
        <w:rPr>
          <w:rFonts w:ascii="Tahoma" w:hAnsi="Tahoma" w:cs="Tahoma"/>
          <w:highlight w:val="yellow"/>
          <w:shd w:val="clear" w:color="auto" w:fill="FFFF00"/>
        </w:rPr>
        <w:t xml:space="preserve"> (ASW)</w:t>
      </w:r>
      <w:r w:rsidR="000B594A" w:rsidRPr="003B1851">
        <w:rPr>
          <w:rFonts w:ascii="Tahoma" w:hAnsi="Tahoma" w:cs="Tahoma"/>
          <w:highlight w:val="yellow"/>
          <w:shd w:val="clear" w:color="auto" w:fill="FFFF00"/>
        </w:rPr>
        <w:t xml:space="preserve"> and extending approved work to other </w:t>
      </w:r>
      <w:r w:rsidR="008C2A74" w:rsidRPr="003B1851">
        <w:rPr>
          <w:rFonts w:ascii="Tahoma" w:hAnsi="Tahoma" w:cs="Tahoma"/>
          <w:highlight w:val="yellow"/>
          <w:shd w:val="clear" w:color="auto" w:fill="FFFF00"/>
        </w:rPr>
        <w:t xml:space="preserve">eligible </w:t>
      </w:r>
      <w:r w:rsidR="000B594A" w:rsidRPr="003B1851">
        <w:rPr>
          <w:rFonts w:ascii="Tahoma" w:hAnsi="Tahoma" w:cs="Tahoma"/>
          <w:highlight w:val="yellow"/>
          <w:shd w:val="clear" w:color="auto" w:fill="FFFF00"/>
        </w:rPr>
        <w:t>professionals</w:t>
      </w:r>
      <w:r w:rsidR="008F2C6A" w:rsidRPr="003B1851">
        <w:rPr>
          <w:rFonts w:ascii="Tahoma" w:hAnsi="Tahoma" w:cs="Tahoma"/>
          <w:highlight w:val="yellow"/>
        </w:rPr>
        <w:t xml:space="preserve">. </w:t>
      </w:r>
      <w:r w:rsidR="00771568" w:rsidRPr="003B1851">
        <w:rPr>
          <w:rFonts w:ascii="Tahoma" w:hAnsi="Tahoma" w:cs="Tahoma"/>
          <w:highlight w:val="yellow"/>
        </w:rPr>
        <w:t xml:space="preserve">Most ASWs transitioned overnight to the new AMHP role with the benefit of some brief conversion training. However, this does not explain why we have not seen nurses </w:t>
      </w:r>
      <w:r w:rsidR="005852D8" w:rsidRPr="003B1851">
        <w:rPr>
          <w:rFonts w:ascii="Tahoma" w:hAnsi="Tahoma" w:cs="Tahoma"/>
          <w:highlight w:val="yellow"/>
        </w:rPr>
        <w:t>becoming more visible in the AMHP role and in greater numbers</w:t>
      </w:r>
      <w:r w:rsidR="007101E9" w:rsidRPr="003B1851">
        <w:rPr>
          <w:rFonts w:ascii="Tahoma" w:hAnsi="Tahoma" w:cs="Tahoma"/>
          <w:highlight w:val="yellow"/>
        </w:rPr>
        <w:t xml:space="preserve"> (ADASS 2018)</w:t>
      </w:r>
      <w:r w:rsidR="005852D8" w:rsidRPr="003B1851">
        <w:rPr>
          <w:rFonts w:ascii="Tahoma" w:hAnsi="Tahoma" w:cs="Tahoma"/>
          <w:highlight w:val="yellow"/>
        </w:rPr>
        <w:t xml:space="preserve">.  </w:t>
      </w:r>
      <w:r w:rsidR="00026301" w:rsidRPr="003B1851">
        <w:rPr>
          <w:rFonts w:ascii="Tahoma" w:hAnsi="Tahoma" w:cs="Tahoma"/>
          <w:highlight w:val="yellow"/>
        </w:rPr>
        <w:t xml:space="preserve">This paper seeks to explore why more nurse AMHPs are not </w:t>
      </w:r>
      <w:r w:rsidR="00771568" w:rsidRPr="003B1851">
        <w:rPr>
          <w:rFonts w:ascii="Tahoma" w:hAnsi="Tahoma" w:cs="Tahoma"/>
          <w:highlight w:val="yellow"/>
        </w:rPr>
        <w:t>more proportionally represented in the</w:t>
      </w:r>
      <w:r w:rsidR="00026301" w:rsidRPr="003B1851">
        <w:rPr>
          <w:rFonts w:ascii="Tahoma" w:hAnsi="Tahoma" w:cs="Tahoma"/>
          <w:highlight w:val="yellow"/>
        </w:rPr>
        <w:t xml:space="preserve"> workforce</w:t>
      </w:r>
      <w:r w:rsidR="009B65A5" w:rsidRPr="003B1851">
        <w:rPr>
          <w:rFonts w:ascii="Tahoma" w:hAnsi="Tahoma" w:cs="Tahoma"/>
          <w:highlight w:val="yellow"/>
        </w:rPr>
        <w:t xml:space="preserve"> </w:t>
      </w:r>
      <w:r w:rsidR="00026301" w:rsidRPr="003B1851">
        <w:rPr>
          <w:rFonts w:ascii="Tahoma" w:hAnsi="Tahoma" w:cs="Tahoma"/>
          <w:highlight w:val="yellow"/>
        </w:rPr>
        <w:t>given that 10 years have now passed since statutes made it possible</w:t>
      </w:r>
      <w:r w:rsidR="005852D8" w:rsidRPr="003B1851">
        <w:rPr>
          <w:rFonts w:ascii="Tahoma" w:hAnsi="Tahoma" w:cs="Tahoma"/>
          <w:highlight w:val="yellow"/>
        </w:rPr>
        <w:t xml:space="preserve"> for nurses to train and practice as AMHPs.</w:t>
      </w:r>
      <w:r w:rsidR="00771568" w:rsidRPr="003B1851">
        <w:rPr>
          <w:rFonts w:ascii="Tahoma" w:hAnsi="Tahoma" w:cs="Tahoma"/>
          <w:highlight w:val="yellow"/>
        </w:rPr>
        <w:t xml:space="preserve"> </w:t>
      </w:r>
    </w:p>
    <w:p w14:paraId="4FD3F0C0" w14:textId="77777777" w:rsidR="00502884" w:rsidRPr="003B1851" w:rsidRDefault="00502884" w:rsidP="00291BB8">
      <w:pPr>
        <w:spacing w:before="100" w:beforeAutospacing="1" w:after="100" w:afterAutospacing="1" w:line="480" w:lineRule="auto"/>
        <w:jc w:val="both"/>
        <w:rPr>
          <w:rFonts w:ascii="Tahoma" w:hAnsi="Tahoma" w:cs="Tahoma"/>
          <w:b/>
          <w:highlight w:val="yellow"/>
        </w:rPr>
      </w:pPr>
      <w:r w:rsidRPr="003B1851">
        <w:rPr>
          <w:rFonts w:ascii="Tahoma" w:hAnsi="Tahoma" w:cs="Tahoma"/>
          <w:b/>
          <w:highlight w:val="yellow"/>
        </w:rPr>
        <w:t>Nursing and the Emergence of the AMHP Role</w:t>
      </w:r>
    </w:p>
    <w:p w14:paraId="10C7D271" w14:textId="1255EBC3" w:rsidR="00703BBB" w:rsidRPr="003B1851" w:rsidRDefault="00A56A2A"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The inclusion of other eligible professionals who can be AMHPs has not resolved </w:t>
      </w:r>
      <w:r w:rsidR="00564AC4" w:rsidRPr="003B1851">
        <w:rPr>
          <w:rFonts w:ascii="Tahoma" w:hAnsi="Tahoma" w:cs="Tahoma"/>
          <w:highlight w:val="yellow"/>
        </w:rPr>
        <w:t xml:space="preserve">concerns about the </w:t>
      </w:r>
      <w:r w:rsidRPr="003B1851">
        <w:rPr>
          <w:rFonts w:ascii="Tahoma" w:hAnsi="Tahoma" w:cs="Tahoma"/>
          <w:highlight w:val="yellow"/>
        </w:rPr>
        <w:t>shortage of ASW</w:t>
      </w:r>
      <w:r w:rsidR="00564AC4" w:rsidRPr="003B1851">
        <w:rPr>
          <w:rFonts w:ascii="Tahoma" w:hAnsi="Tahoma" w:cs="Tahoma"/>
          <w:highlight w:val="yellow"/>
        </w:rPr>
        <w:t xml:space="preserve">s prior to the 2007 Act </w:t>
      </w:r>
      <w:r w:rsidRPr="003B1851">
        <w:rPr>
          <w:rFonts w:ascii="Tahoma" w:hAnsi="Tahoma" w:cs="Tahoma"/>
          <w:highlight w:val="yellow"/>
        </w:rPr>
        <w:t>(ADASS 2006; Campbell 2010)</w:t>
      </w:r>
      <w:r w:rsidR="00AF3E28" w:rsidRPr="003B1851">
        <w:rPr>
          <w:rFonts w:ascii="Tahoma" w:hAnsi="Tahoma" w:cs="Tahoma"/>
          <w:highlight w:val="yellow"/>
        </w:rPr>
        <w:t xml:space="preserve"> as </w:t>
      </w:r>
      <w:r w:rsidR="001343B4" w:rsidRPr="003B1851">
        <w:rPr>
          <w:rFonts w:ascii="Tahoma" w:hAnsi="Tahoma" w:cs="Tahoma"/>
          <w:highlight w:val="yellow"/>
        </w:rPr>
        <w:t xml:space="preserve">the </w:t>
      </w:r>
      <w:r w:rsidR="00AF3E28" w:rsidRPr="003B1851">
        <w:rPr>
          <w:rFonts w:ascii="Tahoma" w:hAnsi="Tahoma" w:cs="Tahoma"/>
          <w:highlight w:val="yellow"/>
        </w:rPr>
        <w:t>numbers of nurses coming forward to train ha</w:t>
      </w:r>
      <w:r w:rsidR="002F0EF2" w:rsidRPr="003B1851">
        <w:rPr>
          <w:rFonts w:ascii="Tahoma" w:hAnsi="Tahoma" w:cs="Tahoma"/>
          <w:highlight w:val="yellow"/>
        </w:rPr>
        <w:t>s</w:t>
      </w:r>
      <w:r w:rsidR="00AF3E28" w:rsidRPr="003B1851">
        <w:rPr>
          <w:rFonts w:ascii="Tahoma" w:hAnsi="Tahoma" w:cs="Tahoma"/>
          <w:highlight w:val="yellow"/>
        </w:rPr>
        <w:t xml:space="preserve"> not been significant</w:t>
      </w:r>
      <w:r w:rsidR="001661E5" w:rsidRPr="003B1851">
        <w:rPr>
          <w:rFonts w:ascii="Tahoma" w:hAnsi="Tahoma" w:cs="Tahoma"/>
          <w:highlight w:val="yellow"/>
        </w:rPr>
        <w:t xml:space="preserve"> (ADASS 2018)</w:t>
      </w:r>
      <w:r w:rsidR="00AF3E28" w:rsidRPr="003B1851">
        <w:rPr>
          <w:rFonts w:ascii="Tahoma" w:hAnsi="Tahoma" w:cs="Tahoma"/>
          <w:highlight w:val="yellow"/>
        </w:rPr>
        <w:t xml:space="preserve">. </w:t>
      </w:r>
      <w:r w:rsidR="00564AC4" w:rsidRPr="003B1851">
        <w:rPr>
          <w:rFonts w:ascii="Tahoma" w:hAnsi="Tahoma" w:cs="Tahoma"/>
          <w:highlight w:val="yellow"/>
        </w:rPr>
        <w:t>S</w:t>
      </w:r>
      <w:r w:rsidR="001343B4" w:rsidRPr="003B1851">
        <w:rPr>
          <w:rFonts w:ascii="Tahoma" w:hAnsi="Tahoma" w:cs="Tahoma"/>
          <w:highlight w:val="yellow"/>
        </w:rPr>
        <w:t xml:space="preserve">ocial </w:t>
      </w:r>
      <w:r w:rsidR="002F0EF2" w:rsidRPr="003B1851">
        <w:rPr>
          <w:rFonts w:ascii="Tahoma" w:hAnsi="Tahoma" w:cs="Tahoma"/>
          <w:highlight w:val="yellow"/>
        </w:rPr>
        <w:t>workers dominate</w:t>
      </w:r>
      <w:r w:rsidR="001343B4" w:rsidRPr="003B1851">
        <w:rPr>
          <w:rFonts w:ascii="Tahoma" w:hAnsi="Tahoma" w:cs="Tahoma"/>
          <w:highlight w:val="yellow"/>
        </w:rPr>
        <w:t xml:space="preserve"> </w:t>
      </w:r>
      <w:r w:rsidR="00564AC4" w:rsidRPr="003B1851">
        <w:rPr>
          <w:rFonts w:ascii="Tahoma" w:hAnsi="Tahoma" w:cs="Tahoma"/>
          <w:highlight w:val="yellow"/>
        </w:rPr>
        <w:t xml:space="preserve">the </w:t>
      </w:r>
      <w:r w:rsidR="000B594A" w:rsidRPr="003B1851">
        <w:rPr>
          <w:rFonts w:ascii="Tahoma" w:hAnsi="Tahoma" w:cs="Tahoma"/>
          <w:highlight w:val="yellow"/>
        </w:rPr>
        <w:t xml:space="preserve">AMHP workforce, despite the </w:t>
      </w:r>
      <w:r w:rsidR="000B594A" w:rsidRPr="003B1851">
        <w:rPr>
          <w:rFonts w:ascii="Tahoma" w:hAnsi="Tahoma" w:cs="Tahoma"/>
          <w:highlight w:val="yellow"/>
          <w:shd w:val="clear" w:color="auto" w:fill="FFFF00"/>
        </w:rPr>
        <w:t>profession’s</w:t>
      </w:r>
      <w:r w:rsidR="00782958" w:rsidRPr="003B1851">
        <w:rPr>
          <w:rFonts w:ascii="Tahoma" w:hAnsi="Tahoma" w:cs="Tahoma"/>
          <w:highlight w:val="yellow"/>
          <w:shd w:val="clear" w:color="auto" w:fill="FFFF00"/>
        </w:rPr>
        <w:t xml:space="preserve"> early</w:t>
      </w:r>
      <w:r w:rsidR="00E15643" w:rsidRPr="003B1851">
        <w:rPr>
          <w:rFonts w:ascii="Tahoma" w:hAnsi="Tahoma" w:cs="Tahoma"/>
          <w:highlight w:val="yellow"/>
          <w:shd w:val="clear" w:color="auto" w:fill="FFFF00"/>
        </w:rPr>
        <w:t xml:space="preserve"> fears</w:t>
      </w:r>
      <w:r w:rsidR="00E15643" w:rsidRPr="003B1851">
        <w:rPr>
          <w:rFonts w:ascii="Tahoma" w:hAnsi="Tahoma" w:cs="Tahoma"/>
          <w:highlight w:val="yellow"/>
        </w:rPr>
        <w:t xml:space="preserve"> </w:t>
      </w:r>
      <w:r w:rsidR="00564AC4" w:rsidRPr="003B1851">
        <w:rPr>
          <w:rFonts w:ascii="Tahoma" w:hAnsi="Tahoma" w:cs="Tahoma"/>
          <w:highlight w:val="yellow"/>
        </w:rPr>
        <w:t xml:space="preserve">that the opposite would happen as </w:t>
      </w:r>
      <w:r w:rsidR="002F0EF2" w:rsidRPr="003B1851">
        <w:rPr>
          <w:rFonts w:ascii="Tahoma" w:hAnsi="Tahoma" w:cs="Tahoma"/>
          <w:highlight w:val="yellow"/>
        </w:rPr>
        <w:t>a result</w:t>
      </w:r>
      <w:r w:rsidR="00564AC4" w:rsidRPr="003B1851">
        <w:rPr>
          <w:rFonts w:ascii="Tahoma" w:hAnsi="Tahoma" w:cs="Tahoma"/>
          <w:highlight w:val="yellow"/>
        </w:rPr>
        <w:t xml:space="preserve"> of a nursing influx into the new role</w:t>
      </w:r>
      <w:r w:rsidR="00525AB7" w:rsidRPr="003B1851">
        <w:rPr>
          <w:rFonts w:ascii="Tahoma" w:hAnsi="Tahoma" w:cs="Tahoma"/>
          <w:highlight w:val="yellow"/>
        </w:rPr>
        <w:t xml:space="preserve"> </w:t>
      </w:r>
      <w:r w:rsidR="00E15643" w:rsidRPr="003B1851">
        <w:rPr>
          <w:rFonts w:ascii="Tahoma" w:hAnsi="Tahoma" w:cs="Tahoma"/>
          <w:color w:val="000000" w:themeColor="text1"/>
          <w:highlight w:val="yellow"/>
        </w:rPr>
        <w:t>(</w:t>
      </w:r>
      <w:r w:rsidR="00DB7061" w:rsidRPr="003B1851">
        <w:rPr>
          <w:rFonts w:ascii="Tahoma" w:hAnsi="Tahoma" w:cs="Tahoma"/>
          <w:color w:val="000000" w:themeColor="text1"/>
          <w:highlight w:val="yellow"/>
        </w:rPr>
        <w:t>Campbell 2010, Bailey &amp; Liyanage 2012, Bailey 2012).</w:t>
      </w:r>
      <w:r w:rsidR="00782958" w:rsidRPr="003B1851">
        <w:rPr>
          <w:rFonts w:ascii="Tahoma" w:hAnsi="Tahoma" w:cs="Tahoma"/>
          <w:color w:val="000000" w:themeColor="text1"/>
          <w:highlight w:val="yellow"/>
        </w:rPr>
        <w:t xml:space="preserve"> </w:t>
      </w:r>
      <w:r w:rsidR="001E1125" w:rsidRPr="003B1851">
        <w:rPr>
          <w:rFonts w:ascii="Tahoma" w:hAnsi="Tahoma" w:cs="Tahoma"/>
          <w:color w:val="000000" w:themeColor="text1"/>
          <w:highlight w:val="yellow"/>
        </w:rPr>
        <w:t xml:space="preserve"> </w:t>
      </w:r>
      <w:r w:rsidR="008D34A4" w:rsidRPr="003B1851">
        <w:rPr>
          <w:rFonts w:ascii="Tahoma" w:hAnsi="Tahoma" w:cs="Tahoma"/>
          <w:highlight w:val="yellow"/>
        </w:rPr>
        <w:t>Speculation</w:t>
      </w:r>
      <w:r w:rsidR="00636A25" w:rsidRPr="003B1851">
        <w:rPr>
          <w:rFonts w:ascii="Tahoma" w:hAnsi="Tahoma" w:cs="Tahoma"/>
          <w:highlight w:val="yellow"/>
        </w:rPr>
        <w:t xml:space="preserve"> that nurses would take up the AMHP role without hesitatio</w:t>
      </w:r>
      <w:r w:rsidR="00BB0452" w:rsidRPr="003B1851">
        <w:rPr>
          <w:rFonts w:ascii="Tahoma" w:hAnsi="Tahoma" w:cs="Tahoma"/>
          <w:highlight w:val="yellow"/>
        </w:rPr>
        <w:t xml:space="preserve">n </w:t>
      </w:r>
      <w:r w:rsidR="009B65A5" w:rsidRPr="003B1851">
        <w:rPr>
          <w:rFonts w:ascii="Tahoma" w:hAnsi="Tahoma" w:cs="Tahoma"/>
          <w:highlight w:val="yellow"/>
        </w:rPr>
        <w:t xml:space="preserve">(Rapaport 2006) </w:t>
      </w:r>
      <w:r w:rsidR="00D537F5" w:rsidRPr="003B1851">
        <w:rPr>
          <w:rFonts w:ascii="Tahoma" w:hAnsi="Tahoma" w:cs="Tahoma"/>
          <w:highlight w:val="yellow"/>
        </w:rPr>
        <w:t xml:space="preserve">proved to be </w:t>
      </w:r>
      <w:r w:rsidR="00BB0452" w:rsidRPr="003B1851">
        <w:rPr>
          <w:rFonts w:ascii="Tahoma" w:hAnsi="Tahoma" w:cs="Tahoma"/>
          <w:highlight w:val="yellow"/>
        </w:rPr>
        <w:t>unfounded</w:t>
      </w:r>
      <w:r w:rsidR="00F47AC5" w:rsidRPr="003B1851">
        <w:rPr>
          <w:rFonts w:ascii="Tahoma" w:hAnsi="Tahoma" w:cs="Tahoma"/>
          <w:highlight w:val="yellow"/>
        </w:rPr>
        <w:t>.</w:t>
      </w:r>
      <w:r w:rsidR="00BB0452" w:rsidRPr="003B1851">
        <w:rPr>
          <w:rFonts w:ascii="Tahoma" w:hAnsi="Tahoma" w:cs="Tahoma"/>
          <w:highlight w:val="yellow"/>
        </w:rPr>
        <w:t xml:space="preserve"> </w:t>
      </w:r>
      <w:r w:rsidR="001D441B" w:rsidRPr="003B1851">
        <w:rPr>
          <w:rFonts w:ascii="Tahoma" w:hAnsi="Tahoma" w:cs="Tahoma"/>
          <w:highlight w:val="yellow"/>
        </w:rPr>
        <w:t>On one level this could be seen as surprising as t</w:t>
      </w:r>
      <w:r w:rsidR="00703BBB" w:rsidRPr="003B1851">
        <w:rPr>
          <w:rFonts w:ascii="Tahoma" w:hAnsi="Tahoma" w:cs="Tahoma"/>
          <w:highlight w:val="yellow"/>
        </w:rPr>
        <w:t xml:space="preserve">he AMHP role could have been seen as a </w:t>
      </w:r>
      <w:r w:rsidR="00703BBB" w:rsidRPr="003B1851">
        <w:rPr>
          <w:rFonts w:ascii="Tahoma" w:hAnsi="Tahoma" w:cs="Tahoma"/>
          <w:highlight w:val="yellow"/>
          <w:shd w:val="clear" w:color="auto" w:fill="FFFF00"/>
        </w:rPr>
        <w:t xml:space="preserve">new </w:t>
      </w:r>
      <w:r w:rsidR="000B594A" w:rsidRPr="003B1851">
        <w:rPr>
          <w:rFonts w:ascii="Tahoma" w:hAnsi="Tahoma" w:cs="Tahoma"/>
          <w:highlight w:val="yellow"/>
          <w:shd w:val="clear" w:color="auto" w:fill="FFFF00"/>
        </w:rPr>
        <w:t>workforce opportunity</w:t>
      </w:r>
      <w:r w:rsidR="00703BBB" w:rsidRPr="003B1851">
        <w:rPr>
          <w:rFonts w:ascii="Tahoma" w:hAnsi="Tahoma" w:cs="Tahoma"/>
          <w:highlight w:val="yellow"/>
        </w:rPr>
        <w:t xml:space="preserve"> </w:t>
      </w:r>
      <w:r w:rsidR="000B594A" w:rsidRPr="003B1851">
        <w:rPr>
          <w:rFonts w:ascii="Tahoma" w:hAnsi="Tahoma" w:cs="Tahoma"/>
          <w:highlight w:val="yellow"/>
        </w:rPr>
        <w:t xml:space="preserve">that would </w:t>
      </w:r>
      <w:r w:rsidR="00703BBB" w:rsidRPr="003B1851">
        <w:rPr>
          <w:rFonts w:ascii="Tahoma" w:hAnsi="Tahoma" w:cs="Tahoma"/>
          <w:highlight w:val="yellow"/>
        </w:rPr>
        <w:t>be welcomed by health professionals as an autonomous step away from medicine, in the same way as social work</w:t>
      </w:r>
      <w:r w:rsidR="001D441B" w:rsidRPr="003B1851">
        <w:rPr>
          <w:rFonts w:ascii="Tahoma" w:hAnsi="Tahoma" w:cs="Tahoma"/>
          <w:highlight w:val="yellow"/>
        </w:rPr>
        <w:t xml:space="preserve"> saw </w:t>
      </w:r>
      <w:r w:rsidR="00564AC4" w:rsidRPr="003B1851">
        <w:rPr>
          <w:rFonts w:ascii="Tahoma" w:hAnsi="Tahoma" w:cs="Tahoma"/>
          <w:highlight w:val="yellow"/>
        </w:rPr>
        <w:t>specialist mental health roles as conferring additional prestige</w:t>
      </w:r>
      <w:r w:rsidR="00703BBB" w:rsidRPr="003B1851">
        <w:rPr>
          <w:rFonts w:ascii="Tahoma" w:hAnsi="Tahoma" w:cs="Tahoma"/>
          <w:highlight w:val="yellow"/>
        </w:rPr>
        <w:t xml:space="preserve"> (Coffey </w:t>
      </w:r>
      <w:r w:rsidR="00703BBB" w:rsidRPr="003B1851">
        <w:rPr>
          <w:rFonts w:ascii="Tahoma" w:hAnsi="Tahoma" w:cs="Tahoma"/>
          <w:highlight w:val="yellow"/>
        </w:rPr>
        <w:lastRenderedPageBreak/>
        <w:t xml:space="preserve">&amp; Hannigan 2013). Equally, </w:t>
      </w:r>
      <w:r w:rsidR="001E7D20" w:rsidRPr="003B1851">
        <w:rPr>
          <w:rFonts w:ascii="Tahoma" w:hAnsi="Tahoma" w:cs="Tahoma"/>
          <w:highlight w:val="yellow"/>
        </w:rPr>
        <w:t xml:space="preserve">it might have been expected that the new AMHP role </w:t>
      </w:r>
      <w:r w:rsidR="00BB2AF5" w:rsidRPr="003B1851">
        <w:rPr>
          <w:rFonts w:ascii="Tahoma" w:hAnsi="Tahoma" w:cs="Tahoma"/>
          <w:highlight w:val="yellow"/>
        </w:rPr>
        <w:t>could be</w:t>
      </w:r>
      <w:r w:rsidR="00703BBB" w:rsidRPr="003B1851">
        <w:rPr>
          <w:rFonts w:ascii="Tahoma" w:hAnsi="Tahoma" w:cs="Tahoma"/>
          <w:highlight w:val="yellow"/>
        </w:rPr>
        <w:t xml:space="preserve"> a bridge</w:t>
      </w:r>
      <w:r w:rsidR="00C138A2" w:rsidRPr="003B1851">
        <w:rPr>
          <w:rFonts w:ascii="Tahoma" w:hAnsi="Tahoma" w:cs="Tahoma"/>
          <w:highlight w:val="yellow"/>
        </w:rPr>
        <w:t xml:space="preserve"> </w:t>
      </w:r>
      <w:r w:rsidR="00703BBB" w:rsidRPr="003B1851">
        <w:rPr>
          <w:rFonts w:ascii="Tahoma" w:hAnsi="Tahoma" w:cs="Tahoma"/>
          <w:highlight w:val="yellow"/>
        </w:rPr>
        <w:t>between physical and mental health</w:t>
      </w:r>
      <w:r w:rsidR="00C138A2" w:rsidRPr="003B1851">
        <w:rPr>
          <w:rFonts w:ascii="Tahoma" w:hAnsi="Tahoma" w:cs="Tahoma"/>
          <w:highlight w:val="yellow"/>
        </w:rPr>
        <w:t xml:space="preserve"> (Hardy &amp; Thomas 2012),</w:t>
      </w:r>
      <w:r w:rsidR="00703BBB" w:rsidRPr="003B1851">
        <w:rPr>
          <w:rFonts w:ascii="Tahoma" w:hAnsi="Tahoma" w:cs="Tahoma"/>
          <w:highlight w:val="yellow"/>
        </w:rPr>
        <w:t xml:space="preserve"> by building</w:t>
      </w:r>
      <w:r w:rsidR="00C138A2" w:rsidRPr="003B1851">
        <w:rPr>
          <w:rFonts w:ascii="Tahoma" w:hAnsi="Tahoma" w:cs="Tahoma"/>
          <w:highlight w:val="yellow"/>
        </w:rPr>
        <w:t xml:space="preserve"> what has come to be known as</w:t>
      </w:r>
      <w:r w:rsidR="00C8749F" w:rsidRPr="003B1851">
        <w:rPr>
          <w:rFonts w:ascii="Tahoma" w:hAnsi="Tahoma" w:cs="Tahoma"/>
          <w:highlight w:val="yellow"/>
        </w:rPr>
        <w:t xml:space="preserve"> a</w:t>
      </w:r>
      <w:r w:rsidR="00703BBB" w:rsidRPr="003B1851">
        <w:rPr>
          <w:rFonts w:ascii="Tahoma" w:hAnsi="Tahoma" w:cs="Tahoma"/>
          <w:highlight w:val="yellow"/>
        </w:rPr>
        <w:t xml:space="preserve"> </w:t>
      </w:r>
      <w:r w:rsidR="00C138A2" w:rsidRPr="003B1851">
        <w:rPr>
          <w:rFonts w:ascii="Tahoma" w:hAnsi="Tahoma" w:cs="Tahoma"/>
          <w:highlight w:val="yellow"/>
        </w:rPr>
        <w:t>‘</w:t>
      </w:r>
      <w:r w:rsidR="00703BBB" w:rsidRPr="003B1851">
        <w:rPr>
          <w:rFonts w:ascii="Tahoma" w:hAnsi="Tahoma" w:cs="Tahoma"/>
          <w:highlight w:val="yellow"/>
        </w:rPr>
        <w:t>parity of esteem</w:t>
      </w:r>
      <w:r w:rsidR="00C138A2" w:rsidRPr="003B1851">
        <w:rPr>
          <w:rFonts w:ascii="Tahoma" w:hAnsi="Tahoma" w:cs="Tahoma"/>
          <w:highlight w:val="yellow"/>
        </w:rPr>
        <w:t>’</w:t>
      </w:r>
      <w:r w:rsidR="001E7D20" w:rsidRPr="003B1851">
        <w:rPr>
          <w:rFonts w:ascii="Tahoma" w:hAnsi="Tahoma" w:cs="Tahoma"/>
          <w:highlight w:val="yellow"/>
        </w:rPr>
        <w:t xml:space="preserve"> along the lines promoted by both </w:t>
      </w:r>
      <w:r w:rsidR="00C8749F" w:rsidRPr="003B1851">
        <w:rPr>
          <w:rFonts w:ascii="Tahoma" w:hAnsi="Tahoma" w:cs="Tahoma"/>
          <w:highlight w:val="yellow"/>
        </w:rPr>
        <w:t>‘No Health without Mental Health’</w:t>
      </w:r>
      <w:r w:rsidR="00703BBB" w:rsidRPr="003B1851">
        <w:rPr>
          <w:rFonts w:ascii="Tahoma" w:hAnsi="Tahoma" w:cs="Tahoma"/>
          <w:highlight w:val="yellow"/>
        </w:rPr>
        <w:t xml:space="preserve"> </w:t>
      </w:r>
      <w:r w:rsidR="00C8749F" w:rsidRPr="003B1851">
        <w:rPr>
          <w:rFonts w:ascii="Tahoma" w:hAnsi="Tahoma" w:cs="Tahoma"/>
          <w:highlight w:val="yellow"/>
        </w:rPr>
        <w:t>(DoH 2011</w:t>
      </w:r>
      <w:r w:rsidR="00C138A2" w:rsidRPr="003B1851">
        <w:rPr>
          <w:rFonts w:ascii="Tahoma" w:hAnsi="Tahoma" w:cs="Tahoma"/>
          <w:highlight w:val="yellow"/>
        </w:rPr>
        <w:t>)</w:t>
      </w:r>
      <w:r w:rsidR="000A11D6" w:rsidRPr="003B1851">
        <w:rPr>
          <w:rFonts w:ascii="Tahoma" w:hAnsi="Tahoma" w:cs="Tahoma"/>
          <w:highlight w:val="yellow"/>
        </w:rPr>
        <w:t xml:space="preserve">, </w:t>
      </w:r>
      <w:r w:rsidR="00C138A2" w:rsidRPr="003B1851">
        <w:rPr>
          <w:rFonts w:ascii="Tahoma" w:hAnsi="Tahoma" w:cs="Tahoma"/>
          <w:highlight w:val="yellow"/>
        </w:rPr>
        <w:t xml:space="preserve">and </w:t>
      </w:r>
      <w:r w:rsidR="009F0DC0" w:rsidRPr="003B1851">
        <w:rPr>
          <w:rFonts w:ascii="Tahoma" w:hAnsi="Tahoma" w:cs="Tahoma"/>
          <w:highlight w:val="yellow"/>
        </w:rPr>
        <w:t>the recent report</w:t>
      </w:r>
      <w:r w:rsidR="00C138A2" w:rsidRPr="003B1851">
        <w:rPr>
          <w:rFonts w:ascii="Tahoma" w:hAnsi="Tahoma" w:cs="Tahoma"/>
          <w:highlight w:val="yellow"/>
        </w:rPr>
        <w:t xml:space="preserve"> by the </w:t>
      </w:r>
      <w:r w:rsidR="000A11D6" w:rsidRPr="003B1851">
        <w:rPr>
          <w:rFonts w:ascii="Tahoma" w:hAnsi="Tahoma" w:cs="Tahoma"/>
          <w:highlight w:val="yellow"/>
        </w:rPr>
        <w:t>Mental Health Taskforce (2016)</w:t>
      </w:r>
      <w:r w:rsidR="00C138A2" w:rsidRPr="003B1851">
        <w:rPr>
          <w:rFonts w:ascii="Tahoma" w:hAnsi="Tahoma" w:cs="Tahoma"/>
          <w:highlight w:val="yellow"/>
        </w:rPr>
        <w:t xml:space="preserve">. </w:t>
      </w:r>
      <w:r w:rsidR="00703BBB" w:rsidRPr="003B1851">
        <w:rPr>
          <w:rFonts w:ascii="Tahoma" w:hAnsi="Tahoma" w:cs="Tahoma"/>
          <w:highlight w:val="yellow"/>
        </w:rPr>
        <w:t xml:space="preserve"> </w:t>
      </w:r>
    </w:p>
    <w:p w14:paraId="323E0F32" w14:textId="6B9BFB8F" w:rsidR="00BF1966" w:rsidRPr="003B1851" w:rsidRDefault="00D30A90" w:rsidP="00BF1966">
      <w:pPr>
        <w:spacing w:before="100" w:beforeAutospacing="1" w:after="100" w:afterAutospacing="1" w:line="480" w:lineRule="auto"/>
        <w:jc w:val="both"/>
        <w:rPr>
          <w:rFonts w:ascii="Tahoma" w:hAnsi="Tahoma" w:cs="Tahoma"/>
          <w:highlight w:val="yellow"/>
          <w:shd w:val="clear" w:color="auto" w:fill="FFFF00"/>
        </w:rPr>
      </w:pPr>
      <w:r w:rsidRPr="003B1851">
        <w:rPr>
          <w:rFonts w:ascii="Tahoma" w:hAnsi="Tahoma" w:cs="Tahoma"/>
          <w:highlight w:val="yellow"/>
        </w:rPr>
        <w:t>The literature is relatively thin on any explanation</w:t>
      </w:r>
      <w:r w:rsidR="001E7D20" w:rsidRPr="003B1851">
        <w:rPr>
          <w:rFonts w:ascii="Tahoma" w:hAnsi="Tahoma" w:cs="Tahoma"/>
          <w:highlight w:val="yellow"/>
        </w:rPr>
        <w:t xml:space="preserve"> as to why so few nurses have taken up the AMHP role.</w:t>
      </w:r>
      <w:r w:rsidRPr="003B1851">
        <w:rPr>
          <w:rFonts w:ascii="Tahoma" w:hAnsi="Tahoma" w:cs="Tahoma"/>
          <w:highlight w:val="yellow"/>
        </w:rPr>
        <w:t xml:space="preserve"> Perceived tensions about a damage to therapeutic relationship </w:t>
      </w:r>
      <w:r w:rsidR="001E7D20" w:rsidRPr="003B1851">
        <w:rPr>
          <w:rFonts w:ascii="Tahoma" w:hAnsi="Tahoma" w:cs="Tahoma"/>
          <w:highlight w:val="yellow"/>
        </w:rPr>
        <w:t xml:space="preserve">with individual clients have been raised </w:t>
      </w:r>
      <w:r w:rsidRPr="003B1851">
        <w:rPr>
          <w:rFonts w:ascii="Tahoma" w:hAnsi="Tahoma" w:cs="Tahoma"/>
          <w:highlight w:val="yellow"/>
        </w:rPr>
        <w:t>if nurses, occupation</w:t>
      </w:r>
      <w:r w:rsidR="002F0EF2" w:rsidRPr="003B1851">
        <w:rPr>
          <w:rFonts w:ascii="Tahoma" w:hAnsi="Tahoma" w:cs="Tahoma"/>
          <w:highlight w:val="yellow"/>
        </w:rPr>
        <w:t>al therapists and psychologists</w:t>
      </w:r>
      <w:r w:rsidRPr="003B1851">
        <w:rPr>
          <w:rFonts w:ascii="Tahoma" w:hAnsi="Tahoma" w:cs="Tahoma"/>
          <w:highlight w:val="yellow"/>
        </w:rPr>
        <w:t xml:space="preserve"> undertake AMHP duties (Holmes 2002, Knott and Bannigan 2013, </w:t>
      </w:r>
      <w:r w:rsidR="00636A25" w:rsidRPr="003B1851">
        <w:rPr>
          <w:rFonts w:ascii="Tahoma" w:hAnsi="Tahoma" w:cs="Tahoma"/>
          <w:highlight w:val="yellow"/>
        </w:rPr>
        <w:t>Coffey &amp; Ha</w:t>
      </w:r>
      <w:r w:rsidRPr="003B1851">
        <w:rPr>
          <w:rFonts w:ascii="Tahoma" w:hAnsi="Tahoma" w:cs="Tahoma"/>
          <w:highlight w:val="yellow"/>
        </w:rPr>
        <w:t>nnigan</w:t>
      </w:r>
      <w:r w:rsidR="00AF3E28" w:rsidRPr="003B1851">
        <w:rPr>
          <w:rFonts w:ascii="Tahoma" w:hAnsi="Tahoma" w:cs="Tahoma"/>
          <w:highlight w:val="yellow"/>
        </w:rPr>
        <w:t xml:space="preserve"> 2013, Hurley and Linsley 2006). </w:t>
      </w:r>
      <w:r w:rsidR="001E7D20" w:rsidRPr="003B1851">
        <w:rPr>
          <w:rFonts w:ascii="Tahoma" w:hAnsi="Tahoma" w:cs="Tahoma"/>
          <w:highlight w:val="yellow"/>
        </w:rPr>
        <w:t xml:space="preserve">However, there is </w:t>
      </w:r>
      <w:r w:rsidR="00AF3E28" w:rsidRPr="003B1851">
        <w:rPr>
          <w:rFonts w:ascii="Tahoma" w:hAnsi="Tahoma" w:cs="Tahoma"/>
          <w:highlight w:val="yellow"/>
        </w:rPr>
        <w:t xml:space="preserve">some </w:t>
      </w:r>
      <w:r w:rsidR="001E7D20" w:rsidRPr="003B1851">
        <w:rPr>
          <w:rFonts w:ascii="Tahoma" w:hAnsi="Tahoma" w:cs="Tahoma"/>
          <w:highlight w:val="yellow"/>
        </w:rPr>
        <w:t xml:space="preserve">evidence from both </w:t>
      </w:r>
      <w:r w:rsidR="00AF3E28" w:rsidRPr="003B1851">
        <w:rPr>
          <w:rFonts w:ascii="Tahoma" w:hAnsi="Tahoma" w:cs="Tahoma"/>
          <w:highlight w:val="yellow"/>
        </w:rPr>
        <w:t>social work</w:t>
      </w:r>
      <w:r w:rsidR="008A3748" w:rsidRPr="003B1851">
        <w:rPr>
          <w:rFonts w:ascii="Tahoma" w:hAnsi="Tahoma" w:cs="Tahoma"/>
          <w:highlight w:val="yellow"/>
        </w:rPr>
        <w:t xml:space="preserve"> (Coffey &amp; Hannigan 2013), and </w:t>
      </w:r>
      <w:r w:rsidR="00AF3E28" w:rsidRPr="003B1851">
        <w:rPr>
          <w:rFonts w:ascii="Tahoma" w:hAnsi="Tahoma" w:cs="Tahoma"/>
          <w:highlight w:val="yellow"/>
        </w:rPr>
        <w:t xml:space="preserve">nursing </w:t>
      </w:r>
      <w:r w:rsidR="00636A25" w:rsidRPr="003B1851">
        <w:rPr>
          <w:rFonts w:ascii="Tahoma" w:hAnsi="Tahoma" w:cs="Tahoma"/>
          <w:highlight w:val="yellow"/>
        </w:rPr>
        <w:t>(Coffey</w:t>
      </w:r>
      <w:r w:rsidR="008A3748" w:rsidRPr="003B1851">
        <w:rPr>
          <w:rFonts w:ascii="Tahoma" w:hAnsi="Tahoma" w:cs="Tahoma"/>
          <w:highlight w:val="yellow"/>
        </w:rPr>
        <w:t xml:space="preserve"> &amp; Hannigan 2013, Ashmore 2010) </w:t>
      </w:r>
      <w:r w:rsidR="00AF3E28" w:rsidRPr="003B1851">
        <w:rPr>
          <w:rFonts w:ascii="Tahoma" w:hAnsi="Tahoma" w:cs="Tahoma"/>
          <w:highlight w:val="yellow"/>
        </w:rPr>
        <w:t>that it is possible</w:t>
      </w:r>
      <w:r w:rsidR="00C10FF6" w:rsidRPr="003B1851">
        <w:rPr>
          <w:rFonts w:ascii="Tahoma" w:hAnsi="Tahoma" w:cs="Tahoma"/>
          <w:highlight w:val="yellow"/>
        </w:rPr>
        <w:t xml:space="preserve"> to </w:t>
      </w:r>
      <w:r w:rsidR="00C10FF6" w:rsidRPr="003B1851">
        <w:rPr>
          <w:rFonts w:ascii="Tahoma" w:hAnsi="Tahoma" w:cs="Tahoma"/>
          <w:highlight w:val="yellow"/>
          <w:shd w:val="clear" w:color="auto" w:fill="FFFF00"/>
        </w:rPr>
        <w:t>maintain a therapeutic relationship</w:t>
      </w:r>
      <w:r w:rsidR="001332DD" w:rsidRPr="003B1851">
        <w:rPr>
          <w:rFonts w:ascii="Tahoma" w:hAnsi="Tahoma" w:cs="Tahoma"/>
          <w:highlight w:val="yellow"/>
          <w:shd w:val="clear" w:color="auto" w:fill="FFFF00"/>
        </w:rPr>
        <w:t xml:space="preserve"> and execute a statutory role</w:t>
      </w:r>
      <w:r w:rsidR="00AF3E28" w:rsidRPr="003B1851">
        <w:rPr>
          <w:rFonts w:ascii="Tahoma" w:hAnsi="Tahoma" w:cs="Tahoma"/>
          <w:highlight w:val="yellow"/>
        </w:rPr>
        <w:t xml:space="preserve">, </w:t>
      </w:r>
      <w:r w:rsidR="00C10FF6" w:rsidRPr="003B1851">
        <w:rPr>
          <w:rFonts w:ascii="Tahoma" w:hAnsi="Tahoma" w:cs="Tahoma"/>
          <w:highlight w:val="yellow"/>
        </w:rPr>
        <w:t>even though it can be</w:t>
      </w:r>
      <w:r w:rsidR="00AF3E28" w:rsidRPr="003B1851">
        <w:rPr>
          <w:rFonts w:ascii="Tahoma" w:hAnsi="Tahoma" w:cs="Tahoma"/>
          <w:highlight w:val="yellow"/>
        </w:rPr>
        <w:t xml:space="preserve"> challenging</w:t>
      </w:r>
      <w:r w:rsidR="008A3748" w:rsidRPr="003B1851">
        <w:rPr>
          <w:rFonts w:ascii="Tahoma" w:hAnsi="Tahoma" w:cs="Tahoma"/>
          <w:highlight w:val="yellow"/>
        </w:rPr>
        <w:t xml:space="preserve"> </w:t>
      </w:r>
      <w:r w:rsidR="00636A25" w:rsidRPr="003B1851">
        <w:rPr>
          <w:rFonts w:ascii="Tahoma" w:hAnsi="Tahoma" w:cs="Tahoma"/>
          <w:highlight w:val="yellow"/>
        </w:rPr>
        <w:t>(Bowers, Clark and Callaghan 2003</w:t>
      </w:r>
      <w:r w:rsidR="008A3748" w:rsidRPr="003B1851">
        <w:rPr>
          <w:rFonts w:ascii="Tahoma" w:hAnsi="Tahoma" w:cs="Tahoma"/>
          <w:highlight w:val="yellow"/>
        </w:rPr>
        <w:t>,</w:t>
      </w:r>
      <w:r w:rsidR="00636A25" w:rsidRPr="003B1851">
        <w:rPr>
          <w:rFonts w:ascii="Tahoma" w:hAnsi="Tahoma" w:cs="Tahoma"/>
          <w:highlight w:val="yellow"/>
        </w:rPr>
        <w:t xml:space="preserve"> Hurley and Linsley </w:t>
      </w:r>
      <w:r w:rsidR="008A3748" w:rsidRPr="003B1851">
        <w:rPr>
          <w:rFonts w:ascii="Tahoma" w:hAnsi="Tahoma" w:cs="Tahoma"/>
          <w:highlight w:val="yellow"/>
        </w:rPr>
        <w:t>2006)</w:t>
      </w:r>
      <w:r w:rsidR="00636A25" w:rsidRPr="003B1851">
        <w:rPr>
          <w:rFonts w:ascii="Tahoma" w:hAnsi="Tahoma" w:cs="Tahoma"/>
          <w:highlight w:val="yellow"/>
        </w:rPr>
        <w:t>.</w:t>
      </w:r>
      <w:r w:rsidR="00BA4B12" w:rsidRPr="003B1851">
        <w:rPr>
          <w:rFonts w:ascii="Tahoma" w:hAnsi="Tahoma" w:cs="Tahoma"/>
          <w:highlight w:val="yellow"/>
        </w:rPr>
        <w:t xml:space="preserve"> </w:t>
      </w:r>
      <w:r w:rsidR="00C10FF6" w:rsidRPr="003B1851">
        <w:rPr>
          <w:rFonts w:ascii="Tahoma" w:hAnsi="Tahoma" w:cs="Tahoma"/>
          <w:highlight w:val="yellow"/>
          <w:shd w:val="clear" w:color="auto" w:fill="FFFF00"/>
        </w:rPr>
        <w:t>Lastly</w:t>
      </w:r>
      <w:r w:rsidR="008A3748" w:rsidRPr="003B1851">
        <w:rPr>
          <w:rFonts w:ascii="Tahoma" w:hAnsi="Tahoma" w:cs="Tahoma"/>
          <w:highlight w:val="yellow"/>
          <w:shd w:val="clear" w:color="auto" w:fill="FFFF00"/>
        </w:rPr>
        <w:t>,</w:t>
      </w:r>
      <w:r w:rsidR="00C10FF6" w:rsidRPr="003B1851">
        <w:rPr>
          <w:rFonts w:ascii="Tahoma" w:hAnsi="Tahoma" w:cs="Tahoma"/>
          <w:highlight w:val="yellow"/>
          <w:shd w:val="clear" w:color="auto" w:fill="FFFF00"/>
        </w:rPr>
        <w:t xml:space="preserve"> the requirement </w:t>
      </w:r>
      <w:r w:rsidR="00E13240" w:rsidRPr="003B1851">
        <w:rPr>
          <w:rFonts w:ascii="Tahoma" w:hAnsi="Tahoma" w:cs="Tahoma"/>
          <w:highlight w:val="yellow"/>
          <w:shd w:val="clear" w:color="auto" w:fill="FFFF00"/>
        </w:rPr>
        <w:t xml:space="preserve">in some instances </w:t>
      </w:r>
      <w:r w:rsidR="00291BB8" w:rsidRPr="003B1851">
        <w:rPr>
          <w:rFonts w:ascii="Tahoma" w:hAnsi="Tahoma" w:cs="Tahoma"/>
          <w:highlight w:val="yellow"/>
          <w:shd w:val="clear" w:color="auto" w:fill="FFFF00"/>
        </w:rPr>
        <w:t xml:space="preserve">eligible </w:t>
      </w:r>
      <w:r w:rsidR="000269D5" w:rsidRPr="003B1851">
        <w:rPr>
          <w:rFonts w:ascii="Tahoma" w:hAnsi="Tahoma" w:cs="Tahoma"/>
          <w:highlight w:val="yellow"/>
          <w:shd w:val="clear" w:color="auto" w:fill="FFFF00"/>
        </w:rPr>
        <w:t>professionals to first</w:t>
      </w:r>
      <w:r w:rsidR="00291BB8" w:rsidRPr="003B1851">
        <w:rPr>
          <w:rFonts w:ascii="Tahoma" w:hAnsi="Tahoma" w:cs="Tahoma"/>
          <w:highlight w:val="yellow"/>
          <w:shd w:val="clear" w:color="auto" w:fill="FFFF00"/>
        </w:rPr>
        <w:t xml:space="preserve"> undertake </w:t>
      </w:r>
      <w:r w:rsidR="00BF1966" w:rsidRPr="003B1851">
        <w:rPr>
          <w:rFonts w:ascii="Tahoma" w:hAnsi="Tahoma" w:cs="Tahoma"/>
          <w:highlight w:val="yellow"/>
          <w:shd w:val="clear" w:color="auto" w:fill="FFFF00"/>
        </w:rPr>
        <w:t xml:space="preserve">a specific </w:t>
      </w:r>
      <w:r w:rsidR="00E13240" w:rsidRPr="003B1851">
        <w:rPr>
          <w:rFonts w:ascii="Tahoma" w:hAnsi="Tahoma" w:cs="Tahoma"/>
          <w:highlight w:val="yellow"/>
          <w:shd w:val="clear" w:color="auto" w:fill="FFFF00"/>
        </w:rPr>
        <w:t xml:space="preserve">academic </w:t>
      </w:r>
      <w:r w:rsidR="00BF1966" w:rsidRPr="003B1851">
        <w:rPr>
          <w:rFonts w:ascii="Tahoma" w:hAnsi="Tahoma" w:cs="Tahoma"/>
          <w:highlight w:val="yellow"/>
          <w:shd w:val="clear" w:color="auto" w:fill="FFFF00"/>
        </w:rPr>
        <w:t xml:space="preserve">mental health module </w:t>
      </w:r>
      <w:r w:rsidR="00E13240" w:rsidRPr="003B1851">
        <w:rPr>
          <w:rFonts w:ascii="Tahoma" w:hAnsi="Tahoma" w:cs="Tahoma"/>
          <w:highlight w:val="yellow"/>
          <w:shd w:val="clear" w:color="auto" w:fill="FFFF00"/>
        </w:rPr>
        <w:t>as preparation for</w:t>
      </w:r>
      <w:r w:rsidR="00BF1966" w:rsidRPr="003B1851">
        <w:rPr>
          <w:rFonts w:ascii="Tahoma" w:hAnsi="Tahoma" w:cs="Tahoma"/>
          <w:highlight w:val="yellow"/>
          <w:shd w:val="clear" w:color="auto" w:fill="FFFF00"/>
        </w:rPr>
        <w:t xml:space="preserve"> starting the AMHP training has been identified as a possible barrier, or disincentive, to non-social workers (Knott &amp; Bannigan (2013).</w:t>
      </w:r>
      <w:r w:rsidR="00B15A9D" w:rsidRPr="003B1851">
        <w:rPr>
          <w:rFonts w:ascii="Tahoma" w:hAnsi="Tahoma" w:cs="Tahoma"/>
          <w:highlight w:val="yellow"/>
          <w:shd w:val="clear" w:color="auto" w:fill="FFFF00"/>
        </w:rPr>
        <w:t xml:space="preserve"> This may be</w:t>
      </w:r>
      <w:r w:rsidR="00BF1966" w:rsidRPr="003B1851">
        <w:rPr>
          <w:rFonts w:ascii="Tahoma" w:hAnsi="Tahoma" w:cs="Tahoma"/>
          <w:highlight w:val="yellow"/>
          <w:shd w:val="clear" w:color="auto" w:fill="FFFF00"/>
        </w:rPr>
        <w:t xml:space="preserve"> because </w:t>
      </w:r>
      <w:r w:rsidR="00B15A9D" w:rsidRPr="003B1851">
        <w:rPr>
          <w:rFonts w:ascii="Tahoma" w:hAnsi="Tahoma" w:cs="Tahoma"/>
          <w:highlight w:val="yellow"/>
          <w:shd w:val="clear" w:color="auto" w:fill="FFFF00"/>
        </w:rPr>
        <w:t>the</w:t>
      </w:r>
      <w:r w:rsidR="00BF1966" w:rsidRPr="003B1851">
        <w:rPr>
          <w:rFonts w:ascii="Tahoma" w:hAnsi="Tahoma" w:cs="Tahoma"/>
          <w:highlight w:val="yellow"/>
          <w:shd w:val="clear" w:color="auto" w:fill="FFFF00"/>
        </w:rPr>
        <w:t xml:space="preserve"> requirement</w:t>
      </w:r>
      <w:r w:rsidR="00B15A9D" w:rsidRPr="003B1851">
        <w:rPr>
          <w:rFonts w:ascii="Tahoma" w:hAnsi="Tahoma" w:cs="Tahoma"/>
          <w:highlight w:val="yellow"/>
          <w:shd w:val="clear" w:color="auto" w:fill="FFFF00"/>
        </w:rPr>
        <w:t xml:space="preserve"> to complete this module is seen as</w:t>
      </w:r>
      <w:r w:rsidR="00BF1966" w:rsidRPr="003B1851">
        <w:rPr>
          <w:rFonts w:ascii="Tahoma" w:hAnsi="Tahoma" w:cs="Tahoma"/>
          <w:highlight w:val="yellow"/>
          <w:shd w:val="clear" w:color="auto" w:fill="FFFF00"/>
        </w:rPr>
        <w:t xml:space="preserve"> part of the continuing professional development (CPD) for social workers, and therefore the </w:t>
      </w:r>
      <w:r w:rsidR="00D77A7E" w:rsidRPr="003B1851">
        <w:rPr>
          <w:rFonts w:ascii="Tahoma" w:hAnsi="Tahoma" w:cs="Tahoma"/>
          <w:highlight w:val="yellow"/>
          <w:shd w:val="clear" w:color="auto" w:fill="FFFF00"/>
        </w:rPr>
        <w:t>requirement</w:t>
      </w:r>
      <w:r w:rsidR="00BF1966" w:rsidRPr="003B1851">
        <w:rPr>
          <w:rFonts w:ascii="Tahoma" w:hAnsi="Tahoma" w:cs="Tahoma"/>
          <w:highlight w:val="yellow"/>
          <w:shd w:val="clear" w:color="auto" w:fill="FFFF00"/>
        </w:rPr>
        <w:t xml:space="preserve"> t</w:t>
      </w:r>
      <w:r w:rsidR="00B15A9D" w:rsidRPr="003B1851">
        <w:rPr>
          <w:rFonts w:ascii="Tahoma" w:hAnsi="Tahoma" w:cs="Tahoma"/>
          <w:highlight w:val="yellow"/>
          <w:shd w:val="clear" w:color="auto" w:fill="FFFF00"/>
        </w:rPr>
        <w:t xml:space="preserve">o undertake this module does not </w:t>
      </w:r>
      <w:r w:rsidR="00BF1966" w:rsidRPr="003B1851">
        <w:rPr>
          <w:rFonts w:ascii="Tahoma" w:hAnsi="Tahoma" w:cs="Tahoma"/>
          <w:highlight w:val="yellow"/>
          <w:shd w:val="clear" w:color="auto" w:fill="FFFF00"/>
        </w:rPr>
        <w:t>translate well to CPD</w:t>
      </w:r>
      <w:r w:rsidR="00B15A9D" w:rsidRPr="003B1851">
        <w:rPr>
          <w:rFonts w:ascii="Tahoma" w:hAnsi="Tahoma" w:cs="Tahoma"/>
          <w:highlight w:val="yellow"/>
          <w:shd w:val="clear" w:color="auto" w:fill="FFFF00"/>
        </w:rPr>
        <w:t xml:space="preserve"> education</w:t>
      </w:r>
      <w:r w:rsidR="00BF1966" w:rsidRPr="003B1851">
        <w:rPr>
          <w:rFonts w:ascii="Tahoma" w:hAnsi="Tahoma" w:cs="Tahoma"/>
          <w:highlight w:val="yellow"/>
          <w:shd w:val="clear" w:color="auto" w:fill="FFFF00"/>
        </w:rPr>
        <w:t xml:space="preserve"> </w:t>
      </w:r>
      <w:r w:rsidR="00B15A9D" w:rsidRPr="003B1851">
        <w:rPr>
          <w:rFonts w:ascii="Tahoma" w:hAnsi="Tahoma" w:cs="Tahoma"/>
          <w:highlight w:val="yellow"/>
          <w:shd w:val="clear" w:color="auto" w:fill="FFFF00"/>
        </w:rPr>
        <w:t>pathways for</w:t>
      </w:r>
      <w:r w:rsidR="00BF1966" w:rsidRPr="003B1851">
        <w:rPr>
          <w:rFonts w:ascii="Tahoma" w:hAnsi="Tahoma" w:cs="Tahoma"/>
          <w:highlight w:val="yellow"/>
          <w:shd w:val="clear" w:color="auto" w:fill="FFFF00"/>
        </w:rPr>
        <w:t xml:space="preserve"> allied heal</w:t>
      </w:r>
      <w:r w:rsidR="00B15A9D" w:rsidRPr="003B1851">
        <w:rPr>
          <w:rFonts w:ascii="Tahoma" w:hAnsi="Tahoma" w:cs="Tahoma"/>
          <w:highlight w:val="yellow"/>
          <w:shd w:val="clear" w:color="auto" w:fill="FFFF00"/>
        </w:rPr>
        <w:t xml:space="preserve">th professionals. In addition, </w:t>
      </w:r>
      <w:r w:rsidR="00D93E03" w:rsidRPr="003B1851">
        <w:rPr>
          <w:rFonts w:ascii="Tahoma" w:hAnsi="Tahoma" w:cs="Tahoma"/>
          <w:highlight w:val="yellow"/>
          <w:shd w:val="clear" w:color="auto" w:fill="FFFF00"/>
        </w:rPr>
        <w:t xml:space="preserve">the association of gaining </w:t>
      </w:r>
      <w:r w:rsidR="00B15A9D" w:rsidRPr="003B1851">
        <w:rPr>
          <w:rFonts w:ascii="Tahoma" w:hAnsi="Tahoma" w:cs="Tahoma"/>
          <w:highlight w:val="yellow"/>
          <w:shd w:val="clear" w:color="auto" w:fill="FFFF00"/>
        </w:rPr>
        <w:t xml:space="preserve">academic credit </w:t>
      </w:r>
      <w:r w:rsidR="00D93E03" w:rsidRPr="003B1851">
        <w:rPr>
          <w:rFonts w:ascii="Tahoma" w:hAnsi="Tahoma" w:cs="Tahoma"/>
          <w:highlight w:val="yellow"/>
          <w:shd w:val="clear" w:color="auto" w:fill="FFFF00"/>
        </w:rPr>
        <w:t>prior to beginning an academic programme of study may also not be as familiar to allied health professionals</w:t>
      </w:r>
      <w:r w:rsidR="00E13240" w:rsidRPr="003B1851">
        <w:rPr>
          <w:rFonts w:ascii="Tahoma" w:hAnsi="Tahoma" w:cs="Tahoma"/>
          <w:highlight w:val="yellow"/>
          <w:shd w:val="clear" w:color="auto" w:fill="FFFF00"/>
        </w:rPr>
        <w:t xml:space="preserve"> CPD</w:t>
      </w:r>
      <w:r w:rsidR="00D93E03" w:rsidRPr="003B1851">
        <w:rPr>
          <w:rFonts w:ascii="Tahoma" w:hAnsi="Tahoma" w:cs="Tahoma"/>
          <w:highlight w:val="yellow"/>
          <w:shd w:val="clear" w:color="auto" w:fill="FFFF00"/>
        </w:rPr>
        <w:t xml:space="preserve"> as it is for social work CPD, as </w:t>
      </w:r>
      <w:r w:rsidR="00B15A9D" w:rsidRPr="003B1851">
        <w:rPr>
          <w:rFonts w:ascii="Tahoma" w:hAnsi="Tahoma" w:cs="Tahoma"/>
          <w:highlight w:val="yellow"/>
          <w:shd w:val="clear" w:color="auto" w:fill="FFFF00"/>
        </w:rPr>
        <w:t xml:space="preserve">allied health professionals </w:t>
      </w:r>
      <w:r w:rsidR="00E13240" w:rsidRPr="003B1851">
        <w:rPr>
          <w:rFonts w:ascii="Tahoma" w:hAnsi="Tahoma" w:cs="Tahoma"/>
          <w:highlight w:val="yellow"/>
          <w:shd w:val="clear" w:color="auto" w:fill="FFFF00"/>
        </w:rPr>
        <w:t xml:space="preserve">may be </w:t>
      </w:r>
      <w:r w:rsidR="00B15A9D" w:rsidRPr="003B1851">
        <w:rPr>
          <w:rFonts w:ascii="Tahoma" w:hAnsi="Tahoma" w:cs="Tahoma"/>
          <w:highlight w:val="yellow"/>
          <w:shd w:val="clear" w:color="auto" w:fill="FFFF00"/>
        </w:rPr>
        <w:t xml:space="preserve"> more </w:t>
      </w:r>
      <w:r w:rsidR="007977CE" w:rsidRPr="003B1851">
        <w:rPr>
          <w:rFonts w:ascii="Tahoma" w:hAnsi="Tahoma" w:cs="Tahoma"/>
          <w:highlight w:val="yellow"/>
          <w:shd w:val="clear" w:color="auto" w:fill="FFFF00"/>
        </w:rPr>
        <w:t xml:space="preserve">familiar with clinical CPD </w:t>
      </w:r>
      <w:r w:rsidR="00B364E7" w:rsidRPr="003B1851">
        <w:rPr>
          <w:rFonts w:ascii="Tahoma" w:hAnsi="Tahoma" w:cs="Tahoma"/>
          <w:highlight w:val="yellow"/>
          <w:shd w:val="clear" w:color="auto" w:fill="FFFF00"/>
        </w:rPr>
        <w:t>models, which</w:t>
      </w:r>
      <w:r w:rsidR="007977CE" w:rsidRPr="003B1851">
        <w:rPr>
          <w:rFonts w:ascii="Tahoma" w:hAnsi="Tahoma" w:cs="Tahoma"/>
          <w:highlight w:val="yellow"/>
          <w:shd w:val="clear" w:color="auto" w:fill="FFFF00"/>
        </w:rPr>
        <w:t xml:space="preserve"> are non-credit baring. </w:t>
      </w:r>
    </w:p>
    <w:p w14:paraId="3A15BD47" w14:textId="0DC5EB8F" w:rsidR="00C10FF6" w:rsidRPr="003B1851" w:rsidRDefault="00B364E7" w:rsidP="00291BB8">
      <w:pPr>
        <w:spacing w:before="100" w:beforeAutospacing="1" w:after="100" w:afterAutospacing="1" w:line="480" w:lineRule="auto"/>
        <w:jc w:val="both"/>
        <w:rPr>
          <w:rFonts w:ascii="Tahoma" w:hAnsi="Tahoma" w:cs="Tahoma"/>
          <w:highlight w:val="yellow"/>
        </w:rPr>
      </w:pPr>
      <w:r w:rsidRPr="003B1851">
        <w:rPr>
          <w:rFonts w:ascii="Tahoma" w:hAnsi="Tahoma" w:cs="Tahoma"/>
          <w:color w:val="000000" w:themeColor="text1"/>
          <w:highlight w:val="yellow"/>
        </w:rPr>
        <w:t xml:space="preserve">Local authorities are </w:t>
      </w:r>
      <w:r w:rsidR="00C10FF6" w:rsidRPr="003B1851">
        <w:rPr>
          <w:rFonts w:ascii="Tahoma" w:hAnsi="Tahoma" w:cs="Tahoma"/>
          <w:color w:val="000000" w:themeColor="text1"/>
          <w:highlight w:val="yellow"/>
        </w:rPr>
        <w:t>required</w:t>
      </w:r>
      <w:r w:rsidR="00B570B5" w:rsidRPr="003B1851">
        <w:rPr>
          <w:rFonts w:ascii="Tahoma" w:hAnsi="Tahoma" w:cs="Tahoma"/>
          <w:color w:val="000000" w:themeColor="text1"/>
          <w:highlight w:val="yellow"/>
        </w:rPr>
        <w:t xml:space="preserve"> by the Department for Health</w:t>
      </w:r>
      <w:r w:rsidR="00C10FF6" w:rsidRPr="003B1851">
        <w:rPr>
          <w:rFonts w:ascii="Tahoma" w:hAnsi="Tahoma" w:cs="Tahoma"/>
          <w:color w:val="000000" w:themeColor="text1"/>
          <w:highlight w:val="yellow"/>
        </w:rPr>
        <w:t xml:space="preserve"> to employ</w:t>
      </w:r>
      <w:r w:rsidR="002F0EF2" w:rsidRPr="003B1851">
        <w:rPr>
          <w:rFonts w:ascii="Tahoma" w:hAnsi="Tahoma" w:cs="Tahoma"/>
          <w:color w:val="000000" w:themeColor="text1"/>
          <w:highlight w:val="yellow"/>
        </w:rPr>
        <w:t xml:space="preserve"> what is </w:t>
      </w:r>
      <w:r w:rsidR="002F0EF2" w:rsidRPr="003B1851">
        <w:rPr>
          <w:rFonts w:ascii="Tahoma" w:hAnsi="Tahoma" w:cs="Tahoma"/>
          <w:color w:val="000000" w:themeColor="text1"/>
          <w:highlight w:val="yellow"/>
          <w:shd w:val="clear" w:color="auto" w:fill="FFFF00"/>
        </w:rPr>
        <w:t>deemed</w:t>
      </w:r>
      <w:r w:rsidR="00C10FF6" w:rsidRPr="003B1851">
        <w:rPr>
          <w:rFonts w:ascii="Tahoma" w:hAnsi="Tahoma" w:cs="Tahoma"/>
          <w:color w:val="000000" w:themeColor="text1"/>
          <w:highlight w:val="yellow"/>
          <w:shd w:val="clear" w:color="auto" w:fill="FFFF00"/>
        </w:rPr>
        <w:t xml:space="preserve"> </w:t>
      </w:r>
      <w:r w:rsidR="00446299" w:rsidRPr="003B1851">
        <w:rPr>
          <w:rFonts w:ascii="Tahoma" w:hAnsi="Tahoma" w:cs="Tahoma"/>
          <w:color w:val="000000" w:themeColor="text1"/>
          <w:highlight w:val="yellow"/>
          <w:shd w:val="clear" w:color="auto" w:fill="FFFF00"/>
        </w:rPr>
        <w:t xml:space="preserve">a </w:t>
      </w:r>
      <w:r w:rsidR="00C10FF6" w:rsidRPr="003B1851">
        <w:rPr>
          <w:rFonts w:ascii="Tahoma" w:hAnsi="Tahoma" w:cs="Tahoma"/>
          <w:color w:val="000000" w:themeColor="text1"/>
          <w:highlight w:val="yellow"/>
          <w:shd w:val="clear" w:color="auto" w:fill="FFFF00"/>
        </w:rPr>
        <w:t xml:space="preserve">‘sufficient’ </w:t>
      </w:r>
      <w:r w:rsidR="00446299" w:rsidRPr="003B1851">
        <w:rPr>
          <w:rFonts w:ascii="Tahoma" w:hAnsi="Tahoma" w:cs="Tahoma"/>
          <w:color w:val="000000" w:themeColor="text1"/>
          <w:highlight w:val="yellow"/>
          <w:shd w:val="clear" w:color="auto" w:fill="FFFF00"/>
        </w:rPr>
        <w:t xml:space="preserve">workforce of </w:t>
      </w:r>
      <w:r w:rsidR="00C10FF6" w:rsidRPr="003B1851">
        <w:rPr>
          <w:rFonts w:ascii="Tahoma" w:hAnsi="Tahoma" w:cs="Tahoma"/>
          <w:color w:val="000000" w:themeColor="text1"/>
          <w:highlight w:val="yellow"/>
          <w:shd w:val="clear" w:color="auto" w:fill="FFFF00"/>
        </w:rPr>
        <w:t>AMHPs</w:t>
      </w:r>
      <w:r w:rsidRPr="003B1851">
        <w:rPr>
          <w:rFonts w:ascii="Tahoma" w:hAnsi="Tahoma" w:cs="Tahoma"/>
          <w:color w:val="000000" w:themeColor="text1"/>
          <w:highlight w:val="yellow"/>
          <w:shd w:val="clear" w:color="auto" w:fill="FFFF00"/>
        </w:rPr>
        <w:t xml:space="preserve"> to undertake MHA work</w:t>
      </w:r>
      <w:r w:rsidRPr="003B1851">
        <w:rPr>
          <w:rFonts w:ascii="Tahoma" w:hAnsi="Tahoma" w:cs="Tahoma"/>
          <w:color w:val="000000" w:themeColor="text1"/>
          <w:highlight w:val="yellow"/>
        </w:rPr>
        <w:t xml:space="preserve">. However, </w:t>
      </w:r>
      <w:r w:rsidR="00C10FF6" w:rsidRPr="003B1851">
        <w:rPr>
          <w:rFonts w:ascii="Tahoma" w:hAnsi="Tahoma" w:cs="Tahoma"/>
          <w:color w:val="000000" w:themeColor="text1"/>
          <w:highlight w:val="yellow"/>
        </w:rPr>
        <w:t xml:space="preserve">there is no </w:t>
      </w:r>
      <w:r w:rsidR="002F0EF2" w:rsidRPr="003B1851">
        <w:rPr>
          <w:rFonts w:ascii="Tahoma" w:hAnsi="Tahoma" w:cs="Tahoma"/>
          <w:color w:val="000000" w:themeColor="text1"/>
          <w:highlight w:val="yellow"/>
        </w:rPr>
        <w:t>reliable</w:t>
      </w:r>
      <w:r w:rsidR="00C10FF6" w:rsidRPr="003B1851">
        <w:rPr>
          <w:rFonts w:ascii="Tahoma" w:hAnsi="Tahoma" w:cs="Tahoma"/>
          <w:color w:val="000000" w:themeColor="text1"/>
          <w:highlight w:val="yellow"/>
        </w:rPr>
        <w:t xml:space="preserve"> formula to establish how many AMHPs a local authority should employ (Huxley</w:t>
      </w:r>
      <w:r w:rsidR="00BB2AF5" w:rsidRPr="003B1851">
        <w:rPr>
          <w:rFonts w:ascii="Tahoma" w:hAnsi="Tahoma" w:cs="Tahoma"/>
          <w:color w:val="000000" w:themeColor="text1"/>
          <w:highlight w:val="yellow"/>
        </w:rPr>
        <w:t xml:space="preserve"> &amp; Evans</w:t>
      </w:r>
      <w:r w:rsidR="00C10FF6" w:rsidRPr="003B1851">
        <w:rPr>
          <w:rFonts w:ascii="Tahoma" w:hAnsi="Tahoma" w:cs="Tahoma"/>
          <w:color w:val="000000" w:themeColor="text1"/>
          <w:highlight w:val="yellow"/>
        </w:rPr>
        <w:t xml:space="preserve"> et al 2005), </w:t>
      </w:r>
      <w:r w:rsidR="00C10FF6" w:rsidRPr="003B1851">
        <w:rPr>
          <w:rFonts w:ascii="Tahoma" w:hAnsi="Tahoma" w:cs="Tahoma"/>
          <w:color w:val="000000" w:themeColor="text1"/>
          <w:highlight w:val="yellow"/>
        </w:rPr>
        <w:lastRenderedPageBreak/>
        <w:t xml:space="preserve">and </w:t>
      </w:r>
      <w:r w:rsidR="001E7D20" w:rsidRPr="003B1851">
        <w:rPr>
          <w:rFonts w:ascii="Tahoma" w:hAnsi="Tahoma" w:cs="Tahoma"/>
          <w:color w:val="000000" w:themeColor="text1"/>
          <w:highlight w:val="yellow"/>
        </w:rPr>
        <w:t xml:space="preserve">there is no guidance on </w:t>
      </w:r>
      <w:r w:rsidR="002F0EF2" w:rsidRPr="003B1851">
        <w:rPr>
          <w:rFonts w:ascii="Tahoma" w:hAnsi="Tahoma" w:cs="Tahoma"/>
          <w:color w:val="000000" w:themeColor="text1"/>
          <w:highlight w:val="yellow"/>
        </w:rPr>
        <w:t>whether</w:t>
      </w:r>
      <w:r w:rsidR="00C10FF6" w:rsidRPr="003B1851">
        <w:rPr>
          <w:rFonts w:ascii="Tahoma" w:hAnsi="Tahoma" w:cs="Tahoma"/>
          <w:color w:val="000000" w:themeColor="text1"/>
          <w:highlight w:val="yellow"/>
        </w:rPr>
        <w:t xml:space="preserve"> professional diversity</w:t>
      </w:r>
      <w:r w:rsidR="001E7D20" w:rsidRPr="003B1851">
        <w:rPr>
          <w:rFonts w:ascii="Tahoma" w:hAnsi="Tahoma" w:cs="Tahoma"/>
          <w:color w:val="000000" w:themeColor="text1"/>
          <w:highlight w:val="yellow"/>
        </w:rPr>
        <w:t xml:space="preserve"> is important</w:t>
      </w:r>
      <w:r w:rsidR="00C10FF6" w:rsidRPr="003B1851">
        <w:rPr>
          <w:rFonts w:ascii="Tahoma" w:hAnsi="Tahoma" w:cs="Tahoma"/>
          <w:color w:val="000000" w:themeColor="text1"/>
          <w:highlight w:val="yellow"/>
        </w:rPr>
        <w:t xml:space="preserve">. </w:t>
      </w:r>
      <w:r w:rsidR="00C10FF6" w:rsidRPr="003B1851">
        <w:rPr>
          <w:rFonts w:ascii="Tahoma" w:hAnsi="Tahoma" w:cs="Tahoma"/>
          <w:color w:val="000000" w:themeColor="text1"/>
          <w:highlight w:val="yellow"/>
          <w:shd w:val="clear" w:color="auto" w:fill="FFFF00"/>
        </w:rPr>
        <w:t xml:space="preserve">Equally, </w:t>
      </w:r>
      <w:r w:rsidR="00540315" w:rsidRPr="003B1851">
        <w:rPr>
          <w:rFonts w:ascii="Tahoma" w:hAnsi="Tahoma" w:cs="Tahoma"/>
          <w:color w:val="000000" w:themeColor="text1"/>
          <w:highlight w:val="yellow"/>
          <w:shd w:val="clear" w:color="auto" w:fill="FFFF00"/>
        </w:rPr>
        <w:t xml:space="preserve">a national profile of the number of AMHPs is lacking as there is no </w:t>
      </w:r>
      <w:r w:rsidR="00BF5703" w:rsidRPr="003B1851">
        <w:rPr>
          <w:rFonts w:ascii="Tahoma" w:hAnsi="Tahoma" w:cs="Tahoma"/>
          <w:color w:val="000000" w:themeColor="text1"/>
          <w:highlight w:val="yellow"/>
          <w:shd w:val="clear" w:color="auto" w:fill="FFFF00"/>
        </w:rPr>
        <w:t xml:space="preserve">formal </w:t>
      </w:r>
      <w:r w:rsidR="00540315" w:rsidRPr="003B1851">
        <w:rPr>
          <w:rFonts w:ascii="Tahoma" w:hAnsi="Tahoma" w:cs="Tahoma"/>
          <w:color w:val="000000" w:themeColor="text1"/>
          <w:highlight w:val="yellow"/>
          <w:shd w:val="clear" w:color="auto" w:fill="FFFF00"/>
        </w:rPr>
        <w:t>central</w:t>
      </w:r>
      <w:r w:rsidR="00BF5703" w:rsidRPr="003B1851">
        <w:rPr>
          <w:rFonts w:ascii="Tahoma" w:hAnsi="Tahoma" w:cs="Tahoma"/>
          <w:color w:val="000000" w:themeColor="text1"/>
          <w:highlight w:val="yellow"/>
          <w:shd w:val="clear" w:color="auto" w:fill="FFFF00"/>
        </w:rPr>
        <w:t>ised</w:t>
      </w:r>
      <w:r w:rsidR="00540315" w:rsidRPr="003B1851">
        <w:rPr>
          <w:rFonts w:ascii="Tahoma" w:hAnsi="Tahoma" w:cs="Tahoma"/>
          <w:color w:val="000000" w:themeColor="text1"/>
          <w:highlight w:val="yellow"/>
          <w:shd w:val="clear" w:color="auto" w:fill="FFFF00"/>
        </w:rPr>
        <w:t xml:space="preserve"> database </w:t>
      </w:r>
      <w:r w:rsidR="00BF5703" w:rsidRPr="003B1851">
        <w:rPr>
          <w:rFonts w:ascii="Tahoma" w:hAnsi="Tahoma" w:cs="Tahoma"/>
          <w:color w:val="000000" w:themeColor="text1"/>
          <w:highlight w:val="yellow"/>
          <w:shd w:val="clear" w:color="auto" w:fill="FFFF00"/>
        </w:rPr>
        <w:t xml:space="preserve">within England and Wales </w:t>
      </w:r>
      <w:r w:rsidR="00540315" w:rsidRPr="003B1851">
        <w:rPr>
          <w:rFonts w:ascii="Tahoma" w:hAnsi="Tahoma" w:cs="Tahoma"/>
          <w:color w:val="000000" w:themeColor="text1"/>
          <w:highlight w:val="yellow"/>
          <w:shd w:val="clear" w:color="auto" w:fill="FFFF00"/>
        </w:rPr>
        <w:t>to record these figures, and no mechanism</w:t>
      </w:r>
      <w:r w:rsidR="00BF5703" w:rsidRPr="003B1851">
        <w:rPr>
          <w:rFonts w:ascii="Tahoma" w:hAnsi="Tahoma" w:cs="Tahoma"/>
          <w:color w:val="000000" w:themeColor="text1"/>
          <w:highlight w:val="yellow"/>
          <w:shd w:val="clear" w:color="auto" w:fill="FFFF00"/>
        </w:rPr>
        <w:t xml:space="preserve"> or requirement</w:t>
      </w:r>
      <w:r w:rsidR="00540315" w:rsidRPr="003B1851">
        <w:rPr>
          <w:rFonts w:ascii="Tahoma" w:hAnsi="Tahoma" w:cs="Tahoma"/>
          <w:color w:val="000000" w:themeColor="text1"/>
          <w:highlight w:val="yellow"/>
          <w:shd w:val="clear" w:color="auto" w:fill="FFFF00"/>
        </w:rPr>
        <w:t xml:space="preserve"> for these figures to be reported by the local author</w:t>
      </w:r>
      <w:r w:rsidR="00BF5703" w:rsidRPr="003B1851">
        <w:rPr>
          <w:rFonts w:ascii="Tahoma" w:hAnsi="Tahoma" w:cs="Tahoma"/>
          <w:color w:val="000000" w:themeColor="text1"/>
          <w:highlight w:val="yellow"/>
          <w:shd w:val="clear" w:color="auto" w:fill="FFFF00"/>
        </w:rPr>
        <w:t xml:space="preserve">ities who employ AMHPs, despite holding </w:t>
      </w:r>
      <w:r w:rsidR="00077EC3" w:rsidRPr="003B1851">
        <w:rPr>
          <w:rFonts w:ascii="Tahoma" w:hAnsi="Tahoma" w:cs="Tahoma"/>
          <w:color w:val="000000" w:themeColor="text1"/>
          <w:highlight w:val="yellow"/>
          <w:shd w:val="clear" w:color="auto" w:fill="FFFF00"/>
        </w:rPr>
        <w:t>these</w:t>
      </w:r>
      <w:r w:rsidR="00BF5703" w:rsidRPr="003B1851">
        <w:rPr>
          <w:rFonts w:ascii="Tahoma" w:hAnsi="Tahoma" w:cs="Tahoma"/>
          <w:color w:val="000000" w:themeColor="text1"/>
          <w:highlight w:val="yellow"/>
          <w:shd w:val="clear" w:color="auto" w:fill="FFFF00"/>
        </w:rPr>
        <w:t xml:space="preserve"> records themselves. </w:t>
      </w:r>
      <w:r w:rsidR="00C10FF6" w:rsidRPr="003B1851">
        <w:rPr>
          <w:rFonts w:ascii="Tahoma" w:hAnsi="Tahoma" w:cs="Tahoma"/>
          <w:highlight w:val="yellow"/>
        </w:rPr>
        <w:t xml:space="preserve">This lack of a centralised workforce picture </w:t>
      </w:r>
      <w:r w:rsidR="00C40277" w:rsidRPr="003B1851">
        <w:rPr>
          <w:rFonts w:ascii="Tahoma" w:hAnsi="Tahoma" w:cs="Tahoma"/>
          <w:highlight w:val="yellow"/>
        </w:rPr>
        <w:t xml:space="preserve">has recently </w:t>
      </w:r>
      <w:r w:rsidR="00C10FF6" w:rsidRPr="003B1851">
        <w:rPr>
          <w:rFonts w:ascii="Tahoma" w:hAnsi="Tahoma" w:cs="Tahoma"/>
          <w:highlight w:val="yellow"/>
        </w:rPr>
        <w:t xml:space="preserve">tentatively acknowledged in </w:t>
      </w:r>
      <w:r w:rsidR="00C40277" w:rsidRPr="003B1851">
        <w:rPr>
          <w:rFonts w:ascii="Tahoma" w:hAnsi="Tahoma" w:cs="Tahoma"/>
          <w:highlight w:val="yellow"/>
        </w:rPr>
        <w:t xml:space="preserve">a </w:t>
      </w:r>
      <w:r w:rsidR="00C10FF6" w:rsidRPr="003B1851">
        <w:rPr>
          <w:rFonts w:ascii="Tahoma" w:hAnsi="Tahoma" w:cs="Tahoma"/>
          <w:highlight w:val="yellow"/>
        </w:rPr>
        <w:t>consultation document relating to the creation of ‘Soci</w:t>
      </w:r>
      <w:r w:rsidR="0021757A" w:rsidRPr="003B1851">
        <w:rPr>
          <w:rFonts w:ascii="Tahoma" w:hAnsi="Tahoma" w:cs="Tahoma"/>
          <w:highlight w:val="yellow"/>
        </w:rPr>
        <w:t>al Work England’ (DoE 2018)</w:t>
      </w:r>
      <w:r w:rsidR="000D655D" w:rsidRPr="003B1851">
        <w:rPr>
          <w:rFonts w:ascii="Tahoma" w:hAnsi="Tahoma" w:cs="Tahoma"/>
          <w:highlight w:val="yellow"/>
        </w:rPr>
        <w:t>, the new regulator for the social work profession</w:t>
      </w:r>
      <w:r w:rsidR="0021757A" w:rsidRPr="003B1851">
        <w:rPr>
          <w:rFonts w:ascii="Tahoma" w:hAnsi="Tahoma" w:cs="Tahoma"/>
          <w:highlight w:val="yellow"/>
        </w:rPr>
        <w:t>. Their</w:t>
      </w:r>
      <w:r w:rsidR="00C10FF6" w:rsidRPr="003B1851">
        <w:rPr>
          <w:rFonts w:ascii="Tahoma" w:hAnsi="Tahoma" w:cs="Tahoma"/>
          <w:highlight w:val="yellow"/>
        </w:rPr>
        <w:t xml:space="preserve"> proposal is to give recognition of post qualifying specialisms such as AMHP by annotating the new </w:t>
      </w:r>
      <w:r w:rsidR="00C40277" w:rsidRPr="003B1851">
        <w:rPr>
          <w:rFonts w:ascii="Tahoma" w:hAnsi="Tahoma" w:cs="Tahoma"/>
          <w:highlight w:val="yellow"/>
        </w:rPr>
        <w:t xml:space="preserve">social work </w:t>
      </w:r>
      <w:r w:rsidR="00C10FF6" w:rsidRPr="003B1851">
        <w:rPr>
          <w:rFonts w:ascii="Tahoma" w:hAnsi="Tahoma" w:cs="Tahoma"/>
          <w:highlight w:val="yellow"/>
        </w:rPr>
        <w:t>register</w:t>
      </w:r>
      <w:r w:rsidR="0021757A" w:rsidRPr="003B1851">
        <w:rPr>
          <w:rFonts w:ascii="Tahoma" w:hAnsi="Tahoma" w:cs="Tahoma"/>
          <w:highlight w:val="yellow"/>
        </w:rPr>
        <w:t>,</w:t>
      </w:r>
      <w:r w:rsidR="00C10FF6" w:rsidRPr="003B1851">
        <w:rPr>
          <w:rFonts w:ascii="Tahoma" w:hAnsi="Tahoma" w:cs="Tahoma"/>
          <w:highlight w:val="yellow"/>
        </w:rPr>
        <w:t xml:space="preserve"> and is a likely </w:t>
      </w:r>
      <w:r w:rsidR="00C40277" w:rsidRPr="003B1851">
        <w:rPr>
          <w:rFonts w:ascii="Tahoma" w:hAnsi="Tahoma" w:cs="Tahoma"/>
          <w:highlight w:val="yellow"/>
        </w:rPr>
        <w:t xml:space="preserve">to become a </w:t>
      </w:r>
      <w:r w:rsidR="00C10FF6" w:rsidRPr="003B1851">
        <w:rPr>
          <w:rFonts w:ascii="Tahoma" w:hAnsi="Tahoma" w:cs="Tahoma"/>
          <w:highlight w:val="yellow"/>
        </w:rPr>
        <w:t xml:space="preserve">regulatory power for </w:t>
      </w:r>
      <w:r w:rsidR="002F0EF2" w:rsidRPr="003B1851">
        <w:rPr>
          <w:rFonts w:ascii="Tahoma" w:hAnsi="Tahoma" w:cs="Tahoma"/>
          <w:highlight w:val="yellow"/>
        </w:rPr>
        <w:t>Social Work England</w:t>
      </w:r>
      <w:r w:rsidR="00C40277" w:rsidRPr="003B1851">
        <w:rPr>
          <w:rFonts w:ascii="Tahoma" w:hAnsi="Tahoma" w:cs="Tahoma"/>
          <w:highlight w:val="yellow"/>
        </w:rPr>
        <w:t>.</w:t>
      </w:r>
      <w:r w:rsidR="00C10FF6" w:rsidRPr="003B1851">
        <w:rPr>
          <w:rFonts w:ascii="Tahoma" w:hAnsi="Tahoma" w:cs="Tahoma"/>
          <w:highlight w:val="yellow"/>
        </w:rPr>
        <w:t xml:space="preserve"> </w:t>
      </w:r>
      <w:r w:rsidR="00C40277" w:rsidRPr="003B1851">
        <w:rPr>
          <w:rFonts w:ascii="Tahoma" w:hAnsi="Tahoma" w:cs="Tahoma"/>
          <w:highlight w:val="yellow"/>
        </w:rPr>
        <w:t>H</w:t>
      </w:r>
      <w:r w:rsidR="00C10FF6" w:rsidRPr="003B1851">
        <w:rPr>
          <w:rFonts w:ascii="Tahoma" w:hAnsi="Tahoma" w:cs="Tahoma"/>
          <w:highlight w:val="yellow"/>
        </w:rPr>
        <w:t>owever</w:t>
      </w:r>
      <w:r w:rsidR="005E6997" w:rsidRPr="003B1851">
        <w:rPr>
          <w:rFonts w:ascii="Tahoma" w:hAnsi="Tahoma" w:cs="Tahoma"/>
          <w:highlight w:val="yellow"/>
        </w:rPr>
        <w:t>,</w:t>
      </w:r>
      <w:r w:rsidR="00C10FF6" w:rsidRPr="003B1851">
        <w:rPr>
          <w:rFonts w:ascii="Tahoma" w:hAnsi="Tahoma" w:cs="Tahoma"/>
          <w:highlight w:val="yellow"/>
        </w:rPr>
        <w:t xml:space="preserve"> how this will be utilised for non-social work AMH</w:t>
      </w:r>
      <w:bookmarkStart w:id="0" w:name="_GoBack"/>
      <w:bookmarkEnd w:id="0"/>
      <w:r w:rsidR="00C10FF6" w:rsidRPr="003B1851">
        <w:rPr>
          <w:rFonts w:ascii="Tahoma" w:hAnsi="Tahoma" w:cs="Tahoma"/>
          <w:highlight w:val="yellow"/>
        </w:rPr>
        <w:t xml:space="preserve">Ps remains unclear. </w:t>
      </w:r>
    </w:p>
    <w:p w14:paraId="7B86FFE1" w14:textId="28806F27" w:rsidR="00D77559" w:rsidRPr="003B1851" w:rsidRDefault="00812F45"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The aim of this paper is to explore the experiences of nurses who have </w:t>
      </w:r>
      <w:r w:rsidR="00B570B5" w:rsidRPr="003B1851">
        <w:rPr>
          <w:rFonts w:ascii="Tahoma" w:hAnsi="Tahoma" w:cs="Tahoma"/>
          <w:highlight w:val="yellow"/>
        </w:rPr>
        <w:t xml:space="preserve">put themselves forward for AMHP training, and </w:t>
      </w:r>
      <w:r w:rsidR="00486246" w:rsidRPr="003B1851">
        <w:rPr>
          <w:rFonts w:ascii="Tahoma" w:hAnsi="Tahoma" w:cs="Tahoma"/>
          <w:highlight w:val="yellow"/>
        </w:rPr>
        <w:t>take</w:t>
      </w:r>
      <w:r w:rsidR="00B570B5" w:rsidRPr="003B1851">
        <w:rPr>
          <w:rFonts w:ascii="Tahoma" w:hAnsi="Tahoma" w:cs="Tahoma"/>
          <w:highlight w:val="yellow"/>
        </w:rPr>
        <w:t>n</w:t>
      </w:r>
      <w:r w:rsidR="00486246" w:rsidRPr="003B1851">
        <w:rPr>
          <w:rFonts w:ascii="Tahoma" w:hAnsi="Tahoma" w:cs="Tahoma"/>
          <w:highlight w:val="yellow"/>
        </w:rPr>
        <w:t xml:space="preserve"> up this important professional development opportunity as an AMHP. </w:t>
      </w:r>
    </w:p>
    <w:p w14:paraId="5199F651" w14:textId="4F99E1CC" w:rsidR="00682990" w:rsidRPr="003B1851" w:rsidRDefault="00682990" w:rsidP="00291BB8">
      <w:pPr>
        <w:spacing w:before="100" w:beforeAutospacing="1" w:after="100" w:afterAutospacing="1" w:line="480" w:lineRule="auto"/>
        <w:jc w:val="both"/>
        <w:rPr>
          <w:rFonts w:ascii="Tahoma" w:hAnsi="Tahoma" w:cs="Tahoma"/>
          <w:b/>
          <w:highlight w:val="yellow"/>
        </w:rPr>
      </w:pPr>
      <w:r w:rsidRPr="003B1851">
        <w:rPr>
          <w:rFonts w:ascii="Tahoma" w:hAnsi="Tahoma" w:cs="Tahoma"/>
          <w:b/>
          <w:highlight w:val="yellow"/>
        </w:rPr>
        <w:t xml:space="preserve">Methods </w:t>
      </w:r>
    </w:p>
    <w:p w14:paraId="1A8B63BC" w14:textId="77777777" w:rsidR="00682990" w:rsidRPr="003B1851" w:rsidRDefault="00682990" w:rsidP="00291BB8">
      <w:pPr>
        <w:spacing w:before="100" w:beforeAutospacing="1" w:after="100" w:afterAutospacing="1" w:line="480" w:lineRule="auto"/>
        <w:jc w:val="both"/>
        <w:rPr>
          <w:rFonts w:ascii="Tahoma" w:hAnsi="Tahoma" w:cs="Tahoma"/>
          <w:b/>
          <w:highlight w:val="yellow"/>
        </w:rPr>
      </w:pPr>
      <w:r w:rsidRPr="003B1851">
        <w:rPr>
          <w:rFonts w:ascii="Tahoma" w:hAnsi="Tahoma" w:cs="Tahoma"/>
          <w:b/>
          <w:highlight w:val="yellow"/>
        </w:rPr>
        <w:t xml:space="preserve">Research sample </w:t>
      </w:r>
    </w:p>
    <w:p w14:paraId="4A0C4D85" w14:textId="2EB4F193" w:rsidR="00BD6050" w:rsidRPr="003B1851" w:rsidRDefault="009F22A2"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This study employed a qualitative methodology with semi-structured interviews conducted with 10 nurse AMHPS</w:t>
      </w:r>
      <w:r w:rsidR="008601CE" w:rsidRPr="003B1851">
        <w:rPr>
          <w:rFonts w:ascii="Tahoma" w:hAnsi="Tahoma" w:cs="Tahoma"/>
          <w:highlight w:val="yellow"/>
        </w:rPr>
        <w:t xml:space="preserve"> focusing upon their recruitment, training, warranting and practice as an AMHP. This was </w:t>
      </w:r>
      <w:r w:rsidR="00682990" w:rsidRPr="003B1851">
        <w:rPr>
          <w:rFonts w:ascii="Tahoma" w:hAnsi="Tahoma" w:cs="Tahoma"/>
          <w:highlight w:val="yellow"/>
        </w:rPr>
        <w:t xml:space="preserve">part of a larger </w:t>
      </w:r>
      <w:r w:rsidR="003A1F85" w:rsidRPr="003B1851">
        <w:rPr>
          <w:rFonts w:ascii="Tahoma" w:hAnsi="Tahoma" w:cs="Tahoma"/>
          <w:highlight w:val="yellow"/>
        </w:rPr>
        <w:t xml:space="preserve">qualitative </w:t>
      </w:r>
      <w:r w:rsidR="00682990" w:rsidRPr="003B1851">
        <w:rPr>
          <w:rFonts w:ascii="Tahoma" w:hAnsi="Tahoma" w:cs="Tahoma"/>
          <w:highlight w:val="yellow"/>
        </w:rPr>
        <w:t>study</w:t>
      </w:r>
      <w:r w:rsidR="00E34904" w:rsidRPr="003B1851">
        <w:rPr>
          <w:rFonts w:ascii="Tahoma" w:hAnsi="Tahoma" w:cs="Tahoma"/>
          <w:highlight w:val="yellow"/>
        </w:rPr>
        <w:t xml:space="preserve"> comparing the decision making of social work and nurse AMHPs</w:t>
      </w:r>
      <w:r w:rsidR="00682990" w:rsidRPr="003B1851">
        <w:rPr>
          <w:rFonts w:ascii="Tahoma" w:hAnsi="Tahoma" w:cs="Tahoma"/>
          <w:highlight w:val="yellow"/>
        </w:rPr>
        <w:t xml:space="preserve"> (Stone 2018)</w:t>
      </w:r>
      <w:r w:rsidRPr="003B1851">
        <w:rPr>
          <w:rFonts w:ascii="Tahoma" w:hAnsi="Tahoma" w:cs="Tahoma"/>
          <w:highlight w:val="yellow"/>
        </w:rPr>
        <w:t xml:space="preserve">. </w:t>
      </w:r>
      <w:r w:rsidR="00682990" w:rsidRPr="003B1851">
        <w:rPr>
          <w:rFonts w:ascii="Tahoma" w:hAnsi="Tahoma" w:cs="Tahoma"/>
          <w:highlight w:val="yellow"/>
        </w:rPr>
        <w:t xml:space="preserve"> </w:t>
      </w:r>
    </w:p>
    <w:p w14:paraId="068D35E8" w14:textId="6A60C1BD" w:rsidR="005C2FE7" w:rsidRPr="003B1851" w:rsidRDefault="009F22A2"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Participants</w:t>
      </w:r>
      <w:r w:rsidR="00394861" w:rsidRPr="003B1851">
        <w:rPr>
          <w:rFonts w:ascii="Tahoma" w:hAnsi="Tahoma" w:cs="Tahoma"/>
          <w:highlight w:val="yellow"/>
        </w:rPr>
        <w:t xml:space="preserve"> were recruited using </w:t>
      </w:r>
      <w:r w:rsidR="00682990" w:rsidRPr="003B1851">
        <w:rPr>
          <w:rFonts w:ascii="Tahoma" w:hAnsi="Tahoma" w:cs="Tahoma"/>
          <w:highlight w:val="yellow"/>
        </w:rPr>
        <w:t>non-probability sampling (Gilbert 2008) across four</w:t>
      </w:r>
      <w:r w:rsidR="00E34904" w:rsidRPr="003B1851">
        <w:rPr>
          <w:rFonts w:ascii="Tahoma" w:hAnsi="Tahoma" w:cs="Tahoma"/>
          <w:highlight w:val="yellow"/>
        </w:rPr>
        <w:t xml:space="preserve"> local authority</w:t>
      </w:r>
      <w:r w:rsidR="00682990" w:rsidRPr="003B1851">
        <w:rPr>
          <w:rFonts w:ascii="Tahoma" w:hAnsi="Tahoma" w:cs="Tahoma"/>
          <w:highlight w:val="yellow"/>
        </w:rPr>
        <w:t xml:space="preserve"> sites</w:t>
      </w:r>
      <w:r w:rsidRPr="003B1851">
        <w:rPr>
          <w:rFonts w:ascii="Tahoma" w:hAnsi="Tahoma" w:cs="Tahoma"/>
          <w:highlight w:val="yellow"/>
        </w:rPr>
        <w:t xml:space="preserve">. These sites were approached </w:t>
      </w:r>
      <w:r w:rsidR="004962FD" w:rsidRPr="003B1851">
        <w:rPr>
          <w:rFonts w:ascii="Tahoma" w:hAnsi="Tahoma" w:cs="Tahoma"/>
          <w:highlight w:val="yellow"/>
        </w:rPr>
        <w:t>using</w:t>
      </w:r>
      <w:r w:rsidR="00A33DDD" w:rsidRPr="003B1851">
        <w:rPr>
          <w:rFonts w:ascii="Tahoma" w:hAnsi="Tahoma" w:cs="Tahoma"/>
          <w:highlight w:val="yellow"/>
        </w:rPr>
        <w:t xml:space="preserve"> information</w:t>
      </w:r>
      <w:r w:rsidR="003162EC" w:rsidRPr="003B1851">
        <w:rPr>
          <w:rFonts w:ascii="Tahoma" w:hAnsi="Tahoma" w:cs="Tahoma"/>
          <w:highlight w:val="yellow"/>
        </w:rPr>
        <w:t xml:space="preserve"> provided </w:t>
      </w:r>
      <w:r w:rsidR="00682990" w:rsidRPr="003B1851">
        <w:rPr>
          <w:rFonts w:ascii="Tahoma" w:hAnsi="Tahoma" w:cs="Tahoma"/>
          <w:highlight w:val="yellow"/>
        </w:rPr>
        <w:t xml:space="preserve">by </w:t>
      </w:r>
      <w:r w:rsidR="00394861" w:rsidRPr="003B1851">
        <w:rPr>
          <w:rFonts w:ascii="Tahoma" w:hAnsi="Tahoma" w:cs="Tahoma"/>
          <w:highlight w:val="yellow"/>
        </w:rPr>
        <w:t>the</w:t>
      </w:r>
      <w:r w:rsidR="00682990" w:rsidRPr="003B1851">
        <w:rPr>
          <w:rFonts w:ascii="Tahoma" w:hAnsi="Tahoma" w:cs="Tahoma"/>
          <w:highlight w:val="yellow"/>
        </w:rPr>
        <w:t xml:space="preserve"> AMHP Leads Network (Bogg 2011)</w:t>
      </w:r>
      <w:r w:rsidR="004973D5" w:rsidRPr="003B1851">
        <w:rPr>
          <w:rFonts w:ascii="Tahoma" w:hAnsi="Tahoma" w:cs="Tahoma"/>
          <w:highlight w:val="yellow"/>
        </w:rPr>
        <w:t xml:space="preserve"> </w:t>
      </w:r>
      <w:r w:rsidR="00A33DDD" w:rsidRPr="003B1851">
        <w:rPr>
          <w:rFonts w:ascii="Tahoma" w:hAnsi="Tahoma" w:cs="Tahoma"/>
          <w:highlight w:val="yellow"/>
        </w:rPr>
        <w:t>as possibly employing nurse AMHPs within their workforce</w:t>
      </w:r>
      <w:r w:rsidR="00C40277" w:rsidRPr="003B1851">
        <w:rPr>
          <w:rFonts w:ascii="Tahoma" w:hAnsi="Tahoma" w:cs="Tahoma"/>
          <w:highlight w:val="yellow"/>
        </w:rPr>
        <w:t xml:space="preserve">. </w:t>
      </w:r>
      <w:r w:rsidR="00A33DDD" w:rsidRPr="003B1851">
        <w:rPr>
          <w:rFonts w:ascii="Tahoma" w:hAnsi="Tahoma" w:cs="Tahoma"/>
          <w:highlight w:val="yellow"/>
        </w:rPr>
        <w:t>T</w:t>
      </w:r>
      <w:r w:rsidR="003162EC" w:rsidRPr="003B1851">
        <w:rPr>
          <w:rFonts w:ascii="Tahoma" w:hAnsi="Tahoma" w:cs="Tahoma"/>
          <w:highlight w:val="yellow"/>
        </w:rPr>
        <w:t>he AMHP lead for the local authority</w:t>
      </w:r>
      <w:r w:rsidR="00C40277" w:rsidRPr="003B1851">
        <w:rPr>
          <w:rFonts w:ascii="Tahoma" w:hAnsi="Tahoma" w:cs="Tahoma"/>
          <w:highlight w:val="yellow"/>
        </w:rPr>
        <w:t xml:space="preserve"> in these areas</w:t>
      </w:r>
      <w:r w:rsidR="003162EC" w:rsidRPr="003B1851">
        <w:rPr>
          <w:rFonts w:ascii="Tahoma" w:hAnsi="Tahoma" w:cs="Tahoma"/>
          <w:highlight w:val="yellow"/>
        </w:rPr>
        <w:t xml:space="preserve"> acted as introducer to the research study. </w:t>
      </w:r>
      <w:r w:rsidR="005C2FE7" w:rsidRPr="003B1851">
        <w:rPr>
          <w:rFonts w:ascii="Tahoma" w:hAnsi="Tahoma" w:cs="Tahoma"/>
          <w:highlight w:val="yellow"/>
        </w:rPr>
        <w:t xml:space="preserve">The </w:t>
      </w:r>
      <w:r w:rsidR="005C2FE7" w:rsidRPr="003B1851">
        <w:rPr>
          <w:rFonts w:ascii="Tahoma" w:hAnsi="Tahoma" w:cs="Tahoma"/>
          <w:highlight w:val="yellow"/>
        </w:rPr>
        <w:lastRenderedPageBreak/>
        <w:t>intervi</w:t>
      </w:r>
      <w:r w:rsidR="003A1F85" w:rsidRPr="003B1851">
        <w:rPr>
          <w:rFonts w:ascii="Tahoma" w:hAnsi="Tahoma" w:cs="Tahoma"/>
          <w:highlight w:val="yellow"/>
        </w:rPr>
        <w:t xml:space="preserve">ews were transcribed, analysed and coded </w:t>
      </w:r>
      <w:r w:rsidR="003A1F85" w:rsidRPr="003B1851">
        <w:rPr>
          <w:rFonts w:ascii="Tahoma" w:eastAsia="Times New Roman" w:hAnsi="Tahoma" w:cs="Tahoma"/>
          <w:highlight w:val="yellow"/>
          <w:lang w:eastAsia="en-GB"/>
        </w:rPr>
        <w:t>using NVIVO 10 software</w:t>
      </w:r>
      <w:r w:rsidR="003A1F85" w:rsidRPr="003B1851">
        <w:rPr>
          <w:rFonts w:ascii="Tahoma" w:hAnsi="Tahoma" w:cs="Tahoma"/>
          <w:highlight w:val="yellow"/>
        </w:rPr>
        <w:t xml:space="preserve"> to enable themes to emerge </w:t>
      </w:r>
      <w:r w:rsidR="005C2FE7" w:rsidRPr="003B1851">
        <w:rPr>
          <w:rFonts w:ascii="Tahoma" w:hAnsi="Tahoma" w:cs="Tahoma"/>
          <w:highlight w:val="yellow"/>
        </w:rPr>
        <w:t>(Braun &amp; Clarke 2006)</w:t>
      </w:r>
      <w:r w:rsidR="003A1F85" w:rsidRPr="003B1851">
        <w:rPr>
          <w:rFonts w:ascii="Tahoma" w:hAnsi="Tahoma" w:cs="Tahoma"/>
          <w:highlight w:val="yellow"/>
        </w:rPr>
        <w:t xml:space="preserve">. </w:t>
      </w:r>
      <w:r w:rsidR="005C2FE7" w:rsidRPr="003B1851">
        <w:rPr>
          <w:rFonts w:ascii="Tahoma" w:eastAsia="Times New Roman" w:hAnsi="Tahoma" w:cs="Tahoma"/>
          <w:highlight w:val="yellow"/>
          <w:lang w:eastAsia="en-GB"/>
        </w:rPr>
        <w:t xml:space="preserve"> </w:t>
      </w:r>
    </w:p>
    <w:p w14:paraId="287126E9" w14:textId="0D994324" w:rsidR="00CC530A" w:rsidRPr="003B1851" w:rsidRDefault="00DD085C"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shd w:val="clear" w:color="auto" w:fill="FFFF00"/>
        </w:rPr>
        <w:t>The nurse AMHP participant sample included 3 men and 7 women</w:t>
      </w:r>
      <w:r w:rsidR="00AA5EEB" w:rsidRPr="003B1851">
        <w:rPr>
          <w:rFonts w:ascii="Tahoma" w:hAnsi="Tahoma" w:cs="Tahoma"/>
          <w:highlight w:val="yellow"/>
        </w:rPr>
        <w:t>. All started practi</w:t>
      </w:r>
      <w:r w:rsidR="003319D2" w:rsidRPr="003B1851">
        <w:rPr>
          <w:rFonts w:ascii="Tahoma" w:hAnsi="Tahoma" w:cs="Tahoma"/>
          <w:highlight w:val="yellow"/>
        </w:rPr>
        <w:t>s</w:t>
      </w:r>
      <w:r w:rsidR="00AA5EEB" w:rsidRPr="003B1851">
        <w:rPr>
          <w:rFonts w:ascii="Tahoma" w:hAnsi="Tahoma" w:cs="Tahoma"/>
          <w:highlight w:val="yellow"/>
        </w:rPr>
        <w:t>ing as an AMHP with</w:t>
      </w:r>
      <w:r w:rsidR="003162EC" w:rsidRPr="003B1851">
        <w:rPr>
          <w:rFonts w:ascii="Tahoma" w:hAnsi="Tahoma" w:cs="Tahoma"/>
          <w:highlight w:val="yellow"/>
        </w:rPr>
        <w:t>in</w:t>
      </w:r>
      <w:r w:rsidR="00AA5EEB" w:rsidRPr="003B1851">
        <w:rPr>
          <w:rFonts w:ascii="Tahoma" w:hAnsi="Tahoma" w:cs="Tahoma"/>
          <w:highlight w:val="yellow"/>
        </w:rPr>
        <w:t xml:space="preserve"> 5 years of the legislative changes</w:t>
      </w:r>
      <w:r w:rsidR="003162EC" w:rsidRPr="003B1851">
        <w:rPr>
          <w:rFonts w:ascii="Tahoma" w:hAnsi="Tahoma" w:cs="Tahoma"/>
          <w:highlight w:val="yellow"/>
        </w:rPr>
        <w:t xml:space="preserve"> in 2007</w:t>
      </w:r>
      <w:r w:rsidR="00AA5EEB" w:rsidRPr="003B1851">
        <w:rPr>
          <w:rFonts w:ascii="Tahoma" w:hAnsi="Tahoma" w:cs="Tahoma"/>
          <w:highlight w:val="yellow"/>
        </w:rPr>
        <w:t xml:space="preserve">. </w:t>
      </w:r>
      <w:r w:rsidR="00682990" w:rsidRPr="003B1851">
        <w:rPr>
          <w:rFonts w:ascii="Tahoma" w:hAnsi="Tahoma" w:cs="Tahoma"/>
          <w:highlight w:val="yellow"/>
        </w:rPr>
        <w:t xml:space="preserve">The age range of the participants was, 30-39 (1 nurse), 40-49 </w:t>
      </w:r>
      <w:r w:rsidR="00BB0452" w:rsidRPr="003B1851">
        <w:rPr>
          <w:rFonts w:ascii="Tahoma" w:hAnsi="Tahoma" w:cs="Tahoma"/>
          <w:highlight w:val="yellow"/>
        </w:rPr>
        <w:t>(</w:t>
      </w:r>
      <w:r w:rsidR="00682990" w:rsidRPr="003B1851">
        <w:rPr>
          <w:rFonts w:ascii="Tahoma" w:hAnsi="Tahoma" w:cs="Tahoma"/>
          <w:highlight w:val="yellow"/>
        </w:rPr>
        <w:t>7 nurses), 50-59 (</w:t>
      </w:r>
      <w:r w:rsidR="00AA5EEB" w:rsidRPr="003B1851">
        <w:rPr>
          <w:rFonts w:ascii="Tahoma" w:hAnsi="Tahoma" w:cs="Tahoma"/>
          <w:highlight w:val="yellow"/>
        </w:rPr>
        <w:t xml:space="preserve">2 nurses). </w:t>
      </w:r>
      <w:r w:rsidR="003162EC" w:rsidRPr="003B1851">
        <w:rPr>
          <w:rFonts w:ascii="Tahoma" w:hAnsi="Tahoma" w:cs="Tahoma"/>
          <w:highlight w:val="yellow"/>
        </w:rPr>
        <w:t>E</w:t>
      </w:r>
      <w:r w:rsidR="00394861" w:rsidRPr="003B1851">
        <w:rPr>
          <w:rFonts w:ascii="Tahoma" w:hAnsi="Tahoma" w:cs="Tahoma"/>
          <w:highlight w:val="yellow"/>
        </w:rPr>
        <w:t>thnicity of the participants</w:t>
      </w:r>
      <w:r w:rsidR="003162EC" w:rsidRPr="003B1851">
        <w:rPr>
          <w:rFonts w:ascii="Tahoma" w:hAnsi="Tahoma" w:cs="Tahoma"/>
          <w:highlight w:val="yellow"/>
        </w:rPr>
        <w:t xml:space="preserve"> was not captured</w:t>
      </w:r>
      <w:r w:rsidR="00682990" w:rsidRPr="003B1851">
        <w:rPr>
          <w:rFonts w:ascii="Tahoma" w:hAnsi="Tahoma" w:cs="Tahoma"/>
          <w:highlight w:val="yellow"/>
        </w:rPr>
        <w:t>.</w:t>
      </w:r>
      <w:r w:rsidR="00394861" w:rsidRPr="003B1851">
        <w:rPr>
          <w:rFonts w:ascii="Tahoma" w:hAnsi="Tahoma" w:cs="Tahoma"/>
          <w:highlight w:val="yellow"/>
        </w:rPr>
        <w:t xml:space="preserve"> </w:t>
      </w:r>
      <w:r w:rsidR="00AA5EEB" w:rsidRPr="003B1851">
        <w:rPr>
          <w:rFonts w:ascii="Tahoma" w:hAnsi="Tahoma" w:cs="Tahoma"/>
          <w:highlight w:val="yellow"/>
        </w:rPr>
        <w:t xml:space="preserve">All the participants were </w:t>
      </w:r>
      <w:r w:rsidR="003162EC" w:rsidRPr="003B1851">
        <w:rPr>
          <w:rFonts w:ascii="Tahoma" w:hAnsi="Tahoma" w:cs="Tahoma"/>
          <w:highlight w:val="yellow"/>
        </w:rPr>
        <w:t xml:space="preserve">interviewed </w:t>
      </w:r>
      <w:r w:rsidR="004973D5" w:rsidRPr="003B1851">
        <w:rPr>
          <w:rFonts w:ascii="Tahoma" w:hAnsi="Tahoma" w:cs="Tahoma"/>
          <w:highlight w:val="yellow"/>
        </w:rPr>
        <w:t xml:space="preserve">face to face, </w:t>
      </w:r>
      <w:r w:rsidR="003162EC" w:rsidRPr="003B1851">
        <w:rPr>
          <w:rFonts w:ascii="Tahoma" w:hAnsi="Tahoma" w:cs="Tahoma"/>
          <w:highlight w:val="yellow"/>
        </w:rPr>
        <w:t>using a</w:t>
      </w:r>
      <w:r w:rsidR="00C40277" w:rsidRPr="003B1851">
        <w:rPr>
          <w:rFonts w:ascii="Tahoma" w:hAnsi="Tahoma" w:cs="Tahoma"/>
          <w:highlight w:val="yellow"/>
        </w:rPr>
        <w:t xml:space="preserve"> semi </w:t>
      </w:r>
      <w:r w:rsidR="00CC530A" w:rsidRPr="003B1851">
        <w:rPr>
          <w:rFonts w:ascii="Tahoma" w:hAnsi="Tahoma" w:cs="Tahoma"/>
          <w:highlight w:val="yellow"/>
        </w:rPr>
        <w:t xml:space="preserve">structured </w:t>
      </w:r>
      <w:r w:rsidR="004973D5" w:rsidRPr="003B1851">
        <w:rPr>
          <w:rFonts w:ascii="Tahoma" w:hAnsi="Tahoma" w:cs="Tahoma"/>
          <w:highlight w:val="yellow"/>
        </w:rPr>
        <w:t xml:space="preserve">interview </w:t>
      </w:r>
      <w:r w:rsidR="00CC530A" w:rsidRPr="003B1851">
        <w:rPr>
          <w:rFonts w:ascii="Tahoma" w:hAnsi="Tahoma" w:cs="Tahoma"/>
          <w:highlight w:val="yellow"/>
        </w:rPr>
        <w:t>schedule</w:t>
      </w:r>
      <w:r w:rsidR="003162EC" w:rsidRPr="003B1851">
        <w:rPr>
          <w:rFonts w:ascii="Tahoma" w:hAnsi="Tahoma" w:cs="Tahoma"/>
          <w:highlight w:val="yellow"/>
        </w:rPr>
        <w:t xml:space="preserve"> </w:t>
      </w:r>
      <w:r w:rsidR="00C40277" w:rsidRPr="003B1851">
        <w:rPr>
          <w:rFonts w:ascii="Tahoma" w:hAnsi="Tahoma" w:cs="Tahoma"/>
          <w:highlight w:val="yellow"/>
        </w:rPr>
        <w:t>of questions</w:t>
      </w:r>
      <w:r w:rsidR="004973D5" w:rsidRPr="003B1851">
        <w:rPr>
          <w:rFonts w:ascii="Tahoma" w:hAnsi="Tahoma" w:cs="Tahoma"/>
          <w:highlight w:val="yellow"/>
        </w:rPr>
        <w:t xml:space="preserve">. </w:t>
      </w:r>
    </w:p>
    <w:p w14:paraId="17EE8AFE" w14:textId="77777777" w:rsidR="00682990" w:rsidRPr="003B1851" w:rsidRDefault="00682990" w:rsidP="00291BB8">
      <w:pPr>
        <w:pStyle w:val="NoSpacing"/>
        <w:spacing w:before="100" w:beforeAutospacing="1" w:after="100" w:afterAutospacing="1" w:line="480" w:lineRule="auto"/>
        <w:jc w:val="both"/>
        <w:rPr>
          <w:rFonts w:ascii="Tahoma" w:hAnsi="Tahoma" w:cs="Tahoma"/>
          <w:b/>
          <w:highlight w:val="yellow"/>
        </w:rPr>
      </w:pPr>
      <w:r w:rsidRPr="003B1851">
        <w:rPr>
          <w:rFonts w:ascii="Tahoma" w:hAnsi="Tahoma" w:cs="Tahoma"/>
          <w:b/>
          <w:highlight w:val="yellow"/>
        </w:rPr>
        <w:t>Ethics</w:t>
      </w:r>
    </w:p>
    <w:p w14:paraId="22090FBF" w14:textId="3C1A5566" w:rsidR="00812F45" w:rsidRPr="003B1851" w:rsidRDefault="00DD085C" w:rsidP="00291BB8">
      <w:pPr>
        <w:pStyle w:val="NoSpacing"/>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Ethical approval for the research was given by the authors’ university, which also acted as the research sponsor</w:t>
      </w:r>
      <w:r w:rsidR="00812F45" w:rsidRPr="003B1851">
        <w:rPr>
          <w:rFonts w:ascii="Tahoma" w:hAnsi="Tahoma" w:cs="Tahoma"/>
          <w:highlight w:val="yellow"/>
        </w:rPr>
        <w:t xml:space="preserve">. </w:t>
      </w:r>
      <w:r w:rsidR="00624C3E" w:rsidRPr="003B1851">
        <w:rPr>
          <w:rFonts w:ascii="Tahoma" w:hAnsi="Tahoma" w:cs="Tahoma"/>
          <w:highlight w:val="yellow"/>
        </w:rPr>
        <w:t>As NHS employment structures pertaining to where nurse</w:t>
      </w:r>
      <w:r w:rsidR="00680F34" w:rsidRPr="003B1851">
        <w:rPr>
          <w:rFonts w:ascii="Tahoma" w:hAnsi="Tahoma" w:cs="Tahoma"/>
          <w:highlight w:val="yellow"/>
        </w:rPr>
        <w:t>s</w:t>
      </w:r>
      <w:r w:rsidR="00624C3E" w:rsidRPr="003B1851">
        <w:rPr>
          <w:rFonts w:ascii="Tahoma" w:hAnsi="Tahoma" w:cs="Tahoma"/>
          <w:highlight w:val="yellow"/>
        </w:rPr>
        <w:t xml:space="preserve"> work in their substantive roles can differ from local authority employment structures for their practice as an AMHP, the ethical governance requirements differed for each site. Ethical approval was gained from either local government research governance and/or through NHS Research and Development departments depending on local requirements</w:t>
      </w:r>
      <w:r w:rsidR="00680F34" w:rsidRPr="003B1851">
        <w:rPr>
          <w:rFonts w:ascii="Tahoma" w:hAnsi="Tahoma" w:cs="Tahoma"/>
          <w:highlight w:val="yellow"/>
        </w:rPr>
        <w:t xml:space="preserve"> and was dependent</w:t>
      </w:r>
      <w:r w:rsidR="00624C3E" w:rsidRPr="003B1851">
        <w:rPr>
          <w:rFonts w:ascii="Tahoma" w:hAnsi="Tahoma" w:cs="Tahoma"/>
          <w:highlight w:val="yellow"/>
        </w:rPr>
        <w:t xml:space="preserve"> upon whether</w:t>
      </w:r>
      <w:r w:rsidR="00680F34" w:rsidRPr="003B1851">
        <w:rPr>
          <w:rFonts w:ascii="Tahoma" w:hAnsi="Tahoma" w:cs="Tahoma"/>
          <w:highlight w:val="yellow"/>
        </w:rPr>
        <w:t xml:space="preserve"> the</w:t>
      </w:r>
      <w:r w:rsidR="00624C3E" w:rsidRPr="003B1851">
        <w:rPr>
          <w:rFonts w:ascii="Tahoma" w:hAnsi="Tahoma" w:cs="Tahoma"/>
          <w:highlight w:val="yellow"/>
        </w:rPr>
        <w:t xml:space="preserve"> </w:t>
      </w:r>
      <w:r w:rsidR="00812F45" w:rsidRPr="003B1851">
        <w:rPr>
          <w:rFonts w:ascii="Tahoma" w:hAnsi="Tahoma" w:cs="Tahoma"/>
          <w:highlight w:val="yellow"/>
        </w:rPr>
        <w:t>local authority and NHS mental h</w:t>
      </w:r>
      <w:r w:rsidR="00624C3E" w:rsidRPr="003B1851">
        <w:rPr>
          <w:rFonts w:ascii="Tahoma" w:hAnsi="Tahoma" w:cs="Tahoma"/>
          <w:highlight w:val="yellow"/>
        </w:rPr>
        <w:t>ealth services were in</w:t>
      </w:r>
      <w:r w:rsidR="00680F34" w:rsidRPr="003B1851">
        <w:rPr>
          <w:rFonts w:ascii="Tahoma" w:hAnsi="Tahoma" w:cs="Tahoma"/>
          <w:highlight w:val="yellow"/>
        </w:rPr>
        <w:t>tegrated. This</w:t>
      </w:r>
      <w:r w:rsidR="00624C3E" w:rsidRPr="003B1851">
        <w:rPr>
          <w:rFonts w:ascii="Tahoma" w:hAnsi="Tahoma" w:cs="Tahoma"/>
          <w:highlight w:val="yellow"/>
        </w:rPr>
        <w:t xml:space="preserve"> ultimately led to complexity </w:t>
      </w:r>
      <w:r w:rsidR="00680F34" w:rsidRPr="003B1851">
        <w:rPr>
          <w:rFonts w:ascii="Tahoma" w:hAnsi="Tahoma" w:cs="Tahoma"/>
          <w:highlight w:val="yellow"/>
        </w:rPr>
        <w:t>in</w:t>
      </w:r>
      <w:r w:rsidR="000B07D1" w:rsidRPr="003B1851">
        <w:rPr>
          <w:rFonts w:ascii="Tahoma" w:hAnsi="Tahoma" w:cs="Tahoma"/>
          <w:highlight w:val="yellow"/>
        </w:rPr>
        <w:t xml:space="preserve"> gaining ethical approval for </w:t>
      </w:r>
      <w:r w:rsidR="00812F45" w:rsidRPr="003B1851">
        <w:rPr>
          <w:rFonts w:ascii="Tahoma" w:hAnsi="Tahoma" w:cs="Tahoma"/>
          <w:highlight w:val="yellow"/>
        </w:rPr>
        <w:t>AMHP focused research (Stone et al., forthcoming)</w:t>
      </w:r>
      <w:r w:rsidR="00680F34" w:rsidRPr="003B1851">
        <w:rPr>
          <w:rFonts w:ascii="Tahoma" w:hAnsi="Tahoma" w:cs="Tahoma"/>
          <w:highlight w:val="yellow"/>
        </w:rPr>
        <w:t xml:space="preserve"> as there is no clear process</w:t>
      </w:r>
      <w:r w:rsidR="00812F45" w:rsidRPr="003B1851">
        <w:rPr>
          <w:rFonts w:ascii="Tahoma" w:hAnsi="Tahoma" w:cs="Tahoma"/>
          <w:highlight w:val="yellow"/>
        </w:rPr>
        <w:t xml:space="preserve">. Valid consent was gained from each participant. </w:t>
      </w:r>
    </w:p>
    <w:p w14:paraId="72ABA3BE" w14:textId="77777777" w:rsidR="00624853" w:rsidRPr="003B1851" w:rsidRDefault="00624853" w:rsidP="00291BB8">
      <w:pPr>
        <w:spacing w:before="100" w:beforeAutospacing="1" w:after="100" w:afterAutospacing="1" w:line="480" w:lineRule="auto"/>
        <w:rPr>
          <w:rFonts w:ascii="Tahoma" w:hAnsi="Tahoma" w:cs="Tahoma"/>
          <w:b/>
          <w:highlight w:val="yellow"/>
        </w:rPr>
      </w:pPr>
      <w:r w:rsidRPr="003B1851">
        <w:rPr>
          <w:rFonts w:ascii="Tahoma" w:hAnsi="Tahoma" w:cs="Tahoma"/>
          <w:b/>
          <w:highlight w:val="yellow"/>
        </w:rPr>
        <w:t>Findings</w:t>
      </w:r>
    </w:p>
    <w:p w14:paraId="2F77E6C8" w14:textId="41FAE3EB" w:rsidR="00446DCA" w:rsidRPr="003B1851" w:rsidRDefault="00D2334B"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The themes arising from the 10</w:t>
      </w:r>
      <w:r w:rsidR="00B732E6" w:rsidRPr="003B1851">
        <w:rPr>
          <w:rFonts w:ascii="Tahoma" w:hAnsi="Tahoma" w:cs="Tahoma"/>
          <w:highlight w:val="yellow"/>
        </w:rPr>
        <w:t xml:space="preserve"> participants suggest</w:t>
      </w:r>
      <w:r w:rsidRPr="003B1851">
        <w:rPr>
          <w:rFonts w:ascii="Tahoma" w:hAnsi="Tahoma" w:cs="Tahoma"/>
          <w:highlight w:val="yellow"/>
        </w:rPr>
        <w:t xml:space="preserve"> </w:t>
      </w:r>
      <w:r w:rsidR="00B732E6" w:rsidRPr="003B1851">
        <w:rPr>
          <w:rFonts w:ascii="Tahoma" w:hAnsi="Tahoma" w:cs="Tahoma"/>
          <w:highlight w:val="yellow"/>
        </w:rPr>
        <w:t xml:space="preserve">a range of factors that have been navigated by participants through </w:t>
      </w:r>
      <w:r w:rsidR="00077EC3" w:rsidRPr="003B1851">
        <w:rPr>
          <w:rFonts w:ascii="Tahoma" w:hAnsi="Tahoma" w:cs="Tahoma"/>
          <w:highlight w:val="yellow"/>
        </w:rPr>
        <w:t xml:space="preserve">applying to become an AMHP, undertaking the </w:t>
      </w:r>
      <w:r w:rsidR="00B732E6" w:rsidRPr="003B1851">
        <w:rPr>
          <w:rFonts w:ascii="Tahoma" w:hAnsi="Tahoma" w:cs="Tahoma"/>
          <w:highlight w:val="yellow"/>
        </w:rPr>
        <w:t xml:space="preserve">training </w:t>
      </w:r>
      <w:r w:rsidR="00077EC3" w:rsidRPr="003B1851">
        <w:rPr>
          <w:rFonts w:ascii="Tahoma" w:hAnsi="Tahoma" w:cs="Tahoma"/>
          <w:highlight w:val="yellow"/>
        </w:rPr>
        <w:t xml:space="preserve">and moving </w:t>
      </w:r>
      <w:r w:rsidR="00B732E6" w:rsidRPr="003B1851">
        <w:rPr>
          <w:rFonts w:ascii="Tahoma" w:hAnsi="Tahoma" w:cs="Tahoma"/>
          <w:highlight w:val="yellow"/>
        </w:rPr>
        <w:t xml:space="preserve">into </w:t>
      </w:r>
      <w:r w:rsidR="00077EC3" w:rsidRPr="003B1851">
        <w:rPr>
          <w:rFonts w:ascii="Tahoma" w:hAnsi="Tahoma" w:cs="Tahoma"/>
          <w:highlight w:val="yellow"/>
        </w:rPr>
        <w:t xml:space="preserve">actual </w:t>
      </w:r>
      <w:r w:rsidR="00B732E6" w:rsidRPr="003B1851">
        <w:rPr>
          <w:rFonts w:ascii="Tahoma" w:hAnsi="Tahoma" w:cs="Tahoma"/>
          <w:highlight w:val="yellow"/>
        </w:rPr>
        <w:t>practice</w:t>
      </w:r>
      <w:r w:rsidR="00077EC3" w:rsidRPr="003B1851">
        <w:rPr>
          <w:rFonts w:ascii="Tahoma" w:hAnsi="Tahoma" w:cs="Tahoma"/>
          <w:highlight w:val="yellow"/>
        </w:rPr>
        <w:t>. T</w:t>
      </w:r>
      <w:r w:rsidR="00B732E6" w:rsidRPr="003B1851">
        <w:rPr>
          <w:rFonts w:ascii="Tahoma" w:hAnsi="Tahoma" w:cs="Tahoma"/>
          <w:highlight w:val="yellow"/>
        </w:rPr>
        <w:t xml:space="preserve">he data below has been set-out following this procedural experience. </w:t>
      </w:r>
      <w:r w:rsidR="004315B8" w:rsidRPr="003B1851">
        <w:rPr>
          <w:rFonts w:ascii="Tahoma" w:hAnsi="Tahoma" w:cs="Tahoma"/>
          <w:highlight w:val="yellow"/>
        </w:rPr>
        <w:t>F</w:t>
      </w:r>
      <w:r w:rsidR="00446DCA" w:rsidRPr="003B1851">
        <w:rPr>
          <w:rFonts w:ascii="Tahoma" w:hAnsi="Tahoma" w:cs="Tahoma"/>
          <w:highlight w:val="yellow"/>
        </w:rPr>
        <w:t xml:space="preserve">our </w:t>
      </w:r>
      <w:r w:rsidR="00BD0D0A" w:rsidRPr="003B1851">
        <w:rPr>
          <w:rFonts w:ascii="Tahoma" w:hAnsi="Tahoma" w:cs="Tahoma"/>
          <w:highlight w:val="yellow"/>
        </w:rPr>
        <w:t>participants’</w:t>
      </w:r>
      <w:r w:rsidR="00446DCA" w:rsidRPr="003B1851">
        <w:rPr>
          <w:rFonts w:ascii="Tahoma" w:hAnsi="Tahoma" w:cs="Tahoma"/>
          <w:highlight w:val="yellow"/>
        </w:rPr>
        <w:t xml:space="preserve"> highlighted difficulties moving through the process of gaining the training to eventually gaining </w:t>
      </w:r>
      <w:r w:rsidR="00092AB0" w:rsidRPr="003B1851">
        <w:rPr>
          <w:rFonts w:ascii="Tahoma" w:hAnsi="Tahoma" w:cs="Tahoma"/>
          <w:highlight w:val="yellow"/>
        </w:rPr>
        <w:t>approval,</w:t>
      </w:r>
      <w:r w:rsidR="008E006C" w:rsidRPr="003B1851">
        <w:rPr>
          <w:rFonts w:ascii="Tahoma" w:hAnsi="Tahoma" w:cs="Tahoma"/>
          <w:highlight w:val="yellow"/>
        </w:rPr>
        <w:t xml:space="preserve"> one participant stated</w:t>
      </w:r>
      <w:r w:rsidR="00446DCA" w:rsidRPr="003B1851">
        <w:rPr>
          <w:rFonts w:ascii="Tahoma" w:hAnsi="Tahoma" w:cs="Tahoma"/>
          <w:highlight w:val="yellow"/>
        </w:rPr>
        <w:t>:</w:t>
      </w:r>
    </w:p>
    <w:p w14:paraId="25DD534F" w14:textId="77777777" w:rsidR="00446DCA" w:rsidRPr="003B1851" w:rsidRDefault="00446DCA" w:rsidP="00291BB8">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09" w:firstLine="11"/>
        <w:jc w:val="both"/>
        <w:rPr>
          <w:rFonts w:ascii="Tahoma" w:hAnsi="Tahoma" w:cs="Tahoma"/>
          <w:highlight w:val="yellow"/>
        </w:rPr>
      </w:pPr>
      <w:r w:rsidRPr="003B1851">
        <w:rPr>
          <w:rFonts w:ascii="Tahoma" w:hAnsi="Tahoma" w:cs="Tahoma"/>
          <w:i/>
          <w:highlight w:val="yellow"/>
        </w:rPr>
        <w:lastRenderedPageBreak/>
        <w:t>It took a long time, well, first of all from being accepted on the course to then getting the funding agreed, because the local authority was saying, “Why should we pay?” and the trust was then, “Well, why should we pay?” So that became a sticking point, but eventually it got resolved</w:t>
      </w:r>
      <w:r w:rsidRPr="003B1851">
        <w:rPr>
          <w:rFonts w:ascii="Tahoma" w:hAnsi="Tahoma" w:cs="Tahoma"/>
          <w:highlight w:val="yellow"/>
        </w:rPr>
        <w:t xml:space="preserve"> (</w:t>
      </w:r>
      <w:r w:rsidR="00C2710C" w:rsidRPr="003B1851">
        <w:rPr>
          <w:rFonts w:ascii="Tahoma" w:hAnsi="Tahoma" w:cs="Tahoma"/>
          <w:highlight w:val="yellow"/>
        </w:rPr>
        <w:t>Participant 4</w:t>
      </w:r>
      <w:r w:rsidRPr="003B1851">
        <w:rPr>
          <w:rFonts w:ascii="Tahoma" w:hAnsi="Tahoma" w:cs="Tahoma"/>
          <w:highlight w:val="yellow"/>
        </w:rPr>
        <w:t>).</w:t>
      </w:r>
    </w:p>
    <w:p w14:paraId="3F193265" w14:textId="30DB5634" w:rsidR="00AC43B8" w:rsidRPr="003B1851" w:rsidRDefault="00446DCA"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In this scenario it was </w:t>
      </w:r>
      <w:r w:rsidR="00840E35" w:rsidRPr="003B1851">
        <w:rPr>
          <w:rFonts w:ascii="Tahoma" w:hAnsi="Tahoma" w:cs="Tahoma"/>
          <w:highlight w:val="yellow"/>
        </w:rPr>
        <w:t xml:space="preserve">not </w:t>
      </w:r>
      <w:r w:rsidRPr="003B1851">
        <w:rPr>
          <w:rFonts w:ascii="Tahoma" w:hAnsi="Tahoma" w:cs="Tahoma"/>
          <w:highlight w:val="yellow"/>
        </w:rPr>
        <w:t xml:space="preserve">gaining a place which was challenging but </w:t>
      </w:r>
      <w:r w:rsidR="00F7208D" w:rsidRPr="003B1851">
        <w:rPr>
          <w:rFonts w:ascii="Tahoma" w:hAnsi="Tahoma" w:cs="Tahoma"/>
          <w:highlight w:val="yellow"/>
        </w:rPr>
        <w:t xml:space="preserve">resolving who should </w:t>
      </w:r>
      <w:r w:rsidR="00BD0D0A" w:rsidRPr="003B1851">
        <w:rPr>
          <w:rFonts w:ascii="Tahoma" w:hAnsi="Tahoma" w:cs="Tahoma"/>
          <w:highlight w:val="yellow"/>
        </w:rPr>
        <w:t>take responsibility for funding the</w:t>
      </w:r>
      <w:r w:rsidR="00B732E6" w:rsidRPr="003B1851">
        <w:rPr>
          <w:rFonts w:ascii="Tahoma" w:hAnsi="Tahoma" w:cs="Tahoma"/>
          <w:highlight w:val="yellow"/>
        </w:rPr>
        <w:t xml:space="preserve"> training.</w:t>
      </w:r>
    </w:p>
    <w:p w14:paraId="44AF1E70" w14:textId="4C1068F7" w:rsidR="00446DCA" w:rsidRPr="003B1851" w:rsidRDefault="00446DCA"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Three participants discussed the AMHP education they received. One participant stated that: </w:t>
      </w:r>
    </w:p>
    <w:p w14:paraId="0D2F8F0C" w14:textId="77777777" w:rsidR="00446DCA" w:rsidRPr="003B1851" w:rsidRDefault="00446DCA"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 just really enjoyed looking at something from a different perspective as well, especially having worked in this profession for so long. It’s interesting because all the social perspective which all the social workers knew, I think the nurses struggled more with that than on the course. Because it’s like it’s not obvious to us, the more social things, because the course, certainly when I did it, was still very much for social workers, and so some of the bits that we did know, like the medical stuff, I think the social workers didn't know, But actually, the things that they thought was a given that people would know, we didn't know because we’re not social workers. So that’s been really interesting. That aspect of it, and obviously the law is for everybody, but yes, so that was the s</w:t>
      </w:r>
      <w:r w:rsidR="00CC530A" w:rsidRPr="003B1851">
        <w:rPr>
          <w:rFonts w:ascii="Tahoma" w:hAnsi="Tahoma" w:cs="Tahoma"/>
          <w:i/>
          <w:highlight w:val="yellow"/>
        </w:rPr>
        <w:t>teep</w:t>
      </w:r>
      <w:r w:rsidRPr="003B1851">
        <w:rPr>
          <w:rFonts w:ascii="Tahoma" w:hAnsi="Tahoma" w:cs="Tahoma"/>
          <w:i/>
          <w:highlight w:val="yellow"/>
        </w:rPr>
        <w:t xml:space="preserve"> learning curve, the social perspective side of it, but really interesting, really interesting</w:t>
      </w:r>
      <w:r w:rsidRPr="003B1851">
        <w:rPr>
          <w:rFonts w:ascii="Tahoma" w:hAnsi="Tahoma" w:cs="Tahoma"/>
          <w:highlight w:val="yellow"/>
        </w:rPr>
        <w:t>. (</w:t>
      </w:r>
      <w:r w:rsidR="00C2710C" w:rsidRPr="003B1851">
        <w:rPr>
          <w:rFonts w:ascii="Tahoma" w:hAnsi="Tahoma" w:cs="Tahoma"/>
          <w:highlight w:val="yellow"/>
        </w:rPr>
        <w:t>Participant 4</w:t>
      </w:r>
      <w:r w:rsidRPr="003B1851">
        <w:rPr>
          <w:rFonts w:ascii="Tahoma" w:hAnsi="Tahoma" w:cs="Tahoma"/>
          <w:highlight w:val="yellow"/>
        </w:rPr>
        <w:t>)</w:t>
      </w:r>
    </w:p>
    <w:p w14:paraId="748F8976" w14:textId="58BC7F4E" w:rsidR="00446DCA" w:rsidRPr="003B1851" w:rsidRDefault="00446DCA"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This participant value</w:t>
      </w:r>
      <w:r w:rsidR="001808DC" w:rsidRPr="003B1851">
        <w:rPr>
          <w:rFonts w:ascii="Tahoma" w:hAnsi="Tahoma" w:cs="Tahoma"/>
          <w:highlight w:val="yellow"/>
        </w:rPr>
        <w:t>d</w:t>
      </w:r>
      <w:r w:rsidRPr="003B1851">
        <w:rPr>
          <w:rFonts w:ascii="Tahoma" w:hAnsi="Tahoma" w:cs="Tahoma"/>
          <w:highlight w:val="yellow"/>
        </w:rPr>
        <w:t xml:space="preserve"> learning about the </w:t>
      </w:r>
      <w:r w:rsidR="00AC43B8" w:rsidRPr="003B1851">
        <w:rPr>
          <w:rFonts w:ascii="Tahoma" w:hAnsi="Tahoma" w:cs="Tahoma"/>
          <w:highlight w:val="yellow"/>
        </w:rPr>
        <w:t>s</w:t>
      </w:r>
      <w:r w:rsidRPr="003B1851">
        <w:rPr>
          <w:rFonts w:ascii="Tahoma" w:hAnsi="Tahoma" w:cs="Tahoma"/>
          <w:highlight w:val="yellow"/>
        </w:rPr>
        <w:t xml:space="preserve">ocial </w:t>
      </w:r>
      <w:r w:rsidR="00AC43B8" w:rsidRPr="003B1851">
        <w:rPr>
          <w:rFonts w:ascii="Tahoma" w:hAnsi="Tahoma" w:cs="Tahoma"/>
          <w:highlight w:val="yellow"/>
        </w:rPr>
        <w:t>p</w:t>
      </w:r>
      <w:r w:rsidRPr="003B1851">
        <w:rPr>
          <w:rFonts w:ascii="Tahoma" w:hAnsi="Tahoma" w:cs="Tahoma"/>
          <w:highlight w:val="yellow"/>
        </w:rPr>
        <w:t xml:space="preserve">erspective and its application to certain </w:t>
      </w:r>
      <w:r w:rsidR="00B732E6" w:rsidRPr="003B1851">
        <w:rPr>
          <w:rFonts w:ascii="Tahoma" w:hAnsi="Tahoma" w:cs="Tahoma"/>
          <w:highlight w:val="yellow"/>
        </w:rPr>
        <w:t>areas of mental health practice. They appear</w:t>
      </w:r>
      <w:r w:rsidR="001808DC" w:rsidRPr="003B1851">
        <w:rPr>
          <w:rFonts w:ascii="Tahoma" w:hAnsi="Tahoma" w:cs="Tahoma"/>
          <w:highlight w:val="yellow"/>
        </w:rPr>
        <w:t xml:space="preserve"> to be locating that knowledge within social work practice</w:t>
      </w:r>
      <w:r w:rsidR="00B732E6" w:rsidRPr="003B1851">
        <w:rPr>
          <w:rFonts w:ascii="Tahoma" w:hAnsi="Tahoma" w:cs="Tahoma"/>
          <w:highlight w:val="yellow"/>
        </w:rPr>
        <w:t xml:space="preserve"> as being a different professional culture to their own</w:t>
      </w:r>
      <w:r w:rsidR="001808DC" w:rsidRPr="003B1851">
        <w:rPr>
          <w:rFonts w:ascii="Tahoma" w:hAnsi="Tahoma" w:cs="Tahoma"/>
          <w:highlight w:val="yellow"/>
        </w:rPr>
        <w:t>.</w:t>
      </w:r>
      <w:r w:rsidRPr="003B1851">
        <w:rPr>
          <w:rFonts w:ascii="Tahoma" w:hAnsi="Tahoma" w:cs="Tahoma"/>
          <w:highlight w:val="yellow"/>
        </w:rPr>
        <w:t xml:space="preserve"> They go on to </w:t>
      </w:r>
      <w:r w:rsidR="00B732E6" w:rsidRPr="003B1851">
        <w:rPr>
          <w:rFonts w:ascii="Tahoma" w:hAnsi="Tahoma" w:cs="Tahoma"/>
          <w:highlight w:val="yellow"/>
        </w:rPr>
        <w:t>illustrate this by stating</w:t>
      </w:r>
      <w:r w:rsidRPr="003B1851">
        <w:rPr>
          <w:rFonts w:ascii="Tahoma" w:hAnsi="Tahoma" w:cs="Tahoma"/>
          <w:highlight w:val="yellow"/>
        </w:rPr>
        <w:t xml:space="preserve"> that the social perspective is not familiar to nursing, and assumptions were made on the programme that nurses would be familiar with the social perspective in mental health. Another participant</w:t>
      </w:r>
      <w:r w:rsidR="00AC43B8" w:rsidRPr="003B1851">
        <w:rPr>
          <w:rFonts w:ascii="Tahoma" w:hAnsi="Tahoma" w:cs="Tahoma"/>
          <w:highlight w:val="yellow"/>
        </w:rPr>
        <w:t xml:space="preserve"> reflected</w:t>
      </w:r>
      <w:r w:rsidRPr="003B1851">
        <w:rPr>
          <w:rFonts w:ascii="Tahoma" w:hAnsi="Tahoma" w:cs="Tahoma"/>
          <w:highlight w:val="yellow"/>
        </w:rPr>
        <w:t xml:space="preserve">: </w:t>
      </w:r>
    </w:p>
    <w:p w14:paraId="4199665C" w14:textId="77777777" w:rsidR="00446DCA" w:rsidRPr="003B1851" w:rsidRDefault="00446DCA"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lastRenderedPageBreak/>
        <w:t>I've been a nurse since the 1980s, so it's been quite a while. So I really enjoyed the training. I enjoyed the social work, the culture, the approach to understanding depression and issues like race and stuff like that. And I thought that was really good. In a way it's sad that we didn't have that all those years ago. I think it's really good that that's how it is. But also, I suspect that social workers probably did have stuff like that, that we didn't. So I think that was brilliant. It was very liberating. I enjoyed the course tremendously. It did feel like you were going into slightly alien territory. Most of the nurse AMHPs had left.</w:t>
      </w:r>
      <w:r w:rsidRPr="003B1851">
        <w:rPr>
          <w:rFonts w:ascii="Tahoma" w:hAnsi="Tahoma" w:cs="Tahoma"/>
          <w:highlight w:val="yellow"/>
        </w:rPr>
        <w:t xml:space="preserve"> (</w:t>
      </w:r>
      <w:r w:rsidR="00C2710C" w:rsidRPr="003B1851">
        <w:rPr>
          <w:rFonts w:ascii="Tahoma" w:hAnsi="Tahoma" w:cs="Tahoma"/>
          <w:highlight w:val="yellow"/>
        </w:rPr>
        <w:t>Participant 9</w:t>
      </w:r>
      <w:r w:rsidRPr="003B1851">
        <w:rPr>
          <w:rFonts w:ascii="Tahoma" w:hAnsi="Tahoma" w:cs="Tahoma"/>
          <w:highlight w:val="yellow"/>
        </w:rPr>
        <w:t>)</w:t>
      </w:r>
    </w:p>
    <w:p w14:paraId="34F89FE1" w14:textId="0E2F731C" w:rsidR="00AC43B8" w:rsidRPr="003B1851" w:rsidRDefault="00446DCA"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For this participant </w:t>
      </w:r>
      <w:r w:rsidR="001808DC" w:rsidRPr="003B1851">
        <w:rPr>
          <w:rFonts w:ascii="Tahoma" w:hAnsi="Tahoma" w:cs="Tahoma"/>
          <w:highlight w:val="yellow"/>
        </w:rPr>
        <w:t>the experience was positive</w:t>
      </w:r>
      <w:r w:rsidR="00EC5234" w:rsidRPr="003B1851">
        <w:rPr>
          <w:rFonts w:ascii="Tahoma" w:hAnsi="Tahoma" w:cs="Tahoma"/>
          <w:highlight w:val="yellow"/>
        </w:rPr>
        <w:t xml:space="preserve"> and they enjoyed the training</w:t>
      </w:r>
      <w:r w:rsidR="00916960" w:rsidRPr="003B1851">
        <w:rPr>
          <w:rFonts w:ascii="Tahoma" w:hAnsi="Tahoma" w:cs="Tahoma"/>
          <w:highlight w:val="yellow"/>
        </w:rPr>
        <w:t xml:space="preserve"> despite it being professionally </w:t>
      </w:r>
      <w:r w:rsidR="005D6497" w:rsidRPr="003B1851">
        <w:rPr>
          <w:rFonts w:ascii="Tahoma" w:hAnsi="Tahoma" w:cs="Tahoma"/>
          <w:highlight w:val="yellow"/>
        </w:rPr>
        <w:t xml:space="preserve">and </w:t>
      </w:r>
      <w:r w:rsidR="00916960" w:rsidRPr="003B1851">
        <w:rPr>
          <w:rFonts w:ascii="Tahoma" w:hAnsi="Tahoma" w:cs="Tahoma"/>
          <w:highlight w:val="yellow"/>
        </w:rPr>
        <w:t>culturally different</w:t>
      </w:r>
      <w:r w:rsidR="00EC5234" w:rsidRPr="003B1851">
        <w:rPr>
          <w:rFonts w:ascii="Tahoma" w:hAnsi="Tahoma" w:cs="Tahoma"/>
          <w:highlight w:val="yellow"/>
        </w:rPr>
        <w:t>. T</w:t>
      </w:r>
      <w:r w:rsidR="001808DC" w:rsidRPr="003B1851">
        <w:rPr>
          <w:rFonts w:ascii="Tahoma" w:hAnsi="Tahoma" w:cs="Tahoma"/>
          <w:highlight w:val="yellow"/>
        </w:rPr>
        <w:t xml:space="preserve">hey appeared to benefit from gaining additional knowledge but seemingly identifying with it </w:t>
      </w:r>
      <w:r w:rsidR="00F23F26" w:rsidRPr="003B1851">
        <w:rPr>
          <w:rFonts w:ascii="Tahoma" w:hAnsi="Tahoma" w:cs="Tahoma"/>
          <w:highlight w:val="yellow"/>
        </w:rPr>
        <w:t xml:space="preserve">as </w:t>
      </w:r>
      <w:r w:rsidR="00092AB0" w:rsidRPr="003B1851">
        <w:rPr>
          <w:rFonts w:ascii="Tahoma" w:hAnsi="Tahoma" w:cs="Tahoma"/>
          <w:highlight w:val="yellow"/>
        </w:rPr>
        <w:t>“</w:t>
      </w:r>
      <w:r w:rsidR="00F23F26" w:rsidRPr="003B1851">
        <w:rPr>
          <w:rFonts w:ascii="Tahoma" w:hAnsi="Tahoma" w:cs="Tahoma"/>
          <w:highlight w:val="yellow"/>
        </w:rPr>
        <w:t>going</w:t>
      </w:r>
      <w:r w:rsidR="001808DC" w:rsidRPr="003B1851">
        <w:rPr>
          <w:rFonts w:ascii="Tahoma" w:hAnsi="Tahoma" w:cs="Tahoma"/>
          <w:highlight w:val="yellow"/>
        </w:rPr>
        <w:t xml:space="preserve"> into alien territory</w:t>
      </w:r>
      <w:r w:rsidR="00916960" w:rsidRPr="003B1851">
        <w:rPr>
          <w:rFonts w:ascii="Tahoma" w:hAnsi="Tahoma" w:cs="Tahoma"/>
          <w:highlight w:val="yellow"/>
        </w:rPr>
        <w:t xml:space="preserve">” </w:t>
      </w:r>
      <w:r w:rsidR="00192A74" w:rsidRPr="003B1851">
        <w:rPr>
          <w:rFonts w:ascii="Tahoma" w:hAnsi="Tahoma" w:cs="Tahoma"/>
          <w:highlight w:val="yellow"/>
        </w:rPr>
        <w:t xml:space="preserve">of </w:t>
      </w:r>
      <w:r w:rsidR="00AC43B8" w:rsidRPr="003B1851">
        <w:rPr>
          <w:rFonts w:ascii="Tahoma" w:hAnsi="Tahoma" w:cs="Tahoma"/>
          <w:highlight w:val="yellow"/>
        </w:rPr>
        <w:t xml:space="preserve">social work </w:t>
      </w:r>
      <w:r w:rsidR="001808DC" w:rsidRPr="003B1851">
        <w:rPr>
          <w:rFonts w:ascii="Tahoma" w:hAnsi="Tahoma" w:cs="Tahoma"/>
          <w:highlight w:val="yellow"/>
        </w:rPr>
        <w:t xml:space="preserve">but </w:t>
      </w:r>
      <w:r w:rsidR="00AC43B8" w:rsidRPr="003B1851">
        <w:rPr>
          <w:rFonts w:ascii="Tahoma" w:hAnsi="Tahoma" w:cs="Tahoma"/>
          <w:highlight w:val="yellow"/>
        </w:rPr>
        <w:t xml:space="preserve">still </w:t>
      </w:r>
      <w:r w:rsidR="001808DC" w:rsidRPr="003B1851">
        <w:rPr>
          <w:rFonts w:ascii="Tahoma" w:hAnsi="Tahoma" w:cs="Tahoma"/>
          <w:highlight w:val="yellow"/>
        </w:rPr>
        <w:t>recognis</w:t>
      </w:r>
      <w:r w:rsidR="00F23F26" w:rsidRPr="003B1851">
        <w:rPr>
          <w:rFonts w:ascii="Tahoma" w:hAnsi="Tahoma" w:cs="Tahoma"/>
          <w:highlight w:val="yellow"/>
        </w:rPr>
        <w:t>ing</w:t>
      </w:r>
      <w:r w:rsidR="001808DC" w:rsidRPr="003B1851">
        <w:rPr>
          <w:rFonts w:ascii="Tahoma" w:hAnsi="Tahoma" w:cs="Tahoma"/>
          <w:highlight w:val="yellow"/>
        </w:rPr>
        <w:t xml:space="preserve"> the benefits it could have on </w:t>
      </w:r>
      <w:r w:rsidR="00AC43B8" w:rsidRPr="003B1851">
        <w:rPr>
          <w:rFonts w:ascii="Tahoma" w:hAnsi="Tahoma" w:cs="Tahoma"/>
          <w:highlight w:val="yellow"/>
        </w:rPr>
        <w:t>their</w:t>
      </w:r>
      <w:r w:rsidR="00192A74" w:rsidRPr="003B1851">
        <w:rPr>
          <w:rFonts w:ascii="Tahoma" w:hAnsi="Tahoma" w:cs="Tahoma"/>
          <w:highlight w:val="yellow"/>
        </w:rPr>
        <w:t xml:space="preserve"> own</w:t>
      </w:r>
      <w:r w:rsidR="00AC43B8" w:rsidRPr="003B1851">
        <w:rPr>
          <w:rFonts w:ascii="Tahoma" w:hAnsi="Tahoma" w:cs="Tahoma"/>
          <w:highlight w:val="yellow"/>
        </w:rPr>
        <w:t xml:space="preserve"> </w:t>
      </w:r>
      <w:r w:rsidR="001808DC" w:rsidRPr="003B1851">
        <w:rPr>
          <w:rFonts w:ascii="Tahoma" w:hAnsi="Tahoma" w:cs="Tahoma"/>
          <w:highlight w:val="yellow"/>
        </w:rPr>
        <w:t xml:space="preserve">practice. </w:t>
      </w:r>
    </w:p>
    <w:p w14:paraId="411A4704" w14:textId="77777777" w:rsidR="002A49D8" w:rsidRPr="003B1851" w:rsidRDefault="00603DC9"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color w:val="000000"/>
          <w:highlight w:val="yellow"/>
        </w:rPr>
        <w:t xml:space="preserve">Three of the nurses highlighted </w:t>
      </w:r>
      <w:r w:rsidR="001808DC" w:rsidRPr="003B1851">
        <w:rPr>
          <w:rFonts w:ascii="Tahoma" w:hAnsi="Tahoma" w:cs="Tahoma"/>
          <w:color w:val="000000"/>
          <w:highlight w:val="yellow"/>
        </w:rPr>
        <w:t xml:space="preserve">more directly </w:t>
      </w:r>
      <w:r w:rsidRPr="003B1851">
        <w:rPr>
          <w:rFonts w:ascii="Tahoma" w:hAnsi="Tahoma" w:cs="Tahoma"/>
          <w:color w:val="000000"/>
          <w:highlight w:val="yellow"/>
        </w:rPr>
        <w:t xml:space="preserve">the </w:t>
      </w:r>
      <w:r w:rsidR="00AE493F" w:rsidRPr="003B1851">
        <w:rPr>
          <w:rFonts w:ascii="Tahoma" w:hAnsi="Tahoma" w:cs="Tahoma"/>
          <w:color w:val="000000"/>
          <w:highlight w:val="yellow"/>
        </w:rPr>
        <w:t xml:space="preserve">different </w:t>
      </w:r>
      <w:r w:rsidRPr="003B1851">
        <w:rPr>
          <w:rFonts w:ascii="Tahoma" w:hAnsi="Tahoma" w:cs="Tahoma"/>
          <w:color w:val="000000"/>
          <w:highlight w:val="yellow"/>
        </w:rPr>
        <w:t xml:space="preserve">knowledge bases that either they brought as nurses or that social workers contributed. One participant stated: </w:t>
      </w:r>
    </w:p>
    <w:p w14:paraId="28233AD9" w14:textId="77777777" w:rsidR="001808DC" w:rsidRPr="003B1851" w:rsidRDefault="00603DC9"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 think as a nurse, you bring a lot of knowledge, a lot of expertise around</w:t>
      </w:r>
      <w:r w:rsidR="000F1303" w:rsidRPr="003B1851">
        <w:rPr>
          <w:rFonts w:ascii="Tahoma" w:hAnsi="Tahoma" w:cs="Tahoma"/>
          <w:i/>
          <w:highlight w:val="yellow"/>
        </w:rPr>
        <w:t xml:space="preserve"> [mental health]</w:t>
      </w:r>
      <w:r w:rsidRPr="003B1851">
        <w:rPr>
          <w:rFonts w:ascii="Tahoma" w:hAnsi="Tahoma" w:cs="Tahoma"/>
          <w:i/>
          <w:highlight w:val="yellow"/>
        </w:rPr>
        <w:t xml:space="preserve"> - We think about alternative approaches to managing menta</w:t>
      </w:r>
      <w:r w:rsidR="000F1303" w:rsidRPr="003B1851">
        <w:rPr>
          <w:rFonts w:ascii="Tahoma" w:hAnsi="Tahoma" w:cs="Tahoma"/>
          <w:i/>
          <w:highlight w:val="yellow"/>
        </w:rPr>
        <w:t>l health, other than medication</w:t>
      </w:r>
      <w:r w:rsidR="00A31847" w:rsidRPr="003B1851">
        <w:rPr>
          <w:rFonts w:ascii="Tahoma" w:hAnsi="Tahoma" w:cs="Tahoma"/>
          <w:i/>
          <w:highlight w:val="yellow"/>
        </w:rPr>
        <w:t xml:space="preserve"> …</w:t>
      </w:r>
      <w:r w:rsidRPr="003B1851">
        <w:rPr>
          <w:rFonts w:ascii="Tahoma" w:hAnsi="Tahoma" w:cs="Tahoma"/>
          <w:highlight w:val="yellow"/>
        </w:rPr>
        <w:t xml:space="preserve"> </w:t>
      </w:r>
      <w:r w:rsidR="00A31847" w:rsidRPr="003B1851">
        <w:rPr>
          <w:rFonts w:ascii="Tahoma" w:hAnsi="Tahoma" w:cs="Tahoma"/>
          <w:i/>
          <w:highlight w:val="yellow"/>
        </w:rPr>
        <w:t>Also, I do think we have a very good grounding and basic understanding in mental health and risk and risk management.</w:t>
      </w:r>
      <w:r w:rsidR="00A31847" w:rsidRPr="003B1851">
        <w:rPr>
          <w:rFonts w:ascii="Tahoma" w:hAnsi="Tahoma" w:cs="Tahoma"/>
          <w:highlight w:val="yellow"/>
        </w:rPr>
        <w:t xml:space="preserve"> (</w:t>
      </w:r>
      <w:r w:rsidR="00C2710C" w:rsidRPr="003B1851">
        <w:rPr>
          <w:rFonts w:ascii="Tahoma" w:hAnsi="Tahoma" w:cs="Tahoma"/>
          <w:highlight w:val="yellow"/>
        </w:rPr>
        <w:t>Participant 6</w:t>
      </w:r>
      <w:r w:rsidR="00A31847" w:rsidRPr="003B1851">
        <w:rPr>
          <w:rFonts w:ascii="Tahoma" w:hAnsi="Tahoma" w:cs="Tahoma"/>
          <w:highlight w:val="yellow"/>
        </w:rPr>
        <w:t>)</w:t>
      </w:r>
    </w:p>
    <w:p w14:paraId="6A955ADD" w14:textId="77777777" w:rsidR="00A31847" w:rsidRPr="003B1851" w:rsidRDefault="0016228A"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This participant </w:t>
      </w:r>
      <w:r w:rsidR="00DA307C" w:rsidRPr="003B1851">
        <w:rPr>
          <w:rFonts w:ascii="Tahoma" w:hAnsi="Tahoma" w:cs="Tahoma"/>
          <w:highlight w:val="yellow"/>
        </w:rPr>
        <w:t xml:space="preserve">suggest that nurses </w:t>
      </w:r>
      <w:r w:rsidR="00AE493F" w:rsidRPr="003B1851">
        <w:rPr>
          <w:rFonts w:ascii="Tahoma" w:hAnsi="Tahoma" w:cs="Tahoma"/>
          <w:highlight w:val="yellow"/>
        </w:rPr>
        <w:t xml:space="preserve">can </w:t>
      </w:r>
      <w:r w:rsidR="00DA307C" w:rsidRPr="003B1851">
        <w:rPr>
          <w:rFonts w:ascii="Tahoma" w:hAnsi="Tahoma" w:cs="Tahoma"/>
          <w:highlight w:val="yellow"/>
        </w:rPr>
        <w:t>br</w:t>
      </w:r>
      <w:r w:rsidRPr="003B1851">
        <w:rPr>
          <w:rFonts w:ascii="Tahoma" w:hAnsi="Tahoma" w:cs="Tahoma"/>
          <w:highlight w:val="yellow"/>
        </w:rPr>
        <w:t>ing a broad range of skills</w:t>
      </w:r>
      <w:r w:rsidR="00AE493F" w:rsidRPr="003B1851">
        <w:rPr>
          <w:rFonts w:ascii="Tahoma" w:hAnsi="Tahoma" w:cs="Tahoma"/>
          <w:highlight w:val="yellow"/>
        </w:rPr>
        <w:t>, independence and</w:t>
      </w:r>
      <w:r w:rsidRPr="003B1851">
        <w:rPr>
          <w:rFonts w:ascii="Tahoma" w:hAnsi="Tahoma" w:cs="Tahoma"/>
          <w:highlight w:val="yellow"/>
        </w:rPr>
        <w:t xml:space="preserve"> </w:t>
      </w:r>
      <w:r w:rsidR="00DA307C" w:rsidRPr="003B1851">
        <w:rPr>
          <w:rFonts w:ascii="Tahoma" w:hAnsi="Tahoma" w:cs="Tahoma"/>
          <w:highlight w:val="yellow"/>
        </w:rPr>
        <w:t>knowledge</w:t>
      </w:r>
      <w:r w:rsidRPr="003B1851">
        <w:rPr>
          <w:rFonts w:ascii="Tahoma" w:hAnsi="Tahoma" w:cs="Tahoma"/>
          <w:highlight w:val="yellow"/>
        </w:rPr>
        <w:t xml:space="preserve"> discernment</w:t>
      </w:r>
      <w:r w:rsidR="00DA307C" w:rsidRPr="003B1851">
        <w:rPr>
          <w:rFonts w:ascii="Tahoma" w:hAnsi="Tahoma" w:cs="Tahoma"/>
          <w:highlight w:val="yellow"/>
        </w:rPr>
        <w:t xml:space="preserve"> to the AMHP role</w:t>
      </w:r>
      <w:r w:rsidR="00A31847" w:rsidRPr="003B1851">
        <w:rPr>
          <w:rFonts w:ascii="Tahoma" w:hAnsi="Tahoma" w:cs="Tahoma"/>
          <w:highlight w:val="yellow"/>
        </w:rPr>
        <w:t xml:space="preserve">, seemingly wanting to </w:t>
      </w:r>
      <w:r w:rsidR="00CB4383" w:rsidRPr="003B1851">
        <w:rPr>
          <w:rFonts w:ascii="Tahoma" w:hAnsi="Tahoma" w:cs="Tahoma"/>
          <w:highlight w:val="yellow"/>
        </w:rPr>
        <w:t>challenge</w:t>
      </w:r>
      <w:r w:rsidR="00A31847" w:rsidRPr="003B1851">
        <w:rPr>
          <w:rFonts w:ascii="Tahoma" w:hAnsi="Tahoma" w:cs="Tahoma"/>
          <w:highlight w:val="yellow"/>
        </w:rPr>
        <w:t xml:space="preserve"> the perception that </w:t>
      </w:r>
      <w:r w:rsidR="00CB4383" w:rsidRPr="003B1851">
        <w:rPr>
          <w:rFonts w:ascii="Tahoma" w:hAnsi="Tahoma" w:cs="Tahoma"/>
          <w:highlight w:val="yellow"/>
        </w:rPr>
        <w:t>nurses</w:t>
      </w:r>
      <w:r w:rsidR="00A31847" w:rsidRPr="003B1851">
        <w:rPr>
          <w:rFonts w:ascii="Tahoma" w:hAnsi="Tahoma" w:cs="Tahoma"/>
          <w:highlight w:val="yellow"/>
        </w:rPr>
        <w:t xml:space="preserve"> come from a purely pharmacological discourse. </w:t>
      </w:r>
      <w:r w:rsidR="000E3BA1" w:rsidRPr="003B1851">
        <w:rPr>
          <w:rFonts w:ascii="Tahoma" w:hAnsi="Tahoma" w:cs="Tahoma"/>
          <w:highlight w:val="yellow"/>
        </w:rPr>
        <w:t>However,</w:t>
      </w:r>
      <w:r w:rsidR="00A31847" w:rsidRPr="003B1851">
        <w:rPr>
          <w:rFonts w:ascii="Tahoma" w:hAnsi="Tahoma" w:cs="Tahoma"/>
          <w:highlight w:val="yellow"/>
        </w:rPr>
        <w:t xml:space="preserve"> another participant </w:t>
      </w:r>
      <w:r w:rsidR="00B96722" w:rsidRPr="003B1851">
        <w:rPr>
          <w:rFonts w:ascii="Tahoma" w:hAnsi="Tahoma" w:cs="Tahoma"/>
          <w:highlight w:val="yellow"/>
        </w:rPr>
        <w:t>gave a</w:t>
      </w:r>
      <w:r w:rsidR="000E3BA1" w:rsidRPr="003B1851">
        <w:rPr>
          <w:rFonts w:ascii="Tahoma" w:hAnsi="Tahoma" w:cs="Tahoma"/>
          <w:highlight w:val="yellow"/>
        </w:rPr>
        <w:t xml:space="preserve"> rather different perspective</w:t>
      </w:r>
      <w:r w:rsidR="00A31847" w:rsidRPr="003B1851">
        <w:rPr>
          <w:rFonts w:ascii="Tahoma" w:hAnsi="Tahoma" w:cs="Tahoma"/>
          <w:highlight w:val="yellow"/>
        </w:rPr>
        <w:t xml:space="preserve">: </w:t>
      </w:r>
    </w:p>
    <w:p w14:paraId="7ECBCDC9" w14:textId="77777777" w:rsidR="00A31847" w:rsidRPr="003B1851" w:rsidRDefault="00A31847"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rPr>
          <w:rFonts w:ascii="Tahoma" w:hAnsi="Tahoma" w:cs="Tahoma"/>
          <w:highlight w:val="yellow"/>
        </w:rPr>
      </w:pPr>
      <w:r w:rsidRPr="003B1851">
        <w:rPr>
          <w:rFonts w:ascii="Tahoma" w:hAnsi="Tahoma" w:cs="Tahoma"/>
          <w:i/>
          <w:highlight w:val="yellow"/>
        </w:rPr>
        <w:t xml:space="preserve">One of the things why I wanted to become a nurse AMHP was my background, my medication knowledge. Medication has been helpful for - certainly if you go out with </w:t>
      </w:r>
      <w:r w:rsidRPr="003B1851">
        <w:rPr>
          <w:rFonts w:ascii="Tahoma" w:hAnsi="Tahoma" w:cs="Tahoma"/>
          <w:i/>
          <w:highlight w:val="yellow"/>
        </w:rPr>
        <w:lastRenderedPageBreak/>
        <w:t>people from other backgrounds, or other disciplines and learning disabilities or older people sometimes and the way medications can affect the way somebody presents, because I’ve seen these things before</w:t>
      </w:r>
      <w:r w:rsidR="003A3602" w:rsidRPr="003B1851">
        <w:rPr>
          <w:rFonts w:ascii="Tahoma" w:hAnsi="Tahoma" w:cs="Tahoma"/>
          <w:highlight w:val="yellow"/>
        </w:rPr>
        <w:t>. (</w:t>
      </w:r>
      <w:r w:rsidR="00C2710C" w:rsidRPr="003B1851">
        <w:rPr>
          <w:rFonts w:ascii="Tahoma" w:hAnsi="Tahoma" w:cs="Tahoma"/>
          <w:highlight w:val="yellow"/>
        </w:rPr>
        <w:t>Participant 7</w:t>
      </w:r>
      <w:r w:rsidRPr="003B1851">
        <w:rPr>
          <w:rFonts w:ascii="Tahoma" w:hAnsi="Tahoma" w:cs="Tahoma"/>
          <w:highlight w:val="yellow"/>
        </w:rPr>
        <w:t>)</w:t>
      </w:r>
    </w:p>
    <w:p w14:paraId="6BA2A1BC" w14:textId="77777777" w:rsidR="00DA307C" w:rsidRPr="003B1851" w:rsidRDefault="00A31847"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For this participant the pharmacological knowledge is </w:t>
      </w:r>
      <w:r w:rsidR="00AE493F" w:rsidRPr="003B1851">
        <w:rPr>
          <w:rFonts w:ascii="Tahoma" w:hAnsi="Tahoma" w:cs="Tahoma"/>
          <w:highlight w:val="yellow"/>
        </w:rPr>
        <w:t xml:space="preserve">an </w:t>
      </w:r>
      <w:r w:rsidRPr="003B1851">
        <w:rPr>
          <w:rFonts w:ascii="Tahoma" w:hAnsi="Tahoma" w:cs="Tahoma"/>
          <w:highlight w:val="yellow"/>
        </w:rPr>
        <w:t>important</w:t>
      </w:r>
      <w:r w:rsidR="003C67A9" w:rsidRPr="003B1851">
        <w:rPr>
          <w:rFonts w:ascii="Tahoma" w:hAnsi="Tahoma" w:cs="Tahoma"/>
          <w:highlight w:val="yellow"/>
        </w:rPr>
        <w:t xml:space="preserve"> knowledge contribution</w:t>
      </w:r>
      <w:r w:rsidRPr="003B1851">
        <w:rPr>
          <w:rFonts w:ascii="Tahoma" w:hAnsi="Tahoma" w:cs="Tahoma"/>
          <w:highlight w:val="yellow"/>
        </w:rPr>
        <w:t xml:space="preserve"> </w:t>
      </w:r>
      <w:r w:rsidR="00B96722" w:rsidRPr="003B1851">
        <w:rPr>
          <w:rFonts w:ascii="Tahoma" w:hAnsi="Tahoma" w:cs="Tahoma"/>
          <w:highlight w:val="yellow"/>
        </w:rPr>
        <w:t xml:space="preserve">that she would bring to the role </w:t>
      </w:r>
      <w:r w:rsidRPr="003B1851">
        <w:rPr>
          <w:rFonts w:ascii="Tahoma" w:hAnsi="Tahoma" w:cs="Tahoma"/>
          <w:highlight w:val="yellow"/>
        </w:rPr>
        <w:t xml:space="preserve">and </w:t>
      </w:r>
      <w:r w:rsidR="00AE493F" w:rsidRPr="003B1851">
        <w:rPr>
          <w:rFonts w:ascii="Tahoma" w:hAnsi="Tahoma" w:cs="Tahoma"/>
          <w:highlight w:val="yellow"/>
        </w:rPr>
        <w:t xml:space="preserve">hence </w:t>
      </w:r>
      <w:r w:rsidRPr="003B1851">
        <w:rPr>
          <w:rFonts w:ascii="Tahoma" w:hAnsi="Tahoma" w:cs="Tahoma"/>
          <w:highlight w:val="yellow"/>
        </w:rPr>
        <w:t xml:space="preserve">a strength </w:t>
      </w:r>
      <w:r w:rsidR="00AE493F" w:rsidRPr="003B1851">
        <w:rPr>
          <w:rFonts w:ascii="Tahoma" w:hAnsi="Tahoma" w:cs="Tahoma"/>
          <w:highlight w:val="yellow"/>
        </w:rPr>
        <w:t xml:space="preserve">which justifies their decision to </w:t>
      </w:r>
      <w:r w:rsidRPr="003B1851">
        <w:rPr>
          <w:rFonts w:ascii="Tahoma" w:hAnsi="Tahoma" w:cs="Tahoma"/>
          <w:highlight w:val="yellow"/>
        </w:rPr>
        <w:t>train as an AMHP. One participant highlighted the need to familiarise themselves with some of the social work knowledge for the AMHP role</w:t>
      </w:r>
      <w:r w:rsidR="003C67A9" w:rsidRPr="003B1851">
        <w:rPr>
          <w:rFonts w:ascii="Tahoma" w:hAnsi="Tahoma" w:cs="Tahoma"/>
          <w:highlight w:val="yellow"/>
        </w:rPr>
        <w:t xml:space="preserve"> as well</w:t>
      </w:r>
      <w:r w:rsidRPr="003B1851">
        <w:rPr>
          <w:rFonts w:ascii="Tahoma" w:hAnsi="Tahoma" w:cs="Tahoma"/>
          <w:highlight w:val="yellow"/>
        </w:rPr>
        <w:t>:</w:t>
      </w:r>
    </w:p>
    <w:p w14:paraId="5923A41A" w14:textId="77777777" w:rsidR="002A49D8" w:rsidRPr="003B1851" w:rsidRDefault="002A49D8"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rPr>
          <w:rFonts w:ascii="Tahoma" w:hAnsi="Tahoma" w:cs="Tahoma"/>
          <w:highlight w:val="yellow"/>
        </w:rPr>
      </w:pPr>
      <w:r w:rsidRPr="003B1851">
        <w:rPr>
          <w:rFonts w:ascii="Tahoma" w:hAnsi="Tahoma" w:cs="Tahoma"/>
          <w:i/>
          <w:highlight w:val="yellow"/>
        </w:rPr>
        <w:t xml:space="preserve">The fact that childcare, paying for childminders, all that stuff, that makes me a bit different from my social work colleagues </w:t>
      </w:r>
      <w:r w:rsidR="00A31847" w:rsidRPr="003B1851">
        <w:rPr>
          <w:rFonts w:ascii="Tahoma" w:hAnsi="Tahoma" w:cs="Tahoma"/>
          <w:i/>
          <w:highlight w:val="yellow"/>
        </w:rPr>
        <w:t xml:space="preserve"> … </w:t>
      </w:r>
      <w:r w:rsidR="000C417A" w:rsidRPr="003B1851">
        <w:rPr>
          <w:rFonts w:ascii="Tahoma" w:hAnsi="Tahoma" w:cs="Tahoma"/>
          <w:highlight w:val="yellow"/>
        </w:rPr>
        <w:t>(</w:t>
      </w:r>
      <w:r w:rsidR="00C2710C" w:rsidRPr="003B1851">
        <w:rPr>
          <w:rFonts w:ascii="Tahoma" w:hAnsi="Tahoma" w:cs="Tahoma"/>
          <w:highlight w:val="yellow"/>
        </w:rPr>
        <w:t>Participant 1</w:t>
      </w:r>
      <w:r w:rsidR="000C417A" w:rsidRPr="003B1851">
        <w:rPr>
          <w:rFonts w:ascii="Tahoma" w:hAnsi="Tahoma" w:cs="Tahoma"/>
          <w:highlight w:val="yellow"/>
        </w:rPr>
        <w:t>)</w:t>
      </w:r>
    </w:p>
    <w:p w14:paraId="58CD80D4" w14:textId="7A019958" w:rsidR="005A2F83" w:rsidRPr="003B1851" w:rsidRDefault="00AE493F" w:rsidP="00291BB8">
      <w:pPr>
        <w:widowControl w:val="0"/>
        <w:autoSpaceDE w:val="0"/>
        <w:autoSpaceDN w:val="0"/>
        <w:adjustRightInd w:val="0"/>
        <w:spacing w:before="100" w:beforeAutospacing="1" w:after="100" w:afterAutospacing="1" w:line="480" w:lineRule="auto"/>
        <w:jc w:val="both"/>
        <w:rPr>
          <w:rFonts w:ascii="Tahoma" w:hAnsi="Tahoma" w:cs="Tahoma"/>
          <w:color w:val="000000"/>
          <w:highlight w:val="yellow"/>
        </w:rPr>
      </w:pPr>
      <w:r w:rsidRPr="003B1851">
        <w:rPr>
          <w:rFonts w:ascii="Tahoma" w:hAnsi="Tahoma" w:cs="Tahoma"/>
          <w:color w:val="000000"/>
          <w:highlight w:val="yellow"/>
        </w:rPr>
        <w:t>T</w:t>
      </w:r>
      <w:r w:rsidR="00A31847" w:rsidRPr="003B1851">
        <w:rPr>
          <w:rFonts w:ascii="Tahoma" w:hAnsi="Tahoma" w:cs="Tahoma"/>
          <w:color w:val="000000"/>
          <w:highlight w:val="yellow"/>
        </w:rPr>
        <w:t xml:space="preserve">his participant </w:t>
      </w:r>
      <w:r w:rsidRPr="003B1851">
        <w:rPr>
          <w:rFonts w:ascii="Tahoma" w:hAnsi="Tahoma" w:cs="Tahoma"/>
          <w:color w:val="000000"/>
          <w:highlight w:val="yellow"/>
        </w:rPr>
        <w:t>is acknowledging that</w:t>
      </w:r>
      <w:r w:rsidR="00A31847" w:rsidRPr="003B1851">
        <w:rPr>
          <w:rFonts w:ascii="Tahoma" w:hAnsi="Tahoma" w:cs="Tahoma"/>
          <w:color w:val="000000"/>
          <w:highlight w:val="yellow"/>
        </w:rPr>
        <w:t xml:space="preserve"> some knowledge </w:t>
      </w:r>
      <w:r w:rsidRPr="003B1851">
        <w:rPr>
          <w:rFonts w:ascii="Tahoma" w:hAnsi="Tahoma" w:cs="Tahoma"/>
          <w:color w:val="000000"/>
          <w:highlight w:val="yellow"/>
        </w:rPr>
        <w:t xml:space="preserve">required to be an effective AMHP </w:t>
      </w:r>
      <w:r w:rsidR="00A31847" w:rsidRPr="003B1851">
        <w:rPr>
          <w:rFonts w:ascii="Tahoma" w:hAnsi="Tahoma" w:cs="Tahoma"/>
          <w:color w:val="000000"/>
          <w:highlight w:val="yellow"/>
        </w:rPr>
        <w:t>was previously unfamiliar to them</w:t>
      </w:r>
      <w:r w:rsidRPr="003B1851">
        <w:rPr>
          <w:rFonts w:ascii="Tahoma" w:hAnsi="Tahoma" w:cs="Tahoma"/>
          <w:color w:val="000000"/>
          <w:highlight w:val="yellow"/>
        </w:rPr>
        <w:t xml:space="preserve">. Although not </w:t>
      </w:r>
      <w:r w:rsidR="00CB4383" w:rsidRPr="003B1851">
        <w:rPr>
          <w:rFonts w:ascii="Tahoma" w:hAnsi="Tahoma" w:cs="Tahoma"/>
          <w:color w:val="000000"/>
          <w:highlight w:val="yellow"/>
        </w:rPr>
        <w:t>seen as</w:t>
      </w:r>
      <w:r w:rsidR="00EF34EF" w:rsidRPr="003B1851">
        <w:rPr>
          <w:rFonts w:ascii="Tahoma" w:hAnsi="Tahoma" w:cs="Tahoma"/>
          <w:color w:val="000000"/>
          <w:highlight w:val="yellow"/>
        </w:rPr>
        <w:t xml:space="preserve"> </w:t>
      </w:r>
      <w:r w:rsidR="00DC09DF" w:rsidRPr="003B1851">
        <w:rPr>
          <w:rFonts w:ascii="Tahoma" w:hAnsi="Tahoma" w:cs="Tahoma"/>
          <w:color w:val="000000"/>
          <w:highlight w:val="yellow"/>
        </w:rPr>
        <w:t xml:space="preserve">insurmountable </w:t>
      </w:r>
      <w:r w:rsidRPr="003B1851">
        <w:rPr>
          <w:rFonts w:ascii="Tahoma" w:hAnsi="Tahoma" w:cs="Tahoma"/>
          <w:color w:val="000000"/>
          <w:highlight w:val="yellow"/>
        </w:rPr>
        <w:t>by this individual it</w:t>
      </w:r>
      <w:r w:rsidR="00DC09DF" w:rsidRPr="003B1851">
        <w:rPr>
          <w:rFonts w:ascii="Tahoma" w:hAnsi="Tahoma" w:cs="Tahoma"/>
          <w:color w:val="000000"/>
          <w:highlight w:val="yellow"/>
        </w:rPr>
        <w:t xml:space="preserve"> does </w:t>
      </w:r>
      <w:r w:rsidR="00CB4383" w:rsidRPr="003B1851">
        <w:rPr>
          <w:rFonts w:ascii="Tahoma" w:hAnsi="Tahoma" w:cs="Tahoma"/>
          <w:color w:val="000000"/>
          <w:highlight w:val="yellow"/>
        </w:rPr>
        <w:t>highlight differences</w:t>
      </w:r>
      <w:r w:rsidRPr="003B1851">
        <w:rPr>
          <w:rFonts w:ascii="Tahoma" w:hAnsi="Tahoma" w:cs="Tahoma"/>
          <w:color w:val="000000"/>
          <w:highlight w:val="yellow"/>
        </w:rPr>
        <w:t xml:space="preserve"> between nurses and social workers that can exist at the start of training</w:t>
      </w:r>
      <w:r w:rsidR="00DC09DF" w:rsidRPr="003B1851">
        <w:rPr>
          <w:rFonts w:ascii="Tahoma" w:hAnsi="Tahoma" w:cs="Tahoma"/>
          <w:color w:val="000000"/>
          <w:highlight w:val="yellow"/>
        </w:rPr>
        <w:t xml:space="preserve">. </w:t>
      </w:r>
    </w:p>
    <w:p w14:paraId="19AD3A1F" w14:textId="5D92838C" w:rsidR="008E006C" w:rsidRPr="003B1851" w:rsidRDefault="008E006C" w:rsidP="00291BB8">
      <w:pPr>
        <w:widowControl w:val="0"/>
        <w:autoSpaceDE w:val="0"/>
        <w:autoSpaceDN w:val="0"/>
        <w:adjustRightInd w:val="0"/>
        <w:spacing w:before="100" w:beforeAutospacing="1" w:after="100" w:afterAutospacing="1" w:line="480" w:lineRule="auto"/>
        <w:jc w:val="both"/>
        <w:rPr>
          <w:rFonts w:ascii="Tahoma" w:hAnsi="Tahoma" w:cs="Tahoma"/>
          <w:color w:val="000000"/>
          <w:highlight w:val="yellow"/>
        </w:rPr>
      </w:pPr>
      <w:r w:rsidRPr="003B1851">
        <w:rPr>
          <w:rFonts w:ascii="Tahoma" w:hAnsi="Tahoma" w:cs="Tahoma"/>
          <w:highlight w:val="yellow"/>
        </w:rPr>
        <w:t xml:space="preserve">For two participants the </w:t>
      </w:r>
      <w:r w:rsidR="00AE493F" w:rsidRPr="003B1851">
        <w:rPr>
          <w:rFonts w:ascii="Tahoma" w:hAnsi="Tahoma" w:cs="Tahoma"/>
          <w:highlight w:val="yellow"/>
        </w:rPr>
        <w:t xml:space="preserve">biggest </w:t>
      </w:r>
      <w:r w:rsidRPr="003B1851">
        <w:rPr>
          <w:rFonts w:ascii="Tahoma" w:hAnsi="Tahoma" w:cs="Tahoma"/>
          <w:highlight w:val="yellow"/>
        </w:rPr>
        <w:t xml:space="preserve">challenges </w:t>
      </w:r>
      <w:r w:rsidR="00AE493F" w:rsidRPr="003B1851">
        <w:rPr>
          <w:rFonts w:ascii="Tahoma" w:hAnsi="Tahoma" w:cs="Tahoma"/>
          <w:highlight w:val="yellow"/>
        </w:rPr>
        <w:t xml:space="preserve">to becoming a practising AMHP </w:t>
      </w:r>
      <w:r w:rsidRPr="003B1851">
        <w:rPr>
          <w:rFonts w:ascii="Tahoma" w:hAnsi="Tahoma" w:cs="Tahoma"/>
          <w:highlight w:val="yellow"/>
        </w:rPr>
        <w:t xml:space="preserve">rested with gaining </w:t>
      </w:r>
      <w:r w:rsidR="00180D79" w:rsidRPr="003B1851">
        <w:rPr>
          <w:rFonts w:ascii="Tahoma" w:hAnsi="Tahoma" w:cs="Tahoma"/>
          <w:highlight w:val="yellow"/>
        </w:rPr>
        <w:t>approval</w:t>
      </w:r>
      <w:r w:rsidRPr="003B1851">
        <w:rPr>
          <w:rFonts w:ascii="Tahoma" w:hAnsi="Tahoma" w:cs="Tahoma"/>
          <w:highlight w:val="yellow"/>
        </w:rPr>
        <w:t xml:space="preserve"> to practice and gaining the AMHP warrant following their training</w:t>
      </w:r>
      <w:r w:rsidR="00AE493F" w:rsidRPr="003B1851">
        <w:rPr>
          <w:rFonts w:ascii="Tahoma" w:hAnsi="Tahoma" w:cs="Tahoma"/>
          <w:highlight w:val="yellow"/>
        </w:rPr>
        <w:t xml:space="preserve"> as illustrated by the following two quotes</w:t>
      </w:r>
      <w:r w:rsidRPr="003B1851">
        <w:rPr>
          <w:rFonts w:ascii="Tahoma" w:hAnsi="Tahoma" w:cs="Tahoma"/>
          <w:highlight w:val="yellow"/>
        </w:rPr>
        <w:t>:</w:t>
      </w:r>
    </w:p>
    <w:p w14:paraId="259B6665" w14:textId="77777777" w:rsidR="008E006C" w:rsidRPr="003B1851" w:rsidRDefault="008E006C" w:rsidP="00291BB8">
      <w:pPr>
        <w:widowControl w:val="0"/>
        <w:autoSpaceDE w:val="0"/>
        <w:autoSpaceDN w:val="0"/>
        <w:adjustRightInd w:val="0"/>
        <w:spacing w:before="100" w:beforeAutospacing="1" w:after="100" w:afterAutospacing="1" w:line="480" w:lineRule="auto"/>
        <w:ind w:left="709"/>
        <w:jc w:val="both"/>
        <w:rPr>
          <w:rFonts w:ascii="Tahoma" w:hAnsi="Tahoma" w:cs="Tahoma"/>
          <w:highlight w:val="yellow"/>
        </w:rPr>
      </w:pPr>
      <w:r w:rsidRPr="003B1851">
        <w:rPr>
          <w:rFonts w:ascii="Tahoma" w:hAnsi="Tahoma" w:cs="Tahoma"/>
          <w:i/>
          <w:highlight w:val="yellow"/>
        </w:rPr>
        <w:t>Gaining approval to practice as an AMHP and ultimately gain their warrant to practice. It took a long time for the first batch to get warranted because there was an argument about who was going to pay our insurance.</w:t>
      </w:r>
      <w:r w:rsidRPr="003B1851">
        <w:rPr>
          <w:rFonts w:ascii="Tahoma" w:hAnsi="Tahoma" w:cs="Tahoma"/>
          <w:highlight w:val="yellow"/>
        </w:rPr>
        <w:t xml:space="preserve"> (</w:t>
      </w:r>
      <w:r w:rsidR="00C2710C" w:rsidRPr="003B1851">
        <w:rPr>
          <w:rFonts w:ascii="Tahoma" w:hAnsi="Tahoma" w:cs="Tahoma"/>
          <w:highlight w:val="yellow"/>
        </w:rPr>
        <w:t>Participant 2</w:t>
      </w:r>
      <w:r w:rsidRPr="003B1851">
        <w:rPr>
          <w:rFonts w:ascii="Tahoma" w:hAnsi="Tahoma" w:cs="Tahoma"/>
          <w:highlight w:val="yellow"/>
        </w:rPr>
        <w:t>)</w:t>
      </w:r>
    </w:p>
    <w:p w14:paraId="55B3EDD5" w14:textId="77777777" w:rsidR="008E006C" w:rsidRPr="003B1851" w:rsidRDefault="008E006C" w:rsidP="00291B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09"/>
        <w:jc w:val="both"/>
        <w:rPr>
          <w:rFonts w:ascii="Tahoma" w:hAnsi="Tahoma" w:cs="Tahoma"/>
          <w:highlight w:val="yellow"/>
        </w:rPr>
      </w:pPr>
      <w:r w:rsidRPr="003B1851">
        <w:rPr>
          <w:rFonts w:ascii="Tahoma" w:hAnsi="Tahoma" w:cs="Tahoma"/>
          <w:i/>
          <w:highlight w:val="yellow"/>
        </w:rPr>
        <w:t>I think when we went to panel, we were given a bit of a harder time, and it was a bit more of a struggle to get through to get warranted. This is my opinion.</w:t>
      </w:r>
      <w:r w:rsidRPr="003B1851">
        <w:rPr>
          <w:rFonts w:ascii="Tahoma" w:hAnsi="Tahoma" w:cs="Tahoma"/>
          <w:highlight w:val="yellow"/>
        </w:rPr>
        <w:t xml:space="preserve"> (</w:t>
      </w:r>
      <w:r w:rsidR="00C2710C" w:rsidRPr="003B1851">
        <w:rPr>
          <w:rFonts w:ascii="Tahoma" w:hAnsi="Tahoma" w:cs="Tahoma"/>
          <w:highlight w:val="yellow"/>
        </w:rPr>
        <w:t>Participant 6</w:t>
      </w:r>
      <w:r w:rsidRPr="003B1851">
        <w:rPr>
          <w:rFonts w:ascii="Tahoma" w:hAnsi="Tahoma" w:cs="Tahoma"/>
          <w:highlight w:val="yellow"/>
        </w:rPr>
        <w:t>)</w:t>
      </w:r>
    </w:p>
    <w:p w14:paraId="72B7E69B" w14:textId="236BB778" w:rsidR="00AE493F" w:rsidRPr="003B1851" w:rsidRDefault="008E006C"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The participant’s responses highlighted their surprise </w:t>
      </w:r>
      <w:r w:rsidR="00AE493F" w:rsidRPr="003B1851">
        <w:rPr>
          <w:rFonts w:ascii="Tahoma" w:hAnsi="Tahoma" w:cs="Tahoma"/>
          <w:highlight w:val="yellow"/>
        </w:rPr>
        <w:t>at</w:t>
      </w:r>
      <w:r w:rsidRPr="003B1851">
        <w:rPr>
          <w:rFonts w:ascii="Tahoma" w:hAnsi="Tahoma" w:cs="Tahoma"/>
          <w:highlight w:val="yellow"/>
        </w:rPr>
        <w:t xml:space="preserve"> the structural challenges they experienced to transitioning to practicing AMHPs</w:t>
      </w:r>
      <w:r w:rsidR="00092AB0" w:rsidRPr="003B1851">
        <w:rPr>
          <w:rFonts w:ascii="Tahoma" w:hAnsi="Tahoma" w:cs="Tahoma"/>
          <w:highlight w:val="yellow"/>
        </w:rPr>
        <w:t>, such as who was going to insure t</w:t>
      </w:r>
      <w:r w:rsidRPr="003B1851">
        <w:rPr>
          <w:rFonts w:ascii="Tahoma" w:hAnsi="Tahoma" w:cs="Tahoma"/>
          <w:highlight w:val="yellow"/>
        </w:rPr>
        <w:t xml:space="preserve">hem, and their perception of </w:t>
      </w:r>
      <w:r w:rsidR="00AE493F" w:rsidRPr="003B1851">
        <w:rPr>
          <w:rFonts w:ascii="Tahoma" w:hAnsi="Tahoma" w:cs="Tahoma"/>
          <w:highlight w:val="yellow"/>
        </w:rPr>
        <w:t xml:space="preserve">it being </w:t>
      </w:r>
      <w:r w:rsidRPr="003B1851">
        <w:rPr>
          <w:rFonts w:ascii="Tahoma" w:hAnsi="Tahoma" w:cs="Tahoma"/>
          <w:highlight w:val="yellow"/>
        </w:rPr>
        <w:t xml:space="preserve">harder </w:t>
      </w:r>
      <w:r w:rsidR="00AE493F" w:rsidRPr="003B1851">
        <w:rPr>
          <w:rFonts w:ascii="Tahoma" w:hAnsi="Tahoma" w:cs="Tahoma"/>
          <w:highlight w:val="yellow"/>
        </w:rPr>
        <w:t xml:space="preserve">than expected to </w:t>
      </w:r>
      <w:r w:rsidRPr="003B1851">
        <w:rPr>
          <w:rFonts w:ascii="Tahoma" w:hAnsi="Tahoma" w:cs="Tahoma"/>
          <w:highlight w:val="yellow"/>
        </w:rPr>
        <w:t xml:space="preserve">gain a warrant. </w:t>
      </w:r>
    </w:p>
    <w:p w14:paraId="3DC5DB9F" w14:textId="77777777" w:rsidR="002A49D8" w:rsidRPr="003B1851" w:rsidRDefault="002B5186" w:rsidP="00291B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lastRenderedPageBreak/>
        <w:t>Another participant highlights that it has now given them greater ability to contribute to the team</w:t>
      </w:r>
      <w:r w:rsidR="00CA7D93" w:rsidRPr="003B1851">
        <w:rPr>
          <w:rFonts w:ascii="Tahoma" w:hAnsi="Tahoma" w:cs="Tahoma"/>
          <w:highlight w:val="yellow"/>
        </w:rPr>
        <w:t>:</w:t>
      </w:r>
      <w:r w:rsidRPr="003B1851">
        <w:rPr>
          <w:rFonts w:ascii="Tahoma" w:hAnsi="Tahoma" w:cs="Tahoma"/>
          <w:highlight w:val="yellow"/>
        </w:rPr>
        <w:t xml:space="preserve"> </w:t>
      </w:r>
    </w:p>
    <w:p w14:paraId="6A874717" w14:textId="77777777" w:rsidR="002A49D8" w:rsidRPr="003B1851" w:rsidRDefault="002A49D8"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 xml:space="preserve">I’m always an AMHP because people will come in and ask for advice or phone or I will go out and do assessments, sorry, just general assessments but where they think, “Actually, this looks like it might turn into a Mental Health Act assessment, let’s send </w:t>
      </w:r>
      <w:r w:rsidR="00EF34EF" w:rsidRPr="003B1851">
        <w:rPr>
          <w:rFonts w:ascii="Tahoma" w:hAnsi="Tahoma" w:cs="Tahoma"/>
          <w:i/>
          <w:highlight w:val="yellow"/>
        </w:rPr>
        <w:t>[participant named]</w:t>
      </w:r>
      <w:r w:rsidRPr="003B1851">
        <w:rPr>
          <w:rFonts w:ascii="Tahoma" w:hAnsi="Tahoma" w:cs="Tahoma"/>
          <w:i/>
          <w:highlight w:val="yellow"/>
        </w:rPr>
        <w:t>,” because I’ll be able to</w:t>
      </w:r>
      <w:r w:rsidR="00CA7D93" w:rsidRPr="003B1851">
        <w:rPr>
          <w:rFonts w:ascii="Tahoma" w:hAnsi="Tahoma" w:cs="Tahoma"/>
          <w:i/>
          <w:highlight w:val="yellow"/>
        </w:rPr>
        <w:t xml:space="preserve"> do it</w:t>
      </w:r>
      <w:r w:rsidRPr="003B1851">
        <w:rPr>
          <w:rFonts w:ascii="Tahoma" w:hAnsi="Tahoma" w:cs="Tahoma"/>
          <w:i/>
          <w:highlight w:val="yellow"/>
        </w:rPr>
        <w:t>…</w:t>
      </w:r>
      <w:r w:rsidR="000C417A" w:rsidRPr="003B1851">
        <w:rPr>
          <w:rFonts w:ascii="Tahoma" w:hAnsi="Tahoma" w:cs="Tahoma"/>
          <w:i/>
          <w:highlight w:val="yellow"/>
        </w:rPr>
        <w:t xml:space="preserve"> </w:t>
      </w:r>
      <w:r w:rsidR="000C417A" w:rsidRPr="003B1851">
        <w:rPr>
          <w:rFonts w:ascii="Tahoma" w:hAnsi="Tahoma" w:cs="Tahoma"/>
          <w:highlight w:val="yellow"/>
        </w:rPr>
        <w:t>(</w:t>
      </w:r>
      <w:r w:rsidR="00C2710C" w:rsidRPr="003B1851">
        <w:rPr>
          <w:rFonts w:ascii="Tahoma" w:hAnsi="Tahoma" w:cs="Tahoma"/>
          <w:highlight w:val="yellow"/>
        </w:rPr>
        <w:t>Participant 1</w:t>
      </w:r>
      <w:r w:rsidR="000C417A" w:rsidRPr="003B1851">
        <w:rPr>
          <w:rFonts w:ascii="Tahoma" w:hAnsi="Tahoma" w:cs="Tahoma"/>
          <w:highlight w:val="yellow"/>
        </w:rPr>
        <w:t>)</w:t>
      </w:r>
    </w:p>
    <w:p w14:paraId="62BF1F82" w14:textId="0D6BF19B" w:rsidR="00B96722" w:rsidRPr="003B1851" w:rsidRDefault="00B81996"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color w:val="000000" w:themeColor="text1"/>
          <w:highlight w:val="yellow"/>
        </w:rPr>
      </w:pPr>
      <w:r w:rsidRPr="003B1851">
        <w:rPr>
          <w:rFonts w:ascii="Tahoma" w:hAnsi="Tahoma" w:cs="Tahoma"/>
          <w:color w:val="000000" w:themeColor="text1"/>
          <w:highlight w:val="yellow"/>
        </w:rPr>
        <w:t xml:space="preserve">This participant is making the clear distinction between a mental health assessment and a Mental Health Act assessment. The former </w:t>
      </w:r>
      <w:r w:rsidR="00AE493F" w:rsidRPr="003B1851">
        <w:rPr>
          <w:rFonts w:ascii="Tahoma" w:hAnsi="Tahoma" w:cs="Tahoma"/>
          <w:color w:val="000000" w:themeColor="text1"/>
          <w:highlight w:val="yellow"/>
        </w:rPr>
        <w:t xml:space="preserve">is seen as </w:t>
      </w:r>
      <w:r w:rsidRPr="003B1851">
        <w:rPr>
          <w:rFonts w:ascii="Tahoma" w:hAnsi="Tahoma" w:cs="Tahoma"/>
          <w:color w:val="000000" w:themeColor="text1"/>
          <w:highlight w:val="yellow"/>
        </w:rPr>
        <w:t>indic</w:t>
      </w:r>
      <w:r w:rsidR="00AE493F" w:rsidRPr="003B1851">
        <w:rPr>
          <w:rFonts w:ascii="Tahoma" w:hAnsi="Tahoma" w:cs="Tahoma"/>
          <w:color w:val="000000" w:themeColor="text1"/>
          <w:highlight w:val="yellow"/>
        </w:rPr>
        <w:t>a</w:t>
      </w:r>
      <w:r w:rsidRPr="003B1851">
        <w:rPr>
          <w:rFonts w:ascii="Tahoma" w:hAnsi="Tahoma" w:cs="Tahoma"/>
          <w:color w:val="000000" w:themeColor="text1"/>
          <w:highlight w:val="yellow"/>
        </w:rPr>
        <w:t xml:space="preserve">ting the state of a person’s mental health, and the latter the </w:t>
      </w:r>
      <w:r w:rsidR="00AE493F" w:rsidRPr="003B1851">
        <w:rPr>
          <w:rFonts w:ascii="Tahoma" w:hAnsi="Tahoma" w:cs="Tahoma"/>
          <w:color w:val="000000" w:themeColor="text1"/>
          <w:highlight w:val="yellow"/>
        </w:rPr>
        <w:t xml:space="preserve">need for an </w:t>
      </w:r>
      <w:r w:rsidRPr="003B1851">
        <w:rPr>
          <w:rFonts w:ascii="Tahoma" w:hAnsi="Tahoma" w:cs="Tahoma"/>
          <w:color w:val="000000" w:themeColor="text1"/>
          <w:highlight w:val="yellow"/>
        </w:rPr>
        <w:t xml:space="preserve">assessment to determine if a person should be detained in Hospital. Although being an AMHP had given him a </w:t>
      </w:r>
      <w:r w:rsidR="005D6497" w:rsidRPr="003B1851">
        <w:rPr>
          <w:rFonts w:ascii="Tahoma" w:hAnsi="Tahoma" w:cs="Tahoma"/>
          <w:color w:val="000000" w:themeColor="text1"/>
          <w:highlight w:val="yellow"/>
        </w:rPr>
        <w:t>benifical</w:t>
      </w:r>
      <w:r w:rsidRPr="003B1851">
        <w:rPr>
          <w:rFonts w:ascii="Tahoma" w:hAnsi="Tahoma" w:cs="Tahoma"/>
          <w:color w:val="000000" w:themeColor="text1"/>
          <w:highlight w:val="yellow"/>
        </w:rPr>
        <w:t xml:space="preserve"> function with</w:t>
      </w:r>
      <w:r w:rsidR="00AE493F" w:rsidRPr="003B1851">
        <w:rPr>
          <w:rFonts w:ascii="Tahoma" w:hAnsi="Tahoma" w:cs="Tahoma"/>
          <w:color w:val="000000" w:themeColor="text1"/>
          <w:highlight w:val="yellow"/>
        </w:rPr>
        <w:t>in</w:t>
      </w:r>
      <w:r w:rsidRPr="003B1851">
        <w:rPr>
          <w:rFonts w:ascii="Tahoma" w:hAnsi="Tahoma" w:cs="Tahoma"/>
          <w:color w:val="000000" w:themeColor="text1"/>
          <w:highlight w:val="yellow"/>
        </w:rPr>
        <w:t xml:space="preserve"> his team, he is experiencing being asked to undertake mental health assessments</w:t>
      </w:r>
      <w:r w:rsidR="005D6497" w:rsidRPr="003B1851">
        <w:rPr>
          <w:rFonts w:ascii="Tahoma" w:hAnsi="Tahoma" w:cs="Tahoma"/>
          <w:color w:val="000000" w:themeColor="text1"/>
          <w:highlight w:val="yellow"/>
        </w:rPr>
        <w:t>,</w:t>
      </w:r>
      <w:r w:rsidRPr="003B1851">
        <w:rPr>
          <w:rFonts w:ascii="Tahoma" w:hAnsi="Tahoma" w:cs="Tahoma"/>
          <w:color w:val="000000" w:themeColor="text1"/>
          <w:highlight w:val="yellow"/>
        </w:rPr>
        <w:t xml:space="preserve"> which might be closely followed by a Mental Health Act assessment. </w:t>
      </w:r>
      <w:r w:rsidR="00ED227C" w:rsidRPr="003B1851">
        <w:rPr>
          <w:rFonts w:ascii="Tahoma" w:hAnsi="Tahoma" w:cs="Tahoma"/>
          <w:color w:val="000000" w:themeColor="text1"/>
          <w:highlight w:val="yellow"/>
        </w:rPr>
        <w:t>Other participants commented that</w:t>
      </w:r>
      <w:r w:rsidR="00B96722" w:rsidRPr="003B1851">
        <w:rPr>
          <w:rFonts w:ascii="Tahoma" w:hAnsi="Tahoma" w:cs="Tahoma"/>
          <w:highlight w:val="yellow"/>
        </w:rPr>
        <w:t>:</w:t>
      </w:r>
    </w:p>
    <w:p w14:paraId="5928BC7B" w14:textId="77777777" w:rsidR="00B96722" w:rsidRPr="003B1851" w:rsidRDefault="00B96722"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In fact, what you often do find is that anything medical comes up and they shout across the room, “Hey, you’ll know this, you’re a nurse,” kind of thing…Or occasionally, certainly ones on medical wards here, or any of the acute hospices, they say, “Maybe you should go up to your nurse, she’ll understand what they're talking about,” like the medical issues…  I’ve found the same, people are saying, “Who’s this nurse that’s going on the AMHP course again?” Then when you say who it is, they go, “Oh, yes, he’s all right, that’s fine.”</w:t>
      </w:r>
      <w:r w:rsidRPr="003B1851">
        <w:rPr>
          <w:rFonts w:ascii="Tahoma" w:hAnsi="Tahoma" w:cs="Tahoma"/>
          <w:highlight w:val="yellow"/>
        </w:rPr>
        <w:t xml:space="preserve"> (</w:t>
      </w:r>
      <w:r w:rsidR="00C2710C" w:rsidRPr="003B1851">
        <w:rPr>
          <w:rFonts w:ascii="Tahoma" w:hAnsi="Tahoma" w:cs="Tahoma"/>
          <w:highlight w:val="yellow"/>
        </w:rPr>
        <w:t>Participant 4</w:t>
      </w:r>
      <w:r w:rsidRPr="003B1851">
        <w:rPr>
          <w:rFonts w:ascii="Tahoma" w:hAnsi="Tahoma" w:cs="Tahoma"/>
          <w:highlight w:val="yellow"/>
        </w:rPr>
        <w:t>)</w:t>
      </w:r>
    </w:p>
    <w:p w14:paraId="0AD39700" w14:textId="77777777" w:rsidR="00B96722" w:rsidRPr="003B1851" w:rsidRDefault="00B96722" w:rsidP="00291BB8">
      <w:pPr>
        <w:widowControl w:val="0"/>
        <w:autoSpaceDE w:val="0"/>
        <w:autoSpaceDN w:val="0"/>
        <w:adjustRightInd w:val="0"/>
        <w:spacing w:before="100" w:beforeAutospacing="1" w:after="100" w:afterAutospacing="1" w:line="480" w:lineRule="auto"/>
        <w:jc w:val="both"/>
        <w:rPr>
          <w:rFonts w:ascii="Tahoma" w:hAnsi="Tahoma" w:cs="Tahoma"/>
          <w:color w:val="000000"/>
          <w:highlight w:val="yellow"/>
        </w:rPr>
      </w:pPr>
      <w:r w:rsidRPr="003B1851">
        <w:rPr>
          <w:rFonts w:ascii="Tahoma" w:hAnsi="Tahoma" w:cs="Tahoma"/>
          <w:color w:val="000000"/>
          <w:highlight w:val="yellow"/>
        </w:rPr>
        <w:t xml:space="preserve">In this scenario, </w:t>
      </w:r>
      <w:r w:rsidR="00ED227C" w:rsidRPr="003B1851">
        <w:rPr>
          <w:rFonts w:ascii="Tahoma" w:hAnsi="Tahoma" w:cs="Tahoma"/>
          <w:color w:val="000000"/>
          <w:highlight w:val="yellow"/>
        </w:rPr>
        <w:t xml:space="preserve">the </w:t>
      </w:r>
      <w:r w:rsidR="00AE493F" w:rsidRPr="003B1851">
        <w:rPr>
          <w:rFonts w:ascii="Tahoma" w:hAnsi="Tahoma" w:cs="Tahoma"/>
          <w:color w:val="000000"/>
          <w:highlight w:val="yellow"/>
        </w:rPr>
        <w:t xml:space="preserve">medical </w:t>
      </w:r>
      <w:r w:rsidRPr="003B1851">
        <w:rPr>
          <w:rFonts w:ascii="Tahoma" w:hAnsi="Tahoma" w:cs="Tahoma"/>
          <w:color w:val="000000"/>
          <w:highlight w:val="yellow"/>
        </w:rPr>
        <w:t>skills of a</w:t>
      </w:r>
      <w:r w:rsidR="00ED227C" w:rsidRPr="003B1851">
        <w:rPr>
          <w:rFonts w:ascii="Tahoma" w:hAnsi="Tahoma" w:cs="Tahoma"/>
          <w:color w:val="000000"/>
          <w:highlight w:val="yellow"/>
        </w:rPr>
        <w:t xml:space="preserve"> specific AMHP appear to be being sought</w:t>
      </w:r>
      <w:r w:rsidRPr="003B1851">
        <w:rPr>
          <w:rFonts w:ascii="Tahoma" w:hAnsi="Tahoma" w:cs="Tahoma"/>
          <w:color w:val="000000"/>
          <w:highlight w:val="yellow"/>
        </w:rPr>
        <w:t xml:space="preserve"> </w:t>
      </w:r>
      <w:r w:rsidR="00AE493F" w:rsidRPr="003B1851">
        <w:rPr>
          <w:rFonts w:ascii="Tahoma" w:hAnsi="Tahoma" w:cs="Tahoma"/>
          <w:color w:val="000000"/>
          <w:highlight w:val="yellow"/>
        </w:rPr>
        <w:t xml:space="preserve">out </w:t>
      </w:r>
      <w:r w:rsidR="00ED227C" w:rsidRPr="003B1851">
        <w:rPr>
          <w:rFonts w:ascii="Tahoma" w:hAnsi="Tahoma" w:cs="Tahoma"/>
          <w:color w:val="000000"/>
          <w:highlight w:val="yellow"/>
        </w:rPr>
        <w:t>based upon the specific needs identified within the</w:t>
      </w:r>
      <w:r w:rsidRPr="003B1851">
        <w:rPr>
          <w:rFonts w:ascii="Tahoma" w:hAnsi="Tahoma" w:cs="Tahoma"/>
          <w:color w:val="000000"/>
          <w:highlight w:val="yellow"/>
        </w:rPr>
        <w:t xml:space="preserve"> MHA assessment</w:t>
      </w:r>
      <w:r w:rsidR="00AE493F" w:rsidRPr="003B1851">
        <w:rPr>
          <w:rFonts w:ascii="Tahoma" w:hAnsi="Tahoma" w:cs="Tahoma"/>
          <w:color w:val="000000"/>
          <w:highlight w:val="yellow"/>
        </w:rPr>
        <w:t>. I</w:t>
      </w:r>
      <w:r w:rsidR="00ED227C" w:rsidRPr="003B1851">
        <w:rPr>
          <w:rFonts w:ascii="Tahoma" w:hAnsi="Tahoma" w:cs="Tahoma"/>
          <w:color w:val="000000"/>
          <w:highlight w:val="yellow"/>
        </w:rPr>
        <w:t xml:space="preserve">n </w:t>
      </w:r>
      <w:r w:rsidR="00AE493F" w:rsidRPr="003B1851">
        <w:rPr>
          <w:rFonts w:ascii="Tahoma" w:hAnsi="Tahoma" w:cs="Tahoma"/>
          <w:color w:val="000000"/>
          <w:highlight w:val="yellow"/>
        </w:rPr>
        <w:t xml:space="preserve">other words it is </w:t>
      </w:r>
      <w:r w:rsidR="00ED227C" w:rsidRPr="003B1851">
        <w:rPr>
          <w:rFonts w:ascii="Tahoma" w:hAnsi="Tahoma" w:cs="Tahoma"/>
          <w:color w:val="000000"/>
          <w:highlight w:val="yellow"/>
        </w:rPr>
        <w:t xml:space="preserve">their experience </w:t>
      </w:r>
      <w:r w:rsidR="00AE493F" w:rsidRPr="003B1851">
        <w:rPr>
          <w:rFonts w:ascii="Tahoma" w:hAnsi="Tahoma" w:cs="Tahoma"/>
          <w:color w:val="000000"/>
          <w:highlight w:val="yellow"/>
        </w:rPr>
        <w:t xml:space="preserve">that </w:t>
      </w:r>
      <w:r w:rsidRPr="003B1851">
        <w:rPr>
          <w:rFonts w:ascii="Tahoma" w:hAnsi="Tahoma" w:cs="Tahoma"/>
          <w:color w:val="000000"/>
          <w:highlight w:val="yellow"/>
        </w:rPr>
        <w:t>if an assessment is needed on an acute medical ward or hospice they are considered first for the assessment</w:t>
      </w:r>
      <w:r w:rsidR="00AE493F" w:rsidRPr="003B1851">
        <w:rPr>
          <w:rFonts w:ascii="Tahoma" w:hAnsi="Tahoma" w:cs="Tahoma"/>
          <w:color w:val="000000"/>
          <w:highlight w:val="yellow"/>
        </w:rPr>
        <w:t xml:space="preserve"> because of their nursing background</w:t>
      </w:r>
      <w:r w:rsidRPr="003B1851">
        <w:rPr>
          <w:rFonts w:ascii="Tahoma" w:hAnsi="Tahoma" w:cs="Tahoma"/>
          <w:color w:val="000000"/>
          <w:highlight w:val="yellow"/>
        </w:rPr>
        <w:t xml:space="preserve">. This </w:t>
      </w:r>
      <w:r w:rsidR="00AE493F" w:rsidRPr="003B1851">
        <w:rPr>
          <w:rFonts w:ascii="Tahoma" w:hAnsi="Tahoma" w:cs="Tahoma"/>
          <w:color w:val="000000"/>
          <w:highlight w:val="yellow"/>
        </w:rPr>
        <w:t>was</w:t>
      </w:r>
      <w:r w:rsidRPr="003B1851">
        <w:rPr>
          <w:rFonts w:ascii="Tahoma" w:hAnsi="Tahoma" w:cs="Tahoma"/>
          <w:color w:val="000000"/>
          <w:highlight w:val="yellow"/>
        </w:rPr>
        <w:t xml:space="preserve"> echoed by another participant who asks themselves:</w:t>
      </w:r>
    </w:p>
    <w:p w14:paraId="72548615" w14:textId="77777777" w:rsidR="00B96722" w:rsidRPr="003B1851" w:rsidRDefault="00B96722" w:rsidP="00291BB8">
      <w:pPr>
        <w:tabs>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hanging="11"/>
        <w:jc w:val="both"/>
        <w:rPr>
          <w:rFonts w:ascii="Tahoma" w:hAnsi="Tahoma" w:cs="Tahoma"/>
          <w:highlight w:val="yellow"/>
        </w:rPr>
      </w:pPr>
      <w:r w:rsidRPr="003B1851">
        <w:rPr>
          <w:rFonts w:ascii="Tahoma" w:hAnsi="Tahoma" w:cs="Tahoma"/>
          <w:i/>
          <w:highlight w:val="yellow"/>
        </w:rPr>
        <w:lastRenderedPageBreak/>
        <w:t xml:space="preserve">Is this going to turn into </w:t>
      </w:r>
      <w:r w:rsidR="00ED227C" w:rsidRPr="003B1851">
        <w:rPr>
          <w:rFonts w:ascii="Tahoma" w:hAnsi="Tahoma" w:cs="Tahoma"/>
          <w:i/>
          <w:highlight w:val="yellow"/>
        </w:rPr>
        <w:t>a Mental Health Act assessment?</w:t>
      </w:r>
      <w:r w:rsidRPr="003B1851">
        <w:rPr>
          <w:rFonts w:ascii="Tahoma" w:hAnsi="Tahoma" w:cs="Tahoma"/>
          <w:i/>
          <w:highlight w:val="yellow"/>
        </w:rPr>
        <w:t xml:space="preserve"> I would have done it –there’s confusion about this in the organisation. It doesn’t matter to me whether I’m doing a general assessment or a Mental Health Act assessment. If somebody says to me, “Do this. Please go work at that,” I’ll do it as long as I have time to do it. I’m happy – I’ll do what I’m told, to a certain extent. I can see it is good practice that if I met somebody then perhaps I could do it, but that’s not clear within the organisation.</w:t>
      </w:r>
      <w:r w:rsidRPr="003B1851">
        <w:rPr>
          <w:rFonts w:ascii="Tahoma" w:hAnsi="Tahoma" w:cs="Tahoma"/>
          <w:highlight w:val="yellow"/>
        </w:rPr>
        <w:t xml:space="preserve"> (</w:t>
      </w:r>
      <w:r w:rsidR="00C2710C" w:rsidRPr="003B1851">
        <w:rPr>
          <w:rFonts w:ascii="Tahoma" w:hAnsi="Tahoma" w:cs="Tahoma"/>
          <w:highlight w:val="yellow"/>
        </w:rPr>
        <w:t>Participant 1</w:t>
      </w:r>
      <w:r w:rsidRPr="003B1851">
        <w:rPr>
          <w:rFonts w:ascii="Tahoma" w:hAnsi="Tahoma" w:cs="Tahoma"/>
          <w:highlight w:val="yellow"/>
        </w:rPr>
        <w:t>)</w:t>
      </w:r>
    </w:p>
    <w:p w14:paraId="2FA8BE7A" w14:textId="287179BE" w:rsidR="002620F8" w:rsidRPr="003B1851" w:rsidRDefault="00B96722"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In this sense the participant is stating that they are happy to be directed to undertake assessments</w:t>
      </w:r>
      <w:r w:rsidR="00D32D68" w:rsidRPr="003B1851">
        <w:rPr>
          <w:rFonts w:ascii="Tahoma" w:hAnsi="Tahoma" w:cs="Tahoma"/>
          <w:highlight w:val="yellow"/>
        </w:rPr>
        <w:t>,</w:t>
      </w:r>
      <w:r w:rsidRPr="003B1851">
        <w:rPr>
          <w:rFonts w:ascii="Tahoma" w:hAnsi="Tahoma" w:cs="Tahoma"/>
          <w:highlight w:val="yellow"/>
        </w:rPr>
        <w:t xml:space="preserve"> but suggests that this role change needs direction from the organisation when undertaking</w:t>
      </w:r>
      <w:r w:rsidR="006351C4" w:rsidRPr="003B1851">
        <w:rPr>
          <w:rFonts w:ascii="Tahoma" w:hAnsi="Tahoma" w:cs="Tahoma"/>
          <w:highlight w:val="yellow"/>
        </w:rPr>
        <w:t xml:space="preserve"> their clinical as being a nurse is influencing their </w:t>
      </w:r>
      <w:r w:rsidRPr="003B1851">
        <w:rPr>
          <w:rFonts w:ascii="Tahoma" w:hAnsi="Tahoma" w:cs="Tahoma"/>
          <w:highlight w:val="yellow"/>
        </w:rPr>
        <w:t xml:space="preserve">AMHP work. </w:t>
      </w:r>
    </w:p>
    <w:p w14:paraId="77A0290E" w14:textId="2B51EEC9" w:rsidR="00B96722" w:rsidRPr="003B1851" w:rsidRDefault="00B96722"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For some of the participants </w:t>
      </w:r>
      <w:r w:rsidR="00ED227C" w:rsidRPr="003B1851">
        <w:rPr>
          <w:rFonts w:ascii="Tahoma" w:hAnsi="Tahoma" w:cs="Tahoma"/>
          <w:highlight w:val="yellow"/>
        </w:rPr>
        <w:t>a potential conflict of interest</w:t>
      </w:r>
      <w:r w:rsidR="002620F8" w:rsidRPr="003B1851">
        <w:rPr>
          <w:rFonts w:ascii="Tahoma" w:hAnsi="Tahoma" w:cs="Tahoma"/>
          <w:highlight w:val="yellow"/>
        </w:rPr>
        <w:t xml:space="preserve"> seemed to exist in relation to this issue</w:t>
      </w:r>
      <w:r w:rsidR="00ED227C" w:rsidRPr="003B1851">
        <w:rPr>
          <w:rFonts w:ascii="Tahoma" w:hAnsi="Tahoma" w:cs="Tahoma"/>
          <w:highlight w:val="yellow"/>
        </w:rPr>
        <w:t xml:space="preserve">. One </w:t>
      </w:r>
      <w:r w:rsidR="003353D6" w:rsidRPr="003B1851">
        <w:rPr>
          <w:rFonts w:ascii="Tahoma" w:hAnsi="Tahoma" w:cs="Tahoma"/>
          <w:highlight w:val="yellow"/>
        </w:rPr>
        <w:t>such participant explained:</w:t>
      </w:r>
    </w:p>
    <w:p w14:paraId="5653FD03" w14:textId="77777777" w:rsidR="00B96722" w:rsidRPr="003B1851" w:rsidRDefault="00B96722"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I’m always very conscious that, if I’ve seen the patient in the morning, as liaison, then I wouldn’t do a Mental Health Act Assessment. Because I couldn’t go in the morning, say, “Hi, I’m from the liaison team”, then in the afternoon, “Oh, hi, do you remember me from this morning? Well I’m not that person any more, I’m this person.” So you’ve got to have that degree of independence</w:t>
      </w:r>
      <w:r w:rsidRPr="003B1851">
        <w:rPr>
          <w:rFonts w:ascii="Tahoma" w:hAnsi="Tahoma" w:cs="Tahoma"/>
          <w:highlight w:val="yellow"/>
        </w:rPr>
        <w:t>. (</w:t>
      </w:r>
      <w:r w:rsidR="00C2710C" w:rsidRPr="003B1851">
        <w:rPr>
          <w:rFonts w:ascii="Tahoma" w:hAnsi="Tahoma" w:cs="Tahoma"/>
          <w:highlight w:val="yellow"/>
        </w:rPr>
        <w:t>Participant 5</w:t>
      </w:r>
      <w:r w:rsidRPr="003B1851">
        <w:rPr>
          <w:rFonts w:ascii="Tahoma" w:hAnsi="Tahoma" w:cs="Tahoma"/>
          <w:highlight w:val="yellow"/>
        </w:rPr>
        <w:t>)</w:t>
      </w:r>
    </w:p>
    <w:p w14:paraId="6F1E50E7" w14:textId="6AABE044" w:rsidR="00B96722" w:rsidRPr="003B1851" w:rsidRDefault="00B96722"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In this </w:t>
      </w:r>
      <w:r w:rsidR="007635DF" w:rsidRPr="003B1851">
        <w:rPr>
          <w:rFonts w:ascii="Tahoma" w:hAnsi="Tahoma" w:cs="Tahoma"/>
          <w:highlight w:val="yellow"/>
        </w:rPr>
        <w:t>circumstance,</w:t>
      </w:r>
      <w:r w:rsidRPr="003B1851">
        <w:rPr>
          <w:rFonts w:ascii="Tahoma" w:hAnsi="Tahoma" w:cs="Tahoma"/>
          <w:highlight w:val="yellow"/>
        </w:rPr>
        <w:t xml:space="preserve"> the nurse is recognising the </w:t>
      </w:r>
      <w:r w:rsidR="007B5926" w:rsidRPr="003B1851">
        <w:rPr>
          <w:rFonts w:ascii="Tahoma" w:hAnsi="Tahoma" w:cs="Tahoma"/>
          <w:highlight w:val="yellow"/>
        </w:rPr>
        <w:t xml:space="preserve">need for clarity and independence when switching between roles when seeing the same </w:t>
      </w:r>
      <w:r w:rsidRPr="003B1851">
        <w:rPr>
          <w:rFonts w:ascii="Tahoma" w:hAnsi="Tahoma" w:cs="Tahoma"/>
          <w:highlight w:val="yellow"/>
        </w:rPr>
        <w:t>patient in the same clinical context but from differing professional roles. Similarly a</w:t>
      </w:r>
      <w:r w:rsidR="002620F8" w:rsidRPr="003B1851">
        <w:rPr>
          <w:rFonts w:ascii="Tahoma" w:hAnsi="Tahoma" w:cs="Tahoma"/>
          <w:highlight w:val="yellow"/>
        </w:rPr>
        <w:t>nother</w:t>
      </w:r>
      <w:r w:rsidRPr="003B1851">
        <w:rPr>
          <w:rFonts w:ascii="Tahoma" w:hAnsi="Tahoma" w:cs="Tahoma"/>
          <w:highlight w:val="yellow"/>
        </w:rPr>
        <w:t xml:space="preserve"> participant highlight how difficulties can arise if the nurse</w:t>
      </w:r>
      <w:r w:rsidR="007B5926" w:rsidRPr="003B1851">
        <w:rPr>
          <w:rFonts w:ascii="Tahoma" w:hAnsi="Tahoma" w:cs="Tahoma"/>
          <w:highlight w:val="yellow"/>
        </w:rPr>
        <w:t xml:space="preserve"> AMHP works on the </w:t>
      </w:r>
      <w:r w:rsidRPr="003B1851">
        <w:rPr>
          <w:rFonts w:ascii="Tahoma" w:hAnsi="Tahoma" w:cs="Tahoma"/>
          <w:highlight w:val="yellow"/>
        </w:rPr>
        <w:t>ward:</w:t>
      </w:r>
    </w:p>
    <w:p w14:paraId="79128E93" w14:textId="77777777" w:rsidR="00B96722" w:rsidRPr="003B1851" w:rsidRDefault="00B96722"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686"/>
        <w:jc w:val="both"/>
        <w:rPr>
          <w:rFonts w:ascii="Tahoma" w:hAnsi="Tahoma" w:cs="Tahoma"/>
          <w:highlight w:val="yellow"/>
        </w:rPr>
      </w:pPr>
      <w:r w:rsidRPr="003B1851">
        <w:rPr>
          <w:rFonts w:ascii="Tahoma" w:hAnsi="Tahoma" w:cs="Tahoma"/>
          <w:i/>
          <w:highlight w:val="yellow"/>
        </w:rPr>
        <w:t xml:space="preserve">Also, that worries me with AMHP assessments as well. Then getting in touch with [council named] and asking them and saying to them, “I think there is going to be an issue if I do Mental Health Act assessments, and then they come to the ward and I go </w:t>
      </w:r>
      <w:r w:rsidRPr="003B1851">
        <w:rPr>
          <w:rFonts w:ascii="Tahoma" w:hAnsi="Tahoma" w:cs="Tahoma"/>
          <w:i/>
          <w:highlight w:val="yellow"/>
        </w:rPr>
        <w:lastRenderedPageBreak/>
        <w:t xml:space="preserve">out and assess them as an AMHP. Then they came back to the ward and then I’m a nurse.” I don’t think </w:t>
      </w:r>
      <w:r w:rsidR="001277E5" w:rsidRPr="003B1851">
        <w:rPr>
          <w:rFonts w:ascii="Tahoma" w:hAnsi="Tahoma" w:cs="Tahoma"/>
          <w:i/>
          <w:highlight w:val="yellow"/>
        </w:rPr>
        <w:t>that’s right’</w:t>
      </w:r>
      <w:r w:rsidRPr="003B1851">
        <w:rPr>
          <w:rFonts w:ascii="Tahoma" w:hAnsi="Tahoma" w:cs="Tahoma"/>
          <w:highlight w:val="yellow"/>
        </w:rPr>
        <w:t xml:space="preserve"> (</w:t>
      </w:r>
      <w:r w:rsidR="00C2710C" w:rsidRPr="003B1851">
        <w:rPr>
          <w:rFonts w:ascii="Tahoma" w:hAnsi="Tahoma" w:cs="Tahoma"/>
          <w:highlight w:val="yellow"/>
        </w:rPr>
        <w:t>Participant 10</w:t>
      </w:r>
      <w:r w:rsidRPr="003B1851">
        <w:rPr>
          <w:rFonts w:ascii="Tahoma" w:hAnsi="Tahoma" w:cs="Tahoma"/>
          <w:highlight w:val="yellow"/>
        </w:rPr>
        <w:t>)</w:t>
      </w:r>
    </w:p>
    <w:p w14:paraId="57F48387" w14:textId="77777777" w:rsidR="002620F8" w:rsidRPr="003B1851" w:rsidRDefault="002620F8"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w:t>
      </w:r>
      <w:r w:rsidR="00B96722" w:rsidRPr="003B1851">
        <w:rPr>
          <w:rFonts w:ascii="Tahoma" w:hAnsi="Tahoma" w:cs="Tahoma"/>
          <w:highlight w:val="yellow"/>
        </w:rPr>
        <w:t xml:space="preserve">his participant </w:t>
      </w:r>
      <w:r w:rsidRPr="003B1851">
        <w:rPr>
          <w:rFonts w:ascii="Tahoma" w:hAnsi="Tahoma" w:cs="Tahoma"/>
          <w:highlight w:val="yellow"/>
        </w:rPr>
        <w:t xml:space="preserve">is </w:t>
      </w:r>
      <w:r w:rsidR="00042AEB" w:rsidRPr="003B1851">
        <w:rPr>
          <w:rFonts w:ascii="Tahoma" w:hAnsi="Tahoma" w:cs="Tahoma"/>
          <w:highlight w:val="yellow"/>
        </w:rPr>
        <w:t xml:space="preserve">considering how </w:t>
      </w:r>
      <w:r w:rsidR="001277E5" w:rsidRPr="003B1851">
        <w:rPr>
          <w:rFonts w:ascii="Tahoma" w:hAnsi="Tahoma" w:cs="Tahoma"/>
          <w:highlight w:val="yellow"/>
        </w:rPr>
        <w:t>to balance</w:t>
      </w:r>
      <w:r w:rsidR="00042AEB" w:rsidRPr="003B1851">
        <w:rPr>
          <w:rFonts w:ascii="Tahoma" w:hAnsi="Tahoma" w:cs="Tahoma"/>
          <w:highlight w:val="yellow"/>
        </w:rPr>
        <w:t xml:space="preserve"> differing roles when they </w:t>
      </w:r>
      <w:r w:rsidRPr="003B1851">
        <w:rPr>
          <w:rFonts w:ascii="Tahoma" w:hAnsi="Tahoma" w:cs="Tahoma"/>
          <w:highlight w:val="yellow"/>
        </w:rPr>
        <w:t xml:space="preserve">both </w:t>
      </w:r>
      <w:r w:rsidR="00042AEB" w:rsidRPr="003B1851">
        <w:rPr>
          <w:rFonts w:ascii="Tahoma" w:hAnsi="Tahoma" w:cs="Tahoma"/>
          <w:highlight w:val="yellow"/>
        </w:rPr>
        <w:t>admit</w:t>
      </w:r>
      <w:r w:rsidRPr="003B1851">
        <w:rPr>
          <w:rFonts w:ascii="Tahoma" w:hAnsi="Tahoma" w:cs="Tahoma"/>
          <w:highlight w:val="yellow"/>
        </w:rPr>
        <w:t xml:space="preserve"> patients to a ward as AMHP but also</w:t>
      </w:r>
      <w:r w:rsidR="00042AEB" w:rsidRPr="003B1851">
        <w:rPr>
          <w:rFonts w:ascii="Tahoma" w:hAnsi="Tahoma" w:cs="Tahoma"/>
          <w:highlight w:val="yellow"/>
        </w:rPr>
        <w:t xml:space="preserve"> work on the same ward</w:t>
      </w:r>
      <w:r w:rsidRPr="003B1851">
        <w:rPr>
          <w:rFonts w:ascii="Tahoma" w:hAnsi="Tahoma" w:cs="Tahoma"/>
          <w:highlight w:val="yellow"/>
        </w:rPr>
        <w:t xml:space="preserve">. They are doubtful if </w:t>
      </w:r>
      <w:r w:rsidR="00042AEB" w:rsidRPr="003B1851">
        <w:rPr>
          <w:rFonts w:ascii="Tahoma" w:hAnsi="Tahoma" w:cs="Tahoma"/>
          <w:highlight w:val="yellow"/>
        </w:rPr>
        <w:t xml:space="preserve">the </w:t>
      </w:r>
      <w:r w:rsidR="00B96722" w:rsidRPr="003B1851">
        <w:rPr>
          <w:rFonts w:ascii="Tahoma" w:hAnsi="Tahoma" w:cs="Tahoma"/>
          <w:highlight w:val="yellow"/>
        </w:rPr>
        <w:t xml:space="preserve">local authority will understand this potential conflict of interest. </w:t>
      </w:r>
    </w:p>
    <w:p w14:paraId="02789FD6" w14:textId="65BDBE4A" w:rsidR="007E0C95" w:rsidRPr="003B1851" w:rsidRDefault="0020286C"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The requirement to maintain</w:t>
      </w:r>
      <w:r w:rsidR="00930C3F" w:rsidRPr="003B1851">
        <w:rPr>
          <w:rFonts w:ascii="Tahoma" w:hAnsi="Tahoma" w:cs="Tahoma"/>
          <w:highlight w:val="yellow"/>
        </w:rPr>
        <w:t xml:space="preserve"> </w:t>
      </w:r>
      <w:r w:rsidR="007928E2" w:rsidRPr="003B1851">
        <w:rPr>
          <w:rFonts w:ascii="Tahoma" w:hAnsi="Tahoma" w:cs="Tahoma"/>
          <w:highlight w:val="yellow"/>
        </w:rPr>
        <w:t>independence was raised by five participants in relation to their primary professional role as a nurse</w:t>
      </w:r>
      <w:r w:rsidR="007E6703" w:rsidRPr="003B1851">
        <w:rPr>
          <w:rFonts w:ascii="Tahoma" w:hAnsi="Tahoma" w:cs="Tahoma"/>
          <w:highlight w:val="yellow"/>
        </w:rPr>
        <w:t xml:space="preserve"> and their relationship with medicine</w:t>
      </w:r>
      <w:r w:rsidR="007928E2" w:rsidRPr="003B1851">
        <w:rPr>
          <w:rFonts w:ascii="Tahoma" w:hAnsi="Tahoma" w:cs="Tahoma"/>
          <w:highlight w:val="yellow"/>
        </w:rPr>
        <w:t xml:space="preserve">. </w:t>
      </w:r>
      <w:r w:rsidR="00ED3241" w:rsidRPr="003B1851">
        <w:rPr>
          <w:rFonts w:ascii="Tahoma" w:hAnsi="Tahoma" w:cs="Tahoma"/>
          <w:color w:val="000000"/>
          <w:highlight w:val="yellow"/>
        </w:rPr>
        <w:t>One participant stated:</w:t>
      </w:r>
    </w:p>
    <w:p w14:paraId="68989122" w14:textId="77777777" w:rsidR="007E0C95" w:rsidRPr="003B1851" w:rsidRDefault="007E0C95"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 think there's a misconception that nurses are all about the medical model. We're not. We've got brains and everything</w:t>
      </w:r>
      <w:r w:rsidR="001F2BA9" w:rsidRPr="003B1851">
        <w:rPr>
          <w:rFonts w:ascii="Tahoma" w:hAnsi="Tahoma" w:cs="Tahoma"/>
          <w:i/>
          <w:highlight w:val="yellow"/>
        </w:rPr>
        <w:t>…</w:t>
      </w:r>
      <w:r w:rsidRPr="003B1851">
        <w:rPr>
          <w:rFonts w:ascii="Tahoma" w:hAnsi="Tahoma" w:cs="Tahoma"/>
          <w:i/>
          <w:highlight w:val="yellow"/>
        </w:rPr>
        <w:t xml:space="preserve"> I think the AMHP manager has fed back to the head of nursing that she's really - there were concerns about nurses or social workers being AMHPs, but her experience of us is that we're really hard working. We're not frightened to take a doctor on. I think the idea is that we'd be like a little bit, "Carry on, doctor," and just giggle, and go, "Whatever you say, doctor." But I think they realise that we're quite strong minded individuals that, as much as anybody, have got a real sense of what our role is within an autonomous role; that we're there to look at the least restrictive option, and that we have as much of a knowledge and mature attitude towards thinking about the patient holistically, as a social worker, and thinking about what's the best for the patient, and not just always signing papers. But your research will probably prove that in one way or another.</w:t>
      </w:r>
      <w:r w:rsidRPr="003B1851">
        <w:rPr>
          <w:rFonts w:ascii="Tahoma" w:hAnsi="Tahoma" w:cs="Tahoma"/>
          <w:highlight w:val="yellow"/>
        </w:rPr>
        <w:t xml:space="preserve"> (</w:t>
      </w:r>
      <w:r w:rsidR="00C2710C" w:rsidRPr="003B1851">
        <w:rPr>
          <w:rFonts w:ascii="Tahoma" w:hAnsi="Tahoma" w:cs="Tahoma"/>
          <w:highlight w:val="yellow"/>
        </w:rPr>
        <w:t>Participant 6</w:t>
      </w:r>
      <w:r w:rsidRPr="003B1851">
        <w:rPr>
          <w:rFonts w:ascii="Tahoma" w:hAnsi="Tahoma" w:cs="Tahoma"/>
          <w:highlight w:val="yellow"/>
        </w:rPr>
        <w:t>)</w:t>
      </w:r>
    </w:p>
    <w:p w14:paraId="4004AEA1" w14:textId="3DDB4488" w:rsidR="00ED3241" w:rsidRPr="003B1851" w:rsidRDefault="007E0C95" w:rsidP="00291BB8">
      <w:pPr>
        <w:pStyle w:val="Normal0"/>
        <w:spacing w:before="100" w:beforeAutospacing="1" w:after="100" w:afterAutospacing="1" w:line="480" w:lineRule="auto"/>
        <w:jc w:val="both"/>
        <w:rPr>
          <w:rFonts w:ascii="Tahoma" w:hAnsi="Tahoma" w:cs="Tahoma"/>
          <w:sz w:val="22"/>
          <w:szCs w:val="22"/>
          <w:highlight w:val="yellow"/>
        </w:rPr>
      </w:pPr>
      <w:r w:rsidRPr="003B1851">
        <w:rPr>
          <w:rFonts w:ascii="Tahoma" w:hAnsi="Tahoma" w:cs="Tahoma"/>
          <w:sz w:val="22"/>
          <w:szCs w:val="22"/>
          <w:highlight w:val="yellow"/>
        </w:rPr>
        <w:t>For this participant there is recognition that</w:t>
      </w:r>
      <w:r w:rsidR="00372853" w:rsidRPr="003B1851">
        <w:rPr>
          <w:rFonts w:ascii="Tahoma" w:hAnsi="Tahoma" w:cs="Tahoma"/>
          <w:sz w:val="22"/>
          <w:szCs w:val="22"/>
          <w:highlight w:val="yellow"/>
        </w:rPr>
        <w:t>, as AMHPs,</w:t>
      </w:r>
      <w:r w:rsidRPr="003B1851">
        <w:rPr>
          <w:rFonts w:ascii="Tahoma" w:hAnsi="Tahoma" w:cs="Tahoma"/>
          <w:sz w:val="22"/>
          <w:szCs w:val="22"/>
          <w:highlight w:val="yellow"/>
        </w:rPr>
        <w:t xml:space="preserve"> nurses can and do practice beyond medical discourses </w:t>
      </w:r>
      <w:r w:rsidR="006E666F" w:rsidRPr="003B1851">
        <w:rPr>
          <w:rFonts w:ascii="Tahoma" w:hAnsi="Tahoma" w:cs="Tahoma"/>
          <w:sz w:val="22"/>
          <w:szCs w:val="22"/>
          <w:highlight w:val="yellow"/>
        </w:rPr>
        <w:t>and approaches to mental health</w:t>
      </w:r>
      <w:r w:rsidR="007E6703" w:rsidRPr="003B1851">
        <w:rPr>
          <w:rFonts w:ascii="Tahoma" w:hAnsi="Tahoma" w:cs="Tahoma"/>
          <w:sz w:val="22"/>
          <w:szCs w:val="22"/>
          <w:highlight w:val="yellow"/>
        </w:rPr>
        <w:t xml:space="preserve">, as well as </w:t>
      </w:r>
      <w:r w:rsidR="00372853" w:rsidRPr="003B1851">
        <w:rPr>
          <w:rFonts w:ascii="Tahoma" w:hAnsi="Tahoma" w:cs="Tahoma"/>
          <w:sz w:val="22"/>
          <w:szCs w:val="22"/>
          <w:highlight w:val="yellow"/>
        </w:rPr>
        <w:t xml:space="preserve">being able to </w:t>
      </w:r>
      <w:r w:rsidR="007E6703" w:rsidRPr="003B1851">
        <w:rPr>
          <w:rFonts w:ascii="Tahoma" w:hAnsi="Tahoma" w:cs="Tahoma"/>
          <w:sz w:val="22"/>
          <w:szCs w:val="22"/>
          <w:highlight w:val="yellow"/>
        </w:rPr>
        <w:t>challeng</w:t>
      </w:r>
      <w:r w:rsidR="00372853" w:rsidRPr="003B1851">
        <w:rPr>
          <w:rFonts w:ascii="Tahoma" w:hAnsi="Tahoma" w:cs="Tahoma"/>
          <w:sz w:val="22"/>
          <w:szCs w:val="22"/>
          <w:highlight w:val="yellow"/>
        </w:rPr>
        <w:t>e</w:t>
      </w:r>
      <w:r w:rsidR="007E6703" w:rsidRPr="003B1851">
        <w:rPr>
          <w:rFonts w:ascii="Tahoma" w:hAnsi="Tahoma" w:cs="Tahoma"/>
          <w:sz w:val="22"/>
          <w:szCs w:val="22"/>
          <w:highlight w:val="yellow"/>
        </w:rPr>
        <w:t xml:space="preserve"> dominant pharmacological approaches. </w:t>
      </w:r>
      <w:r w:rsidR="006E666F" w:rsidRPr="003B1851">
        <w:rPr>
          <w:rFonts w:ascii="Tahoma" w:hAnsi="Tahoma" w:cs="Tahoma"/>
          <w:sz w:val="22"/>
          <w:szCs w:val="22"/>
          <w:highlight w:val="yellow"/>
        </w:rPr>
        <w:t>This view was echoed by another participant</w:t>
      </w:r>
      <w:r w:rsidR="007E6703" w:rsidRPr="003B1851">
        <w:rPr>
          <w:rFonts w:ascii="Tahoma" w:hAnsi="Tahoma" w:cs="Tahoma"/>
          <w:sz w:val="22"/>
          <w:szCs w:val="22"/>
          <w:highlight w:val="yellow"/>
        </w:rPr>
        <w:t xml:space="preserve"> who was aware of concerns </w:t>
      </w:r>
      <w:r w:rsidR="00372853" w:rsidRPr="003B1851">
        <w:rPr>
          <w:rFonts w:ascii="Tahoma" w:hAnsi="Tahoma" w:cs="Tahoma"/>
          <w:sz w:val="22"/>
          <w:szCs w:val="22"/>
          <w:highlight w:val="yellow"/>
        </w:rPr>
        <w:t xml:space="preserve">about </w:t>
      </w:r>
      <w:r w:rsidR="007E6703" w:rsidRPr="003B1851">
        <w:rPr>
          <w:rFonts w:ascii="Tahoma" w:hAnsi="Tahoma" w:cs="Tahoma"/>
          <w:sz w:val="22"/>
          <w:szCs w:val="22"/>
          <w:highlight w:val="yellow"/>
        </w:rPr>
        <w:t>nurse</w:t>
      </w:r>
      <w:r w:rsidR="00372853" w:rsidRPr="003B1851">
        <w:rPr>
          <w:rFonts w:ascii="Tahoma" w:hAnsi="Tahoma" w:cs="Tahoma"/>
          <w:sz w:val="22"/>
          <w:szCs w:val="22"/>
          <w:highlight w:val="yellow"/>
        </w:rPr>
        <w:t>s</w:t>
      </w:r>
      <w:r w:rsidR="006351C4" w:rsidRPr="003B1851">
        <w:rPr>
          <w:rFonts w:ascii="Tahoma" w:hAnsi="Tahoma" w:cs="Tahoma"/>
          <w:sz w:val="22"/>
          <w:szCs w:val="22"/>
          <w:highlight w:val="yellow"/>
        </w:rPr>
        <w:t xml:space="preserve"> </w:t>
      </w:r>
      <w:r w:rsidR="007E6703" w:rsidRPr="003B1851">
        <w:rPr>
          <w:rFonts w:ascii="Tahoma" w:hAnsi="Tahoma" w:cs="Tahoma"/>
          <w:sz w:val="22"/>
          <w:szCs w:val="22"/>
          <w:highlight w:val="yellow"/>
        </w:rPr>
        <w:t>becom</w:t>
      </w:r>
      <w:r w:rsidR="00372853" w:rsidRPr="003B1851">
        <w:rPr>
          <w:rFonts w:ascii="Tahoma" w:hAnsi="Tahoma" w:cs="Tahoma"/>
          <w:sz w:val="22"/>
          <w:szCs w:val="22"/>
          <w:highlight w:val="yellow"/>
        </w:rPr>
        <w:t>ing</w:t>
      </w:r>
      <w:r w:rsidR="007E6703" w:rsidRPr="003B1851">
        <w:rPr>
          <w:rFonts w:ascii="Tahoma" w:hAnsi="Tahoma" w:cs="Tahoma"/>
          <w:sz w:val="22"/>
          <w:szCs w:val="22"/>
          <w:highlight w:val="yellow"/>
        </w:rPr>
        <w:t xml:space="preserve"> AMHPs</w:t>
      </w:r>
      <w:r w:rsidR="006E666F" w:rsidRPr="003B1851">
        <w:rPr>
          <w:rFonts w:ascii="Tahoma" w:hAnsi="Tahoma" w:cs="Tahoma"/>
          <w:sz w:val="22"/>
          <w:szCs w:val="22"/>
          <w:highlight w:val="yellow"/>
        </w:rPr>
        <w:t>:</w:t>
      </w:r>
    </w:p>
    <w:p w14:paraId="0EAC28D6" w14:textId="77777777" w:rsidR="002A49D8" w:rsidRPr="003B1851" w:rsidRDefault="002A49D8"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i/>
          <w:highlight w:val="yellow"/>
        </w:rPr>
      </w:pPr>
      <w:r w:rsidRPr="003B1851">
        <w:rPr>
          <w:rFonts w:ascii="Tahoma" w:hAnsi="Tahoma" w:cs="Tahoma"/>
          <w:i/>
          <w:highlight w:val="yellow"/>
        </w:rPr>
        <w:lastRenderedPageBreak/>
        <w:t>I think certainly one of the things locally that was concerning for social workers probably</w:t>
      </w:r>
      <w:r w:rsidR="003E29E2" w:rsidRPr="003B1851">
        <w:rPr>
          <w:rFonts w:ascii="Tahoma" w:hAnsi="Tahoma" w:cs="Tahoma"/>
          <w:i/>
          <w:highlight w:val="yellow"/>
        </w:rPr>
        <w:t xml:space="preserve"> … </w:t>
      </w:r>
      <w:r w:rsidRPr="003B1851">
        <w:rPr>
          <w:rFonts w:ascii="Tahoma" w:hAnsi="Tahoma" w:cs="Tahoma"/>
          <w:i/>
          <w:highlight w:val="yellow"/>
        </w:rPr>
        <w:t>was that, “Are nurses too affiliated with the medical profession and they’ll just go along with whatever the doctor says?”</w:t>
      </w:r>
      <w:r w:rsidR="003E29E2" w:rsidRPr="003B1851">
        <w:rPr>
          <w:rFonts w:ascii="Tahoma" w:hAnsi="Tahoma" w:cs="Tahoma"/>
          <w:i/>
          <w:highlight w:val="yellow"/>
        </w:rPr>
        <w:t xml:space="preserve"> </w:t>
      </w:r>
      <w:r w:rsidRPr="003B1851">
        <w:rPr>
          <w:rFonts w:ascii="Tahoma" w:hAnsi="Tahoma" w:cs="Tahoma"/>
          <w:i/>
          <w:highlight w:val="yellow"/>
        </w:rPr>
        <w:t>I think very quickly people realise that that’s actually not the case and actually nurses argue with doctors all of the time on a day-to-day basis.</w:t>
      </w:r>
      <w:r w:rsidR="003E29E2" w:rsidRPr="003B1851">
        <w:rPr>
          <w:rFonts w:ascii="Tahoma" w:hAnsi="Tahoma" w:cs="Tahoma"/>
          <w:i/>
          <w:highlight w:val="yellow"/>
        </w:rPr>
        <w:t>…</w:t>
      </w:r>
      <w:r w:rsidRPr="003B1851">
        <w:rPr>
          <w:rFonts w:ascii="Tahoma" w:hAnsi="Tahoma" w:cs="Tahoma"/>
          <w:i/>
          <w:highlight w:val="yellow"/>
        </w:rPr>
        <w:t xml:space="preserve"> because nurses are used to assessing people’s mental states as well, so the whole idea of them, certainly in liaison as part of our job is to do full assessments of patients and their mental states, so we already have an idea about that.</w:t>
      </w:r>
      <w:r w:rsidR="003E29E2" w:rsidRPr="003B1851">
        <w:rPr>
          <w:rFonts w:ascii="Tahoma" w:hAnsi="Tahoma" w:cs="Tahoma"/>
          <w:i/>
          <w:highlight w:val="yellow"/>
        </w:rPr>
        <w:t xml:space="preserve"> </w:t>
      </w:r>
      <w:r w:rsidRPr="003B1851">
        <w:rPr>
          <w:rFonts w:ascii="Tahoma" w:hAnsi="Tahoma" w:cs="Tahoma"/>
          <w:i/>
          <w:highlight w:val="yellow"/>
        </w:rPr>
        <w:t>Which obviously is not the AMHP’s role, so that thing’s quite interesting. But in terms of not going along with the doctors, I think it’s certainly likely, very much proved that we don’t.</w:t>
      </w:r>
      <w:r w:rsidR="003E29E2" w:rsidRPr="003B1851">
        <w:rPr>
          <w:rFonts w:ascii="Tahoma" w:hAnsi="Tahoma" w:cs="Tahoma"/>
          <w:i/>
          <w:highlight w:val="yellow"/>
        </w:rPr>
        <w:t xml:space="preserve"> </w:t>
      </w:r>
      <w:r w:rsidRPr="003B1851">
        <w:rPr>
          <w:rFonts w:ascii="Tahoma" w:hAnsi="Tahoma" w:cs="Tahoma"/>
          <w:i/>
          <w:highlight w:val="yellow"/>
        </w:rPr>
        <w:t>Because that certainly was said to be a bit of a, you know, nurses are just doctors’ handmaidens and should do whatever the doctor says.</w:t>
      </w:r>
      <w:r w:rsidR="003E29E2" w:rsidRPr="003B1851">
        <w:rPr>
          <w:rFonts w:ascii="Tahoma" w:hAnsi="Tahoma" w:cs="Tahoma"/>
          <w:i/>
          <w:highlight w:val="yellow"/>
        </w:rPr>
        <w:t xml:space="preserve"> </w:t>
      </w:r>
      <w:r w:rsidRPr="003B1851">
        <w:rPr>
          <w:rFonts w:ascii="Tahoma" w:hAnsi="Tahoma" w:cs="Tahoma"/>
          <w:i/>
          <w:highlight w:val="yellow"/>
        </w:rPr>
        <w:t>I think they've realised tha</w:t>
      </w:r>
      <w:r w:rsidR="003E29E2" w:rsidRPr="003B1851">
        <w:rPr>
          <w:rFonts w:ascii="Tahoma" w:hAnsi="Tahoma" w:cs="Tahoma"/>
          <w:i/>
          <w:highlight w:val="yellow"/>
        </w:rPr>
        <w:t>t that certainly isn’t the case</w:t>
      </w:r>
      <w:r w:rsidR="00F70986" w:rsidRPr="003B1851">
        <w:rPr>
          <w:rFonts w:ascii="Tahoma" w:hAnsi="Tahoma" w:cs="Tahoma"/>
          <w:highlight w:val="yellow"/>
        </w:rPr>
        <w:t xml:space="preserve"> (</w:t>
      </w:r>
      <w:r w:rsidR="00C2710C" w:rsidRPr="003B1851">
        <w:rPr>
          <w:rFonts w:ascii="Tahoma" w:hAnsi="Tahoma" w:cs="Tahoma"/>
          <w:highlight w:val="yellow"/>
        </w:rPr>
        <w:t>Participant 4</w:t>
      </w:r>
      <w:r w:rsidR="00F70986" w:rsidRPr="003B1851">
        <w:rPr>
          <w:rFonts w:ascii="Tahoma" w:hAnsi="Tahoma" w:cs="Tahoma"/>
          <w:highlight w:val="yellow"/>
        </w:rPr>
        <w:t>)</w:t>
      </w:r>
      <w:r w:rsidR="003E29E2" w:rsidRPr="003B1851">
        <w:rPr>
          <w:rFonts w:ascii="Tahoma" w:hAnsi="Tahoma" w:cs="Tahoma"/>
          <w:highlight w:val="yellow"/>
        </w:rPr>
        <w:t>.</w:t>
      </w:r>
    </w:p>
    <w:p w14:paraId="7DA7651E" w14:textId="46E903A2" w:rsidR="00372853" w:rsidRPr="003B1851" w:rsidRDefault="00144760" w:rsidP="00291BB8">
      <w:pPr>
        <w:widowControl w:val="0"/>
        <w:autoSpaceDE w:val="0"/>
        <w:autoSpaceDN w:val="0"/>
        <w:adjustRightInd w:val="0"/>
        <w:spacing w:before="100" w:beforeAutospacing="1" w:after="100" w:afterAutospacing="1" w:line="480" w:lineRule="auto"/>
        <w:ind w:left="-142"/>
        <w:jc w:val="both"/>
        <w:rPr>
          <w:rFonts w:ascii="Tahoma" w:hAnsi="Tahoma" w:cs="Tahoma"/>
          <w:highlight w:val="yellow"/>
        </w:rPr>
      </w:pPr>
      <w:r w:rsidRPr="003B1851">
        <w:rPr>
          <w:rFonts w:ascii="Tahoma" w:hAnsi="Tahoma" w:cs="Tahoma"/>
          <w:highlight w:val="yellow"/>
        </w:rPr>
        <w:t>This participant is arguing that nurses are in a good position to debate with doctors about what approach should b</w:t>
      </w:r>
      <w:r w:rsidR="003353D6" w:rsidRPr="003B1851">
        <w:rPr>
          <w:rFonts w:ascii="Tahoma" w:hAnsi="Tahoma" w:cs="Tahoma"/>
          <w:highlight w:val="yellow"/>
        </w:rPr>
        <w:t>e taken following an assessment, due to their own skills and knowledge</w:t>
      </w:r>
      <w:r w:rsidR="007635DF" w:rsidRPr="003B1851">
        <w:rPr>
          <w:rFonts w:ascii="Tahoma" w:hAnsi="Tahoma" w:cs="Tahoma"/>
          <w:highlight w:val="yellow"/>
        </w:rPr>
        <w:t xml:space="preserve"> as a nurse</w:t>
      </w:r>
      <w:r w:rsidR="003353D6" w:rsidRPr="003B1851">
        <w:rPr>
          <w:rFonts w:ascii="Tahoma" w:hAnsi="Tahoma" w:cs="Tahoma"/>
          <w:highlight w:val="yellow"/>
        </w:rPr>
        <w:t>.</w:t>
      </w:r>
      <w:r w:rsidRPr="003B1851">
        <w:rPr>
          <w:rFonts w:ascii="Tahoma" w:hAnsi="Tahoma" w:cs="Tahoma"/>
          <w:highlight w:val="yellow"/>
        </w:rPr>
        <w:t xml:space="preserve"> </w:t>
      </w:r>
    </w:p>
    <w:p w14:paraId="19DF25C3" w14:textId="77777777" w:rsidR="002A49D8" w:rsidRPr="003B1851" w:rsidRDefault="00144760" w:rsidP="00291BB8">
      <w:pPr>
        <w:widowControl w:val="0"/>
        <w:autoSpaceDE w:val="0"/>
        <w:autoSpaceDN w:val="0"/>
        <w:adjustRightInd w:val="0"/>
        <w:spacing w:before="100" w:beforeAutospacing="1" w:after="100" w:afterAutospacing="1" w:line="480" w:lineRule="auto"/>
        <w:ind w:left="-142"/>
        <w:jc w:val="both"/>
        <w:rPr>
          <w:rFonts w:ascii="Tahoma" w:hAnsi="Tahoma" w:cs="Tahoma"/>
          <w:highlight w:val="yellow"/>
        </w:rPr>
      </w:pPr>
      <w:r w:rsidRPr="003B1851">
        <w:rPr>
          <w:rFonts w:ascii="Tahoma" w:hAnsi="Tahoma" w:cs="Tahoma"/>
          <w:highlight w:val="yellow"/>
        </w:rPr>
        <w:t xml:space="preserve">Another </w:t>
      </w:r>
      <w:r w:rsidR="00372853" w:rsidRPr="003B1851">
        <w:rPr>
          <w:rFonts w:ascii="Tahoma" w:hAnsi="Tahoma" w:cs="Tahoma"/>
          <w:highlight w:val="yellow"/>
        </w:rPr>
        <w:t xml:space="preserve">important dimension to independence issues concerned </w:t>
      </w:r>
      <w:r w:rsidR="007E6703" w:rsidRPr="003B1851">
        <w:rPr>
          <w:rFonts w:ascii="Tahoma" w:hAnsi="Tahoma" w:cs="Tahoma"/>
          <w:highlight w:val="yellow"/>
        </w:rPr>
        <w:t xml:space="preserve">independence </w:t>
      </w:r>
      <w:r w:rsidR="00704511" w:rsidRPr="003B1851">
        <w:rPr>
          <w:rFonts w:ascii="Tahoma" w:hAnsi="Tahoma" w:cs="Tahoma"/>
          <w:highlight w:val="yellow"/>
        </w:rPr>
        <w:t>from employers</w:t>
      </w:r>
      <w:r w:rsidRPr="003B1851">
        <w:rPr>
          <w:rFonts w:ascii="Tahoma" w:hAnsi="Tahoma" w:cs="Tahoma"/>
          <w:highlight w:val="yellow"/>
        </w:rPr>
        <w:t>. One participant highlighted where this ha</w:t>
      </w:r>
      <w:r w:rsidR="00372853" w:rsidRPr="003B1851">
        <w:rPr>
          <w:rFonts w:ascii="Tahoma" w:hAnsi="Tahoma" w:cs="Tahoma"/>
          <w:highlight w:val="yellow"/>
        </w:rPr>
        <w:t>d</w:t>
      </w:r>
      <w:r w:rsidRPr="003B1851">
        <w:rPr>
          <w:rFonts w:ascii="Tahoma" w:hAnsi="Tahoma" w:cs="Tahoma"/>
          <w:highlight w:val="yellow"/>
        </w:rPr>
        <w:t xml:space="preserve"> be</w:t>
      </w:r>
      <w:r w:rsidR="00704511" w:rsidRPr="003B1851">
        <w:rPr>
          <w:rFonts w:ascii="Tahoma" w:hAnsi="Tahoma" w:cs="Tahoma"/>
          <w:highlight w:val="yellow"/>
        </w:rPr>
        <w:t>come of</w:t>
      </w:r>
      <w:r w:rsidR="00FC01F0" w:rsidRPr="003B1851">
        <w:rPr>
          <w:rFonts w:ascii="Tahoma" w:hAnsi="Tahoma" w:cs="Tahoma"/>
          <w:highlight w:val="yellow"/>
        </w:rPr>
        <w:t xml:space="preserve"> concern for them</w:t>
      </w:r>
      <w:r w:rsidRPr="003B1851">
        <w:rPr>
          <w:rFonts w:ascii="Tahoma" w:hAnsi="Tahoma" w:cs="Tahoma"/>
          <w:highlight w:val="yellow"/>
        </w:rPr>
        <w:t>:</w:t>
      </w:r>
    </w:p>
    <w:p w14:paraId="20B8790B" w14:textId="77777777" w:rsidR="00C646C6" w:rsidRPr="003B1851" w:rsidRDefault="002A49D8"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i/>
          <w:highlight w:val="yellow"/>
        </w:rPr>
      </w:pPr>
      <w:r w:rsidRPr="003B1851">
        <w:rPr>
          <w:rFonts w:ascii="Tahoma" w:hAnsi="Tahoma" w:cs="Tahoma"/>
          <w:i/>
          <w:highlight w:val="yellow"/>
        </w:rPr>
        <w:t xml:space="preserve">I had a phone call from the service </w:t>
      </w:r>
      <w:r w:rsidR="00ED3241" w:rsidRPr="003B1851">
        <w:rPr>
          <w:rFonts w:ascii="Tahoma" w:hAnsi="Tahoma" w:cs="Tahoma"/>
          <w:i/>
          <w:highlight w:val="yellow"/>
        </w:rPr>
        <w:t>development manager for the [name]</w:t>
      </w:r>
      <w:r w:rsidRPr="003B1851">
        <w:rPr>
          <w:rFonts w:ascii="Tahoma" w:hAnsi="Tahoma" w:cs="Tahoma"/>
          <w:i/>
          <w:highlight w:val="yellow"/>
        </w:rPr>
        <w:t xml:space="preserve"> team saying, “Why haven’t you got a different doctor? Why haven’t you asked this doctor to come earlier?” I said, “I can’t. This is the way I’ve done it.” He said, “Are you aware that this person is going to breach?” I said, “I’m here as an AM</w:t>
      </w:r>
      <w:r w:rsidR="00F74AA1" w:rsidRPr="003B1851">
        <w:rPr>
          <w:rFonts w:ascii="Tahoma" w:hAnsi="Tahoma" w:cs="Tahoma"/>
          <w:i/>
          <w:highlight w:val="yellow"/>
        </w:rPr>
        <w:t>H</w:t>
      </w:r>
      <w:r w:rsidRPr="003B1851">
        <w:rPr>
          <w:rFonts w:ascii="Tahoma" w:hAnsi="Tahoma" w:cs="Tahoma"/>
          <w:i/>
          <w:highlight w:val="yellow"/>
        </w:rPr>
        <w:t xml:space="preserve">P now.” He said, “Well, you work for the </w:t>
      </w:r>
      <w:r w:rsidR="00F74AA1" w:rsidRPr="003B1851">
        <w:rPr>
          <w:rFonts w:ascii="Tahoma" w:hAnsi="Tahoma" w:cs="Tahoma"/>
          <w:i/>
          <w:highlight w:val="yellow"/>
        </w:rPr>
        <w:t xml:space="preserve">[name] </w:t>
      </w:r>
      <w:r w:rsidRPr="003B1851">
        <w:rPr>
          <w:rFonts w:ascii="Tahoma" w:hAnsi="Tahoma" w:cs="Tahoma"/>
          <w:i/>
          <w:highlight w:val="yellow"/>
        </w:rPr>
        <w:t xml:space="preserve">team, so you have to have that awareness,” because apparently the breach it costs them something like £50,000 or something ridiculous like that. Breach times are very serious. I was told people get sacked over breach times, so I had that as well. Then I had to try and explain to my immediate manager that if you’re </w:t>
      </w:r>
      <w:r w:rsidRPr="003B1851">
        <w:rPr>
          <w:rFonts w:ascii="Tahoma" w:hAnsi="Tahoma" w:cs="Tahoma"/>
          <w:i/>
          <w:highlight w:val="yellow"/>
        </w:rPr>
        <w:lastRenderedPageBreak/>
        <w:t>asking me to come over as an AM</w:t>
      </w:r>
      <w:r w:rsidR="00F74AA1" w:rsidRPr="003B1851">
        <w:rPr>
          <w:rFonts w:ascii="Tahoma" w:hAnsi="Tahoma" w:cs="Tahoma"/>
          <w:i/>
          <w:highlight w:val="yellow"/>
        </w:rPr>
        <w:t>H</w:t>
      </w:r>
      <w:r w:rsidRPr="003B1851">
        <w:rPr>
          <w:rFonts w:ascii="Tahoma" w:hAnsi="Tahoma" w:cs="Tahoma"/>
          <w:i/>
          <w:highlight w:val="yellow"/>
        </w:rPr>
        <w:t xml:space="preserve">P and you want me to do this, you can’t put pressure on me to be worried about breach times when I think I need to get an appropriate doctor, because I’ve got to justify on those papers why I haven’t used the doctor that has had </w:t>
      </w:r>
      <w:r w:rsidR="00F74AA1" w:rsidRPr="003B1851">
        <w:rPr>
          <w:rFonts w:ascii="Tahoma" w:hAnsi="Tahoma" w:cs="Tahoma"/>
          <w:i/>
          <w:highlight w:val="yellow"/>
        </w:rPr>
        <w:t xml:space="preserve">previous acquaintance. He said </w:t>
      </w:r>
      <w:r w:rsidRPr="003B1851">
        <w:rPr>
          <w:rFonts w:ascii="Tahoma" w:hAnsi="Tahoma" w:cs="Tahoma"/>
          <w:i/>
          <w:highlight w:val="yellow"/>
        </w:rPr>
        <w:t xml:space="preserve">“Well, you still work for </w:t>
      </w:r>
      <w:r w:rsidR="00F74AA1" w:rsidRPr="003B1851">
        <w:rPr>
          <w:rFonts w:ascii="Tahoma" w:hAnsi="Tahoma" w:cs="Tahoma"/>
          <w:i/>
          <w:highlight w:val="yellow"/>
        </w:rPr>
        <w:t>[name team]</w:t>
      </w:r>
      <w:r w:rsidRPr="003B1851">
        <w:rPr>
          <w:rFonts w:ascii="Tahoma" w:hAnsi="Tahoma" w:cs="Tahoma"/>
          <w:i/>
          <w:highlight w:val="yellow"/>
        </w:rPr>
        <w:t xml:space="preserve">.” </w:t>
      </w:r>
      <w:r w:rsidR="00C646C6" w:rsidRPr="003B1851">
        <w:rPr>
          <w:rFonts w:ascii="Tahoma" w:hAnsi="Tahoma" w:cs="Tahoma"/>
          <w:i/>
          <w:highlight w:val="yellow"/>
        </w:rPr>
        <w:t>I was coming across a lot…</w:t>
      </w:r>
      <w:r w:rsidRPr="003B1851">
        <w:rPr>
          <w:rFonts w:ascii="Tahoma" w:hAnsi="Tahoma" w:cs="Tahoma"/>
          <w:i/>
          <w:highlight w:val="yellow"/>
        </w:rPr>
        <w:t>I was thinking, “Oh, God. I wish I was a social worker, because I wouldn’t have these problems.” As an AM</w:t>
      </w:r>
      <w:r w:rsidR="00F74AA1" w:rsidRPr="003B1851">
        <w:rPr>
          <w:rFonts w:ascii="Tahoma" w:hAnsi="Tahoma" w:cs="Tahoma"/>
          <w:i/>
          <w:highlight w:val="yellow"/>
        </w:rPr>
        <w:t>H</w:t>
      </w:r>
      <w:r w:rsidRPr="003B1851">
        <w:rPr>
          <w:rFonts w:ascii="Tahoma" w:hAnsi="Tahoma" w:cs="Tahoma"/>
          <w:i/>
          <w:highlight w:val="yellow"/>
        </w:rPr>
        <w:t xml:space="preserve">P social worker, you get the call, you go in and then you come back out, whereas because I’m in the Trust, I’m having all this stuff going on. </w:t>
      </w:r>
      <w:r w:rsidR="00C646C6" w:rsidRPr="003B1851">
        <w:rPr>
          <w:rFonts w:ascii="Tahoma" w:hAnsi="Tahoma" w:cs="Tahoma"/>
          <w:i/>
          <w:highlight w:val="yellow"/>
        </w:rPr>
        <w:t>(</w:t>
      </w:r>
      <w:r w:rsidR="00C2710C" w:rsidRPr="003B1851">
        <w:rPr>
          <w:rFonts w:ascii="Tahoma" w:hAnsi="Tahoma" w:cs="Tahoma"/>
          <w:i/>
          <w:highlight w:val="yellow"/>
        </w:rPr>
        <w:t>Participant 10</w:t>
      </w:r>
      <w:r w:rsidR="00C646C6" w:rsidRPr="003B1851">
        <w:rPr>
          <w:rFonts w:ascii="Tahoma" w:hAnsi="Tahoma" w:cs="Tahoma"/>
          <w:i/>
          <w:highlight w:val="yellow"/>
        </w:rPr>
        <w:t>)</w:t>
      </w:r>
    </w:p>
    <w:p w14:paraId="60084E3F" w14:textId="77777777" w:rsidR="00372853" w:rsidRPr="003B1851" w:rsidRDefault="001F2BA9" w:rsidP="00291BB8">
      <w:pPr>
        <w:widowControl w:val="0"/>
        <w:autoSpaceDE w:val="0"/>
        <w:autoSpaceDN w:val="0"/>
        <w:adjustRightInd w:val="0"/>
        <w:spacing w:before="100" w:beforeAutospacing="1" w:after="100" w:afterAutospacing="1" w:line="480" w:lineRule="auto"/>
        <w:jc w:val="both"/>
        <w:rPr>
          <w:rFonts w:ascii="Tahoma" w:hAnsi="Tahoma" w:cs="Tahoma"/>
          <w:color w:val="000000" w:themeColor="text1"/>
          <w:highlight w:val="yellow"/>
        </w:rPr>
      </w:pPr>
      <w:r w:rsidRPr="003B1851">
        <w:rPr>
          <w:rFonts w:ascii="Tahoma" w:hAnsi="Tahoma" w:cs="Tahoma"/>
          <w:highlight w:val="yellow"/>
        </w:rPr>
        <w:t>In this scenario the participant is highlighting that the</w:t>
      </w:r>
      <w:r w:rsidR="00C646C6" w:rsidRPr="003B1851">
        <w:rPr>
          <w:rFonts w:ascii="Tahoma" w:hAnsi="Tahoma" w:cs="Tahoma"/>
          <w:highlight w:val="yellow"/>
        </w:rPr>
        <w:t xml:space="preserve"> trust management appeared to not understand who the participant was working for when undertaking AMHP work </w:t>
      </w:r>
      <w:r w:rsidR="005E379A" w:rsidRPr="003B1851">
        <w:rPr>
          <w:rFonts w:ascii="Tahoma" w:hAnsi="Tahoma" w:cs="Tahoma"/>
          <w:highlight w:val="yellow"/>
        </w:rPr>
        <w:t xml:space="preserve">and </w:t>
      </w:r>
      <w:r w:rsidR="00C646C6" w:rsidRPr="003B1851">
        <w:rPr>
          <w:rFonts w:ascii="Tahoma" w:hAnsi="Tahoma" w:cs="Tahoma"/>
          <w:highlight w:val="yellow"/>
        </w:rPr>
        <w:t xml:space="preserve">the </w:t>
      </w:r>
      <w:r w:rsidR="005E379A" w:rsidRPr="003B1851">
        <w:rPr>
          <w:rFonts w:ascii="Tahoma" w:hAnsi="Tahoma" w:cs="Tahoma"/>
          <w:highlight w:val="yellow"/>
        </w:rPr>
        <w:t xml:space="preserve">relevant </w:t>
      </w:r>
      <w:r w:rsidR="00C646C6" w:rsidRPr="003B1851">
        <w:rPr>
          <w:rFonts w:ascii="Tahoma" w:hAnsi="Tahoma" w:cs="Tahoma"/>
          <w:highlight w:val="yellow"/>
        </w:rPr>
        <w:t xml:space="preserve">legalities for the participant when deciding which </w:t>
      </w:r>
      <w:r w:rsidR="00C646C6" w:rsidRPr="003B1851">
        <w:rPr>
          <w:rFonts w:ascii="Tahoma" w:hAnsi="Tahoma" w:cs="Tahoma"/>
          <w:color w:val="000000" w:themeColor="text1"/>
          <w:highlight w:val="yellow"/>
        </w:rPr>
        <w:t xml:space="preserve">doctors to use. </w:t>
      </w:r>
    </w:p>
    <w:p w14:paraId="39AEAA04" w14:textId="1E066099" w:rsidR="009B049D" w:rsidRPr="003B1851" w:rsidRDefault="00841CAA"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Nine of the participants discussed issues relating to </w:t>
      </w:r>
      <w:r w:rsidR="009B049D" w:rsidRPr="003B1851">
        <w:rPr>
          <w:rFonts w:ascii="Tahoma" w:hAnsi="Tahoma" w:cs="Tahoma"/>
          <w:highlight w:val="yellow"/>
        </w:rPr>
        <w:t>how well they integrated</w:t>
      </w:r>
      <w:r w:rsidRPr="003B1851">
        <w:rPr>
          <w:rFonts w:ascii="Tahoma" w:hAnsi="Tahoma" w:cs="Tahoma"/>
          <w:highlight w:val="yellow"/>
        </w:rPr>
        <w:t xml:space="preserve"> into the AMHP service as nurse</w:t>
      </w:r>
      <w:r w:rsidR="001F2BA9" w:rsidRPr="003B1851">
        <w:rPr>
          <w:rFonts w:ascii="Tahoma" w:hAnsi="Tahoma" w:cs="Tahoma"/>
          <w:highlight w:val="yellow"/>
        </w:rPr>
        <w:t>s</w:t>
      </w:r>
      <w:r w:rsidR="00854A16" w:rsidRPr="003B1851">
        <w:rPr>
          <w:rFonts w:ascii="Tahoma" w:hAnsi="Tahoma" w:cs="Tahoma"/>
          <w:highlight w:val="yellow"/>
        </w:rPr>
        <w:t xml:space="preserve">, </w:t>
      </w:r>
      <w:r w:rsidR="00372853" w:rsidRPr="003B1851">
        <w:rPr>
          <w:rFonts w:ascii="Tahoma" w:hAnsi="Tahoma" w:cs="Tahoma"/>
          <w:highlight w:val="yellow"/>
        </w:rPr>
        <w:t xml:space="preserve">with five </w:t>
      </w:r>
      <w:r w:rsidR="00854A16" w:rsidRPr="003B1851">
        <w:rPr>
          <w:rFonts w:ascii="Tahoma" w:hAnsi="Tahoma" w:cs="Tahoma"/>
          <w:highlight w:val="yellow"/>
        </w:rPr>
        <w:t>of these highlight</w:t>
      </w:r>
      <w:r w:rsidR="00372853" w:rsidRPr="003B1851">
        <w:rPr>
          <w:rFonts w:ascii="Tahoma" w:hAnsi="Tahoma" w:cs="Tahoma"/>
          <w:highlight w:val="yellow"/>
        </w:rPr>
        <w:t>ing</w:t>
      </w:r>
      <w:r w:rsidR="009B049D" w:rsidRPr="003B1851">
        <w:rPr>
          <w:rFonts w:ascii="Tahoma" w:hAnsi="Tahoma" w:cs="Tahoma"/>
          <w:highlight w:val="yellow"/>
        </w:rPr>
        <w:t xml:space="preserve"> that integration was </w:t>
      </w:r>
      <w:r w:rsidR="00E62C3D" w:rsidRPr="003B1851">
        <w:rPr>
          <w:rFonts w:ascii="Tahoma" w:hAnsi="Tahoma" w:cs="Tahoma"/>
          <w:highlight w:val="yellow"/>
        </w:rPr>
        <w:t xml:space="preserve">not </w:t>
      </w:r>
      <w:r w:rsidR="009B049D" w:rsidRPr="003B1851">
        <w:rPr>
          <w:rFonts w:ascii="Tahoma" w:hAnsi="Tahoma" w:cs="Tahoma"/>
          <w:highlight w:val="yellow"/>
        </w:rPr>
        <w:t>challenging</w:t>
      </w:r>
      <w:r w:rsidR="00E62C3D" w:rsidRPr="003B1851">
        <w:rPr>
          <w:rFonts w:ascii="Tahoma" w:hAnsi="Tahoma" w:cs="Tahoma"/>
          <w:highlight w:val="yellow"/>
        </w:rPr>
        <w:t>.</w:t>
      </w:r>
      <w:r w:rsidR="009B049D" w:rsidRPr="003B1851">
        <w:rPr>
          <w:rFonts w:ascii="Tahoma" w:hAnsi="Tahoma" w:cs="Tahoma"/>
          <w:highlight w:val="yellow"/>
        </w:rPr>
        <w:t xml:space="preserve"> </w:t>
      </w:r>
      <w:r w:rsidR="00372853" w:rsidRPr="003B1851">
        <w:rPr>
          <w:rFonts w:ascii="Tahoma" w:hAnsi="Tahoma" w:cs="Tahoma"/>
          <w:highlight w:val="yellow"/>
        </w:rPr>
        <w:t>For</w:t>
      </w:r>
      <w:r w:rsidR="00B04F4F" w:rsidRPr="003B1851">
        <w:rPr>
          <w:rFonts w:ascii="Tahoma" w:hAnsi="Tahoma" w:cs="Tahoma"/>
          <w:highlight w:val="yellow"/>
        </w:rPr>
        <w:t xml:space="preserve"> </w:t>
      </w:r>
      <w:r w:rsidR="003353D6" w:rsidRPr="003B1851">
        <w:rPr>
          <w:rFonts w:ascii="Tahoma" w:hAnsi="Tahoma" w:cs="Tahoma"/>
          <w:highlight w:val="yellow"/>
        </w:rPr>
        <w:t>example,</w:t>
      </w:r>
      <w:r w:rsidR="007528A3" w:rsidRPr="003B1851">
        <w:rPr>
          <w:rFonts w:ascii="Tahoma" w:hAnsi="Tahoma" w:cs="Tahoma"/>
          <w:highlight w:val="yellow"/>
        </w:rPr>
        <w:t xml:space="preserve"> </w:t>
      </w:r>
      <w:r w:rsidR="00372853" w:rsidRPr="003B1851">
        <w:rPr>
          <w:rFonts w:ascii="Tahoma" w:hAnsi="Tahoma" w:cs="Tahoma"/>
          <w:highlight w:val="yellow"/>
        </w:rPr>
        <w:t>P</w:t>
      </w:r>
      <w:r w:rsidR="007528A3" w:rsidRPr="003B1851">
        <w:rPr>
          <w:rFonts w:ascii="Tahoma" w:hAnsi="Tahoma" w:cs="Tahoma"/>
          <w:highlight w:val="yellow"/>
        </w:rPr>
        <w:t>articipant</w:t>
      </w:r>
      <w:r w:rsidR="00372853" w:rsidRPr="003B1851">
        <w:rPr>
          <w:rFonts w:ascii="Tahoma" w:hAnsi="Tahoma" w:cs="Tahoma"/>
          <w:highlight w:val="yellow"/>
        </w:rPr>
        <w:t xml:space="preserve"> 9 stressed that</w:t>
      </w:r>
      <w:r w:rsidR="007528A3" w:rsidRPr="003B1851">
        <w:rPr>
          <w:rFonts w:ascii="Tahoma" w:hAnsi="Tahoma" w:cs="Tahoma"/>
          <w:highlight w:val="yellow"/>
        </w:rPr>
        <w:t>:</w:t>
      </w:r>
    </w:p>
    <w:p w14:paraId="7CBD4134" w14:textId="77777777" w:rsidR="00E62C3D" w:rsidRPr="003B1851" w:rsidRDefault="004E2984"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t>I think they would be slightly more worried if I used certain terms. They'd think, "Oh, he's straying back to his roots." But it didn't feel oppressive in any way. They were very keen. Both my boss and the boss of the AMHP thing were very keen for us to do it. Probably, there was a little bit more vigilance. They were slightly concerned that we would be too much in the pockets of doctors and stuff. But yes, fine, really</w:t>
      </w:r>
      <w:r w:rsidRPr="003B1851">
        <w:rPr>
          <w:rFonts w:ascii="Tahoma" w:hAnsi="Tahoma" w:cs="Tahoma"/>
          <w:highlight w:val="yellow"/>
        </w:rPr>
        <w:t>. (</w:t>
      </w:r>
      <w:r w:rsidR="00C2710C" w:rsidRPr="003B1851">
        <w:rPr>
          <w:rFonts w:ascii="Tahoma" w:hAnsi="Tahoma" w:cs="Tahoma"/>
          <w:highlight w:val="yellow"/>
        </w:rPr>
        <w:t>Participant 9</w:t>
      </w:r>
      <w:r w:rsidRPr="003B1851">
        <w:rPr>
          <w:rFonts w:ascii="Tahoma" w:hAnsi="Tahoma" w:cs="Tahoma"/>
          <w:highlight w:val="yellow"/>
        </w:rPr>
        <w:t>)</w:t>
      </w:r>
    </w:p>
    <w:p w14:paraId="037B5B5C" w14:textId="681DB68D" w:rsidR="00841CAA" w:rsidRPr="003B1851" w:rsidRDefault="00E62C3D"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For this participant joining the AMHP service was positive </w:t>
      </w:r>
      <w:r w:rsidR="001661E5" w:rsidRPr="003B1851">
        <w:rPr>
          <w:rFonts w:ascii="Tahoma" w:hAnsi="Tahoma" w:cs="Tahoma"/>
          <w:highlight w:val="yellow"/>
        </w:rPr>
        <w:t>with</w:t>
      </w:r>
      <w:r w:rsidR="00372853" w:rsidRPr="003B1851">
        <w:rPr>
          <w:rFonts w:ascii="Tahoma" w:hAnsi="Tahoma" w:cs="Tahoma"/>
          <w:highlight w:val="yellow"/>
        </w:rPr>
        <w:t xml:space="preserve"> </w:t>
      </w:r>
      <w:r w:rsidRPr="003B1851">
        <w:rPr>
          <w:rFonts w:ascii="Tahoma" w:hAnsi="Tahoma" w:cs="Tahoma"/>
          <w:highlight w:val="yellow"/>
        </w:rPr>
        <w:t>early discussions relating to independence help</w:t>
      </w:r>
      <w:r w:rsidR="00372853" w:rsidRPr="003B1851">
        <w:rPr>
          <w:rFonts w:ascii="Tahoma" w:hAnsi="Tahoma" w:cs="Tahoma"/>
          <w:highlight w:val="yellow"/>
        </w:rPr>
        <w:t>ing</w:t>
      </w:r>
      <w:r w:rsidRPr="003B1851">
        <w:rPr>
          <w:rFonts w:ascii="Tahoma" w:hAnsi="Tahoma" w:cs="Tahoma"/>
          <w:highlight w:val="yellow"/>
        </w:rPr>
        <w:t xml:space="preserve"> to clarity </w:t>
      </w:r>
      <w:r w:rsidR="00356B3D" w:rsidRPr="003B1851">
        <w:rPr>
          <w:rFonts w:ascii="Tahoma" w:hAnsi="Tahoma" w:cs="Tahoma"/>
          <w:highlight w:val="yellow"/>
        </w:rPr>
        <w:t>his autonomy. For another two participants integrating into a social work dominated service was not as positive</w:t>
      </w:r>
      <w:r w:rsidR="004E2984" w:rsidRPr="003B1851">
        <w:rPr>
          <w:rFonts w:ascii="Tahoma" w:hAnsi="Tahoma" w:cs="Tahoma"/>
          <w:highlight w:val="yellow"/>
        </w:rPr>
        <w:t xml:space="preserve">. One </w:t>
      </w:r>
      <w:r w:rsidR="00372853" w:rsidRPr="003B1851">
        <w:rPr>
          <w:rFonts w:ascii="Tahoma" w:hAnsi="Tahoma" w:cs="Tahoma"/>
          <w:highlight w:val="yellow"/>
        </w:rPr>
        <w:t xml:space="preserve">of these </w:t>
      </w:r>
      <w:r w:rsidR="004E2984" w:rsidRPr="003B1851">
        <w:rPr>
          <w:rFonts w:ascii="Tahoma" w:hAnsi="Tahoma" w:cs="Tahoma"/>
          <w:highlight w:val="yellow"/>
        </w:rPr>
        <w:t>participant stated:</w:t>
      </w:r>
    </w:p>
    <w:p w14:paraId="2E6C8874" w14:textId="77777777" w:rsidR="00841CAA" w:rsidRPr="003B1851" w:rsidRDefault="00841CAA"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highlight w:val="yellow"/>
        </w:rPr>
      </w:pPr>
      <w:r w:rsidRPr="003B1851">
        <w:rPr>
          <w:rFonts w:ascii="Tahoma" w:hAnsi="Tahoma" w:cs="Tahoma"/>
          <w:i/>
          <w:highlight w:val="yellow"/>
        </w:rPr>
        <w:lastRenderedPageBreak/>
        <w:t>I think we’re all pretty isolated. I think the nurses in particular in this trust are a little bit isolated but that’s. By no other virtue than the fact that I’m a nurse, will be left – I mean I can tell you now I will not work as an AMHP that day because I think personally it would break my health and safety concerns, based on the fact that – ordinarily I’m isolated anyway … I think there’s a certain amount of, there can be at times, suspicion about whether or not we are part of that group.</w:t>
      </w:r>
      <w:r w:rsidRPr="003B1851">
        <w:rPr>
          <w:rFonts w:ascii="Tahoma" w:hAnsi="Tahoma" w:cs="Tahoma"/>
          <w:highlight w:val="yellow"/>
        </w:rPr>
        <w:t xml:space="preserve"> (</w:t>
      </w:r>
      <w:r w:rsidR="00C2710C" w:rsidRPr="003B1851">
        <w:rPr>
          <w:rFonts w:ascii="Tahoma" w:hAnsi="Tahoma" w:cs="Tahoma"/>
          <w:highlight w:val="yellow"/>
        </w:rPr>
        <w:t>Participant 1</w:t>
      </w:r>
      <w:r w:rsidRPr="003B1851">
        <w:rPr>
          <w:rFonts w:ascii="Tahoma" w:hAnsi="Tahoma" w:cs="Tahoma"/>
          <w:highlight w:val="yellow"/>
        </w:rPr>
        <w:t>)</w:t>
      </w:r>
    </w:p>
    <w:p w14:paraId="14BB8E2E" w14:textId="77777777" w:rsidR="003E29E2" w:rsidRPr="003B1851" w:rsidRDefault="004E30E2"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For another nurse they have found becoming an AMHP has broken down some p</w:t>
      </w:r>
      <w:r w:rsidR="00B427C3" w:rsidRPr="003B1851">
        <w:rPr>
          <w:rFonts w:ascii="Tahoma" w:hAnsi="Tahoma" w:cs="Tahoma"/>
          <w:highlight w:val="yellow"/>
        </w:rPr>
        <w:t>revious professional divisions:</w:t>
      </w:r>
    </w:p>
    <w:p w14:paraId="7A4A2B7C" w14:textId="77777777" w:rsidR="002A49D8" w:rsidRPr="003B1851" w:rsidRDefault="002A49D8"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jc w:val="both"/>
        <w:rPr>
          <w:rFonts w:ascii="Tahoma" w:hAnsi="Tahoma" w:cs="Tahoma"/>
          <w:i/>
          <w:highlight w:val="yellow"/>
        </w:rPr>
      </w:pPr>
      <w:r w:rsidRPr="003B1851">
        <w:rPr>
          <w:rFonts w:ascii="Tahoma" w:hAnsi="Tahoma" w:cs="Tahoma"/>
          <w:i/>
          <w:highlight w:val="yellow"/>
        </w:rPr>
        <w:t xml:space="preserve">What they had always said was that because we were so generic and aware in Community teams, as was, really, the two differentiating factors for us were that we gave injections and the social workers did Mental Health Act Assessments. Obviously, we now give injections and do Mental Health Act Assessments. Obviously, if we are Care Coordinators and Care Managers under CPA, then we are all doing the same job. Some of the older social workers, interestingly, felt it a real threat. </w:t>
      </w:r>
      <w:r w:rsidR="009B049D" w:rsidRPr="003B1851">
        <w:rPr>
          <w:rFonts w:ascii="Tahoma" w:hAnsi="Tahoma" w:cs="Tahoma"/>
          <w:highlight w:val="yellow"/>
        </w:rPr>
        <w:t>(</w:t>
      </w:r>
      <w:r w:rsidR="00C2710C" w:rsidRPr="003B1851">
        <w:rPr>
          <w:rFonts w:ascii="Tahoma" w:hAnsi="Tahoma" w:cs="Tahoma"/>
          <w:highlight w:val="yellow"/>
        </w:rPr>
        <w:t>Participant 2</w:t>
      </w:r>
      <w:r w:rsidR="009B049D" w:rsidRPr="003B1851">
        <w:rPr>
          <w:rFonts w:ascii="Tahoma" w:hAnsi="Tahoma" w:cs="Tahoma"/>
          <w:highlight w:val="yellow"/>
        </w:rPr>
        <w:t>)</w:t>
      </w:r>
    </w:p>
    <w:p w14:paraId="0A733DC5" w14:textId="77777777" w:rsidR="00372853" w:rsidRPr="003B1851" w:rsidRDefault="004E30E2"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This participant </w:t>
      </w:r>
      <w:r w:rsidR="00B427C3" w:rsidRPr="003B1851">
        <w:rPr>
          <w:rFonts w:ascii="Tahoma" w:hAnsi="Tahoma" w:cs="Tahoma"/>
          <w:highlight w:val="yellow"/>
        </w:rPr>
        <w:t>is suggesting that the differentiating factors between professions have now gone, with only some feeling threatened by the change.</w:t>
      </w:r>
    </w:p>
    <w:p w14:paraId="02155CA7" w14:textId="05CEC411" w:rsidR="00A648B9" w:rsidRPr="003B1851" w:rsidRDefault="00B427C3"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Some participants highlighted that they experienced difficulties with their terms and conditions of employment when they moved into AMHP practice. This relates to </w:t>
      </w:r>
      <w:r w:rsidR="00A648B9" w:rsidRPr="003B1851">
        <w:rPr>
          <w:rFonts w:ascii="Tahoma" w:hAnsi="Tahoma" w:cs="Tahoma"/>
          <w:highlight w:val="yellow"/>
        </w:rPr>
        <w:t>their</w:t>
      </w:r>
      <w:r w:rsidRPr="003B1851">
        <w:rPr>
          <w:rFonts w:ascii="Tahoma" w:hAnsi="Tahoma" w:cs="Tahoma"/>
          <w:highlight w:val="yellow"/>
        </w:rPr>
        <w:t xml:space="preserve"> contract, pay and recognition and </w:t>
      </w:r>
      <w:r w:rsidR="00A648B9" w:rsidRPr="003B1851">
        <w:rPr>
          <w:rFonts w:ascii="Tahoma" w:hAnsi="Tahoma" w:cs="Tahoma"/>
          <w:highlight w:val="yellow"/>
        </w:rPr>
        <w:t xml:space="preserve">how they gained approval by the local authority. One participant stated that in terms of his contract that: </w:t>
      </w:r>
    </w:p>
    <w:p w14:paraId="08901AFC" w14:textId="77777777" w:rsidR="00A648B9" w:rsidRPr="003B1851" w:rsidRDefault="00A648B9" w:rsidP="00291B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rPr>
          <w:rFonts w:ascii="Tahoma" w:hAnsi="Tahoma" w:cs="Tahoma"/>
          <w:highlight w:val="yellow"/>
        </w:rPr>
      </w:pPr>
      <w:r w:rsidRPr="003B1851">
        <w:rPr>
          <w:rFonts w:ascii="Tahoma" w:hAnsi="Tahoma" w:cs="Tahoma"/>
          <w:i/>
          <w:highlight w:val="yellow"/>
        </w:rPr>
        <w:t>I don’t have a dual contract. I’ve got the same contract as I’ve ever had</w:t>
      </w:r>
      <w:r w:rsidRPr="003B1851">
        <w:rPr>
          <w:rFonts w:ascii="Tahoma" w:hAnsi="Tahoma" w:cs="Tahoma"/>
          <w:highlight w:val="yellow"/>
        </w:rPr>
        <w:t>. (</w:t>
      </w:r>
      <w:r w:rsidR="00C2710C" w:rsidRPr="003B1851">
        <w:rPr>
          <w:rFonts w:ascii="Tahoma" w:hAnsi="Tahoma" w:cs="Tahoma"/>
          <w:highlight w:val="yellow"/>
        </w:rPr>
        <w:t>Participant 1</w:t>
      </w:r>
      <w:r w:rsidRPr="003B1851">
        <w:rPr>
          <w:rFonts w:ascii="Tahoma" w:hAnsi="Tahoma" w:cs="Tahoma"/>
          <w:highlight w:val="yellow"/>
        </w:rPr>
        <w:t>)</w:t>
      </w:r>
    </w:p>
    <w:p w14:paraId="1B67DE63" w14:textId="77777777" w:rsidR="00B87094" w:rsidRPr="003B1851" w:rsidRDefault="00BB0642" w:rsidP="00291B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lastRenderedPageBreak/>
        <w:t>For this participant they have seen no alteration in their terms and conditions of employment or recognition of</w:t>
      </w:r>
      <w:r w:rsidR="004E30E2" w:rsidRPr="003B1851">
        <w:rPr>
          <w:rFonts w:ascii="Tahoma" w:hAnsi="Tahoma" w:cs="Tahoma"/>
          <w:highlight w:val="yellow"/>
        </w:rPr>
        <w:t xml:space="preserve"> the </w:t>
      </w:r>
      <w:r w:rsidR="00014AE8" w:rsidRPr="003B1851">
        <w:rPr>
          <w:rFonts w:ascii="Tahoma" w:hAnsi="Tahoma" w:cs="Tahoma"/>
          <w:highlight w:val="yellow"/>
        </w:rPr>
        <w:t>additional</w:t>
      </w:r>
      <w:r w:rsidRPr="003B1851">
        <w:rPr>
          <w:rFonts w:ascii="Tahoma" w:hAnsi="Tahoma" w:cs="Tahoma"/>
          <w:highlight w:val="yellow"/>
        </w:rPr>
        <w:t xml:space="preserve"> local authority responsibilities. </w:t>
      </w:r>
      <w:r w:rsidR="00B87094" w:rsidRPr="003B1851">
        <w:rPr>
          <w:rFonts w:ascii="Tahoma" w:hAnsi="Tahoma" w:cs="Tahoma"/>
          <w:color w:val="000000"/>
          <w:highlight w:val="yellow"/>
        </w:rPr>
        <w:t>Another participant commented that they are not certain why their trust agreed to train AMHPs</w:t>
      </w:r>
      <w:r w:rsidRPr="003B1851">
        <w:rPr>
          <w:rFonts w:ascii="Tahoma" w:hAnsi="Tahoma" w:cs="Tahoma"/>
          <w:color w:val="000000"/>
          <w:highlight w:val="yellow"/>
        </w:rPr>
        <w:t>:</w:t>
      </w:r>
    </w:p>
    <w:p w14:paraId="7ACB4635" w14:textId="77777777" w:rsidR="00B87094" w:rsidRPr="003B1851" w:rsidRDefault="00B87094"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rPr>
          <w:rFonts w:ascii="Tahoma" w:hAnsi="Tahoma" w:cs="Tahoma"/>
          <w:highlight w:val="yellow"/>
        </w:rPr>
      </w:pPr>
      <w:r w:rsidRPr="003B1851">
        <w:rPr>
          <w:rFonts w:ascii="Tahoma" w:hAnsi="Tahoma" w:cs="Tahoma"/>
          <w:i/>
          <w:highlight w:val="yellow"/>
        </w:rPr>
        <w:t>I don’t know why the Trust agreed to train some nurse AMHPs up because they don’t really know what to do with us, or where to put us.</w:t>
      </w:r>
      <w:r w:rsidRPr="003B1851">
        <w:rPr>
          <w:rFonts w:ascii="Tahoma" w:hAnsi="Tahoma" w:cs="Tahoma"/>
          <w:highlight w:val="yellow"/>
        </w:rPr>
        <w:t xml:space="preserve"> (</w:t>
      </w:r>
      <w:r w:rsidR="00C2710C" w:rsidRPr="003B1851">
        <w:rPr>
          <w:rFonts w:ascii="Tahoma" w:hAnsi="Tahoma" w:cs="Tahoma"/>
          <w:highlight w:val="yellow"/>
        </w:rPr>
        <w:t>Participant 10</w:t>
      </w:r>
      <w:r w:rsidRPr="003B1851">
        <w:rPr>
          <w:rFonts w:ascii="Tahoma" w:hAnsi="Tahoma" w:cs="Tahoma"/>
          <w:highlight w:val="yellow"/>
        </w:rPr>
        <w:t>)</w:t>
      </w:r>
    </w:p>
    <w:p w14:paraId="6351506E" w14:textId="29193570" w:rsidR="002A49D8" w:rsidRPr="003B1851" w:rsidRDefault="004F17EE" w:rsidP="00291BB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Factors relating to pay and grading was highlighted by </w:t>
      </w:r>
      <w:r w:rsidR="00AB6B22" w:rsidRPr="003B1851">
        <w:rPr>
          <w:rFonts w:ascii="Tahoma" w:hAnsi="Tahoma" w:cs="Tahoma"/>
          <w:highlight w:val="yellow"/>
        </w:rPr>
        <w:t xml:space="preserve">six of the participants whereby they either did not feel adequately remunerated either through grade or honorarium pay. One </w:t>
      </w:r>
      <w:r w:rsidR="004126CA" w:rsidRPr="003B1851">
        <w:rPr>
          <w:rFonts w:ascii="Tahoma" w:hAnsi="Tahoma" w:cs="Tahoma"/>
          <w:highlight w:val="yellow"/>
        </w:rPr>
        <w:t>participant stated</w:t>
      </w:r>
      <w:r w:rsidR="00AB6B22" w:rsidRPr="003B1851">
        <w:rPr>
          <w:rFonts w:ascii="Tahoma" w:hAnsi="Tahoma" w:cs="Tahoma"/>
          <w:highlight w:val="yellow"/>
        </w:rPr>
        <w:t>:</w:t>
      </w:r>
    </w:p>
    <w:p w14:paraId="41878738" w14:textId="77777777" w:rsidR="002A49D8" w:rsidRPr="003B1851" w:rsidRDefault="00401AEF" w:rsidP="00291B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20" w:hanging="2160"/>
        <w:jc w:val="both"/>
        <w:rPr>
          <w:rFonts w:ascii="Tahoma" w:hAnsi="Tahoma" w:cs="Tahoma"/>
          <w:highlight w:val="yellow"/>
        </w:rPr>
      </w:pPr>
      <w:r w:rsidRPr="003B1851">
        <w:rPr>
          <w:rFonts w:ascii="Tahoma" w:hAnsi="Tahoma" w:cs="Tahoma"/>
          <w:highlight w:val="yellow"/>
        </w:rPr>
        <w:tab/>
      </w:r>
      <w:r w:rsidR="002A49D8" w:rsidRPr="003B1851">
        <w:rPr>
          <w:rFonts w:ascii="Tahoma" w:hAnsi="Tahoma" w:cs="Tahoma"/>
          <w:i/>
          <w:highlight w:val="yellow"/>
        </w:rPr>
        <w:t xml:space="preserve">I qualified along with my colleague in the exact same team who happens to be a social worker. We both did our training at the same time. We both got warranted at the same time. Because she’s a social worker she automatically got increments as an appreciation of her taking all this extra work and doing this extra </w:t>
      </w:r>
      <w:r w:rsidRPr="003B1851">
        <w:rPr>
          <w:rFonts w:ascii="Tahoma" w:hAnsi="Tahoma" w:cs="Tahoma"/>
          <w:i/>
          <w:highlight w:val="yellow"/>
        </w:rPr>
        <w:t>…</w:t>
      </w:r>
      <w:r w:rsidR="002A49D8" w:rsidRPr="003B1851">
        <w:rPr>
          <w:rFonts w:ascii="Tahoma" w:hAnsi="Tahoma" w:cs="Tahoma"/>
          <w:i/>
          <w:highlight w:val="yellow"/>
        </w:rPr>
        <w:t xml:space="preserve"> Whereas as a nurse, in the age old tradition, you get a slap on the back, “That’s great. That’s wonderful”. In the general sense there’s a difference. If you’re a social worker you get a pay rise, a general nurse you don’t.</w:t>
      </w:r>
      <w:r w:rsidRPr="003B1851">
        <w:rPr>
          <w:rFonts w:ascii="Tahoma" w:hAnsi="Tahoma" w:cs="Tahoma"/>
          <w:i/>
          <w:highlight w:val="yellow"/>
        </w:rPr>
        <w:t xml:space="preserve"> </w:t>
      </w:r>
      <w:r w:rsidR="002A49D8" w:rsidRPr="003B1851">
        <w:rPr>
          <w:rFonts w:ascii="Tahoma" w:hAnsi="Tahoma" w:cs="Tahoma"/>
          <w:i/>
          <w:highlight w:val="yellow"/>
        </w:rPr>
        <w:t>I suppose that, just in the local situation, it grates a little bit if there’s an expectation of I’m going to work beyond my terms and conditions of my job description. AMHP is not in my job description.</w:t>
      </w:r>
      <w:r w:rsidR="00484CA6" w:rsidRPr="003B1851">
        <w:rPr>
          <w:rFonts w:ascii="Tahoma" w:hAnsi="Tahoma" w:cs="Tahoma"/>
          <w:highlight w:val="yellow"/>
        </w:rPr>
        <w:t xml:space="preserve"> (</w:t>
      </w:r>
      <w:r w:rsidR="00C2710C" w:rsidRPr="003B1851">
        <w:rPr>
          <w:rFonts w:ascii="Tahoma" w:hAnsi="Tahoma" w:cs="Tahoma"/>
          <w:highlight w:val="yellow"/>
        </w:rPr>
        <w:t>Participant 1</w:t>
      </w:r>
      <w:r w:rsidR="00484CA6" w:rsidRPr="003B1851">
        <w:rPr>
          <w:rFonts w:ascii="Tahoma" w:hAnsi="Tahoma" w:cs="Tahoma"/>
          <w:highlight w:val="yellow"/>
        </w:rPr>
        <w:t>)</w:t>
      </w:r>
    </w:p>
    <w:p w14:paraId="075B4178" w14:textId="77777777" w:rsidR="002A49D8" w:rsidRPr="003B1851" w:rsidRDefault="00AB6B22" w:rsidP="00291BB8">
      <w:pPr>
        <w:widowControl w:val="0"/>
        <w:autoSpaceDE w:val="0"/>
        <w:autoSpaceDN w:val="0"/>
        <w:adjustRightInd w:val="0"/>
        <w:spacing w:before="100" w:beforeAutospacing="1" w:after="100" w:afterAutospacing="1" w:line="480" w:lineRule="auto"/>
        <w:jc w:val="both"/>
        <w:rPr>
          <w:rFonts w:ascii="Tahoma" w:hAnsi="Tahoma" w:cs="Tahoma"/>
          <w:color w:val="000000"/>
          <w:highlight w:val="yellow"/>
        </w:rPr>
      </w:pPr>
      <w:r w:rsidRPr="003B1851">
        <w:rPr>
          <w:rFonts w:ascii="Tahoma" w:hAnsi="Tahoma" w:cs="Tahoma"/>
          <w:color w:val="000000"/>
          <w:highlight w:val="yellow"/>
        </w:rPr>
        <w:t>This participant is able to make a direct comparison with a social worker in the same circumstances as them, an</w:t>
      </w:r>
      <w:r w:rsidR="00372853" w:rsidRPr="003B1851">
        <w:rPr>
          <w:rFonts w:ascii="Tahoma" w:hAnsi="Tahoma" w:cs="Tahoma"/>
          <w:color w:val="000000"/>
          <w:highlight w:val="yellow"/>
        </w:rPr>
        <w:t xml:space="preserve">d clearly feels </w:t>
      </w:r>
      <w:r w:rsidRPr="003B1851">
        <w:rPr>
          <w:rFonts w:ascii="Tahoma" w:hAnsi="Tahoma" w:cs="Tahoma"/>
          <w:color w:val="000000"/>
          <w:highlight w:val="yellow"/>
        </w:rPr>
        <w:t xml:space="preserve">they </w:t>
      </w:r>
      <w:r w:rsidR="00372853" w:rsidRPr="003B1851">
        <w:rPr>
          <w:rFonts w:ascii="Tahoma" w:hAnsi="Tahoma" w:cs="Tahoma"/>
          <w:color w:val="000000"/>
          <w:highlight w:val="yellow"/>
        </w:rPr>
        <w:t>are</w:t>
      </w:r>
      <w:r w:rsidRPr="003B1851">
        <w:rPr>
          <w:rFonts w:ascii="Tahoma" w:hAnsi="Tahoma" w:cs="Tahoma"/>
          <w:color w:val="000000"/>
          <w:highlight w:val="yellow"/>
        </w:rPr>
        <w:t xml:space="preserve"> not rec</w:t>
      </w:r>
      <w:r w:rsidR="00DE24D3" w:rsidRPr="003B1851">
        <w:rPr>
          <w:rFonts w:ascii="Tahoma" w:hAnsi="Tahoma" w:cs="Tahoma"/>
          <w:color w:val="000000"/>
          <w:highlight w:val="yellow"/>
        </w:rPr>
        <w:t>eiv</w:t>
      </w:r>
      <w:r w:rsidR="00372853" w:rsidRPr="003B1851">
        <w:rPr>
          <w:rFonts w:ascii="Tahoma" w:hAnsi="Tahoma" w:cs="Tahoma"/>
          <w:color w:val="000000"/>
          <w:highlight w:val="yellow"/>
        </w:rPr>
        <w:t>ing</w:t>
      </w:r>
      <w:r w:rsidR="00DE24D3" w:rsidRPr="003B1851">
        <w:rPr>
          <w:rFonts w:ascii="Tahoma" w:hAnsi="Tahoma" w:cs="Tahoma"/>
          <w:color w:val="000000"/>
          <w:highlight w:val="yellow"/>
        </w:rPr>
        <w:t xml:space="preserve"> the </w:t>
      </w:r>
      <w:r w:rsidR="00372853" w:rsidRPr="003B1851">
        <w:rPr>
          <w:rFonts w:ascii="Tahoma" w:hAnsi="Tahoma" w:cs="Tahoma"/>
          <w:color w:val="000000"/>
          <w:highlight w:val="yellow"/>
        </w:rPr>
        <w:t xml:space="preserve">due </w:t>
      </w:r>
      <w:r w:rsidR="00DE24D3" w:rsidRPr="003B1851">
        <w:rPr>
          <w:rFonts w:ascii="Tahoma" w:hAnsi="Tahoma" w:cs="Tahoma"/>
          <w:color w:val="000000"/>
          <w:highlight w:val="yellow"/>
        </w:rPr>
        <w:t>recognition</w:t>
      </w:r>
      <w:r w:rsidRPr="003B1851">
        <w:rPr>
          <w:rFonts w:ascii="Tahoma" w:hAnsi="Tahoma" w:cs="Tahoma"/>
          <w:color w:val="000000"/>
          <w:highlight w:val="yellow"/>
        </w:rPr>
        <w:t>.</w:t>
      </w:r>
      <w:r w:rsidR="00DE24D3" w:rsidRPr="003B1851">
        <w:rPr>
          <w:rFonts w:ascii="Tahoma" w:hAnsi="Tahoma" w:cs="Tahoma"/>
          <w:color w:val="000000"/>
          <w:highlight w:val="yellow"/>
        </w:rPr>
        <w:t xml:space="preserve"> Another participant added to this perspective:</w:t>
      </w:r>
    </w:p>
    <w:p w14:paraId="52EB4F11" w14:textId="77777777" w:rsidR="002A49D8" w:rsidRPr="003B1851" w:rsidRDefault="00401AEF" w:rsidP="00291BB8">
      <w:pPr>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beforeAutospacing="1" w:after="100" w:afterAutospacing="1" w:line="480" w:lineRule="auto"/>
        <w:ind w:left="709" w:hanging="709"/>
        <w:jc w:val="both"/>
        <w:rPr>
          <w:rFonts w:ascii="Tahoma" w:hAnsi="Tahoma" w:cs="Tahoma"/>
          <w:highlight w:val="yellow"/>
        </w:rPr>
      </w:pPr>
      <w:r w:rsidRPr="003B1851">
        <w:rPr>
          <w:rFonts w:ascii="Tahoma" w:hAnsi="Tahoma" w:cs="Tahoma"/>
          <w:i/>
          <w:highlight w:val="yellow"/>
        </w:rPr>
        <w:tab/>
      </w:r>
      <w:r w:rsidR="002A49D8" w:rsidRPr="003B1851">
        <w:rPr>
          <w:rFonts w:ascii="Tahoma" w:hAnsi="Tahoma" w:cs="Tahoma"/>
          <w:i/>
          <w:highlight w:val="yellow"/>
        </w:rPr>
        <w:t>The other thing is that we don’t get paid. We don’t get a penny for our responsibilities. Not an additional penny.</w:t>
      </w:r>
      <w:r w:rsidRPr="003B1851">
        <w:rPr>
          <w:rFonts w:ascii="Tahoma" w:hAnsi="Tahoma" w:cs="Tahoma"/>
          <w:i/>
          <w:highlight w:val="yellow"/>
        </w:rPr>
        <w:t xml:space="preserve"> </w:t>
      </w:r>
      <w:r w:rsidR="002A49D8" w:rsidRPr="003B1851">
        <w:rPr>
          <w:rFonts w:ascii="Tahoma" w:hAnsi="Tahoma" w:cs="Tahoma"/>
          <w:i/>
          <w:highlight w:val="yellow"/>
        </w:rPr>
        <w:t xml:space="preserve">We had to be Band 7s to apply to go on the training. The money that you get as a Band 7 is equivalent to what you would get at the time as a social worker with your additional increments. It is not part of our contract, not that it </w:t>
      </w:r>
      <w:r w:rsidR="002A49D8" w:rsidRPr="003B1851">
        <w:rPr>
          <w:rFonts w:ascii="Tahoma" w:hAnsi="Tahoma" w:cs="Tahoma"/>
          <w:i/>
          <w:highlight w:val="yellow"/>
        </w:rPr>
        <w:lastRenderedPageBreak/>
        <w:t xml:space="preserve">is part of the contract for the social workers in </w:t>
      </w:r>
      <w:r w:rsidR="00AB6B22" w:rsidRPr="003B1851">
        <w:rPr>
          <w:rFonts w:ascii="Tahoma" w:hAnsi="Tahoma" w:cs="Tahoma"/>
          <w:i/>
          <w:highlight w:val="yellow"/>
        </w:rPr>
        <w:t>[town stated]</w:t>
      </w:r>
      <w:r w:rsidR="002A49D8" w:rsidRPr="003B1851">
        <w:rPr>
          <w:rFonts w:ascii="Tahoma" w:hAnsi="Tahoma" w:cs="Tahoma"/>
          <w:i/>
          <w:highlight w:val="yellow"/>
        </w:rPr>
        <w:t>. There is no monetary gain. I think the people who did it were very experienced Mental Health workers, and were just really interested in the work and saw it as a very importan</w:t>
      </w:r>
      <w:r w:rsidRPr="003B1851">
        <w:rPr>
          <w:rFonts w:ascii="Tahoma" w:hAnsi="Tahoma" w:cs="Tahoma"/>
          <w:i/>
          <w:highlight w:val="yellow"/>
        </w:rPr>
        <w:t>t part of our work with clients</w:t>
      </w:r>
      <w:r w:rsidRPr="003B1851">
        <w:rPr>
          <w:rFonts w:ascii="Tahoma" w:hAnsi="Tahoma" w:cs="Tahoma"/>
          <w:highlight w:val="yellow"/>
        </w:rPr>
        <w:t xml:space="preserve"> (</w:t>
      </w:r>
      <w:r w:rsidR="00C2710C" w:rsidRPr="003B1851">
        <w:rPr>
          <w:rFonts w:ascii="Tahoma" w:hAnsi="Tahoma" w:cs="Tahoma"/>
          <w:highlight w:val="yellow"/>
        </w:rPr>
        <w:t>Participant 2</w:t>
      </w:r>
      <w:r w:rsidR="00484CA6" w:rsidRPr="003B1851">
        <w:rPr>
          <w:rFonts w:ascii="Tahoma" w:hAnsi="Tahoma" w:cs="Tahoma"/>
          <w:highlight w:val="yellow"/>
        </w:rPr>
        <w:t>)</w:t>
      </w:r>
      <w:r w:rsidRPr="003B1851">
        <w:rPr>
          <w:rFonts w:ascii="Tahoma" w:hAnsi="Tahoma" w:cs="Tahoma"/>
          <w:highlight w:val="yellow"/>
        </w:rPr>
        <w:t>.</w:t>
      </w:r>
    </w:p>
    <w:p w14:paraId="4BED4344" w14:textId="697DC014" w:rsidR="00D96207" w:rsidRPr="003B1851" w:rsidRDefault="00AB6B22"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color w:val="000000"/>
          <w:highlight w:val="yellow"/>
        </w:rPr>
        <w:t xml:space="preserve">For this participant they are not only dissatisfied with the lack of remuneration but also fact that they needed to be a band 7 before they could </w:t>
      </w:r>
      <w:r w:rsidR="00372853" w:rsidRPr="003B1851">
        <w:rPr>
          <w:rFonts w:ascii="Tahoma" w:hAnsi="Tahoma" w:cs="Tahoma"/>
          <w:color w:val="000000"/>
          <w:highlight w:val="yellow"/>
        </w:rPr>
        <w:t xml:space="preserve">even </w:t>
      </w:r>
      <w:r w:rsidRPr="003B1851">
        <w:rPr>
          <w:rFonts w:ascii="Tahoma" w:hAnsi="Tahoma" w:cs="Tahoma"/>
          <w:color w:val="000000"/>
          <w:highlight w:val="yellow"/>
        </w:rPr>
        <w:t>apply</w:t>
      </w:r>
      <w:r w:rsidR="00C83E6A" w:rsidRPr="003B1851">
        <w:rPr>
          <w:rFonts w:ascii="Tahoma" w:hAnsi="Tahoma" w:cs="Tahoma"/>
          <w:color w:val="000000"/>
          <w:highlight w:val="yellow"/>
        </w:rPr>
        <w:t xml:space="preserve"> for AMHP training</w:t>
      </w:r>
      <w:r w:rsidRPr="003B1851">
        <w:rPr>
          <w:rFonts w:ascii="Tahoma" w:hAnsi="Tahoma" w:cs="Tahoma"/>
          <w:color w:val="000000"/>
          <w:highlight w:val="yellow"/>
        </w:rPr>
        <w:t xml:space="preserve"> and the implications </w:t>
      </w:r>
      <w:r w:rsidR="00C83E6A" w:rsidRPr="003B1851">
        <w:rPr>
          <w:rFonts w:ascii="Tahoma" w:hAnsi="Tahoma" w:cs="Tahoma"/>
          <w:color w:val="000000"/>
          <w:highlight w:val="yellow"/>
        </w:rPr>
        <w:t xml:space="preserve">thereafter </w:t>
      </w:r>
      <w:r w:rsidR="00372853" w:rsidRPr="003B1851">
        <w:rPr>
          <w:rFonts w:ascii="Tahoma" w:hAnsi="Tahoma" w:cs="Tahoma"/>
          <w:color w:val="000000"/>
          <w:highlight w:val="yellow"/>
        </w:rPr>
        <w:t>for</w:t>
      </w:r>
      <w:r w:rsidR="00C83E6A" w:rsidRPr="003B1851">
        <w:rPr>
          <w:rFonts w:ascii="Tahoma" w:hAnsi="Tahoma" w:cs="Tahoma"/>
          <w:color w:val="000000"/>
          <w:highlight w:val="yellow"/>
        </w:rPr>
        <w:t xml:space="preserve"> any additional increment</w:t>
      </w:r>
      <w:r w:rsidR="00372853" w:rsidRPr="003B1851">
        <w:rPr>
          <w:rFonts w:ascii="Tahoma" w:hAnsi="Tahoma" w:cs="Tahoma"/>
          <w:color w:val="000000"/>
          <w:highlight w:val="yellow"/>
        </w:rPr>
        <w:t xml:space="preserve"> after becoming an AMHP</w:t>
      </w:r>
      <w:r w:rsidR="00C83E6A" w:rsidRPr="003B1851">
        <w:rPr>
          <w:rFonts w:ascii="Tahoma" w:hAnsi="Tahoma" w:cs="Tahoma"/>
          <w:color w:val="000000"/>
          <w:highlight w:val="yellow"/>
        </w:rPr>
        <w:t xml:space="preserve">. </w:t>
      </w:r>
      <w:r w:rsidRPr="003B1851">
        <w:rPr>
          <w:rFonts w:ascii="Tahoma" w:hAnsi="Tahoma" w:cs="Tahoma"/>
          <w:color w:val="000000"/>
          <w:highlight w:val="yellow"/>
        </w:rPr>
        <w:t xml:space="preserve"> </w:t>
      </w:r>
    </w:p>
    <w:p w14:paraId="7E2B1CA1" w14:textId="1889AD61" w:rsidR="00523A2B" w:rsidRPr="003B1851" w:rsidRDefault="00624853" w:rsidP="00291BB8">
      <w:pPr>
        <w:spacing w:before="100" w:beforeAutospacing="1" w:after="100" w:afterAutospacing="1" w:line="480" w:lineRule="auto"/>
        <w:rPr>
          <w:rFonts w:ascii="Tahoma" w:hAnsi="Tahoma" w:cs="Tahoma"/>
          <w:b/>
          <w:highlight w:val="yellow"/>
        </w:rPr>
      </w:pPr>
      <w:r w:rsidRPr="003B1851">
        <w:rPr>
          <w:rFonts w:ascii="Tahoma" w:hAnsi="Tahoma" w:cs="Tahoma"/>
          <w:b/>
          <w:highlight w:val="yellow"/>
        </w:rPr>
        <w:t>Discussion</w:t>
      </w:r>
    </w:p>
    <w:p w14:paraId="215D1601" w14:textId="6A3A27EF" w:rsidR="00BC4CA5" w:rsidRPr="003B1851" w:rsidRDefault="009B473F"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The aim of this paper was</w:t>
      </w:r>
      <w:r w:rsidR="00936B3A" w:rsidRPr="003B1851">
        <w:rPr>
          <w:rFonts w:ascii="Tahoma" w:hAnsi="Tahoma" w:cs="Tahoma"/>
          <w:highlight w:val="yellow"/>
        </w:rPr>
        <w:t xml:space="preserve"> to explore the experiences of nurses who have been able to</w:t>
      </w:r>
      <w:r w:rsidR="00C2619D" w:rsidRPr="003B1851">
        <w:rPr>
          <w:rFonts w:ascii="Tahoma" w:hAnsi="Tahoma" w:cs="Tahoma"/>
          <w:highlight w:val="yellow"/>
        </w:rPr>
        <w:t xml:space="preserve"> successfully</w:t>
      </w:r>
      <w:r w:rsidR="00936B3A" w:rsidRPr="003B1851">
        <w:rPr>
          <w:rFonts w:ascii="Tahoma" w:hAnsi="Tahoma" w:cs="Tahoma"/>
          <w:highlight w:val="yellow"/>
        </w:rPr>
        <w:t xml:space="preserve"> train and practice</w:t>
      </w:r>
      <w:r w:rsidR="00C2619D" w:rsidRPr="003B1851">
        <w:rPr>
          <w:rFonts w:ascii="Tahoma" w:hAnsi="Tahoma" w:cs="Tahoma"/>
          <w:highlight w:val="yellow"/>
        </w:rPr>
        <w:t xml:space="preserve"> as an AMHP</w:t>
      </w:r>
      <w:r w:rsidR="00936B3A" w:rsidRPr="003B1851">
        <w:rPr>
          <w:rFonts w:ascii="Tahoma" w:hAnsi="Tahoma" w:cs="Tahoma"/>
          <w:highlight w:val="yellow"/>
        </w:rPr>
        <w:t xml:space="preserve">. </w:t>
      </w:r>
      <w:r w:rsidR="00916960" w:rsidRPr="003B1851">
        <w:rPr>
          <w:rFonts w:ascii="Tahoma" w:hAnsi="Tahoma" w:cs="Tahoma"/>
          <w:highlight w:val="yellow"/>
        </w:rPr>
        <w:t xml:space="preserve">The findings from this exploratory study suggest that </w:t>
      </w:r>
      <w:r w:rsidR="00C2619D" w:rsidRPr="003B1851">
        <w:rPr>
          <w:rFonts w:ascii="Tahoma" w:hAnsi="Tahoma" w:cs="Tahoma"/>
          <w:highlight w:val="yellow"/>
        </w:rPr>
        <w:t>the participants of this study</w:t>
      </w:r>
      <w:r w:rsidR="00916960" w:rsidRPr="003B1851">
        <w:rPr>
          <w:rFonts w:ascii="Tahoma" w:hAnsi="Tahoma" w:cs="Tahoma"/>
          <w:highlight w:val="yellow"/>
        </w:rPr>
        <w:t xml:space="preserve"> have been required to navigate personal, cultural and structural factors during the transition from being a nurse to a nurse </w:t>
      </w:r>
      <w:r w:rsidR="00BC4CA5" w:rsidRPr="003B1851">
        <w:rPr>
          <w:rFonts w:ascii="Tahoma" w:hAnsi="Tahoma" w:cs="Tahoma"/>
          <w:highlight w:val="yellow"/>
        </w:rPr>
        <w:t xml:space="preserve">AMHP, which are </w:t>
      </w:r>
      <w:r w:rsidR="005A2F83" w:rsidRPr="003B1851">
        <w:rPr>
          <w:rFonts w:ascii="Tahoma" w:hAnsi="Tahoma" w:cs="Tahoma"/>
          <w:highlight w:val="yellow"/>
        </w:rPr>
        <w:t>congruent with Neil Thompsons PCS model (Thompson 1997).</w:t>
      </w:r>
      <w:r w:rsidR="00632133" w:rsidRPr="003B1851">
        <w:rPr>
          <w:rFonts w:ascii="Tahoma" w:hAnsi="Tahoma" w:cs="Tahoma"/>
          <w:highlight w:val="yellow"/>
        </w:rPr>
        <w:t xml:space="preserve"> Structural factors are </w:t>
      </w:r>
      <w:r w:rsidR="00B21922" w:rsidRPr="003B1851">
        <w:rPr>
          <w:rFonts w:ascii="Tahoma" w:hAnsi="Tahoma" w:cs="Tahoma"/>
          <w:highlight w:val="yellow"/>
        </w:rPr>
        <w:t xml:space="preserve">explicitly </w:t>
      </w:r>
      <w:r w:rsidR="00632133" w:rsidRPr="003B1851">
        <w:rPr>
          <w:rFonts w:ascii="Tahoma" w:hAnsi="Tahoma" w:cs="Tahoma"/>
          <w:highlight w:val="yellow"/>
        </w:rPr>
        <w:t xml:space="preserve">highlighted </w:t>
      </w:r>
      <w:r w:rsidR="00460670" w:rsidRPr="003B1851">
        <w:rPr>
          <w:rFonts w:ascii="Tahoma" w:hAnsi="Tahoma" w:cs="Tahoma"/>
          <w:highlight w:val="yellow"/>
        </w:rPr>
        <w:t xml:space="preserve">as </w:t>
      </w:r>
      <w:r w:rsidR="00632133" w:rsidRPr="003B1851">
        <w:rPr>
          <w:rFonts w:ascii="Tahoma" w:hAnsi="Tahoma" w:cs="Tahoma"/>
          <w:highlight w:val="yellow"/>
        </w:rPr>
        <w:t>far greater by participants than personal and cu</w:t>
      </w:r>
      <w:r w:rsidR="00B21922" w:rsidRPr="003B1851">
        <w:rPr>
          <w:rFonts w:ascii="Tahoma" w:hAnsi="Tahoma" w:cs="Tahoma"/>
          <w:highlight w:val="yellow"/>
        </w:rPr>
        <w:t xml:space="preserve">ltural factors, although often they overlap. </w:t>
      </w:r>
    </w:p>
    <w:p w14:paraId="4D1E53EB" w14:textId="43370DB0" w:rsidR="00632133" w:rsidRPr="003B1851" w:rsidRDefault="00632133"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When considering the personal factors that participants experienced</w:t>
      </w:r>
      <w:r w:rsidR="00760BED" w:rsidRPr="003B1851">
        <w:rPr>
          <w:rFonts w:ascii="Tahoma" w:hAnsi="Tahoma" w:cs="Tahoma"/>
          <w:highlight w:val="yellow"/>
        </w:rPr>
        <w:t xml:space="preserve"> there is clear indication that they enjoyed the training</w:t>
      </w:r>
      <w:r w:rsidR="007C4A40" w:rsidRPr="003B1851">
        <w:rPr>
          <w:rFonts w:ascii="Tahoma" w:hAnsi="Tahoma" w:cs="Tahoma"/>
          <w:highlight w:val="yellow"/>
        </w:rPr>
        <w:t>,</w:t>
      </w:r>
      <w:r w:rsidR="00760BED" w:rsidRPr="003B1851">
        <w:rPr>
          <w:rFonts w:ascii="Tahoma" w:hAnsi="Tahoma" w:cs="Tahoma"/>
          <w:highlight w:val="yellow"/>
        </w:rPr>
        <w:t xml:space="preserve"> benefited from the education</w:t>
      </w:r>
      <w:r w:rsidR="007C4A40" w:rsidRPr="003B1851">
        <w:rPr>
          <w:rFonts w:ascii="Tahoma" w:hAnsi="Tahoma" w:cs="Tahoma"/>
          <w:highlight w:val="yellow"/>
        </w:rPr>
        <w:t>al opportunity</w:t>
      </w:r>
      <w:r w:rsidR="00B21922" w:rsidRPr="003B1851">
        <w:rPr>
          <w:rFonts w:ascii="Tahoma" w:hAnsi="Tahoma" w:cs="Tahoma"/>
          <w:highlight w:val="yellow"/>
        </w:rPr>
        <w:t xml:space="preserve"> and been motivated to progress</w:t>
      </w:r>
      <w:r w:rsidR="007C4A40" w:rsidRPr="003B1851">
        <w:rPr>
          <w:rFonts w:ascii="Tahoma" w:hAnsi="Tahoma" w:cs="Tahoma"/>
          <w:highlight w:val="yellow"/>
        </w:rPr>
        <w:t xml:space="preserve">.  </w:t>
      </w:r>
      <w:r w:rsidR="00760BED" w:rsidRPr="003B1851">
        <w:rPr>
          <w:rFonts w:ascii="Tahoma" w:hAnsi="Tahoma" w:cs="Tahoma"/>
          <w:highlight w:val="yellow"/>
        </w:rPr>
        <w:t>I</w:t>
      </w:r>
      <w:r w:rsidRPr="003B1851">
        <w:rPr>
          <w:rFonts w:ascii="Tahoma" w:hAnsi="Tahoma" w:cs="Tahoma"/>
          <w:highlight w:val="yellow"/>
        </w:rPr>
        <w:t>ssues relating to the maintenance of a therapeutic relationships with service users whilst undertaking AMHP work was not highlighted, despite being raised as a factor in the</w:t>
      </w:r>
      <w:r w:rsidR="00760BED" w:rsidRPr="003B1851">
        <w:rPr>
          <w:rFonts w:ascii="Tahoma" w:hAnsi="Tahoma" w:cs="Tahoma"/>
          <w:highlight w:val="yellow"/>
        </w:rPr>
        <w:t xml:space="preserve"> earlier</w:t>
      </w:r>
      <w:r w:rsidRPr="003B1851">
        <w:rPr>
          <w:rFonts w:ascii="Tahoma" w:hAnsi="Tahoma" w:cs="Tahoma"/>
          <w:highlight w:val="yellow"/>
        </w:rPr>
        <w:t xml:space="preserve"> literature. However, the participants did highlight</w:t>
      </w:r>
      <w:r w:rsidR="007C4A40" w:rsidRPr="003B1851">
        <w:rPr>
          <w:rFonts w:ascii="Tahoma" w:hAnsi="Tahoma" w:cs="Tahoma"/>
          <w:highlight w:val="yellow"/>
        </w:rPr>
        <w:t xml:space="preserve"> personal dilemma’s and</w:t>
      </w:r>
      <w:r w:rsidRPr="003B1851">
        <w:rPr>
          <w:rFonts w:ascii="Tahoma" w:hAnsi="Tahoma" w:cs="Tahoma"/>
          <w:highlight w:val="yellow"/>
        </w:rPr>
        <w:t xml:space="preserve"> instances where potential conflicts of interest </w:t>
      </w:r>
      <w:r w:rsidR="007C4A40" w:rsidRPr="003B1851">
        <w:rPr>
          <w:rFonts w:ascii="Tahoma" w:hAnsi="Tahoma" w:cs="Tahoma"/>
          <w:highlight w:val="yellow"/>
        </w:rPr>
        <w:t xml:space="preserve">were </w:t>
      </w:r>
      <w:r w:rsidRPr="003B1851">
        <w:rPr>
          <w:rFonts w:ascii="Tahoma" w:hAnsi="Tahoma" w:cs="Tahoma"/>
          <w:highlight w:val="yellow"/>
        </w:rPr>
        <w:t xml:space="preserve">recognised as they work across frontiers between their regular employment and their AMHP duties. </w:t>
      </w:r>
    </w:p>
    <w:p w14:paraId="2A238F9B" w14:textId="1146F5BC" w:rsidR="00632133" w:rsidRPr="003B1851" w:rsidRDefault="007C4A40"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Participants acknowledged the cultural difference and issues </w:t>
      </w:r>
      <w:r w:rsidR="00817C1F" w:rsidRPr="003B1851">
        <w:rPr>
          <w:rFonts w:ascii="Tahoma" w:hAnsi="Tahoma" w:cs="Tahoma"/>
          <w:highlight w:val="yellow"/>
        </w:rPr>
        <w:t>that</w:t>
      </w:r>
      <w:r w:rsidRPr="003B1851">
        <w:rPr>
          <w:rFonts w:ascii="Tahoma" w:hAnsi="Tahoma" w:cs="Tahoma"/>
          <w:highlight w:val="yellow"/>
        </w:rPr>
        <w:t xml:space="preserve"> they experienced in their training and eventual practice. </w:t>
      </w:r>
      <w:r w:rsidR="00632133" w:rsidRPr="003B1851">
        <w:rPr>
          <w:rFonts w:ascii="Tahoma" w:hAnsi="Tahoma" w:cs="Tahoma"/>
          <w:highlight w:val="yellow"/>
        </w:rPr>
        <w:t xml:space="preserve">Participants articulated that they </w:t>
      </w:r>
      <w:r w:rsidR="00760BED" w:rsidRPr="003B1851">
        <w:rPr>
          <w:rFonts w:ascii="Tahoma" w:hAnsi="Tahoma" w:cs="Tahoma"/>
          <w:highlight w:val="yellow"/>
        </w:rPr>
        <w:t xml:space="preserve">can </w:t>
      </w:r>
      <w:r w:rsidR="00632133" w:rsidRPr="003B1851">
        <w:rPr>
          <w:rFonts w:ascii="Tahoma" w:hAnsi="Tahoma" w:cs="Tahoma"/>
          <w:highlight w:val="yellow"/>
        </w:rPr>
        <w:t xml:space="preserve">bring additional </w:t>
      </w:r>
      <w:r w:rsidR="00632133" w:rsidRPr="003B1851">
        <w:rPr>
          <w:rFonts w:ascii="Tahoma" w:hAnsi="Tahoma" w:cs="Tahoma"/>
          <w:highlight w:val="yellow"/>
        </w:rPr>
        <w:lastRenderedPageBreak/>
        <w:t>knowledge bases to a traditional AMHP team, such as pharmacology, and drawing</w:t>
      </w:r>
      <w:r w:rsidR="00760BED" w:rsidRPr="003B1851">
        <w:rPr>
          <w:rFonts w:ascii="Tahoma" w:hAnsi="Tahoma" w:cs="Tahoma"/>
          <w:highlight w:val="yellow"/>
        </w:rPr>
        <w:t xml:space="preserve"> upon their nursing training more</w:t>
      </w:r>
      <w:r w:rsidR="00632133" w:rsidRPr="003B1851">
        <w:rPr>
          <w:rFonts w:ascii="Tahoma" w:hAnsi="Tahoma" w:cs="Tahoma"/>
          <w:highlight w:val="yellow"/>
        </w:rPr>
        <w:t xml:space="preserve"> generally</w:t>
      </w:r>
      <w:r w:rsidRPr="003B1851">
        <w:rPr>
          <w:rFonts w:ascii="Tahoma" w:hAnsi="Tahoma" w:cs="Tahoma"/>
          <w:highlight w:val="yellow"/>
        </w:rPr>
        <w:t xml:space="preserve"> which would otherwise be absent from the AMHP workforce</w:t>
      </w:r>
      <w:r w:rsidR="00632133" w:rsidRPr="003B1851">
        <w:rPr>
          <w:rFonts w:ascii="Tahoma" w:hAnsi="Tahoma" w:cs="Tahoma"/>
          <w:highlight w:val="yellow"/>
        </w:rPr>
        <w:t>. This may be welcomed</w:t>
      </w:r>
      <w:r w:rsidR="008C2A74" w:rsidRPr="003B1851">
        <w:rPr>
          <w:rFonts w:ascii="Tahoma" w:hAnsi="Tahoma" w:cs="Tahoma"/>
          <w:highlight w:val="yellow"/>
        </w:rPr>
        <w:t xml:space="preserve"> by service users and carers</w:t>
      </w:r>
      <w:r w:rsidR="00632133" w:rsidRPr="003B1851">
        <w:rPr>
          <w:rFonts w:ascii="Tahoma" w:hAnsi="Tahoma" w:cs="Tahoma"/>
          <w:highlight w:val="yellow"/>
        </w:rPr>
        <w:t xml:space="preserve"> given the differing discourses that can be applied to understanding and intervening</w:t>
      </w:r>
      <w:r w:rsidR="008C2A74" w:rsidRPr="003B1851">
        <w:rPr>
          <w:rFonts w:ascii="Tahoma" w:hAnsi="Tahoma" w:cs="Tahoma"/>
          <w:highlight w:val="yellow"/>
        </w:rPr>
        <w:t xml:space="preserve"> when</w:t>
      </w:r>
      <w:r w:rsidR="00632133" w:rsidRPr="003B1851">
        <w:rPr>
          <w:rFonts w:ascii="Tahoma" w:hAnsi="Tahoma" w:cs="Tahoma"/>
          <w:highlight w:val="yellow"/>
        </w:rPr>
        <w:t xml:space="preserve"> a person</w:t>
      </w:r>
      <w:r w:rsidR="008C2A74" w:rsidRPr="003B1851">
        <w:rPr>
          <w:rFonts w:ascii="Tahoma" w:hAnsi="Tahoma" w:cs="Tahoma"/>
          <w:highlight w:val="yellow"/>
        </w:rPr>
        <w:t xml:space="preserve"> is</w:t>
      </w:r>
      <w:r w:rsidR="00632133" w:rsidRPr="003B1851">
        <w:rPr>
          <w:rFonts w:ascii="Tahoma" w:hAnsi="Tahoma" w:cs="Tahoma"/>
          <w:highlight w:val="yellow"/>
        </w:rPr>
        <w:t xml:space="preserve"> </w:t>
      </w:r>
      <w:r w:rsidRPr="003B1851">
        <w:rPr>
          <w:rFonts w:ascii="Tahoma" w:hAnsi="Tahoma" w:cs="Tahoma"/>
          <w:highlight w:val="yellow"/>
        </w:rPr>
        <w:t>experiencing mental d</w:t>
      </w:r>
      <w:r w:rsidR="008C2A74" w:rsidRPr="003B1851">
        <w:rPr>
          <w:rFonts w:ascii="Tahoma" w:hAnsi="Tahoma" w:cs="Tahoma"/>
          <w:highlight w:val="yellow"/>
        </w:rPr>
        <w:t xml:space="preserve">isorder.  Adding to the diversity of AMHP service was highlighted by some participants as a strength given the additional expertise that nursing can also bring. </w:t>
      </w:r>
      <w:r w:rsidR="00817C1F" w:rsidRPr="003B1851">
        <w:rPr>
          <w:rFonts w:ascii="Tahoma" w:hAnsi="Tahoma" w:cs="Tahoma"/>
          <w:highlight w:val="yellow"/>
        </w:rPr>
        <w:t xml:space="preserve">However, some </w:t>
      </w:r>
      <w:r w:rsidR="008C2A74" w:rsidRPr="003B1851">
        <w:rPr>
          <w:rFonts w:ascii="Tahoma" w:hAnsi="Tahoma" w:cs="Tahoma"/>
          <w:highlight w:val="yellow"/>
        </w:rPr>
        <w:t>participants</w:t>
      </w:r>
      <w:r w:rsidR="00817C1F" w:rsidRPr="003B1851">
        <w:rPr>
          <w:rFonts w:ascii="Tahoma" w:hAnsi="Tahoma" w:cs="Tahoma"/>
          <w:highlight w:val="yellow"/>
        </w:rPr>
        <w:t xml:space="preserve"> raised concern about feeling isolated as a nurse AMHP, and </w:t>
      </w:r>
      <w:r w:rsidR="008C2A74" w:rsidRPr="003B1851">
        <w:rPr>
          <w:rFonts w:ascii="Tahoma" w:hAnsi="Tahoma" w:cs="Tahoma"/>
          <w:highlight w:val="yellow"/>
        </w:rPr>
        <w:t xml:space="preserve">this </w:t>
      </w:r>
      <w:r w:rsidR="00817C1F" w:rsidRPr="003B1851">
        <w:rPr>
          <w:rFonts w:ascii="Tahoma" w:hAnsi="Tahoma" w:cs="Tahoma"/>
          <w:highlight w:val="yellow"/>
        </w:rPr>
        <w:t>raises questions about how</w:t>
      </w:r>
      <w:r w:rsidR="008C2A74" w:rsidRPr="003B1851">
        <w:rPr>
          <w:rFonts w:ascii="Tahoma" w:hAnsi="Tahoma" w:cs="Tahoma"/>
          <w:highlight w:val="yellow"/>
        </w:rPr>
        <w:t xml:space="preserve"> to integrate</w:t>
      </w:r>
      <w:r w:rsidR="00817C1F" w:rsidRPr="003B1851">
        <w:rPr>
          <w:rFonts w:ascii="Tahoma" w:hAnsi="Tahoma" w:cs="Tahoma"/>
          <w:highlight w:val="yellow"/>
        </w:rPr>
        <w:t xml:space="preserve"> a diverse</w:t>
      </w:r>
      <w:r w:rsidR="008C2A74" w:rsidRPr="003B1851">
        <w:rPr>
          <w:rFonts w:ascii="Tahoma" w:hAnsi="Tahoma" w:cs="Tahoma"/>
          <w:highlight w:val="yellow"/>
        </w:rPr>
        <w:t xml:space="preserve"> AMHP workforce. </w:t>
      </w:r>
      <w:r w:rsidR="00632133" w:rsidRPr="003B1851">
        <w:rPr>
          <w:rFonts w:ascii="Tahoma" w:hAnsi="Tahoma" w:cs="Tahoma"/>
          <w:highlight w:val="yellow"/>
        </w:rPr>
        <w:t xml:space="preserve"> Bressington, Wells &amp; Graham (2011) found in their study that AMHP training does bring harmonisation across professional backgrounds through </w:t>
      </w:r>
      <w:r w:rsidR="008C2A74" w:rsidRPr="003B1851">
        <w:rPr>
          <w:rFonts w:ascii="Tahoma" w:hAnsi="Tahoma" w:cs="Tahoma"/>
          <w:highlight w:val="yellow"/>
        </w:rPr>
        <w:t>the completion of AMHP training, however this might not be enough to overcome long-standing cultural divides where they exist.</w:t>
      </w:r>
    </w:p>
    <w:p w14:paraId="7845EBBC" w14:textId="7B592B24" w:rsidR="003F1E1A" w:rsidRPr="003B1851" w:rsidRDefault="00BC4CA5" w:rsidP="00291BB8">
      <w:pPr>
        <w:widowControl w:val="0"/>
        <w:autoSpaceDE w:val="0"/>
        <w:autoSpaceDN w:val="0"/>
        <w:adjustRightInd w:val="0"/>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Structurally, t</w:t>
      </w:r>
      <w:r w:rsidR="006D5779" w:rsidRPr="003B1851">
        <w:rPr>
          <w:rFonts w:ascii="Tahoma" w:hAnsi="Tahoma" w:cs="Tahoma"/>
          <w:highlight w:val="yellow"/>
        </w:rPr>
        <w:t xml:space="preserve">he findings suggest that </w:t>
      </w:r>
      <w:r w:rsidR="00E5568B" w:rsidRPr="003B1851">
        <w:rPr>
          <w:rFonts w:ascii="Tahoma" w:hAnsi="Tahoma" w:cs="Tahoma"/>
          <w:highlight w:val="yellow"/>
        </w:rPr>
        <w:t>participants found</w:t>
      </w:r>
      <w:r w:rsidR="006D5779" w:rsidRPr="003B1851">
        <w:rPr>
          <w:rFonts w:ascii="Tahoma" w:hAnsi="Tahoma" w:cs="Tahoma"/>
          <w:highlight w:val="yellow"/>
        </w:rPr>
        <w:t xml:space="preserve"> accessing and applying for the training, agreeing contracts terms, gaining comparative pay an</w:t>
      </w:r>
      <w:r w:rsidR="00760BED" w:rsidRPr="003B1851">
        <w:rPr>
          <w:rFonts w:ascii="Tahoma" w:hAnsi="Tahoma" w:cs="Tahoma"/>
          <w:highlight w:val="yellow"/>
        </w:rPr>
        <w:t xml:space="preserve">d undertaking role challenging. </w:t>
      </w:r>
      <w:r w:rsidR="00D421FE" w:rsidRPr="003B1851">
        <w:rPr>
          <w:rFonts w:ascii="Tahoma" w:hAnsi="Tahoma" w:cs="Tahoma"/>
          <w:highlight w:val="yellow"/>
        </w:rPr>
        <w:t>L</w:t>
      </w:r>
      <w:r w:rsidR="00C7752E" w:rsidRPr="003B1851">
        <w:rPr>
          <w:rFonts w:ascii="Tahoma" w:hAnsi="Tahoma" w:cs="Tahoma"/>
          <w:highlight w:val="yellow"/>
        </w:rPr>
        <w:t xml:space="preserve">ocal authorities across England and Wales do not have consistent </w:t>
      </w:r>
      <w:r w:rsidR="00E510BF" w:rsidRPr="003B1851">
        <w:rPr>
          <w:rFonts w:ascii="Tahoma" w:hAnsi="Tahoma" w:cs="Tahoma"/>
          <w:highlight w:val="yellow"/>
        </w:rPr>
        <w:t xml:space="preserve">national remuneration </w:t>
      </w:r>
      <w:r w:rsidR="00574A6B" w:rsidRPr="003B1851">
        <w:rPr>
          <w:rFonts w:ascii="Tahoma" w:hAnsi="Tahoma" w:cs="Tahoma"/>
          <w:highlight w:val="yellow"/>
        </w:rPr>
        <w:t xml:space="preserve">arrangements </w:t>
      </w:r>
      <w:r w:rsidR="00E510BF" w:rsidRPr="003B1851">
        <w:rPr>
          <w:rFonts w:ascii="Tahoma" w:hAnsi="Tahoma" w:cs="Tahoma"/>
          <w:highlight w:val="yellow"/>
        </w:rPr>
        <w:t>for social workers</w:t>
      </w:r>
      <w:r w:rsidR="00574A6B" w:rsidRPr="003B1851">
        <w:rPr>
          <w:rFonts w:ascii="Tahoma" w:hAnsi="Tahoma" w:cs="Tahoma"/>
          <w:highlight w:val="yellow"/>
        </w:rPr>
        <w:t>,</w:t>
      </w:r>
      <w:r w:rsidR="00C22E94" w:rsidRPr="003B1851">
        <w:rPr>
          <w:rFonts w:ascii="Tahoma" w:hAnsi="Tahoma" w:cs="Tahoma"/>
          <w:highlight w:val="yellow"/>
        </w:rPr>
        <w:t xml:space="preserve"> compared with nurses under the NHS </w:t>
      </w:r>
      <w:r w:rsidR="00574A6B" w:rsidRPr="003B1851">
        <w:rPr>
          <w:rFonts w:ascii="Tahoma" w:hAnsi="Tahoma" w:cs="Tahoma"/>
          <w:highlight w:val="yellow"/>
        </w:rPr>
        <w:t xml:space="preserve">Agenda for Change </w:t>
      </w:r>
      <w:r w:rsidR="00C22E94" w:rsidRPr="003B1851">
        <w:rPr>
          <w:rFonts w:ascii="Tahoma" w:hAnsi="Tahoma" w:cs="Tahoma"/>
          <w:highlight w:val="yellow"/>
        </w:rPr>
        <w:t>(NHS Employers 2018)</w:t>
      </w:r>
      <w:r w:rsidR="00574A6B" w:rsidRPr="003B1851">
        <w:rPr>
          <w:rFonts w:ascii="Tahoma" w:hAnsi="Tahoma" w:cs="Tahoma"/>
          <w:highlight w:val="yellow"/>
        </w:rPr>
        <w:t xml:space="preserve">. It is </w:t>
      </w:r>
      <w:r w:rsidR="00D421FE" w:rsidRPr="003B1851">
        <w:rPr>
          <w:rFonts w:ascii="Tahoma" w:hAnsi="Tahoma" w:cs="Tahoma"/>
          <w:highlight w:val="yellow"/>
        </w:rPr>
        <w:t xml:space="preserve">therefore </w:t>
      </w:r>
      <w:r w:rsidR="00574A6B" w:rsidRPr="003B1851">
        <w:rPr>
          <w:rFonts w:ascii="Tahoma" w:hAnsi="Tahoma" w:cs="Tahoma"/>
          <w:highlight w:val="yellow"/>
        </w:rPr>
        <w:t xml:space="preserve">unlikely that parity of pay can be achieved </w:t>
      </w:r>
      <w:r w:rsidR="00D421FE" w:rsidRPr="003B1851">
        <w:rPr>
          <w:rFonts w:ascii="Tahoma" w:hAnsi="Tahoma" w:cs="Tahoma"/>
          <w:highlight w:val="yellow"/>
        </w:rPr>
        <w:t xml:space="preserve">between nursing and social work </w:t>
      </w:r>
      <w:r w:rsidR="00574A6B" w:rsidRPr="003B1851">
        <w:rPr>
          <w:rFonts w:ascii="Tahoma" w:hAnsi="Tahoma" w:cs="Tahoma"/>
          <w:highlight w:val="yellow"/>
        </w:rPr>
        <w:t>when undertaking AMHP work</w:t>
      </w:r>
      <w:r w:rsidR="00D421FE" w:rsidRPr="003B1851">
        <w:rPr>
          <w:rFonts w:ascii="Tahoma" w:hAnsi="Tahoma" w:cs="Tahoma"/>
          <w:highlight w:val="yellow"/>
        </w:rPr>
        <w:t xml:space="preserve"> without a national negotiation for social work as well</w:t>
      </w:r>
      <w:r w:rsidR="00C22E94" w:rsidRPr="003B1851">
        <w:rPr>
          <w:rFonts w:ascii="Tahoma" w:hAnsi="Tahoma" w:cs="Tahoma"/>
          <w:highlight w:val="yellow"/>
        </w:rPr>
        <w:t xml:space="preserve"> which is comparable to Agenda for Change</w:t>
      </w:r>
      <w:r w:rsidR="00D421FE" w:rsidRPr="003B1851">
        <w:rPr>
          <w:rFonts w:ascii="Tahoma" w:hAnsi="Tahoma" w:cs="Tahoma"/>
          <w:highlight w:val="yellow"/>
        </w:rPr>
        <w:t xml:space="preserve">. </w:t>
      </w:r>
      <w:r w:rsidR="00574A6B" w:rsidRPr="003B1851">
        <w:rPr>
          <w:rFonts w:ascii="Tahoma" w:hAnsi="Tahoma" w:cs="Tahoma"/>
          <w:highlight w:val="yellow"/>
        </w:rPr>
        <w:t xml:space="preserve">To this </w:t>
      </w:r>
      <w:r w:rsidR="00C42C76" w:rsidRPr="003B1851">
        <w:rPr>
          <w:rFonts w:ascii="Tahoma" w:hAnsi="Tahoma" w:cs="Tahoma"/>
          <w:highlight w:val="yellow"/>
        </w:rPr>
        <w:t>end,</w:t>
      </w:r>
      <w:r w:rsidR="00574A6B" w:rsidRPr="003B1851">
        <w:rPr>
          <w:rFonts w:ascii="Tahoma" w:hAnsi="Tahoma" w:cs="Tahoma"/>
          <w:highlight w:val="yellow"/>
        </w:rPr>
        <w:t xml:space="preserve"> it may offer a disincentive to nursing colleague to undertake AMHP work with no prospect of add</w:t>
      </w:r>
      <w:r w:rsidR="00D421FE" w:rsidRPr="003B1851">
        <w:rPr>
          <w:rFonts w:ascii="Tahoma" w:hAnsi="Tahoma" w:cs="Tahoma"/>
          <w:highlight w:val="yellow"/>
        </w:rPr>
        <w:t>itional financial compensation</w:t>
      </w:r>
      <w:r w:rsidR="00FF79B4" w:rsidRPr="003B1851">
        <w:rPr>
          <w:rFonts w:ascii="Tahoma" w:hAnsi="Tahoma" w:cs="Tahoma"/>
          <w:highlight w:val="yellow"/>
        </w:rPr>
        <w:t>,</w:t>
      </w:r>
      <w:r w:rsidR="00D421FE" w:rsidRPr="003B1851">
        <w:rPr>
          <w:rFonts w:ascii="Tahoma" w:hAnsi="Tahoma" w:cs="Tahoma"/>
          <w:highlight w:val="yellow"/>
        </w:rPr>
        <w:t xml:space="preserve"> as social workers may be paid less. </w:t>
      </w:r>
      <w:r w:rsidR="00FF79B4" w:rsidRPr="003B1851">
        <w:rPr>
          <w:rFonts w:ascii="Tahoma" w:hAnsi="Tahoma" w:cs="Tahoma"/>
          <w:highlight w:val="yellow"/>
        </w:rPr>
        <w:t xml:space="preserve">Although perhaps with the current governments intention to better integrate health and social care nationally, this issue may be seen as one that can be overcome through the green paper proposed for the summer of 2018. </w:t>
      </w:r>
    </w:p>
    <w:p w14:paraId="07C65232" w14:textId="40800276" w:rsidR="00E5568B" w:rsidRPr="003B1851" w:rsidRDefault="000E120F"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A</w:t>
      </w:r>
      <w:r w:rsidR="00485629" w:rsidRPr="003B1851">
        <w:rPr>
          <w:rFonts w:ascii="Tahoma" w:hAnsi="Tahoma" w:cs="Tahoma"/>
          <w:highlight w:val="yellow"/>
        </w:rPr>
        <w:t xml:space="preserve"> rece</w:t>
      </w:r>
      <w:r w:rsidRPr="003B1851">
        <w:rPr>
          <w:rFonts w:ascii="Tahoma" w:hAnsi="Tahoma" w:cs="Tahoma"/>
          <w:highlight w:val="yellow"/>
        </w:rPr>
        <w:t>nt ADASS study (ADASS 2018) highlighted the different</w:t>
      </w:r>
      <w:r w:rsidR="00485629" w:rsidRPr="003B1851">
        <w:rPr>
          <w:rFonts w:ascii="Tahoma" w:hAnsi="Tahoma" w:cs="Tahoma"/>
          <w:highlight w:val="yellow"/>
        </w:rPr>
        <w:t xml:space="preserve"> </w:t>
      </w:r>
      <w:r w:rsidRPr="003B1851">
        <w:rPr>
          <w:rFonts w:ascii="Tahoma" w:hAnsi="Tahoma" w:cs="Tahoma"/>
          <w:highlight w:val="yellow"/>
        </w:rPr>
        <w:t>ways</w:t>
      </w:r>
      <w:r w:rsidR="00485629" w:rsidRPr="003B1851">
        <w:rPr>
          <w:rFonts w:ascii="Tahoma" w:hAnsi="Tahoma" w:cs="Tahoma"/>
          <w:highlight w:val="yellow"/>
        </w:rPr>
        <w:t xml:space="preserve"> AMHP services are structured nationally. </w:t>
      </w:r>
      <w:r w:rsidR="00BB0670" w:rsidRPr="003B1851">
        <w:rPr>
          <w:rFonts w:ascii="Tahoma" w:hAnsi="Tahoma" w:cs="Tahoma"/>
          <w:highlight w:val="yellow"/>
        </w:rPr>
        <w:t>AMHP services are diverse across England and Wales from dedicated teams</w:t>
      </w:r>
      <w:r w:rsidR="00727084" w:rsidRPr="003B1851">
        <w:rPr>
          <w:rFonts w:ascii="Tahoma" w:hAnsi="Tahoma" w:cs="Tahoma"/>
          <w:highlight w:val="yellow"/>
        </w:rPr>
        <w:t xml:space="preserve"> </w:t>
      </w:r>
      <w:r w:rsidR="00FF79B4" w:rsidRPr="003B1851">
        <w:rPr>
          <w:rFonts w:ascii="Tahoma" w:hAnsi="Tahoma" w:cs="Tahoma"/>
          <w:highlight w:val="yellow"/>
        </w:rPr>
        <w:t xml:space="preserve">focused on mental health act work alone </w:t>
      </w:r>
      <w:r w:rsidR="00727084" w:rsidRPr="003B1851">
        <w:rPr>
          <w:rFonts w:ascii="Tahoma" w:hAnsi="Tahoma" w:cs="Tahoma"/>
          <w:highlight w:val="yellow"/>
        </w:rPr>
        <w:t>working 9-5</w:t>
      </w:r>
      <w:r w:rsidR="00FF79B4" w:rsidRPr="003B1851">
        <w:rPr>
          <w:rFonts w:ascii="Tahoma" w:hAnsi="Tahoma" w:cs="Tahoma"/>
          <w:highlight w:val="yellow"/>
        </w:rPr>
        <w:t xml:space="preserve"> (with supported from Emergency </w:t>
      </w:r>
      <w:r w:rsidR="00FF79B4" w:rsidRPr="003B1851">
        <w:rPr>
          <w:rFonts w:ascii="Tahoma" w:hAnsi="Tahoma" w:cs="Tahoma"/>
          <w:highlight w:val="yellow"/>
        </w:rPr>
        <w:lastRenderedPageBreak/>
        <w:t xml:space="preserve">Duty Teams outside these hours) to 24 hour services working around the clock. </w:t>
      </w:r>
      <w:r w:rsidR="00574A6B" w:rsidRPr="003B1851">
        <w:rPr>
          <w:rFonts w:ascii="Tahoma" w:hAnsi="Tahoma" w:cs="Tahoma"/>
          <w:highlight w:val="yellow"/>
        </w:rPr>
        <w:t xml:space="preserve"> </w:t>
      </w:r>
      <w:r w:rsidR="00FF79B4" w:rsidRPr="003B1851">
        <w:rPr>
          <w:rFonts w:ascii="Tahoma" w:hAnsi="Tahoma" w:cs="Tahoma"/>
          <w:highlight w:val="yellow"/>
        </w:rPr>
        <w:t>T</w:t>
      </w:r>
      <w:r w:rsidR="00BB0670" w:rsidRPr="003B1851">
        <w:rPr>
          <w:rFonts w:ascii="Tahoma" w:hAnsi="Tahoma" w:cs="Tahoma"/>
          <w:highlight w:val="yellow"/>
        </w:rPr>
        <w:t xml:space="preserve">o HUB models </w:t>
      </w:r>
      <w:r w:rsidR="00727084" w:rsidRPr="003B1851">
        <w:rPr>
          <w:rFonts w:ascii="Tahoma" w:hAnsi="Tahoma" w:cs="Tahoma"/>
          <w:highlight w:val="yellow"/>
        </w:rPr>
        <w:t>where AMHPs are called upon only when needed to undertake a mental health act assessment, leaving their substantive role</w:t>
      </w:r>
      <w:r w:rsidR="00FF79B4" w:rsidRPr="003B1851">
        <w:rPr>
          <w:rFonts w:ascii="Tahoma" w:hAnsi="Tahoma" w:cs="Tahoma"/>
          <w:highlight w:val="yellow"/>
        </w:rPr>
        <w:t xml:space="preserve"> for a</w:t>
      </w:r>
      <w:r w:rsidR="00727084" w:rsidRPr="003B1851">
        <w:rPr>
          <w:rFonts w:ascii="Tahoma" w:hAnsi="Tahoma" w:cs="Tahoma"/>
          <w:highlight w:val="yellow"/>
        </w:rPr>
        <w:t xml:space="preserve"> time t</w:t>
      </w:r>
      <w:r w:rsidR="00FF79B4" w:rsidRPr="003B1851">
        <w:rPr>
          <w:rFonts w:ascii="Tahoma" w:hAnsi="Tahoma" w:cs="Tahoma"/>
          <w:highlight w:val="yellow"/>
        </w:rPr>
        <w:t>o undertaken that</w:t>
      </w:r>
      <w:r w:rsidR="00727084" w:rsidRPr="003B1851">
        <w:rPr>
          <w:rFonts w:ascii="Tahoma" w:hAnsi="Tahoma" w:cs="Tahoma"/>
          <w:highlight w:val="yellow"/>
        </w:rPr>
        <w:t xml:space="preserve"> assessment. AMHP services can also be supported by </w:t>
      </w:r>
      <w:r w:rsidR="00BB0670" w:rsidRPr="003B1851">
        <w:rPr>
          <w:rFonts w:ascii="Tahoma" w:hAnsi="Tahoma" w:cs="Tahoma"/>
          <w:highlight w:val="yellow"/>
        </w:rPr>
        <w:t>sessional AMHPs</w:t>
      </w:r>
      <w:r w:rsidR="00727084" w:rsidRPr="003B1851">
        <w:rPr>
          <w:rFonts w:ascii="Tahoma" w:hAnsi="Tahoma" w:cs="Tahoma"/>
          <w:highlight w:val="yellow"/>
        </w:rPr>
        <w:t xml:space="preserve"> working one day a period on a rota</w:t>
      </w:r>
      <w:r w:rsidR="00FF79B4" w:rsidRPr="003B1851">
        <w:rPr>
          <w:rFonts w:ascii="Tahoma" w:hAnsi="Tahoma" w:cs="Tahoma"/>
          <w:highlight w:val="yellow"/>
        </w:rPr>
        <w:t xml:space="preserve"> to be additionally called upon when needed. </w:t>
      </w:r>
    </w:p>
    <w:p w14:paraId="0EB6FF8A" w14:textId="0006DE2A" w:rsidR="005D58A0" w:rsidRPr="003B1851" w:rsidRDefault="005D58A0"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 xml:space="preserve">The challenges faced by nursing AMHP working within these structures may differ according to their structure. For instance, nurses may find working for a local authority one day at a time or when called upon </w:t>
      </w:r>
      <w:r w:rsidR="00AC63FB" w:rsidRPr="003B1851">
        <w:rPr>
          <w:rFonts w:ascii="Tahoma" w:hAnsi="Tahoma" w:cs="Tahoma"/>
          <w:highlight w:val="yellow"/>
        </w:rPr>
        <w:t xml:space="preserve">challenging; due to balancing </w:t>
      </w:r>
      <w:r w:rsidRPr="003B1851">
        <w:rPr>
          <w:rFonts w:ascii="Tahoma" w:hAnsi="Tahoma" w:cs="Tahoma"/>
          <w:highlight w:val="yellow"/>
        </w:rPr>
        <w:t xml:space="preserve">their substantive </w:t>
      </w:r>
      <w:r w:rsidR="00AC63FB" w:rsidRPr="003B1851">
        <w:rPr>
          <w:rFonts w:ascii="Tahoma" w:hAnsi="Tahoma" w:cs="Tahoma"/>
          <w:highlight w:val="yellow"/>
        </w:rPr>
        <w:t xml:space="preserve">NHS </w:t>
      </w:r>
      <w:r w:rsidRPr="003B1851">
        <w:rPr>
          <w:rFonts w:ascii="Tahoma" w:hAnsi="Tahoma" w:cs="Tahoma"/>
          <w:highlight w:val="yellow"/>
        </w:rPr>
        <w:t>nursing duties as well</w:t>
      </w:r>
      <w:r w:rsidR="00AC63FB" w:rsidRPr="003B1851">
        <w:rPr>
          <w:rFonts w:ascii="Tahoma" w:hAnsi="Tahoma" w:cs="Tahoma"/>
          <w:highlight w:val="yellow"/>
        </w:rPr>
        <w:t xml:space="preserve"> if AMHP work cannot be contained within the duty day. </w:t>
      </w:r>
      <w:r w:rsidR="000003E2" w:rsidRPr="003B1851">
        <w:rPr>
          <w:rFonts w:ascii="Tahoma" w:hAnsi="Tahoma" w:cs="Tahoma"/>
          <w:highlight w:val="yellow"/>
        </w:rPr>
        <w:t xml:space="preserve"> </w:t>
      </w:r>
      <w:r w:rsidRPr="003B1851">
        <w:rPr>
          <w:rFonts w:ascii="Tahoma" w:hAnsi="Tahoma" w:cs="Tahoma"/>
          <w:highlight w:val="yellow"/>
        </w:rPr>
        <w:t xml:space="preserve">In this </w:t>
      </w:r>
      <w:r w:rsidR="00C42C76" w:rsidRPr="003B1851">
        <w:rPr>
          <w:rFonts w:ascii="Tahoma" w:hAnsi="Tahoma" w:cs="Tahoma"/>
          <w:highlight w:val="yellow"/>
        </w:rPr>
        <w:t>scenario,</w:t>
      </w:r>
      <w:r w:rsidRPr="003B1851">
        <w:rPr>
          <w:rFonts w:ascii="Tahoma" w:hAnsi="Tahoma" w:cs="Tahoma"/>
          <w:highlight w:val="yellow"/>
        </w:rPr>
        <w:t xml:space="preserve"> commissioners would need to consider the implications of when AMHPs work </w:t>
      </w:r>
      <w:r w:rsidR="00AC63FB" w:rsidRPr="003B1851">
        <w:rPr>
          <w:rFonts w:ascii="Tahoma" w:hAnsi="Tahoma" w:cs="Tahoma"/>
          <w:highlight w:val="yellow"/>
        </w:rPr>
        <w:t xml:space="preserve">needs to </w:t>
      </w:r>
      <w:r w:rsidR="00C42C76" w:rsidRPr="003B1851">
        <w:rPr>
          <w:rFonts w:ascii="Tahoma" w:hAnsi="Tahoma" w:cs="Tahoma"/>
          <w:highlight w:val="yellow"/>
        </w:rPr>
        <w:t>continue</w:t>
      </w:r>
      <w:r w:rsidR="00AC63FB" w:rsidRPr="003B1851">
        <w:rPr>
          <w:rFonts w:ascii="Tahoma" w:hAnsi="Tahoma" w:cs="Tahoma"/>
          <w:highlight w:val="yellow"/>
        </w:rPr>
        <w:t xml:space="preserve"> beyond the rotated time due to unavailability of psychiatric </w:t>
      </w:r>
      <w:r w:rsidRPr="003B1851">
        <w:rPr>
          <w:rFonts w:ascii="Tahoma" w:hAnsi="Tahoma" w:cs="Tahoma"/>
          <w:highlight w:val="yellow"/>
        </w:rPr>
        <w:t xml:space="preserve">beds, difficulties in determining </w:t>
      </w:r>
      <w:r w:rsidR="00AC63FB" w:rsidRPr="003B1851">
        <w:rPr>
          <w:rFonts w:ascii="Tahoma" w:hAnsi="Tahoma" w:cs="Tahoma"/>
          <w:highlight w:val="yellow"/>
        </w:rPr>
        <w:t xml:space="preserve">and consulting </w:t>
      </w:r>
      <w:r w:rsidRPr="003B1851">
        <w:rPr>
          <w:rFonts w:ascii="Tahoma" w:hAnsi="Tahoma" w:cs="Tahoma"/>
          <w:highlight w:val="yellow"/>
        </w:rPr>
        <w:t>nearest relatives</w:t>
      </w:r>
      <w:r w:rsidR="00AC63FB" w:rsidRPr="003B1851">
        <w:rPr>
          <w:rFonts w:ascii="Tahoma" w:hAnsi="Tahoma" w:cs="Tahoma"/>
          <w:highlight w:val="yellow"/>
        </w:rPr>
        <w:t xml:space="preserve"> and</w:t>
      </w:r>
      <w:r w:rsidRPr="003B1851">
        <w:rPr>
          <w:rFonts w:ascii="Tahoma" w:hAnsi="Tahoma" w:cs="Tahoma"/>
          <w:highlight w:val="yellow"/>
        </w:rPr>
        <w:t xml:space="preserve"> court appearances</w:t>
      </w:r>
      <w:r w:rsidR="00AC63FB" w:rsidRPr="003B1851">
        <w:rPr>
          <w:rFonts w:ascii="Tahoma" w:hAnsi="Tahoma" w:cs="Tahoma"/>
          <w:highlight w:val="yellow"/>
        </w:rPr>
        <w:t xml:space="preserve"> for example</w:t>
      </w:r>
      <w:r w:rsidRPr="003B1851">
        <w:rPr>
          <w:rFonts w:ascii="Tahoma" w:hAnsi="Tahoma" w:cs="Tahoma"/>
          <w:highlight w:val="yellow"/>
        </w:rPr>
        <w:t xml:space="preserve">. Nurse AMHPs </w:t>
      </w:r>
      <w:r w:rsidR="00F73A23" w:rsidRPr="003B1851">
        <w:rPr>
          <w:rFonts w:ascii="Tahoma" w:hAnsi="Tahoma" w:cs="Tahoma"/>
          <w:highlight w:val="yellow"/>
        </w:rPr>
        <w:t>will need to reflect on how working on a rota</w:t>
      </w:r>
      <w:r w:rsidRPr="003B1851">
        <w:rPr>
          <w:rFonts w:ascii="Tahoma" w:hAnsi="Tahoma" w:cs="Tahoma"/>
          <w:highlight w:val="yellow"/>
        </w:rPr>
        <w:t xml:space="preserve"> may </w:t>
      </w:r>
      <w:r w:rsidR="00C42C76" w:rsidRPr="003B1851">
        <w:rPr>
          <w:rFonts w:ascii="Tahoma" w:hAnsi="Tahoma" w:cs="Tahoma"/>
          <w:highlight w:val="yellow"/>
        </w:rPr>
        <w:t>influence</w:t>
      </w:r>
      <w:r w:rsidRPr="003B1851">
        <w:rPr>
          <w:rFonts w:ascii="Tahoma" w:hAnsi="Tahoma" w:cs="Tahoma"/>
          <w:highlight w:val="yellow"/>
        </w:rPr>
        <w:t xml:space="preserve"> </w:t>
      </w:r>
      <w:r w:rsidR="00C42C76" w:rsidRPr="003B1851">
        <w:rPr>
          <w:rFonts w:ascii="Tahoma" w:hAnsi="Tahoma" w:cs="Tahoma"/>
          <w:highlight w:val="yellow"/>
        </w:rPr>
        <w:t>their</w:t>
      </w:r>
      <w:r w:rsidRPr="003B1851">
        <w:rPr>
          <w:rFonts w:ascii="Tahoma" w:hAnsi="Tahoma" w:cs="Tahoma"/>
          <w:highlight w:val="yellow"/>
        </w:rPr>
        <w:t xml:space="preserve"> decision making as social work as had to do, but with</w:t>
      </w:r>
      <w:r w:rsidR="00AC63FB" w:rsidRPr="003B1851">
        <w:rPr>
          <w:rFonts w:ascii="Tahoma" w:hAnsi="Tahoma" w:cs="Tahoma"/>
          <w:highlight w:val="yellow"/>
        </w:rPr>
        <w:t>out</w:t>
      </w:r>
      <w:r w:rsidRPr="003B1851">
        <w:rPr>
          <w:rFonts w:ascii="Tahoma" w:hAnsi="Tahoma" w:cs="Tahoma"/>
          <w:highlight w:val="yellow"/>
        </w:rPr>
        <w:t xml:space="preserve"> the benefit of working for a single employer. It is likely that a more integrated approach between the NHS and local authorities to the delivery of mental health services may offer a solution to structural difficulties that have been experienced </w:t>
      </w:r>
      <w:r w:rsidR="00F73A23" w:rsidRPr="003B1851">
        <w:rPr>
          <w:rFonts w:ascii="Tahoma" w:hAnsi="Tahoma" w:cs="Tahoma"/>
          <w:highlight w:val="yellow"/>
        </w:rPr>
        <w:t xml:space="preserve">to some </w:t>
      </w:r>
      <w:r w:rsidR="00C42C76" w:rsidRPr="003B1851">
        <w:rPr>
          <w:rFonts w:ascii="Tahoma" w:hAnsi="Tahoma" w:cs="Tahoma"/>
          <w:highlight w:val="yellow"/>
        </w:rPr>
        <w:t>degree;</w:t>
      </w:r>
      <w:r w:rsidR="00F73A23" w:rsidRPr="003B1851">
        <w:rPr>
          <w:rFonts w:ascii="Tahoma" w:hAnsi="Tahoma" w:cs="Tahoma"/>
          <w:highlight w:val="yellow"/>
        </w:rPr>
        <w:t xml:space="preserve"> </w:t>
      </w:r>
      <w:r w:rsidR="00C42C76" w:rsidRPr="003B1851">
        <w:rPr>
          <w:rFonts w:ascii="Tahoma" w:hAnsi="Tahoma" w:cs="Tahoma"/>
          <w:highlight w:val="yellow"/>
        </w:rPr>
        <w:t>however,</w:t>
      </w:r>
      <w:r w:rsidR="00F73A23" w:rsidRPr="003B1851">
        <w:rPr>
          <w:rFonts w:ascii="Tahoma" w:hAnsi="Tahoma" w:cs="Tahoma"/>
          <w:highlight w:val="yellow"/>
        </w:rPr>
        <w:t xml:space="preserve"> the local authority still currently remains responsible for AMHP work regardless of which profession is undertaking it. </w:t>
      </w:r>
    </w:p>
    <w:p w14:paraId="7221D15B" w14:textId="69A222D5" w:rsidR="00D421FE" w:rsidRPr="003B1851" w:rsidRDefault="00760BED"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Overall, s</w:t>
      </w:r>
      <w:r w:rsidR="005D58A0" w:rsidRPr="003B1851">
        <w:rPr>
          <w:rFonts w:ascii="Tahoma" w:hAnsi="Tahoma" w:cs="Tahoma"/>
          <w:highlight w:val="yellow"/>
        </w:rPr>
        <w:t xml:space="preserve">eeking to resolve these </w:t>
      </w:r>
      <w:r w:rsidRPr="003B1851">
        <w:rPr>
          <w:rFonts w:ascii="Tahoma" w:hAnsi="Tahoma" w:cs="Tahoma"/>
          <w:highlight w:val="yellow"/>
        </w:rPr>
        <w:t>personal, cultural and structural factors</w:t>
      </w:r>
      <w:r w:rsidR="005D58A0" w:rsidRPr="003B1851">
        <w:rPr>
          <w:rFonts w:ascii="Tahoma" w:hAnsi="Tahoma" w:cs="Tahoma"/>
          <w:highlight w:val="yellow"/>
        </w:rPr>
        <w:t xml:space="preserve"> may be brought about by seeking to understand the motivations of nurses, NHS and local authorities to train nurse AMHPs and support them to practice. </w:t>
      </w:r>
      <w:r w:rsidR="00D421FE" w:rsidRPr="003B1851">
        <w:rPr>
          <w:rFonts w:ascii="Tahoma" w:hAnsi="Tahoma" w:cs="Tahoma"/>
          <w:highlight w:val="yellow"/>
        </w:rPr>
        <w:t xml:space="preserve">These could be framed in this way, firstly why do nurses wish to gain the status of an AMHP. </w:t>
      </w:r>
      <w:r w:rsidR="00C42C76" w:rsidRPr="003B1851">
        <w:rPr>
          <w:rFonts w:ascii="Tahoma" w:hAnsi="Tahoma" w:cs="Tahoma"/>
          <w:highlight w:val="yellow"/>
        </w:rPr>
        <w:t>Secondly,</w:t>
      </w:r>
      <w:r w:rsidR="00D421FE" w:rsidRPr="003B1851">
        <w:rPr>
          <w:rFonts w:ascii="Tahoma" w:hAnsi="Tahoma" w:cs="Tahoma"/>
          <w:highlight w:val="yellow"/>
        </w:rPr>
        <w:t xml:space="preserve"> why would an NHS Trust want to sponsor and support a nurse to train and eventually practice as an </w:t>
      </w:r>
      <w:r w:rsidR="00C42C76" w:rsidRPr="003B1851">
        <w:rPr>
          <w:rFonts w:ascii="Tahoma" w:hAnsi="Tahoma" w:cs="Tahoma"/>
          <w:highlight w:val="yellow"/>
        </w:rPr>
        <w:t>AMHP?</w:t>
      </w:r>
      <w:r w:rsidR="00D421FE" w:rsidRPr="003B1851">
        <w:rPr>
          <w:rFonts w:ascii="Tahoma" w:hAnsi="Tahoma" w:cs="Tahoma"/>
          <w:highlight w:val="yellow"/>
        </w:rPr>
        <w:t xml:space="preserve"> </w:t>
      </w:r>
      <w:r w:rsidR="00C42C76" w:rsidRPr="003B1851">
        <w:rPr>
          <w:rFonts w:ascii="Tahoma" w:hAnsi="Tahoma" w:cs="Tahoma"/>
          <w:highlight w:val="yellow"/>
        </w:rPr>
        <w:t>Thirdly,</w:t>
      </w:r>
      <w:r w:rsidR="00D421FE" w:rsidRPr="003B1851">
        <w:rPr>
          <w:rFonts w:ascii="Tahoma" w:hAnsi="Tahoma" w:cs="Tahoma"/>
          <w:highlight w:val="yellow"/>
        </w:rPr>
        <w:t xml:space="preserve"> why would a local authority want to approve a nurse to practice as an AMHP and support them in practice? Answering these questions may assist policy makers and commissioners to identify with the </w:t>
      </w:r>
      <w:r w:rsidR="00D421FE" w:rsidRPr="003B1851">
        <w:rPr>
          <w:rFonts w:ascii="Tahoma" w:hAnsi="Tahoma" w:cs="Tahoma"/>
          <w:highlight w:val="yellow"/>
        </w:rPr>
        <w:lastRenderedPageBreak/>
        <w:t xml:space="preserve">factors that the participants have highlighted in this study and then identify what needs to be undertaken to overcome them. </w:t>
      </w:r>
    </w:p>
    <w:p w14:paraId="6929FDCF" w14:textId="6244985C" w:rsidR="00A72D63" w:rsidRPr="003B1851" w:rsidRDefault="004D5AD1"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None of the participants that took part in this study we</w:t>
      </w:r>
      <w:r w:rsidR="00714ED2" w:rsidRPr="003B1851">
        <w:rPr>
          <w:rFonts w:ascii="Tahoma" w:hAnsi="Tahoma" w:cs="Tahoma"/>
          <w:highlight w:val="yellow"/>
        </w:rPr>
        <w:t>re</w:t>
      </w:r>
      <w:r w:rsidRPr="003B1851">
        <w:rPr>
          <w:rFonts w:ascii="Tahoma" w:hAnsi="Tahoma" w:cs="Tahoma"/>
          <w:highlight w:val="yellow"/>
        </w:rPr>
        <w:t xml:space="preserve"> AMHP lead</w:t>
      </w:r>
      <w:r w:rsidR="00714ED2" w:rsidRPr="003B1851">
        <w:rPr>
          <w:rFonts w:ascii="Tahoma" w:hAnsi="Tahoma" w:cs="Tahoma"/>
          <w:highlight w:val="yellow"/>
        </w:rPr>
        <w:t xml:space="preserve">s or AMHP practice assessors. This raises an interesting point that if nurses have struggled to get off the starting blocks into AMHP practice, how they will become part of the AMHP leadership either nationally or locally. It needs to be considered whether the potential for a nurse, psychologists or occupational therapists to become an AMHP, has fallen into the same remit of law </w:t>
      </w:r>
      <w:r w:rsidR="005C0802" w:rsidRPr="003B1851">
        <w:rPr>
          <w:rFonts w:ascii="Tahoma" w:hAnsi="Tahoma" w:cs="Tahoma"/>
          <w:highlight w:val="yellow"/>
        </w:rPr>
        <w:t xml:space="preserve">as the nearest relatives power to detain. </w:t>
      </w:r>
      <w:r w:rsidR="00714ED2" w:rsidRPr="003B1851">
        <w:rPr>
          <w:rFonts w:ascii="Tahoma" w:hAnsi="Tahoma" w:cs="Tahoma"/>
          <w:highlight w:val="yellow"/>
        </w:rPr>
        <w:t xml:space="preserve">The legal provision is there, but it is not </w:t>
      </w:r>
      <w:r w:rsidR="005C0802" w:rsidRPr="003B1851">
        <w:rPr>
          <w:rFonts w:ascii="Tahoma" w:hAnsi="Tahoma" w:cs="Tahoma"/>
          <w:highlight w:val="yellow"/>
        </w:rPr>
        <w:t xml:space="preserve">often </w:t>
      </w:r>
      <w:r w:rsidR="00714ED2" w:rsidRPr="003B1851">
        <w:rPr>
          <w:rFonts w:ascii="Tahoma" w:hAnsi="Tahoma" w:cs="Tahoma"/>
          <w:highlight w:val="yellow"/>
        </w:rPr>
        <w:t>used</w:t>
      </w:r>
      <w:r w:rsidR="005C0802" w:rsidRPr="003B1851">
        <w:rPr>
          <w:rFonts w:ascii="Tahoma" w:hAnsi="Tahoma" w:cs="Tahoma"/>
          <w:highlight w:val="yellow"/>
        </w:rPr>
        <w:t xml:space="preserve">.  </w:t>
      </w:r>
    </w:p>
    <w:p w14:paraId="0AFACAA8" w14:textId="77777777" w:rsidR="00624853" w:rsidRPr="003B1851" w:rsidRDefault="00AC0158" w:rsidP="00291BB8">
      <w:pPr>
        <w:spacing w:before="100" w:beforeAutospacing="1" w:after="100" w:afterAutospacing="1" w:line="480" w:lineRule="auto"/>
        <w:jc w:val="both"/>
        <w:rPr>
          <w:rFonts w:ascii="Tahoma" w:hAnsi="Tahoma" w:cs="Tahoma"/>
          <w:b/>
          <w:highlight w:val="yellow"/>
        </w:rPr>
      </w:pPr>
      <w:r w:rsidRPr="003B1851">
        <w:rPr>
          <w:rFonts w:ascii="Tahoma" w:hAnsi="Tahoma" w:cs="Tahoma"/>
          <w:b/>
          <w:highlight w:val="yellow"/>
        </w:rPr>
        <w:t>Conclusion</w:t>
      </w:r>
    </w:p>
    <w:p w14:paraId="753155E7" w14:textId="7E9180BA" w:rsidR="005D0F57" w:rsidRPr="003B1851" w:rsidRDefault="00042F06" w:rsidP="00291BB8">
      <w:pPr>
        <w:spacing w:before="100" w:beforeAutospacing="1" w:after="100" w:afterAutospacing="1" w:line="480" w:lineRule="auto"/>
        <w:jc w:val="both"/>
        <w:rPr>
          <w:rFonts w:ascii="Tahoma" w:hAnsi="Tahoma" w:cs="Tahoma"/>
          <w:highlight w:val="yellow"/>
        </w:rPr>
      </w:pPr>
      <w:r w:rsidRPr="003B1851">
        <w:rPr>
          <w:rFonts w:ascii="Tahoma" w:hAnsi="Tahoma" w:cs="Tahoma"/>
          <w:highlight w:val="yellow"/>
        </w:rPr>
        <w:t>Although the MHA is currently under review</w:t>
      </w:r>
      <w:r w:rsidR="004A160D" w:rsidRPr="003B1851">
        <w:rPr>
          <w:rFonts w:ascii="Tahoma" w:hAnsi="Tahoma" w:cs="Tahoma"/>
          <w:highlight w:val="yellow"/>
        </w:rPr>
        <w:t xml:space="preserve"> (DoHSC 2018) </w:t>
      </w:r>
      <w:r w:rsidRPr="003B1851">
        <w:rPr>
          <w:rFonts w:ascii="Tahoma" w:hAnsi="Tahoma" w:cs="Tahoma"/>
          <w:highlight w:val="yellow"/>
        </w:rPr>
        <w:t>it is unlikely that</w:t>
      </w:r>
      <w:r w:rsidR="004126CA" w:rsidRPr="003B1851">
        <w:rPr>
          <w:rFonts w:ascii="Tahoma" w:hAnsi="Tahoma" w:cs="Tahoma"/>
          <w:highlight w:val="yellow"/>
        </w:rPr>
        <w:t xml:space="preserve"> </w:t>
      </w:r>
      <w:r w:rsidRPr="003B1851">
        <w:rPr>
          <w:rFonts w:ascii="Tahoma" w:hAnsi="Tahoma" w:cs="Tahoma"/>
          <w:highlight w:val="yellow"/>
        </w:rPr>
        <w:t xml:space="preserve">the government </w:t>
      </w:r>
      <w:r w:rsidR="00F85C0A" w:rsidRPr="003B1851">
        <w:rPr>
          <w:rFonts w:ascii="Tahoma" w:hAnsi="Tahoma" w:cs="Tahoma"/>
          <w:highlight w:val="yellow"/>
        </w:rPr>
        <w:t xml:space="preserve">will </w:t>
      </w:r>
      <w:r w:rsidRPr="003B1851">
        <w:rPr>
          <w:rFonts w:ascii="Tahoma" w:hAnsi="Tahoma" w:cs="Tahoma"/>
          <w:highlight w:val="yellow"/>
        </w:rPr>
        <w:t>make a decisi</w:t>
      </w:r>
      <w:r w:rsidR="003639EB" w:rsidRPr="003B1851">
        <w:rPr>
          <w:rFonts w:ascii="Tahoma" w:hAnsi="Tahoma" w:cs="Tahoma"/>
          <w:highlight w:val="yellow"/>
        </w:rPr>
        <w:t>on to reduce workforce capacity by returning the role to social work</w:t>
      </w:r>
      <w:r w:rsidR="00F85C0A" w:rsidRPr="003B1851">
        <w:rPr>
          <w:rFonts w:ascii="Tahoma" w:hAnsi="Tahoma" w:cs="Tahoma"/>
          <w:highlight w:val="yellow"/>
        </w:rPr>
        <w:t>ers</w:t>
      </w:r>
      <w:r w:rsidR="003639EB" w:rsidRPr="003B1851">
        <w:rPr>
          <w:rFonts w:ascii="Tahoma" w:hAnsi="Tahoma" w:cs="Tahoma"/>
          <w:highlight w:val="yellow"/>
        </w:rPr>
        <w:t xml:space="preserve"> alone</w:t>
      </w:r>
      <w:r w:rsidRPr="003B1851">
        <w:rPr>
          <w:rFonts w:ascii="Tahoma" w:hAnsi="Tahoma" w:cs="Tahoma"/>
          <w:highlight w:val="yellow"/>
        </w:rPr>
        <w:t xml:space="preserve">. </w:t>
      </w:r>
      <w:r w:rsidR="00C84E2E" w:rsidRPr="003B1851">
        <w:rPr>
          <w:rFonts w:ascii="Tahoma" w:hAnsi="Tahoma" w:cs="Tahoma"/>
          <w:highlight w:val="yellow"/>
        </w:rPr>
        <w:t xml:space="preserve">Therefore, developing career pathways for nurses </w:t>
      </w:r>
      <w:r w:rsidR="006C079E" w:rsidRPr="003B1851">
        <w:rPr>
          <w:rFonts w:ascii="Tahoma" w:hAnsi="Tahoma" w:cs="Tahoma"/>
          <w:highlight w:val="yellow"/>
        </w:rPr>
        <w:t>to move</w:t>
      </w:r>
      <w:r w:rsidR="00C84E2E" w:rsidRPr="003B1851">
        <w:rPr>
          <w:rFonts w:ascii="Tahoma" w:hAnsi="Tahoma" w:cs="Tahoma"/>
          <w:highlight w:val="yellow"/>
        </w:rPr>
        <w:t xml:space="preserve"> into AMHP roles </w:t>
      </w:r>
      <w:r w:rsidR="00983E49" w:rsidRPr="003B1851">
        <w:rPr>
          <w:rFonts w:ascii="Tahoma" w:hAnsi="Tahoma" w:cs="Tahoma"/>
          <w:highlight w:val="yellow"/>
        </w:rPr>
        <w:t>can only be</w:t>
      </w:r>
      <w:r w:rsidR="005D0F57" w:rsidRPr="003B1851">
        <w:rPr>
          <w:rFonts w:ascii="Tahoma" w:hAnsi="Tahoma" w:cs="Tahoma"/>
          <w:highlight w:val="yellow"/>
        </w:rPr>
        <w:t xml:space="preserve"> made easier</w:t>
      </w:r>
      <w:r w:rsidR="00983E49" w:rsidRPr="003B1851">
        <w:rPr>
          <w:rFonts w:ascii="Tahoma" w:hAnsi="Tahoma" w:cs="Tahoma"/>
          <w:highlight w:val="yellow"/>
        </w:rPr>
        <w:t xml:space="preserve"> where the </w:t>
      </w:r>
      <w:r w:rsidR="008C2A74" w:rsidRPr="003B1851">
        <w:rPr>
          <w:rFonts w:ascii="Tahoma" w:hAnsi="Tahoma" w:cs="Tahoma"/>
          <w:highlight w:val="yellow"/>
        </w:rPr>
        <w:t xml:space="preserve">personal, cultural and </w:t>
      </w:r>
      <w:r w:rsidR="00983E49" w:rsidRPr="003B1851">
        <w:rPr>
          <w:rFonts w:ascii="Tahoma" w:hAnsi="Tahoma" w:cs="Tahoma"/>
          <w:highlight w:val="yellow"/>
        </w:rPr>
        <w:t xml:space="preserve">structural </w:t>
      </w:r>
      <w:r w:rsidR="00C42C76" w:rsidRPr="003B1851">
        <w:rPr>
          <w:rFonts w:ascii="Tahoma" w:hAnsi="Tahoma" w:cs="Tahoma"/>
          <w:highlight w:val="yellow"/>
        </w:rPr>
        <w:t>difficulties that have been highlighted above</w:t>
      </w:r>
      <w:r w:rsidR="00983E49" w:rsidRPr="003B1851">
        <w:rPr>
          <w:rFonts w:ascii="Tahoma" w:hAnsi="Tahoma" w:cs="Tahoma"/>
          <w:highlight w:val="yellow"/>
        </w:rPr>
        <w:t xml:space="preserve"> are resolved. </w:t>
      </w:r>
      <w:r w:rsidR="004A160D" w:rsidRPr="003B1851">
        <w:rPr>
          <w:rFonts w:ascii="Tahoma" w:hAnsi="Tahoma" w:cs="Tahoma"/>
          <w:highlight w:val="yellow"/>
        </w:rPr>
        <w:t xml:space="preserve">Although </w:t>
      </w:r>
      <w:r w:rsidR="00764487" w:rsidRPr="003B1851">
        <w:rPr>
          <w:rFonts w:ascii="Tahoma" w:hAnsi="Tahoma" w:cs="Tahoma"/>
          <w:highlight w:val="yellow"/>
        </w:rPr>
        <w:t xml:space="preserve">some </w:t>
      </w:r>
      <w:r w:rsidR="004A160D" w:rsidRPr="003B1851">
        <w:rPr>
          <w:rFonts w:ascii="Tahoma" w:hAnsi="Tahoma" w:cs="Tahoma"/>
          <w:highlight w:val="yellow"/>
        </w:rPr>
        <w:t>particip</w:t>
      </w:r>
      <w:r w:rsidR="00764487" w:rsidRPr="003B1851">
        <w:rPr>
          <w:rFonts w:ascii="Tahoma" w:hAnsi="Tahoma" w:cs="Tahoma"/>
          <w:highlight w:val="yellow"/>
        </w:rPr>
        <w:t>ants were positi</w:t>
      </w:r>
      <w:r w:rsidR="00983E49" w:rsidRPr="003B1851">
        <w:rPr>
          <w:rFonts w:ascii="Tahoma" w:hAnsi="Tahoma" w:cs="Tahoma"/>
          <w:highlight w:val="yellow"/>
        </w:rPr>
        <w:t xml:space="preserve">ve about their experiences, </w:t>
      </w:r>
      <w:r w:rsidR="005F6EF9" w:rsidRPr="003B1851">
        <w:rPr>
          <w:rFonts w:ascii="Tahoma" w:hAnsi="Tahoma" w:cs="Tahoma"/>
          <w:highlight w:val="yellow"/>
        </w:rPr>
        <w:t>participants</w:t>
      </w:r>
      <w:r w:rsidR="00764487" w:rsidRPr="003B1851">
        <w:rPr>
          <w:rFonts w:ascii="Tahoma" w:hAnsi="Tahoma" w:cs="Tahoma"/>
          <w:highlight w:val="yellow"/>
        </w:rPr>
        <w:t xml:space="preserve"> also highlighted the challenges that they had experienced</w:t>
      </w:r>
      <w:r w:rsidR="00983E49" w:rsidRPr="003B1851">
        <w:rPr>
          <w:rFonts w:ascii="Tahoma" w:hAnsi="Tahoma" w:cs="Tahoma"/>
          <w:highlight w:val="yellow"/>
        </w:rPr>
        <w:t xml:space="preserve"> negatively</w:t>
      </w:r>
      <w:r w:rsidR="00764487" w:rsidRPr="003B1851">
        <w:rPr>
          <w:rFonts w:ascii="Tahoma" w:hAnsi="Tahoma" w:cs="Tahoma"/>
          <w:highlight w:val="yellow"/>
        </w:rPr>
        <w:t xml:space="preserve">. The reasons for the experiences need to be explored by commissioners if </w:t>
      </w:r>
      <w:r w:rsidR="008C2A74" w:rsidRPr="003B1851">
        <w:rPr>
          <w:rFonts w:ascii="Tahoma" w:hAnsi="Tahoma" w:cs="Tahoma"/>
          <w:highlight w:val="yellow"/>
        </w:rPr>
        <w:t xml:space="preserve">they </w:t>
      </w:r>
      <w:r w:rsidR="00C42C76" w:rsidRPr="003B1851">
        <w:rPr>
          <w:rFonts w:ascii="Tahoma" w:hAnsi="Tahoma" w:cs="Tahoma"/>
          <w:highlight w:val="yellow"/>
        </w:rPr>
        <w:t>want</w:t>
      </w:r>
      <w:r w:rsidR="00764487" w:rsidRPr="003B1851">
        <w:rPr>
          <w:rFonts w:ascii="Tahoma" w:hAnsi="Tahoma" w:cs="Tahoma"/>
          <w:highlight w:val="yellow"/>
        </w:rPr>
        <w:t xml:space="preserve"> to engage, train and supervise nurse AMHPs.</w:t>
      </w:r>
      <w:r w:rsidR="00983E49" w:rsidRPr="003B1851">
        <w:rPr>
          <w:rFonts w:ascii="Tahoma" w:hAnsi="Tahoma" w:cs="Tahoma"/>
          <w:highlight w:val="yellow"/>
        </w:rPr>
        <w:t xml:space="preserve"> </w:t>
      </w:r>
      <w:r w:rsidR="005F6EF9" w:rsidRPr="003B1851">
        <w:rPr>
          <w:rFonts w:ascii="Tahoma" w:hAnsi="Tahoma" w:cs="Tahoma"/>
          <w:highlight w:val="yellow"/>
        </w:rPr>
        <w:t>An analysis of the m</w:t>
      </w:r>
      <w:r w:rsidR="00983E49" w:rsidRPr="003B1851">
        <w:rPr>
          <w:rFonts w:ascii="Tahoma" w:hAnsi="Tahoma" w:cs="Tahoma"/>
          <w:highlight w:val="yellow"/>
        </w:rPr>
        <w:t>otivational factors for developing a nurse AM</w:t>
      </w:r>
      <w:r w:rsidR="005F6EF9" w:rsidRPr="003B1851">
        <w:rPr>
          <w:rFonts w:ascii="Tahoma" w:hAnsi="Tahoma" w:cs="Tahoma"/>
          <w:highlight w:val="yellow"/>
        </w:rPr>
        <w:t xml:space="preserve">HP workforce may assist in this, as well as showcasing examples national examples where nurses have smooth transitioned into AMHP practice. </w:t>
      </w:r>
      <w:r w:rsidR="005D0F57" w:rsidRPr="003B1851">
        <w:rPr>
          <w:rFonts w:ascii="Tahoma" w:hAnsi="Tahoma" w:cs="Tahoma"/>
          <w:highlight w:val="yellow"/>
        </w:rPr>
        <w:t xml:space="preserve">This offers some explanation as to perhaps why nurse AMHP numbers are disproportionately small compared social work, and gives an indication as to what may need to be achieved to make the navigation of structural factors easier for nurses, occupational therapists and psychologists to train and practice as AMHPs. </w:t>
      </w:r>
    </w:p>
    <w:p w14:paraId="4B43F928" w14:textId="77777777" w:rsidR="008E4C11" w:rsidRPr="003B1851" w:rsidRDefault="008E4C11" w:rsidP="00291BB8">
      <w:pPr>
        <w:spacing w:after="0" w:line="360" w:lineRule="auto"/>
        <w:rPr>
          <w:rFonts w:ascii="Arial" w:hAnsi="Arial" w:cs="Arial"/>
          <w:b/>
          <w:color w:val="000000" w:themeColor="text1"/>
          <w:highlight w:val="yellow"/>
        </w:rPr>
      </w:pPr>
      <w:r w:rsidRPr="003B1851">
        <w:rPr>
          <w:rFonts w:ascii="Arial" w:hAnsi="Arial" w:cs="Arial"/>
          <w:b/>
          <w:color w:val="000000" w:themeColor="text1"/>
          <w:highlight w:val="yellow"/>
        </w:rPr>
        <w:t xml:space="preserve">References </w:t>
      </w:r>
    </w:p>
    <w:p w14:paraId="09BA5DC9" w14:textId="77777777" w:rsidR="00471322" w:rsidRPr="003B1851" w:rsidRDefault="00471322" w:rsidP="00291BB8">
      <w:pPr>
        <w:spacing w:after="0" w:line="360" w:lineRule="auto"/>
        <w:rPr>
          <w:rFonts w:ascii="Arial" w:hAnsi="Arial" w:cs="Arial"/>
          <w:b/>
          <w:color w:val="000000" w:themeColor="text1"/>
          <w:highlight w:val="yellow"/>
        </w:rPr>
      </w:pPr>
    </w:p>
    <w:p w14:paraId="4DAC8ADC" w14:textId="06AFBD6A"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lastRenderedPageBreak/>
        <w:t xml:space="preserve">ADASS. (2006). </w:t>
      </w:r>
      <w:r w:rsidRPr="003B1851">
        <w:rPr>
          <w:rFonts w:ascii="Arial" w:hAnsi="Arial" w:cs="Arial"/>
          <w:i/>
          <w:iCs/>
          <w:color w:val="000000" w:themeColor="text1"/>
          <w:highlight w:val="yellow"/>
        </w:rPr>
        <w:t xml:space="preserve">Survey of Approved Social Worker in England. </w:t>
      </w:r>
      <w:r w:rsidRPr="003B1851">
        <w:rPr>
          <w:rFonts w:ascii="Arial" w:hAnsi="Arial" w:cs="Arial"/>
          <w:color w:val="000000" w:themeColor="text1"/>
          <w:highlight w:val="yellow"/>
        </w:rPr>
        <w:t>London: Association of Directors of Social Services.</w:t>
      </w:r>
    </w:p>
    <w:p w14:paraId="1F023FA9" w14:textId="09D0285A" w:rsidR="006351C4" w:rsidRPr="003B1851" w:rsidRDefault="006351C4" w:rsidP="00291BB8">
      <w:pPr>
        <w:spacing w:after="0" w:line="360" w:lineRule="auto"/>
        <w:rPr>
          <w:rFonts w:ascii="Arial" w:hAnsi="Arial" w:cs="Arial"/>
          <w:color w:val="000000" w:themeColor="text1"/>
          <w:highlight w:val="yellow"/>
        </w:rPr>
      </w:pPr>
    </w:p>
    <w:p w14:paraId="11A8B0C2" w14:textId="74CC141A" w:rsidR="006351C4" w:rsidRPr="003B1851" w:rsidRDefault="006351C4" w:rsidP="00291BB8">
      <w:pPr>
        <w:pStyle w:val="Default"/>
        <w:rPr>
          <w:rFonts w:ascii="Arial" w:hAnsi="Arial" w:cs="Arial"/>
          <w:sz w:val="22"/>
          <w:szCs w:val="22"/>
          <w:highlight w:val="yellow"/>
        </w:rPr>
      </w:pPr>
      <w:r w:rsidRPr="003B1851">
        <w:rPr>
          <w:rFonts w:ascii="Arial" w:hAnsi="Arial" w:cs="Arial"/>
          <w:color w:val="000000" w:themeColor="text1"/>
          <w:sz w:val="22"/>
          <w:szCs w:val="22"/>
          <w:highlight w:val="yellow"/>
        </w:rPr>
        <w:t>ADASS (2018)</w:t>
      </w:r>
      <w:r w:rsidR="004A160D" w:rsidRPr="003B1851">
        <w:rPr>
          <w:rFonts w:ascii="Arial" w:hAnsi="Arial" w:cs="Arial"/>
          <w:color w:val="000000" w:themeColor="text1"/>
          <w:sz w:val="22"/>
          <w:szCs w:val="22"/>
          <w:highlight w:val="yellow"/>
        </w:rPr>
        <w:t xml:space="preserve"> </w:t>
      </w:r>
      <w:r w:rsidR="004A160D" w:rsidRPr="003B1851">
        <w:rPr>
          <w:rFonts w:ascii="Arial" w:hAnsi="Arial" w:cs="Arial"/>
          <w:sz w:val="22"/>
          <w:szCs w:val="22"/>
          <w:highlight w:val="yellow"/>
        </w:rPr>
        <w:t>AMHPs, Mental Health Act Assessments &amp; the Mental Health Social Care workforce, ADASS, London.</w:t>
      </w:r>
    </w:p>
    <w:p w14:paraId="6F580584" w14:textId="77777777" w:rsidR="002942B4" w:rsidRPr="003B1851" w:rsidRDefault="002942B4" w:rsidP="00291BB8">
      <w:pPr>
        <w:spacing w:after="0" w:line="360" w:lineRule="auto"/>
        <w:rPr>
          <w:rFonts w:ascii="Arial" w:hAnsi="Arial" w:cs="Arial"/>
          <w:color w:val="000000" w:themeColor="text1"/>
          <w:highlight w:val="yellow"/>
        </w:rPr>
      </w:pPr>
    </w:p>
    <w:p w14:paraId="1ED892DD"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Ashmore, R. (2010). </w:t>
      </w:r>
      <w:r w:rsidRPr="003B1851">
        <w:rPr>
          <w:rFonts w:ascii="Arial" w:hAnsi="Arial" w:cs="Arial"/>
          <w:i/>
          <w:iCs/>
          <w:color w:val="000000" w:themeColor="text1"/>
          <w:highlight w:val="yellow"/>
        </w:rPr>
        <w:t xml:space="preserve">Section 5(4) </w:t>
      </w:r>
      <w:r w:rsidRPr="003B1851">
        <w:rPr>
          <w:rFonts w:ascii="Arial" w:hAnsi="Arial" w:cs="Arial"/>
          <w:color w:val="000000" w:themeColor="text1"/>
          <w:highlight w:val="yellow"/>
        </w:rPr>
        <w:t>The nurse's holding power: patterns of use in one mental health trust (1983-2006</w:t>
      </w:r>
      <w:r w:rsidRPr="003B1851">
        <w:rPr>
          <w:rFonts w:ascii="Arial" w:hAnsi="Arial" w:cs="Arial"/>
          <w:i/>
          <w:iCs/>
          <w:color w:val="000000" w:themeColor="text1"/>
          <w:highlight w:val="yellow"/>
        </w:rPr>
        <w:t>)</w:t>
      </w:r>
      <w:r w:rsidRPr="003B1851">
        <w:rPr>
          <w:rFonts w:ascii="Arial" w:hAnsi="Arial" w:cs="Arial"/>
          <w:color w:val="000000" w:themeColor="text1"/>
          <w:highlight w:val="yellow"/>
        </w:rPr>
        <w:t xml:space="preserve">. </w:t>
      </w:r>
      <w:r w:rsidRPr="003B1851">
        <w:rPr>
          <w:rFonts w:ascii="Arial" w:hAnsi="Arial" w:cs="Arial"/>
          <w:i/>
          <w:iCs/>
          <w:color w:val="000000" w:themeColor="text1"/>
          <w:highlight w:val="yellow"/>
        </w:rPr>
        <w:t>Journal of Psychiatric &amp; Mental Health Nursing, 17</w:t>
      </w:r>
      <w:r w:rsidRPr="003B1851">
        <w:rPr>
          <w:rFonts w:ascii="Arial" w:hAnsi="Arial" w:cs="Arial"/>
          <w:color w:val="000000" w:themeColor="text1"/>
          <w:highlight w:val="yellow"/>
        </w:rPr>
        <w:t xml:space="preserve">(3), 202–209. </w:t>
      </w:r>
    </w:p>
    <w:p w14:paraId="7586F023" w14:textId="77777777" w:rsidR="002942B4" w:rsidRPr="003B1851" w:rsidRDefault="002942B4" w:rsidP="00291BB8">
      <w:pPr>
        <w:spacing w:after="0" w:line="360" w:lineRule="auto"/>
        <w:rPr>
          <w:rFonts w:ascii="Arial" w:hAnsi="Arial" w:cs="Arial"/>
          <w:color w:val="000000" w:themeColor="text1"/>
          <w:highlight w:val="yellow"/>
        </w:rPr>
      </w:pPr>
    </w:p>
    <w:p w14:paraId="54B77656"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Bailey, D., &amp; Liyanage, L. (2012). The role of the mental health social worker: political pawns in the reconfiguration of adult health and social care. </w:t>
      </w:r>
      <w:r w:rsidRPr="003B1851">
        <w:rPr>
          <w:rFonts w:ascii="Arial" w:hAnsi="Arial" w:cs="Arial"/>
          <w:i/>
          <w:iCs/>
          <w:color w:val="000000" w:themeColor="text1"/>
          <w:highlight w:val="yellow"/>
        </w:rPr>
        <w:t>British Journal of Social Work, 42</w:t>
      </w:r>
      <w:r w:rsidRPr="003B1851">
        <w:rPr>
          <w:rFonts w:ascii="Arial" w:hAnsi="Arial" w:cs="Arial"/>
          <w:color w:val="000000" w:themeColor="text1"/>
          <w:highlight w:val="yellow"/>
        </w:rPr>
        <w:t xml:space="preserve">(6), 1113–1131. </w:t>
      </w:r>
    </w:p>
    <w:p w14:paraId="1D439264" w14:textId="77777777" w:rsidR="002942B4" w:rsidRPr="003B1851" w:rsidRDefault="002942B4" w:rsidP="00291BB8">
      <w:pPr>
        <w:spacing w:after="0" w:line="360" w:lineRule="auto"/>
        <w:rPr>
          <w:rFonts w:ascii="Arial" w:hAnsi="Arial" w:cs="Arial"/>
          <w:color w:val="000000" w:themeColor="text1"/>
          <w:highlight w:val="yellow"/>
        </w:rPr>
      </w:pPr>
    </w:p>
    <w:p w14:paraId="4453D54D"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Bailey, D. (2012) Bailey, D (2012) Interprofessional Working in Mental Health, Hampshire: Palgrave Macmillan.</w:t>
      </w:r>
    </w:p>
    <w:p w14:paraId="5F2AD60B" w14:textId="77777777" w:rsidR="00471322" w:rsidRPr="003B1851" w:rsidRDefault="00471322" w:rsidP="00291BB8">
      <w:pPr>
        <w:spacing w:after="0" w:line="360" w:lineRule="auto"/>
        <w:rPr>
          <w:rFonts w:ascii="Arial" w:hAnsi="Arial" w:cs="Arial"/>
          <w:color w:val="000000" w:themeColor="text1"/>
          <w:highlight w:val="yellow"/>
        </w:rPr>
      </w:pPr>
    </w:p>
    <w:p w14:paraId="0962537E" w14:textId="77777777"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Bogg, D. (2011). </w:t>
      </w:r>
      <w:r w:rsidRPr="003B1851">
        <w:rPr>
          <w:rFonts w:ascii="Arial" w:hAnsi="Arial" w:cs="Arial"/>
          <w:i/>
          <w:iCs/>
          <w:color w:val="000000" w:themeColor="text1"/>
          <w:highlight w:val="yellow"/>
        </w:rPr>
        <w:t>National AMHP Leads data</w:t>
      </w:r>
      <w:r w:rsidRPr="003B1851">
        <w:rPr>
          <w:rFonts w:ascii="Arial" w:hAnsi="Arial" w:cs="Arial"/>
          <w:color w:val="000000" w:themeColor="text1"/>
          <w:highlight w:val="yellow"/>
        </w:rPr>
        <w:t>. Unpublished, AMHP Leads Network.</w:t>
      </w:r>
    </w:p>
    <w:p w14:paraId="1C29C70B" w14:textId="77777777" w:rsidR="002942B4" w:rsidRPr="003B1851" w:rsidRDefault="002942B4" w:rsidP="00291BB8">
      <w:pPr>
        <w:spacing w:after="0" w:line="360" w:lineRule="auto"/>
        <w:rPr>
          <w:rFonts w:ascii="Arial" w:hAnsi="Arial" w:cs="Arial"/>
          <w:color w:val="000000" w:themeColor="text1"/>
          <w:highlight w:val="yellow"/>
        </w:rPr>
      </w:pPr>
    </w:p>
    <w:p w14:paraId="09C5A24D"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BASW (2012)</w:t>
      </w:r>
      <w:r w:rsidR="00544EC3" w:rsidRPr="003B1851">
        <w:rPr>
          <w:rFonts w:ascii="Arial" w:hAnsi="Arial" w:cs="Arial"/>
          <w:color w:val="000000" w:themeColor="text1"/>
          <w:highlight w:val="yellow"/>
        </w:rPr>
        <w:t xml:space="preserve"> The Code of Ethics for Social Work, London: BASW.</w:t>
      </w:r>
    </w:p>
    <w:p w14:paraId="7DF02B60" w14:textId="77777777" w:rsidR="00471322" w:rsidRPr="003B1851" w:rsidRDefault="00471322" w:rsidP="00291BB8">
      <w:pPr>
        <w:spacing w:after="0" w:line="360" w:lineRule="auto"/>
        <w:rPr>
          <w:rFonts w:ascii="Arial" w:hAnsi="Arial" w:cs="Arial"/>
          <w:color w:val="000000" w:themeColor="text1"/>
          <w:highlight w:val="yellow"/>
        </w:rPr>
      </w:pPr>
    </w:p>
    <w:p w14:paraId="01BD060D" w14:textId="77777777"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Bowers, L., Clark, N., &amp; Callaghan, P. (2003). Multidisciplinary reflections on assessment for compulsory admission: The views of approved social workers, general practitioners, ambulance crews, police, community psychiatric nurses and psychiatrists</w:t>
      </w:r>
      <w:r w:rsidRPr="003B1851">
        <w:rPr>
          <w:rFonts w:ascii="Arial" w:hAnsi="Arial" w:cs="Arial"/>
          <w:i/>
          <w:iCs/>
          <w:color w:val="000000" w:themeColor="text1"/>
          <w:highlight w:val="yellow"/>
        </w:rPr>
        <w:t>. British Journal of Social Work, 33</w:t>
      </w:r>
      <w:r w:rsidRPr="003B1851">
        <w:rPr>
          <w:rFonts w:ascii="Arial" w:hAnsi="Arial" w:cs="Arial"/>
          <w:color w:val="000000" w:themeColor="text1"/>
          <w:highlight w:val="yellow"/>
        </w:rPr>
        <w:t>(7), 961–968.</w:t>
      </w:r>
    </w:p>
    <w:p w14:paraId="4B9DE415" w14:textId="77777777" w:rsidR="002942B4" w:rsidRPr="003B1851" w:rsidRDefault="002942B4" w:rsidP="00291BB8">
      <w:pPr>
        <w:spacing w:after="0" w:line="360" w:lineRule="auto"/>
        <w:rPr>
          <w:rFonts w:ascii="Arial" w:hAnsi="Arial" w:cs="Arial"/>
          <w:color w:val="000000" w:themeColor="text1"/>
          <w:highlight w:val="yellow"/>
        </w:rPr>
      </w:pPr>
    </w:p>
    <w:p w14:paraId="0343DECA"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Braun, V &amp; Clarke, V (2006) Using thematic analysis in psychology, Qualitative Research in Psychology, 3:2, 77-101</w:t>
      </w:r>
    </w:p>
    <w:p w14:paraId="5DC697BD" w14:textId="77777777" w:rsidR="002942B4" w:rsidRPr="003B1851" w:rsidRDefault="002942B4" w:rsidP="00291BB8">
      <w:pPr>
        <w:spacing w:after="0" w:line="360" w:lineRule="auto"/>
        <w:rPr>
          <w:rFonts w:ascii="Arial" w:hAnsi="Arial" w:cs="Arial"/>
          <w:color w:val="000000" w:themeColor="text1"/>
          <w:highlight w:val="yellow"/>
        </w:rPr>
      </w:pPr>
    </w:p>
    <w:p w14:paraId="26B81BE2"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Bressington, D. T., Wells, H., &amp; Graham, M. (2011). A concept mapping exploration of social workers' and mental health nurses' understanding of the role of the Approved Mental Health Professional</w:t>
      </w:r>
      <w:r w:rsidRPr="003B1851">
        <w:rPr>
          <w:rFonts w:ascii="Arial" w:hAnsi="Arial" w:cs="Arial"/>
          <w:i/>
          <w:iCs/>
          <w:color w:val="000000" w:themeColor="text1"/>
          <w:highlight w:val="yellow"/>
        </w:rPr>
        <w:t>. Nurse Education Today, 31</w:t>
      </w:r>
      <w:r w:rsidRPr="003B1851">
        <w:rPr>
          <w:rFonts w:ascii="Arial" w:hAnsi="Arial" w:cs="Arial"/>
          <w:color w:val="000000" w:themeColor="text1"/>
          <w:highlight w:val="yellow"/>
        </w:rPr>
        <w:t>(6), 564–570.</w:t>
      </w:r>
    </w:p>
    <w:p w14:paraId="00127F01" w14:textId="77777777" w:rsidR="002942B4" w:rsidRPr="003B1851" w:rsidRDefault="002942B4" w:rsidP="00291BB8">
      <w:pPr>
        <w:spacing w:after="0" w:line="360" w:lineRule="auto"/>
        <w:rPr>
          <w:rFonts w:ascii="Arial" w:hAnsi="Arial" w:cs="Arial"/>
          <w:color w:val="000000" w:themeColor="text1"/>
          <w:highlight w:val="yellow"/>
        </w:rPr>
      </w:pPr>
    </w:p>
    <w:p w14:paraId="609EEAEE"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Campbell, J. (2010). Deciding to detain: The use of compulsory mental health law by UK social workers. </w:t>
      </w:r>
      <w:r w:rsidRPr="003B1851">
        <w:rPr>
          <w:rFonts w:ascii="Arial" w:hAnsi="Arial" w:cs="Arial"/>
          <w:i/>
          <w:iCs/>
          <w:color w:val="000000" w:themeColor="text1"/>
          <w:highlight w:val="yellow"/>
        </w:rPr>
        <w:t>British Journal of Social Work, 40</w:t>
      </w:r>
      <w:r w:rsidRPr="003B1851">
        <w:rPr>
          <w:rFonts w:ascii="Arial" w:hAnsi="Arial" w:cs="Arial"/>
          <w:color w:val="000000" w:themeColor="text1"/>
          <w:highlight w:val="yellow"/>
        </w:rPr>
        <w:t>(1), 328–334.</w:t>
      </w:r>
    </w:p>
    <w:p w14:paraId="4BA794B0" w14:textId="77777777" w:rsidR="002942B4" w:rsidRPr="003B1851" w:rsidRDefault="002942B4" w:rsidP="00291BB8">
      <w:pPr>
        <w:spacing w:after="0" w:line="360" w:lineRule="auto"/>
        <w:rPr>
          <w:rFonts w:ascii="Arial" w:hAnsi="Arial" w:cs="Arial"/>
          <w:color w:val="000000" w:themeColor="text1"/>
          <w:highlight w:val="yellow"/>
        </w:rPr>
      </w:pPr>
    </w:p>
    <w:p w14:paraId="76FFFE73" w14:textId="57DE5CF0"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lastRenderedPageBreak/>
        <w:t xml:space="preserve">Coffey, M., &amp; Hannigan, B. (2013). New roles for nurses as approved mental health professionals in England and Wales: A discussion paper. </w:t>
      </w:r>
      <w:r w:rsidRPr="003B1851">
        <w:rPr>
          <w:rFonts w:ascii="Arial" w:hAnsi="Arial" w:cs="Arial"/>
          <w:i/>
          <w:iCs/>
          <w:color w:val="000000" w:themeColor="text1"/>
          <w:highlight w:val="yellow"/>
        </w:rPr>
        <w:t>International Journal of Nursing Studies</w:t>
      </w:r>
      <w:r w:rsidRPr="003B1851">
        <w:rPr>
          <w:rFonts w:ascii="Arial" w:hAnsi="Arial" w:cs="Arial"/>
          <w:color w:val="000000" w:themeColor="text1"/>
          <w:highlight w:val="yellow"/>
        </w:rPr>
        <w:t>. 50 (10): 1423:1430</w:t>
      </w:r>
      <w:r w:rsidR="005F6EF9" w:rsidRPr="003B1851">
        <w:rPr>
          <w:rFonts w:ascii="Arial" w:hAnsi="Arial" w:cs="Arial"/>
          <w:color w:val="000000" w:themeColor="text1"/>
          <w:highlight w:val="yellow"/>
        </w:rPr>
        <w:t>.</w:t>
      </w:r>
    </w:p>
    <w:p w14:paraId="55D16BCD" w14:textId="77777777" w:rsidR="00471322" w:rsidRPr="003B1851" w:rsidRDefault="00471322" w:rsidP="00291BB8">
      <w:pPr>
        <w:spacing w:after="0" w:line="360" w:lineRule="auto"/>
        <w:rPr>
          <w:rFonts w:ascii="Arial" w:hAnsi="Arial" w:cs="Arial"/>
          <w:color w:val="000000" w:themeColor="text1"/>
          <w:highlight w:val="yellow"/>
        </w:rPr>
      </w:pPr>
    </w:p>
    <w:p w14:paraId="5E217236" w14:textId="107FFCC5" w:rsidR="002942B4" w:rsidRPr="003B1851" w:rsidRDefault="002942B4" w:rsidP="00291BB8">
      <w:pPr>
        <w:spacing w:after="0" w:line="360" w:lineRule="auto"/>
        <w:rPr>
          <w:rFonts w:ascii="Arial" w:hAnsi="Arial" w:cs="Arial"/>
          <w:color w:val="000000" w:themeColor="text1"/>
          <w:highlight w:val="yellow"/>
          <w:lang w:val="en"/>
        </w:rPr>
      </w:pPr>
      <w:r w:rsidRPr="003B1851">
        <w:rPr>
          <w:rFonts w:ascii="Arial" w:hAnsi="Arial" w:cs="Arial"/>
          <w:color w:val="000000" w:themeColor="text1"/>
          <w:highlight w:val="yellow"/>
          <w:lang w:val="en"/>
        </w:rPr>
        <w:t>D</w:t>
      </w:r>
      <w:r w:rsidR="00C92636" w:rsidRPr="003B1851">
        <w:rPr>
          <w:rFonts w:ascii="Arial" w:hAnsi="Arial" w:cs="Arial"/>
          <w:color w:val="000000" w:themeColor="text1"/>
          <w:highlight w:val="yellow"/>
          <w:lang w:val="en"/>
        </w:rPr>
        <w:t>epartment of Health</w:t>
      </w:r>
      <w:r w:rsidRPr="003B1851">
        <w:rPr>
          <w:rFonts w:ascii="Arial" w:hAnsi="Arial" w:cs="Arial"/>
          <w:color w:val="000000" w:themeColor="text1"/>
          <w:highlight w:val="yellow"/>
          <w:lang w:val="en"/>
        </w:rPr>
        <w:t xml:space="preserve"> (2011) </w:t>
      </w:r>
      <w:hyperlink r:id="rId8" w:history="1">
        <w:r w:rsidRPr="003B1851">
          <w:rPr>
            <w:rStyle w:val="Emphasis"/>
            <w:rFonts w:ascii="Arial" w:hAnsi="Arial" w:cs="Arial"/>
            <w:color w:val="000000" w:themeColor="text1"/>
            <w:highlight w:val="yellow"/>
            <w:lang w:val="en"/>
          </w:rPr>
          <w:t>No Health Without Mental Health</w:t>
        </w:r>
      </w:hyperlink>
      <w:r w:rsidRPr="003B1851">
        <w:rPr>
          <w:rFonts w:ascii="Arial" w:hAnsi="Arial" w:cs="Arial"/>
          <w:color w:val="000000" w:themeColor="text1"/>
          <w:highlight w:val="yellow"/>
          <w:lang w:val="en"/>
        </w:rPr>
        <w:t>, Department of Health, London</w:t>
      </w:r>
      <w:r w:rsidR="005F6EF9" w:rsidRPr="003B1851">
        <w:rPr>
          <w:rFonts w:ascii="Arial" w:hAnsi="Arial" w:cs="Arial"/>
          <w:color w:val="000000" w:themeColor="text1"/>
          <w:highlight w:val="yellow"/>
          <w:lang w:val="en"/>
        </w:rPr>
        <w:t>.</w:t>
      </w:r>
    </w:p>
    <w:p w14:paraId="2D9B04A9" w14:textId="524E799B" w:rsidR="00C92636" w:rsidRPr="003B1851" w:rsidRDefault="00C92636" w:rsidP="00291BB8">
      <w:pPr>
        <w:spacing w:after="0" w:line="360" w:lineRule="auto"/>
        <w:rPr>
          <w:rFonts w:ascii="Arial" w:hAnsi="Arial" w:cs="Arial"/>
          <w:color w:val="000000" w:themeColor="text1"/>
          <w:highlight w:val="yellow"/>
          <w:lang w:val="en"/>
        </w:rPr>
      </w:pPr>
    </w:p>
    <w:p w14:paraId="279C0B79" w14:textId="2D7A1263" w:rsidR="00C92636" w:rsidRPr="003B1851" w:rsidRDefault="00C92636" w:rsidP="00291BB8">
      <w:pPr>
        <w:spacing w:after="0" w:line="360" w:lineRule="auto"/>
        <w:rPr>
          <w:rFonts w:ascii="Arial" w:hAnsi="Arial" w:cs="Arial"/>
          <w:color w:val="000000" w:themeColor="text1"/>
          <w:highlight w:val="yellow"/>
          <w:lang w:val="en"/>
        </w:rPr>
      </w:pPr>
      <w:r w:rsidRPr="003B1851">
        <w:rPr>
          <w:rFonts w:ascii="Arial" w:hAnsi="Arial" w:cs="Arial"/>
          <w:highlight w:val="yellow"/>
          <w:lang w:val="en"/>
        </w:rPr>
        <w:t>Department of Health and Social Care (2018) Independent review of the Mental Health Act: interim report, HMSO, London</w:t>
      </w:r>
      <w:r w:rsidR="005F6EF9" w:rsidRPr="003B1851">
        <w:rPr>
          <w:rFonts w:ascii="Arial" w:hAnsi="Arial" w:cs="Arial"/>
          <w:highlight w:val="yellow"/>
          <w:lang w:val="en"/>
        </w:rPr>
        <w:t>.</w:t>
      </w:r>
    </w:p>
    <w:p w14:paraId="44275A2F" w14:textId="77777777" w:rsidR="002942B4" w:rsidRPr="003B1851" w:rsidRDefault="002942B4" w:rsidP="00291BB8">
      <w:pPr>
        <w:spacing w:after="0" w:line="360" w:lineRule="auto"/>
        <w:rPr>
          <w:rFonts w:ascii="Arial" w:hAnsi="Arial" w:cs="Arial"/>
          <w:color w:val="000000" w:themeColor="text1"/>
          <w:highlight w:val="yellow"/>
          <w:lang w:val="en"/>
        </w:rPr>
      </w:pPr>
    </w:p>
    <w:p w14:paraId="34BB8B60" w14:textId="6AC3C9F5" w:rsidR="002942B4" w:rsidRPr="003B1851" w:rsidRDefault="00C92636" w:rsidP="00291BB8">
      <w:pPr>
        <w:spacing w:after="0" w:line="360" w:lineRule="auto"/>
        <w:rPr>
          <w:rFonts w:ascii="Arial" w:hAnsi="Arial" w:cs="Arial"/>
          <w:bCs/>
          <w:color w:val="000000" w:themeColor="text1"/>
          <w:highlight w:val="yellow"/>
        </w:rPr>
      </w:pPr>
      <w:r w:rsidRPr="003B1851">
        <w:rPr>
          <w:rFonts w:ascii="Arial" w:hAnsi="Arial" w:cs="Arial"/>
          <w:color w:val="000000" w:themeColor="text1"/>
          <w:highlight w:val="yellow"/>
          <w:lang w:val="en"/>
        </w:rPr>
        <w:t>Department of Education</w:t>
      </w:r>
      <w:r w:rsidR="002942B4" w:rsidRPr="003B1851">
        <w:rPr>
          <w:rFonts w:ascii="Arial" w:hAnsi="Arial" w:cs="Arial"/>
          <w:color w:val="000000" w:themeColor="text1"/>
          <w:highlight w:val="yellow"/>
        </w:rPr>
        <w:t xml:space="preserve"> (2018) </w:t>
      </w:r>
      <w:r w:rsidR="002942B4" w:rsidRPr="003B1851">
        <w:rPr>
          <w:rFonts w:ascii="Arial" w:hAnsi="Arial" w:cs="Arial"/>
          <w:bCs/>
          <w:color w:val="000000" w:themeColor="text1"/>
          <w:highlight w:val="yellow"/>
        </w:rPr>
        <w:t>Social Work England Consultation on secondary legislative framework, London, Department for Education</w:t>
      </w:r>
      <w:r w:rsidR="005F6EF9" w:rsidRPr="003B1851">
        <w:rPr>
          <w:rFonts w:ascii="Arial" w:hAnsi="Arial" w:cs="Arial"/>
          <w:bCs/>
          <w:color w:val="000000" w:themeColor="text1"/>
          <w:highlight w:val="yellow"/>
        </w:rPr>
        <w:t>.</w:t>
      </w:r>
    </w:p>
    <w:p w14:paraId="19DEB499" w14:textId="77777777" w:rsidR="00433D3D" w:rsidRPr="003B1851" w:rsidRDefault="00433D3D" w:rsidP="00291BB8">
      <w:pPr>
        <w:spacing w:after="0" w:line="360" w:lineRule="auto"/>
        <w:rPr>
          <w:rFonts w:ascii="Arial" w:hAnsi="Arial" w:cs="Arial"/>
          <w:color w:val="000000" w:themeColor="text1"/>
          <w:highlight w:val="yellow"/>
        </w:rPr>
      </w:pPr>
    </w:p>
    <w:p w14:paraId="0FC31971" w14:textId="7777777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Gilbert, N. (2008). </w:t>
      </w:r>
      <w:r w:rsidRPr="003B1851">
        <w:rPr>
          <w:rFonts w:ascii="Arial" w:hAnsi="Arial" w:cs="Arial"/>
          <w:i/>
          <w:iCs/>
          <w:color w:val="000000" w:themeColor="text1"/>
          <w:highlight w:val="yellow"/>
        </w:rPr>
        <w:t xml:space="preserve">Researching Social Life </w:t>
      </w:r>
      <w:r w:rsidRPr="003B1851">
        <w:rPr>
          <w:rFonts w:ascii="Arial" w:hAnsi="Arial" w:cs="Arial"/>
          <w:color w:val="000000" w:themeColor="text1"/>
          <w:highlight w:val="yellow"/>
        </w:rPr>
        <w:t>(3rd ed.). London: Sage.</w:t>
      </w:r>
    </w:p>
    <w:p w14:paraId="4AB3BEF2" w14:textId="77777777" w:rsidR="002942B4" w:rsidRPr="003B1851" w:rsidRDefault="002942B4" w:rsidP="00291BB8">
      <w:pPr>
        <w:spacing w:after="0" w:line="360" w:lineRule="auto"/>
        <w:rPr>
          <w:rFonts w:ascii="Arial" w:hAnsi="Arial" w:cs="Arial"/>
          <w:color w:val="000000" w:themeColor="text1"/>
          <w:highlight w:val="yellow"/>
        </w:rPr>
      </w:pPr>
    </w:p>
    <w:p w14:paraId="6CB11AE9" w14:textId="2D179F87" w:rsidR="002942B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H</w:t>
      </w:r>
      <w:r w:rsidR="00C92636" w:rsidRPr="003B1851">
        <w:rPr>
          <w:rFonts w:ascii="Arial" w:hAnsi="Arial" w:cs="Arial"/>
          <w:color w:val="000000" w:themeColor="text1"/>
          <w:highlight w:val="yellow"/>
        </w:rPr>
        <w:t xml:space="preserve">ealth and </w:t>
      </w:r>
      <w:r w:rsidRPr="003B1851">
        <w:rPr>
          <w:rFonts w:ascii="Arial" w:hAnsi="Arial" w:cs="Arial"/>
          <w:color w:val="000000" w:themeColor="text1"/>
          <w:highlight w:val="yellow"/>
        </w:rPr>
        <w:t>C</w:t>
      </w:r>
      <w:r w:rsidR="00C92636" w:rsidRPr="003B1851">
        <w:rPr>
          <w:rFonts w:ascii="Arial" w:hAnsi="Arial" w:cs="Arial"/>
          <w:color w:val="000000" w:themeColor="text1"/>
          <w:highlight w:val="yellow"/>
        </w:rPr>
        <w:t xml:space="preserve">are </w:t>
      </w:r>
      <w:r w:rsidRPr="003B1851">
        <w:rPr>
          <w:rFonts w:ascii="Arial" w:hAnsi="Arial" w:cs="Arial"/>
          <w:color w:val="000000" w:themeColor="text1"/>
          <w:highlight w:val="yellow"/>
        </w:rPr>
        <w:t>P</w:t>
      </w:r>
      <w:r w:rsidR="00C92636" w:rsidRPr="003B1851">
        <w:rPr>
          <w:rFonts w:ascii="Arial" w:hAnsi="Arial" w:cs="Arial"/>
          <w:color w:val="000000" w:themeColor="text1"/>
          <w:highlight w:val="yellow"/>
        </w:rPr>
        <w:t xml:space="preserve">rofessions </w:t>
      </w:r>
      <w:r w:rsidRPr="003B1851">
        <w:rPr>
          <w:rFonts w:ascii="Arial" w:hAnsi="Arial" w:cs="Arial"/>
          <w:color w:val="000000" w:themeColor="text1"/>
          <w:highlight w:val="yellow"/>
        </w:rPr>
        <w:t>C</w:t>
      </w:r>
      <w:r w:rsidR="00C92636" w:rsidRPr="003B1851">
        <w:rPr>
          <w:rFonts w:ascii="Arial" w:hAnsi="Arial" w:cs="Arial"/>
          <w:color w:val="000000" w:themeColor="text1"/>
          <w:highlight w:val="yellow"/>
        </w:rPr>
        <w:t>ouncil</w:t>
      </w:r>
      <w:r w:rsidRPr="003B1851">
        <w:rPr>
          <w:rFonts w:ascii="Arial" w:hAnsi="Arial" w:cs="Arial"/>
          <w:color w:val="000000" w:themeColor="text1"/>
          <w:highlight w:val="yellow"/>
        </w:rPr>
        <w:t xml:space="preserve">.(2008). </w:t>
      </w:r>
      <w:r w:rsidRPr="003B1851">
        <w:rPr>
          <w:rFonts w:ascii="Arial" w:hAnsi="Arial" w:cs="Arial"/>
          <w:i/>
          <w:iCs/>
          <w:color w:val="000000" w:themeColor="text1"/>
          <w:highlight w:val="yellow"/>
        </w:rPr>
        <w:t>Code of Ethics</w:t>
      </w:r>
      <w:r w:rsidRPr="003B1851">
        <w:rPr>
          <w:rFonts w:ascii="Arial" w:hAnsi="Arial" w:cs="Arial"/>
          <w:color w:val="000000" w:themeColor="text1"/>
          <w:highlight w:val="yellow"/>
        </w:rPr>
        <w:t>. London: Health Care Professionals Council.</w:t>
      </w:r>
    </w:p>
    <w:p w14:paraId="6162440B" w14:textId="77777777" w:rsidR="00433D3D" w:rsidRPr="003B1851" w:rsidRDefault="00433D3D" w:rsidP="00291BB8">
      <w:pPr>
        <w:spacing w:after="0" w:line="360" w:lineRule="auto"/>
        <w:rPr>
          <w:rFonts w:ascii="Arial" w:hAnsi="Arial" w:cs="Arial"/>
          <w:color w:val="000000" w:themeColor="text1"/>
          <w:highlight w:val="yellow"/>
        </w:rPr>
      </w:pPr>
    </w:p>
    <w:p w14:paraId="11D94D50" w14:textId="4DEFE47A"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Holmes, G. (2002). Some thoughts on why clinical psychologists should not have formal powers under the new Mental Health Act. </w:t>
      </w:r>
      <w:r w:rsidRPr="003B1851">
        <w:rPr>
          <w:rFonts w:ascii="Arial" w:hAnsi="Arial" w:cs="Arial"/>
          <w:i/>
          <w:iCs/>
          <w:color w:val="000000" w:themeColor="text1"/>
          <w:highlight w:val="yellow"/>
        </w:rPr>
        <w:t>Clinical Psychology, 12</w:t>
      </w:r>
      <w:r w:rsidRPr="003B1851">
        <w:rPr>
          <w:rFonts w:ascii="Arial" w:hAnsi="Arial" w:cs="Arial"/>
          <w:color w:val="000000" w:themeColor="text1"/>
          <w:highlight w:val="yellow"/>
        </w:rPr>
        <w:t>, 40–43</w:t>
      </w:r>
      <w:r w:rsidR="005F6EF9" w:rsidRPr="003B1851">
        <w:rPr>
          <w:rFonts w:ascii="Arial" w:hAnsi="Arial" w:cs="Arial"/>
          <w:color w:val="000000" w:themeColor="text1"/>
          <w:highlight w:val="yellow"/>
        </w:rPr>
        <w:t>.</w:t>
      </w:r>
    </w:p>
    <w:p w14:paraId="5877BE71" w14:textId="77777777" w:rsidR="00433D3D" w:rsidRPr="003B1851" w:rsidRDefault="00433D3D" w:rsidP="00291BB8">
      <w:pPr>
        <w:spacing w:after="0" w:line="360" w:lineRule="auto"/>
        <w:rPr>
          <w:rFonts w:ascii="Arial" w:hAnsi="Arial" w:cs="Arial"/>
          <w:color w:val="000000" w:themeColor="text1"/>
          <w:highlight w:val="yellow"/>
        </w:rPr>
      </w:pPr>
    </w:p>
    <w:p w14:paraId="04D1E0BA" w14:textId="77777777"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Huxley, P., Evans, S., Webber, M., &amp; Gately, C. (2005). Staff shortages in the mental health workforce: The case of the disappearing approved social worker. </w:t>
      </w:r>
      <w:r w:rsidRPr="003B1851">
        <w:rPr>
          <w:rFonts w:ascii="Arial" w:hAnsi="Arial" w:cs="Arial"/>
          <w:i/>
          <w:iCs/>
          <w:color w:val="000000" w:themeColor="text1"/>
          <w:highlight w:val="yellow"/>
        </w:rPr>
        <w:t>Health Social Care Community, 13</w:t>
      </w:r>
      <w:r w:rsidRPr="003B1851">
        <w:rPr>
          <w:rFonts w:ascii="Arial" w:hAnsi="Arial" w:cs="Arial"/>
          <w:color w:val="000000" w:themeColor="text1"/>
          <w:highlight w:val="yellow"/>
        </w:rPr>
        <w:t>(6), 504–513.</w:t>
      </w:r>
    </w:p>
    <w:p w14:paraId="02A6F3B9" w14:textId="77777777" w:rsidR="00433D3D" w:rsidRPr="003B1851" w:rsidRDefault="00433D3D" w:rsidP="00291BB8">
      <w:pPr>
        <w:spacing w:after="0" w:line="360" w:lineRule="auto"/>
        <w:rPr>
          <w:rFonts w:ascii="Arial" w:hAnsi="Arial" w:cs="Arial"/>
          <w:color w:val="000000" w:themeColor="text1"/>
          <w:highlight w:val="yellow"/>
        </w:rPr>
      </w:pPr>
    </w:p>
    <w:p w14:paraId="59E0C3DE" w14:textId="77777777"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Hurley, J. P., Linsley, S., Tilley, S., &amp; Chambers, M. (2005). Proposed changes to the Mental Health Act of England and Wales – Research investigating the debate. </w:t>
      </w:r>
      <w:r w:rsidRPr="003B1851">
        <w:rPr>
          <w:rFonts w:ascii="Arial" w:hAnsi="Arial" w:cs="Arial"/>
          <w:i/>
          <w:iCs/>
          <w:color w:val="000000" w:themeColor="text1"/>
          <w:highlight w:val="yellow"/>
        </w:rPr>
        <w:t>Journal of Psychiatric and Mental Health Nursing, 12</w:t>
      </w:r>
      <w:r w:rsidRPr="003B1851">
        <w:rPr>
          <w:rFonts w:ascii="Arial" w:hAnsi="Arial" w:cs="Arial"/>
          <w:color w:val="000000" w:themeColor="text1"/>
          <w:highlight w:val="yellow"/>
        </w:rPr>
        <w:t>(1), 121–123.</w:t>
      </w:r>
    </w:p>
    <w:p w14:paraId="1EC6F651" w14:textId="77777777" w:rsidR="00433D3D" w:rsidRPr="003B1851" w:rsidRDefault="00433D3D" w:rsidP="00291BB8">
      <w:pPr>
        <w:spacing w:after="0" w:line="360" w:lineRule="auto"/>
        <w:rPr>
          <w:rFonts w:ascii="Arial" w:hAnsi="Arial" w:cs="Arial"/>
          <w:color w:val="000000" w:themeColor="text1"/>
          <w:highlight w:val="yellow"/>
        </w:rPr>
      </w:pPr>
    </w:p>
    <w:p w14:paraId="51E443A9" w14:textId="77777777" w:rsidR="00433D3D" w:rsidRPr="003B1851" w:rsidRDefault="00433D3D"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Hardy, S., &amp; Thomas, B. (2012). Mental and physical health comorbidity: Political imperatives and practice implications. </w:t>
      </w:r>
      <w:r w:rsidRPr="003B1851">
        <w:rPr>
          <w:rFonts w:ascii="Arial" w:hAnsi="Arial" w:cs="Arial"/>
          <w:i/>
          <w:iCs/>
          <w:color w:val="000000" w:themeColor="text1"/>
          <w:highlight w:val="yellow"/>
        </w:rPr>
        <w:t>International Journal of Mental Health Nursing, 21</w:t>
      </w:r>
      <w:r w:rsidRPr="003B1851">
        <w:rPr>
          <w:rFonts w:ascii="Arial" w:hAnsi="Arial" w:cs="Arial"/>
          <w:color w:val="000000" w:themeColor="text1"/>
          <w:highlight w:val="yellow"/>
        </w:rPr>
        <w:t>(3), 289–298.</w:t>
      </w:r>
    </w:p>
    <w:p w14:paraId="3D049A1D" w14:textId="77777777" w:rsidR="00544EC3" w:rsidRPr="003B1851" w:rsidRDefault="00544EC3" w:rsidP="00291BB8">
      <w:pPr>
        <w:spacing w:after="0" w:line="360" w:lineRule="auto"/>
        <w:rPr>
          <w:rFonts w:ascii="Arial" w:hAnsi="Arial" w:cs="Arial"/>
          <w:color w:val="000000" w:themeColor="text1"/>
          <w:highlight w:val="yellow"/>
        </w:rPr>
      </w:pPr>
    </w:p>
    <w:p w14:paraId="1730EF4D" w14:textId="49CAD10D" w:rsidR="002942B4" w:rsidRPr="003B1851" w:rsidRDefault="00544EC3"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Knott, G., &amp; Bannigan, K. (2013). A critical review of the approved mental health professional role and occupational therapy. </w:t>
      </w:r>
      <w:r w:rsidRPr="003B1851">
        <w:rPr>
          <w:rFonts w:ascii="Arial" w:hAnsi="Arial" w:cs="Arial"/>
          <w:i/>
          <w:iCs/>
          <w:color w:val="000000" w:themeColor="text1"/>
          <w:highlight w:val="yellow"/>
        </w:rPr>
        <w:t>British Journal of Occupational Therapy, 76</w:t>
      </w:r>
      <w:r w:rsidRPr="003B1851">
        <w:rPr>
          <w:rFonts w:ascii="Arial" w:hAnsi="Arial" w:cs="Arial"/>
          <w:color w:val="000000" w:themeColor="text1"/>
          <w:highlight w:val="yellow"/>
        </w:rPr>
        <w:t>(3), 118–126.</w:t>
      </w:r>
      <w:r w:rsidR="002942B4" w:rsidRPr="003B1851">
        <w:rPr>
          <w:rFonts w:ascii="Arial" w:hAnsi="Arial" w:cs="Arial"/>
          <w:bCs/>
          <w:vanish/>
          <w:color w:val="000000" w:themeColor="text1"/>
          <w:highlight w:val="yellow"/>
          <w:bdr w:val="single" w:sz="6" w:space="9" w:color="B4BACA" w:frame="1"/>
          <w:shd w:val="clear" w:color="auto" w:fill="FFFFFF"/>
          <w:lang w:val="en"/>
        </w:rPr>
        <w:t>Lisa Morriss</w:t>
      </w:r>
    </w:p>
    <w:p w14:paraId="4B592B1F" w14:textId="77777777" w:rsidR="002942B4" w:rsidRPr="003B1851" w:rsidRDefault="002942B4" w:rsidP="00291BB8">
      <w:pPr>
        <w:spacing w:after="0" w:line="360" w:lineRule="auto"/>
        <w:rPr>
          <w:rFonts w:ascii="Arial" w:hAnsi="Arial" w:cs="Arial"/>
          <w:vanish/>
          <w:color w:val="000000" w:themeColor="text1"/>
          <w:highlight w:val="yellow"/>
          <w:bdr w:val="single" w:sz="6" w:space="9" w:color="B4BACA" w:frame="1"/>
          <w:shd w:val="clear" w:color="auto" w:fill="FFFFFF"/>
          <w:lang w:val="en"/>
        </w:rPr>
      </w:pPr>
      <w:r w:rsidRPr="003B1851">
        <w:rPr>
          <w:rFonts w:ascii="Arial" w:hAnsi="Arial" w:cs="Arial"/>
          <w:vanish/>
          <w:color w:val="000000" w:themeColor="text1"/>
          <w:highlight w:val="yellow"/>
          <w:bdr w:val="single" w:sz="6" w:space="9" w:color="B4BACA" w:frame="1"/>
          <w:shd w:val="clear" w:color="auto" w:fill="FFFFFF"/>
          <w:lang w:val="en"/>
        </w:rPr>
        <w:t>Institute of Brain, Behaviour and Mental Health, Faculty of Medical and Human Sciences, University of Manchester, Manchester, M13 9PL, UK</w:t>
      </w:r>
    </w:p>
    <w:p w14:paraId="36D82F69" w14:textId="77777777" w:rsidR="002942B4" w:rsidRPr="003B1851" w:rsidRDefault="002942B4" w:rsidP="00291BB8">
      <w:pPr>
        <w:spacing w:after="0" w:line="360" w:lineRule="auto"/>
        <w:rPr>
          <w:rFonts w:ascii="Arial" w:hAnsi="Arial" w:cs="Arial"/>
          <w:vanish/>
          <w:color w:val="000000" w:themeColor="text1"/>
          <w:highlight w:val="yellow"/>
          <w:bdr w:val="single" w:sz="6" w:space="9" w:color="B4BACA" w:frame="1"/>
          <w:shd w:val="clear" w:color="auto" w:fill="FFFFFF"/>
          <w:lang w:val="en"/>
        </w:rPr>
      </w:pPr>
      <w:r w:rsidRPr="003B1851">
        <w:rPr>
          <w:rFonts w:ascii="Arial" w:hAnsi="Arial" w:cs="Arial"/>
          <w:vanish/>
          <w:color w:val="000000" w:themeColor="text1"/>
          <w:highlight w:val="yellow"/>
          <w:bdr w:val="single" w:sz="6" w:space="9" w:color="B4BACA" w:frame="1"/>
          <w:shd w:val="clear" w:color="auto" w:fill="FFFFFF"/>
          <w:lang w:val="en"/>
        </w:rPr>
        <w:t xml:space="preserve">* </w:t>
      </w:r>
    </w:p>
    <w:p w14:paraId="1E9F9F3F" w14:textId="77777777" w:rsidR="002942B4" w:rsidRPr="003B1851" w:rsidRDefault="002942B4" w:rsidP="00291BB8">
      <w:pPr>
        <w:spacing w:after="0" w:line="360" w:lineRule="auto"/>
        <w:rPr>
          <w:rFonts w:ascii="Arial" w:hAnsi="Arial" w:cs="Arial"/>
          <w:vanish/>
          <w:color w:val="000000" w:themeColor="text1"/>
          <w:highlight w:val="yellow"/>
          <w:bdr w:val="single" w:sz="6" w:space="9" w:color="B4BACA" w:frame="1"/>
          <w:shd w:val="clear" w:color="auto" w:fill="FFFFFF"/>
          <w:lang w:val="en"/>
        </w:rPr>
      </w:pPr>
      <w:r w:rsidRPr="003B1851">
        <w:rPr>
          <w:rFonts w:ascii="Arial" w:hAnsi="Arial" w:cs="Arial"/>
          <w:vanish/>
          <w:color w:val="000000" w:themeColor="text1"/>
          <w:highlight w:val="yellow"/>
          <w:bdr w:val="single" w:sz="6" w:space="9" w:color="B4BACA" w:frame="1"/>
          <w:shd w:val="clear" w:color="auto" w:fill="FFFFFF"/>
          <w:lang w:val="en"/>
        </w:rPr>
        <w:t xml:space="preserve">*Correspondence to Dr Lisa Morriss, Lecturer in Applied Mental Health, 1.11 Simon Building, Institute of Brain, Behaviour and Mental Health, Faculty of Medical and Human Sciences, University of Manchester, Manchester, M13 9PL, UK. E-mail: </w:t>
      </w:r>
      <w:hyperlink r:id="rId9" w:history="1">
        <w:r w:rsidRPr="003B1851">
          <w:rPr>
            <w:rStyle w:val="Hyperlink"/>
            <w:rFonts w:ascii="Arial" w:hAnsi="Arial" w:cs="Arial"/>
            <w:i/>
            <w:iCs/>
            <w:vanish/>
            <w:color w:val="000000" w:themeColor="text1"/>
            <w:highlight w:val="yellow"/>
            <w:bdr w:val="single" w:sz="6" w:space="9" w:color="B4BACA" w:frame="1"/>
            <w:shd w:val="clear" w:color="auto" w:fill="FFFFFF"/>
            <w:lang w:val="en"/>
          </w:rPr>
          <w:t>lisa.morriss@manchester.ac.uk</w:t>
        </w:r>
      </w:hyperlink>
      <w:r w:rsidRPr="003B1851">
        <w:rPr>
          <w:rFonts w:ascii="Arial" w:hAnsi="Arial" w:cs="Arial"/>
          <w:vanish/>
          <w:color w:val="000000" w:themeColor="text1"/>
          <w:highlight w:val="yellow"/>
          <w:bdr w:val="single" w:sz="6" w:space="9" w:color="B4BACA" w:frame="1"/>
          <w:shd w:val="clear" w:color="auto" w:fill="FFFFFF"/>
          <w:lang w:val="en"/>
        </w:rPr>
        <w:t xml:space="preserve"> </w:t>
      </w:r>
    </w:p>
    <w:p w14:paraId="6CACEE07" w14:textId="77777777" w:rsidR="002942B4" w:rsidRPr="003B1851" w:rsidRDefault="002942B4" w:rsidP="00291BB8">
      <w:pPr>
        <w:spacing w:after="0" w:line="360" w:lineRule="auto"/>
        <w:rPr>
          <w:rFonts w:ascii="Arial" w:hAnsi="Arial" w:cs="Arial"/>
          <w:bCs/>
          <w:vanish/>
          <w:color w:val="000000" w:themeColor="text1"/>
          <w:highlight w:val="yellow"/>
          <w:bdr w:val="single" w:sz="6" w:space="9" w:color="B4BACA" w:frame="1"/>
          <w:shd w:val="clear" w:color="auto" w:fill="FFFFFF"/>
          <w:lang w:val="en"/>
        </w:rPr>
      </w:pPr>
      <w:r w:rsidRPr="003B1851">
        <w:rPr>
          <w:rFonts w:ascii="Arial" w:hAnsi="Arial" w:cs="Arial"/>
          <w:bCs/>
          <w:vanish/>
          <w:color w:val="000000" w:themeColor="text1"/>
          <w:highlight w:val="yellow"/>
          <w:bdr w:val="single" w:sz="6" w:space="9" w:color="B4BACA" w:frame="1"/>
          <w:shd w:val="clear" w:color="auto" w:fill="FFFFFF"/>
          <w:lang w:val="en"/>
        </w:rPr>
        <w:t xml:space="preserve">Search for other works by this author on: </w:t>
      </w:r>
    </w:p>
    <w:p w14:paraId="413480F2" w14:textId="77777777" w:rsidR="002942B4" w:rsidRPr="003B1851" w:rsidRDefault="003B1851" w:rsidP="00291BB8">
      <w:pPr>
        <w:spacing w:after="0" w:line="360" w:lineRule="auto"/>
        <w:rPr>
          <w:rFonts w:ascii="Arial" w:hAnsi="Arial" w:cs="Arial"/>
          <w:vanish/>
          <w:color w:val="000000" w:themeColor="text1"/>
          <w:highlight w:val="yellow"/>
          <w:bdr w:val="single" w:sz="6" w:space="9" w:color="B4BACA" w:frame="1"/>
          <w:shd w:val="clear" w:color="auto" w:fill="FFFFFF"/>
          <w:lang w:val="en"/>
        </w:rPr>
      </w:pPr>
      <w:hyperlink r:id="rId10" w:history="1">
        <w:r w:rsidR="002942B4" w:rsidRPr="003B1851">
          <w:rPr>
            <w:rStyle w:val="Hyperlink"/>
            <w:rFonts w:ascii="Arial" w:hAnsi="Arial" w:cs="Arial"/>
            <w:vanish/>
            <w:color w:val="000000" w:themeColor="text1"/>
            <w:highlight w:val="yellow"/>
            <w:bdr w:val="single" w:sz="6" w:space="9" w:color="B4BACA" w:frame="1"/>
            <w:shd w:val="clear" w:color="auto" w:fill="FFFFFF"/>
            <w:lang w:val="en"/>
          </w:rPr>
          <w:t>Oxford Academic</w:t>
        </w:r>
      </w:hyperlink>
      <w:r w:rsidR="002942B4" w:rsidRPr="003B1851">
        <w:rPr>
          <w:rFonts w:ascii="Arial" w:hAnsi="Arial" w:cs="Arial"/>
          <w:vanish/>
          <w:color w:val="000000" w:themeColor="text1"/>
          <w:highlight w:val="yellow"/>
          <w:bdr w:val="single" w:sz="6" w:space="9" w:color="B4BACA" w:frame="1"/>
          <w:shd w:val="clear" w:color="auto" w:fill="FFFFFF"/>
          <w:lang w:val="en"/>
        </w:rPr>
        <w:t xml:space="preserve"> </w:t>
      </w:r>
    </w:p>
    <w:p w14:paraId="1643AE3D" w14:textId="77777777" w:rsidR="002942B4" w:rsidRPr="003B1851" w:rsidRDefault="003B1851" w:rsidP="00291BB8">
      <w:pPr>
        <w:spacing w:after="0" w:line="360" w:lineRule="auto"/>
        <w:rPr>
          <w:rFonts w:ascii="Arial" w:hAnsi="Arial" w:cs="Arial"/>
          <w:vanish/>
          <w:color w:val="000000" w:themeColor="text1"/>
          <w:highlight w:val="yellow"/>
          <w:bdr w:val="single" w:sz="6" w:space="9" w:color="B4BACA" w:frame="1"/>
          <w:shd w:val="clear" w:color="auto" w:fill="FFFFFF"/>
          <w:lang w:val="en"/>
        </w:rPr>
      </w:pPr>
      <w:hyperlink r:id="rId11" w:history="1">
        <w:r w:rsidR="002942B4" w:rsidRPr="003B1851">
          <w:rPr>
            <w:rStyle w:val="Hyperlink"/>
            <w:rFonts w:ascii="Arial" w:hAnsi="Arial" w:cs="Arial"/>
            <w:vanish/>
            <w:color w:val="000000" w:themeColor="text1"/>
            <w:highlight w:val="yellow"/>
            <w:bdr w:val="single" w:sz="6" w:space="9" w:color="B4BACA" w:frame="1"/>
            <w:shd w:val="clear" w:color="auto" w:fill="FFFFFF"/>
            <w:lang w:val="en"/>
          </w:rPr>
          <w:t>Google Scholar</w:t>
        </w:r>
      </w:hyperlink>
      <w:r w:rsidR="002942B4" w:rsidRPr="003B1851">
        <w:rPr>
          <w:rFonts w:ascii="Arial" w:hAnsi="Arial" w:cs="Arial"/>
          <w:vanish/>
          <w:color w:val="000000" w:themeColor="text1"/>
          <w:highlight w:val="yellow"/>
          <w:bdr w:val="single" w:sz="6" w:space="9" w:color="B4BACA" w:frame="1"/>
          <w:shd w:val="clear" w:color="auto" w:fill="FFFFFF"/>
          <w:lang w:val="en"/>
        </w:rPr>
        <w:t xml:space="preserve"> </w:t>
      </w:r>
    </w:p>
    <w:p w14:paraId="3D802A55" w14:textId="77777777" w:rsidR="002942B4" w:rsidRPr="003B1851" w:rsidRDefault="002942B4" w:rsidP="00291BB8">
      <w:pPr>
        <w:spacing w:after="0" w:line="360" w:lineRule="auto"/>
        <w:rPr>
          <w:rFonts w:ascii="Arial" w:hAnsi="Arial" w:cs="Arial"/>
          <w:color w:val="000000" w:themeColor="text1"/>
          <w:highlight w:val="yellow"/>
        </w:rPr>
      </w:pPr>
    </w:p>
    <w:p w14:paraId="3A4B7320" w14:textId="776B9948" w:rsidR="00C22E94" w:rsidRPr="003B1851" w:rsidRDefault="002942B4"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lastRenderedPageBreak/>
        <w:t>Mental Health Taskforce (2016) The Five Year Forward View for Mental Health</w:t>
      </w:r>
      <w:r w:rsidRPr="003B1851">
        <w:rPr>
          <w:rStyle w:val="A0"/>
          <w:rFonts w:ascii="Arial" w:hAnsi="Arial" w:cs="Arial"/>
          <w:b w:val="0"/>
          <w:color w:val="000000" w:themeColor="text1"/>
          <w:sz w:val="22"/>
          <w:szCs w:val="22"/>
          <w:highlight w:val="yellow"/>
        </w:rPr>
        <w:t xml:space="preserve">, London; </w:t>
      </w:r>
      <w:r w:rsidRPr="003B1851">
        <w:rPr>
          <w:rFonts w:ascii="Arial" w:hAnsi="Arial" w:cs="Arial"/>
          <w:color w:val="000000" w:themeColor="text1"/>
          <w:highlight w:val="yellow"/>
        </w:rPr>
        <w:t>Mental Health Taskforce</w:t>
      </w:r>
      <w:r w:rsidR="00C22E94" w:rsidRPr="003B1851">
        <w:rPr>
          <w:rFonts w:ascii="Arial" w:hAnsi="Arial" w:cs="Arial"/>
          <w:color w:val="000000" w:themeColor="text1"/>
          <w:highlight w:val="yellow"/>
        </w:rPr>
        <w:t>.</w:t>
      </w:r>
    </w:p>
    <w:p w14:paraId="006604FC" w14:textId="3349828B" w:rsidR="00544EC3" w:rsidRPr="003B1851" w:rsidRDefault="00C22E94" w:rsidP="00291BB8">
      <w:pPr>
        <w:spacing w:before="100" w:beforeAutospacing="1" w:after="100" w:afterAutospacing="1" w:line="480" w:lineRule="auto"/>
        <w:jc w:val="both"/>
        <w:rPr>
          <w:rFonts w:ascii="Arial" w:hAnsi="Arial" w:cs="Arial"/>
          <w:highlight w:val="yellow"/>
        </w:rPr>
      </w:pPr>
      <w:r w:rsidRPr="003B1851">
        <w:rPr>
          <w:rFonts w:ascii="Arial" w:hAnsi="Arial" w:cs="Arial"/>
          <w:highlight w:val="yellow"/>
        </w:rPr>
        <w:t xml:space="preserve">NHS Employers (2018) </w:t>
      </w:r>
      <w:r w:rsidRPr="003B1851">
        <w:rPr>
          <w:rFonts w:ascii="Arial" w:hAnsi="Arial" w:cs="Arial"/>
          <w:highlight w:val="yellow"/>
          <w:lang w:val="en"/>
        </w:rPr>
        <w:t>About Agenda for Change, Available from:</w:t>
      </w:r>
      <w:r w:rsidRPr="003B1851">
        <w:rPr>
          <w:rFonts w:ascii="Arial" w:hAnsi="Arial" w:cs="Arial"/>
          <w:highlight w:val="yellow"/>
        </w:rPr>
        <w:t xml:space="preserve">  http://www.nhsemployers.org/your-workforce/pay-and-reward/agenda-for-change/how-agenda-for-change-works [accessed 29/06/2018] </w:t>
      </w:r>
    </w:p>
    <w:p w14:paraId="64D9D571" w14:textId="490B0CF7" w:rsidR="00471322" w:rsidRPr="003B1851" w:rsidRDefault="00471322" w:rsidP="00291BB8">
      <w:pPr>
        <w:spacing w:after="0" w:line="360" w:lineRule="auto"/>
        <w:rPr>
          <w:rFonts w:ascii="Arial" w:hAnsi="Arial" w:cs="Arial"/>
          <w:color w:val="000000" w:themeColor="text1"/>
          <w:highlight w:val="yellow"/>
        </w:rPr>
      </w:pPr>
      <w:r w:rsidRPr="003B1851">
        <w:rPr>
          <w:rFonts w:ascii="Arial" w:hAnsi="Arial" w:cs="Arial"/>
          <w:color w:val="000000" w:themeColor="text1"/>
          <w:highlight w:val="yellow"/>
        </w:rPr>
        <w:t xml:space="preserve">Rapaport, J. (2006). New roles in mental health: The creation of the approved mental health practitioner. </w:t>
      </w:r>
      <w:r w:rsidRPr="003B1851">
        <w:rPr>
          <w:rFonts w:ascii="Arial" w:hAnsi="Arial" w:cs="Arial"/>
          <w:i/>
          <w:iCs/>
          <w:color w:val="000000" w:themeColor="text1"/>
          <w:highlight w:val="yellow"/>
        </w:rPr>
        <w:t>Journal of Integrated Care, 14</w:t>
      </w:r>
      <w:r w:rsidRPr="003B1851">
        <w:rPr>
          <w:rFonts w:ascii="Arial" w:hAnsi="Arial" w:cs="Arial"/>
          <w:color w:val="000000" w:themeColor="text1"/>
          <w:highlight w:val="yellow"/>
        </w:rPr>
        <w:t>(5), 37–46.</w:t>
      </w:r>
    </w:p>
    <w:p w14:paraId="47FD40EA" w14:textId="77777777" w:rsidR="00A47166" w:rsidRPr="003B1851" w:rsidRDefault="00A47166" w:rsidP="00291BB8">
      <w:pPr>
        <w:spacing w:after="0" w:line="360" w:lineRule="auto"/>
        <w:rPr>
          <w:rFonts w:ascii="Arial" w:hAnsi="Arial" w:cs="Arial"/>
          <w:color w:val="000000" w:themeColor="text1"/>
          <w:highlight w:val="yellow"/>
        </w:rPr>
      </w:pPr>
    </w:p>
    <w:p w14:paraId="13DE3C1A" w14:textId="23203B5D" w:rsidR="00B80D11" w:rsidRPr="003B1851" w:rsidRDefault="00B80D11" w:rsidP="00291BB8">
      <w:pPr>
        <w:spacing w:after="0" w:line="360" w:lineRule="auto"/>
        <w:rPr>
          <w:rFonts w:ascii="Arial" w:eastAsia="Times New Roman" w:hAnsi="Arial" w:cs="Arial"/>
          <w:noProof/>
          <w:highlight w:val="yellow"/>
          <w:lang w:eastAsia="en-GB"/>
        </w:rPr>
      </w:pPr>
      <w:r w:rsidRPr="003B1851">
        <w:rPr>
          <w:rFonts w:ascii="Arial" w:eastAsia="Times New Roman" w:hAnsi="Arial" w:cs="Arial"/>
          <w:noProof/>
          <w:highlight w:val="yellow"/>
          <w:lang w:eastAsia="en-GB"/>
        </w:rPr>
        <w:t>Stone, K (2018) Approved Mental Health Professionals and Detention: An Exploration of Professional Differences and Simularities, Practice</w:t>
      </w:r>
      <w:r w:rsidR="004F6A33" w:rsidRPr="003B1851">
        <w:rPr>
          <w:rFonts w:ascii="Arial" w:eastAsia="Times New Roman" w:hAnsi="Arial" w:cs="Arial"/>
          <w:noProof/>
          <w:highlight w:val="yellow"/>
          <w:lang w:eastAsia="en-GB"/>
        </w:rPr>
        <w:t>:</w:t>
      </w:r>
      <w:r w:rsidRPr="003B1851">
        <w:rPr>
          <w:rFonts w:ascii="Arial" w:eastAsia="Times New Roman" w:hAnsi="Arial" w:cs="Arial"/>
          <w:noProof/>
          <w:highlight w:val="yellow"/>
          <w:lang w:eastAsia="en-GB"/>
        </w:rPr>
        <w:t xml:space="preserve"> Social Work in Action</w:t>
      </w:r>
    </w:p>
    <w:p w14:paraId="4FB47076" w14:textId="77777777" w:rsidR="004126CA" w:rsidRPr="003B1851" w:rsidRDefault="004126CA" w:rsidP="00291BB8">
      <w:pPr>
        <w:spacing w:after="0" w:line="360" w:lineRule="auto"/>
        <w:rPr>
          <w:rFonts w:ascii="Arial" w:eastAsia="Times New Roman" w:hAnsi="Arial" w:cs="Arial"/>
          <w:noProof/>
          <w:highlight w:val="yellow"/>
          <w:lang w:eastAsia="en-GB"/>
        </w:rPr>
      </w:pPr>
    </w:p>
    <w:p w14:paraId="584B2F7D" w14:textId="1B019AAF" w:rsidR="004126CA" w:rsidRPr="003B1851" w:rsidRDefault="004126CA" w:rsidP="00291BB8">
      <w:pPr>
        <w:pStyle w:val="NormalWeb"/>
        <w:spacing w:before="0" w:beforeAutospacing="0" w:after="0" w:afterAutospacing="0" w:line="360" w:lineRule="auto"/>
        <w:jc w:val="both"/>
        <w:rPr>
          <w:rFonts w:ascii="Arial" w:hAnsi="Arial" w:cs="Arial"/>
          <w:sz w:val="22"/>
          <w:szCs w:val="22"/>
          <w:highlight w:val="yellow"/>
        </w:rPr>
      </w:pPr>
      <w:r w:rsidRPr="003B1851">
        <w:rPr>
          <w:rFonts w:ascii="Arial" w:hAnsi="Arial" w:cs="Arial"/>
          <w:noProof/>
          <w:sz w:val="22"/>
          <w:szCs w:val="22"/>
          <w:highlight w:val="yellow"/>
        </w:rPr>
        <w:t>Stone, K. Vicary, S, Scott, C &amp; Buckland, R. (</w:t>
      </w:r>
      <w:r w:rsidR="004F6A33" w:rsidRPr="003B1851">
        <w:rPr>
          <w:rFonts w:ascii="Arial" w:hAnsi="Arial" w:cs="Arial"/>
          <w:noProof/>
          <w:sz w:val="22"/>
          <w:szCs w:val="22"/>
          <w:highlight w:val="yellow"/>
        </w:rPr>
        <w:t>forthcoming</w:t>
      </w:r>
      <w:r w:rsidRPr="003B1851">
        <w:rPr>
          <w:rFonts w:ascii="Arial" w:hAnsi="Arial" w:cs="Arial"/>
          <w:noProof/>
          <w:sz w:val="22"/>
          <w:szCs w:val="22"/>
          <w:highlight w:val="yellow"/>
        </w:rPr>
        <w:t xml:space="preserve">) </w:t>
      </w:r>
      <w:r w:rsidRPr="003B1851">
        <w:rPr>
          <w:rFonts w:ascii="Arial" w:hAnsi="Arial" w:cs="Arial"/>
          <w:bCs/>
          <w:color w:val="000000"/>
          <w:sz w:val="22"/>
          <w:szCs w:val="22"/>
          <w:highlight w:val="yellow"/>
        </w:rPr>
        <w:t>Ethics, conduct and integrity. The challenge of multi-site research in health and social care; an Approved Mental Health Professional case study, unpublished ‘submitted’</w:t>
      </w:r>
    </w:p>
    <w:p w14:paraId="5769B955" w14:textId="58E4C230" w:rsidR="004126CA" w:rsidRPr="003B1851" w:rsidRDefault="004126CA" w:rsidP="00291BB8">
      <w:pPr>
        <w:spacing w:after="0" w:line="360" w:lineRule="auto"/>
        <w:rPr>
          <w:rFonts w:ascii="Arial" w:eastAsia="Times New Roman" w:hAnsi="Arial" w:cs="Arial"/>
          <w:noProof/>
          <w:highlight w:val="yellow"/>
          <w:lang w:eastAsia="en-GB"/>
        </w:rPr>
      </w:pPr>
    </w:p>
    <w:p w14:paraId="5AFA98AE" w14:textId="4BCA77AF" w:rsidR="00AA2816" w:rsidRPr="00B80D11" w:rsidRDefault="00AA2816" w:rsidP="00291BB8">
      <w:pPr>
        <w:spacing w:after="0" w:line="360" w:lineRule="auto"/>
        <w:rPr>
          <w:rFonts w:ascii="Arial" w:eastAsia="Times New Roman" w:hAnsi="Arial" w:cs="Arial"/>
          <w:noProof/>
          <w:lang w:eastAsia="en-GB"/>
        </w:rPr>
      </w:pPr>
      <w:r w:rsidRPr="003B1851">
        <w:rPr>
          <w:rFonts w:ascii="Arial" w:eastAsia="Times New Roman" w:hAnsi="Arial" w:cs="Arial"/>
          <w:noProof/>
          <w:highlight w:val="yellow"/>
          <w:lang w:eastAsia="en-GB"/>
        </w:rPr>
        <w:t>Thompson, N (1997) Anti-discriminatory Practice (2</w:t>
      </w:r>
      <w:r w:rsidRPr="003B1851">
        <w:rPr>
          <w:rFonts w:ascii="Arial" w:eastAsia="Times New Roman" w:hAnsi="Arial" w:cs="Arial"/>
          <w:noProof/>
          <w:highlight w:val="yellow"/>
          <w:vertAlign w:val="superscript"/>
          <w:lang w:eastAsia="en-GB"/>
        </w:rPr>
        <w:t>nd</w:t>
      </w:r>
      <w:r w:rsidRPr="003B1851">
        <w:rPr>
          <w:rFonts w:ascii="Arial" w:eastAsia="Times New Roman" w:hAnsi="Arial" w:cs="Arial"/>
          <w:noProof/>
          <w:highlight w:val="yellow"/>
          <w:lang w:eastAsia="en-GB"/>
        </w:rPr>
        <w:t xml:space="preserve"> Edition), Basingstoke, Macmillan.</w:t>
      </w:r>
      <w:r>
        <w:rPr>
          <w:rFonts w:ascii="Arial" w:eastAsia="Times New Roman" w:hAnsi="Arial" w:cs="Arial"/>
          <w:noProof/>
          <w:lang w:eastAsia="en-GB"/>
        </w:rPr>
        <w:t xml:space="preserve"> </w:t>
      </w:r>
    </w:p>
    <w:p w14:paraId="0DF7D370" w14:textId="77777777" w:rsidR="00B80D11" w:rsidRPr="00471322" w:rsidRDefault="00B80D11" w:rsidP="00291BB8">
      <w:pPr>
        <w:spacing w:after="0" w:line="360" w:lineRule="auto"/>
        <w:rPr>
          <w:rFonts w:ascii="Arial" w:hAnsi="Arial" w:cs="Arial"/>
          <w:color w:val="000000" w:themeColor="text1"/>
        </w:rPr>
      </w:pPr>
    </w:p>
    <w:p w14:paraId="77773631" w14:textId="77777777" w:rsidR="00471322" w:rsidRPr="00471322" w:rsidRDefault="00471322" w:rsidP="00291BB8">
      <w:pPr>
        <w:spacing w:after="0" w:line="360" w:lineRule="auto"/>
        <w:rPr>
          <w:rFonts w:ascii="Arial" w:hAnsi="Arial" w:cs="Arial"/>
          <w:color w:val="000000" w:themeColor="text1"/>
        </w:rPr>
      </w:pPr>
    </w:p>
    <w:sectPr w:rsidR="00471322" w:rsidRPr="00471322" w:rsidSect="000C417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7233" w14:textId="77777777" w:rsidR="000A098B" w:rsidRDefault="000A098B" w:rsidP="00FE4F75">
      <w:pPr>
        <w:spacing w:after="0" w:line="240" w:lineRule="auto"/>
      </w:pPr>
      <w:r>
        <w:separator/>
      </w:r>
    </w:p>
  </w:endnote>
  <w:endnote w:type="continuationSeparator" w:id="0">
    <w:p w14:paraId="3DBBFAF1" w14:textId="77777777" w:rsidR="000A098B" w:rsidRDefault="000A098B" w:rsidP="00FE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6FB3" w14:textId="77777777" w:rsidR="000A098B" w:rsidRDefault="000A098B" w:rsidP="00FE4F75">
      <w:pPr>
        <w:spacing w:after="0" w:line="240" w:lineRule="auto"/>
      </w:pPr>
      <w:r>
        <w:separator/>
      </w:r>
    </w:p>
  </w:footnote>
  <w:footnote w:type="continuationSeparator" w:id="0">
    <w:p w14:paraId="442A0919" w14:textId="77777777" w:rsidR="000A098B" w:rsidRDefault="000A098B" w:rsidP="00FE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8776B"/>
    <w:multiLevelType w:val="multilevel"/>
    <w:tmpl w:val="152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BB"/>
    <w:rsid w:val="000003E2"/>
    <w:rsid w:val="00014AE8"/>
    <w:rsid w:val="00021B85"/>
    <w:rsid w:val="00026301"/>
    <w:rsid w:val="000269D5"/>
    <w:rsid w:val="00030E97"/>
    <w:rsid w:val="00041AF8"/>
    <w:rsid w:val="00042AEB"/>
    <w:rsid w:val="00042F06"/>
    <w:rsid w:val="00065608"/>
    <w:rsid w:val="0007365C"/>
    <w:rsid w:val="000743CE"/>
    <w:rsid w:val="00076113"/>
    <w:rsid w:val="00077EC3"/>
    <w:rsid w:val="00080781"/>
    <w:rsid w:val="00092AB0"/>
    <w:rsid w:val="000941AC"/>
    <w:rsid w:val="000A098B"/>
    <w:rsid w:val="000A11D6"/>
    <w:rsid w:val="000A6605"/>
    <w:rsid w:val="000B07D1"/>
    <w:rsid w:val="000B594A"/>
    <w:rsid w:val="000C1F7E"/>
    <w:rsid w:val="000C417A"/>
    <w:rsid w:val="000C68BB"/>
    <w:rsid w:val="000C7318"/>
    <w:rsid w:val="000D1B8A"/>
    <w:rsid w:val="000D655D"/>
    <w:rsid w:val="000D6CA8"/>
    <w:rsid w:val="000E120F"/>
    <w:rsid w:val="000E3BA1"/>
    <w:rsid w:val="000F1303"/>
    <w:rsid w:val="00103DCF"/>
    <w:rsid w:val="001102DE"/>
    <w:rsid w:val="001277E5"/>
    <w:rsid w:val="001332DD"/>
    <w:rsid w:val="001343B4"/>
    <w:rsid w:val="001345E3"/>
    <w:rsid w:val="0014206D"/>
    <w:rsid w:val="00144760"/>
    <w:rsid w:val="0016228A"/>
    <w:rsid w:val="00162F07"/>
    <w:rsid w:val="001661E5"/>
    <w:rsid w:val="001808DC"/>
    <w:rsid w:val="00180D79"/>
    <w:rsid w:val="0018402E"/>
    <w:rsid w:val="00191FE9"/>
    <w:rsid w:val="00192A74"/>
    <w:rsid w:val="001967A0"/>
    <w:rsid w:val="001B25BF"/>
    <w:rsid w:val="001B79A8"/>
    <w:rsid w:val="001C0227"/>
    <w:rsid w:val="001C214B"/>
    <w:rsid w:val="001D441B"/>
    <w:rsid w:val="001E1125"/>
    <w:rsid w:val="001E509F"/>
    <w:rsid w:val="001E6A2F"/>
    <w:rsid w:val="001E7D20"/>
    <w:rsid w:val="001F2BA9"/>
    <w:rsid w:val="0020286C"/>
    <w:rsid w:val="00214AF9"/>
    <w:rsid w:val="0021757A"/>
    <w:rsid w:val="00222A90"/>
    <w:rsid w:val="002537DB"/>
    <w:rsid w:val="002620F8"/>
    <w:rsid w:val="002808CF"/>
    <w:rsid w:val="00291BB8"/>
    <w:rsid w:val="002942B4"/>
    <w:rsid w:val="002A49D8"/>
    <w:rsid w:val="002A4CA0"/>
    <w:rsid w:val="002A735D"/>
    <w:rsid w:val="002B14B2"/>
    <w:rsid w:val="002B5186"/>
    <w:rsid w:val="002C17C6"/>
    <w:rsid w:val="002D54CB"/>
    <w:rsid w:val="002E38C8"/>
    <w:rsid w:val="002E3E59"/>
    <w:rsid w:val="002E725B"/>
    <w:rsid w:val="002F0EF2"/>
    <w:rsid w:val="00300C60"/>
    <w:rsid w:val="00304B89"/>
    <w:rsid w:val="003162EC"/>
    <w:rsid w:val="003319D2"/>
    <w:rsid w:val="003353D6"/>
    <w:rsid w:val="00340A32"/>
    <w:rsid w:val="003471F5"/>
    <w:rsid w:val="00352C98"/>
    <w:rsid w:val="00356B3D"/>
    <w:rsid w:val="003600D0"/>
    <w:rsid w:val="003639EB"/>
    <w:rsid w:val="00364E00"/>
    <w:rsid w:val="003712E1"/>
    <w:rsid w:val="00372853"/>
    <w:rsid w:val="003760D8"/>
    <w:rsid w:val="00377120"/>
    <w:rsid w:val="00385C45"/>
    <w:rsid w:val="0039250A"/>
    <w:rsid w:val="00392914"/>
    <w:rsid w:val="00394861"/>
    <w:rsid w:val="003A0BDA"/>
    <w:rsid w:val="003A1F85"/>
    <w:rsid w:val="003A3602"/>
    <w:rsid w:val="003B1851"/>
    <w:rsid w:val="003B7324"/>
    <w:rsid w:val="003C67A9"/>
    <w:rsid w:val="003C6F79"/>
    <w:rsid w:val="003D3A0D"/>
    <w:rsid w:val="003E29E2"/>
    <w:rsid w:val="003E6056"/>
    <w:rsid w:val="003F1E1A"/>
    <w:rsid w:val="003F7631"/>
    <w:rsid w:val="00401AEF"/>
    <w:rsid w:val="004026C6"/>
    <w:rsid w:val="00404701"/>
    <w:rsid w:val="004126CA"/>
    <w:rsid w:val="004315B8"/>
    <w:rsid w:val="00433D3D"/>
    <w:rsid w:val="00440EB7"/>
    <w:rsid w:val="00446299"/>
    <w:rsid w:val="00446DCA"/>
    <w:rsid w:val="0045036F"/>
    <w:rsid w:val="00460670"/>
    <w:rsid w:val="004610A4"/>
    <w:rsid w:val="004663A0"/>
    <w:rsid w:val="00471322"/>
    <w:rsid w:val="00484CA6"/>
    <w:rsid w:val="00485629"/>
    <w:rsid w:val="00486246"/>
    <w:rsid w:val="00492612"/>
    <w:rsid w:val="004962FD"/>
    <w:rsid w:val="004973D5"/>
    <w:rsid w:val="004A160D"/>
    <w:rsid w:val="004A4157"/>
    <w:rsid w:val="004C009E"/>
    <w:rsid w:val="004C5827"/>
    <w:rsid w:val="004D0391"/>
    <w:rsid w:val="004D1627"/>
    <w:rsid w:val="004D5AD1"/>
    <w:rsid w:val="004E2984"/>
    <w:rsid w:val="004E30E2"/>
    <w:rsid w:val="004F17EE"/>
    <w:rsid w:val="004F6A33"/>
    <w:rsid w:val="00500E0C"/>
    <w:rsid w:val="00502884"/>
    <w:rsid w:val="00502A84"/>
    <w:rsid w:val="005165BF"/>
    <w:rsid w:val="00523A2B"/>
    <w:rsid w:val="00525AB7"/>
    <w:rsid w:val="005309B9"/>
    <w:rsid w:val="005350E5"/>
    <w:rsid w:val="0053682D"/>
    <w:rsid w:val="00540315"/>
    <w:rsid w:val="0054208F"/>
    <w:rsid w:val="00544EC3"/>
    <w:rsid w:val="00564AC4"/>
    <w:rsid w:val="00574A6B"/>
    <w:rsid w:val="0057549D"/>
    <w:rsid w:val="00584F26"/>
    <w:rsid w:val="005852D8"/>
    <w:rsid w:val="00590E83"/>
    <w:rsid w:val="005A2F83"/>
    <w:rsid w:val="005C0802"/>
    <w:rsid w:val="005C2FE7"/>
    <w:rsid w:val="005C6276"/>
    <w:rsid w:val="005D0F57"/>
    <w:rsid w:val="005D58A0"/>
    <w:rsid w:val="005D6497"/>
    <w:rsid w:val="005D74C8"/>
    <w:rsid w:val="005E35FC"/>
    <w:rsid w:val="005E379A"/>
    <w:rsid w:val="005E4161"/>
    <w:rsid w:val="005E6997"/>
    <w:rsid w:val="005F0353"/>
    <w:rsid w:val="005F27EA"/>
    <w:rsid w:val="005F6EF9"/>
    <w:rsid w:val="00603B1C"/>
    <w:rsid w:val="00603DC9"/>
    <w:rsid w:val="0061590B"/>
    <w:rsid w:val="00624853"/>
    <w:rsid w:val="00624C3E"/>
    <w:rsid w:val="0063017D"/>
    <w:rsid w:val="00632133"/>
    <w:rsid w:val="006351C4"/>
    <w:rsid w:val="00636A25"/>
    <w:rsid w:val="0065162A"/>
    <w:rsid w:val="00665D8A"/>
    <w:rsid w:val="0066642D"/>
    <w:rsid w:val="00680F34"/>
    <w:rsid w:val="00681AB7"/>
    <w:rsid w:val="00682990"/>
    <w:rsid w:val="0068690D"/>
    <w:rsid w:val="006A02F9"/>
    <w:rsid w:val="006B055E"/>
    <w:rsid w:val="006B565A"/>
    <w:rsid w:val="006C079E"/>
    <w:rsid w:val="006D5779"/>
    <w:rsid w:val="006E666F"/>
    <w:rsid w:val="006F049E"/>
    <w:rsid w:val="006F30EB"/>
    <w:rsid w:val="006F42C5"/>
    <w:rsid w:val="00703BBB"/>
    <w:rsid w:val="00704511"/>
    <w:rsid w:val="007101E9"/>
    <w:rsid w:val="00714ED2"/>
    <w:rsid w:val="007164CE"/>
    <w:rsid w:val="00727084"/>
    <w:rsid w:val="0073040B"/>
    <w:rsid w:val="007528A3"/>
    <w:rsid w:val="00760BED"/>
    <w:rsid w:val="007635DF"/>
    <w:rsid w:val="00764487"/>
    <w:rsid w:val="00771568"/>
    <w:rsid w:val="00782958"/>
    <w:rsid w:val="00783BB1"/>
    <w:rsid w:val="007928E2"/>
    <w:rsid w:val="00794C8B"/>
    <w:rsid w:val="007977CE"/>
    <w:rsid w:val="007B5926"/>
    <w:rsid w:val="007C4A40"/>
    <w:rsid w:val="007D5618"/>
    <w:rsid w:val="007E0C95"/>
    <w:rsid w:val="007E6703"/>
    <w:rsid w:val="007F2E11"/>
    <w:rsid w:val="007F6258"/>
    <w:rsid w:val="0080503A"/>
    <w:rsid w:val="00812F45"/>
    <w:rsid w:val="00817C1F"/>
    <w:rsid w:val="00822012"/>
    <w:rsid w:val="00832744"/>
    <w:rsid w:val="00833F11"/>
    <w:rsid w:val="00840E35"/>
    <w:rsid w:val="00841CAA"/>
    <w:rsid w:val="00842D36"/>
    <w:rsid w:val="00845894"/>
    <w:rsid w:val="008540B1"/>
    <w:rsid w:val="00854A16"/>
    <w:rsid w:val="00854B94"/>
    <w:rsid w:val="008569B6"/>
    <w:rsid w:val="008601CE"/>
    <w:rsid w:val="008705C8"/>
    <w:rsid w:val="00883932"/>
    <w:rsid w:val="00891CC2"/>
    <w:rsid w:val="008934F8"/>
    <w:rsid w:val="008A1608"/>
    <w:rsid w:val="008A3748"/>
    <w:rsid w:val="008B319C"/>
    <w:rsid w:val="008C2A74"/>
    <w:rsid w:val="008C31FF"/>
    <w:rsid w:val="008D34A4"/>
    <w:rsid w:val="008E006C"/>
    <w:rsid w:val="008E21E1"/>
    <w:rsid w:val="008E4C11"/>
    <w:rsid w:val="008F2C6A"/>
    <w:rsid w:val="00901AF8"/>
    <w:rsid w:val="0091646B"/>
    <w:rsid w:val="00916960"/>
    <w:rsid w:val="00923352"/>
    <w:rsid w:val="00925159"/>
    <w:rsid w:val="00930331"/>
    <w:rsid w:val="0093095F"/>
    <w:rsid w:val="00930C3F"/>
    <w:rsid w:val="00934B04"/>
    <w:rsid w:val="00936B3A"/>
    <w:rsid w:val="00941866"/>
    <w:rsid w:val="00964236"/>
    <w:rsid w:val="00967255"/>
    <w:rsid w:val="009724D2"/>
    <w:rsid w:val="00975CA4"/>
    <w:rsid w:val="00981752"/>
    <w:rsid w:val="00983E49"/>
    <w:rsid w:val="009A1820"/>
    <w:rsid w:val="009B049D"/>
    <w:rsid w:val="009B43E3"/>
    <w:rsid w:val="009B473F"/>
    <w:rsid w:val="009B65A5"/>
    <w:rsid w:val="009B6BD6"/>
    <w:rsid w:val="009B7FE4"/>
    <w:rsid w:val="009E1DDE"/>
    <w:rsid w:val="009F0DC0"/>
    <w:rsid w:val="009F22A2"/>
    <w:rsid w:val="009F6940"/>
    <w:rsid w:val="009F73D8"/>
    <w:rsid w:val="00A03C59"/>
    <w:rsid w:val="00A048F2"/>
    <w:rsid w:val="00A073C4"/>
    <w:rsid w:val="00A1506E"/>
    <w:rsid w:val="00A31847"/>
    <w:rsid w:val="00A33DDD"/>
    <w:rsid w:val="00A47166"/>
    <w:rsid w:val="00A5171C"/>
    <w:rsid w:val="00A52904"/>
    <w:rsid w:val="00A56A2A"/>
    <w:rsid w:val="00A608ED"/>
    <w:rsid w:val="00A648B9"/>
    <w:rsid w:val="00A71DC0"/>
    <w:rsid w:val="00A72D63"/>
    <w:rsid w:val="00AA03A9"/>
    <w:rsid w:val="00AA0FA7"/>
    <w:rsid w:val="00AA2816"/>
    <w:rsid w:val="00AA5EEB"/>
    <w:rsid w:val="00AB6B22"/>
    <w:rsid w:val="00AC0158"/>
    <w:rsid w:val="00AC43B8"/>
    <w:rsid w:val="00AC63FB"/>
    <w:rsid w:val="00AD358F"/>
    <w:rsid w:val="00AE493F"/>
    <w:rsid w:val="00AE53DE"/>
    <w:rsid w:val="00AF1F2C"/>
    <w:rsid w:val="00AF3E28"/>
    <w:rsid w:val="00B0115F"/>
    <w:rsid w:val="00B04F4F"/>
    <w:rsid w:val="00B05CAE"/>
    <w:rsid w:val="00B12A69"/>
    <w:rsid w:val="00B15A9D"/>
    <w:rsid w:val="00B21922"/>
    <w:rsid w:val="00B2236E"/>
    <w:rsid w:val="00B364E7"/>
    <w:rsid w:val="00B427C3"/>
    <w:rsid w:val="00B570B5"/>
    <w:rsid w:val="00B62275"/>
    <w:rsid w:val="00B732E6"/>
    <w:rsid w:val="00B8021A"/>
    <w:rsid w:val="00B80D11"/>
    <w:rsid w:val="00B81996"/>
    <w:rsid w:val="00B87094"/>
    <w:rsid w:val="00B92CDE"/>
    <w:rsid w:val="00B96722"/>
    <w:rsid w:val="00BA4B12"/>
    <w:rsid w:val="00BA62FC"/>
    <w:rsid w:val="00BB0452"/>
    <w:rsid w:val="00BB0642"/>
    <w:rsid w:val="00BB0670"/>
    <w:rsid w:val="00BB2AF5"/>
    <w:rsid w:val="00BB42BD"/>
    <w:rsid w:val="00BB7047"/>
    <w:rsid w:val="00BC4CA5"/>
    <w:rsid w:val="00BD0D0A"/>
    <w:rsid w:val="00BD3FE3"/>
    <w:rsid w:val="00BD6050"/>
    <w:rsid w:val="00BE4ADF"/>
    <w:rsid w:val="00BF1966"/>
    <w:rsid w:val="00BF1ADB"/>
    <w:rsid w:val="00BF5703"/>
    <w:rsid w:val="00C052B7"/>
    <w:rsid w:val="00C10FF6"/>
    <w:rsid w:val="00C138A2"/>
    <w:rsid w:val="00C20818"/>
    <w:rsid w:val="00C22E94"/>
    <w:rsid w:val="00C24C4E"/>
    <w:rsid w:val="00C2619D"/>
    <w:rsid w:val="00C2710C"/>
    <w:rsid w:val="00C30EBA"/>
    <w:rsid w:val="00C40277"/>
    <w:rsid w:val="00C42C76"/>
    <w:rsid w:val="00C43FC0"/>
    <w:rsid w:val="00C646C6"/>
    <w:rsid w:val="00C67EAE"/>
    <w:rsid w:val="00C71556"/>
    <w:rsid w:val="00C7752E"/>
    <w:rsid w:val="00C82FAD"/>
    <w:rsid w:val="00C83E6A"/>
    <w:rsid w:val="00C84E2E"/>
    <w:rsid w:val="00C8749F"/>
    <w:rsid w:val="00C92636"/>
    <w:rsid w:val="00C965E8"/>
    <w:rsid w:val="00CA5E03"/>
    <w:rsid w:val="00CA7D93"/>
    <w:rsid w:val="00CB4383"/>
    <w:rsid w:val="00CC530A"/>
    <w:rsid w:val="00CC72CD"/>
    <w:rsid w:val="00CE3863"/>
    <w:rsid w:val="00CE3B1A"/>
    <w:rsid w:val="00CE5E37"/>
    <w:rsid w:val="00D152F6"/>
    <w:rsid w:val="00D2334B"/>
    <w:rsid w:val="00D30A90"/>
    <w:rsid w:val="00D30FA4"/>
    <w:rsid w:val="00D32D68"/>
    <w:rsid w:val="00D344C3"/>
    <w:rsid w:val="00D421FE"/>
    <w:rsid w:val="00D45CC9"/>
    <w:rsid w:val="00D47D00"/>
    <w:rsid w:val="00D50A64"/>
    <w:rsid w:val="00D5316E"/>
    <w:rsid w:val="00D537F5"/>
    <w:rsid w:val="00D74255"/>
    <w:rsid w:val="00D77559"/>
    <w:rsid w:val="00D77A7E"/>
    <w:rsid w:val="00D86139"/>
    <w:rsid w:val="00D93E03"/>
    <w:rsid w:val="00D96207"/>
    <w:rsid w:val="00DA0F4E"/>
    <w:rsid w:val="00DA307C"/>
    <w:rsid w:val="00DA53C9"/>
    <w:rsid w:val="00DA6905"/>
    <w:rsid w:val="00DB0999"/>
    <w:rsid w:val="00DB7061"/>
    <w:rsid w:val="00DC09DF"/>
    <w:rsid w:val="00DD085C"/>
    <w:rsid w:val="00DD4363"/>
    <w:rsid w:val="00DD5D32"/>
    <w:rsid w:val="00DE0022"/>
    <w:rsid w:val="00DE24D3"/>
    <w:rsid w:val="00DF1E09"/>
    <w:rsid w:val="00E13240"/>
    <w:rsid w:val="00E1335E"/>
    <w:rsid w:val="00E13CAB"/>
    <w:rsid w:val="00E15643"/>
    <w:rsid w:val="00E2189E"/>
    <w:rsid w:val="00E25618"/>
    <w:rsid w:val="00E27DEE"/>
    <w:rsid w:val="00E34641"/>
    <w:rsid w:val="00E34904"/>
    <w:rsid w:val="00E510BF"/>
    <w:rsid w:val="00E51C7A"/>
    <w:rsid w:val="00E53642"/>
    <w:rsid w:val="00E537E7"/>
    <w:rsid w:val="00E53E64"/>
    <w:rsid w:val="00E5568B"/>
    <w:rsid w:val="00E62C3D"/>
    <w:rsid w:val="00E870A2"/>
    <w:rsid w:val="00E8791D"/>
    <w:rsid w:val="00EC51C2"/>
    <w:rsid w:val="00EC5234"/>
    <w:rsid w:val="00ED227C"/>
    <w:rsid w:val="00ED3241"/>
    <w:rsid w:val="00ED5F81"/>
    <w:rsid w:val="00ED6998"/>
    <w:rsid w:val="00EE207E"/>
    <w:rsid w:val="00EE24BC"/>
    <w:rsid w:val="00EF34EF"/>
    <w:rsid w:val="00F20728"/>
    <w:rsid w:val="00F22FB7"/>
    <w:rsid w:val="00F23F26"/>
    <w:rsid w:val="00F43499"/>
    <w:rsid w:val="00F47AC5"/>
    <w:rsid w:val="00F500C4"/>
    <w:rsid w:val="00F55DB4"/>
    <w:rsid w:val="00F56A66"/>
    <w:rsid w:val="00F56AD7"/>
    <w:rsid w:val="00F62C0D"/>
    <w:rsid w:val="00F70986"/>
    <w:rsid w:val="00F71821"/>
    <w:rsid w:val="00F7208D"/>
    <w:rsid w:val="00F73A23"/>
    <w:rsid w:val="00F74AA1"/>
    <w:rsid w:val="00F85C0A"/>
    <w:rsid w:val="00F94FDE"/>
    <w:rsid w:val="00FA1CC5"/>
    <w:rsid w:val="00FA2EBE"/>
    <w:rsid w:val="00FA35BF"/>
    <w:rsid w:val="00FA5D62"/>
    <w:rsid w:val="00FB067C"/>
    <w:rsid w:val="00FC01F0"/>
    <w:rsid w:val="00FD1F52"/>
    <w:rsid w:val="00FE4F75"/>
    <w:rsid w:val="00FF0DBF"/>
    <w:rsid w:val="00FF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67D0"/>
  <w15:chartTrackingRefBased/>
  <w15:docId w15:val="{77A36B43-BC02-4CDE-AF01-14C95B45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3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2A49D8"/>
    <w:pPr>
      <w:widowControl w:val="0"/>
      <w:autoSpaceDE w:val="0"/>
      <w:autoSpaceDN w:val="0"/>
      <w:adjustRightInd w:val="0"/>
      <w:spacing w:after="0" w:line="240" w:lineRule="auto"/>
    </w:pPr>
    <w:rPr>
      <w:rFonts w:ascii="Arial" w:hAnsi="Arial" w:cs="Arial"/>
      <w:sz w:val="24"/>
      <w:szCs w:val="24"/>
    </w:rPr>
  </w:style>
  <w:style w:type="paragraph" w:styleId="BodyTextIndent">
    <w:name w:val="Body Text Indent"/>
    <w:basedOn w:val="Normal"/>
    <w:link w:val="BodyTextIndentChar"/>
    <w:uiPriority w:val="99"/>
    <w:rsid w:val="002A49D8"/>
    <w:pPr>
      <w:autoSpaceDE w:val="0"/>
      <w:autoSpaceDN w:val="0"/>
      <w:adjustRightInd w:val="0"/>
      <w:spacing w:after="0" w:line="240" w:lineRule="auto"/>
      <w:ind w:left="720" w:hanging="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2A49D8"/>
    <w:rPr>
      <w:rFonts w:ascii="Times New Roman" w:hAnsi="Times New Roman" w:cs="Times New Roman"/>
      <w:sz w:val="24"/>
      <w:szCs w:val="24"/>
    </w:rPr>
  </w:style>
  <w:style w:type="paragraph" w:styleId="Header">
    <w:name w:val="header"/>
    <w:basedOn w:val="Normal"/>
    <w:link w:val="HeaderChar"/>
    <w:uiPriority w:val="99"/>
    <w:unhideWhenUsed/>
    <w:rsid w:val="00FE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F75"/>
  </w:style>
  <w:style w:type="paragraph" w:styleId="Footer">
    <w:name w:val="footer"/>
    <w:basedOn w:val="Normal"/>
    <w:link w:val="FooterChar"/>
    <w:uiPriority w:val="99"/>
    <w:unhideWhenUsed/>
    <w:rsid w:val="00FE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F75"/>
  </w:style>
  <w:style w:type="paragraph" w:styleId="NoSpacing">
    <w:name w:val="No Spacing"/>
    <w:basedOn w:val="Normal"/>
    <w:link w:val="NoSpacingChar"/>
    <w:uiPriority w:val="1"/>
    <w:qFormat/>
    <w:rsid w:val="00682990"/>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682990"/>
    <w:rPr>
      <w:rFonts w:asciiTheme="majorHAnsi" w:eastAsiaTheme="majorEastAsia" w:hAnsiTheme="majorHAnsi" w:cstheme="majorBidi"/>
    </w:rPr>
  </w:style>
  <w:style w:type="character" w:styleId="Hyperlink">
    <w:name w:val="Hyperlink"/>
    <w:basedOn w:val="DefaultParagraphFont"/>
    <w:uiPriority w:val="99"/>
    <w:unhideWhenUsed/>
    <w:rsid w:val="002E725B"/>
    <w:rPr>
      <w:color w:val="0563C1" w:themeColor="hyperlink"/>
      <w:u w:val="single"/>
    </w:rPr>
  </w:style>
  <w:style w:type="character" w:customStyle="1" w:styleId="Heading1Char">
    <w:name w:val="Heading 1 Char"/>
    <w:basedOn w:val="DefaultParagraphFont"/>
    <w:link w:val="Heading1"/>
    <w:uiPriority w:val="9"/>
    <w:rsid w:val="00D5316E"/>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5316E"/>
    <w:rPr>
      <w:i/>
      <w:iCs/>
    </w:rPr>
  </w:style>
  <w:style w:type="character" w:customStyle="1" w:styleId="al-author-name">
    <w:name w:val="al-author-name"/>
    <w:basedOn w:val="DefaultParagraphFont"/>
    <w:rsid w:val="00D5316E"/>
  </w:style>
  <w:style w:type="character" w:styleId="CommentReference">
    <w:name w:val="annotation reference"/>
    <w:basedOn w:val="DefaultParagraphFont"/>
    <w:uiPriority w:val="99"/>
    <w:semiHidden/>
    <w:unhideWhenUsed/>
    <w:rsid w:val="00D537F5"/>
    <w:rPr>
      <w:sz w:val="16"/>
      <w:szCs w:val="16"/>
    </w:rPr>
  </w:style>
  <w:style w:type="paragraph" w:styleId="CommentText">
    <w:name w:val="annotation text"/>
    <w:basedOn w:val="Normal"/>
    <w:link w:val="CommentTextChar"/>
    <w:uiPriority w:val="99"/>
    <w:semiHidden/>
    <w:unhideWhenUsed/>
    <w:rsid w:val="00D537F5"/>
    <w:pPr>
      <w:spacing w:line="240" w:lineRule="auto"/>
    </w:pPr>
    <w:rPr>
      <w:sz w:val="20"/>
      <w:szCs w:val="20"/>
    </w:rPr>
  </w:style>
  <w:style w:type="character" w:customStyle="1" w:styleId="CommentTextChar">
    <w:name w:val="Comment Text Char"/>
    <w:basedOn w:val="DefaultParagraphFont"/>
    <w:link w:val="CommentText"/>
    <w:uiPriority w:val="99"/>
    <w:semiHidden/>
    <w:rsid w:val="00D537F5"/>
    <w:rPr>
      <w:sz w:val="20"/>
      <w:szCs w:val="20"/>
    </w:rPr>
  </w:style>
  <w:style w:type="paragraph" w:styleId="CommentSubject">
    <w:name w:val="annotation subject"/>
    <w:basedOn w:val="CommentText"/>
    <w:next w:val="CommentText"/>
    <w:link w:val="CommentSubjectChar"/>
    <w:uiPriority w:val="99"/>
    <w:semiHidden/>
    <w:unhideWhenUsed/>
    <w:rsid w:val="00D537F5"/>
    <w:rPr>
      <w:b/>
      <w:bCs/>
    </w:rPr>
  </w:style>
  <w:style w:type="character" w:customStyle="1" w:styleId="CommentSubjectChar">
    <w:name w:val="Comment Subject Char"/>
    <w:basedOn w:val="CommentTextChar"/>
    <w:link w:val="CommentSubject"/>
    <w:uiPriority w:val="99"/>
    <w:semiHidden/>
    <w:rsid w:val="00D537F5"/>
    <w:rPr>
      <w:b/>
      <w:bCs/>
      <w:sz w:val="20"/>
      <w:szCs w:val="20"/>
    </w:rPr>
  </w:style>
  <w:style w:type="paragraph" w:styleId="BalloonText">
    <w:name w:val="Balloon Text"/>
    <w:basedOn w:val="Normal"/>
    <w:link w:val="BalloonTextChar"/>
    <w:uiPriority w:val="99"/>
    <w:semiHidden/>
    <w:unhideWhenUsed/>
    <w:rsid w:val="00D53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F5"/>
    <w:rPr>
      <w:rFonts w:ascii="Segoe UI" w:hAnsi="Segoe UI" w:cs="Segoe UI"/>
      <w:sz w:val="18"/>
      <w:szCs w:val="18"/>
    </w:rPr>
  </w:style>
  <w:style w:type="paragraph" w:customStyle="1" w:styleId="Default">
    <w:name w:val="Default"/>
    <w:rsid w:val="00C8749F"/>
    <w:pPr>
      <w:autoSpaceDE w:val="0"/>
      <w:autoSpaceDN w:val="0"/>
      <w:adjustRightInd w:val="0"/>
      <w:spacing w:after="0" w:line="240" w:lineRule="auto"/>
    </w:pPr>
    <w:rPr>
      <w:rFonts w:ascii="Aktiv Grotesk" w:hAnsi="Aktiv Grotesk" w:cs="Aktiv Grotesk"/>
      <w:color w:val="000000"/>
      <w:sz w:val="24"/>
      <w:szCs w:val="24"/>
    </w:rPr>
  </w:style>
  <w:style w:type="paragraph" w:customStyle="1" w:styleId="Pa0">
    <w:name w:val="Pa0"/>
    <w:basedOn w:val="Default"/>
    <w:next w:val="Default"/>
    <w:uiPriority w:val="99"/>
    <w:rsid w:val="00C8749F"/>
    <w:pPr>
      <w:spacing w:line="241" w:lineRule="atLeast"/>
    </w:pPr>
    <w:rPr>
      <w:rFonts w:cstheme="minorBidi"/>
      <w:color w:val="auto"/>
    </w:rPr>
  </w:style>
  <w:style w:type="character" w:customStyle="1" w:styleId="A0">
    <w:name w:val="A0"/>
    <w:uiPriority w:val="99"/>
    <w:rsid w:val="00C8749F"/>
    <w:rPr>
      <w:rFonts w:cs="Aktiv Grotesk"/>
      <w:b/>
      <w:bCs/>
      <w:color w:val="000000"/>
      <w:sz w:val="76"/>
      <w:szCs w:val="76"/>
    </w:rPr>
  </w:style>
  <w:style w:type="paragraph" w:styleId="NormalWeb">
    <w:name w:val="Normal (Web)"/>
    <w:basedOn w:val="Normal"/>
    <w:uiPriority w:val="99"/>
    <w:semiHidden/>
    <w:unhideWhenUsed/>
    <w:rsid w:val="004126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291BB8"/>
    <w:pPr>
      <w:spacing w:after="0" w:line="240" w:lineRule="auto"/>
    </w:pPr>
    <w:rPr>
      <w:rFonts w:ascii="Tahoma" w:hAnsi="Tahoma"/>
      <w:szCs w:val="21"/>
    </w:rPr>
  </w:style>
  <w:style w:type="character" w:customStyle="1" w:styleId="PlainTextChar">
    <w:name w:val="Plain Text Char"/>
    <w:basedOn w:val="DefaultParagraphFont"/>
    <w:link w:val="PlainText"/>
    <w:uiPriority w:val="99"/>
    <w:semiHidden/>
    <w:rsid w:val="00291BB8"/>
    <w:rPr>
      <w:rFonts w:ascii="Tahoma" w:hAnsi="Tahom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5256">
      <w:bodyDiv w:val="1"/>
      <w:marLeft w:val="0"/>
      <w:marRight w:val="0"/>
      <w:marTop w:val="0"/>
      <w:marBottom w:val="0"/>
      <w:divBdr>
        <w:top w:val="none" w:sz="0" w:space="0" w:color="auto"/>
        <w:left w:val="none" w:sz="0" w:space="0" w:color="auto"/>
        <w:bottom w:val="none" w:sz="0" w:space="0" w:color="auto"/>
        <w:right w:val="none" w:sz="0" w:space="0" w:color="auto"/>
      </w:divBdr>
      <w:divsChild>
        <w:div w:id="397096731">
          <w:marLeft w:val="0"/>
          <w:marRight w:val="0"/>
          <w:marTop w:val="0"/>
          <w:marBottom w:val="0"/>
          <w:divBdr>
            <w:top w:val="none" w:sz="0" w:space="0" w:color="auto"/>
            <w:left w:val="none" w:sz="0" w:space="0" w:color="auto"/>
            <w:bottom w:val="none" w:sz="0" w:space="0" w:color="auto"/>
            <w:right w:val="none" w:sz="0" w:space="0" w:color="auto"/>
          </w:divBdr>
          <w:divsChild>
            <w:div w:id="1265189546">
              <w:marLeft w:val="0"/>
              <w:marRight w:val="0"/>
              <w:marTop w:val="0"/>
              <w:marBottom w:val="0"/>
              <w:divBdr>
                <w:top w:val="none" w:sz="0" w:space="0" w:color="auto"/>
                <w:left w:val="none" w:sz="0" w:space="0" w:color="auto"/>
                <w:bottom w:val="none" w:sz="0" w:space="0" w:color="auto"/>
                <w:right w:val="none" w:sz="0" w:space="0" w:color="auto"/>
              </w:divBdr>
              <w:divsChild>
                <w:div w:id="367922899">
                  <w:marLeft w:val="0"/>
                  <w:marRight w:val="0"/>
                  <w:marTop w:val="0"/>
                  <w:marBottom w:val="0"/>
                  <w:divBdr>
                    <w:top w:val="none" w:sz="0" w:space="0" w:color="auto"/>
                    <w:left w:val="none" w:sz="0" w:space="0" w:color="auto"/>
                    <w:bottom w:val="none" w:sz="0" w:space="0" w:color="auto"/>
                    <w:right w:val="none" w:sz="0" w:space="0" w:color="auto"/>
                  </w:divBdr>
                  <w:divsChild>
                    <w:div w:id="1278559401">
                      <w:marLeft w:val="0"/>
                      <w:marRight w:val="0"/>
                      <w:marTop w:val="0"/>
                      <w:marBottom w:val="0"/>
                      <w:divBdr>
                        <w:top w:val="none" w:sz="0" w:space="0" w:color="auto"/>
                        <w:left w:val="none" w:sz="0" w:space="0" w:color="auto"/>
                        <w:bottom w:val="none" w:sz="0" w:space="0" w:color="auto"/>
                        <w:right w:val="none" w:sz="0" w:space="0" w:color="auto"/>
                      </w:divBdr>
                      <w:divsChild>
                        <w:div w:id="154734401">
                          <w:marLeft w:val="0"/>
                          <w:marRight w:val="0"/>
                          <w:marTop w:val="0"/>
                          <w:marBottom w:val="0"/>
                          <w:divBdr>
                            <w:top w:val="none" w:sz="0" w:space="0" w:color="auto"/>
                            <w:left w:val="none" w:sz="0" w:space="0" w:color="auto"/>
                            <w:bottom w:val="none" w:sz="0" w:space="0" w:color="auto"/>
                            <w:right w:val="none" w:sz="0" w:space="0" w:color="auto"/>
                          </w:divBdr>
                          <w:divsChild>
                            <w:div w:id="377358517">
                              <w:marLeft w:val="0"/>
                              <w:marRight w:val="0"/>
                              <w:marTop w:val="0"/>
                              <w:marBottom w:val="0"/>
                              <w:divBdr>
                                <w:top w:val="none" w:sz="0" w:space="0" w:color="auto"/>
                                <w:left w:val="none" w:sz="0" w:space="0" w:color="auto"/>
                                <w:bottom w:val="none" w:sz="0" w:space="0" w:color="auto"/>
                                <w:right w:val="none" w:sz="0" w:space="0" w:color="auto"/>
                              </w:divBdr>
                              <w:divsChild>
                                <w:div w:id="1617059263">
                                  <w:marLeft w:val="0"/>
                                  <w:marRight w:val="0"/>
                                  <w:marTop w:val="0"/>
                                  <w:marBottom w:val="0"/>
                                  <w:divBdr>
                                    <w:top w:val="none" w:sz="0" w:space="0" w:color="auto"/>
                                    <w:left w:val="none" w:sz="0" w:space="0" w:color="auto"/>
                                    <w:bottom w:val="none" w:sz="0" w:space="0" w:color="auto"/>
                                    <w:right w:val="none" w:sz="0" w:space="0" w:color="auto"/>
                                  </w:divBdr>
                                  <w:divsChild>
                                    <w:div w:id="1892963777">
                                      <w:marLeft w:val="0"/>
                                      <w:marRight w:val="0"/>
                                      <w:marTop w:val="0"/>
                                      <w:marBottom w:val="0"/>
                                      <w:divBdr>
                                        <w:top w:val="none" w:sz="0" w:space="0" w:color="auto"/>
                                        <w:left w:val="none" w:sz="0" w:space="0" w:color="auto"/>
                                        <w:bottom w:val="none" w:sz="0" w:space="0" w:color="auto"/>
                                        <w:right w:val="none" w:sz="0" w:space="0" w:color="auto"/>
                                      </w:divBdr>
                                      <w:divsChild>
                                        <w:div w:id="991103929">
                                          <w:marLeft w:val="0"/>
                                          <w:marRight w:val="0"/>
                                          <w:marTop w:val="0"/>
                                          <w:marBottom w:val="0"/>
                                          <w:divBdr>
                                            <w:top w:val="none" w:sz="0" w:space="0" w:color="auto"/>
                                            <w:left w:val="none" w:sz="0" w:space="0" w:color="auto"/>
                                            <w:bottom w:val="none" w:sz="0" w:space="0" w:color="auto"/>
                                            <w:right w:val="none" w:sz="0" w:space="0" w:color="auto"/>
                                          </w:divBdr>
                                          <w:divsChild>
                                            <w:div w:id="1054623187">
                                              <w:marLeft w:val="0"/>
                                              <w:marRight w:val="0"/>
                                              <w:marTop w:val="0"/>
                                              <w:marBottom w:val="0"/>
                                              <w:divBdr>
                                                <w:top w:val="none" w:sz="0" w:space="0" w:color="auto"/>
                                                <w:left w:val="none" w:sz="0" w:space="0" w:color="auto"/>
                                                <w:bottom w:val="none" w:sz="0" w:space="0" w:color="auto"/>
                                                <w:right w:val="none" w:sz="0" w:space="0" w:color="auto"/>
                                              </w:divBdr>
                                              <w:divsChild>
                                                <w:div w:id="1584801573">
                                                  <w:marLeft w:val="0"/>
                                                  <w:marRight w:val="0"/>
                                                  <w:marTop w:val="0"/>
                                                  <w:marBottom w:val="0"/>
                                                  <w:divBdr>
                                                    <w:top w:val="none" w:sz="0" w:space="0" w:color="auto"/>
                                                    <w:left w:val="none" w:sz="0" w:space="0" w:color="auto"/>
                                                    <w:bottom w:val="none" w:sz="0" w:space="0" w:color="auto"/>
                                                    <w:right w:val="none" w:sz="0" w:space="0" w:color="auto"/>
                                                  </w:divBdr>
                                                  <w:divsChild>
                                                    <w:div w:id="1910965216">
                                                      <w:marLeft w:val="0"/>
                                                      <w:marRight w:val="0"/>
                                                      <w:marTop w:val="0"/>
                                                      <w:marBottom w:val="0"/>
                                                      <w:divBdr>
                                                        <w:top w:val="none" w:sz="0" w:space="0" w:color="auto"/>
                                                        <w:left w:val="none" w:sz="0" w:space="0" w:color="auto"/>
                                                        <w:bottom w:val="none" w:sz="0" w:space="0" w:color="auto"/>
                                                        <w:right w:val="none" w:sz="0" w:space="0" w:color="auto"/>
                                                      </w:divBdr>
                                                      <w:divsChild>
                                                        <w:div w:id="1859462773">
                                                          <w:marLeft w:val="0"/>
                                                          <w:marRight w:val="0"/>
                                                          <w:marTop w:val="0"/>
                                                          <w:marBottom w:val="0"/>
                                                          <w:divBdr>
                                                            <w:top w:val="none" w:sz="0" w:space="0" w:color="auto"/>
                                                            <w:left w:val="none" w:sz="0" w:space="0" w:color="auto"/>
                                                            <w:bottom w:val="none" w:sz="0" w:space="0" w:color="auto"/>
                                                            <w:right w:val="none" w:sz="0" w:space="0" w:color="auto"/>
                                                          </w:divBdr>
                                                        </w:div>
                                                      </w:divsChild>
                                                    </w:div>
                                                    <w:div w:id="440883057">
                                                      <w:marLeft w:val="0"/>
                                                      <w:marRight w:val="0"/>
                                                      <w:marTop w:val="0"/>
                                                      <w:marBottom w:val="0"/>
                                                      <w:divBdr>
                                                        <w:top w:val="none" w:sz="0" w:space="0" w:color="auto"/>
                                                        <w:left w:val="none" w:sz="0" w:space="0" w:color="auto"/>
                                                        <w:bottom w:val="none" w:sz="0" w:space="0" w:color="auto"/>
                                                        <w:right w:val="none" w:sz="0" w:space="0" w:color="auto"/>
                                                      </w:divBdr>
                                                      <w:divsChild>
                                                        <w:div w:id="947197133">
                                                          <w:marLeft w:val="0"/>
                                                          <w:marRight w:val="0"/>
                                                          <w:marTop w:val="0"/>
                                                          <w:marBottom w:val="75"/>
                                                          <w:divBdr>
                                                            <w:top w:val="none" w:sz="0" w:space="0" w:color="auto"/>
                                                            <w:left w:val="none" w:sz="0" w:space="0" w:color="auto"/>
                                                            <w:bottom w:val="none" w:sz="0" w:space="0" w:color="auto"/>
                                                            <w:right w:val="none" w:sz="0" w:space="0" w:color="auto"/>
                                                          </w:divBdr>
                                                        </w:div>
                                                      </w:divsChild>
                                                    </w:div>
                                                    <w:div w:id="493495360">
                                                      <w:marLeft w:val="0"/>
                                                      <w:marRight w:val="0"/>
                                                      <w:marTop w:val="75"/>
                                                      <w:marBottom w:val="75"/>
                                                      <w:divBdr>
                                                        <w:top w:val="none" w:sz="0" w:space="0" w:color="auto"/>
                                                        <w:left w:val="none" w:sz="0" w:space="0" w:color="auto"/>
                                                        <w:bottom w:val="none" w:sz="0" w:space="0" w:color="auto"/>
                                                        <w:right w:val="none" w:sz="0" w:space="0" w:color="auto"/>
                                                      </w:divBdr>
                                                    </w:div>
                                                    <w:div w:id="880677049">
                                                      <w:marLeft w:val="0"/>
                                                      <w:marRight w:val="0"/>
                                                      <w:marTop w:val="0"/>
                                                      <w:marBottom w:val="0"/>
                                                      <w:divBdr>
                                                        <w:top w:val="none" w:sz="0" w:space="0" w:color="auto"/>
                                                        <w:left w:val="none" w:sz="0" w:space="0" w:color="auto"/>
                                                        <w:bottom w:val="none" w:sz="0" w:space="0" w:color="auto"/>
                                                        <w:right w:val="none" w:sz="0" w:space="0" w:color="auto"/>
                                                      </w:divBdr>
                                                    </w:div>
                                                    <w:div w:id="299766494">
                                                      <w:marLeft w:val="0"/>
                                                      <w:marRight w:val="0"/>
                                                      <w:marTop w:val="240"/>
                                                      <w:marBottom w:val="0"/>
                                                      <w:divBdr>
                                                        <w:top w:val="none" w:sz="0" w:space="0" w:color="auto"/>
                                                        <w:left w:val="none" w:sz="0" w:space="0" w:color="auto"/>
                                                        <w:bottom w:val="none" w:sz="0" w:space="0" w:color="auto"/>
                                                        <w:right w:val="none" w:sz="0" w:space="0" w:color="auto"/>
                                                      </w:divBdr>
                                                    </w:div>
                                                    <w:div w:id="1336570001">
                                                      <w:marLeft w:val="0"/>
                                                      <w:marRight w:val="240"/>
                                                      <w:marTop w:val="0"/>
                                                      <w:marBottom w:val="0"/>
                                                      <w:divBdr>
                                                        <w:top w:val="none" w:sz="0" w:space="0" w:color="auto"/>
                                                        <w:left w:val="none" w:sz="0" w:space="0" w:color="auto"/>
                                                        <w:bottom w:val="none" w:sz="0" w:space="0" w:color="auto"/>
                                                        <w:right w:val="none" w:sz="0" w:space="0" w:color="auto"/>
                                                      </w:divBdr>
                                                    </w:div>
                                                    <w:div w:id="281346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05389281">
                                          <w:marLeft w:val="0"/>
                                          <w:marRight w:val="0"/>
                                          <w:marTop w:val="165"/>
                                          <w:marBottom w:val="165"/>
                                          <w:divBdr>
                                            <w:top w:val="none" w:sz="0" w:space="0" w:color="auto"/>
                                            <w:left w:val="none" w:sz="0" w:space="0" w:color="auto"/>
                                            <w:bottom w:val="none" w:sz="0" w:space="0" w:color="auto"/>
                                            <w:right w:val="none" w:sz="0" w:space="0" w:color="auto"/>
                                          </w:divBdr>
                                          <w:divsChild>
                                            <w:div w:id="240261875">
                                              <w:marLeft w:val="0"/>
                                              <w:marRight w:val="0"/>
                                              <w:marTop w:val="0"/>
                                              <w:marBottom w:val="0"/>
                                              <w:divBdr>
                                                <w:top w:val="none" w:sz="0" w:space="0" w:color="auto"/>
                                                <w:left w:val="none" w:sz="0" w:space="0" w:color="auto"/>
                                                <w:bottom w:val="none" w:sz="0" w:space="0" w:color="auto"/>
                                                <w:right w:val="none" w:sz="0" w:space="0" w:color="auto"/>
                                              </w:divBdr>
                                              <w:divsChild>
                                                <w:div w:id="905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381267">
      <w:bodyDiv w:val="1"/>
      <w:marLeft w:val="0"/>
      <w:marRight w:val="0"/>
      <w:marTop w:val="0"/>
      <w:marBottom w:val="0"/>
      <w:divBdr>
        <w:top w:val="none" w:sz="0" w:space="0" w:color="auto"/>
        <w:left w:val="none" w:sz="0" w:space="0" w:color="auto"/>
        <w:bottom w:val="none" w:sz="0" w:space="0" w:color="auto"/>
        <w:right w:val="none" w:sz="0" w:space="0" w:color="auto"/>
      </w:divBdr>
    </w:div>
    <w:div w:id="1348290550">
      <w:bodyDiv w:val="1"/>
      <w:marLeft w:val="0"/>
      <w:marRight w:val="0"/>
      <w:marTop w:val="0"/>
      <w:marBottom w:val="0"/>
      <w:divBdr>
        <w:top w:val="none" w:sz="0" w:space="0" w:color="auto"/>
        <w:left w:val="none" w:sz="0" w:space="0" w:color="auto"/>
        <w:bottom w:val="none" w:sz="0" w:space="0" w:color="auto"/>
        <w:right w:val="none" w:sz="0" w:space="0" w:color="auto"/>
      </w:divBdr>
    </w:div>
    <w:div w:id="1854874895">
      <w:bodyDiv w:val="1"/>
      <w:marLeft w:val="0"/>
      <w:marRight w:val="0"/>
      <w:marTop w:val="0"/>
      <w:marBottom w:val="0"/>
      <w:divBdr>
        <w:top w:val="none" w:sz="0" w:space="0" w:color="auto"/>
        <w:left w:val="none" w:sz="0" w:space="0" w:color="auto"/>
        <w:bottom w:val="none" w:sz="0" w:space="0" w:color="auto"/>
        <w:right w:val="none" w:sz="0" w:space="0" w:color="auto"/>
      </w:divBdr>
    </w:div>
    <w:div w:id="21172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13761/dh_12405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google.com/scholar?q=author:%22Morriss%20L%22" TargetMode="External"/><Relationship Id="rId5" Type="http://schemas.openxmlformats.org/officeDocument/2006/relationships/webSettings" Target="webSettings.xml"/><Relationship Id="rId10" Type="http://schemas.openxmlformats.org/officeDocument/2006/relationships/hyperlink" Target="https://academic.oup.com/bjsw/search-results?f_Authors=Lisa+Morriss" TargetMode="External"/><Relationship Id="rId4" Type="http://schemas.openxmlformats.org/officeDocument/2006/relationships/settings" Target="settings.xml"/><Relationship Id="rId9" Type="http://schemas.openxmlformats.org/officeDocument/2006/relationships/hyperlink" Target="mailto:lisa.morris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208B-0518-4E63-A499-DBE5A7F6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5030</TotalTime>
  <Pages>22</Pages>
  <Words>6219</Words>
  <Characters>35451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Stone</dc:creator>
  <cp:keywords/>
  <dc:description/>
  <cp:lastModifiedBy>Kevin Stone</cp:lastModifiedBy>
  <cp:revision>96</cp:revision>
  <dcterms:created xsi:type="dcterms:W3CDTF">2018-06-11T15:24:00Z</dcterms:created>
  <dcterms:modified xsi:type="dcterms:W3CDTF">2019-01-03T16:28:00Z</dcterms:modified>
</cp:coreProperties>
</file>