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32CC8E" w14:textId="3BBDEB28" w:rsidR="002A6988" w:rsidRPr="00E96DB3" w:rsidRDefault="002A6988" w:rsidP="000B138E">
      <w:pPr>
        <w:spacing w:line="240" w:lineRule="auto"/>
        <w:ind w:firstLine="0"/>
        <w:rPr>
          <w:b/>
          <w:sz w:val="32"/>
          <w:szCs w:val="26"/>
        </w:rPr>
      </w:pPr>
      <w:bookmarkStart w:id="0" w:name="_GoBack"/>
      <w:bookmarkEnd w:id="0"/>
      <w:r w:rsidRPr="00E96DB3">
        <w:rPr>
          <w:b/>
          <w:sz w:val="32"/>
          <w:szCs w:val="26"/>
        </w:rPr>
        <w:t>To Europe or not to Europe?</w:t>
      </w:r>
    </w:p>
    <w:p w14:paraId="1CDE3E1A" w14:textId="77777777" w:rsidR="002A6988" w:rsidRDefault="002A6988" w:rsidP="000B138E">
      <w:pPr>
        <w:spacing w:line="240" w:lineRule="auto"/>
        <w:ind w:firstLine="0"/>
        <w:rPr>
          <w:b/>
          <w:sz w:val="32"/>
          <w:szCs w:val="26"/>
        </w:rPr>
      </w:pPr>
      <w:r w:rsidRPr="00E96DB3">
        <w:rPr>
          <w:b/>
          <w:sz w:val="32"/>
          <w:szCs w:val="26"/>
        </w:rPr>
        <w:t>Migration and public support for joi</w:t>
      </w:r>
      <w:r w:rsidR="000A7FD0" w:rsidRPr="00E96DB3">
        <w:rPr>
          <w:b/>
          <w:sz w:val="32"/>
          <w:szCs w:val="26"/>
        </w:rPr>
        <w:t xml:space="preserve">ning the European Union in the </w:t>
      </w:r>
      <w:r w:rsidR="00E406E6">
        <w:rPr>
          <w:b/>
          <w:sz w:val="32"/>
          <w:szCs w:val="26"/>
        </w:rPr>
        <w:t>Western</w:t>
      </w:r>
      <w:r w:rsidR="00EB3849">
        <w:rPr>
          <w:b/>
          <w:sz w:val="32"/>
          <w:szCs w:val="26"/>
        </w:rPr>
        <w:t xml:space="preserve"> Balkan</w:t>
      </w:r>
      <w:r w:rsidR="001267B6">
        <w:rPr>
          <w:b/>
          <w:sz w:val="32"/>
          <w:szCs w:val="26"/>
        </w:rPr>
        <w:t>s</w:t>
      </w:r>
    </w:p>
    <w:p w14:paraId="1B43ECFA" w14:textId="77777777" w:rsidR="000B138E" w:rsidRDefault="000B138E" w:rsidP="000B138E">
      <w:pPr>
        <w:spacing w:line="240" w:lineRule="auto"/>
        <w:ind w:firstLine="0"/>
        <w:rPr>
          <w:b/>
          <w:sz w:val="32"/>
          <w:szCs w:val="26"/>
        </w:rPr>
      </w:pPr>
    </w:p>
    <w:p w14:paraId="17E6EBFF" w14:textId="77777777" w:rsidR="000B138E" w:rsidRDefault="000B138E" w:rsidP="000B138E">
      <w:pPr>
        <w:spacing w:line="240" w:lineRule="auto"/>
        <w:ind w:firstLine="0"/>
        <w:rPr>
          <w:b/>
          <w:sz w:val="32"/>
          <w:szCs w:val="26"/>
        </w:rPr>
      </w:pPr>
    </w:p>
    <w:p w14:paraId="17B0803A" w14:textId="77777777" w:rsidR="000B138E" w:rsidRPr="00BB78F6" w:rsidRDefault="000B138E" w:rsidP="000B138E">
      <w:pPr>
        <w:spacing w:line="240" w:lineRule="auto"/>
        <w:ind w:firstLine="0"/>
        <w:rPr>
          <w:b/>
        </w:rPr>
      </w:pPr>
      <w:r w:rsidRPr="00BB78F6">
        <w:rPr>
          <w:b/>
        </w:rPr>
        <w:t>Artjoms Ivlevs</w:t>
      </w:r>
      <w:r>
        <w:rPr>
          <w:rStyle w:val="FootnoteReference"/>
          <w:b/>
        </w:rPr>
        <w:footnoteReference w:id="1"/>
      </w:r>
    </w:p>
    <w:p w14:paraId="0213133E" w14:textId="4ACEB13F" w:rsidR="000B138E" w:rsidRDefault="000B138E" w:rsidP="000B138E">
      <w:pPr>
        <w:spacing w:line="240" w:lineRule="auto"/>
        <w:ind w:firstLine="0"/>
        <w:rPr>
          <w:b/>
        </w:rPr>
      </w:pPr>
      <w:r w:rsidRPr="00FA4ED0">
        <w:t>University of the West of England</w:t>
      </w:r>
      <w:r>
        <w:t xml:space="preserve"> and IZA</w:t>
      </w:r>
      <w:r w:rsidRPr="00BB78F6">
        <w:rPr>
          <w:b/>
        </w:rPr>
        <w:t xml:space="preserve"> </w:t>
      </w:r>
    </w:p>
    <w:p w14:paraId="18C7A24A" w14:textId="77777777" w:rsidR="000B138E" w:rsidRDefault="000B138E" w:rsidP="000B138E">
      <w:pPr>
        <w:spacing w:line="240" w:lineRule="auto"/>
        <w:ind w:firstLine="0"/>
        <w:rPr>
          <w:b/>
        </w:rPr>
      </w:pPr>
    </w:p>
    <w:p w14:paraId="574DC02D" w14:textId="2C1F68B7" w:rsidR="000B138E" w:rsidRPr="00BB78F6" w:rsidRDefault="000B138E" w:rsidP="000B138E">
      <w:pPr>
        <w:spacing w:line="240" w:lineRule="auto"/>
        <w:ind w:firstLine="0"/>
        <w:rPr>
          <w:b/>
        </w:rPr>
      </w:pPr>
      <w:r>
        <w:rPr>
          <w:b/>
        </w:rPr>
        <w:t>Roswitha King</w:t>
      </w:r>
    </w:p>
    <w:p w14:paraId="5CD260A8" w14:textId="3798BB29" w:rsidR="000B138E" w:rsidRDefault="000B138E" w:rsidP="000B138E">
      <w:pPr>
        <w:spacing w:line="240" w:lineRule="auto"/>
        <w:ind w:firstLine="0"/>
      </w:pPr>
      <w:r w:rsidRPr="000B138E">
        <w:t>Østfold</w:t>
      </w:r>
      <w:r>
        <w:t xml:space="preserve"> University College</w:t>
      </w:r>
    </w:p>
    <w:p w14:paraId="45BC3343" w14:textId="77777777" w:rsidR="009960B7" w:rsidRDefault="009960B7" w:rsidP="000B138E">
      <w:pPr>
        <w:spacing w:line="240" w:lineRule="auto"/>
        <w:ind w:firstLine="0"/>
      </w:pPr>
    </w:p>
    <w:p w14:paraId="0DD2E380" w14:textId="77777777" w:rsidR="000B138E" w:rsidRPr="00FA4ED0" w:rsidRDefault="000B138E" w:rsidP="000B138E">
      <w:pPr>
        <w:spacing w:line="240" w:lineRule="auto"/>
        <w:ind w:firstLine="0"/>
      </w:pPr>
    </w:p>
    <w:p w14:paraId="1DDED7E3" w14:textId="7FDFBF56" w:rsidR="000B138E" w:rsidRPr="009960B7" w:rsidRDefault="009960B7" w:rsidP="000B138E">
      <w:pPr>
        <w:spacing w:line="240" w:lineRule="auto"/>
        <w:ind w:firstLine="0"/>
        <w:rPr>
          <w:sz w:val="32"/>
        </w:rPr>
      </w:pPr>
      <w:r w:rsidRPr="009960B7">
        <w:rPr>
          <w:sz w:val="32"/>
        </w:rPr>
        <w:t xml:space="preserve">Forthcoming in the </w:t>
      </w:r>
      <w:r w:rsidRPr="009960B7">
        <w:rPr>
          <w:i/>
          <w:sz w:val="32"/>
        </w:rPr>
        <w:t>International Migration Review</w:t>
      </w:r>
    </w:p>
    <w:p w14:paraId="6978F978" w14:textId="77777777" w:rsidR="002A6988" w:rsidRDefault="002A6988" w:rsidP="002A6988">
      <w:pPr>
        <w:spacing w:line="360" w:lineRule="auto"/>
        <w:jc w:val="right"/>
      </w:pPr>
    </w:p>
    <w:p w14:paraId="6107688D" w14:textId="77777777" w:rsidR="002A6988" w:rsidRDefault="002A6988" w:rsidP="004F2FD8">
      <w:pPr>
        <w:spacing w:before="240" w:line="480" w:lineRule="auto"/>
        <w:ind w:firstLine="0"/>
        <w:jc w:val="left"/>
      </w:pPr>
      <w:r>
        <w:t>Abstract</w:t>
      </w:r>
    </w:p>
    <w:p w14:paraId="7442E201" w14:textId="763A061E" w:rsidR="002A6988" w:rsidRPr="00567AEE" w:rsidRDefault="002A6988" w:rsidP="000B138E">
      <w:pPr>
        <w:spacing w:before="240" w:line="240" w:lineRule="auto"/>
        <w:ind w:firstLine="0"/>
        <w:jc w:val="left"/>
      </w:pPr>
      <w:r w:rsidRPr="00567AEE">
        <w:t>For decades, countries aspiring to join the European Un</w:t>
      </w:r>
      <w:r w:rsidR="00DC18E2">
        <w:t xml:space="preserve">ion (EU) have been linked to it </w:t>
      </w:r>
      <w:r w:rsidRPr="00567AEE">
        <w:t>through migration. Yet little is known about how migration affects individual support for joining the EU in prospective member states. We explore the relationship between migration and s</w:t>
      </w:r>
      <w:r w:rsidR="000A7FD0" w:rsidRPr="00567AEE">
        <w:t xml:space="preserve">upport for EU accession in the </w:t>
      </w:r>
      <w:r w:rsidR="00E406E6">
        <w:t>Western</w:t>
      </w:r>
      <w:r w:rsidRPr="00567AEE">
        <w:t xml:space="preserve"> Balkans. Using data from the Gallup Balkan Monitor survey, we find that prospective and return migrants, as well as people with relatives abroad, are more likely to vote </w:t>
      </w:r>
      <w:r w:rsidRPr="00567AEE">
        <w:lastRenderedPageBreak/>
        <w:t xml:space="preserve">favourably in a hypothetical EU referendum. At the same time, only people with relatives abroad are more likely to consider EU membership a good thing. Our results suggest that </w:t>
      </w:r>
      <w:r w:rsidRPr="00567AEE">
        <w:rPr>
          <w:lang w:val="en-US"/>
        </w:rPr>
        <w:t>migration affects attitudes toward joining the EU principally through instrumental/utilitarian motives</w:t>
      </w:r>
      <w:r w:rsidR="008C2085">
        <w:rPr>
          <w:lang w:val="en-US"/>
        </w:rPr>
        <w:t xml:space="preserve">, </w:t>
      </w:r>
      <w:r w:rsidR="00BB0FB4">
        <w:rPr>
          <w:lang w:val="en-US"/>
        </w:rPr>
        <w:t xml:space="preserve">with </w:t>
      </w:r>
      <w:r w:rsidR="00B94F8A">
        <w:rPr>
          <w:lang w:val="en-US"/>
        </w:rPr>
        <w:t>channels related to information</w:t>
      </w:r>
      <w:r w:rsidR="00BB0FB4">
        <w:rPr>
          <w:lang w:val="en-US"/>
        </w:rPr>
        <w:t xml:space="preserve"> </w:t>
      </w:r>
      <w:r w:rsidR="00B94F8A">
        <w:rPr>
          <w:lang w:val="en-US"/>
        </w:rPr>
        <w:t>and cosmopolitan</w:t>
      </w:r>
      <w:r w:rsidR="00BB0FB4">
        <w:rPr>
          <w:lang w:val="en-US"/>
        </w:rPr>
        <w:t>ism playing</w:t>
      </w:r>
      <w:r w:rsidR="00B94F8A">
        <w:rPr>
          <w:lang w:val="en-US"/>
        </w:rPr>
        <w:t xml:space="preserve"> only a minor role. </w:t>
      </w:r>
      <w:r w:rsidR="00044939">
        <w:rPr>
          <w:lang w:val="en-US"/>
        </w:rPr>
        <w:t>Overall, our study suggests</w:t>
      </w:r>
      <w:r w:rsidR="00471428">
        <w:rPr>
          <w:lang w:val="en-US"/>
        </w:rPr>
        <w:t xml:space="preserve"> that migration fosters support for joining </w:t>
      </w:r>
      <w:r w:rsidR="00044939">
        <w:rPr>
          <w:lang w:val="en-US"/>
        </w:rPr>
        <w:t>a supranational organization in the migrants’ countries of origin, which, in turn, is likely to affect political and institutional development of these countries</w:t>
      </w:r>
      <w:r w:rsidR="00471428">
        <w:rPr>
          <w:lang w:val="en-US"/>
        </w:rPr>
        <w:t xml:space="preserve">. </w:t>
      </w:r>
    </w:p>
    <w:p w14:paraId="44E53913" w14:textId="77777777" w:rsidR="002A6988" w:rsidRPr="00567AEE" w:rsidRDefault="002A6988" w:rsidP="004F2FD8">
      <w:pPr>
        <w:spacing w:before="240" w:line="480" w:lineRule="auto"/>
        <w:ind w:firstLine="0"/>
        <w:jc w:val="left"/>
      </w:pPr>
    </w:p>
    <w:p w14:paraId="28CB595B" w14:textId="3A01FE86" w:rsidR="002A6988" w:rsidRDefault="002A6988" w:rsidP="004F2FD8">
      <w:pPr>
        <w:spacing w:before="240" w:line="480" w:lineRule="auto"/>
        <w:ind w:firstLine="0"/>
        <w:jc w:val="left"/>
      </w:pPr>
      <w:r>
        <w:t xml:space="preserve">Keywords: </w:t>
      </w:r>
      <w:r w:rsidR="004F2FD8">
        <w:t xml:space="preserve">Migration, </w:t>
      </w:r>
      <w:r w:rsidR="009C207B">
        <w:t xml:space="preserve">return migration, </w:t>
      </w:r>
      <w:r w:rsidR="00E406E6">
        <w:t>European Union</w:t>
      </w:r>
      <w:r>
        <w:t xml:space="preserve">, </w:t>
      </w:r>
      <w:r w:rsidR="00E406E6">
        <w:t>European integration, Western</w:t>
      </w:r>
      <w:r>
        <w:t xml:space="preserve"> Balkans </w:t>
      </w:r>
    </w:p>
    <w:p w14:paraId="1C2FCE87" w14:textId="77777777" w:rsidR="002A6988" w:rsidRDefault="002A6988" w:rsidP="004F2FD8">
      <w:pPr>
        <w:spacing w:line="480" w:lineRule="auto"/>
        <w:ind w:firstLine="0"/>
        <w:jc w:val="left"/>
      </w:pPr>
    </w:p>
    <w:p w14:paraId="570138C2" w14:textId="77777777" w:rsidR="000B138E" w:rsidRDefault="000B138E">
      <w:r>
        <w:br w:type="page"/>
      </w:r>
    </w:p>
    <w:p w14:paraId="7B908B60" w14:textId="6D364BA7" w:rsidR="005050FF" w:rsidRDefault="00EC6BE8" w:rsidP="00861031">
      <w:pPr>
        <w:pStyle w:val="ListParagraph"/>
        <w:numPr>
          <w:ilvl w:val="0"/>
          <w:numId w:val="4"/>
        </w:numPr>
        <w:spacing w:before="240" w:line="480" w:lineRule="auto"/>
        <w:jc w:val="left"/>
      </w:pPr>
      <w:r>
        <w:lastRenderedPageBreak/>
        <w:t>INTRODUCTION</w:t>
      </w:r>
    </w:p>
    <w:p w14:paraId="733FEBF7" w14:textId="23395740" w:rsidR="005050FF" w:rsidRDefault="00EC6BE8" w:rsidP="004F2FD8">
      <w:pPr>
        <w:spacing w:before="240" w:line="480" w:lineRule="auto"/>
        <w:ind w:firstLine="0"/>
        <w:jc w:val="left"/>
      </w:pPr>
      <w:r>
        <w:t>Migration has, for better or worse, playe</w:t>
      </w:r>
      <w:r w:rsidR="000A7FD0">
        <w:t>d a key role in the process of E</w:t>
      </w:r>
      <w:r>
        <w:t>uropean integration</w:t>
      </w:r>
      <w:r w:rsidR="001E0062">
        <w:t xml:space="preserve"> (Azrout et al., 2011; Hobolt et al. 2011; Gerhards and Hans 2011, de Vreese et al. 2008; McLaren 2007; Favell, 2011; Ku</w:t>
      </w:r>
      <w:r w:rsidR="001E0062" w:rsidRPr="00382316">
        <w:rPr>
          <w:color w:val="auto"/>
        </w:rPr>
        <w:t>h</w:t>
      </w:r>
      <w:r w:rsidR="001E0062">
        <w:t>n, 2015; Geddes, 2014; Lawless, 2015). M</w:t>
      </w:r>
      <w:r>
        <w:t xml:space="preserve">uch of </w:t>
      </w:r>
      <w:r w:rsidR="00FE2067">
        <w:t xml:space="preserve">Europe’s </w:t>
      </w:r>
      <w:r>
        <w:t>contemporary economic and social landscape has been shaped by rural, regional</w:t>
      </w:r>
      <w:r w:rsidR="00FE2067">
        <w:t>,</w:t>
      </w:r>
      <w:r>
        <w:t xml:space="preserve"> and cross-border labor migration dating back to pre-indus</w:t>
      </w:r>
      <w:r w:rsidR="00BD5583">
        <w:t>trialization times (Favell, 2011</w:t>
      </w:r>
      <w:r>
        <w:t xml:space="preserve">). Today, the right to move and work freely within Europe is one of the </w:t>
      </w:r>
      <w:r w:rsidR="00FE2067">
        <w:t xml:space="preserve">Common Market’s </w:t>
      </w:r>
      <w:r>
        <w:t xml:space="preserve">pillars, and people engaged in transnational </w:t>
      </w:r>
      <w:r w:rsidR="00FE2067">
        <w:t xml:space="preserve">European Union (EU) </w:t>
      </w:r>
      <w:r>
        <w:t xml:space="preserve">mobility are more </w:t>
      </w:r>
      <w:r w:rsidR="000A7FD0">
        <w:t>likely to support E</w:t>
      </w:r>
      <w:r w:rsidR="00382316">
        <w:t xml:space="preserve">uropean </w:t>
      </w:r>
      <w:r w:rsidR="002F7E62">
        <w:t xml:space="preserve">integration </w:t>
      </w:r>
      <w:r>
        <w:t>(Ku</w:t>
      </w:r>
      <w:r w:rsidR="00382316" w:rsidRPr="00382316">
        <w:rPr>
          <w:color w:val="auto"/>
        </w:rPr>
        <w:t>h</w:t>
      </w:r>
      <w:r>
        <w:t xml:space="preserve">n, 2015). Meanwhile, immigration from the New Member States which joined the EU </w:t>
      </w:r>
      <w:r>
        <w:lastRenderedPageBreak/>
        <w:t xml:space="preserve">in 2004 and 2007 and, even more so, immigration from outside Europe are increasing </w:t>
      </w:r>
      <w:r w:rsidR="000F6D07">
        <w:t>Euroscepticism</w:t>
      </w:r>
      <w:r w:rsidR="002F7E62">
        <w:t>,</w:t>
      </w:r>
      <w:r w:rsidR="002F7E62">
        <w:rPr>
          <w:rStyle w:val="FootnoteReference"/>
        </w:rPr>
        <w:footnoteReference w:id="2"/>
      </w:r>
      <w:r>
        <w:t xml:space="preserve"> especially in ‘old’ member states</w:t>
      </w:r>
      <w:r w:rsidR="0070175F">
        <w:t xml:space="preserve">. It </w:t>
      </w:r>
      <w:r>
        <w:t xml:space="preserve">is, for example, well documented that </w:t>
      </w:r>
      <w:r w:rsidR="0079260B">
        <w:t xml:space="preserve">an immigrant </w:t>
      </w:r>
      <w:r>
        <w:t>presence in one’s place of residence and unfavorable attitudes toward immigration are strong determinants of opposition toward further E</w:t>
      </w:r>
      <w:r w:rsidR="00662497">
        <w:t>U enlargement (</w:t>
      </w:r>
      <w:r>
        <w:t>Azrout et al., 2011; Hobolt et al. 2011; Gerhards and Hans 2011, de Vreese et al. 2008; McLaren 2007).</w:t>
      </w:r>
      <w:r w:rsidR="00FB5177">
        <w:rPr>
          <w:rStyle w:val="FootnoteReference"/>
        </w:rPr>
        <w:footnoteReference w:id="3"/>
      </w:r>
      <w:r>
        <w:t xml:space="preserve"> </w:t>
      </w:r>
      <w:r w:rsidR="009B645B">
        <w:t xml:space="preserve">The </w:t>
      </w:r>
      <w:r w:rsidR="00041D12">
        <w:t xml:space="preserve">2016 </w:t>
      </w:r>
      <w:r w:rsidR="009B645B">
        <w:t>EU referendum in the UK, where the majority voted to leave, provides a</w:t>
      </w:r>
      <w:r>
        <w:t xml:space="preserve"> </w:t>
      </w:r>
      <w:r w:rsidR="000A7FD0">
        <w:t>vivid</w:t>
      </w:r>
      <w:r>
        <w:t xml:space="preserve"> example of a negative </w:t>
      </w:r>
      <w:r w:rsidR="009B645B">
        <w:t xml:space="preserve">effect of </w:t>
      </w:r>
      <w:r w:rsidR="00BF325D">
        <w:t xml:space="preserve">intra-EU </w:t>
      </w:r>
      <w:r>
        <w:t xml:space="preserve">migration </w:t>
      </w:r>
      <w:r w:rsidR="00F73D89">
        <w:t xml:space="preserve">on </w:t>
      </w:r>
      <w:r w:rsidR="009B645B">
        <w:t>European integration</w:t>
      </w:r>
      <w:r w:rsidR="0079260B">
        <w:t>.</w:t>
      </w:r>
      <w:r w:rsidR="009B645B">
        <w:t xml:space="preserve"> </w:t>
      </w:r>
      <w:r w:rsidR="0079260B">
        <w:t>C</w:t>
      </w:r>
      <w:r w:rsidR="000F6D07">
        <w:t xml:space="preserve">entral </w:t>
      </w:r>
      <w:r w:rsidR="000F6D07">
        <w:lastRenderedPageBreak/>
        <w:t xml:space="preserve">to </w:t>
      </w:r>
      <w:r w:rsidR="0079260B">
        <w:t xml:space="preserve">this referendum’s </w:t>
      </w:r>
      <w:r w:rsidR="000F6D07">
        <w:t xml:space="preserve">campaign </w:t>
      </w:r>
      <w:r w:rsidR="00A71F95">
        <w:t xml:space="preserve">was immigration from </w:t>
      </w:r>
      <w:r w:rsidR="00BD5583">
        <w:t xml:space="preserve">new EU member states, which, </w:t>
      </w:r>
      <w:r w:rsidR="00A71F95">
        <w:t>for some time</w:t>
      </w:r>
      <w:r w:rsidR="00BD5583">
        <w:t>,</w:t>
      </w:r>
      <w:r w:rsidR="00A71F95">
        <w:t xml:space="preserve"> had been fuelling anti-EU sentiment in the country</w:t>
      </w:r>
      <w:r>
        <w:t xml:space="preserve"> (Geddes, 2014; </w:t>
      </w:r>
      <w:r w:rsidR="00D635DE">
        <w:t>Ivlevs and Veliziotis, 2018</w:t>
      </w:r>
      <w:r w:rsidR="001A4525">
        <w:t>; Lawless, 2015</w:t>
      </w:r>
      <w:r>
        <w:t xml:space="preserve">). </w:t>
      </w:r>
    </w:p>
    <w:p w14:paraId="764C59F0" w14:textId="2126F417" w:rsidR="005050FF" w:rsidRDefault="00EC6BE8" w:rsidP="004F2FD8">
      <w:pPr>
        <w:spacing w:before="240" w:line="480" w:lineRule="auto"/>
        <w:ind w:firstLine="0"/>
        <w:jc w:val="left"/>
      </w:pPr>
      <w:r>
        <w:t xml:space="preserve">In this context, one question has been overlooked: How does migration affect public support for joining the EU in </w:t>
      </w:r>
      <w:r>
        <w:rPr>
          <w:i/>
        </w:rPr>
        <w:t xml:space="preserve">prospective </w:t>
      </w:r>
      <w:r>
        <w:t xml:space="preserve">EU countries? </w:t>
      </w:r>
      <w:r w:rsidR="0079260B">
        <w:t>T</w:t>
      </w:r>
      <w:r>
        <w:t xml:space="preserve">his </w:t>
      </w:r>
      <w:r w:rsidR="0079260B">
        <w:t>article sets out</w:t>
      </w:r>
      <w:r>
        <w:t xml:space="preserve"> to answer this question</w:t>
      </w:r>
      <w:r w:rsidR="00F87284">
        <w:t xml:space="preserve">, which is important for </w:t>
      </w:r>
      <w:r>
        <w:t>several reasons. First, historically</w:t>
      </w:r>
      <w:r w:rsidR="00F87284">
        <w:t>,</w:t>
      </w:r>
      <w:r>
        <w:t xml:space="preserve"> prospective EU countries</w:t>
      </w:r>
      <w:r w:rsidR="00A20E2A">
        <w:t xml:space="preserve"> </w:t>
      </w:r>
      <w:r>
        <w:t>have been linked with ‘old’ EU member states through migration</w:t>
      </w:r>
      <w:r w:rsidR="00A20E2A">
        <w:t xml:space="preserve"> (Brunnbauer, 2009), and migrants might have provided insider knowledge about EU countries, </w:t>
      </w:r>
      <w:r w:rsidR="002D2D11">
        <w:t xml:space="preserve">thus </w:t>
      </w:r>
      <w:r w:rsidR="00A20E2A">
        <w:t>influencing views about joining the EU among those staying behind. F</w:t>
      </w:r>
      <w:r>
        <w:t>or example, people from the successor states of Yugoslavia</w:t>
      </w:r>
      <w:r w:rsidR="00A20E2A">
        <w:t xml:space="preserve"> </w:t>
      </w:r>
      <w:r>
        <w:t>actively participated in the post-WWII guestworke</w:t>
      </w:r>
      <w:r w:rsidR="00821CE4">
        <w:t xml:space="preserve">r programs </w:t>
      </w:r>
      <w:r w:rsidR="00AA1238">
        <w:t xml:space="preserve">in </w:t>
      </w:r>
      <w:r w:rsidR="00821CE4">
        <w:t>the industrializ</w:t>
      </w:r>
      <w:r>
        <w:t xml:space="preserve">ed countries of </w:t>
      </w:r>
      <w:r w:rsidR="00E406E6">
        <w:t>Western</w:t>
      </w:r>
      <w:r>
        <w:t xml:space="preserve"> Europe. In 1971, one in five of all employed Yugoslavs worked abroad, </w:t>
      </w:r>
      <w:r w:rsidR="00AA1238">
        <w:t>mainly</w:t>
      </w:r>
      <w:r>
        <w:t xml:space="preserve"> in </w:t>
      </w:r>
      <w:r>
        <w:lastRenderedPageBreak/>
        <w:t>West Germany and Austria</w:t>
      </w:r>
      <w:r w:rsidR="00AA1238">
        <w:t xml:space="preserve"> </w:t>
      </w:r>
      <w:r>
        <w:t xml:space="preserve">but also </w:t>
      </w:r>
      <w:r w:rsidR="002D2D11">
        <w:t xml:space="preserve">in </w:t>
      </w:r>
      <w:r>
        <w:t>France, Switzerland</w:t>
      </w:r>
      <w:r w:rsidR="00AA1238">
        <w:t>,</w:t>
      </w:r>
      <w:r>
        <w:t xml:space="preserve"> and Sweden (Brunnbauer, 2009). This migration, later followed by family reunification (Zimmerman, 1987) and war refugee flows, has </w:t>
      </w:r>
      <w:r w:rsidR="00A20E2A">
        <w:t xml:space="preserve">not only </w:t>
      </w:r>
      <w:r>
        <w:t xml:space="preserve">sustained livelihoods for thousands of households </w:t>
      </w:r>
      <w:r w:rsidR="00A20E2A">
        <w:t xml:space="preserve">but also </w:t>
      </w:r>
      <w:r>
        <w:t xml:space="preserve">been a source of </w:t>
      </w:r>
      <w:r w:rsidR="00A20E2A">
        <w:t>information</w:t>
      </w:r>
      <w:r>
        <w:t xml:space="preserve"> about </w:t>
      </w:r>
      <w:r w:rsidR="00A20E2A">
        <w:t xml:space="preserve">the </w:t>
      </w:r>
      <w:r>
        <w:t>EU</w:t>
      </w:r>
      <w:r w:rsidR="00A20E2A" w:rsidRPr="00A20E2A">
        <w:t xml:space="preserve"> </w:t>
      </w:r>
      <w:r w:rsidR="00A20E2A">
        <w:t>in the migrant origin countries</w:t>
      </w:r>
      <w:r w:rsidR="00047B90">
        <w:t>, potentially affecting willingness to join the EU</w:t>
      </w:r>
      <w:r w:rsidR="00A20E2A">
        <w:t xml:space="preserve">. </w:t>
      </w:r>
      <w:r w:rsidR="00D900CE">
        <w:t xml:space="preserve">Second, public support for </w:t>
      </w:r>
      <w:r w:rsidR="00A71F95">
        <w:t>European</w:t>
      </w:r>
      <w:r>
        <w:t xml:space="preserve"> integration has a significant bearing on the </w:t>
      </w:r>
      <w:r w:rsidR="00AA1238">
        <w:t xml:space="preserve">EU’s </w:t>
      </w:r>
      <w:r>
        <w:t>democratic legitimacy (</w:t>
      </w:r>
      <w:r w:rsidR="00051EC1">
        <w:t>Gabel, 1998; Hobolt and D</w:t>
      </w:r>
      <w:r w:rsidR="00041D12">
        <w:t>e Vries, 2016; Recchi and Kuhn, 2013</w:t>
      </w:r>
      <w:r w:rsidR="00987880">
        <w:t xml:space="preserve">). </w:t>
      </w:r>
      <w:r>
        <w:t>Given current economic woes and decli</w:t>
      </w:r>
      <w:r w:rsidR="00D900CE">
        <w:t>n</w:t>
      </w:r>
      <w:r w:rsidR="00AA1238">
        <w:t xml:space="preserve">ing </w:t>
      </w:r>
      <w:r w:rsidR="00D900CE">
        <w:t xml:space="preserve">enthusiasm for further </w:t>
      </w:r>
      <w:r w:rsidR="00A71F95">
        <w:t>European</w:t>
      </w:r>
      <w:r>
        <w:t xml:space="preserve"> integration and expansion </w:t>
      </w:r>
      <w:r w:rsidRPr="00293E76">
        <w:rPr>
          <w:i/>
        </w:rPr>
        <w:t>inside</w:t>
      </w:r>
      <w:r>
        <w:t xml:space="preserve"> the EU,</w:t>
      </w:r>
      <w:r w:rsidR="00D900CE">
        <w:t xml:space="preserve"> it is of interest whether the </w:t>
      </w:r>
      <w:r w:rsidR="00A71F95">
        <w:t>European</w:t>
      </w:r>
      <w:r>
        <w:t xml:space="preserve"> project is still in high standing in the eyes of </w:t>
      </w:r>
      <w:r w:rsidRPr="00293E76">
        <w:rPr>
          <w:i/>
        </w:rPr>
        <w:t>prospective</w:t>
      </w:r>
      <w:r>
        <w:t xml:space="preserve"> EU members</w:t>
      </w:r>
      <w:r w:rsidR="00AA1238">
        <w:t xml:space="preserve"> </w:t>
      </w:r>
      <w:r>
        <w:t xml:space="preserve">and whether factors like migration could drive attitudes </w:t>
      </w:r>
      <w:r w:rsidR="002D2D11">
        <w:t xml:space="preserve">in these countries </w:t>
      </w:r>
      <w:r>
        <w:t xml:space="preserve">toward joining the EU. </w:t>
      </w:r>
    </w:p>
    <w:p w14:paraId="6A234C16" w14:textId="0D173AB6" w:rsidR="005050FF" w:rsidRDefault="0089141B" w:rsidP="004F2FD8">
      <w:pPr>
        <w:spacing w:before="240" w:line="480" w:lineRule="auto"/>
        <w:ind w:firstLine="0"/>
        <w:jc w:val="left"/>
      </w:pPr>
      <w:r>
        <w:lastRenderedPageBreak/>
        <w:t xml:space="preserve">In this article, we </w:t>
      </w:r>
      <w:r w:rsidR="00EC6BE8">
        <w:t>study the relationship between migration and support for joining the EU in the successor s</w:t>
      </w:r>
      <w:r w:rsidR="00047B90">
        <w:t>tates of Yugoslavia (Bosnia and Herzegovina, Croatia, Former Yugoslav Republic of Macedonia, Kosovo, Montenegro, Serbia)</w:t>
      </w:r>
      <w:r w:rsidR="00EC6BE8">
        <w:t xml:space="preserve"> as well as Albania. These countries are the next in</w:t>
      </w:r>
      <w:r w:rsidR="00D900CE">
        <w:t xml:space="preserve"> line to join the EU</w:t>
      </w:r>
      <w:r w:rsidR="00EC6BE8">
        <w:rPr>
          <w:vertAlign w:val="superscript"/>
        </w:rPr>
        <w:footnoteReference w:id="4"/>
      </w:r>
      <w:r w:rsidR="00EC6BE8">
        <w:t xml:space="preserve"> and are characterized by a high incidence of migration</w:t>
      </w:r>
      <w:r w:rsidR="00BD459C">
        <w:t xml:space="preserve">, </w:t>
      </w:r>
      <w:r w:rsidR="00EC6BE8">
        <w:t xml:space="preserve">much of it to the EU. Yet support for EU membership in the </w:t>
      </w:r>
      <w:r w:rsidR="00047B90">
        <w:t xml:space="preserve">Western Balkan region </w:t>
      </w:r>
      <w:r w:rsidR="00EC6BE8">
        <w:t>is far from universal and varies greatly within and between countries. For example, in Croatia’s referendum on joining the EU in January 2012, one third of the participating population voted against joining</w:t>
      </w:r>
      <w:r w:rsidR="00EC6BE8">
        <w:rPr>
          <w:color w:val="FF0000"/>
        </w:rPr>
        <w:t xml:space="preserve"> </w:t>
      </w:r>
      <w:r w:rsidR="00EC6BE8">
        <w:t xml:space="preserve">(BBC, 2012). </w:t>
      </w:r>
      <w:r w:rsidR="00944B9C">
        <w:t xml:space="preserve">In 2010, the share of people considering </w:t>
      </w:r>
      <w:r w:rsidR="000718E6">
        <w:t xml:space="preserve">EU </w:t>
      </w:r>
      <w:r w:rsidR="00944B9C">
        <w:t xml:space="preserve">membership a good thing varied from </w:t>
      </w:r>
      <w:r w:rsidR="009A11EF">
        <w:t>87%</w:t>
      </w:r>
      <w:r w:rsidR="00944B9C">
        <w:t xml:space="preserve"> </w:t>
      </w:r>
      <w:r w:rsidR="000718E6">
        <w:lastRenderedPageBreak/>
        <w:t xml:space="preserve">in </w:t>
      </w:r>
      <w:r w:rsidR="00944B9C">
        <w:t>Kosovo, 81% in Albania</w:t>
      </w:r>
      <w:r w:rsidR="000718E6">
        <w:t>,</w:t>
      </w:r>
      <w:r w:rsidR="00944B9C">
        <w:t xml:space="preserve"> </w:t>
      </w:r>
      <w:r w:rsidR="009A11EF">
        <w:t xml:space="preserve">and </w:t>
      </w:r>
      <w:r w:rsidR="00944B9C">
        <w:t xml:space="preserve">73% in </w:t>
      </w:r>
      <w:r w:rsidR="009A11EF">
        <w:t>Montenegr</w:t>
      </w:r>
      <w:r w:rsidR="00944B9C">
        <w:t xml:space="preserve">o to </w:t>
      </w:r>
      <w:r w:rsidR="009A11EF">
        <w:t xml:space="preserve">44% </w:t>
      </w:r>
      <w:r w:rsidR="00944B9C">
        <w:t>in</w:t>
      </w:r>
      <w:r w:rsidR="009A11EF">
        <w:t xml:space="preserve"> Serb</w:t>
      </w:r>
      <w:r w:rsidR="00944B9C">
        <w:t>ia</w:t>
      </w:r>
      <w:r w:rsidR="009A11EF">
        <w:t xml:space="preserve"> and 25% </w:t>
      </w:r>
      <w:r w:rsidR="00944B9C">
        <w:t xml:space="preserve">in Croatia </w:t>
      </w:r>
      <w:r w:rsidR="009A11EF">
        <w:t>(Gallup, 2010</w:t>
      </w:r>
      <w:r w:rsidR="00030C9B">
        <w:t>). P</w:t>
      </w:r>
      <w:r w:rsidR="00A70E62">
        <w:t xml:space="preserve">olls also reveal declining support for </w:t>
      </w:r>
      <w:r w:rsidR="00441B83">
        <w:t xml:space="preserve">the </w:t>
      </w:r>
      <w:r w:rsidR="00A70E62">
        <w:t xml:space="preserve">EU between 2010 and 2015 across the Western Balkan region (Belloni, 2016). </w:t>
      </w:r>
      <w:r w:rsidR="00EC6BE8">
        <w:t xml:space="preserve"> </w:t>
      </w:r>
    </w:p>
    <w:p w14:paraId="672AEA97" w14:textId="4488FFCF" w:rsidR="005050FF" w:rsidRDefault="00EC6BE8" w:rsidP="004F2FD8">
      <w:pPr>
        <w:spacing w:before="240" w:line="480" w:lineRule="auto"/>
        <w:ind w:firstLine="0"/>
        <w:jc w:val="left"/>
      </w:pPr>
      <w:r w:rsidRPr="008536DF">
        <w:t xml:space="preserve">Several factors may have contributed to </w:t>
      </w:r>
      <w:r w:rsidR="00A70E62">
        <w:t xml:space="preserve">rising </w:t>
      </w:r>
      <w:r w:rsidR="00A71F95" w:rsidRPr="008536DF">
        <w:t>Euroscepticism</w:t>
      </w:r>
      <w:r w:rsidRPr="008536DF">
        <w:t xml:space="preserve"> in the </w:t>
      </w:r>
      <w:r w:rsidR="00E406E6" w:rsidRPr="008536DF">
        <w:t>Western</w:t>
      </w:r>
      <w:r w:rsidRPr="008536DF">
        <w:t xml:space="preserve"> Balka</w:t>
      </w:r>
      <w:r w:rsidR="00944B9C">
        <w:t xml:space="preserve">ns. The ongoing problems in the EU – </w:t>
      </w:r>
      <w:r w:rsidRPr="008536DF">
        <w:t>economic hardships in neighboring Greece</w:t>
      </w:r>
      <w:r w:rsidR="00F73D89" w:rsidRPr="008536DF">
        <w:t xml:space="preserve"> following the Euro crisis</w:t>
      </w:r>
      <w:r w:rsidRPr="008536DF">
        <w:t xml:space="preserve">, </w:t>
      </w:r>
      <w:r w:rsidR="0019729D" w:rsidRPr="008536DF">
        <w:t xml:space="preserve">the 2015 </w:t>
      </w:r>
      <w:r w:rsidR="00F73D89" w:rsidRPr="008536DF">
        <w:t>refugee</w:t>
      </w:r>
      <w:r w:rsidR="0019729D" w:rsidRPr="008536DF">
        <w:t xml:space="preserve"> crisis, and </w:t>
      </w:r>
      <w:r w:rsidRPr="008536DF">
        <w:t xml:space="preserve">the </w:t>
      </w:r>
      <w:r w:rsidR="0019729D" w:rsidRPr="008536DF">
        <w:t xml:space="preserve">2016 </w:t>
      </w:r>
      <w:r w:rsidRPr="008536DF">
        <w:t>UK refer</w:t>
      </w:r>
      <w:r w:rsidR="0006465A" w:rsidRPr="008536DF">
        <w:t xml:space="preserve">endum on whether to stay </w:t>
      </w:r>
      <w:r w:rsidRPr="008536DF">
        <w:t>in the EU</w:t>
      </w:r>
      <w:r w:rsidR="00944B9C">
        <w:t xml:space="preserve"> – may </w:t>
      </w:r>
      <w:r w:rsidRPr="008536DF">
        <w:t xml:space="preserve">cast doubt on the </w:t>
      </w:r>
      <w:r w:rsidR="00767D5E">
        <w:t xml:space="preserve">EU’s </w:t>
      </w:r>
      <w:r w:rsidRPr="008536DF">
        <w:t>ability to deliver peace and prosperity</w:t>
      </w:r>
      <w:r w:rsidR="004978CC" w:rsidRPr="008536DF">
        <w:t xml:space="preserve"> (</w:t>
      </w:r>
      <w:r w:rsidR="00F17842" w:rsidRPr="008536DF">
        <w:t xml:space="preserve">Belloni and Brunazzi, </w:t>
      </w:r>
      <w:r w:rsidR="008F6168" w:rsidRPr="008536DF">
        <w:t xml:space="preserve">2017; </w:t>
      </w:r>
      <w:r w:rsidR="008F6168" w:rsidRPr="008536DF">
        <w:rPr>
          <w:color w:val="000000" w:themeColor="text1"/>
        </w:rPr>
        <w:t>Ker-Lindsay, 2017;</w:t>
      </w:r>
      <w:r w:rsidR="008F6168" w:rsidRPr="008536DF">
        <w:t xml:space="preserve"> Yamron, 2017</w:t>
      </w:r>
      <w:r w:rsidR="004978CC" w:rsidRPr="008536DF">
        <w:t>)</w:t>
      </w:r>
      <w:r w:rsidRPr="008536DF">
        <w:t>. Some countries of ‘old’ Europe have recently witnessed an increase in anti-immigration sentiment and a rise of far-right parties, in part attributable to the realities of post-2004 immigration from Central and Eastern Europe</w:t>
      </w:r>
      <w:r w:rsidR="008F6168" w:rsidRPr="008536DF">
        <w:t xml:space="preserve"> (Geddes, 2014; </w:t>
      </w:r>
      <w:r w:rsidR="001A4525" w:rsidRPr="008536DF">
        <w:t>Halla, 2017</w:t>
      </w:r>
      <w:r w:rsidR="008F6168" w:rsidRPr="008536DF">
        <w:t>)</w:t>
      </w:r>
      <w:r w:rsidRPr="008536DF">
        <w:t xml:space="preserve">. Such developments may </w:t>
      </w:r>
      <w:r w:rsidRPr="008536DF">
        <w:lastRenderedPageBreak/>
        <w:t xml:space="preserve">make people in the </w:t>
      </w:r>
      <w:r w:rsidR="00E406E6" w:rsidRPr="008536DF">
        <w:t>Western</w:t>
      </w:r>
      <w:r w:rsidRPr="008536DF">
        <w:t xml:space="preserve"> Balkans wonder whether they are welcome in the EU and contribute to their </w:t>
      </w:r>
      <w:r w:rsidR="00A71F95" w:rsidRPr="008536DF">
        <w:t>Euroscepticism</w:t>
      </w:r>
      <w:r w:rsidR="008F6168" w:rsidRPr="008536DF">
        <w:t xml:space="preserve"> (</w:t>
      </w:r>
      <w:r w:rsidR="008F6168" w:rsidRPr="008536DF">
        <w:rPr>
          <w:color w:val="000000" w:themeColor="text1"/>
        </w:rPr>
        <w:t>Ker-Lindsay, 2017)</w:t>
      </w:r>
      <w:r w:rsidRPr="008536DF">
        <w:t xml:space="preserve">. Among internal factors, war and conflict memories may still be fresh in the </w:t>
      </w:r>
      <w:r w:rsidR="00E406E6" w:rsidRPr="008536DF">
        <w:t>Western</w:t>
      </w:r>
      <w:r w:rsidRPr="008536DF">
        <w:t xml:space="preserve"> Balkans</w:t>
      </w:r>
      <w:r w:rsidR="00767D5E">
        <w:t xml:space="preserve"> </w:t>
      </w:r>
      <w:r w:rsidRPr="008536DF">
        <w:t xml:space="preserve">and predispose some people against joining the EU </w:t>
      </w:r>
      <w:r w:rsidR="00767D5E">
        <w:t xml:space="preserve">over </w:t>
      </w:r>
      <w:r w:rsidRPr="008536DF">
        <w:t>resent</w:t>
      </w:r>
      <w:r w:rsidR="00767D5E">
        <w:t>ment</w:t>
      </w:r>
      <w:r w:rsidRPr="008536DF">
        <w:t xml:space="preserve"> that the EU took sides in the Balkan conflict. For example, parts of Serbia’s population likely </w:t>
      </w:r>
      <w:r w:rsidR="00711A01" w:rsidRPr="008536DF">
        <w:t>harbour</w:t>
      </w:r>
      <w:r w:rsidRPr="008536DF">
        <w:t xml:space="preserve"> neg</w:t>
      </w:r>
      <w:r w:rsidR="00D900CE" w:rsidRPr="008536DF">
        <w:t xml:space="preserve">ative feelings because many EU </w:t>
      </w:r>
      <w:r w:rsidR="00BD5583" w:rsidRPr="008536DF">
        <w:t xml:space="preserve">member states were </w:t>
      </w:r>
      <w:r w:rsidRPr="008536DF">
        <w:t xml:space="preserve">among the first to recognize the statehood of independent Kosovo, which formerly was </w:t>
      </w:r>
      <w:r w:rsidR="00EB3849" w:rsidRPr="008536DF">
        <w:t>part</w:t>
      </w:r>
      <w:r w:rsidRPr="008536DF">
        <w:t xml:space="preserve"> of Serbia</w:t>
      </w:r>
      <w:r w:rsidR="004978CC" w:rsidRPr="008536DF">
        <w:t xml:space="preserve"> (Nuttall, 2017</w:t>
      </w:r>
      <w:r w:rsidR="00F17842" w:rsidRPr="008536DF">
        <w:t>; Belloni, 2016</w:t>
      </w:r>
      <w:r w:rsidR="004978CC" w:rsidRPr="008536DF">
        <w:t>)</w:t>
      </w:r>
      <w:r w:rsidRPr="008536DF">
        <w:t>.</w:t>
      </w:r>
      <w:r>
        <w:t xml:space="preserve"> </w:t>
      </w:r>
    </w:p>
    <w:p w14:paraId="747693B2" w14:textId="56CA8556" w:rsidR="005050FF" w:rsidRDefault="00EC6BE8" w:rsidP="004F2FD8">
      <w:pPr>
        <w:spacing w:before="240" w:line="480" w:lineRule="auto"/>
        <w:ind w:firstLine="0"/>
        <w:jc w:val="left"/>
      </w:pPr>
      <w:r>
        <w:t xml:space="preserve">Against this background, we study whether migration-related variables </w:t>
      </w:r>
      <w:r w:rsidR="007C4BCA">
        <w:t>–</w:t>
      </w:r>
      <w:r>
        <w:t xml:space="preserve"> </w:t>
      </w:r>
      <w:r w:rsidR="00464CB3">
        <w:t xml:space="preserve">willingness </w:t>
      </w:r>
      <w:r>
        <w:t>to emigrate, having relative</w:t>
      </w:r>
      <w:r w:rsidR="00767D5E">
        <w:t>(s)</w:t>
      </w:r>
      <w:r>
        <w:t xml:space="preserve"> abroad</w:t>
      </w:r>
      <w:r w:rsidR="007C4BCA">
        <w:t xml:space="preserve">, and being a return migrant – </w:t>
      </w:r>
      <w:r>
        <w:t xml:space="preserve">have constrained or, on the contrary, propelled euro-optimism in the </w:t>
      </w:r>
      <w:r w:rsidR="00E406E6">
        <w:t>Western</w:t>
      </w:r>
      <w:r w:rsidR="00821CE4">
        <w:t xml:space="preserve"> Balkan region. </w:t>
      </w:r>
      <w:r w:rsidR="00AF4B32">
        <w:t>In Section 2, w</w:t>
      </w:r>
      <w:r w:rsidR="00821CE4">
        <w:t>e hypothesiz</w:t>
      </w:r>
      <w:r>
        <w:t xml:space="preserve">e that migration affects support for joining the EU through a combination of instrumental motives and </w:t>
      </w:r>
      <w:r w:rsidR="00807CBA">
        <w:t xml:space="preserve">making residents </w:t>
      </w:r>
      <w:r>
        <w:t xml:space="preserve">better informed about the </w:t>
      </w:r>
      <w:r>
        <w:lastRenderedPageBreak/>
        <w:t>EU. We are also interested in whether migration in general, with its presumed ‘cosmopolitan effect</w:t>
      </w:r>
      <w:r w:rsidR="00807CBA">
        <w:t>,</w:t>
      </w:r>
      <w:r>
        <w:t xml:space="preserve">’ or only migration specifically to the EU shapes public attitudes toward joining the bloc. </w:t>
      </w:r>
      <w:r w:rsidR="00AF4B32">
        <w:t xml:space="preserve">We use </w:t>
      </w:r>
      <w:r>
        <w:t>data from a large and underexplored Gallup Balkan Monitor survey,</w:t>
      </w:r>
      <w:r w:rsidR="00AF4B32">
        <w:t xml:space="preserve"> described in Section 3, that contain</w:t>
      </w:r>
      <w:r>
        <w:t xml:space="preserve"> rich information about both</w:t>
      </w:r>
      <w:r w:rsidR="00AF4B32">
        <w:t xml:space="preserve"> migration and EU preferences and</w:t>
      </w:r>
      <w:r w:rsidR="007C4BCA">
        <w:t xml:space="preserve"> </w:t>
      </w:r>
      <w:r>
        <w:t xml:space="preserve">allow a nuanced analysis of </w:t>
      </w:r>
      <w:r w:rsidR="00807CBA">
        <w:t xml:space="preserve">migration’s </w:t>
      </w:r>
      <w:r>
        <w:t>effect on the sentiment toward</w:t>
      </w:r>
      <w:r>
        <w:rPr>
          <w:color w:val="0000FF"/>
        </w:rPr>
        <w:t xml:space="preserve"> </w:t>
      </w:r>
      <w:r>
        <w:t xml:space="preserve">joining the EU. </w:t>
      </w:r>
    </w:p>
    <w:p w14:paraId="040D02A3" w14:textId="038B4E2A" w:rsidR="005050FF" w:rsidRDefault="00EC6BE8" w:rsidP="004F2FD8">
      <w:pPr>
        <w:spacing w:before="240" w:line="480" w:lineRule="auto"/>
        <w:ind w:firstLine="0"/>
        <w:jc w:val="left"/>
      </w:pPr>
      <w:r>
        <w:t xml:space="preserve">Our </w:t>
      </w:r>
      <w:r w:rsidR="00AF4B32">
        <w:t xml:space="preserve">empirical </w:t>
      </w:r>
      <w:r>
        <w:t>analysis</w:t>
      </w:r>
      <w:r w:rsidR="00AF4B32">
        <w:t>, presented in Section 4, reveal</w:t>
      </w:r>
      <w:r w:rsidR="00A24B6F">
        <w:t>s</w:t>
      </w:r>
      <w:r>
        <w:t xml:space="preserve"> that migration-related variables are important determinants of support for EU membership among prospective members of the </w:t>
      </w:r>
      <w:r w:rsidR="00E406E6">
        <w:t>Western</w:t>
      </w:r>
      <w:r>
        <w:t xml:space="preserve"> Balkans. People considering emigration, people with relatives in a</w:t>
      </w:r>
      <w:r w:rsidR="00807CBA">
        <w:t>n</w:t>
      </w:r>
      <w:r>
        <w:t xml:space="preserve"> EU country, and return migrants who have worked or studied in the EU are all more likely to vote favorably in a hypothetical EU referendum. However, positive sentiment is not necessarily shown toward the more general consideration of whether EU membership would be a good thing. </w:t>
      </w:r>
      <w:r w:rsidR="00AF4B32">
        <w:t xml:space="preserve">As </w:t>
      </w:r>
      <w:r w:rsidR="006F7219">
        <w:lastRenderedPageBreak/>
        <w:t xml:space="preserve">we </w:t>
      </w:r>
      <w:r w:rsidR="00AF4B32">
        <w:t>discuss in Section 5</w:t>
      </w:r>
      <w:r>
        <w:t xml:space="preserve">, </w:t>
      </w:r>
      <w:r w:rsidR="00AF4B32">
        <w:t>these results</w:t>
      </w:r>
      <w:r>
        <w:t xml:space="preserve"> suggest that migration affects attitudes toward joining the EU mainly through instrumental motives, while informational and cosmopolitanism-related channels receive little support.</w:t>
      </w:r>
    </w:p>
    <w:p w14:paraId="7A9A4B0B" w14:textId="3C739E9A" w:rsidR="006F7219" w:rsidRPr="00E32372" w:rsidRDefault="00A24B6F" w:rsidP="00AF4B32">
      <w:pPr>
        <w:spacing w:before="240" w:line="480" w:lineRule="auto"/>
        <w:ind w:firstLine="0"/>
        <w:jc w:val="left"/>
      </w:pPr>
      <w:r>
        <w:t>In developing these ideas, t</w:t>
      </w:r>
      <w:r w:rsidRPr="00710228">
        <w:t xml:space="preserve">his </w:t>
      </w:r>
      <w:r w:rsidR="00AF4B32">
        <w:t xml:space="preserve">article contributes to </w:t>
      </w:r>
      <w:r w:rsidR="009373B8">
        <w:t>two</w:t>
      </w:r>
      <w:r w:rsidR="00DE4060">
        <w:t xml:space="preserve"> strands of literature</w:t>
      </w:r>
      <w:r w:rsidR="00AF4B32">
        <w:t xml:space="preserve">. </w:t>
      </w:r>
      <w:r w:rsidR="00AF4B32" w:rsidRPr="00710228">
        <w:t xml:space="preserve">First, </w:t>
      </w:r>
      <w:r w:rsidR="00806ED8">
        <w:t xml:space="preserve">we add to the </w:t>
      </w:r>
      <w:r w:rsidR="00AF4B32" w:rsidRPr="00710228">
        <w:t xml:space="preserve">literature on </w:t>
      </w:r>
      <w:r w:rsidR="00AF4B32">
        <w:t xml:space="preserve">migration’s </w:t>
      </w:r>
      <w:r w:rsidR="00AF4B32" w:rsidRPr="00710228">
        <w:t xml:space="preserve">influence on support for European integration </w:t>
      </w:r>
      <w:r w:rsidR="00806ED8">
        <w:t xml:space="preserve">that has so far </w:t>
      </w:r>
      <w:r w:rsidR="00AF4B32" w:rsidRPr="00710228">
        <w:t>focused on ‘old’ EU member states, within-EU mobility, and migration from outside Europe (Azrout et al., 2011; De Vreese et al. 2008; Hobolt et al. 2011; Gerhards and Hans, 20</w:t>
      </w:r>
      <w:r w:rsidR="00806ED8">
        <w:t>11; McLaren, 2007; Kuhn, 2015). Th</w:t>
      </w:r>
      <w:r w:rsidR="00AF4B32" w:rsidRPr="00710228">
        <w:t>e perspective of countries aspiring to join the EU</w:t>
      </w:r>
      <w:r w:rsidR="00AF4B32">
        <w:t xml:space="preserve"> </w:t>
      </w:r>
      <w:r w:rsidR="00806ED8">
        <w:t xml:space="preserve">remains </w:t>
      </w:r>
      <w:r w:rsidR="00AF4B32">
        <w:t>un</w:t>
      </w:r>
      <w:r w:rsidR="00806ED8">
        <w:t>explored, and w</w:t>
      </w:r>
      <w:r w:rsidR="00AF4B32" w:rsidRPr="00710228">
        <w:t xml:space="preserve">e </w:t>
      </w:r>
      <w:r w:rsidR="00D74525">
        <w:t xml:space="preserve">fill </w:t>
      </w:r>
      <w:r w:rsidR="00AF4B32" w:rsidRPr="00710228">
        <w:t xml:space="preserve">this gap by focusing on the links between emigration and </w:t>
      </w:r>
      <w:r w:rsidR="00806ED8">
        <w:t>support for joining the EU in</w:t>
      </w:r>
      <w:r w:rsidR="00AF4B32" w:rsidRPr="00710228">
        <w:t xml:space="preserve"> the Western Balkans. </w:t>
      </w:r>
      <w:r w:rsidR="00E26044">
        <w:t>Second,</w:t>
      </w:r>
      <w:r w:rsidR="00AF4B32">
        <w:t xml:space="preserve"> </w:t>
      </w:r>
      <w:r w:rsidR="00806ED8">
        <w:t>we contribute</w:t>
      </w:r>
      <w:r w:rsidR="00AF4B32">
        <w:t xml:space="preserve"> to the literature </w:t>
      </w:r>
      <w:r w:rsidR="00E26044">
        <w:t xml:space="preserve">on </w:t>
      </w:r>
      <w:r w:rsidR="001656BA">
        <w:t xml:space="preserve">international migration’s </w:t>
      </w:r>
      <w:r w:rsidR="00AF4B32">
        <w:t xml:space="preserve">effects on the </w:t>
      </w:r>
      <w:r w:rsidR="00E26044">
        <w:t xml:space="preserve">political and institutional </w:t>
      </w:r>
      <w:r w:rsidR="00AF4B32">
        <w:t xml:space="preserve">development </w:t>
      </w:r>
      <w:r w:rsidR="00806ED8">
        <w:t xml:space="preserve">in migrants’ </w:t>
      </w:r>
      <w:r w:rsidR="001656BA">
        <w:t xml:space="preserve">origin </w:t>
      </w:r>
      <w:r w:rsidR="00806ED8">
        <w:t xml:space="preserve">countries </w:t>
      </w:r>
      <w:r w:rsidR="00AF4B32">
        <w:t xml:space="preserve">(Barsbai et al., </w:t>
      </w:r>
      <w:r w:rsidR="00AF4B32">
        <w:lastRenderedPageBreak/>
        <w:t>2018;</w:t>
      </w:r>
      <w:r w:rsidR="00D74525">
        <w:t xml:space="preserve"> Batista and Vicente, 2011;</w:t>
      </w:r>
      <w:r w:rsidR="00AF4B32">
        <w:t xml:space="preserve"> Chauvet and Mercier, 2014; Docquier et al., 2016; </w:t>
      </w:r>
      <w:r w:rsidR="00D74525">
        <w:t xml:space="preserve">Ivlevs and King, 2017; </w:t>
      </w:r>
      <w:r w:rsidR="00AF4B32">
        <w:t>Pfutze, 2012)</w:t>
      </w:r>
      <w:r w:rsidR="00D74525">
        <w:t xml:space="preserve">. </w:t>
      </w:r>
      <w:r w:rsidR="00E26044">
        <w:t>We</w:t>
      </w:r>
      <w:r w:rsidR="00AF4B32">
        <w:t xml:space="preserve"> </w:t>
      </w:r>
      <w:r w:rsidR="00D74525">
        <w:t xml:space="preserve">add to this body of knowledge by </w:t>
      </w:r>
      <w:r w:rsidR="00E26044">
        <w:t>show</w:t>
      </w:r>
      <w:r w:rsidR="00D74525">
        <w:t>ing</w:t>
      </w:r>
      <w:r w:rsidR="00AF4B32">
        <w:t xml:space="preserve"> that </w:t>
      </w:r>
      <w:r w:rsidR="00E26044">
        <w:t>migration fosters</w:t>
      </w:r>
      <w:r w:rsidR="00AF4B32">
        <w:t xml:space="preserve"> support </w:t>
      </w:r>
      <w:r w:rsidR="00E26044">
        <w:t xml:space="preserve">for </w:t>
      </w:r>
      <w:r w:rsidR="00AF4B32">
        <w:t>joining a supranational institution (the EU</w:t>
      </w:r>
      <w:r w:rsidR="00F460CE" w:rsidRPr="00E32372">
        <w:t xml:space="preserve">). As </w:t>
      </w:r>
      <w:r w:rsidR="00E32372" w:rsidRPr="00E32372">
        <w:t xml:space="preserve">it has been argued and shown that </w:t>
      </w:r>
      <w:r w:rsidR="00F460CE" w:rsidRPr="00E32372">
        <w:t>joining the EU contribute</w:t>
      </w:r>
      <w:r w:rsidR="00E32372" w:rsidRPr="00E32372">
        <w:t>s</w:t>
      </w:r>
      <w:r w:rsidR="00F460CE" w:rsidRPr="00E32372">
        <w:t xml:space="preserve"> to the democratic and institutional reforms in candidate countries</w:t>
      </w:r>
      <w:r w:rsidR="00E32372" w:rsidRPr="00E32372">
        <w:t xml:space="preserve"> </w:t>
      </w:r>
      <w:r w:rsidR="00E32372" w:rsidRPr="00D7162C">
        <w:t>(Elbasani, 2013; Pop-Eleches, 2007; Pridham, 2005; Schimmelfennig, 2007</w:t>
      </w:r>
      <w:r w:rsidR="00E32372">
        <w:t xml:space="preserve">; </w:t>
      </w:r>
      <w:r w:rsidR="00E32372" w:rsidRPr="00D7162C">
        <w:t>Schimmelfennig and Sedelmeier, 2008</w:t>
      </w:r>
      <w:r w:rsidR="00E32372">
        <w:t>)</w:t>
      </w:r>
      <w:r w:rsidR="00F460CE" w:rsidRPr="00E32372">
        <w:t xml:space="preserve">, it is likely that migration will </w:t>
      </w:r>
      <w:r w:rsidR="00E32372" w:rsidRPr="00E32372">
        <w:t xml:space="preserve">foster </w:t>
      </w:r>
      <w:r w:rsidR="00F460CE" w:rsidRPr="00E32372">
        <w:t xml:space="preserve">the </w:t>
      </w:r>
      <w:r w:rsidR="00AF4B32" w:rsidRPr="00E32372">
        <w:t>political and institutional development</w:t>
      </w:r>
      <w:r w:rsidR="00806ED8" w:rsidRPr="00E32372">
        <w:t xml:space="preserve"> </w:t>
      </w:r>
      <w:r w:rsidR="001656BA" w:rsidRPr="00E32372">
        <w:t xml:space="preserve">in </w:t>
      </w:r>
      <w:r w:rsidR="00E32372" w:rsidRPr="00E32372">
        <w:t>the successor states of former Yugoslavia</w:t>
      </w:r>
      <w:r w:rsidR="00ED3A05">
        <w:t xml:space="preserve"> – through increased support for joining the EU. </w:t>
      </w:r>
      <w:r w:rsidR="00AF4B32">
        <w:t xml:space="preserve"> </w:t>
      </w:r>
    </w:p>
    <w:p w14:paraId="3AC0079B" w14:textId="77777777" w:rsidR="006F7219" w:rsidRDefault="006F7219" w:rsidP="00AF4B32">
      <w:pPr>
        <w:spacing w:before="240" w:line="480" w:lineRule="auto"/>
        <w:ind w:firstLine="0"/>
        <w:jc w:val="left"/>
      </w:pPr>
    </w:p>
    <w:p w14:paraId="61A46A31" w14:textId="77777777" w:rsidR="005050FF" w:rsidRDefault="00EC6BE8" w:rsidP="00861031">
      <w:pPr>
        <w:pStyle w:val="ListParagraph"/>
        <w:numPr>
          <w:ilvl w:val="0"/>
          <w:numId w:val="4"/>
        </w:numPr>
        <w:spacing w:before="240" w:line="480" w:lineRule="auto"/>
        <w:jc w:val="left"/>
      </w:pPr>
      <w:r>
        <w:t xml:space="preserve">MIGRATION AND SUPPORT FOR EU MEMBERSHIP: </w:t>
      </w:r>
      <w:r w:rsidR="006457B5">
        <w:t>THEORETICAL CONSIDERATIONS</w:t>
      </w:r>
      <w:r>
        <w:t xml:space="preserve"> </w:t>
      </w:r>
    </w:p>
    <w:p w14:paraId="7B8AC146" w14:textId="7F331908" w:rsidR="006457B5" w:rsidRDefault="00EC6BE8" w:rsidP="00861031">
      <w:pPr>
        <w:spacing w:before="240" w:line="480" w:lineRule="auto"/>
        <w:ind w:firstLine="0"/>
        <w:jc w:val="left"/>
      </w:pPr>
      <w:r>
        <w:lastRenderedPageBreak/>
        <w:t xml:space="preserve">This section presents an analytical framework for examining if and how attitudes toward joining the EU might be influenced by migration-related considerations and experiences, </w:t>
      </w:r>
      <w:r w:rsidR="00FB2C23">
        <w:t xml:space="preserve">especially </w:t>
      </w:r>
      <w:r w:rsidR="00CA291E">
        <w:t>willin</w:t>
      </w:r>
      <w:r w:rsidR="00C13ECE">
        <w:t>gn</w:t>
      </w:r>
      <w:r w:rsidR="00CA291E">
        <w:t>ess</w:t>
      </w:r>
      <w:r w:rsidR="00FB2C23">
        <w:t xml:space="preserve"> </w:t>
      </w:r>
      <w:r>
        <w:t xml:space="preserve">to migrate, having relatives abroad, and being a return migrant.  </w:t>
      </w:r>
      <w:r w:rsidR="006457B5">
        <w:t xml:space="preserve">We start by outlining the main </w:t>
      </w:r>
      <w:r w:rsidR="00051EC1">
        <w:t>explanations</w:t>
      </w:r>
      <w:r w:rsidR="006457B5">
        <w:t xml:space="preserve"> </w:t>
      </w:r>
      <w:r w:rsidR="003167AC">
        <w:t xml:space="preserve">for </w:t>
      </w:r>
      <w:r w:rsidR="006457B5">
        <w:t xml:space="preserve">public support </w:t>
      </w:r>
      <w:r w:rsidR="003167AC">
        <w:t xml:space="preserve">of </w:t>
      </w:r>
      <w:r w:rsidR="00861031">
        <w:t>European</w:t>
      </w:r>
      <w:r w:rsidR="006457B5">
        <w:t xml:space="preserve"> integration</w:t>
      </w:r>
      <w:r w:rsidR="000A4BC9">
        <w:t xml:space="preserve"> (we consider joining the EU as one dimension of European integration</w:t>
      </w:r>
      <w:r w:rsidR="00F376E4">
        <w:t xml:space="preserve">) </w:t>
      </w:r>
      <w:r w:rsidR="006457B5">
        <w:t xml:space="preserve">and then discuss </w:t>
      </w:r>
      <w:r w:rsidR="00051EC1">
        <w:t>how migration</w:t>
      </w:r>
      <w:r w:rsidR="00F94122">
        <w:t>-related phenomena</w:t>
      </w:r>
      <w:r w:rsidR="006457B5">
        <w:t xml:space="preserve"> fit into</w:t>
      </w:r>
      <w:r w:rsidR="00051EC1">
        <w:t xml:space="preserve"> </w:t>
      </w:r>
      <w:r w:rsidR="00147536">
        <w:t>the</w:t>
      </w:r>
      <w:r w:rsidR="006457B5">
        <w:t xml:space="preserve">se conceptual frameworks. </w:t>
      </w:r>
    </w:p>
    <w:p w14:paraId="152594B7" w14:textId="77777777" w:rsidR="00861031" w:rsidRDefault="00861031" w:rsidP="00861031">
      <w:pPr>
        <w:pStyle w:val="ListParagraph"/>
        <w:numPr>
          <w:ilvl w:val="1"/>
          <w:numId w:val="4"/>
        </w:numPr>
        <w:spacing w:before="240" w:line="480" w:lineRule="auto"/>
        <w:jc w:val="left"/>
      </w:pPr>
      <w:r w:rsidRPr="00212C74">
        <w:t xml:space="preserve"> Main explanations of public support for European integration</w:t>
      </w:r>
    </w:p>
    <w:p w14:paraId="72A6D3F8" w14:textId="77777777" w:rsidR="0010573C" w:rsidRPr="00212C74" w:rsidRDefault="0010573C" w:rsidP="0010573C">
      <w:pPr>
        <w:pStyle w:val="ListParagraph"/>
        <w:spacing w:before="240" w:line="480" w:lineRule="auto"/>
        <w:ind w:firstLine="0"/>
        <w:jc w:val="left"/>
      </w:pPr>
    </w:p>
    <w:p w14:paraId="1331377F" w14:textId="6AA6C5CD" w:rsidR="0010573C" w:rsidRDefault="000A4BC9" w:rsidP="005D1B2C">
      <w:pPr>
        <w:pStyle w:val="ListParagraph"/>
        <w:spacing w:before="240" w:line="480" w:lineRule="auto"/>
        <w:ind w:left="0" w:firstLine="0"/>
        <w:jc w:val="left"/>
      </w:pPr>
      <w:r>
        <w:t>The literature</w:t>
      </w:r>
      <w:r w:rsidR="0010573C">
        <w:t xml:space="preserve"> on the determinants of support for European integration</w:t>
      </w:r>
      <w:r>
        <w:t xml:space="preserve"> has</w:t>
      </w:r>
      <w:r w:rsidR="00D61CB9">
        <w:t xml:space="preserve"> distinguish</w:t>
      </w:r>
      <w:r>
        <w:t>ed</w:t>
      </w:r>
      <w:r w:rsidR="00D61CB9">
        <w:t xml:space="preserve"> </w:t>
      </w:r>
      <w:r w:rsidR="003734E0">
        <w:t xml:space="preserve">between </w:t>
      </w:r>
      <w:r w:rsidR="008033F1">
        <w:t xml:space="preserve">and among </w:t>
      </w:r>
      <w:r w:rsidR="00D61CB9">
        <w:t xml:space="preserve">three </w:t>
      </w:r>
      <w:r>
        <w:t>core explanations for why people would support European integration</w:t>
      </w:r>
      <w:r w:rsidR="00861031" w:rsidRPr="00D61CB9">
        <w:t>: 1</w:t>
      </w:r>
      <w:r w:rsidR="00861031">
        <w:t>) utilitarian</w:t>
      </w:r>
      <w:r w:rsidR="00662497">
        <w:t>,</w:t>
      </w:r>
      <w:r w:rsidR="00861031">
        <w:t xml:space="preserve"> 2) identity</w:t>
      </w:r>
      <w:r w:rsidR="008033F1">
        <w:t>,</w:t>
      </w:r>
      <w:r w:rsidR="00580DE3">
        <w:t xml:space="preserve"> </w:t>
      </w:r>
      <w:r w:rsidR="00662497">
        <w:lastRenderedPageBreak/>
        <w:t xml:space="preserve">and </w:t>
      </w:r>
      <w:r w:rsidR="00580DE3">
        <w:t>3) cue-taking</w:t>
      </w:r>
      <w:r>
        <w:t xml:space="preserve"> (see Hobolt and De Vries, 2016)</w:t>
      </w:r>
      <w:r w:rsidR="00861031">
        <w:t xml:space="preserve">. The </w:t>
      </w:r>
      <w:r w:rsidR="00D61CB9" w:rsidRPr="008F7846">
        <w:rPr>
          <w:i/>
        </w:rPr>
        <w:t>utilitarian</w:t>
      </w:r>
      <w:r w:rsidR="00D61CB9">
        <w:t xml:space="preserve"> approach posits that people will support EU integration if they see a personal</w:t>
      </w:r>
      <w:r w:rsidR="004E2DDC">
        <w:t xml:space="preserve"> (egocentric)</w:t>
      </w:r>
      <w:r w:rsidR="00D61CB9">
        <w:t xml:space="preserve"> or collective</w:t>
      </w:r>
      <w:r w:rsidR="004E2DDC">
        <w:t xml:space="preserve"> (sociotropic)</w:t>
      </w:r>
      <w:r w:rsidR="00D61CB9">
        <w:t xml:space="preserve"> benefit from deeper integration. </w:t>
      </w:r>
      <w:r w:rsidR="000C7E3B" w:rsidRPr="00C85654">
        <w:t>It is often assumed that</w:t>
      </w:r>
      <w:r w:rsidR="00103A67" w:rsidRPr="00C85654">
        <w:t xml:space="preserve"> </w:t>
      </w:r>
      <w:r w:rsidR="000C7E3B" w:rsidRPr="00C85654">
        <w:t xml:space="preserve">at the individual level, </w:t>
      </w:r>
      <w:r w:rsidR="00D61CB9" w:rsidRPr="00C85654">
        <w:t xml:space="preserve">people with higher levels of </w:t>
      </w:r>
      <w:r w:rsidR="009D3D22" w:rsidRPr="00C85654">
        <w:t xml:space="preserve">human and financial capital – </w:t>
      </w:r>
      <w:r w:rsidR="00D61CB9" w:rsidRPr="00C85654">
        <w:t>education</w:t>
      </w:r>
      <w:r w:rsidR="00147536" w:rsidRPr="00C85654">
        <w:t xml:space="preserve">, </w:t>
      </w:r>
      <w:r w:rsidR="009D3D22" w:rsidRPr="00C85654">
        <w:t>income</w:t>
      </w:r>
      <w:r w:rsidR="00103A67" w:rsidRPr="00C85654">
        <w:t>,</w:t>
      </w:r>
      <w:r w:rsidR="009D3D22" w:rsidRPr="00C85654">
        <w:t xml:space="preserve"> and </w:t>
      </w:r>
      <w:r w:rsidR="00147536" w:rsidRPr="00C85654">
        <w:t xml:space="preserve">occupational </w:t>
      </w:r>
      <w:r w:rsidR="009D3D22" w:rsidRPr="00C85654">
        <w:t>skills –</w:t>
      </w:r>
      <w:r w:rsidR="00103A67" w:rsidRPr="00C85654">
        <w:t xml:space="preserve"> </w:t>
      </w:r>
      <w:r w:rsidR="00D61CB9" w:rsidRPr="00C85654">
        <w:t xml:space="preserve">benefit most </w:t>
      </w:r>
      <w:r w:rsidR="000C7E3B" w:rsidRPr="00C85654">
        <w:t xml:space="preserve">from </w:t>
      </w:r>
      <w:r w:rsidR="009D3D22" w:rsidRPr="00C85654">
        <w:t xml:space="preserve">European integration </w:t>
      </w:r>
      <w:r w:rsidR="000C7E3B" w:rsidRPr="00C85654">
        <w:t xml:space="preserve">as they </w:t>
      </w:r>
      <w:r w:rsidR="009D3D22" w:rsidRPr="00C85654">
        <w:t xml:space="preserve">better </w:t>
      </w:r>
      <w:r w:rsidR="00147536" w:rsidRPr="00C85654">
        <w:t xml:space="preserve">adapt to competition and </w:t>
      </w:r>
      <w:r w:rsidR="009D3D22" w:rsidRPr="00C85654">
        <w:t xml:space="preserve">are more likely to </w:t>
      </w:r>
      <w:r w:rsidR="000C7E3B" w:rsidRPr="00C85654">
        <w:t xml:space="preserve">take advantage of the opportunities offered by </w:t>
      </w:r>
      <w:r w:rsidR="00A03DE3" w:rsidRPr="00C85654">
        <w:t xml:space="preserve">a </w:t>
      </w:r>
      <w:r w:rsidR="00103A67" w:rsidRPr="00C85654">
        <w:t xml:space="preserve">liberalized </w:t>
      </w:r>
      <w:r w:rsidR="000C7E3B" w:rsidRPr="00C85654">
        <w:t>European market</w:t>
      </w:r>
      <w:r w:rsidR="00103A67" w:rsidRPr="00C85654">
        <w:t xml:space="preserve"> </w:t>
      </w:r>
      <w:r w:rsidR="0010573C" w:rsidRPr="00C85654">
        <w:t>(</w:t>
      </w:r>
      <w:r w:rsidR="00044FE1" w:rsidRPr="00C85654">
        <w:t xml:space="preserve">Anderson and Reichert, 1995; </w:t>
      </w:r>
      <w:r w:rsidR="0010573C" w:rsidRPr="00C85654">
        <w:t>Gabel and Palmer, 1995</w:t>
      </w:r>
      <w:r w:rsidR="006B2CA5" w:rsidRPr="00C85654">
        <w:t>; Inglehart, 1970</w:t>
      </w:r>
      <w:r w:rsidR="00C85654" w:rsidRPr="00C85654">
        <w:t>; Tucker et al., 2002</w:t>
      </w:r>
      <w:r w:rsidR="0010573C" w:rsidRPr="00C85654">
        <w:t xml:space="preserve">). </w:t>
      </w:r>
      <w:r w:rsidR="00103A67" w:rsidRPr="00C85654">
        <w:t>A</w:t>
      </w:r>
      <w:r w:rsidR="009D3D22" w:rsidRPr="00C85654">
        <w:t>t the same time,</w:t>
      </w:r>
      <w:r w:rsidR="000C7E3B" w:rsidRPr="00C85654">
        <w:t xml:space="preserve"> low-skilled </w:t>
      </w:r>
      <w:r w:rsidR="00006A0A" w:rsidRPr="00C85654">
        <w:t xml:space="preserve">residents </w:t>
      </w:r>
      <w:r w:rsidR="000C7E3B" w:rsidRPr="00C85654">
        <w:t>lose</w:t>
      </w:r>
      <w:r w:rsidR="009D3D22" w:rsidRPr="00C85654">
        <w:t xml:space="preserve"> out</w:t>
      </w:r>
      <w:r w:rsidR="000C7E3B" w:rsidRPr="00C85654">
        <w:t xml:space="preserve"> as deeper integration leads to production shifting across borders and more job insecurity (Gabel and Palmer, 1995).</w:t>
      </w:r>
      <w:r w:rsidR="000C7E3B">
        <w:t xml:space="preserve"> </w:t>
      </w:r>
      <w:r w:rsidR="009D3D22">
        <w:t xml:space="preserve">Factors capturing human and financial capital, and </w:t>
      </w:r>
      <w:r w:rsidR="000C7E3B">
        <w:t>in particular education</w:t>
      </w:r>
      <w:r w:rsidR="009D3D22">
        <w:t xml:space="preserve">, </w:t>
      </w:r>
      <w:r w:rsidR="000C7E3B">
        <w:t>have</w:t>
      </w:r>
      <w:r w:rsidR="00A03DE3">
        <w:t>, indeed,</w:t>
      </w:r>
      <w:r w:rsidR="000C7E3B">
        <w:t xml:space="preserve"> been found to be important predictors of support for EU integration (</w:t>
      </w:r>
      <w:r w:rsidR="00C85654">
        <w:t>Hakhverdian et al., 2013</w:t>
      </w:r>
      <w:r w:rsidR="000C7E3B">
        <w:t>)</w:t>
      </w:r>
      <w:r w:rsidR="00147536">
        <w:t xml:space="preserve">. </w:t>
      </w:r>
    </w:p>
    <w:p w14:paraId="499EFF8B" w14:textId="77777777" w:rsidR="0010573C" w:rsidRDefault="0010573C" w:rsidP="005D1B2C">
      <w:pPr>
        <w:pStyle w:val="ListParagraph"/>
        <w:spacing w:before="240" w:line="480" w:lineRule="auto"/>
        <w:ind w:left="0" w:firstLine="0"/>
        <w:jc w:val="left"/>
      </w:pPr>
    </w:p>
    <w:p w14:paraId="63C23D0F" w14:textId="5B2B7E6F" w:rsidR="0010573C" w:rsidRDefault="00147536" w:rsidP="00680F89">
      <w:pPr>
        <w:pStyle w:val="ListParagraph"/>
        <w:spacing w:before="240" w:line="480" w:lineRule="auto"/>
        <w:ind w:left="0" w:firstLine="0"/>
        <w:jc w:val="left"/>
      </w:pPr>
      <w:r>
        <w:t>At the collective level</w:t>
      </w:r>
      <w:r w:rsidR="001E4E9A">
        <w:t xml:space="preserve">, </w:t>
      </w:r>
      <w:r w:rsidR="00DF1AB9">
        <w:t xml:space="preserve">a </w:t>
      </w:r>
      <w:r w:rsidR="000949F1">
        <w:t xml:space="preserve">utilitarian cost-benefit </w:t>
      </w:r>
      <w:r w:rsidR="001E4E9A">
        <w:t xml:space="preserve">analysis </w:t>
      </w:r>
      <w:r w:rsidR="009D3D22">
        <w:t xml:space="preserve">predicts </w:t>
      </w:r>
      <w:r w:rsidR="001E4E9A">
        <w:t>that</w:t>
      </w:r>
      <w:r w:rsidR="009D3D22">
        <w:t xml:space="preserve"> people living in</w:t>
      </w:r>
      <w:r w:rsidR="001E4E9A">
        <w:t xml:space="preserve"> countries that gain </w:t>
      </w:r>
      <w:r w:rsidR="009D3D22">
        <w:t xml:space="preserve">from European integration </w:t>
      </w:r>
      <w:r w:rsidR="001E4E9A">
        <w:t>in terms</w:t>
      </w:r>
      <w:r w:rsidR="00DF1AB9">
        <w:t xml:space="preserve"> of</w:t>
      </w:r>
      <w:r w:rsidR="001E4E9A">
        <w:t xml:space="preserve"> net fiscal transfers, trade expansion, </w:t>
      </w:r>
      <w:r w:rsidR="000949F1">
        <w:t>more prominent stance in international relations</w:t>
      </w:r>
      <w:r w:rsidR="00D27501">
        <w:t xml:space="preserve">, and so on </w:t>
      </w:r>
      <w:r w:rsidR="001E4E9A">
        <w:t xml:space="preserve">will be more supportive </w:t>
      </w:r>
      <w:r w:rsidR="000949F1">
        <w:t xml:space="preserve">of </w:t>
      </w:r>
      <w:r w:rsidR="009D3D22">
        <w:t>it</w:t>
      </w:r>
      <w:r w:rsidR="00B26F94">
        <w:t xml:space="preserve"> (</w:t>
      </w:r>
      <w:r w:rsidR="00334AC1">
        <w:t xml:space="preserve">Anderson and Reichert, 1995; </w:t>
      </w:r>
      <w:r w:rsidR="00B26F94">
        <w:t>Eichenberg and Dalton, 1993)</w:t>
      </w:r>
      <w:r w:rsidR="005D1B2C">
        <w:t xml:space="preserve">. </w:t>
      </w:r>
      <w:r w:rsidR="003734E0">
        <w:t>The</w:t>
      </w:r>
      <w:r w:rsidR="00A0514B">
        <w:t xml:space="preserve"> utilitarian motives</w:t>
      </w:r>
      <w:r w:rsidR="009D3D22">
        <w:t xml:space="preserve"> also</w:t>
      </w:r>
      <w:r w:rsidR="00A0514B">
        <w:t xml:space="preserve"> find reflection in studies </w:t>
      </w:r>
      <w:r w:rsidR="00EF4C1E">
        <w:t>of</w:t>
      </w:r>
      <w:r w:rsidR="00A0514B">
        <w:t xml:space="preserve"> EU sentiment in </w:t>
      </w:r>
      <w:r w:rsidR="005D1B2C">
        <w:t>aspiring and new EU member states</w:t>
      </w:r>
      <w:r w:rsidR="00A0514B">
        <w:t xml:space="preserve">. </w:t>
      </w:r>
      <w:r w:rsidR="003734E0">
        <w:t>Socio-economic factors</w:t>
      </w:r>
      <w:r w:rsidR="00A0514B">
        <w:t xml:space="preserve"> (income, education) matter in explaining support for the EU (e.g.</w:t>
      </w:r>
      <w:r w:rsidR="00056746">
        <w:t>,</w:t>
      </w:r>
      <w:r w:rsidR="00A0514B">
        <w:t xml:space="preserve"> Caplanova et al., 2004)</w:t>
      </w:r>
      <w:r w:rsidR="00056746">
        <w:t>,</w:t>
      </w:r>
      <w:r w:rsidR="00A0514B">
        <w:t xml:space="preserve"> and, in addition, </w:t>
      </w:r>
      <w:r w:rsidR="005D1B2C">
        <w:t xml:space="preserve">‘winners’ from post-communist transition (captured by self-reported improvement of financial situation) and supporters of </w:t>
      </w:r>
      <w:r w:rsidR="00CB6AB0">
        <w:t>free-</w:t>
      </w:r>
      <w:r w:rsidR="005D1B2C">
        <w:t xml:space="preserve">market reforms </w:t>
      </w:r>
      <w:r w:rsidR="00A0514B">
        <w:t>tend to be</w:t>
      </w:r>
      <w:r w:rsidR="005D1B2C">
        <w:t xml:space="preserve"> more pro-European (Tucker et al., 2002; Caplanova et al., 2004; Loveless, 2010)</w:t>
      </w:r>
      <w:r w:rsidR="00A0514B">
        <w:t xml:space="preserve">. </w:t>
      </w:r>
    </w:p>
    <w:p w14:paraId="257C2C89" w14:textId="77777777" w:rsidR="0010573C" w:rsidRDefault="0010573C" w:rsidP="00680F89">
      <w:pPr>
        <w:pStyle w:val="ListParagraph"/>
        <w:spacing w:before="240" w:line="480" w:lineRule="auto"/>
        <w:ind w:left="0" w:firstLine="0"/>
        <w:jc w:val="left"/>
      </w:pPr>
    </w:p>
    <w:p w14:paraId="27B110BF" w14:textId="2DAD5B64" w:rsidR="006457B5" w:rsidRDefault="003168D7" w:rsidP="00680F89">
      <w:pPr>
        <w:pStyle w:val="ListParagraph"/>
        <w:spacing w:before="240" w:line="480" w:lineRule="auto"/>
        <w:ind w:left="0" w:firstLine="0"/>
        <w:jc w:val="left"/>
      </w:pPr>
      <w:r>
        <w:lastRenderedPageBreak/>
        <w:t xml:space="preserve">The </w:t>
      </w:r>
      <w:r w:rsidR="0036099C">
        <w:t xml:space="preserve">main </w:t>
      </w:r>
      <w:r>
        <w:t xml:space="preserve">proposition of the </w:t>
      </w:r>
      <w:r w:rsidR="00A44470" w:rsidRPr="0010573C">
        <w:rPr>
          <w:i/>
        </w:rPr>
        <w:t>identity</w:t>
      </w:r>
      <w:r w:rsidR="00A44470">
        <w:t xml:space="preserve"> approach i</w:t>
      </w:r>
      <w:r w:rsidR="00D426E8">
        <w:t>s</w:t>
      </w:r>
      <w:r w:rsidR="00A44470">
        <w:t xml:space="preserve"> that </w:t>
      </w:r>
      <w:r w:rsidR="00AC0DC2">
        <w:t>attitudes toward</w:t>
      </w:r>
      <w:r w:rsidR="0036099C">
        <w:t xml:space="preserve"> EU integration are driven by “group attachments, loyalties, values, and norms that define who a person is” (Hooghe and Marks, </w:t>
      </w:r>
      <w:r w:rsidR="00AC0DC2">
        <w:t>200</w:t>
      </w:r>
      <w:r w:rsidR="0036099C">
        <w:t xml:space="preserve">4, p.415). </w:t>
      </w:r>
      <w:r w:rsidR="00A44470">
        <w:t>European integration leads to a pooling of sovereignty that potentially erodes national self-determination; therefore, people</w:t>
      </w:r>
      <w:r w:rsidR="0036099C">
        <w:t xml:space="preserve"> with</w:t>
      </w:r>
      <w:r w:rsidR="00D426E8">
        <w:t xml:space="preserve"> stronger</w:t>
      </w:r>
      <w:r w:rsidR="00A44470">
        <w:t xml:space="preserve"> attachment to their country</w:t>
      </w:r>
      <w:r w:rsidR="00D426E8">
        <w:t>, national identity</w:t>
      </w:r>
      <w:r w:rsidR="00C5108E">
        <w:t>,</w:t>
      </w:r>
      <w:r w:rsidR="00D426E8">
        <w:t xml:space="preserve"> and </w:t>
      </w:r>
      <w:r w:rsidR="0036099C">
        <w:t xml:space="preserve">national </w:t>
      </w:r>
      <w:r w:rsidR="00D426E8">
        <w:t>pride</w:t>
      </w:r>
      <w:r w:rsidR="00A44470">
        <w:t xml:space="preserve"> </w:t>
      </w:r>
      <w:r w:rsidR="00D426E8">
        <w:t xml:space="preserve">are expected </w:t>
      </w:r>
      <w:r w:rsidR="0036099C">
        <w:t>have more</w:t>
      </w:r>
      <w:r w:rsidR="00D426E8">
        <w:t xml:space="preserve"> negative attitudes toward EU integration (</w:t>
      </w:r>
      <w:r w:rsidR="00A44470">
        <w:t>Hobolt and De Vries, 2016)</w:t>
      </w:r>
      <w:r w:rsidR="00E0026F">
        <w:t>.</w:t>
      </w:r>
      <w:r w:rsidR="0036099C">
        <w:t xml:space="preserve"> Empirically, i</w:t>
      </w:r>
      <w:r w:rsidR="00D426E8">
        <w:t xml:space="preserve">dentity-related factors have been shown to be at least as important as utilitarian considerations in predicting support for European integration (Carey, 2002; Hooghe and Marks, </w:t>
      </w:r>
      <w:r w:rsidR="00E0026F">
        <w:t>2004</w:t>
      </w:r>
      <w:r w:rsidR="00572968">
        <w:t>)</w:t>
      </w:r>
      <w:r w:rsidR="0036099C">
        <w:t xml:space="preserve">, although the identity motives have </w:t>
      </w:r>
      <w:r w:rsidR="00AC0DC2">
        <w:t>not been explicitly</w:t>
      </w:r>
      <w:r w:rsidR="0036099C">
        <w:t xml:space="preserve"> tested in studies on new and aspiring EU member states (Tucker et al., 2002; Caplanova et al., 2004; Loveless, 2010)</w:t>
      </w:r>
      <w:r w:rsidR="00572968">
        <w:t>.</w:t>
      </w:r>
      <w:r w:rsidR="00E0026F">
        <w:t xml:space="preserve"> It should </w:t>
      </w:r>
      <w:r w:rsidR="00E42A46">
        <w:t xml:space="preserve">further be </w:t>
      </w:r>
      <w:r w:rsidR="00E0026F">
        <w:t xml:space="preserve">noted that </w:t>
      </w:r>
      <w:r w:rsidR="00E42A46">
        <w:t>different identities are not exclusive – people may have local/regional, national</w:t>
      </w:r>
      <w:r w:rsidR="00C5108E">
        <w:t>,</w:t>
      </w:r>
      <w:r w:rsidR="00E42A46">
        <w:t xml:space="preserve"> and European identities at the same time – and </w:t>
      </w:r>
      <w:r w:rsidR="00E42A46">
        <w:lastRenderedPageBreak/>
        <w:t xml:space="preserve">that inclusive identities </w:t>
      </w:r>
      <w:r w:rsidR="00BA2DC0">
        <w:t xml:space="preserve">are more likely to be </w:t>
      </w:r>
      <w:r w:rsidR="00E42A46">
        <w:t>positively linked to support for European integration</w:t>
      </w:r>
      <w:r w:rsidR="00BA2DC0">
        <w:t xml:space="preserve"> </w:t>
      </w:r>
      <w:r w:rsidR="0036099C">
        <w:t>relative to</w:t>
      </w:r>
      <w:r w:rsidR="00BA2DC0">
        <w:t xml:space="preserve"> exclusive</w:t>
      </w:r>
      <w:r w:rsidR="0036099C">
        <w:t xml:space="preserve"> national</w:t>
      </w:r>
      <w:r w:rsidR="00BA2DC0">
        <w:t xml:space="preserve"> identities</w:t>
      </w:r>
      <w:r w:rsidR="00E42A46">
        <w:t xml:space="preserve"> (Hooghe and Marks, 2005).</w:t>
      </w:r>
      <w:r w:rsidR="0036099C">
        <w:t xml:space="preserve"> </w:t>
      </w:r>
      <w:r w:rsidR="00E42A46">
        <w:t xml:space="preserve"> </w:t>
      </w:r>
      <w:r w:rsidR="00680F89">
        <w:t xml:space="preserve">It is also not clear to what extent European identity is endogenous to support for </w:t>
      </w:r>
      <w:r w:rsidR="00C5108E">
        <w:t xml:space="preserve">the </w:t>
      </w:r>
      <w:r w:rsidR="00680F89">
        <w:t xml:space="preserve">EU, as the latter may be causing the former (Hobolt and De Vries, 2016).   </w:t>
      </w:r>
    </w:p>
    <w:p w14:paraId="4EDC44CE" w14:textId="77777777" w:rsidR="00680F89" w:rsidRDefault="00680F89" w:rsidP="00680F89">
      <w:pPr>
        <w:pStyle w:val="ListParagraph"/>
        <w:spacing w:before="240" w:line="480" w:lineRule="auto"/>
        <w:ind w:left="0" w:firstLine="0"/>
        <w:jc w:val="left"/>
      </w:pPr>
    </w:p>
    <w:p w14:paraId="73486F5F" w14:textId="32C86355" w:rsidR="00F94122" w:rsidRDefault="005D6DC3" w:rsidP="00580DE3">
      <w:pPr>
        <w:pStyle w:val="ListParagraph"/>
        <w:spacing w:before="240" w:line="480" w:lineRule="auto"/>
        <w:ind w:left="0" w:firstLine="0"/>
        <w:jc w:val="left"/>
      </w:pPr>
      <w:r>
        <w:t xml:space="preserve">The </w:t>
      </w:r>
      <w:r w:rsidR="006B7F9F">
        <w:t>basis</w:t>
      </w:r>
      <w:r>
        <w:t xml:space="preserve"> of the third set of explanations</w:t>
      </w:r>
      <w:r w:rsidR="00FA791C">
        <w:t xml:space="preserve"> related to </w:t>
      </w:r>
      <w:r w:rsidRPr="008F7846">
        <w:rPr>
          <w:i/>
        </w:rPr>
        <w:t>cue-</w:t>
      </w:r>
      <w:r w:rsidR="006B7F9F" w:rsidRPr="008F7846">
        <w:rPr>
          <w:i/>
        </w:rPr>
        <w:t>taking</w:t>
      </w:r>
      <w:r w:rsidR="00FA791C">
        <w:t xml:space="preserve"> </w:t>
      </w:r>
      <w:r>
        <w:t xml:space="preserve">is that most people have </w:t>
      </w:r>
      <w:r w:rsidR="00FA791C">
        <w:t xml:space="preserve">little </w:t>
      </w:r>
      <w:r>
        <w:t>direct personal experience with the EU and</w:t>
      </w:r>
      <w:r w:rsidR="0056415F">
        <w:t>,</w:t>
      </w:r>
      <w:r>
        <w:t xml:space="preserve"> therefore</w:t>
      </w:r>
      <w:r w:rsidR="0056415F">
        <w:t>,</w:t>
      </w:r>
      <w:r>
        <w:t xml:space="preserve"> limited knowledge about it</w:t>
      </w:r>
      <w:r w:rsidR="0056415F">
        <w:t xml:space="preserve"> (</w:t>
      </w:r>
      <w:r w:rsidR="00F255DE">
        <w:t>Anderson, 1998).</w:t>
      </w:r>
      <w:r>
        <w:t xml:space="preserve"> </w:t>
      </w:r>
      <w:r w:rsidR="006B7F9F">
        <w:t>In the absence of direct information, people rely on proxies, or informational ‘shortcuts</w:t>
      </w:r>
      <w:r w:rsidR="00E50BD7">
        <w:t>,</w:t>
      </w:r>
      <w:r w:rsidR="006B7F9F">
        <w:t>’ to evaluate the EU</w:t>
      </w:r>
      <w:r w:rsidR="001F42BB">
        <w:t xml:space="preserve"> (Hobolt and De Vries, 2016)</w:t>
      </w:r>
      <w:r w:rsidR="006B7F9F">
        <w:t xml:space="preserve">. </w:t>
      </w:r>
      <w:r w:rsidR="00A8619B">
        <w:t>Such cues are often provided b</w:t>
      </w:r>
      <w:r w:rsidR="001F42BB">
        <w:t xml:space="preserve">y domestic politics: given that </w:t>
      </w:r>
      <w:r w:rsidR="00A8619B">
        <w:t>national governments typically negotiate integration processes</w:t>
      </w:r>
      <w:r w:rsidR="00FA791C">
        <w:t xml:space="preserve"> and people tend to follow national politics closely</w:t>
      </w:r>
      <w:r w:rsidR="00F255DE">
        <w:t xml:space="preserve"> (Hobolt and De Vries, 2016) </w:t>
      </w:r>
      <w:r w:rsidR="00FA791C">
        <w:t>the</w:t>
      </w:r>
      <w:r w:rsidR="00A8619B">
        <w:t xml:space="preserve"> evaluation</w:t>
      </w:r>
      <w:r w:rsidR="00FA791C">
        <w:t>s</w:t>
      </w:r>
      <w:r w:rsidR="00A8619B">
        <w:t xml:space="preserve"> of </w:t>
      </w:r>
      <w:r w:rsidR="00FA791C">
        <w:t xml:space="preserve">the </w:t>
      </w:r>
      <w:r w:rsidR="00A8619B">
        <w:t>performance of national governments, leaders</w:t>
      </w:r>
      <w:r w:rsidR="006704C8">
        <w:t>,</w:t>
      </w:r>
      <w:r w:rsidR="00A8619B">
        <w:t xml:space="preserve"> and parties </w:t>
      </w:r>
      <w:r w:rsidR="00FA791C">
        <w:lastRenderedPageBreak/>
        <w:t xml:space="preserve">are projected </w:t>
      </w:r>
      <w:r w:rsidR="00A8619B">
        <w:t>onto European integration</w:t>
      </w:r>
      <w:r w:rsidR="00F255DE">
        <w:t xml:space="preserve"> (Franklin et al., 1995, Hobolt and De Vries, 2016)</w:t>
      </w:r>
      <w:r w:rsidR="00FA791C">
        <w:t xml:space="preserve">. Empirical studies </w:t>
      </w:r>
      <w:r w:rsidR="007B4F62">
        <w:t xml:space="preserve">indeed show that greater </w:t>
      </w:r>
      <w:r w:rsidR="003A253A">
        <w:t>support for domestic governments</w:t>
      </w:r>
      <w:r w:rsidR="00FA791C">
        <w:t xml:space="preserve"> is</w:t>
      </w:r>
      <w:r w:rsidR="003A253A">
        <w:t xml:space="preserve"> associated with </w:t>
      </w:r>
      <w:r w:rsidR="007B4F62">
        <w:t xml:space="preserve">greater </w:t>
      </w:r>
      <w:r w:rsidR="003A253A">
        <w:t>support for European integration</w:t>
      </w:r>
      <w:r w:rsidR="00A8619B">
        <w:t xml:space="preserve"> (</w:t>
      </w:r>
      <w:r w:rsidR="001F42BB">
        <w:t xml:space="preserve">Anderson, 1998; </w:t>
      </w:r>
      <w:r w:rsidR="00A8619B">
        <w:t>Franklin et al., 1995</w:t>
      </w:r>
      <w:r w:rsidR="001F42BB">
        <w:t>).</w:t>
      </w:r>
      <w:r w:rsidR="00314342">
        <w:rPr>
          <w:rStyle w:val="FootnoteReference"/>
        </w:rPr>
        <w:footnoteReference w:id="5"/>
      </w:r>
      <w:r w:rsidR="001F42BB">
        <w:t xml:space="preserve"> </w:t>
      </w:r>
      <w:r w:rsidR="007B4F62">
        <w:t xml:space="preserve">Apart from domestic politics, people may </w:t>
      </w:r>
      <w:r w:rsidR="00B71B11">
        <w:t xml:space="preserve">also rely </w:t>
      </w:r>
      <w:r w:rsidR="007B4F62">
        <w:t>on social networks</w:t>
      </w:r>
      <w:r w:rsidR="00B71B11">
        <w:t>–</w:t>
      </w:r>
      <w:r w:rsidR="00580DE3">
        <w:t xml:space="preserve"> relatives, friends, colleagues</w:t>
      </w:r>
      <w:r w:rsidR="00F63DC9">
        <w:t>,</w:t>
      </w:r>
      <w:r w:rsidR="00580DE3">
        <w:t xml:space="preserve"> and neighbors</w:t>
      </w:r>
      <w:r w:rsidR="007B4F62">
        <w:t xml:space="preserve"> – for informational shortcuts </w:t>
      </w:r>
      <w:r w:rsidR="00580DE3">
        <w:t>(</w:t>
      </w:r>
      <w:r w:rsidR="001B73DB">
        <w:t xml:space="preserve">Tanasoiu </w:t>
      </w:r>
      <w:r w:rsidR="00580DE3" w:rsidRPr="00D61CB9">
        <w:t>and Colonescu, 2008</w:t>
      </w:r>
      <w:r w:rsidR="00580DE3">
        <w:t xml:space="preserve">). </w:t>
      </w:r>
      <w:r w:rsidR="007B4F62">
        <w:t>Regardless of who provides the cues, the question of information content is important as well. W</w:t>
      </w:r>
      <w:r w:rsidR="00FA791C">
        <w:t xml:space="preserve">hile it has been argued that </w:t>
      </w:r>
      <w:r w:rsidR="00FA791C" w:rsidRPr="00FA791C">
        <w:rPr>
          <w:i/>
        </w:rPr>
        <w:t>any</w:t>
      </w:r>
      <w:r w:rsidR="00580DE3">
        <w:t xml:space="preserve"> information abou</w:t>
      </w:r>
      <w:r w:rsidR="00FA791C">
        <w:t>t the EU promotes support for integration (Inglehart et al., 1991)</w:t>
      </w:r>
      <w:r w:rsidR="007B4F62">
        <w:t xml:space="preserve"> </w:t>
      </w:r>
      <w:r w:rsidR="00580DE3">
        <w:t xml:space="preserve">because people who are more familiar with the process </w:t>
      </w:r>
      <w:r w:rsidR="00314342">
        <w:t xml:space="preserve">of European integration become </w:t>
      </w:r>
      <w:r w:rsidR="00580DE3">
        <w:t>less threatened</w:t>
      </w:r>
      <w:r w:rsidR="00FA791C">
        <w:t xml:space="preserve"> by </w:t>
      </w:r>
      <w:r w:rsidR="00FA791C">
        <w:lastRenderedPageBreak/>
        <w:t>it</w:t>
      </w:r>
      <w:r w:rsidR="00F63DC9">
        <w:t xml:space="preserve">, </w:t>
      </w:r>
      <w:r w:rsidR="007B4F62">
        <w:t xml:space="preserve">it is reasonable to assume that </w:t>
      </w:r>
      <w:r w:rsidR="001D74B4">
        <w:t>negative information about the EU will lead to less favorable attitudes about European integration</w:t>
      </w:r>
      <w:r w:rsidR="00FA791C">
        <w:t>.</w:t>
      </w:r>
      <w:r w:rsidR="001D74B4">
        <w:t xml:space="preserve"> </w:t>
      </w:r>
      <w:r w:rsidR="00F94122">
        <w:t xml:space="preserve">This assumption is supported by empirical studies showing that the way in which national media frame European integration is related to people’s attitudes toward the European project </w:t>
      </w:r>
      <w:r w:rsidR="00F63DC9">
        <w:t xml:space="preserve">itself </w:t>
      </w:r>
      <w:r w:rsidR="00F94122">
        <w:t xml:space="preserve">(Azrout et al., 2012; </w:t>
      </w:r>
      <w:r w:rsidR="00AB67BF">
        <w:t xml:space="preserve">Schuck and De Vreese, 2006; Vliegenthart et al., 2006). </w:t>
      </w:r>
    </w:p>
    <w:p w14:paraId="3CE575DD" w14:textId="77777777" w:rsidR="006B7F9F" w:rsidRDefault="006B7F9F" w:rsidP="005D6DC3">
      <w:pPr>
        <w:pStyle w:val="ListParagraph"/>
        <w:spacing w:before="240" w:line="480" w:lineRule="auto"/>
        <w:ind w:left="0" w:firstLine="0"/>
        <w:jc w:val="left"/>
      </w:pPr>
    </w:p>
    <w:p w14:paraId="49E77DEB" w14:textId="77777777" w:rsidR="0077737A" w:rsidRDefault="0077737A" w:rsidP="0077737A">
      <w:pPr>
        <w:pStyle w:val="ListParagraph"/>
        <w:numPr>
          <w:ilvl w:val="1"/>
          <w:numId w:val="4"/>
        </w:numPr>
        <w:spacing w:before="240" w:line="480" w:lineRule="auto"/>
        <w:jc w:val="left"/>
      </w:pPr>
      <w:r>
        <w:t xml:space="preserve"> Migration and support for joining the EU</w:t>
      </w:r>
    </w:p>
    <w:p w14:paraId="50D68A05" w14:textId="77777777" w:rsidR="0077737A" w:rsidRDefault="0077737A" w:rsidP="0077737A">
      <w:pPr>
        <w:pStyle w:val="ListParagraph"/>
        <w:spacing w:before="240" w:line="480" w:lineRule="auto"/>
        <w:ind w:firstLine="0"/>
        <w:jc w:val="left"/>
      </w:pPr>
    </w:p>
    <w:p w14:paraId="5179C000" w14:textId="591B2E9F" w:rsidR="0077737A" w:rsidRDefault="0077737A" w:rsidP="0077737A">
      <w:pPr>
        <w:pStyle w:val="ListParagraph"/>
        <w:spacing w:before="240" w:line="480" w:lineRule="auto"/>
        <w:ind w:left="0" w:firstLine="0"/>
        <w:jc w:val="left"/>
      </w:pPr>
      <w:r>
        <w:t xml:space="preserve">This section outlines our expectations of how migration-related phenomena – </w:t>
      </w:r>
      <w:r w:rsidR="00CA291E">
        <w:t>willingness</w:t>
      </w:r>
      <w:r w:rsidR="00B30B95">
        <w:t xml:space="preserve"> </w:t>
      </w:r>
      <w:r>
        <w:t xml:space="preserve">to migrate, having relative abroad, and being a return migrant – </w:t>
      </w:r>
      <w:r w:rsidR="00B30B95">
        <w:t xml:space="preserve">might </w:t>
      </w:r>
      <w:r w:rsidR="000A4BC9">
        <w:t>affect</w:t>
      </w:r>
      <w:r>
        <w:t xml:space="preserve"> individual attitudes </w:t>
      </w:r>
      <w:r w:rsidR="000A4BC9">
        <w:t xml:space="preserve">toward joining the EU. </w:t>
      </w:r>
      <w:r w:rsidR="00600A6A">
        <w:t xml:space="preserve">We differentiate between migration to EU and </w:t>
      </w:r>
      <w:r w:rsidR="00B30B95">
        <w:t xml:space="preserve">to </w:t>
      </w:r>
      <w:r w:rsidR="00600A6A">
        <w:t xml:space="preserve">non-EU countries and discuss each type in turn. </w:t>
      </w:r>
    </w:p>
    <w:p w14:paraId="46C7A634" w14:textId="77777777" w:rsidR="0077737A" w:rsidRDefault="0077737A" w:rsidP="0077737A">
      <w:pPr>
        <w:pStyle w:val="ListParagraph"/>
        <w:spacing w:before="240" w:line="480" w:lineRule="auto"/>
        <w:ind w:firstLine="0"/>
        <w:jc w:val="left"/>
      </w:pPr>
    </w:p>
    <w:p w14:paraId="743FE970" w14:textId="527C6AA6" w:rsidR="005050FF" w:rsidRPr="0077737A" w:rsidRDefault="00CA291E" w:rsidP="0077737A">
      <w:pPr>
        <w:pStyle w:val="ListParagraph"/>
        <w:numPr>
          <w:ilvl w:val="2"/>
          <w:numId w:val="4"/>
        </w:numPr>
        <w:spacing w:before="240" w:line="480" w:lineRule="auto"/>
        <w:jc w:val="left"/>
      </w:pPr>
      <w:r>
        <w:lastRenderedPageBreak/>
        <w:t>Willingness</w:t>
      </w:r>
      <w:r w:rsidR="00EC6BE8" w:rsidRPr="0077737A">
        <w:t xml:space="preserve"> to migrate to a</w:t>
      </w:r>
      <w:r w:rsidR="00B30B95">
        <w:t>n</w:t>
      </w:r>
      <w:r w:rsidR="00EC6BE8" w:rsidRPr="0077737A">
        <w:t xml:space="preserve"> EU country</w:t>
      </w:r>
    </w:p>
    <w:p w14:paraId="52EB51A4" w14:textId="6C36975A" w:rsidR="005050FF" w:rsidRDefault="00EC6BE8" w:rsidP="004F2FD8">
      <w:pPr>
        <w:spacing w:before="240" w:line="480" w:lineRule="auto"/>
        <w:ind w:firstLine="0"/>
        <w:jc w:val="left"/>
      </w:pPr>
      <w:r>
        <w:t xml:space="preserve">Being part of the EU </w:t>
      </w:r>
      <w:r w:rsidR="00B30B95">
        <w:t xml:space="preserve">can </w:t>
      </w:r>
      <w:r>
        <w:t>bring</w:t>
      </w:r>
      <w:r w:rsidR="009F1F6D">
        <w:t xml:space="preserve"> a number of tangible benefits</w:t>
      </w:r>
      <w:r w:rsidR="006704C8">
        <w:t xml:space="preserve">, </w:t>
      </w:r>
      <w:r>
        <w:t xml:space="preserve">the most obvious </w:t>
      </w:r>
      <w:r w:rsidR="00D900CE">
        <w:t xml:space="preserve">being visa-free travel to west </w:t>
      </w:r>
      <w:r w:rsidR="00567AEE">
        <w:t>European</w:t>
      </w:r>
      <w:r>
        <w:t xml:space="preserve"> countries, many of </w:t>
      </w:r>
      <w:r w:rsidR="00B30B95">
        <w:t>which are</w:t>
      </w:r>
      <w:r>
        <w:t xml:space="preserve"> primary destinations for prospective migrants in the </w:t>
      </w:r>
      <w:r w:rsidR="00E406E6">
        <w:t>Western</w:t>
      </w:r>
      <w:r>
        <w:t xml:space="preserve"> Balkans</w:t>
      </w:r>
      <w:r w:rsidR="00F255DE">
        <w:t xml:space="preserve"> (</w:t>
      </w:r>
      <w:r w:rsidR="00180707">
        <w:t>Ivlevs and King, 2017</w:t>
      </w:r>
      <w:r w:rsidR="00F255DE">
        <w:t>)</w:t>
      </w:r>
      <w:r>
        <w:t xml:space="preserve">. Visa-free travel would be desirable for job seekers, for those working abroad and visiting their families back home, and for family members residing in the </w:t>
      </w:r>
      <w:r w:rsidR="00E406E6">
        <w:t>Western</w:t>
      </w:r>
      <w:r>
        <w:t xml:space="preserve"> Balkans and visiting relatives in the EU. In addition, prospective migrants might expect that</w:t>
      </w:r>
      <w:r w:rsidR="00B30B95">
        <w:t xml:space="preserve"> </w:t>
      </w:r>
      <w:r>
        <w:t>sooner or later, EU membership would bring legal, work-permit free employment opportunities and access to social services. These motivations are consistent w</w:t>
      </w:r>
      <w:r w:rsidR="00AD4335">
        <w:t>ith the utilitarian, or cost-benefit, approach</w:t>
      </w:r>
      <w:r w:rsidR="00A66605">
        <w:t>, outlined earlier,</w:t>
      </w:r>
      <w:r w:rsidR="00AD4335">
        <w:t xml:space="preserve"> for explaining people’s support for European integration</w:t>
      </w:r>
      <w:r w:rsidR="00CA1AC4">
        <w:t xml:space="preserve"> (Gabel and Palmer, 1995)</w:t>
      </w:r>
      <w:r w:rsidR="00AD4335">
        <w:t>: certain groups of people, in our</w:t>
      </w:r>
      <w:r>
        <w:t xml:space="preserve"> case prospective migran</w:t>
      </w:r>
      <w:r w:rsidR="00D900CE">
        <w:t xml:space="preserve">ts, are more likely to support </w:t>
      </w:r>
      <w:r w:rsidR="00567AEE">
        <w:t>European</w:t>
      </w:r>
      <w:r>
        <w:t xml:space="preserve"> integration because they expect personal benefits from it. </w:t>
      </w:r>
    </w:p>
    <w:p w14:paraId="28A7E668" w14:textId="4CEA629E" w:rsidR="005050FF" w:rsidRDefault="00EC6BE8" w:rsidP="004F2FD8">
      <w:pPr>
        <w:spacing w:before="240" w:line="480" w:lineRule="auto"/>
        <w:ind w:firstLine="0"/>
        <w:jc w:val="left"/>
      </w:pPr>
      <w:r>
        <w:lastRenderedPageBreak/>
        <w:t>It is also likely that in the process of preparation to move to a</w:t>
      </w:r>
      <w:r w:rsidR="00B30B95">
        <w:t>n</w:t>
      </w:r>
      <w:r>
        <w:t xml:space="preserve"> EU country</w:t>
      </w:r>
      <w:r w:rsidR="00B30B95">
        <w:t>,</w:t>
      </w:r>
      <w:r>
        <w:t xml:space="preserve"> prospective migrants collect information about their destination and, as a result, become better informed about the EU.  </w:t>
      </w:r>
      <w:r w:rsidR="00AD4335">
        <w:t>As discussed in the previous section, given that information about the EU increases support for the European project</w:t>
      </w:r>
      <w:r w:rsidR="00B30B95">
        <w:t xml:space="preserve">, </w:t>
      </w:r>
      <w:r w:rsidR="00AD4335">
        <w:t>probably because people more familiar with the EU are less threatened by it (Inglehart, 1991</w:t>
      </w:r>
      <w:r>
        <w:t xml:space="preserve">; Janssen </w:t>
      </w:r>
      <w:r w:rsidR="00AD4335">
        <w:t>1991</w:t>
      </w:r>
      <w:r>
        <w:t>),</w:t>
      </w:r>
      <w:r w:rsidR="00AD4335">
        <w:t xml:space="preserve"> one c</w:t>
      </w:r>
      <w:r>
        <w:t xml:space="preserve">an expect that </w:t>
      </w:r>
      <w:r w:rsidR="00CA291E">
        <w:t>willingness to migrate</w:t>
      </w:r>
      <w:r>
        <w:t xml:space="preserve"> </w:t>
      </w:r>
      <w:r w:rsidR="006704C8">
        <w:t xml:space="preserve">also indirectly </w:t>
      </w:r>
      <w:r>
        <w:t>affect</w:t>
      </w:r>
      <w:r w:rsidR="00CA291E">
        <w:t>s</w:t>
      </w:r>
      <w:r>
        <w:t xml:space="preserve"> support for joining the EU through having better information about the EU. </w:t>
      </w:r>
    </w:p>
    <w:p w14:paraId="4C3EF7DA" w14:textId="77777777" w:rsidR="005050FF" w:rsidRDefault="00EC6BE8" w:rsidP="004F2FD8">
      <w:pPr>
        <w:spacing w:before="240" w:line="480" w:lineRule="auto"/>
        <w:ind w:firstLine="0"/>
        <w:jc w:val="left"/>
      </w:pPr>
      <w:r>
        <w:t xml:space="preserve">These considerations lend themselves to the following set of testable hypotheses: </w:t>
      </w:r>
    </w:p>
    <w:p w14:paraId="26B73865" w14:textId="7DEBD153" w:rsidR="005050FF" w:rsidRDefault="009E5F62" w:rsidP="004F2FD8">
      <w:pPr>
        <w:spacing w:before="240" w:line="480" w:lineRule="auto"/>
        <w:ind w:firstLine="0"/>
        <w:jc w:val="left"/>
      </w:pPr>
      <w:r>
        <w:rPr>
          <w:i/>
        </w:rPr>
        <w:tab/>
      </w:r>
      <w:r w:rsidR="00EC6BE8">
        <w:rPr>
          <w:i/>
        </w:rPr>
        <w:t>H1a:</w:t>
      </w:r>
      <w:r w:rsidR="00EC6BE8">
        <w:rPr>
          <w:sz w:val="22"/>
          <w:szCs w:val="22"/>
        </w:rPr>
        <w:t xml:space="preserve"> </w:t>
      </w:r>
      <w:r w:rsidR="00EC6BE8">
        <w:rPr>
          <w:i/>
        </w:rPr>
        <w:t>People planning to emigrate to a</w:t>
      </w:r>
      <w:r w:rsidR="00B30B95">
        <w:rPr>
          <w:i/>
        </w:rPr>
        <w:t>n</w:t>
      </w:r>
      <w:r w:rsidR="00EC6BE8">
        <w:rPr>
          <w:i/>
        </w:rPr>
        <w:t xml:space="preserve"> EU member state are more likely to support </w:t>
      </w:r>
      <w:r>
        <w:rPr>
          <w:i/>
        </w:rPr>
        <w:tab/>
      </w:r>
      <w:r w:rsidR="00B30B95">
        <w:rPr>
          <w:i/>
        </w:rPr>
        <w:t xml:space="preserve">their own country’s </w:t>
      </w:r>
      <w:r w:rsidR="00EC6BE8">
        <w:rPr>
          <w:i/>
        </w:rPr>
        <w:t xml:space="preserve">EU accession. </w:t>
      </w:r>
    </w:p>
    <w:p w14:paraId="5DFB3822" w14:textId="1E3C2162" w:rsidR="005050FF" w:rsidRDefault="009E5F62" w:rsidP="004F2FD8">
      <w:pPr>
        <w:spacing w:before="240" w:line="480" w:lineRule="auto"/>
        <w:ind w:firstLine="0"/>
        <w:jc w:val="left"/>
      </w:pPr>
      <w:r>
        <w:rPr>
          <w:i/>
        </w:rPr>
        <w:tab/>
      </w:r>
      <w:r w:rsidR="00EC6BE8">
        <w:rPr>
          <w:i/>
        </w:rPr>
        <w:t xml:space="preserve">H1b: People planning to emigrate to </w:t>
      </w:r>
      <w:r w:rsidR="00B30B95">
        <w:rPr>
          <w:i/>
        </w:rPr>
        <w:t>an EU</w:t>
      </w:r>
      <w:r w:rsidR="00EC6BE8">
        <w:rPr>
          <w:i/>
        </w:rPr>
        <w:t xml:space="preserve"> member state are better informed about </w:t>
      </w:r>
      <w:r>
        <w:rPr>
          <w:i/>
        </w:rPr>
        <w:tab/>
      </w:r>
      <w:r w:rsidR="00EC6BE8">
        <w:rPr>
          <w:i/>
        </w:rPr>
        <w:t>the EU.</w:t>
      </w:r>
    </w:p>
    <w:p w14:paraId="09A54819" w14:textId="77777777" w:rsidR="005050FF" w:rsidRPr="00CA1AC4" w:rsidRDefault="00EC6BE8" w:rsidP="0077737A">
      <w:pPr>
        <w:pStyle w:val="ListParagraph"/>
        <w:numPr>
          <w:ilvl w:val="2"/>
          <w:numId w:val="4"/>
        </w:numPr>
        <w:spacing w:before="240" w:line="480" w:lineRule="auto"/>
        <w:jc w:val="left"/>
      </w:pPr>
      <w:r w:rsidRPr="00CA1AC4">
        <w:lastRenderedPageBreak/>
        <w:t>Relatives abroad</w:t>
      </w:r>
    </w:p>
    <w:p w14:paraId="24CB8F19" w14:textId="711C0371" w:rsidR="004D7E27" w:rsidRDefault="00EC6BE8" w:rsidP="004F2FD8">
      <w:pPr>
        <w:spacing w:before="240" w:line="480" w:lineRule="auto"/>
        <w:ind w:firstLine="0"/>
        <w:jc w:val="left"/>
      </w:pPr>
      <w:r>
        <w:t>The EU preferences of people whose relatives migrated to the EU may be driven by several, potentially conflicting, channels of influence. Separation from a family member typically brings some unhappiness to those staying behind</w:t>
      </w:r>
      <w:r w:rsidR="009E5F62">
        <w:t xml:space="preserve">: for example, </w:t>
      </w:r>
      <w:r w:rsidR="0009607B">
        <w:t xml:space="preserve">Graham et al. (2015), </w:t>
      </w:r>
      <w:r w:rsidR="00180707">
        <w:t>Ivlevs et al. (2019</w:t>
      </w:r>
      <w:r w:rsidR="009E5F62">
        <w:t>)</w:t>
      </w:r>
      <w:r w:rsidR="0009607B">
        <w:t>, Marchetti-Mercer (2012) and</w:t>
      </w:r>
      <w:r w:rsidR="00EA6558">
        <w:t xml:space="preserve"> Nobles et al. (2015)</w:t>
      </w:r>
      <w:r w:rsidR="0009607B">
        <w:t xml:space="preserve"> </w:t>
      </w:r>
      <w:r w:rsidR="009E5F62">
        <w:t>document that migrant</w:t>
      </w:r>
      <w:r w:rsidR="00B30B95">
        <w:t>s’</w:t>
      </w:r>
      <w:r w:rsidR="009E5F62">
        <w:t xml:space="preserve"> family members staying in the </w:t>
      </w:r>
      <w:r w:rsidR="00B30B95">
        <w:t xml:space="preserve">origin </w:t>
      </w:r>
      <w:r w:rsidR="009E5F62">
        <w:t>countries report greater-than-average stress and depression.</w:t>
      </w:r>
      <w:r>
        <w:t xml:space="preserve"> Whether EU accession would intensify this feeling is unclear. If EU membership allows migrants to find better jobs more easily, stay abroad longer</w:t>
      </w:r>
      <w:r w:rsidR="00B30B95">
        <w:t>,</w:t>
      </w:r>
      <w:r>
        <w:t xml:space="preserve"> or bring other family members with them, those left behind may feel negatively affected. However, if EU membership brings more travel and visiting opportunities, those staying behind could feel positively affected. It is also possible that migrants’ relatives gain utility from knowing that migrants fulfil their potential abroad to a degree that </w:t>
      </w:r>
      <w:r>
        <w:lastRenderedPageBreak/>
        <w:t>could not be achieved in the home country</w:t>
      </w:r>
      <w:r w:rsidR="00180707">
        <w:t xml:space="preserve"> (Ivlevs et al. 2019</w:t>
      </w:r>
      <w:r w:rsidR="009E5F62">
        <w:t>)</w:t>
      </w:r>
      <w:r>
        <w:t xml:space="preserve">. </w:t>
      </w:r>
      <w:r w:rsidR="00C823F5">
        <w:t xml:space="preserve"> </w:t>
      </w:r>
      <w:r>
        <w:t xml:space="preserve">Receiving remittances is an additional factor that can affect migrant relatives’ attitudes toward joining </w:t>
      </w:r>
      <w:r w:rsidR="004D7E27">
        <w:t>the EU. Remittances represent a non-negligible income gain in the Western Balkan countries</w:t>
      </w:r>
      <w:r w:rsidR="00A37698">
        <w:t xml:space="preserve"> </w:t>
      </w:r>
      <w:r w:rsidR="00180707">
        <w:t>(</w:t>
      </w:r>
      <w:r w:rsidR="00130ACE">
        <w:t>Ivlevs and King, 2017</w:t>
      </w:r>
      <w:r w:rsidR="00180707">
        <w:t>)</w:t>
      </w:r>
      <w:r>
        <w:t>, and</w:t>
      </w:r>
      <w:r w:rsidR="004D7E27">
        <w:t xml:space="preserve"> EU membership could increase remittances</w:t>
      </w:r>
      <w:r>
        <w:t xml:space="preserve"> through better work opportunities for migrants </w:t>
      </w:r>
      <w:r w:rsidR="004D7E27">
        <w:t xml:space="preserve">and more reliable and cheaper ways of transferring </w:t>
      </w:r>
      <w:r w:rsidR="00220E51">
        <w:t>their remittances</w:t>
      </w:r>
      <w:r w:rsidR="004D7E27">
        <w:t xml:space="preserve">. Receiving remittances has been shown to boost the evaluations of </w:t>
      </w:r>
      <w:r w:rsidR="00855334">
        <w:t xml:space="preserve">the </w:t>
      </w:r>
      <w:r w:rsidR="004D7E27">
        <w:t>best possible life for migrant household members staying behind</w:t>
      </w:r>
      <w:r w:rsidR="00855334">
        <w:t xml:space="preserve">, </w:t>
      </w:r>
      <w:r w:rsidR="004D7E27">
        <w:t>above and beyond having relat</w:t>
      </w:r>
      <w:r w:rsidR="00180707">
        <w:t>ives abroad (Ivlevs et al., 2019</w:t>
      </w:r>
      <w:r w:rsidR="004D7E27">
        <w:t>), meaning that people in remittance-</w:t>
      </w:r>
      <w:r w:rsidR="00855334">
        <w:t xml:space="preserve">receiving </w:t>
      </w:r>
      <w:r w:rsidR="004D7E27">
        <w:t xml:space="preserve">households would support deeper EU integration. </w:t>
      </w:r>
    </w:p>
    <w:p w14:paraId="303D6569" w14:textId="3F691969" w:rsidR="006F5A41" w:rsidRDefault="00EC6BE8" w:rsidP="004F2FD8">
      <w:pPr>
        <w:spacing w:before="240" w:line="480" w:lineRule="auto"/>
        <w:ind w:firstLine="0"/>
        <w:jc w:val="left"/>
      </w:pPr>
      <w:r>
        <w:t>On balance, if the positive effects associated with travelling, fulfilment</w:t>
      </w:r>
      <w:r w:rsidR="00362B5E">
        <w:t>,</w:t>
      </w:r>
      <w:r>
        <w:t xml:space="preserve"> and remittances outweigh the negative ‘separation’ effect, people with relatives residing in the EU would favour EU membership. If</w:t>
      </w:r>
      <w:r w:rsidR="00362B5E">
        <w:t xml:space="preserve">, </w:t>
      </w:r>
      <w:r w:rsidR="00362B5E">
        <w:lastRenderedPageBreak/>
        <w:t>however,</w:t>
      </w:r>
      <w:r>
        <w:t xml:space="preserve"> the separation effect is stronger, migrant relatives would oppose further integration with the EU. Either way, migrant relatives’ support for joining the EU would be driven by utilitarian cost-benefit considerations. Besides utilitarian motives, migrant rela</w:t>
      </w:r>
      <w:r w:rsidR="008E349B">
        <w:t>tives may also become more pro-E</w:t>
      </w:r>
      <w:r>
        <w:t>uropean indirectly</w:t>
      </w:r>
      <w:r w:rsidR="006704C8">
        <w:t xml:space="preserve"> </w:t>
      </w:r>
      <w:r>
        <w:t xml:space="preserve">because they are better informed about the EU. </w:t>
      </w:r>
      <w:r w:rsidR="00B259A8">
        <w:t>Being b</w:t>
      </w:r>
      <w:r>
        <w:t xml:space="preserve">etter informed may come from </w:t>
      </w:r>
      <w:r w:rsidR="0048264D">
        <w:t xml:space="preserve">migrants’ </w:t>
      </w:r>
      <w:r>
        <w:t>communication with family members back home, from direct experience via visiting EU-resident migra</w:t>
      </w:r>
      <w:r w:rsidR="00B664D3">
        <w:t xml:space="preserve">nts, or a combination thereof. This argument links with the importance of information in the cue-taking approach to explaining </w:t>
      </w:r>
      <w:r w:rsidR="00D1480A">
        <w:t xml:space="preserve">support for </w:t>
      </w:r>
      <w:r w:rsidR="00B664D3">
        <w:t xml:space="preserve">European </w:t>
      </w:r>
      <w:r w:rsidR="00D1480A">
        <w:t>integration</w:t>
      </w:r>
      <w:r w:rsidR="00B664D3">
        <w:t xml:space="preserve">: migration expands the range of </w:t>
      </w:r>
      <w:r w:rsidR="00901067">
        <w:t xml:space="preserve">information </w:t>
      </w:r>
      <w:r w:rsidR="00B664D3">
        <w:t xml:space="preserve">sources about the EU, probably leading to more direct </w:t>
      </w:r>
      <w:r w:rsidR="006F5A41">
        <w:t xml:space="preserve">and varied knowledge about the bloc. </w:t>
      </w:r>
    </w:p>
    <w:p w14:paraId="3E6830E1" w14:textId="77777777" w:rsidR="005050FF" w:rsidRDefault="00EC6BE8" w:rsidP="004F2FD8">
      <w:pPr>
        <w:spacing w:before="240" w:line="480" w:lineRule="auto"/>
        <w:ind w:firstLine="0"/>
        <w:jc w:val="left"/>
      </w:pPr>
      <w:r>
        <w:t>These considerations lead us to the second set of hypotheses:</w:t>
      </w:r>
    </w:p>
    <w:p w14:paraId="3E28095F" w14:textId="34FB249A" w:rsidR="005050FF" w:rsidRDefault="00EC6BE8" w:rsidP="004F2FD8">
      <w:pPr>
        <w:spacing w:before="240" w:line="480" w:lineRule="auto"/>
        <w:ind w:firstLine="0"/>
        <w:jc w:val="left"/>
      </w:pPr>
      <w:r>
        <w:rPr>
          <w:i/>
        </w:rPr>
        <w:t xml:space="preserve">H2a: People whose relatives reside in </w:t>
      </w:r>
      <w:r w:rsidR="00B30B95">
        <w:rPr>
          <w:i/>
        </w:rPr>
        <w:t>an EU</w:t>
      </w:r>
      <w:r>
        <w:rPr>
          <w:i/>
        </w:rPr>
        <w:t xml:space="preserve"> country are more likely to support </w:t>
      </w:r>
      <w:r w:rsidR="00901067">
        <w:rPr>
          <w:i/>
        </w:rPr>
        <w:t xml:space="preserve">their country’s </w:t>
      </w:r>
      <w:r>
        <w:rPr>
          <w:i/>
        </w:rPr>
        <w:t xml:space="preserve">membership in the EU. </w:t>
      </w:r>
    </w:p>
    <w:p w14:paraId="20FC4EFD" w14:textId="17E47ADD" w:rsidR="005050FF" w:rsidRDefault="00EC6BE8" w:rsidP="004F2FD8">
      <w:pPr>
        <w:spacing w:before="240" w:line="480" w:lineRule="auto"/>
        <w:ind w:firstLine="0"/>
        <w:jc w:val="left"/>
        <w:rPr>
          <w:i/>
        </w:rPr>
      </w:pPr>
      <w:r>
        <w:rPr>
          <w:i/>
        </w:rPr>
        <w:lastRenderedPageBreak/>
        <w:t xml:space="preserve">H2b: People whose relatives reside in </w:t>
      </w:r>
      <w:r w:rsidR="00B30B95">
        <w:rPr>
          <w:i/>
        </w:rPr>
        <w:t>an EU</w:t>
      </w:r>
      <w:r>
        <w:rPr>
          <w:i/>
        </w:rPr>
        <w:t xml:space="preserve"> country are better informed about the EU.</w:t>
      </w:r>
    </w:p>
    <w:p w14:paraId="0A6F12B6" w14:textId="77777777" w:rsidR="006F5A41" w:rsidRDefault="006F5A41" w:rsidP="004F2FD8">
      <w:pPr>
        <w:spacing w:before="240" w:line="480" w:lineRule="auto"/>
        <w:ind w:firstLine="0"/>
        <w:jc w:val="left"/>
      </w:pPr>
    </w:p>
    <w:p w14:paraId="622D7894" w14:textId="77777777" w:rsidR="005050FF" w:rsidRPr="006F5A41" w:rsidRDefault="00EC6BE8" w:rsidP="006F5A41">
      <w:pPr>
        <w:pStyle w:val="ListParagraph"/>
        <w:numPr>
          <w:ilvl w:val="2"/>
          <w:numId w:val="4"/>
        </w:numPr>
        <w:spacing w:before="240" w:line="480" w:lineRule="auto"/>
        <w:jc w:val="left"/>
      </w:pPr>
      <w:r w:rsidRPr="006F5A41">
        <w:t>Return migrants</w:t>
      </w:r>
    </w:p>
    <w:p w14:paraId="0577A2E8" w14:textId="226BB424" w:rsidR="005050FF" w:rsidRDefault="00EC6BE8" w:rsidP="004F2FD8">
      <w:pPr>
        <w:spacing w:before="240" w:line="480" w:lineRule="auto"/>
        <w:ind w:firstLine="0"/>
        <w:jc w:val="left"/>
      </w:pPr>
      <w:r>
        <w:t>Return migrants have had the opportunity to acquire substantial experiential information about the EU member state(s) in which they resided. They may have experienced better governance, institutions, rule of law, social protection</w:t>
      </w:r>
      <w:r w:rsidR="006704C8">
        <w:t>,</w:t>
      </w:r>
      <w:r>
        <w:t xml:space="preserve"> and more economic opportunities compared to the</w:t>
      </w:r>
      <w:r w:rsidR="006704C8">
        <w:t>ir</w:t>
      </w:r>
      <w:r>
        <w:t xml:space="preserve"> home country. If the expectation is that these better quality institutions are transferred to the home country via accession, the returning migrant may be more likely to support EU membership. It is, however, also possible that the return migrant may have experienced some of the </w:t>
      </w:r>
      <w:r w:rsidR="00901067">
        <w:t xml:space="preserve">EU’s </w:t>
      </w:r>
      <w:r>
        <w:t>darker sides, such as high inequality, high social segmentation, high prices, and disc</w:t>
      </w:r>
      <w:r w:rsidR="006F5A41">
        <w:t xml:space="preserve">rimination in wages and housing; the decision to return may </w:t>
      </w:r>
      <w:r w:rsidR="006704C8">
        <w:t xml:space="preserve">indeed </w:t>
      </w:r>
      <w:r w:rsidR="006F5A41">
        <w:t>have been driven by bad experiences.</w:t>
      </w:r>
      <w:r>
        <w:t xml:space="preserve"> Such </w:t>
      </w:r>
      <w:r>
        <w:lastRenderedPageBreak/>
        <w:t xml:space="preserve">experiences, projected onto their home countries, may account for a more reserved attitude toward EU membership. </w:t>
      </w:r>
    </w:p>
    <w:p w14:paraId="01557FC4" w14:textId="599D8F50" w:rsidR="005050FF" w:rsidRDefault="00EC6BE8" w:rsidP="004F2FD8">
      <w:pPr>
        <w:spacing w:before="240" w:line="480" w:lineRule="auto"/>
        <w:ind w:firstLine="0"/>
        <w:jc w:val="left"/>
      </w:pPr>
      <w:r>
        <w:t xml:space="preserve">On the instrumental side of the motivation spectrum, one particular reason why EU return migrants might favor </w:t>
      </w:r>
      <w:r w:rsidR="00901067">
        <w:t xml:space="preserve">their country’s </w:t>
      </w:r>
      <w:r>
        <w:t>accession to the EU is related the transfer of pension payments. Return migrants with employment history in one or several EU member states fac</w:t>
      </w:r>
      <w:r w:rsidR="006704C8">
        <w:t>e</w:t>
      </w:r>
      <w:r>
        <w:t xml:space="preserve"> fragmented pension and social security entitlements</w:t>
      </w:r>
      <w:r w:rsidR="003023DA">
        <w:t xml:space="preserve"> (Holzmann et al., 2005)</w:t>
      </w:r>
      <w:r w:rsidR="006704C8">
        <w:t xml:space="preserve"> and </w:t>
      </w:r>
      <w:r>
        <w:t xml:space="preserve">may look toward their home country’s EU accession as a way to simplify the collection of future retirement benefits.  Furthermore, return migrants may be considering another phase of </w:t>
      </w:r>
      <w:r w:rsidR="00901067">
        <w:t>work-</w:t>
      </w:r>
      <w:r>
        <w:t xml:space="preserve">related migration to the EU. EU accession would make it simpler to keep this option open. Finally, return migrants are particularly likely to be well-informed about the EU, which, as already mentioned, by itself should increase their support for </w:t>
      </w:r>
      <w:r w:rsidR="00567AEE">
        <w:t>European</w:t>
      </w:r>
      <w:r>
        <w:t xml:space="preserve"> integration. </w:t>
      </w:r>
    </w:p>
    <w:p w14:paraId="48133A8D" w14:textId="77777777" w:rsidR="005050FF" w:rsidRDefault="00EC6BE8" w:rsidP="004F2FD8">
      <w:pPr>
        <w:spacing w:before="240" w:line="480" w:lineRule="auto"/>
        <w:ind w:firstLine="0"/>
        <w:jc w:val="left"/>
      </w:pPr>
      <w:r>
        <w:t xml:space="preserve">These considerations lead us to the third set of hypotheses: </w:t>
      </w:r>
    </w:p>
    <w:p w14:paraId="24B9FD7B" w14:textId="3D7A764B" w:rsidR="005050FF" w:rsidRDefault="00EC6BE8" w:rsidP="004F2FD8">
      <w:pPr>
        <w:spacing w:before="240" w:line="480" w:lineRule="auto"/>
        <w:ind w:firstLine="0"/>
        <w:jc w:val="left"/>
      </w:pPr>
      <w:r>
        <w:rPr>
          <w:i/>
        </w:rPr>
        <w:lastRenderedPageBreak/>
        <w:t xml:space="preserve">H3a: People with migration experience to </w:t>
      </w:r>
      <w:r w:rsidR="00B30B95">
        <w:rPr>
          <w:i/>
        </w:rPr>
        <w:t>an EU</w:t>
      </w:r>
      <w:r>
        <w:rPr>
          <w:i/>
        </w:rPr>
        <w:t xml:space="preserve"> country are more likely to support </w:t>
      </w:r>
      <w:r w:rsidR="00901067">
        <w:rPr>
          <w:i/>
        </w:rPr>
        <w:t xml:space="preserve">their country’s </w:t>
      </w:r>
      <w:r>
        <w:rPr>
          <w:i/>
        </w:rPr>
        <w:t>membership in the EU.</w:t>
      </w:r>
    </w:p>
    <w:p w14:paraId="0E3E16DA" w14:textId="3FC1928C" w:rsidR="005050FF" w:rsidRDefault="00EC6BE8" w:rsidP="004F2FD8">
      <w:pPr>
        <w:spacing w:before="240" w:line="480" w:lineRule="auto"/>
        <w:ind w:firstLine="0"/>
        <w:jc w:val="left"/>
      </w:pPr>
      <w:r>
        <w:rPr>
          <w:i/>
        </w:rPr>
        <w:t xml:space="preserve">H3b: People with migration experience to </w:t>
      </w:r>
      <w:r w:rsidR="00B30B95">
        <w:rPr>
          <w:i/>
        </w:rPr>
        <w:t>an EU</w:t>
      </w:r>
      <w:r>
        <w:rPr>
          <w:i/>
        </w:rPr>
        <w:t xml:space="preserve"> country are better informed about the EU.</w:t>
      </w:r>
    </w:p>
    <w:p w14:paraId="7EFF6163" w14:textId="77777777" w:rsidR="004F2FD8" w:rsidRDefault="004F2FD8" w:rsidP="004F2FD8">
      <w:pPr>
        <w:spacing w:before="240" w:line="480" w:lineRule="auto"/>
        <w:ind w:firstLine="0"/>
        <w:jc w:val="left"/>
        <w:rPr>
          <w:i/>
          <w:u w:val="single"/>
        </w:rPr>
      </w:pPr>
    </w:p>
    <w:p w14:paraId="26481C03" w14:textId="77777777" w:rsidR="005050FF" w:rsidRPr="006F5A41" w:rsidRDefault="00EC6BE8" w:rsidP="0077737A">
      <w:pPr>
        <w:pStyle w:val="ListParagraph"/>
        <w:numPr>
          <w:ilvl w:val="2"/>
          <w:numId w:val="4"/>
        </w:numPr>
        <w:spacing w:before="240" w:line="480" w:lineRule="auto"/>
        <w:jc w:val="left"/>
      </w:pPr>
      <w:r w:rsidRPr="006F5A41">
        <w:t>Migration to the EU versus migration to non-EU countries</w:t>
      </w:r>
    </w:p>
    <w:p w14:paraId="37675B1C" w14:textId="0C8FD5AB" w:rsidR="005050FF" w:rsidRDefault="00EC6BE8" w:rsidP="004F2FD8">
      <w:pPr>
        <w:spacing w:before="240" w:line="480" w:lineRule="auto"/>
        <w:ind w:firstLine="0"/>
        <w:jc w:val="left"/>
      </w:pPr>
      <w:r>
        <w:t>So far, we have looked at migration specifically to the EU. But will migration to non-EU countries also dispose people favorably toward joining the EU?  For example, people aspiring to emigrate to</w:t>
      </w:r>
      <w:r w:rsidR="00D861CA">
        <w:t xml:space="preserve"> or visit</w:t>
      </w:r>
      <w:r>
        <w:t>, say, Canada</w:t>
      </w:r>
      <w:r w:rsidR="00901067">
        <w:t xml:space="preserve"> </w:t>
      </w:r>
      <w:r>
        <w:t xml:space="preserve">might find </w:t>
      </w:r>
      <w:r w:rsidR="00901067">
        <w:t xml:space="preserve">their home country’s </w:t>
      </w:r>
      <w:r>
        <w:t>EU membership to be a helpful ‘jumping board</w:t>
      </w:r>
      <w:r w:rsidR="00AB15E8">
        <w:t>’ for moving to Canada.</w:t>
      </w:r>
      <w:r>
        <w:t xml:space="preserve"> </w:t>
      </w:r>
      <w:r w:rsidR="00D861CA">
        <w:t xml:space="preserve">Indeed, </w:t>
      </w:r>
      <w:r w:rsidR="001E467F">
        <w:t xml:space="preserve">most ‘new’ </w:t>
      </w:r>
      <w:r w:rsidR="001E467F">
        <w:lastRenderedPageBreak/>
        <w:t>EU members states started enjoying visa-free travel to Australia, Canada</w:t>
      </w:r>
      <w:r w:rsidR="00C76774">
        <w:t>,</w:t>
      </w:r>
      <w:r w:rsidR="001E467F">
        <w:t xml:space="preserve"> and the </w:t>
      </w:r>
      <w:r w:rsidR="006704C8">
        <w:t xml:space="preserve">United States </w:t>
      </w:r>
      <w:r w:rsidR="001E467F">
        <w:t>after joining the EU in 2004,</w:t>
      </w:r>
      <w:r w:rsidR="00756A95">
        <w:rPr>
          <w:rStyle w:val="FootnoteReference"/>
        </w:rPr>
        <w:footnoteReference w:id="6"/>
      </w:r>
      <w:r w:rsidR="001E467F">
        <w:t xml:space="preserve"> and some </w:t>
      </w:r>
      <w:r w:rsidR="00D861CA">
        <w:t>(</w:t>
      </w:r>
      <w:r w:rsidR="001E467F">
        <w:t>e.g., t</w:t>
      </w:r>
      <w:r w:rsidR="00D861CA">
        <w:t xml:space="preserve">he Baltic States, Slovakia) </w:t>
      </w:r>
      <w:r w:rsidR="00FD7B2B">
        <w:t xml:space="preserve">have been described as </w:t>
      </w:r>
      <w:r w:rsidR="00470439">
        <w:t>“winners” in terms of</w:t>
      </w:r>
      <w:r w:rsidR="00514C52">
        <w:t xml:space="preserve"> global</w:t>
      </w:r>
      <w:r w:rsidR="00470439">
        <w:t xml:space="preserve"> mobility rights</w:t>
      </w:r>
      <w:r w:rsidR="00FD7B2B">
        <w:t xml:space="preserve"> (Mau et al., 2015)</w:t>
      </w:r>
      <w:r w:rsidR="00D861CA">
        <w:t xml:space="preserve">. </w:t>
      </w:r>
      <w:r w:rsidR="00FD2B85">
        <w:t xml:space="preserve">The willingness to join the EU in order to be able to visit or migrate elsewhere </w:t>
      </w:r>
      <w:r w:rsidR="008417BB">
        <w:t>follow</w:t>
      </w:r>
      <w:r w:rsidR="008A3A4A">
        <w:t>s</w:t>
      </w:r>
      <w:r w:rsidR="008417BB">
        <w:t xml:space="preserve"> the ‘utilitarian’ </w:t>
      </w:r>
      <w:r w:rsidR="00FD2B85">
        <w:t xml:space="preserve">logic </w:t>
      </w:r>
      <w:r w:rsidR="00C76774">
        <w:t xml:space="preserve">in </w:t>
      </w:r>
      <w:r w:rsidR="008417BB">
        <w:t>explaining attitudes toward European integration (Gabel and Palmer, 1995; Hobolt and De Vries, 2016)</w:t>
      </w:r>
      <w:r>
        <w:t xml:space="preserve">. </w:t>
      </w:r>
      <w:r w:rsidR="00756A95">
        <w:t>I</w:t>
      </w:r>
      <w:r>
        <w:t>t is also possible that people considering emigration</w:t>
      </w:r>
      <w:r w:rsidR="00C76774">
        <w:t xml:space="preserve"> </w:t>
      </w:r>
      <w:r>
        <w:t>or associated with the di</w:t>
      </w:r>
      <w:r>
        <w:lastRenderedPageBreak/>
        <w:t>aspora</w:t>
      </w:r>
      <w:r w:rsidR="00C76774">
        <w:t xml:space="preserve"> </w:t>
      </w:r>
      <w:r>
        <w:t xml:space="preserve">are </w:t>
      </w:r>
      <w:r w:rsidR="009F1F6D">
        <w:t>favorably</w:t>
      </w:r>
      <w:r>
        <w:t xml:space="preserve"> inclined to any developments that increase transnational interaction, openness</w:t>
      </w:r>
      <w:r w:rsidR="00C76774">
        <w:t>,</w:t>
      </w:r>
      <w:r>
        <w:t xml:space="preserve"> and choices</w:t>
      </w:r>
      <w:r w:rsidR="00C76774">
        <w:t xml:space="preserve"> </w:t>
      </w:r>
      <w:r>
        <w:t>and</w:t>
      </w:r>
      <w:r w:rsidR="00C76774">
        <w:t>,</w:t>
      </w:r>
      <w:r>
        <w:t xml:space="preserve"> therefore</w:t>
      </w:r>
      <w:r w:rsidR="00C76774">
        <w:t xml:space="preserve">, </w:t>
      </w:r>
      <w:r w:rsidR="009F1F6D">
        <w:t>favorably</w:t>
      </w:r>
      <w:r>
        <w:t xml:space="preserve"> inclined toward the EU. This </w:t>
      </w:r>
      <w:r w:rsidR="00C76774">
        <w:t xml:space="preserve">situation </w:t>
      </w:r>
      <w:r>
        <w:t>would reflect the cosmopolitan outlook associated with</w:t>
      </w:r>
      <w:r>
        <w:rPr>
          <w:color w:val="0000FF"/>
        </w:rPr>
        <w:t xml:space="preserve"> </w:t>
      </w:r>
      <w:r>
        <w:t>migration</w:t>
      </w:r>
      <w:r w:rsidR="008417BB">
        <w:t xml:space="preserve"> (</w:t>
      </w:r>
      <w:r w:rsidR="00326949">
        <w:t xml:space="preserve">Brown, 2018; </w:t>
      </w:r>
      <w:r w:rsidR="008417BB">
        <w:t>Cook, 2012; Nedelcu, 2012)</w:t>
      </w:r>
      <w:r>
        <w:t xml:space="preserve">.  </w:t>
      </w:r>
    </w:p>
    <w:p w14:paraId="131F079C" w14:textId="77777777" w:rsidR="005050FF" w:rsidRDefault="00EC6BE8" w:rsidP="004F2FD8">
      <w:pPr>
        <w:spacing w:before="240" w:line="480" w:lineRule="auto"/>
        <w:ind w:firstLine="0"/>
        <w:jc w:val="left"/>
      </w:pPr>
      <w:r>
        <w:t xml:space="preserve">We formalize these considerations in the following hypothesis: </w:t>
      </w:r>
    </w:p>
    <w:p w14:paraId="28739542" w14:textId="58877200" w:rsidR="005050FF" w:rsidRDefault="00EC6BE8" w:rsidP="00C823F5">
      <w:pPr>
        <w:spacing w:before="240" w:line="480" w:lineRule="auto"/>
        <w:ind w:firstLine="0"/>
        <w:jc w:val="left"/>
      </w:pPr>
      <w:r>
        <w:rPr>
          <w:i/>
        </w:rPr>
        <w:t xml:space="preserve">H4a: People willing to emigrate to a non-EU country are more likely to support </w:t>
      </w:r>
      <w:r w:rsidR="00C76774">
        <w:rPr>
          <w:i/>
        </w:rPr>
        <w:t xml:space="preserve">their country’s </w:t>
      </w:r>
      <w:r>
        <w:rPr>
          <w:i/>
        </w:rPr>
        <w:t xml:space="preserve">membership in the EU. </w:t>
      </w:r>
    </w:p>
    <w:p w14:paraId="7531D78B" w14:textId="3270D35E" w:rsidR="005050FF" w:rsidRDefault="00EC6BE8" w:rsidP="00C823F5">
      <w:pPr>
        <w:spacing w:before="240" w:line="480" w:lineRule="auto"/>
        <w:ind w:firstLine="0"/>
        <w:jc w:val="left"/>
      </w:pPr>
      <w:r>
        <w:rPr>
          <w:i/>
        </w:rPr>
        <w:t xml:space="preserve">H4b: People with relatives residing in a non-EU country are more likely to support </w:t>
      </w:r>
      <w:r w:rsidR="00C76774">
        <w:rPr>
          <w:i/>
        </w:rPr>
        <w:t xml:space="preserve">their country’s </w:t>
      </w:r>
      <w:r>
        <w:rPr>
          <w:i/>
        </w:rPr>
        <w:t>membership in the EU.</w:t>
      </w:r>
    </w:p>
    <w:p w14:paraId="1426F625" w14:textId="056DA1E6" w:rsidR="005050FF" w:rsidRDefault="00EC6BE8" w:rsidP="00C823F5">
      <w:pPr>
        <w:spacing w:before="240" w:line="480" w:lineRule="auto"/>
        <w:ind w:firstLine="0"/>
        <w:jc w:val="left"/>
      </w:pPr>
      <w:r>
        <w:rPr>
          <w:i/>
        </w:rPr>
        <w:t xml:space="preserve"> H4c: Migrants who have returned from a non-EU country are more likely to support </w:t>
      </w:r>
      <w:r w:rsidR="00C76774">
        <w:rPr>
          <w:i/>
        </w:rPr>
        <w:t xml:space="preserve">their country’s </w:t>
      </w:r>
      <w:r>
        <w:rPr>
          <w:i/>
        </w:rPr>
        <w:t xml:space="preserve">membership in the EU. </w:t>
      </w:r>
    </w:p>
    <w:p w14:paraId="35BDACA7" w14:textId="77777777" w:rsidR="005050FF" w:rsidRDefault="005050FF" w:rsidP="004F2FD8">
      <w:pPr>
        <w:spacing w:before="240" w:line="480" w:lineRule="auto"/>
        <w:ind w:firstLine="0"/>
        <w:jc w:val="left"/>
      </w:pPr>
    </w:p>
    <w:p w14:paraId="489559E2" w14:textId="53AE154A" w:rsidR="006F5A41" w:rsidRDefault="00EC6BE8" w:rsidP="006F5A41">
      <w:pPr>
        <w:pStyle w:val="ListParagraph"/>
        <w:numPr>
          <w:ilvl w:val="0"/>
          <w:numId w:val="4"/>
        </w:numPr>
        <w:spacing w:after="200" w:line="480" w:lineRule="auto"/>
        <w:jc w:val="left"/>
      </w:pPr>
      <w:r>
        <w:lastRenderedPageBreak/>
        <w:t>DATA, VARIABLES</w:t>
      </w:r>
      <w:r w:rsidR="00654639">
        <w:t>,</w:t>
      </w:r>
      <w:r>
        <w:t xml:space="preserve"> AND </w:t>
      </w:r>
      <w:r w:rsidR="008A3A4A">
        <w:t>EMPIRICAL MODELS TO BE TESTED</w:t>
      </w:r>
    </w:p>
    <w:p w14:paraId="24A61D6D" w14:textId="77777777" w:rsidR="005050FF" w:rsidRPr="006F5A41" w:rsidRDefault="006F5A41" w:rsidP="006F5A41">
      <w:pPr>
        <w:pStyle w:val="ListParagraph"/>
        <w:numPr>
          <w:ilvl w:val="1"/>
          <w:numId w:val="4"/>
        </w:numPr>
        <w:spacing w:after="200" w:line="480" w:lineRule="auto"/>
        <w:jc w:val="left"/>
      </w:pPr>
      <w:r>
        <w:t xml:space="preserve"> </w:t>
      </w:r>
      <w:r w:rsidRPr="006F5A41">
        <w:t xml:space="preserve"> </w:t>
      </w:r>
      <w:r w:rsidR="00EC6BE8" w:rsidRPr="006F5A41">
        <w:t>Data</w:t>
      </w:r>
    </w:p>
    <w:p w14:paraId="13C3AEC6" w14:textId="77777777" w:rsidR="005050FF" w:rsidRDefault="005050FF" w:rsidP="004F2FD8">
      <w:pPr>
        <w:spacing w:line="480" w:lineRule="auto"/>
        <w:ind w:firstLine="0"/>
        <w:jc w:val="both"/>
      </w:pPr>
    </w:p>
    <w:p w14:paraId="5514A30B" w14:textId="5F788C2B" w:rsidR="005050FF" w:rsidRDefault="00EC6BE8" w:rsidP="004F2FD8">
      <w:pPr>
        <w:spacing w:line="480" w:lineRule="auto"/>
        <w:ind w:firstLine="0"/>
        <w:jc w:val="both"/>
      </w:pPr>
      <w:r>
        <w:t>To test our hypotheses, we use data from the Gallup Balkan Monitor survey. The survey, best described as repeated cross-sections, was conducted in Albania, Bosnia and Herzegovina, Croatia, Kosovo, Macedonia (FYROM), Montenegro</w:t>
      </w:r>
      <w:r w:rsidR="002F08B3">
        <w:t>,</w:t>
      </w:r>
      <w:r>
        <w:t xml:space="preserve"> and Serbia in 2006, 2008, 2009, 2010</w:t>
      </w:r>
      <w:r w:rsidR="002F08B3">
        <w:t>,</w:t>
      </w:r>
      <w:r>
        <w:t xml:space="preserve"> and 2011 by the international opinion poll agency, Gallup. The core Gallup World Poll questionnaire was augmented </w:t>
      </w:r>
      <w:r w:rsidR="002F08B3">
        <w:t xml:space="preserve">with </w:t>
      </w:r>
      <w:r>
        <w:t xml:space="preserve">questions relevant to the </w:t>
      </w:r>
      <w:r w:rsidR="00E406E6">
        <w:t>Western</w:t>
      </w:r>
      <w:r>
        <w:t xml:space="preserve"> Balkan countries</w:t>
      </w:r>
      <w:r w:rsidR="007E12A6">
        <w:t xml:space="preserve"> </w:t>
      </w:r>
      <w:r w:rsidR="0010397B">
        <w:t>and</w:t>
      </w:r>
      <w:r>
        <w:t xml:space="preserve"> translated into the </w:t>
      </w:r>
      <w:r w:rsidR="002F08B3">
        <w:t xml:space="preserve">respective countries’ </w:t>
      </w:r>
      <w:r>
        <w:t>languages. Face-to-face interviews, taking approximately 45 minutes, were conducted at respondents’ homes</w:t>
      </w:r>
      <w:r w:rsidR="002F08B3">
        <w:t xml:space="preserve"> </w:t>
      </w:r>
      <w:r>
        <w:t xml:space="preserve">and restricted to one member per household. Approximately 1,000 people were interviewed in each country each year. </w:t>
      </w:r>
    </w:p>
    <w:p w14:paraId="13BFB0EB" w14:textId="77777777" w:rsidR="005050FF" w:rsidRDefault="005050FF" w:rsidP="004F2FD8">
      <w:pPr>
        <w:spacing w:line="480" w:lineRule="auto"/>
      </w:pPr>
    </w:p>
    <w:p w14:paraId="71466B88" w14:textId="372E791C" w:rsidR="005050FF" w:rsidRDefault="00EC6BE8" w:rsidP="004F2FD8">
      <w:pPr>
        <w:spacing w:line="480" w:lineRule="auto"/>
        <w:ind w:firstLine="0"/>
        <w:jc w:val="both"/>
      </w:pPr>
      <w:r>
        <w:t>The samples of respondents were designed to be nationally representative and followed a three-stage probability-based respondent selection methodology. In the first stage, Primary Sampling Units (PSUs) were randomly selected from a pool of PSUs based on census, administrative</w:t>
      </w:r>
      <w:r w:rsidR="002F08B3">
        <w:t>,</w:t>
      </w:r>
      <w:r>
        <w:t xml:space="preserve"> and migration information. In the second stage, households were selected with the help of a standard random route technique. In the third stage, respondents within households were selected using either Kish-grid or the most recent birthday rule.</w:t>
      </w:r>
      <w:r w:rsidR="00527157">
        <w:rPr>
          <w:rStyle w:val="FootnoteReference"/>
        </w:rPr>
        <w:footnoteReference w:id="7"/>
      </w:r>
      <w:r>
        <w:t xml:space="preserve"> Certain politically sensitive regions (e.g., Northern Serb enclaves in Kosovo, Republic Srpska in Bosnia and Herzegovina) were intentionally overrepresented in the sample; this is why in our analysis we apply the weighting proposed by Gallup </w:t>
      </w:r>
      <w:r>
        <w:lastRenderedPageBreak/>
        <w:t>for the purpose of re-balancing.  More information on survey methodology and implementation is available in Gallup (2010)</w:t>
      </w:r>
      <w:r w:rsidR="007E12A6">
        <w:t>.</w:t>
      </w:r>
    </w:p>
    <w:p w14:paraId="470D5197" w14:textId="77777777" w:rsidR="007E12A6" w:rsidRDefault="007E12A6" w:rsidP="004F2FD8">
      <w:pPr>
        <w:spacing w:line="480" w:lineRule="auto"/>
        <w:ind w:firstLine="0"/>
        <w:jc w:val="both"/>
      </w:pPr>
    </w:p>
    <w:p w14:paraId="35983DC3" w14:textId="28818DA2" w:rsidR="005050FF" w:rsidRDefault="00EC6BE8" w:rsidP="004F2FD8">
      <w:pPr>
        <w:spacing w:line="480" w:lineRule="auto"/>
        <w:ind w:firstLine="0"/>
        <w:jc w:val="both"/>
      </w:pPr>
      <w:r>
        <w:t>Given that some key questions, such as a question on the experience of living abroad and a question on voting in a hypothetical EU referendum</w:t>
      </w:r>
      <w:r w:rsidR="00C57FBE">
        <w:t>, were asked only in 2009, 2010</w:t>
      </w:r>
      <w:r w:rsidR="00AB13A3">
        <w:t>,</w:t>
      </w:r>
      <w:r w:rsidR="00C57FBE">
        <w:t xml:space="preserve"> and 20</w:t>
      </w:r>
      <w:r>
        <w:t xml:space="preserve">11, we exclude years 2006 and 2008 from our analysis. </w:t>
      </w:r>
    </w:p>
    <w:p w14:paraId="2C863756" w14:textId="77777777" w:rsidR="005050FF" w:rsidRDefault="005050FF" w:rsidP="004F2FD8">
      <w:pPr>
        <w:spacing w:line="480" w:lineRule="auto"/>
        <w:ind w:firstLine="0"/>
        <w:jc w:val="both"/>
      </w:pPr>
    </w:p>
    <w:p w14:paraId="34059B62" w14:textId="77777777" w:rsidR="005050FF" w:rsidRPr="00C57FBE" w:rsidRDefault="00C57FBE" w:rsidP="00C57FBE">
      <w:pPr>
        <w:pStyle w:val="ListParagraph"/>
        <w:numPr>
          <w:ilvl w:val="1"/>
          <w:numId w:val="4"/>
        </w:numPr>
        <w:spacing w:line="480" w:lineRule="auto"/>
        <w:jc w:val="left"/>
      </w:pPr>
      <w:r w:rsidRPr="00C57FBE">
        <w:t xml:space="preserve"> </w:t>
      </w:r>
      <w:r w:rsidR="00EC6BE8" w:rsidRPr="00C57FBE">
        <w:t>Variables</w:t>
      </w:r>
    </w:p>
    <w:p w14:paraId="5626E0D5" w14:textId="77777777" w:rsidR="00C57FBE" w:rsidRPr="00C57FBE" w:rsidRDefault="00C57FBE" w:rsidP="004F2FD8">
      <w:pPr>
        <w:spacing w:line="480" w:lineRule="auto"/>
        <w:ind w:firstLine="0"/>
        <w:jc w:val="left"/>
      </w:pPr>
      <w:r w:rsidRPr="00C57FBE">
        <w:t xml:space="preserve">     </w:t>
      </w:r>
      <w:r>
        <w:t xml:space="preserve"> </w:t>
      </w:r>
      <w:r w:rsidRPr="00C57FBE">
        <w:t xml:space="preserve">3.2.1 </w:t>
      </w:r>
      <w:r w:rsidR="00EC6BE8" w:rsidRPr="00C57FBE">
        <w:t>Dependent variable(s): support for joining the EU</w:t>
      </w:r>
    </w:p>
    <w:p w14:paraId="2C8C2A3D" w14:textId="77777777" w:rsidR="005050FF" w:rsidRDefault="005050FF" w:rsidP="004F2FD8">
      <w:pPr>
        <w:spacing w:line="480" w:lineRule="auto"/>
        <w:ind w:firstLine="0"/>
        <w:jc w:val="left"/>
      </w:pPr>
    </w:p>
    <w:p w14:paraId="183D3E5A" w14:textId="64FFE5AB" w:rsidR="005050FF" w:rsidRDefault="00EC6BE8" w:rsidP="004F2FD8">
      <w:pPr>
        <w:spacing w:line="480" w:lineRule="auto"/>
        <w:ind w:firstLine="0"/>
        <w:jc w:val="left"/>
      </w:pPr>
      <w:r>
        <w:t>We use two questions to capture public support for joining the EU. First, respondents were asked: “If there was a referendum on Sunday on joining the EU, what would you vote?” Possible answers included “[Country] should join” and “[Country] should not join</w:t>
      </w:r>
      <w:r w:rsidR="007A76E9">
        <w:t>.</w:t>
      </w:r>
      <w:r>
        <w:t>” We create</w:t>
      </w:r>
      <w:r w:rsidR="007A76E9">
        <w:t>d</w:t>
      </w:r>
      <w:r>
        <w:t xml:space="preserve"> a </w:t>
      </w:r>
      <w:r>
        <w:lastRenderedPageBreak/>
        <w:t xml:space="preserve">binary variable </w:t>
      </w:r>
      <w:r>
        <w:rPr>
          <w:b/>
          <w:i/>
        </w:rPr>
        <w:t xml:space="preserve">vote yes in </w:t>
      </w:r>
      <w:r w:rsidR="00B30B95">
        <w:rPr>
          <w:b/>
          <w:i/>
        </w:rPr>
        <w:t>an EU</w:t>
      </w:r>
      <w:r>
        <w:rPr>
          <w:b/>
          <w:i/>
        </w:rPr>
        <w:t xml:space="preserve"> referendum</w:t>
      </w:r>
      <w:r>
        <w:t xml:space="preserve">, taking the value ‘1’ if the respondent </w:t>
      </w:r>
      <w:r w:rsidR="00AB13A3">
        <w:t xml:space="preserve">thought </w:t>
      </w:r>
      <w:r>
        <w:t xml:space="preserve">the country should join and ‘0’ if the respondent </w:t>
      </w:r>
      <w:r w:rsidR="00AB13A3">
        <w:t xml:space="preserve">thought </w:t>
      </w:r>
      <w:r>
        <w:t>the country should not join.</w:t>
      </w:r>
      <w:r>
        <w:rPr>
          <w:vertAlign w:val="superscript"/>
        </w:rPr>
        <w:footnoteReference w:id="8"/>
      </w:r>
      <w:r>
        <w:t xml:space="preserve"> Overall, for the years 2009-11, 84% of respondents would </w:t>
      </w:r>
      <w:r w:rsidR="00AB13A3">
        <w:t xml:space="preserve">have </w:t>
      </w:r>
      <w:r>
        <w:t>vote</w:t>
      </w:r>
      <w:r w:rsidR="00AB13A3">
        <w:t>d</w:t>
      </w:r>
      <w:r>
        <w:t xml:space="preserve"> ‘yes’ (and 16% ‘no’). At the country level, the share of positive vote </w:t>
      </w:r>
      <w:r w:rsidR="00AB13A3">
        <w:t xml:space="preserve">was </w:t>
      </w:r>
      <w:r>
        <w:t>50% in Croatia</w:t>
      </w:r>
      <w:r w:rsidR="00AB13A3">
        <w:t xml:space="preserve">, </w:t>
      </w:r>
      <w:r>
        <w:t>74% in Serbia, 87% in Bosnia and Herzegovina, 88% in FYR Macedonia, 91% in Montenegro, 95% in Kosovo</w:t>
      </w:r>
      <w:r w:rsidR="00AB13A3">
        <w:t>,</w:t>
      </w:r>
      <w:r>
        <w:t xml:space="preserve"> and 97% in Albania.</w:t>
      </w:r>
    </w:p>
    <w:p w14:paraId="008DD485" w14:textId="77777777" w:rsidR="005050FF" w:rsidRDefault="005050FF" w:rsidP="004F2FD8">
      <w:pPr>
        <w:spacing w:line="480" w:lineRule="auto"/>
        <w:ind w:firstLine="0"/>
        <w:jc w:val="left"/>
      </w:pPr>
    </w:p>
    <w:p w14:paraId="5C1EB347" w14:textId="2E1CBCB2" w:rsidR="005050FF" w:rsidRDefault="00EC6BE8" w:rsidP="004F2FD8">
      <w:pPr>
        <w:spacing w:line="480" w:lineRule="auto"/>
        <w:ind w:firstLine="0"/>
        <w:jc w:val="left"/>
      </w:pPr>
      <w:r>
        <w:lastRenderedPageBreak/>
        <w:t>Second, respondents were asked: “Do you think [Country’s] membership in the EU would be a good thing?</w:t>
      </w:r>
      <w:r w:rsidR="00AB13A3">
        <w:t>,</w:t>
      </w:r>
      <w:r>
        <w:t>” with possible answers “a bad thing</w:t>
      </w:r>
      <w:r w:rsidR="00AB13A3">
        <w:t>,</w:t>
      </w:r>
      <w:r>
        <w:t>” “neither good nor bad thing</w:t>
      </w:r>
      <w:r w:rsidR="00AB13A3">
        <w:t>,</w:t>
      </w:r>
      <w:r>
        <w:t xml:space="preserve">” </w:t>
      </w:r>
      <w:r w:rsidR="007A76E9">
        <w:t xml:space="preserve">and </w:t>
      </w:r>
      <w:r>
        <w:t>“a good thing</w:t>
      </w:r>
      <w:r w:rsidR="00AB13A3">
        <w:t>.</w:t>
      </w:r>
      <w:r>
        <w:t>” We create</w:t>
      </w:r>
      <w:r w:rsidR="007A76E9">
        <w:t>d</w:t>
      </w:r>
      <w:r>
        <w:t xml:space="preserve"> a categorical variable </w:t>
      </w:r>
      <w:r>
        <w:rPr>
          <w:b/>
          <w:i/>
        </w:rPr>
        <w:t>EU membership good</w:t>
      </w:r>
      <w:r>
        <w:t>, taking the value ‘1’ if the answer was “bad</w:t>
      </w:r>
      <w:r w:rsidR="00AB13A3">
        <w:t>,</w:t>
      </w:r>
      <w:r>
        <w:t>”</w:t>
      </w:r>
      <w:r w:rsidR="00AB13A3">
        <w:t xml:space="preserve"> </w:t>
      </w:r>
      <w:r>
        <w:t>‘2’ if “neither good nor bad</w:t>
      </w:r>
      <w:r w:rsidR="00AB13A3">
        <w:t xml:space="preserve">,” </w:t>
      </w:r>
      <w:r>
        <w:t>and ‘3’ if “good</w:t>
      </w:r>
      <w:r w:rsidR="00AB13A3">
        <w:t>.</w:t>
      </w:r>
      <w:r>
        <w:t>”</w:t>
      </w:r>
      <w:r>
        <w:rPr>
          <w:vertAlign w:val="superscript"/>
        </w:rPr>
        <w:footnoteReference w:id="9"/>
      </w:r>
      <w:r>
        <w:t xml:space="preserve"> The whole-sample distribution of answers is 11%, 23%</w:t>
      </w:r>
      <w:r w:rsidR="00AB13A3">
        <w:t>,</w:t>
      </w:r>
      <w:r>
        <w:t xml:space="preserve"> and 66%, respectively. The share of those who consider</w:t>
      </w:r>
      <w:r w:rsidR="00AB13A3">
        <w:t>ed</w:t>
      </w:r>
      <w:r>
        <w:t xml:space="preserve"> EU membership </w:t>
      </w:r>
      <w:r w:rsidR="00EC13DC">
        <w:t xml:space="preserve">a </w:t>
      </w:r>
      <w:r>
        <w:t xml:space="preserve">good thing </w:t>
      </w:r>
      <w:r w:rsidR="00AB13A3">
        <w:t>was</w:t>
      </w:r>
      <w:r>
        <w:t xml:space="preserve"> 29% in Croatia</w:t>
      </w:r>
      <w:r w:rsidR="00AB13A3">
        <w:t xml:space="preserve">, </w:t>
      </w:r>
      <w:r>
        <w:t>46% in Serbia, 64% in FYR Macedonia, 66% in Bosnia and Herzegovina, 74% in Montenegro, 89% in Albania</w:t>
      </w:r>
      <w:r w:rsidR="00AB13A3">
        <w:t>,</w:t>
      </w:r>
      <w:r>
        <w:t xml:space="preserve"> and 91% in Kosovo.</w:t>
      </w:r>
    </w:p>
    <w:p w14:paraId="20D09725" w14:textId="77777777" w:rsidR="005050FF" w:rsidRDefault="005050FF" w:rsidP="004F2FD8">
      <w:pPr>
        <w:spacing w:line="480" w:lineRule="auto"/>
        <w:ind w:firstLine="0"/>
        <w:jc w:val="left"/>
      </w:pPr>
    </w:p>
    <w:p w14:paraId="7D43180A" w14:textId="5FC4415E" w:rsidR="005050FF" w:rsidRDefault="00EC6BE8" w:rsidP="004F2FD8">
      <w:pPr>
        <w:spacing w:line="480" w:lineRule="auto"/>
        <w:ind w:firstLine="0"/>
        <w:jc w:val="left"/>
      </w:pPr>
      <w:r>
        <w:lastRenderedPageBreak/>
        <w:t>Although one would expect a high correlation between the two variables (in our case, the Pearson correlation coefficient is 0.74</w:t>
      </w:r>
      <w:r w:rsidR="00AB13A3">
        <w:t>,</w:t>
      </w:r>
      <w:r>
        <w:t xml:space="preserve"> and the polychoric correlation coefficient is 0.92), there may be people who would vote ‘yes’ in a referendum but not necessarily consider their country’s membership in the EU a good thing. Arguably, a vote in a hypothetical referendum could draw on personal and instrumental considerations to a greater extent than the answer to the question on whether the EU membership </w:t>
      </w:r>
      <w:r w:rsidR="00AB13A3">
        <w:t xml:space="preserve">was </w:t>
      </w:r>
      <w:r>
        <w:t xml:space="preserve">a good thing. The latter could be interpreted more broadly and include considerations of </w:t>
      </w:r>
      <w:r w:rsidR="00AB13A3">
        <w:t xml:space="preserve">EU membership’s </w:t>
      </w:r>
      <w:r>
        <w:t xml:space="preserve">effects on shaping the country’s future. </w:t>
      </w:r>
    </w:p>
    <w:p w14:paraId="11FE4147" w14:textId="77777777" w:rsidR="005050FF" w:rsidRDefault="005050FF" w:rsidP="004F2FD8">
      <w:pPr>
        <w:spacing w:line="480" w:lineRule="auto"/>
        <w:ind w:firstLine="0"/>
        <w:jc w:val="left"/>
      </w:pPr>
    </w:p>
    <w:p w14:paraId="621B0E31" w14:textId="77777777" w:rsidR="005050FF" w:rsidRDefault="00C57FBE" w:rsidP="004F2FD8">
      <w:pPr>
        <w:spacing w:line="480" w:lineRule="auto"/>
        <w:ind w:firstLine="0"/>
        <w:jc w:val="left"/>
      </w:pPr>
      <w:r>
        <w:rPr>
          <w:i/>
        </w:rPr>
        <w:tab/>
        <w:t xml:space="preserve">3.2.2. </w:t>
      </w:r>
      <w:r w:rsidR="00EC6BE8">
        <w:rPr>
          <w:i/>
        </w:rPr>
        <w:t>Dependent variable: Being well informed about the EU</w:t>
      </w:r>
    </w:p>
    <w:p w14:paraId="42FC5FFE" w14:textId="77777777" w:rsidR="005050FF" w:rsidRDefault="005050FF" w:rsidP="004F2FD8">
      <w:pPr>
        <w:spacing w:line="480" w:lineRule="auto"/>
        <w:ind w:firstLine="0"/>
        <w:jc w:val="left"/>
      </w:pPr>
    </w:p>
    <w:p w14:paraId="66FB6638" w14:textId="78796DA0" w:rsidR="005050FF" w:rsidRDefault="00EC6BE8" w:rsidP="004F2FD8">
      <w:pPr>
        <w:spacing w:line="480" w:lineRule="auto"/>
        <w:ind w:firstLine="0"/>
        <w:jc w:val="left"/>
      </w:pPr>
      <w:r>
        <w:lastRenderedPageBreak/>
        <w:t xml:space="preserve">The variable </w:t>
      </w:r>
      <w:r>
        <w:rPr>
          <w:b/>
          <w:i/>
        </w:rPr>
        <w:t>being well informed about the EU</w:t>
      </w:r>
      <w:r>
        <w:rPr>
          <w:b/>
        </w:rPr>
        <w:t xml:space="preserve"> </w:t>
      </w:r>
      <w:r>
        <w:t>is based on the question</w:t>
      </w:r>
      <w:r w:rsidR="00AB13A3">
        <w:t>,</w:t>
      </w:r>
      <w:r>
        <w:t xml:space="preserve"> “Please rate how much you are informed about the European Union</w:t>
      </w:r>
      <w:r w:rsidR="00AB13A3">
        <w:t xml:space="preserve">.” </w:t>
      </w:r>
      <w:r>
        <w:t>In accordance with possible answers</w:t>
      </w:r>
      <w:r w:rsidR="009F1F6D">
        <w:t xml:space="preserve"> to this question, the variable</w:t>
      </w:r>
      <w:r>
        <w:t xml:space="preserve"> takes four values from 1 (not at all informed) to 4 (very well informed).</w:t>
      </w:r>
      <w:r>
        <w:rPr>
          <w:vertAlign w:val="superscript"/>
        </w:rPr>
        <w:footnoteReference w:id="10"/>
      </w:r>
    </w:p>
    <w:p w14:paraId="558D4F1B" w14:textId="77777777" w:rsidR="005050FF" w:rsidRDefault="005050FF" w:rsidP="004F2FD8">
      <w:pPr>
        <w:spacing w:line="480" w:lineRule="auto"/>
        <w:ind w:firstLine="0"/>
        <w:jc w:val="left"/>
      </w:pPr>
    </w:p>
    <w:p w14:paraId="292093B4" w14:textId="77777777" w:rsidR="005050FF" w:rsidRDefault="00C57FBE" w:rsidP="004F2FD8">
      <w:pPr>
        <w:spacing w:line="480" w:lineRule="auto"/>
        <w:ind w:firstLine="0"/>
        <w:jc w:val="left"/>
      </w:pPr>
      <w:r>
        <w:rPr>
          <w:i/>
        </w:rPr>
        <w:tab/>
        <w:t xml:space="preserve">3.2.3 </w:t>
      </w:r>
      <w:r w:rsidR="00EC6BE8">
        <w:rPr>
          <w:i/>
        </w:rPr>
        <w:t xml:space="preserve">Main regressors: migration-related variables </w:t>
      </w:r>
    </w:p>
    <w:p w14:paraId="61CF3283" w14:textId="77777777" w:rsidR="005050FF" w:rsidRDefault="005050FF" w:rsidP="004F2FD8">
      <w:pPr>
        <w:spacing w:line="480" w:lineRule="auto"/>
        <w:ind w:firstLine="0"/>
        <w:jc w:val="left"/>
      </w:pPr>
    </w:p>
    <w:p w14:paraId="64D1A86D" w14:textId="7077B573" w:rsidR="005050FF" w:rsidRDefault="00EC6BE8" w:rsidP="004F2FD8">
      <w:pPr>
        <w:spacing w:line="480" w:lineRule="auto"/>
        <w:ind w:firstLine="0"/>
        <w:jc w:val="left"/>
      </w:pPr>
      <w:r>
        <w:t>We create</w:t>
      </w:r>
      <w:r w:rsidR="00AB13A3">
        <w:t>d</w:t>
      </w:r>
      <w:r>
        <w:t xml:space="preserve"> three migration-related variables</w:t>
      </w:r>
      <w:r w:rsidR="00AB13A3">
        <w:t xml:space="preserve"> </w:t>
      </w:r>
      <w:r>
        <w:t xml:space="preserve">capturing 1) </w:t>
      </w:r>
      <w:r w:rsidR="00C850E7">
        <w:t>willing</w:t>
      </w:r>
      <w:r w:rsidR="00AB13A3">
        <w:t xml:space="preserve"> </w:t>
      </w:r>
      <w:r>
        <w:t xml:space="preserve">to migrate to </w:t>
      </w:r>
      <w:r w:rsidR="00B30B95">
        <w:t>an EU</w:t>
      </w:r>
      <w:r>
        <w:t xml:space="preserve"> country in the future, 2) having relatives in </w:t>
      </w:r>
      <w:r w:rsidR="00B30B95">
        <w:t>an EU</w:t>
      </w:r>
      <w:r>
        <w:t xml:space="preserve"> country</w:t>
      </w:r>
      <w:r w:rsidR="00AB13A3">
        <w:t>,</w:t>
      </w:r>
      <w:r>
        <w:t xml:space="preserve"> and 3) having previous experience of living in </w:t>
      </w:r>
      <w:r w:rsidR="00B30B95">
        <w:t>an EU</w:t>
      </w:r>
      <w:r>
        <w:t xml:space="preserve"> country. The first variable, </w:t>
      </w:r>
      <w:r w:rsidR="00C850E7">
        <w:rPr>
          <w:b/>
          <w:i/>
        </w:rPr>
        <w:t>willing</w:t>
      </w:r>
      <w:r>
        <w:rPr>
          <w:b/>
          <w:i/>
        </w:rPr>
        <w:t xml:space="preserve"> to move to the EU</w:t>
      </w:r>
      <w:r>
        <w:t>, is based on the question</w:t>
      </w:r>
      <w:r w:rsidR="006336DD">
        <w:t>,</w:t>
      </w:r>
      <w:r>
        <w:t xml:space="preserve"> </w:t>
      </w:r>
      <w:r>
        <w:lastRenderedPageBreak/>
        <w:t xml:space="preserve">“Ideally, if you had the opportunity, would you like to move permanently to another country, or would you prefer to continue living in this country?” If respondents said they wanted to move, they were subsequently prompted to indicate a preferred destination. If the indicated country </w:t>
      </w:r>
      <w:r w:rsidR="00782949">
        <w:t xml:space="preserve">belonged </w:t>
      </w:r>
      <w:r>
        <w:t xml:space="preserve">to the EU-27, the answer </w:t>
      </w:r>
      <w:r w:rsidR="00782949">
        <w:t xml:space="preserve">was </w:t>
      </w:r>
      <w:r>
        <w:t xml:space="preserve">coded as 1, in all other cases (prefer to continue living in this country/would like to move permanently to a country other than the EU-27 member states) the answer </w:t>
      </w:r>
      <w:r w:rsidR="00782949">
        <w:t xml:space="preserve">was </w:t>
      </w:r>
      <w:r>
        <w:t>coded as 0.</w:t>
      </w:r>
      <w:r w:rsidR="005C305B">
        <w:rPr>
          <w:rStyle w:val="FootnoteReference"/>
        </w:rPr>
        <w:footnoteReference w:id="11"/>
      </w:r>
      <w:r>
        <w:t xml:space="preserve">   </w:t>
      </w:r>
    </w:p>
    <w:p w14:paraId="5A373975" w14:textId="77777777" w:rsidR="005050FF" w:rsidRDefault="005050FF" w:rsidP="004F2FD8">
      <w:pPr>
        <w:spacing w:line="480" w:lineRule="auto"/>
        <w:ind w:firstLine="0"/>
        <w:jc w:val="left"/>
      </w:pPr>
    </w:p>
    <w:p w14:paraId="13A431DF" w14:textId="3B78EFCB" w:rsidR="005050FF" w:rsidRDefault="00EC6BE8" w:rsidP="004F2FD8">
      <w:pPr>
        <w:spacing w:line="480" w:lineRule="auto"/>
        <w:ind w:firstLine="0"/>
        <w:jc w:val="left"/>
      </w:pPr>
      <w:r>
        <w:t>The variable</w:t>
      </w:r>
      <w:r>
        <w:rPr>
          <w:b/>
        </w:rPr>
        <w:t xml:space="preserve"> </w:t>
      </w:r>
      <w:r>
        <w:rPr>
          <w:b/>
          <w:i/>
        </w:rPr>
        <w:t>relatives in the EU</w:t>
      </w:r>
      <w:r>
        <w:t xml:space="preserve"> draws on the question, “Do you have relatives or friends who are living in another country whom you can </w:t>
      </w:r>
      <w:r>
        <w:lastRenderedPageBreak/>
        <w:t xml:space="preserve">count on to help you when you need them, or not?” </w:t>
      </w:r>
      <w:r>
        <w:rPr>
          <w:sz w:val="22"/>
          <w:szCs w:val="22"/>
        </w:rPr>
        <w:t xml:space="preserve">If the </w:t>
      </w:r>
      <w:r>
        <w:t>respondent said yes, s/he was asked to indicate in which country such relatives or friends live</w:t>
      </w:r>
      <w:r w:rsidR="006336DD">
        <w:t>d</w:t>
      </w:r>
      <w:r>
        <w:t xml:space="preserve">. The variable </w:t>
      </w:r>
      <w:r w:rsidR="00231177">
        <w:t xml:space="preserve">was </w:t>
      </w:r>
      <w:r>
        <w:t xml:space="preserve">coded 1 if the indicated country was </w:t>
      </w:r>
      <w:r w:rsidR="00B30B95">
        <w:t>an EU</w:t>
      </w:r>
      <w:r>
        <w:t>-27 member state</w:t>
      </w:r>
      <w:r w:rsidR="00231177">
        <w:t xml:space="preserve"> </w:t>
      </w:r>
      <w:r>
        <w:t>and 0 in all other cases.</w:t>
      </w:r>
    </w:p>
    <w:p w14:paraId="1D19EEDD" w14:textId="77777777" w:rsidR="005050FF" w:rsidRDefault="005050FF" w:rsidP="004F2FD8">
      <w:pPr>
        <w:spacing w:line="480" w:lineRule="auto"/>
        <w:ind w:firstLine="0"/>
        <w:jc w:val="left"/>
      </w:pPr>
    </w:p>
    <w:p w14:paraId="06ED4644" w14:textId="299411B2" w:rsidR="005050FF" w:rsidRDefault="00EC6BE8" w:rsidP="004F2FD8">
      <w:pPr>
        <w:spacing w:line="480" w:lineRule="auto"/>
        <w:ind w:firstLine="0"/>
        <w:jc w:val="left"/>
      </w:pPr>
      <w:r>
        <w:t xml:space="preserve">The variable </w:t>
      </w:r>
      <w:r>
        <w:rPr>
          <w:b/>
          <w:i/>
        </w:rPr>
        <w:t xml:space="preserve">been in the EU </w:t>
      </w:r>
      <w:r>
        <w:t>draws on the question</w:t>
      </w:r>
      <w:r w:rsidR="006336DD">
        <w:t>,</w:t>
      </w:r>
      <w:r>
        <w:t xml:space="preserve"> “Have you already studied or worked abroad?” For positive answers, the country of work or study was solicited. The variable </w:t>
      </w:r>
      <w:r w:rsidR="00231177">
        <w:t xml:space="preserve">took </w:t>
      </w:r>
      <w:r>
        <w:t xml:space="preserve">value 1 if the indicated country </w:t>
      </w:r>
      <w:r w:rsidR="00473A6A">
        <w:t xml:space="preserve">belonged </w:t>
      </w:r>
      <w:r>
        <w:t>to the EU-27</w:t>
      </w:r>
      <w:r w:rsidR="00473A6A">
        <w:t xml:space="preserve"> </w:t>
      </w:r>
      <w:r>
        <w:t>and 0 otherwise (</w:t>
      </w:r>
      <w:r w:rsidR="00473A6A">
        <w:t xml:space="preserve">had </w:t>
      </w:r>
      <w:r>
        <w:t xml:space="preserve">not worked or </w:t>
      </w:r>
      <w:r w:rsidR="00473A6A">
        <w:t xml:space="preserve">studied </w:t>
      </w:r>
      <w:r>
        <w:t xml:space="preserve">abroad or </w:t>
      </w:r>
      <w:r w:rsidR="00473A6A">
        <w:t xml:space="preserve">had </w:t>
      </w:r>
      <w:r>
        <w:t xml:space="preserve">worked or </w:t>
      </w:r>
      <w:r w:rsidR="00473A6A">
        <w:t xml:space="preserve">studied </w:t>
      </w:r>
      <w:r>
        <w:t xml:space="preserve">in a country other than an EU member state).    </w:t>
      </w:r>
    </w:p>
    <w:p w14:paraId="57AD5819" w14:textId="77777777" w:rsidR="005050FF" w:rsidRDefault="005050FF" w:rsidP="004F2FD8">
      <w:pPr>
        <w:spacing w:line="480" w:lineRule="auto"/>
        <w:ind w:firstLine="0"/>
        <w:jc w:val="left"/>
      </w:pPr>
    </w:p>
    <w:p w14:paraId="3019962B" w14:textId="1D386D11" w:rsidR="005050FF" w:rsidRDefault="00C850E7" w:rsidP="004F2FD8">
      <w:pPr>
        <w:spacing w:line="480" w:lineRule="auto"/>
        <w:ind w:firstLine="0"/>
        <w:jc w:val="left"/>
      </w:pPr>
      <w:r>
        <w:t>Finally, to test hypotheses H4a-H4c</w:t>
      </w:r>
      <w:r w:rsidR="00EC6BE8">
        <w:t xml:space="preserve">, we created three dummy variables capturing migration to a non-EU country: 1) </w:t>
      </w:r>
      <w:r w:rsidR="00EC6BE8">
        <w:rPr>
          <w:b/>
          <w:i/>
        </w:rPr>
        <w:t xml:space="preserve">willing to move to a </w:t>
      </w:r>
      <w:r w:rsidR="00EC6BE8">
        <w:rPr>
          <w:b/>
          <w:i/>
        </w:rPr>
        <w:lastRenderedPageBreak/>
        <w:t>non-EU country</w:t>
      </w:r>
      <w:r w:rsidR="00EC6BE8">
        <w:t xml:space="preserve">, 2) </w:t>
      </w:r>
      <w:r w:rsidR="00EC6BE8">
        <w:rPr>
          <w:b/>
          <w:i/>
        </w:rPr>
        <w:t>having relatives/friends in a non-EU country</w:t>
      </w:r>
      <w:r w:rsidR="00EC6BE8">
        <w:t xml:space="preserve">, and 3) </w:t>
      </w:r>
      <w:r w:rsidR="00EC6BE8">
        <w:rPr>
          <w:b/>
          <w:i/>
        </w:rPr>
        <w:t>been in a non-EU country for work or study</w:t>
      </w:r>
      <w:r w:rsidR="00EC6BE8">
        <w:t xml:space="preserve">. </w:t>
      </w:r>
    </w:p>
    <w:p w14:paraId="60A2B65A" w14:textId="77777777" w:rsidR="005050FF" w:rsidRDefault="005050FF" w:rsidP="004F2FD8">
      <w:pPr>
        <w:spacing w:line="480" w:lineRule="auto"/>
        <w:ind w:firstLine="0"/>
        <w:jc w:val="left"/>
      </w:pPr>
    </w:p>
    <w:p w14:paraId="5D3A8684" w14:textId="77777777" w:rsidR="005050FF" w:rsidRPr="00970BCA" w:rsidRDefault="00C57FBE" w:rsidP="004F2FD8">
      <w:pPr>
        <w:spacing w:line="480" w:lineRule="auto"/>
        <w:ind w:firstLine="0"/>
        <w:jc w:val="left"/>
      </w:pPr>
      <w:r>
        <w:rPr>
          <w:i/>
        </w:rPr>
        <w:tab/>
        <w:t xml:space="preserve">3.2.4. </w:t>
      </w:r>
      <w:r w:rsidR="00EC6BE8" w:rsidRPr="00970BCA">
        <w:rPr>
          <w:i/>
        </w:rPr>
        <w:t>Control variables</w:t>
      </w:r>
    </w:p>
    <w:p w14:paraId="29475E68" w14:textId="77777777" w:rsidR="005050FF" w:rsidRDefault="005050FF" w:rsidP="004F2FD8">
      <w:pPr>
        <w:spacing w:line="480" w:lineRule="auto"/>
        <w:ind w:firstLine="0"/>
        <w:jc w:val="left"/>
      </w:pPr>
    </w:p>
    <w:p w14:paraId="31FD7733" w14:textId="6B0DF14E" w:rsidR="005050FF" w:rsidRDefault="00C57FBE" w:rsidP="004F2FD8">
      <w:pPr>
        <w:spacing w:line="480" w:lineRule="auto"/>
        <w:ind w:firstLine="0"/>
        <w:jc w:val="left"/>
      </w:pPr>
      <w:r>
        <w:t xml:space="preserve">Following the literature on individual-level determinants of attitudes toward European </w:t>
      </w:r>
      <w:r w:rsidRPr="00BE5B7B">
        <w:t xml:space="preserve">integration (e.g., Caplanova et al., 2004; Loveless, 2010; Tucker et al., 2002; </w:t>
      </w:r>
      <w:r w:rsidR="001B73DB">
        <w:t xml:space="preserve">Tanasoiu </w:t>
      </w:r>
      <w:r w:rsidRPr="00BE5B7B">
        <w:t>and Colonescu, 2008; Jackson, 2011),</w:t>
      </w:r>
      <w:r>
        <w:t xml:space="preserve"> </w:t>
      </w:r>
      <w:r w:rsidR="00EC6BE8">
        <w:t>all regression</w:t>
      </w:r>
      <w:r>
        <w:t xml:space="preserve">s </w:t>
      </w:r>
      <w:r w:rsidR="00EC6BE8">
        <w:t>include</w:t>
      </w:r>
      <w:r w:rsidR="00FA7FB7">
        <w:t>d</w:t>
      </w:r>
      <w:r w:rsidR="00EC6BE8">
        <w:t xml:space="preserve"> the following </w:t>
      </w:r>
      <w:r>
        <w:t xml:space="preserve">standard </w:t>
      </w:r>
      <w:r w:rsidR="00EC6BE8">
        <w:t>socio-demographic controls: age and age squared, gender, education levels (primary, secondary</w:t>
      </w:r>
      <w:r w:rsidR="00FA7FB7">
        <w:t>,</w:t>
      </w:r>
      <w:r w:rsidR="00EC6BE8">
        <w:t xml:space="preserve"> and tertiary), income levels (dummies for within-country household per capita income quintiles and a dummy for non-reported income), subjectively evaluated change in the standard of living (better</w:t>
      </w:r>
      <w:r w:rsidR="00FA7FB7">
        <w:t xml:space="preserve">, </w:t>
      </w:r>
      <w:r w:rsidR="00EC6BE8">
        <w:t>the same</w:t>
      </w:r>
      <w:r w:rsidR="00FA7FB7">
        <w:t xml:space="preserve">, or </w:t>
      </w:r>
      <w:r w:rsidR="00EC6BE8">
        <w:t xml:space="preserve">worse), being unemployed, and religious denominations (Catholic, Orthodox, Muslim, </w:t>
      </w:r>
      <w:r w:rsidR="00FA7FB7">
        <w:t xml:space="preserve">and </w:t>
      </w:r>
      <w:r w:rsidR="00EC6BE8">
        <w:t xml:space="preserve">other). </w:t>
      </w:r>
    </w:p>
    <w:p w14:paraId="63D2BAF0" w14:textId="77777777" w:rsidR="005050FF" w:rsidRDefault="005050FF" w:rsidP="004F2FD8">
      <w:pPr>
        <w:spacing w:line="480" w:lineRule="auto"/>
        <w:jc w:val="left"/>
      </w:pPr>
    </w:p>
    <w:p w14:paraId="265A7A1B" w14:textId="19E2C20B" w:rsidR="005050FF" w:rsidRDefault="00EC6BE8" w:rsidP="004F2FD8">
      <w:pPr>
        <w:spacing w:line="480" w:lineRule="auto"/>
        <w:ind w:firstLine="0"/>
        <w:jc w:val="left"/>
      </w:pPr>
      <w:r>
        <w:t>In addition, we control</w:t>
      </w:r>
      <w:r w:rsidR="00B5163E">
        <w:t>led</w:t>
      </w:r>
      <w:r>
        <w:t xml:space="preserve"> for </w:t>
      </w:r>
      <w:r>
        <w:rPr>
          <w:b/>
          <w:i/>
        </w:rPr>
        <w:t>support for national government</w:t>
      </w:r>
      <w:r>
        <w:t xml:space="preserve"> and</w:t>
      </w:r>
      <w:r>
        <w:rPr>
          <w:b/>
        </w:rPr>
        <w:t xml:space="preserve"> </w:t>
      </w:r>
      <w:r w:rsidR="00D900CE">
        <w:rPr>
          <w:b/>
          <w:i/>
        </w:rPr>
        <w:t>stron</w:t>
      </w:r>
      <w:r w:rsidR="00567AEE">
        <w:rPr>
          <w:b/>
          <w:i/>
        </w:rPr>
        <w:t>g E</w:t>
      </w:r>
      <w:r>
        <w:rPr>
          <w:b/>
          <w:i/>
        </w:rPr>
        <w:t>uropean identity</w:t>
      </w:r>
      <w:r w:rsidR="00AC267E">
        <w:t xml:space="preserve">, both of which have been </w:t>
      </w:r>
      <w:r>
        <w:t>shown to be significant pr</w:t>
      </w:r>
      <w:r w:rsidR="00567AEE">
        <w:t>edictors of public support for E</w:t>
      </w:r>
      <w:r>
        <w:t xml:space="preserve">uropean integration (Franklin et al., 1995; Ray, 2003; </w:t>
      </w:r>
      <w:r w:rsidR="001B73DB">
        <w:t xml:space="preserve">Tanasoiu </w:t>
      </w:r>
      <w:r>
        <w:t>and Colonescu, 2008; McLaren, 2004; Hooghe and Marks, 2004). These variables are based on the questions: a) “Please indicate how good of a job the [Country’s] government does?</w:t>
      </w:r>
      <w:r w:rsidR="00AC267E">
        <w:t>,</w:t>
      </w:r>
      <w:r>
        <w:t xml:space="preserve">” with possible answers ‘poor’ (1), ‘fair’ (2), ‘good’ (3), </w:t>
      </w:r>
      <w:r w:rsidR="00B5163E">
        <w:t xml:space="preserve">and </w:t>
      </w:r>
      <w:r w:rsidR="00AC267E">
        <w:t>‘</w:t>
      </w:r>
      <w:r>
        <w:t>excellent</w:t>
      </w:r>
      <w:r w:rsidR="00AC267E">
        <w:t>’</w:t>
      </w:r>
      <w:r>
        <w:t xml:space="preserve"> (4</w:t>
      </w:r>
      <w:r w:rsidR="00B5163E">
        <w:t xml:space="preserve">), </w:t>
      </w:r>
      <w:r>
        <w:t>and b) “How strongly do you identify yourself with Europe?</w:t>
      </w:r>
      <w:r w:rsidR="00B5163E">
        <w:t>,</w:t>
      </w:r>
      <w:r>
        <w:t xml:space="preserve">” with possible answers ranging from ‘not at all’ (1) to ‘extremely strongly’ (5). </w:t>
      </w:r>
    </w:p>
    <w:p w14:paraId="780B2D61" w14:textId="77777777" w:rsidR="005050FF" w:rsidRDefault="005050FF" w:rsidP="004F2FD8">
      <w:pPr>
        <w:spacing w:line="480" w:lineRule="auto"/>
        <w:ind w:firstLine="0"/>
        <w:jc w:val="left"/>
      </w:pPr>
    </w:p>
    <w:p w14:paraId="5FD8DEB1" w14:textId="28E47DE1" w:rsidR="005050FF" w:rsidRDefault="00EC6BE8" w:rsidP="004F2FD8">
      <w:pPr>
        <w:spacing w:line="480" w:lineRule="auto"/>
        <w:ind w:firstLine="0"/>
        <w:jc w:val="left"/>
      </w:pPr>
      <w:r>
        <w:t xml:space="preserve">Focusing on the </w:t>
      </w:r>
      <w:r w:rsidR="00E406E6">
        <w:t>Western</w:t>
      </w:r>
      <w:r>
        <w:t xml:space="preserve"> Balkan context, we also want</w:t>
      </w:r>
      <w:r w:rsidR="00B5163E">
        <w:t>ed</w:t>
      </w:r>
      <w:r>
        <w:t xml:space="preserve"> to control for individual assessments of the </w:t>
      </w:r>
      <w:r w:rsidR="00B5163E">
        <w:t xml:space="preserve">international community’s </w:t>
      </w:r>
      <w:r>
        <w:t xml:space="preserve">role in the </w:t>
      </w:r>
      <w:r>
        <w:lastRenderedPageBreak/>
        <w:t xml:space="preserve">region’s evolving politics. For example, people in the </w:t>
      </w:r>
      <w:r w:rsidR="00E406E6">
        <w:t>Western</w:t>
      </w:r>
      <w:r>
        <w:t xml:space="preserve"> Balkans may have diverging opinions about the </w:t>
      </w:r>
      <w:r w:rsidR="00B5163E">
        <w:t xml:space="preserve">international community’s </w:t>
      </w:r>
      <w:r>
        <w:t xml:space="preserve">involvement in post-Yugoslavian military conflicts and the process of </w:t>
      </w:r>
      <w:r w:rsidR="00B5163E">
        <w:t xml:space="preserve">Kosovo’s </w:t>
      </w:r>
      <w:r>
        <w:t xml:space="preserve">independence. As EU countries played a dominant role in the region’s politics, people’s assessments of </w:t>
      </w:r>
      <w:r w:rsidR="00B5163E">
        <w:t xml:space="preserve">that </w:t>
      </w:r>
      <w:r>
        <w:t>role might have influenced</w:t>
      </w:r>
      <w:r>
        <w:rPr>
          <w:color w:val="FF0000"/>
        </w:rPr>
        <w:t xml:space="preserve"> </w:t>
      </w:r>
      <w:r>
        <w:t>their attitudes toward joining the EU. We</w:t>
      </w:r>
      <w:r w:rsidR="00D63482">
        <w:t>, thus,</w:t>
      </w:r>
      <w:r>
        <w:t xml:space="preserve"> create</w:t>
      </w:r>
      <w:r w:rsidR="00B5163E">
        <w:t>d</w:t>
      </w:r>
      <w:r>
        <w:t xml:space="preserve"> a variable</w:t>
      </w:r>
      <w:r w:rsidR="00B5163E">
        <w:t>,</w:t>
      </w:r>
      <w:r>
        <w:t xml:space="preserve"> </w:t>
      </w:r>
      <w:r>
        <w:rPr>
          <w:b/>
          <w:i/>
        </w:rPr>
        <w:t>helpful international community</w:t>
      </w:r>
      <w:r w:rsidR="00B5163E" w:rsidRPr="000D7952">
        <w:rPr>
          <w:i/>
        </w:rPr>
        <w:t>,</w:t>
      </w:r>
      <w:r w:rsidR="00362936">
        <w:t xml:space="preserve"> which draws on the </w:t>
      </w:r>
      <w:r>
        <w:t xml:space="preserve">question: “Thinking of the last 15-20 years and taking everything into account, overall how would you describe the International community’s role [in your country]?” The variable </w:t>
      </w:r>
      <w:r w:rsidR="00B5163E">
        <w:t xml:space="preserve">took </w:t>
      </w:r>
      <w:r>
        <w:t xml:space="preserve">values 1 (extremely harmful) to 5 (extremely helpful). </w:t>
      </w:r>
    </w:p>
    <w:p w14:paraId="1DE42144" w14:textId="77777777" w:rsidR="005050FF" w:rsidRDefault="005050FF" w:rsidP="004F2FD8">
      <w:pPr>
        <w:spacing w:line="480" w:lineRule="auto"/>
        <w:ind w:firstLine="0"/>
      </w:pPr>
    </w:p>
    <w:p w14:paraId="53DCF5EF" w14:textId="7941D5D4" w:rsidR="005050FF" w:rsidRDefault="00EC6BE8" w:rsidP="004F2FD8">
      <w:pPr>
        <w:spacing w:line="480" w:lineRule="auto"/>
        <w:ind w:firstLine="0"/>
        <w:jc w:val="left"/>
      </w:pPr>
      <w:r>
        <w:t xml:space="preserve">Finally, to control for </w:t>
      </w:r>
      <w:r w:rsidR="00C57FBE">
        <w:t xml:space="preserve">all </w:t>
      </w:r>
      <w:r>
        <w:t>year- and country-specific influe</w:t>
      </w:r>
      <w:r w:rsidR="008E349B">
        <w:t xml:space="preserve">nces on both </w:t>
      </w:r>
      <w:r w:rsidR="00C57FBE">
        <w:t xml:space="preserve">the </w:t>
      </w:r>
      <w:r w:rsidR="008E349B">
        <w:t xml:space="preserve">migration </w:t>
      </w:r>
      <w:r w:rsidR="00C57FBE">
        <w:t xml:space="preserve">variables </w:t>
      </w:r>
      <w:r w:rsidR="008E349B">
        <w:t>and</w:t>
      </w:r>
      <w:r w:rsidR="00C57FBE">
        <w:t xml:space="preserve"> attitudes toward joining the EU</w:t>
      </w:r>
      <w:r>
        <w:t xml:space="preserve">, we </w:t>
      </w:r>
      <w:r w:rsidR="00F8487F">
        <w:t>include</w:t>
      </w:r>
      <w:r w:rsidR="00B5163E">
        <w:t>d</w:t>
      </w:r>
      <w:r w:rsidR="00F8487F">
        <w:t xml:space="preserve"> year- and country-fixed effects (dichotomous variables for each </w:t>
      </w:r>
      <w:r w:rsidR="00F8487F">
        <w:lastRenderedPageBreak/>
        <w:t>country and each year)</w:t>
      </w:r>
      <w:r>
        <w:t>.</w:t>
      </w:r>
      <w:r w:rsidR="008E72D8">
        <w:rPr>
          <w:rStyle w:val="FootnoteReference"/>
        </w:rPr>
        <w:footnoteReference w:id="12"/>
      </w:r>
      <w:r w:rsidR="00F8487F">
        <w:t xml:space="preserve"> Among other things, the inclusion of country-fixed effects</w:t>
      </w:r>
      <w:r>
        <w:t xml:space="preserve"> ensures that the relationship between the variables of interest is estimated at the within-country level and not driven by differences between countries. </w:t>
      </w:r>
    </w:p>
    <w:p w14:paraId="5ED3AF8F" w14:textId="77777777" w:rsidR="005050FF" w:rsidRDefault="005050FF" w:rsidP="004F2FD8">
      <w:pPr>
        <w:spacing w:line="480" w:lineRule="auto"/>
        <w:ind w:firstLine="0"/>
        <w:jc w:val="left"/>
      </w:pPr>
    </w:p>
    <w:p w14:paraId="7A02E3B4" w14:textId="77777777" w:rsidR="005050FF" w:rsidRPr="007630DF" w:rsidRDefault="007630DF" w:rsidP="007630DF">
      <w:pPr>
        <w:pStyle w:val="ListParagraph"/>
        <w:numPr>
          <w:ilvl w:val="1"/>
          <w:numId w:val="4"/>
        </w:numPr>
        <w:spacing w:line="480" w:lineRule="auto"/>
        <w:jc w:val="left"/>
      </w:pPr>
      <w:r>
        <w:t xml:space="preserve"> Empirical models</w:t>
      </w:r>
      <w:r w:rsidR="00A41AC2">
        <w:t xml:space="preserve"> to be tested</w:t>
      </w:r>
    </w:p>
    <w:p w14:paraId="5BE659AA" w14:textId="77777777" w:rsidR="005050FF" w:rsidRDefault="005050FF" w:rsidP="004F2FD8">
      <w:pPr>
        <w:spacing w:line="480" w:lineRule="auto"/>
        <w:ind w:firstLine="0"/>
        <w:jc w:val="left"/>
      </w:pPr>
    </w:p>
    <w:p w14:paraId="2F0AB08A" w14:textId="5769BFE9" w:rsidR="005050FF" w:rsidRDefault="00EC6BE8" w:rsidP="004F2FD8">
      <w:pPr>
        <w:spacing w:line="480" w:lineRule="auto"/>
        <w:ind w:firstLine="0"/>
        <w:jc w:val="left"/>
      </w:pPr>
      <w:r>
        <w:t>We model support for EU membership of individual</w:t>
      </w:r>
      <w:r>
        <w:rPr>
          <w:i/>
        </w:rPr>
        <w:t xml:space="preserve"> i </w:t>
      </w:r>
      <w:r>
        <w:t>living in country</w:t>
      </w:r>
      <w:r>
        <w:rPr>
          <w:i/>
        </w:rPr>
        <w:t xml:space="preserve"> j</w:t>
      </w:r>
      <w:r>
        <w:t xml:space="preserve"> as follows: </w:t>
      </w:r>
    </w:p>
    <w:p w14:paraId="4823798C" w14:textId="77777777" w:rsidR="005050FF" w:rsidRDefault="005050FF" w:rsidP="004F2FD8">
      <w:pPr>
        <w:spacing w:line="480" w:lineRule="auto"/>
        <w:ind w:firstLine="0"/>
        <w:jc w:val="left"/>
      </w:pPr>
    </w:p>
    <w:p w14:paraId="13FABA6B" w14:textId="77777777" w:rsidR="005050FF" w:rsidRDefault="00EC6BE8" w:rsidP="004F2FD8">
      <w:pPr>
        <w:spacing w:line="480" w:lineRule="auto"/>
        <w:ind w:firstLine="0"/>
        <w:jc w:val="left"/>
      </w:pPr>
      <w:r>
        <w:rPr>
          <w:i/>
        </w:rPr>
        <w:lastRenderedPageBreak/>
        <w:t xml:space="preserve">     Support for EU membership</w:t>
      </w:r>
      <w:r>
        <w:rPr>
          <w:i/>
          <w:sz w:val="26"/>
          <w:szCs w:val="26"/>
          <w:vertAlign w:val="subscript"/>
        </w:rPr>
        <w:t>i.j</w:t>
      </w:r>
      <w:r>
        <w:rPr>
          <w:i/>
        </w:rPr>
        <w:t xml:space="preserve"> =   </w:t>
      </w:r>
      <w:r>
        <w:rPr>
          <w:i/>
        </w:rPr>
        <w:tab/>
        <w:t>α</w:t>
      </w:r>
      <w:r>
        <w:rPr>
          <w:i/>
          <w:vertAlign w:val="subscript"/>
        </w:rPr>
        <w:t>0</w:t>
      </w:r>
      <w:r>
        <w:rPr>
          <w:i/>
        </w:rPr>
        <w:t xml:space="preserve"> + α</w:t>
      </w:r>
      <w:r>
        <w:rPr>
          <w:i/>
          <w:vertAlign w:val="subscript"/>
        </w:rPr>
        <w:t>1</w:t>
      </w:r>
      <w:r>
        <w:rPr>
          <w:i/>
        </w:rPr>
        <w:t>* migration-related variables</w:t>
      </w:r>
      <w:r>
        <w:rPr>
          <w:i/>
          <w:sz w:val="26"/>
          <w:szCs w:val="26"/>
          <w:vertAlign w:val="subscript"/>
        </w:rPr>
        <w:t>i,j</w:t>
      </w:r>
      <w:r>
        <w:rPr>
          <w:i/>
        </w:rPr>
        <w:t xml:space="preserve"> +</w:t>
      </w:r>
    </w:p>
    <w:p w14:paraId="14CE4416" w14:textId="77777777" w:rsidR="005050FF" w:rsidRDefault="00EC6BE8" w:rsidP="004F2FD8">
      <w:pPr>
        <w:spacing w:line="480" w:lineRule="auto"/>
        <w:ind w:firstLine="0"/>
        <w:jc w:val="left"/>
      </w:pPr>
      <w:r>
        <w:rPr>
          <w:i/>
        </w:rPr>
        <w:tab/>
      </w:r>
      <w:r>
        <w:rPr>
          <w:i/>
        </w:rPr>
        <w:tab/>
      </w:r>
      <w:r>
        <w:rPr>
          <w:i/>
        </w:rPr>
        <w:tab/>
      </w:r>
      <w:r>
        <w:rPr>
          <w:i/>
        </w:rPr>
        <w:tab/>
      </w:r>
      <w:r>
        <w:rPr>
          <w:i/>
        </w:rPr>
        <w:tab/>
        <w:t>α</w:t>
      </w:r>
      <w:r>
        <w:rPr>
          <w:i/>
          <w:vertAlign w:val="subscript"/>
        </w:rPr>
        <w:t>2</w:t>
      </w:r>
      <w:r>
        <w:rPr>
          <w:i/>
        </w:rPr>
        <w:t>* informed about the EU</w:t>
      </w:r>
      <w:r>
        <w:rPr>
          <w:i/>
          <w:sz w:val="26"/>
          <w:szCs w:val="26"/>
          <w:vertAlign w:val="subscript"/>
        </w:rPr>
        <w:t>i,j</w:t>
      </w:r>
      <w:r>
        <w:rPr>
          <w:i/>
        </w:rPr>
        <w:t xml:space="preserve"> +</w:t>
      </w:r>
    </w:p>
    <w:p w14:paraId="4816AFB9" w14:textId="77777777" w:rsidR="005050FF" w:rsidRDefault="00EC6BE8" w:rsidP="004F2FD8">
      <w:pPr>
        <w:spacing w:line="480" w:lineRule="auto"/>
        <w:ind w:left="2880"/>
        <w:jc w:val="left"/>
      </w:pPr>
      <w:r>
        <w:rPr>
          <w:i/>
        </w:rPr>
        <w:t>α</w:t>
      </w:r>
      <w:r>
        <w:rPr>
          <w:i/>
          <w:vertAlign w:val="subscript"/>
        </w:rPr>
        <w:t>3</w:t>
      </w:r>
      <w:r>
        <w:rPr>
          <w:i/>
        </w:rPr>
        <w:t>* controls</w:t>
      </w:r>
      <w:r>
        <w:rPr>
          <w:i/>
          <w:sz w:val="26"/>
          <w:szCs w:val="26"/>
          <w:vertAlign w:val="subscript"/>
        </w:rPr>
        <w:t>i,j</w:t>
      </w:r>
      <w:r>
        <w:rPr>
          <w:i/>
        </w:rPr>
        <w:t xml:space="preserve"> +</w:t>
      </w:r>
    </w:p>
    <w:p w14:paraId="29601ABC" w14:textId="77777777" w:rsidR="005050FF" w:rsidRDefault="00EC6BE8" w:rsidP="004F2FD8">
      <w:pPr>
        <w:spacing w:line="480" w:lineRule="auto"/>
        <w:ind w:left="2880"/>
        <w:jc w:val="left"/>
      </w:pPr>
      <w:r>
        <w:rPr>
          <w:i/>
        </w:rPr>
        <w:t>α</w:t>
      </w:r>
      <w:r>
        <w:rPr>
          <w:i/>
          <w:vertAlign w:val="subscript"/>
        </w:rPr>
        <w:t>4</w:t>
      </w:r>
      <w:r>
        <w:rPr>
          <w:i/>
        </w:rPr>
        <w:t xml:space="preserve">* year </w:t>
      </w:r>
      <w:r w:rsidR="00F8487F">
        <w:rPr>
          <w:i/>
        </w:rPr>
        <w:t>fixed effects</w:t>
      </w:r>
      <w:r>
        <w:rPr>
          <w:i/>
        </w:rPr>
        <w:t>+</w:t>
      </w:r>
    </w:p>
    <w:p w14:paraId="66EE5F8F" w14:textId="77777777" w:rsidR="005050FF" w:rsidRDefault="00EC6BE8" w:rsidP="004F2FD8">
      <w:pPr>
        <w:spacing w:line="480" w:lineRule="auto"/>
        <w:ind w:left="3600" w:firstLine="0"/>
        <w:jc w:val="left"/>
      </w:pPr>
      <w:r>
        <w:rPr>
          <w:i/>
        </w:rPr>
        <w:t>α</w:t>
      </w:r>
      <w:r>
        <w:rPr>
          <w:i/>
          <w:vertAlign w:val="subscript"/>
        </w:rPr>
        <w:t>5</w:t>
      </w:r>
      <w:r>
        <w:rPr>
          <w:i/>
        </w:rPr>
        <w:t xml:space="preserve">* country </w:t>
      </w:r>
      <w:r w:rsidR="00F8487F">
        <w:rPr>
          <w:i/>
        </w:rPr>
        <w:t>fixed effects</w:t>
      </w:r>
      <w:r>
        <w:rPr>
          <w:i/>
          <w:sz w:val="26"/>
          <w:szCs w:val="26"/>
          <w:vertAlign w:val="subscript"/>
        </w:rPr>
        <w:t>j</w:t>
      </w:r>
      <w:r>
        <w:rPr>
          <w:i/>
        </w:rPr>
        <w:t xml:space="preserve"> +</w:t>
      </w:r>
    </w:p>
    <w:p w14:paraId="61D4D2CE" w14:textId="77777777" w:rsidR="005050FF" w:rsidRDefault="00EC6BE8" w:rsidP="004F2FD8">
      <w:pPr>
        <w:spacing w:line="480" w:lineRule="auto"/>
        <w:ind w:left="3600" w:firstLine="0"/>
        <w:jc w:val="left"/>
      </w:pPr>
      <w:r>
        <w:rPr>
          <w:i/>
        </w:rPr>
        <w:t>idiosyncratic error term</w:t>
      </w:r>
      <w:r>
        <w:rPr>
          <w:i/>
          <w:sz w:val="26"/>
          <w:szCs w:val="26"/>
          <w:vertAlign w:val="subscript"/>
        </w:rPr>
        <w:t xml:space="preserve">i,j   </w:t>
      </w:r>
      <w:r>
        <w:rPr>
          <w:i/>
          <w:sz w:val="26"/>
          <w:szCs w:val="26"/>
        </w:rPr>
        <w:t xml:space="preserve">                                       </w:t>
      </w:r>
      <w:r>
        <w:rPr>
          <w:sz w:val="26"/>
          <w:szCs w:val="26"/>
        </w:rPr>
        <w:t>(1)</w:t>
      </w:r>
    </w:p>
    <w:p w14:paraId="3CA80B38" w14:textId="77777777" w:rsidR="005050FF" w:rsidRDefault="005050FF" w:rsidP="004F2FD8">
      <w:pPr>
        <w:spacing w:line="480" w:lineRule="auto"/>
        <w:ind w:firstLine="0"/>
        <w:jc w:val="left"/>
      </w:pPr>
    </w:p>
    <w:p w14:paraId="15C329C7" w14:textId="77777777" w:rsidR="005050FF" w:rsidRDefault="00EC6BE8" w:rsidP="004F2FD8">
      <w:pPr>
        <w:spacing w:line="480" w:lineRule="auto"/>
        <w:ind w:firstLine="0"/>
        <w:jc w:val="left"/>
      </w:pPr>
      <w:r>
        <w:t xml:space="preserve">where migration-related variables relate to migration to the EU and </w:t>
      </w:r>
      <w:r>
        <w:rPr>
          <w:i/>
        </w:rPr>
        <w:t>α</w:t>
      </w:r>
      <w:r>
        <w:rPr>
          <w:i/>
          <w:vertAlign w:val="subscript"/>
        </w:rPr>
        <w:t>0</w:t>
      </w:r>
      <w:r>
        <w:rPr>
          <w:i/>
        </w:rPr>
        <w:t xml:space="preserve"> - α</w:t>
      </w:r>
      <w:r>
        <w:rPr>
          <w:i/>
          <w:vertAlign w:val="subscript"/>
        </w:rPr>
        <w:t>5</w:t>
      </w:r>
      <w:r>
        <w:rPr>
          <w:i/>
        </w:rPr>
        <w:t xml:space="preserve"> </w:t>
      </w:r>
      <w:r>
        <w:t xml:space="preserve">are the parameters (parameter vectors) to be estimated. </w:t>
      </w:r>
    </w:p>
    <w:p w14:paraId="7B26873D" w14:textId="77777777" w:rsidR="005050FF" w:rsidRDefault="005050FF" w:rsidP="004F2FD8">
      <w:pPr>
        <w:spacing w:line="480" w:lineRule="auto"/>
        <w:ind w:firstLine="0"/>
        <w:jc w:val="left"/>
      </w:pPr>
    </w:p>
    <w:p w14:paraId="101F2819" w14:textId="2DF0B323" w:rsidR="005050FF" w:rsidRDefault="00EC6BE8" w:rsidP="004F2FD8">
      <w:pPr>
        <w:spacing w:line="480" w:lineRule="auto"/>
        <w:ind w:firstLine="0"/>
        <w:jc w:val="left"/>
      </w:pPr>
      <w:r>
        <w:t xml:space="preserve">Note that the migration-related variables and the variable </w:t>
      </w:r>
      <w:r>
        <w:rPr>
          <w:i/>
        </w:rPr>
        <w:t xml:space="preserve">informed about the EU </w:t>
      </w:r>
      <w:r>
        <w:t>are</w:t>
      </w:r>
      <w:r w:rsidR="007630DF">
        <w:t xml:space="preserve"> all included as regressors in M</w:t>
      </w:r>
      <w:r>
        <w:t xml:space="preserve">odel 1. Such model </w:t>
      </w:r>
      <w:r>
        <w:lastRenderedPageBreak/>
        <w:t xml:space="preserve">specification allows us to separate </w:t>
      </w:r>
      <w:r w:rsidR="00B5163E">
        <w:t xml:space="preserve">migration-related variables' </w:t>
      </w:r>
      <w:r>
        <w:t xml:space="preserve">utilitarian effect from </w:t>
      </w:r>
      <w:r w:rsidR="00936627">
        <w:t>‘</w:t>
      </w:r>
      <w:r>
        <w:t>informedness</w:t>
      </w:r>
      <w:r w:rsidR="00936627">
        <w:t>’</w:t>
      </w:r>
      <w:r>
        <w:t xml:space="preserve"> about the EU</w:t>
      </w:r>
      <w:r w:rsidR="00B5163E">
        <w:t>,</w:t>
      </w:r>
      <w:r>
        <w:t xml:space="preserve"> which might also be driven by migration. </w:t>
      </w:r>
      <w:r w:rsidR="00B5163E">
        <w:t xml:space="preserve">Migration-related variables’ </w:t>
      </w:r>
      <w:r>
        <w:t xml:space="preserve">influence on </w:t>
      </w:r>
      <w:r w:rsidR="00936627">
        <w:t>‘</w:t>
      </w:r>
      <w:r>
        <w:t>informedness</w:t>
      </w:r>
      <w:r w:rsidR="00936627">
        <w:t>’</w:t>
      </w:r>
      <w:r>
        <w:t xml:space="preserve"> about the EU is tested</w:t>
      </w:r>
      <w:r w:rsidR="00B5163E">
        <w:t>,</w:t>
      </w:r>
      <w:r>
        <w:t xml:space="preserve"> using the following model: </w:t>
      </w:r>
    </w:p>
    <w:p w14:paraId="16520128" w14:textId="77777777" w:rsidR="005050FF" w:rsidRDefault="005050FF" w:rsidP="004F2FD8">
      <w:pPr>
        <w:spacing w:line="480" w:lineRule="auto"/>
        <w:ind w:firstLine="0"/>
        <w:jc w:val="left"/>
      </w:pPr>
    </w:p>
    <w:p w14:paraId="6303063D" w14:textId="77777777" w:rsidR="005050FF" w:rsidRDefault="00EC6BE8" w:rsidP="004F2FD8">
      <w:pPr>
        <w:spacing w:line="480" w:lineRule="auto"/>
        <w:ind w:firstLine="0"/>
        <w:jc w:val="left"/>
      </w:pPr>
      <w:r>
        <w:rPr>
          <w:i/>
        </w:rPr>
        <w:t xml:space="preserve">     Well informed about the EU</w:t>
      </w:r>
      <w:r>
        <w:rPr>
          <w:i/>
          <w:sz w:val="26"/>
          <w:szCs w:val="26"/>
          <w:vertAlign w:val="subscript"/>
        </w:rPr>
        <w:t>i.j</w:t>
      </w:r>
      <w:r>
        <w:rPr>
          <w:i/>
        </w:rPr>
        <w:t xml:space="preserve"> =   </w:t>
      </w:r>
      <w:r>
        <w:rPr>
          <w:i/>
        </w:rPr>
        <w:tab/>
        <w:t>α</w:t>
      </w:r>
      <w:r>
        <w:rPr>
          <w:i/>
          <w:vertAlign w:val="subscript"/>
        </w:rPr>
        <w:t>0</w:t>
      </w:r>
      <w:r>
        <w:rPr>
          <w:i/>
        </w:rPr>
        <w:t xml:space="preserve"> + α</w:t>
      </w:r>
      <w:r>
        <w:rPr>
          <w:i/>
          <w:vertAlign w:val="subscript"/>
        </w:rPr>
        <w:t>1</w:t>
      </w:r>
      <w:r>
        <w:rPr>
          <w:i/>
        </w:rPr>
        <w:t>* migration-related variables</w:t>
      </w:r>
      <w:r>
        <w:rPr>
          <w:i/>
          <w:sz w:val="26"/>
          <w:szCs w:val="26"/>
          <w:vertAlign w:val="subscript"/>
        </w:rPr>
        <w:t>i,j</w:t>
      </w:r>
      <w:r>
        <w:rPr>
          <w:i/>
        </w:rPr>
        <w:t xml:space="preserve"> +</w:t>
      </w:r>
    </w:p>
    <w:p w14:paraId="06134089" w14:textId="77777777" w:rsidR="005050FF" w:rsidRDefault="00EC6BE8" w:rsidP="004F2FD8">
      <w:pPr>
        <w:spacing w:line="480" w:lineRule="auto"/>
        <w:ind w:left="2880"/>
        <w:jc w:val="left"/>
      </w:pPr>
      <w:r>
        <w:rPr>
          <w:i/>
        </w:rPr>
        <w:t>α</w:t>
      </w:r>
      <w:r>
        <w:rPr>
          <w:i/>
          <w:vertAlign w:val="subscript"/>
        </w:rPr>
        <w:t>2</w:t>
      </w:r>
      <w:r>
        <w:rPr>
          <w:i/>
        </w:rPr>
        <w:t>* controls</w:t>
      </w:r>
      <w:r>
        <w:rPr>
          <w:i/>
          <w:sz w:val="26"/>
          <w:szCs w:val="26"/>
          <w:vertAlign w:val="subscript"/>
        </w:rPr>
        <w:t>i,j</w:t>
      </w:r>
      <w:r>
        <w:rPr>
          <w:i/>
        </w:rPr>
        <w:t xml:space="preserve"> +</w:t>
      </w:r>
    </w:p>
    <w:p w14:paraId="2B9F6A3D" w14:textId="77777777" w:rsidR="005050FF" w:rsidRDefault="00EC6BE8" w:rsidP="004F2FD8">
      <w:pPr>
        <w:spacing w:line="480" w:lineRule="auto"/>
        <w:ind w:left="2880"/>
        <w:jc w:val="left"/>
      </w:pPr>
      <w:r>
        <w:rPr>
          <w:i/>
        </w:rPr>
        <w:t>α</w:t>
      </w:r>
      <w:r>
        <w:rPr>
          <w:i/>
          <w:vertAlign w:val="subscript"/>
        </w:rPr>
        <w:t>3</w:t>
      </w:r>
      <w:r>
        <w:rPr>
          <w:i/>
        </w:rPr>
        <w:t xml:space="preserve">* year </w:t>
      </w:r>
      <w:r w:rsidR="00F8487F">
        <w:rPr>
          <w:i/>
        </w:rPr>
        <w:t>fixed effects</w:t>
      </w:r>
      <w:r>
        <w:rPr>
          <w:i/>
          <w:sz w:val="26"/>
          <w:szCs w:val="26"/>
          <w:vertAlign w:val="subscript"/>
        </w:rPr>
        <w:t xml:space="preserve"> </w:t>
      </w:r>
      <w:r>
        <w:rPr>
          <w:i/>
        </w:rPr>
        <w:t>+</w:t>
      </w:r>
    </w:p>
    <w:p w14:paraId="1DBB6EEB" w14:textId="77777777" w:rsidR="005050FF" w:rsidRDefault="00EC6BE8" w:rsidP="004F2FD8">
      <w:pPr>
        <w:spacing w:line="480" w:lineRule="auto"/>
        <w:ind w:left="3600" w:firstLine="0"/>
        <w:jc w:val="left"/>
      </w:pPr>
      <w:r>
        <w:rPr>
          <w:i/>
        </w:rPr>
        <w:t>α</w:t>
      </w:r>
      <w:r>
        <w:rPr>
          <w:i/>
          <w:vertAlign w:val="subscript"/>
        </w:rPr>
        <w:t>4</w:t>
      </w:r>
      <w:r>
        <w:rPr>
          <w:i/>
        </w:rPr>
        <w:t xml:space="preserve">* country </w:t>
      </w:r>
      <w:r w:rsidR="00F8487F">
        <w:rPr>
          <w:i/>
        </w:rPr>
        <w:t>fixed effects</w:t>
      </w:r>
      <w:r>
        <w:rPr>
          <w:i/>
          <w:sz w:val="26"/>
          <w:szCs w:val="26"/>
          <w:vertAlign w:val="subscript"/>
        </w:rPr>
        <w:t>j</w:t>
      </w:r>
      <w:r>
        <w:rPr>
          <w:i/>
        </w:rPr>
        <w:t xml:space="preserve"> +</w:t>
      </w:r>
    </w:p>
    <w:p w14:paraId="3A9AEF29" w14:textId="77777777" w:rsidR="005050FF" w:rsidRDefault="00EC6BE8" w:rsidP="004F2FD8">
      <w:pPr>
        <w:spacing w:line="480" w:lineRule="auto"/>
        <w:ind w:left="3600" w:firstLine="0"/>
        <w:jc w:val="left"/>
      </w:pPr>
      <w:r>
        <w:rPr>
          <w:i/>
        </w:rPr>
        <w:t>idiosyncratic error term</w:t>
      </w:r>
      <w:r>
        <w:rPr>
          <w:i/>
          <w:sz w:val="26"/>
          <w:szCs w:val="26"/>
          <w:vertAlign w:val="subscript"/>
        </w:rPr>
        <w:t xml:space="preserve">i,j   </w:t>
      </w:r>
      <w:r>
        <w:rPr>
          <w:i/>
          <w:sz w:val="26"/>
          <w:szCs w:val="26"/>
        </w:rPr>
        <w:t xml:space="preserve">                                       </w:t>
      </w:r>
      <w:r>
        <w:rPr>
          <w:sz w:val="26"/>
          <w:szCs w:val="26"/>
        </w:rPr>
        <w:t>(2)</w:t>
      </w:r>
    </w:p>
    <w:p w14:paraId="64D5BDCD" w14:textId="77777777" w:rsidR="005050FF" w:rsidRDefault="005050FF" w:rsidP="004F2FD8">
      <w:pPr>
        <w:spacing w:line="480" w:lineRule="auto"/>
        <w:ind w:firstLine="0"/>
        <w:jc w:val="left"/>
      </w:pPr>
    </w:p>
    <w:p w14:paraId="76DF4D5E" w14:textId="1A5F5DEA" w:rsidR="005050FF" w:rsidRDefault="007630DF" w:rsidP="004F2FD8">
      <w:pPr>
        <w:spacing w:line="480" w:lineRule="auto"/>
        <w:ind w:firstLine="0"/>
        <w:jc w:val="left"/>
      </w:pPr>
      <w:r>
        <w:t>Finally, M</w:t>
      </w:r>
      <w:r w:rsidR="00EC6BE8">
        <w:t xml:space="preserve">odel 3 focuses on the effects of variables capturing migration to a non-EU country on support for EU membership. Among </w:t>
      </w:r>
      <w:r w:rsidR="00EC6BE8">
        <w:lastRenderedPageBreak/>
        <w:t>other things, this model tests for a ‘cosmopolitan effect’: the possibility that international mobility and orientation in general make people more positively inclined toward joining international collaborations</w:t>
      </w:r>
      <w:r w:rsidR="00B5163E">
        <w:t xml:space="preserve">, </w:t>
      </w:r>
      <w:r w:rsidR="00EC6BE8">
        <w:t xml:space="preserve">such as the EU. Note that variables capturing migration to the EU and </w:t>
      </w:r>
      <w:r w:rsidR="00936627">
        <w:t>‘</w:t>
      </w:r>
      <w:r w:rsidR="00EC6BE8">
        <w:t>informedness</w:t>
      </w:r>
      <w:r w:rsidR="00936627">
        <w:t>’</w:t>
      </w:r>
      <w:r w:rsidR="00EC6BE8">
        <w:t xml:space="preserve"> about the EU are also included</w:t>
      </w:r>
      <w:r w:rsidR="006A4C8B">
        <w:t xml:space="preserve">, </w:t>
      </w:r>
      <w:r w:rsidR="00EC6BE8">
        <w:t>leav</w:t>
      </w:r>
      <w:r w:rsidR="006A4C8B">
        <w:t>ing</w:t>
      </w:r>
      <w:r w:rsidR="00EC6BE8">
        <w:t xml:space="preserve"> people with no connection to migration as</w:t>
      </w:r>
      <w:r w:rsidR="00EC6BE8">
        <w:rPr>
          <w:color w:val="FF0000"/>
        </w:rPr>
        <w:t xml:space="preserve"> </w:t>
      </w:r>
      <w:r w:rsidR="00EC6BE8">
        <w:t xml:space="preserve">a reference group.  </w:t>
      </w:r>
    </w:p>
    <w:p w14:paraId="6FA7FE90" w14:textId="77777777" w:rsidR="005050FF" w:rsidRDefault="005050FF" w:rsidP="004F2FD8">
      <w:pPr>
        <w:spacing w:line="480" w:lineRule="auto"/>
        <w:ind w:firstLine="0"/>
        <w:jc w:val="left"/>
      </w:pPr>
    </w:p>
    <w:p w14:paraId="1ADDDE6A" w14:textId="77777777" w:rsidR="005050FF" w:rsidRDefault="00EC6BE8" w:rsidP="004F2FD8">
      <w:pPr>
        <w:spacing w:line="480" w:lineRule="auto"/>
        <w:ind w:firstLine="0"/>
        <w:jc w:val="left"/>
      </w:pPr>
      <w:r>
        <w:rPr>
          <w:i/>
        </w:rPr>
        <w:t>Support for EU membership</w:t>
      </w:r>
      <w:r>
        <w:rPr>
          <w:i/>
          <w:sz w:val="26"/>
          <w:szCs w:val="26"/>
          <w:vertAlign w:val="subscript"/>
        </w:rPr>
        <w:t>i.j</w:t>
      </w:r>
      <w:r>
        <w:rPr>
          <w:i/>
        </w:rPr>
        <w:t xml:space="preserve"> =   </w:t>
      </w:r>
      <w:r>
        <w:rPr>
          <w:i/>
        </w:rPr>
        <w:tab/>
        <w:t>α</w:t>
      </w:r>
      <w:r>
        <w:rPr>
          <w:i/>
          <w:vertAlign w:val="subscript"/>
        </w:rPr>
        <w:t>0</w:t>
      </w:r>
      <w:r>
        <w:rPr>
          <w:i/>
        </w:rPr>
        <w:t xml:space="preserve"> + α</w:t>
      </w:r>
      <w:r>
        <w:rPr>
          <w:i/>
          <w:vertAlign w:val="subscript"/>
        </w:rPr>
        <w:t>1</w:t>
      </w:r>
      <w:r>
        <w:rPr>
          <w:i/>
        </w:rPr>
        <w:t>* migration-related variables (non-EU)</w:t>
      </w:r>
      <w:r>
        <w:rPr>
          <w:i/>
          <w:sz w:val="26"/>
          <w:szCs w:val="26"/>
          <w:vertAlign w:val="subscript"/>
        </w:rPr>
        <w:t>i,j</w:t>
      </w:r>
      <w:r>
        <w:rPr>
          <w:i/>
        </w:rPr>
        <w:t xml:space="preserve"> +</w:t>
      </w:r>
    </w:p>
    <w:p w14:paraId="4CAA44F9" w14:textId="77777777" w:rsidR="005050FF" w:rsidRDefault="00EC6BE8" w:rsidP="004F2FD8">
      <w:pPr>
        <w:spacing w:line="480" w:lineRule="auto"/>
        <w:ind w:firstLine="0"/>
        <w:jc w:val="left"/>
      </w:pPr>
      <w:r>
        <w:rPr>
          <w:i/>
        </w:rPr>
        <w:tab/>
      </w:r>
      <w:r>
        <w:rPr>
          <w:i/>
        </w:rPr>
        <w:tab/>
      </w:r>
      <w:r>
        <w:rPr>
          <w:i/>
        </w:rPr>
        <w:tab/>
      </w:r>
      <w:r>
        <w:rPr>
          <w:i/>
        </w:rPr>
        <w:tab/>
      </w:r>
      <w:r>
        <w:rPr>
          <w:i/>
        </w:rPr>
        <w:tab/>
        <w:t>α</w:t>
      </w:r>
      <w:r>
        <w:rPr>
          <w:i/>
          <w:vertAlign w:val="subscript"/>
        </w:rPr>
        <w:t>2</w:t>
      </w:r>
      <w:r>
        <w:rPr>
          <w:i/>
        </w:rPr>
        <w:t>* migration-related variables (EU)</w:t>
      </w:r>
      <w:r>
        <w:rPr>
          <w:i/>
          <w:sz w:val="26"/>
          <w:szCs w:val="26"/>
          <w:vertAlign w:val="subscript"/>
        </w:rPr>
        <w:t>i,j</w:t>
      </w:r>
      <w:r>
        <w:rPr>
          <w:i/>
        </w:rPr>
        <w:t xml:space="preserve"> +</w:t>
      </w:r>
    </w:p>
    <w:p w14:paraId="3B24F4B3" w14:textId="77777777" w:rsidR="005050FF" w:rsidRDefault="00EC6BE8" w:rsidP="004F2FD8">
      <w:pPr>
        <w:spacing w:line="480" w:lineRule="auto"/>
        <w:ind w:left="3600" w:firstLine="0"/>
        <w:jc w:val="left"/>
      </w:pPr>
      <w:r>
        <w:rPr>
          <w:i/>
        </w:rPr>
        <w:t>α</w:t>
      </w:r>
      <w:r>
        <w:rPr>
          <w:i/>
          <w:vertAlign w:val="subscript"/>
        </w:rPr>
        <w:t>3</w:t>
      </w:r>
      <w:r>
        <w:rPr>
          <w:i/>
        </w:rPr>
        <w:t>* informed about the EU</w:t>
      </w:r>
      <w:r>
        <w:rPr>
          <w:i/>
          <w:sz w:val="26"/>
          <w:szCs w:val="26"/>
          <w:vertAlign w:val="subscript"/>
        </w:rPr>
        <w:t>i,j</w:t>
      </w:r>
      <w:r>
        <w:rPr>
          <w:i/>
        </w:rPr>
        <w:t xml:space="preserve"> +</w:t>
      </w:r>
    </w:p>
    <w:p w14:paraId="13CC549E" w14:textId="77777777" w:rsidR="005050FF" w:rsidRDefault="00EC6BE8" w:rsidP="004F2FD8">
      <w:pPr>
        <w:spacing w:line="480" w:lineRule="auto"/>
        <w:ind w:left="2880"/>
        <w:jc w:val="left"/>
      </w:pPr>
      <w:r>
        <w:rPr>
          <w:i/>
        </w:rPr>
        <w:t>α</w:t>
      </w:r>
      <w:r>
        <w:rPr>
          <w:i/>
          <w:vertAlign w:val="subscript"/>
        </w:rPr>
        <w:t>4</w:t>
      </w:r>
      <w:r>
        <w:rPr>
          <w:i/>
        </w:rPr>
        <w:t>* controls</w:t>
      </w:r>
      <w:r>
        <w:rPr>
          <w:i/>
          <w:sz w:val="26"/>
          <w:szCs w:val="26"/>
          <w:vertAlign w:val="subscript"/>
        </w:rPr>
        <w:t>i,j</w:t>
      </w:r>
      <w:r>
        <w:rPr>
          <w:i/>
        </w:rPr>
        <w:t xml:space="preserve"> +</w:t>
      </w:r>
    </w:p>
    <w:p w14:paraId="20D6DFDB" w14:textId="77777777" w:rsidR="005050FF" w:rsidRDefault="00EC6BE8" w:rsidP="004F2FD8">
      <w:pPr>
        <w:spacing w:line="480" w:lineRule="auto"/>
        <w:ind w:left="2880"/>
        <w:jc w:val="left"/>
      </w:pPr>
      <w:r>
        <w:rPr>
          <w:i/>
        </w:rPr>
        <w:t>α</w:t>
      </w:r>
      <w:r>
        <w:rPr>
          <w:i/>
          <w:vertAlign w:val="subscript"/>
        </w:rPr>
        <w:t>5</w:t>
      </w:r>
      <w:r>
        <w:rPr>
          <w:i/>
        </w:rPr>
        <w:t xml:space="preserve">* year </w:t>
      </w:r>
      <w:r w:rsidR="00F8487F">
        <w:rPr>
          <w:i/>
        </w:rPr>
        <w:t>fixed effects</w:t>
      </w:r>
      <w:r>
        <w:rPr>
          <w:i/>
          <w:sz w:val="26"/>
          <w:szCs w:val="26"/>
          <w:vertAlign w:val="subscript"/>
        </w:rPr>
        <w:t xml:space="preserve"> </w:t>
      </w:r>
      <w:r>
        <w:rPr>
          <w:i/>
        </w:rPr>
        <w:t>+</w:t>
      </w:r>
    </w:p>
    <w:p w14:paraId="6E569FB6" w14:textId="77777777" w:rsidR="005050FF" w:rsidRDefault="00EC6BE8" w:rsidP="004F2FD8">
      <w:pPr>
        <w:spacing w:line="480" w:lineRule="auto"/>
        <w:ind w:left="3600" w:firstLine="0"/>
        <w:jc w:val="left"/>
      </w:pPr>
      <w:r>
        <w:rPr>
          <w:i/>
        </w:rPr>
        <w:t>α</w:t>
      </w:r>
      <w:r>
        <w:rPr>
          <w:i/>
          <w:vertAlign w:val="subscript"/>
        </w:rPr>
        <w:t>6</w:t>
      </w:r>
      <w:r>
        <w:rPr>
          <w:i/>
        </w:rPr>
        <w:t xml:space="preserve">* country </w:t>
      </w:r>
      <w:r w:rsidR="00F8487F">
        <w:rPr>
          <w:i/>
        </w:rPr>
        <w:t>fixed effects</w:t>
      </w:r>
      <w:r>
        <w:rPr>
          <w:i/>
          <w:sz w:val="26"/>
          <w:szCs w:val="26"/>
          <w:vertAlign w:val="subscript"/>
        </w:rPr>
        <w:t>j</w:t>
      </w:r>
      <w:r>
        <w:rPr>
          <w:i/>
        </w:rPr>
        <w:t xml:space="preserve"> +</w:t>
      </w:r>
    </w:p>
    <w:p w14:paraId="0C39EA14" w14:textId="77777777" w:rsidR="005050FF" w:rsidRDefault="00EC6BE8" w:rsidP="004F2FD8">
      <w:pPr>
        <w:spacing w:line="480" w:lineRule="auto"/>
        <w:ind w:left="3600" w:firstLine="0"/>
        <w:jc w:val="left"/>
      </w:pPr>
      <w:r>
        <w:rPr>
          <w:i/>
        </w:rPr>
        <w:lastRenderedPageBreak/>
        <w:t>idiosyncratic error term</w:t>
      </w:r>
      <w:r>
        <w:rPr>
          <w:i/>
          <w:sz w:val="26"/>
          <w:szCs w:val="26"/>
          <w:vertAlign w:val="subscript"/>
        </w:rPr>
        <w:t xml:space="preserve">i,j   </w:t>
      </w:r>
      <w:r>
        <w:rPr>
          <w:i/>
          <w:sz w:val="26"/>
          <w:szCs w:val="26"/>
        </w:rPr>
        <w:t xml:space="preserve">           </w:t>
      </w:r>
      <w:r>
        <w:rPr>
          <w:i/>
          <w:sz w:val="26"/>
          <w:szCs w:val="26"/>
        </w:rPr>
        <w:tab/>
      </w:r>
      <w:r>
        <w:rPr>
          <w:i/>
          <w:sz w:val="26"/>
          <w:szCs w:val="26"/>
        </w:rPr>
        <w:tab/>
      </w:r>
      <w:r>
        <w:rPr>
          <w:i/>
          <w:sz w:val="26"/>
          <w:szCs w:val="26"/>
        </w:rPr>
        <w:tab/>
      </w:r>
      <w:r>
        <w:rPr>
          <w:sz w:val="26"/>
          <w:szCs w:val="26"/>
        </w:rPr>
        <w:t>(3)</w:t>
      </w:r>
    </w:p>
    <w:p w14:paraId="24D5B68B" w14:textId="77777777" w:rsidR="005050FF" w:rsidRDefault="005050FF" w:rsidP="004F2FD8">
      <w:pPr>
        <w:spacing w:line="480" w:lineRule="auto"/>
        <w:ind w:firstLine="0"/>
        <w:jc w:val="left"/>
      </w:pPr>
    </w:p>
    <w:p w14:paraId="35C8AB98" w14:textId="4AC1C88B" w:rsidR="005050FF" w:rsidRDefault="00EC6BE8" w:rsidP="004F2FD8">
      <w:pPr>
        <w:spacing w:line="480" w:lineRule="auto"/>
        <w:ind w:firstLine="0"/>
        <w:jc w:val="left"/>
      </w:pPr>
      <w:r>
        <w:t>In the case of a binary dependent variable (</w:t>
      </w:r>
      <w:r>
        <w:rPr>
          <w:i/>
        </w:rPr>
        <w:t xml:space="preserve">vote yes in </w:t>
      </w:r>
      <w:r w:rsidR="00B30B95">
        <w:rPr>
          <w:i/>
        </w:rPr>
        <w:t>an EU</w:t>
      </w:r>
      <w:r>
        <w:rPr>
          <w:i/>
        </w:rPr>
        <w:t xml:space="preserve"> referendum</w:t>
      </w:r>
      <w:r>
        <w:t>)</w:t>
      </w:r>
      <w:r w:rsidR="00B5163E">
        <w:t>,</w:t>
      </w:r>
      <w:r>
        <w:t xml:space="preserve"> we estimate the model with binary probit. Where the dependent variable is categorical and ordered (</w:t>
      </w:r>
      <w:r>
        <w:rPr>
          <w:i/>
        </w:rPr>
        <w:t>EU membership a good thing</w:t>
      </w:r>
      <w:r>
        <w:t xml:space="preserve"> and </w:t>
      </w:r>
      <w:r>
        <w:rPr>
          <w:i/>
        </w:rPr>
        <w:t>well informed about the EU</w:t>
      </w:r>
      <w:r w:rsidR="00EB3849">
        <w:t>)</w:t>
      </w:r>
      <w:r w:rsidR="00B5163E">
        <w:t>,</w:t>
      </w:r>
      <w:r w:rsidR="00EB3849">
        <w:t xml:space="preserve"> we </w:t>
      </w:r>
      <w:r>
        <w:t>use ordered probit.</w:t>
      </w:r>
      <w:r>
        <w:rPr>
          <w:vertAlign w:val="superscript"/>
        </w:rPr>
        <w:footnoteReference w:id="13"/>
      </w:r>
      <w:r>
        <w:t xml:space="preserve"> </w:t>
      </w:r>
    </w:p>
    <w:p w14:paraId="6E6BA96D" w14:textId="77777777" w:rsidR="005050FF" w:rsidRDefault="005050FF" w:rsidP="004F2FD8">
      <w:pPr>
        <w:spacing w:line="480" w:lineRule="auto"/>
        <w:ind w:firstLine="0"/>
        <w:jc w:val="left"/>
      </w:pPr>
    </w:p>
    <w:p w14:paraId="334FB82E" w14:textId="68FB1E66" w:rsidR="005050FF" w:rsidRDefault="00EC6BE8" w:rsidP="004F2FD8">
      <w:pPr>
        <w:spacing w:line="480" w:lineRule="auto"/>
        <w:ind w:firstLine="0"/>
        <w:jc w:val="left"/>
      </w:pPr>
      <w:r>
        <w:t>Given a potential correlation within the group of migration-related variables (e.g.</w:t>
      </w:r>
      <w:r w:rsidR="009F1F6D">
        <w:t>,</w:t>
      </w:r>
      <w:r>
        <w:t xml:space="preserve"> people </w:t>
      </w:r>
      <w:r w:rsidR="009F1F6D">
        <w:t>may</w:t>
      </w:r>
      <w:r>
        <w:t xml:space="preserve"> </w:t>
      </w:r>
      <w:r w:rsidR="00EB3849">
        <w:t xml:space="preserve">be </w:t>
      </w:r>
      <w:r>
        <w:t xml:space="preserve">more likely to express </w:t>
      </w:r>
      <w:r w:rsidR="00CA291E">
        <w:t xml:space="preserve">willingness </w:t>
      </w:r>
      <w:r>
        <w:t>to migrate if they have past migration experience or rel</w:t>
      </w:r>
      <w:r w:rsidR="009F1F6D">
        <w:t xml:space="preserve">atives abroad), </w:t>
      </w:r>
      <w:r>
        <w:t xml:space="preserve">we </w:t>
      </w:r>
      <w:r>
        <w:lastRenderedPageBreak/>
        <w:t xml:space="preserve">first include the three migration-related variables separately and then estimate a model where they are included jointly. </w:t>
      </w:r>
    </w:p>
    <w:p w14:paraId="145980AD" w14:textId="77777777" w:rsidR="00362936" w:rsidRDefault="00362936" w:rsidP="004F2FD8">
      <w:pPr>
        <w:spacing w:line="480" w:lineRule="auto"/>
        <w:ind w:firstLine="0"/>
        <w:jc w:val="left"/>
      </w:pPr>
    </w:p>
    <w:p w14:paraId="48AA16A8" w14:textId="77777777" w:rsidR="005050FF" w:rsidRDefault="00EC6BE8" w:rsidP="007630DF">
      <w:pPr>
        <w:pStyle w:val="ListParagraph"/>
        <w:numPr>
          <w:ilvl w:val="0"/>
          <w:numId w:val="4"/>
        </w:numPr>
        <w:spacing w:line="480" w:lineRule="auto"/>
        <w:jc w:val="left"/>
      </w:pPr>
      <w:r>
        <w:t xml:space="preserve">RESULTS </w:t>
      </w:r>
    </w:p>
    <w:p w14:paraId="40341282" w14:textId="77777777" w:rsidR="005050FF" w:rsidRDefault="005050FF" w:rsidP="004F2FD8">
      <w:pPr>
        <w:spacing w:line="480" w:lineRule="auto"/>
        <w:ind w:firstLine="0"/>
        <w:jc w:val="left"/>
      </w:pPr>
    </w:p>
    <w:p w14:paraId="28B6D926" w14:textId="35F8DC14" w:rsidR="005050FF" w:rsidRDefault="00EC6BE8" w:rsidP="004F2FD8">
      <w:pPr>
        <w:spacing w:line="480" w:lineRule="auto"/>
        <w:ind w:firstLine="0"/>
        <w:jc w:val="left"/>
      </w:pPr>
      <w:r>
        <w:t>Table 1 presents the correlates of a</w:t>
      </w:r>
      <w:r w:rsidR="00552C1C">
        <w:t>ttitudes toward EU membership</w:t>
      </w:r>
      <w:r w:rsidR="00A60DE6">
        <w:t>.</w:t>
      </w:r>
      <w:r w:rsidR="00552C1C">
        <w:t xml:space="preserve"> </w:t>
      </w:r>
      <w:r w:rsidR="00A60DE6">
        <w:t>T</w:t>
      </w:r>
      <w:r w:rsidR="00552C1C">
        <w:t>o save space, here and in what follows</w:t>
      </w:r>
      <w:r w:rsidR="001501DD">
        <w:t>,</w:t>
      </w:r>
      <w:r w:rsidR="00552C1C">
        <w:t xml:space="preserve"> we present </w:t>
      </w:r>
      <w:r w:rsidR="00B5163E">
        <w:t xml:space="preserve">only </w:t>
      </w:r>
      <w:r w:rsidR="00552C1C">
        <w:t>the coefficient of the variables that are central to our analysis (migration-related variables</w:t>
      </w:r>
      <w:r w:rsidR="006E76D3">
        <w:t xml:space="preserve"> and </w:t>
      </w:r>
      <w:r w:rsidR="00A60DE6">
        <w:t>‘</w:t>
      </w:r>
      <w:r w:rsidR="006E76D3">
        <w:t>informedness</w:t>
      </w:r>
      <w:r w:rsidR="00A60DE6">
        <w:t>’</w:t>
      </w:r>
      <w:r w:rsidR="006E76D3">
        <w:t xml:space="preserve"> about the EU</w:t>
      </w:r>
      <w:r w:rsidR="00552C1C">
        <w:t>); the co</w:t>
      </w:r>
      <w:r w:rsidR="00184B6B">
        <w:t>efficients of control variables</w:t>
      </w:r>
      <w:r w:rsidR="008A1E2D">
        <w:t xml:space="preserve"> are available in </w:t>
      </w:r>
      <w:r w:rsidR="00552C1C">
        <w:t>the</w:t>
      </w:r>
      <w:r w:rsidR="008334E5">
        <w:t xml:space="preserve"> </w:t>
      </w:r>
      <w:r w:rsidR="00552C1C" w:rsidRPr="008A1E2D">
        <w:t>Su</w:t>
      </w:r>
      <w:r w:rsidR="00A3187F" w:rsidRPr="008A1E2D">
        <w:t xml:space="preserve">pplementary </w:t>
      </w:r>
      <w:r w:rsidR="001501DD" w:rsidRPr="008A1E2D">
        <w:t>Appendix</w:t>
      </w:r>
      <w:r w:rsidR="008A1E2D" w:rsidRPr="008A1E2D">
        <w:t xml:space="preserve"> </w:t>
      </w:r>
      <w:r w:rsidR="008A1E2D">
        <w:t>(Tables A2-A4)</w:t>
      </w:r>
      <w:r w:rsidR="00A3187F" w:rsidRPr="008A1E2D">
        <w:t>.</w:t>
      </w:r>
      <w:r w:rsidR="00552C1C">
        <w:t xml:space="preserve"> </w:t>
      </w:r>
      <w:r>
        <w:t xml:space="preserve">All three migration-related variables are positive and statistically significant predictors of the likelihood of voting ‘yes’ in a hypothetical EU referendum (Panel A). Considering the case where migration variables are included separately (Columns 1-3) and keeping other factors constant, people </w:t>
      </w:r>
      <w:r w:rsidR="00CA291E">
        <w:t>willing</w:t>
      </w:r>
      <w:r>
        <w:t xml:space="preserve"> to migrate to the EU are 2.5 percentage points </w:t>
      </w:r>
      <w:r>
        <w:lastRenderedPageBreak/>
        <w:t>more likely, those with relatives in the EU 2.1 percentage points more likely</w:t>
      </w:r>
      <w:r w:rsidR="00B5163E">
        <w:t>,</w:t>
      </w:r>
      <w:r>
        <w:t xml:space="preserve"> and EU return migrants 3.1 percentage points more likely to say they would vote favorably in </w:t>
      </w:r>
      <w:r w:rsidR="00B30B95">
        <w:t>an EU</w:t>
      </w:r>
      <w:r>
        <w:t xml:space="preserve"> referendum. The magnitudes of these marginal effects slightly decline (to 2.1, 1.8</w:t>
      </w:r>
      <w:r w:rsidR="00B5163E">
        <w:t>,</w:t>
      </w:r>
      <w:r>
        <w:t xml:space="preserve"> and 2.5 percentage points, respectively) when the three migration variables are included jointly (Column 4). This reflects a positive correlation between them</w:t>
      </w:r>
      <w:r w:rsidR="00B5163E">
        <w:t xml:space="preserve">, </w:t>
      </w:r>
      <w:r>
        <w:t xml:space="preserve">which is to be expected. However, even when included jointly, the three variables remain positive and statistically significant. This </w:t>
      </w:r>
      <w:r w:rsidR="00704276">
        <w:t>fin</w:t>
      </w:r>
      <w:r w:rsidR="00B5163E">
        <w:t>d</w:t>
      </w:r>
      <w:r w:rsidR="00704276">
        <w:t>i</w:t>
      </w:r>
      <w:r w:rsidR="00B5163E">
        <w:t xml:space="preserve">ng </w:t>
      </w:r>
      <w:r>
        <w:t>indicates that each migration-related variable exerts a positive influence on the likelihood of voting ‘yes</w:t>
      </w:r>
      <w:r w:rsidR="00B5163E">
        <w:t>,</w:t>
      </w:r>
      <w:r>
        <w:t>’ regardless of</w:t>
      </w:r>
      <w:r>
        <w:rPr>
          <w:color w:val="0000FF"/>
        </w:rPr>
        <w:t xml:space="preserve"> </w:t>
      </w:r>
      <w:r>
        <w:t xml:space="preserve">the </w:t>
      </w:r>
      <w:r w:rsidR="00B5163E">
        <w:t xml:space="preserve">other two migration-related variables' </w:t>
      </w:r>
      <w:r>
        <w:t>effect.</w:t>
      </w:r>
    </w:p>
    <w:p w14:paraId="09B54B11" w14:textId="77777777" w:rsidR="005050FF" w:rsidRDefault="00EC6BE8" w:rsidP="004F2FD8">
      <w:pPr>
        <w:spacing w:line="480" w:lineRule="auto"/>
        <w:ind w:firstLine="0"/>
        <w:jc w:val="left"/>
      </w:pPr>
      <w:r>
        <w:t xml:space="preserve"> </w:t>
      </w:r>
    </w:p>
    <w:p w14:paraId="685DCC6D" w14:textId="222075B3" w:rsidR="004F2FD8" w:rsidRDefault="00EC6BE8" w:rsidP="004F2FD8">
      <w:pPr>
        <w:spacing w:line="480" w:lineRule="auto"/>
        <w:ind w:firstLine="0"/>
        <w:jc w:val="left"/>
      </w:pPr>
      <w:r>
        <w:t>Panel B of Table 1 reports the results for the model explaining</w:t>
      </w:r>
      <w:r w:rsidR="009F1F6D">
        <w:t xml:space="preserve"> the likelihood of considering </w:t>
      </w:r>
      <w:r>
        <w:t xml:space="preserve">membership of one’s country in the EU a good thing. Regardless of whether included jointly or separately, the </w:t>
      </w:r>
      <w:r>
        <w:lastRenderedPageBreak/>
        <w:t xml:space="preserve">variables capturing willingness to emigrate to the EU and return migration are statistically insignificant. Only people with relatives or friends in the EU are more likely to say that </w:t>
      </w:r>
      <w:r w:rsidR="00B5163E">
        <w:t xml:space="preserve">their country’s </w:t>
      </w:r>
      <w:r>
        <w:t>membership in the EU would be a good thing. In terms of marginal effects, relatives of EU migrants are 1.1 percentage point less likely to consider EU membership a bad thing, 0.9 percentage point less likely to consider EU membership neither good nor bad, and 1.9 percentage points more likely to consider EU membership a good thing.</w:t>
      </w:r>
      <w:r>
        <w:rPr>
          <w:vertAlign w:val="superscript"/>
        </w:rPr>
        <w:footnoteReference w:id="14"/>
      </w:r>
      <w:r>
        <w:t xml:space="preserve"> These results provide mixed support for H1a, H2a</w:t>
      </w:r>
      <w:r w:rsidR="00704276">
        <w:t>,</w:t>
      </w:r>
      <w:r>
        <w:t xml:space="preserve"> and H3a. On the one hand, respondents from all three migration-related categories are more likely to vote favorably in a hypothetical EU referendum. On the other hand, only EU</w:t>
      </w:r>
      <w:r w:rsidR="00704276">
        <w:t xml:space="preserve"> </w:t>
      </w:r>
      <w:r>
        <w:t xml:space="preserve">migrants’ relatives are more likely to consider that </w:t>
      </w:r>
      <w:r w:rsidR="00704276">
        <w:t xml:space="preserve">their </w:t>
      </w:r>
      <w:r w:rsidR="00704276">
        <w:lastRenderedPageBreak/>
        <w:t xml:space="preserve">country’s </w:t>
      </w:r>
      <w:r>
        <w:t>membership in the EU would be a good thing, while prospective and return EU migrants do not distinguish themselves from the rest of the population.</w:t>
      </w:r>
    </w:p>
    <w:p w14:paraId="71784E22" w14:textId="77777777" w:rsidR="004F2FD8" w:rsidRDefault="004F2FD8" w:rsidP="004F2FD8">
      <w:pPr>
        <w:spacing w:line="480" w:lineRule="auto"/>
        <w:ind w:firstLine="0"/>
        <w:jc w:val="left"/>
      </w:pPr>
    </w:p>
    <w:p w14:paraId="2F5A54B4" w14:textId="77777777" w:rsidR="00EF6DA2" w:rsidRPr="004F2FD8" w:rsidRDefault="00EF6DA2" w:rsidP="004F2FD8">
      <w:pPr>
        <w:spacing w:line="480" w:lineRule="auto"/>
        <w:ind w:firstLine="0"/>
        <w:jc w:val="left"/>
      </w:pPr>
      <w:r>
        <w:rPr>
          <w:b/>
          <w:i/>
        </w:rPr>
        <w:t>Table 1: Migration and support for country’s membership in the EU</w:t>
      </w:r>
    </w:p>
    <w:p w14:paraId="37705C07" w14:textId="77777777" w:rsidR="00EF6DA2" w:rsidRDefault="00EF6DA2" w:rsidP="00EF6DA2">
      <w:pPr>
        <w:widowControl w:val="0"/>
        <w:spacing w:line="240" w:lineRule="auto"/>
        <w:ind w:firstLine="0"/>
      </w:pPr>
    </w:p>
    <w:tbl>
      <w:tblPr>
        <w:tblStyle w:val="a"/>
        <w:tblW w:w="9515" w:type="dxa"/>
        <w:jc w:val="center"/>
        <w:tblLayout w:type="fixed"/>
        <w:tblLook w:val="0000" w:firstRow="0" w:lastRow="0" w:firstColumn="0" w:lastColumn="0" w:noHBand="0" w:noVBand="0"/>
      </w:tblPr>
      <w:tblGrid>
        <w:gridCol w:w="2513"/>
        <w:gridCol w:w="875"/>
        <w:gridCol w:w="875"/>
        <w:gridCol w:w="875"/>
        <w:gridCol w:w="876"/>
        <w:gridCol w:w="875"/>
        <w:gridCol w:w="875"/>
        <w:gridCol w:w="875"/>
        <w:gridCol w:w="876"/>
      </w:tblGrid>
      <w:tr w:rsidR="00EF6DA2" w14:paraId="6D73DE50" w14:textId="77777777" w:rsidTr="00552C1C">
        <w:trPr>
          <w:jc w:val="center"/>
        </w:trPr>
        <w:tc>
          <w:tcPr>
            <w:tcW w:w="2513" w:type="dxa"/>
            <w:tcBorders>
              <w:top w:val="single" w:sz="6" w:space="0" w:color="000000"/>
              <w:bottom w:val="single" w:sz="4" w:space="0" w:color="000000"/>
              <w:right w:val="single" w:sz="4" w:space="0" w:color="000000"/>
            </w:tcBorders>
          </w:tcPr>
          <w:p w14:paraId="6C873BD4" w14:textId="77777777" w:rsidR="00EF6DA2" w:rsidRPr="006F5043" w:rsidRDefault="00EF6DA2" w:rsidP="00EF6DA2">
            <w:pPr>
              <w:widowControl w:val="0"/>
              <w:spacing w:line="240" w:lineRule="auto"/>
              <w:ind w:firstLine="0"/>
              <w:jc w:val="left"/>
              <w:rPr>
                <w:sz w:val="16"/>
                <w:szCs w:val="16"/>
              </w:rPr>
            </w:pPr>
          </w:p>
        </w:tc>
        <w:tc>
          <w:tcPr>
            <w:tcW w:w="3501" w:type="dxa"/>
            <w:gridSpan w:val="4"/>
            <w:tcBorders>
              <w:top w:val="single" w:sz="6" w:space="0" w:color="000000"/>
              <w:left w:val="single" w:sz="4" w:space="0" w:color="000000"/>
              <w:bottom w:val="single" w:sz="4" w:space="0" w:color="000000"/>
              <w:right w:val="single" w:sz="4" w:space="0" w:color="000000"/>
            </w:tcBorders>
          </w:tcPr>
          <w:p w14:paraId="1B0F1234" w14:textId="77777777" w:rsidR="00EF6DA2" w:rsidRDefault="00EF6DA2" w:rsidP="00EF6DA2">
            <w:pPr>
              <w:widowControl w:val="0"/>
              <w:spacing w:line="240" w:lineRule="auto"/>
              <w:ind w:firstLine="0"/>
            </w:pPr>
            <w:r>
              <w:rPr>
                <w:sz w:val="18"/>
                <w:szCs w:val="18"/>
              </w:rPr>
              <w:t xml:space="preserve">A. Dependent variable: </w:t>
            </w:r>
          </w:p>
          <w:p w14:paraId="2C3A14CE" w14:textId="77777777" w:rsidR="00EF6DA2" w:rsidRDefault="00EF6DA2" w:rsidP="00EF6DA2">
            <w:pPr>
              <w:widowControl w:val="0"/>
              <w:spacing w:line="240" w:lineRule="auto"/>
              <w:ind w:firstLine="0"/>
            </w:pPr>
            <w:r>
              <w:rPr>
                <w:sz w:val="18"/>
                <w:szCs w:val="18"/>
              </w:rPr>
              <w:t>Voting yes in a hypothetical EU referendum;</w:t>
            </w:r>
          </w:p>
          <w:p w14:paraId="4B3CFA5A" w14:textId="77777777" w:rsidR="00EF6DA2" w:rsidRDefault="00EF6DA2" w:rsidP="00EF6DA2">
            <w:pPr>
              <w:widowControl w:val="0"/>
              <w:spacing w:line="240" w:lineRule="auto"/>
              <w:ind w:firstLine="0"/>
            </w:pPr>
            <w:r>
              <w:rPr>
                <w:sz w:val="18"/>
                <w:szCs w:val="18"/>
              </w:rPr>
              <w:t>binary probit marginal effects</w:t>
            </w:r>
          </w:p>
        </w:tc>
        <w:tc>
          <w:tcPr>
            <w:tcW w:w="3501" w:type="dxa"/>
            <w:gridSpan w:val="4"/>
            <w:tcBorders>
              <w:top w:val="single" w:sz="6" w:space="0" w:color="000000"/>
              <w:left w:val="single" w:sz="4" w:space="0" w:color="000000"/>
              <w:bottom w:val="single" w:sz="4" w:space="0" w:color="000000"/>
            </w:tcBorders>
          </w:tcPr>
          <w:p w14:paraId="7D5D2E86" w14:textId="77777777" w:rsidR="00EF6DA2" w:rsidRDefault="00EF6DA2" w:rsidP="00EF6DA2">
            <w:pPr>
              <w:widowControl w:val="0"/>
              <w:spacing w:line="240" w:lineRule="auto"/>
              <w:ind w:firstLine="0"/>
            </w:pPr>
            <w:r>
              <w:rPr>
                <w:sz w:val="18"/>
                <w:szCs w:val="18"/>
              </w:rPr>
              <w:t xml:space="preserve">B. Dependent variable: </w:t>
            </w:r>
          </w:p>
          <w:p w14:paraId="7ACED718" w14:textId="77777777" w:rsidR="00EF6DA2" w:rsidRDefault="00EF6DA2" w:rsidP="00EF6DA2">
            <w:pPr>
              <w:widowControl w:val="0"/>
              <w:spacing w:line="240" w:lineRule="auto"/>
              <w:ind w:firstLine="0"/>
            </w:pPr>
            <w:r>
              <w:rPr>
                <w:sz w:val="18"/>
                <w:szCs w:val="18"/>
              </w:rPr>
              <w:t>EU membership a good thing;</w:t>
            </w:r>
          </w:p>
          <w:p w14:paraId="6C1E9CD7" w14:textId="77777777" w:rsidR="00EF6DA2" w:rsidRDefault="00EF6DA2" w:rsidP="00EF6DA2">
            <w:pPr>
              <w:widowControl w:val="0"/>
              <w:spacing w:line="240" w:lineRule="auto"/>
              <w:ind w:firstLine="0"/>
            </w:pPr>
            <w:r>
              <w:rPr>
                <w:sz w:val="18"/>
                <w:szCs w:val="18"/>
              </w:rPr>
              <w:t>ordered probit coefficients</w:t>
            </w:r>
          </w:p>
        </w:tc>
      </w:tr>
      <w:tr w:rsidR="00EF6DA2" w14:paraId="388A881D" w14:textId="77777777" w:rsidTr="00552C1C">
        <w:trPr>
          <w:jc w:val="center"/>
        </w:trPr>
        <w:tc>
          <w:tcPr>
            <w:tcW w:w="2513" w:type="dxa"/>
            <w:tcBorders>
              <w:top w:val="single" w:sz="4" w:space="0" w:color="000000"/>
              <w:bottom w:val="nil"/>
              <w:right w:val="single" w:sz="4" w:space="0" w:color="000000"/>
            </w:tcBorders>
            <w:vAlign w:val="center"/>
          </w:tcPr>
          <w:p w14:paraId="112486CC" w14:textId="77777777" w:rsidR="00EF6DA2" w:rsidRPr="006F5043" w:rsidRDefault="00EF6DA2" w:rsidP="00EF6DA2">
            <w:pPr>
              <w:widowControl w:val="0"/>
              <w:spacing w:line="240" w:lineRule="auto"/>
              <w:ind w:firstLine="0"/>
              <w:rPr>
                <w:sz w:val="16"/>
                <w:szCs w:val="16"/>
              </w:rPr>
            </w:pPr>
          </w:p>
        </w:tc>
        <w:tc>
          <w:tcPr>
            <w:tcW w:w="875" w:type="dxa"/>
            <w:tcBorders>
              <w:top w:val="single" w:sz="4" w:space="0" w:color="000000"/>
              <w:left w:val="single" w:sz="4" w:space="0" w:color="000000"/>
              <w:bottom w:val="nil"/>
              <w:right w:val="nil"/>
            </w:tcBorders>
            <w:vAlign w:val="center"/>
          </w:tcPr>
          <w:p w14:paraId="4153EA98" w14:textId="77777777" w:rsidR="00EF6DA2" w:rsidRDefault="00EF6DA2" w:rsidP="00EF6DA2">
            <w:pPr>
              <w:widowControl w:val="0"/>
              <w:spacing w:line="240" w:lineRule="auto"/>
              <w:ind w:firstLine="0"/>
            </w:pPr>
            <w:r>
              <w:rPr>
                <w:sz w:val="16"/>
                <w:szCs w:val="16"/>
              </w:rPr>
              <w:t>(1)</w:t>
            </w:r>
          </w:p>
        </w:tc>
        <w:tc>
          <w:tcPr>
            <w:tcW w:w="875" w:type="dxa"/>
            <w:tcBorders>
              <w:top w:val="single" w:sz="4" w:space="0" w:color="000000"/>
              <w:left w:val="nil"/>
              <w:bottom w:val="nil"/>
              <w:right w:val="nil"/>
            </w:tcBorders>
            <w:vAlign w:val="center"/>
          </w:tcPr>
          <w:p w14:paraId="4B5BA2AF" w14:textId="77777777" w:rsidR="00EF6DA2" w:rsidRDefault="00EF6DA2" w:rsidP="00EF6DA2">
            <w:pPr>
              <w:widowControl w:val="0"/>
              <w:spacing w:line="240" w:lineRule="auto"/>
              <w:ind w:firstLine="0"/>
            </w:pPr>
            <w:r>
              <w:rPr>
                <w:sz w:val="16"/>
                <w:szCs w:val="16"/>
              </w:rPr>
              <w:t>(2)</w:t>
            </w:r>
          </w:p>
        </w:tc>
        <w:tc>
          <w:tcPr>
            <w:tcW w:w="875" w:type="dxa"/>
            <w:tcBorders>
              <w:top w:val="single" w:sz="4" w:space="0" w:color="000000"/>
              <w:left w:val="nil"/>
              <w:bottom w:val="nil"/>
              <w:right w:val="nil"/>
            </w:tcBorders>
            <w:vAlign w:val="center"/>
          </w:tcPr>
          <w:p w14:paraId="157CE8C5" w14:textId="77777777" w:rsidR="00EF6DA2" w:rsidRDefault="00EF6DA2" w:rsidP="00EF6DA2">
            <w:pPr>
              <w:widowControl w:val="0"/>
              <w:spacing w:line="240" w:lineRule="auto"/>
              <w:ind w:firstLine="0"/>
            </w:pPr>
            <w:r>
              <w:rPr>
                <w:sz w:val="16"/>
                <w:szCs w:val="16"/>
              </w:rPr>
              <w:t>(3)</w:t>
            </w:r>
          </w:p>
        </w:tc>
        <w:tc>
          <w:tcPr>
            <w:tcW w:w="876" w:type="dxa"/>
            <w:tcBorders>
              <w:top w:val="single" w:sz="4" w:space="0" w:color="000000"/>
              <w:left w:val="nil"/>
              <w:bottom w:val="nil"/>
              <w:right w:val="single" w:sz="4" w:space="0" w:color="000000"/>
            </w:tcBorders>
            <w:vAlign w:val="center"/>
          </w:tcPr>
          <w:p w14:paraId="73FA9532" w14:textId="77777777" w:rsidR="00EF6DA2" w:rsidRDefault="00EF6DA2" w:rsidP="00EF6DA2">
            <w:pPr>
              <w:widowControl w:val="0"/>
              <w:spacing w:line="240" w:lineRule="auto"/>
              <w:ind w:firstLine="0"/>
            </w:pPr>
            <w:r>
              <w:rPr>
                <w:sz w:val="16"/>
                <w:szCs w:val="16"/>
              </w:rPr>
              <w:t>(4)</w:t>
            </w:r>
          </w:p>
        </w:tc>
        <w:tc>
          <w:tcPr>
            <w:tcW w:w="875" w:type="dxa"/>
            <w:tcBorders>
              <w:top w:val="single" w:sz="4" w:space="0" w:color="000000"/>
              <w:left w:val="single" w:sz="4" w:space="0" w:color="000000"/>
              <w:bottom w:val="nil"/>
              <w:right w:val="nil"/>
            </w:tcBorders>
            <w:vAlign w:val="center"/>
          </w:tcPr>
          <w:p w14:paraId="6F3A91E0" w14:textId="77777777" w:rsidR="00EF6DA2" w:rsidRDefault="00EF6DA2" w:rsidP="00EF6DA2">
            <w:pPr>
              <w:widowControl w:val="0"/>
              <w:spacing w:line="240" w:lineRule="auto"/>
              <w:ind w:firstLine="0"/>
            </w:pPr>
            <w:r>
              <w:rPr>
                <w:sz w:val="16"/>
                <w:szCs w:val="16"/>
              </w:rPr>
              <w:t>(5)</w:t>
            </w:r>
          </w:p>
        </w:tc>
        <w:tc>
          <w:tcPr>
            <w:tcW w:w="875" w:type="dxa"/>
            <w:tcBorders>
              <w:top w:val="single" w:sz="4" w:space="0" w:color="000000"/>
              <w:left w:val="nil"/>
              <w:bottom w:val="nil"/>
              <w:right w:val="nil"/>
            </w:tcBorders>
            <w:vAlign w:val="center"/>
          </w:tcPr>
          <w:p w14:paraId="34FB422D" w14:textId="77777777" w:rsidR="00EF6DA2" w:rsidRDefault="00EF6DA2" w:rsidP="00EF6DA2">
            <w:pPr>
              <w:widowControl w:val="0"/>
              <w:spacing w:line="240" w:lineRule="auto"/>
              <w:ind w:firstLine="0"/>
            </w:pPr>
            <w:r>
              <w:rPr>
                <w:sz w:val="16"/>
                <w:szCs w:val="16"/>
              </w:rPr>
              <w:t>(6)</w:t>
            </w:r>
          </w:p>
        </w:tc>
        <w:tc>
          <w:tcPr>
            <w:tcW w:w="875" w:type="dxa"/>
            <w:tcBorders>
              <w:top w:val="single" w:sz="4" w:space="0" w:color="000000"/>
              <w:left w:val="nil"/>
              <w:bottom w:val="nil"/>
              <w:right w:val="nil"/>
            </w:tcBorders>
            <w:vAlign w:val="center"/>
          </w:tcPr>
          <w:p w14:paraId="26267F4F" w14:textId="77777777" w:rsidR="00EF6DA2" w:rsidRDefault="00EF6DA2" w:rsidP="00EF6DA2">
            <w:pPr>
              <w:widowControl w:val="0"/>
              <w:spacing w:line="240" w:lineRule="auto"/>
              <w:ind w:firstLine="0"/>
            </w:pPr>
            <w:r>
              <w:rPr>
                <w:sz w:val="16"/>
                <w:szCs w:val="16"/>
              </w:rPr>
              <w:t>(7)</w:t>
            </w:r>
          </w:p>
        </w:tc>
        <w:tc>
          <w:tcPr>
            <w:tcW w:w="876" w:type="dxa"/>
            <w:tcBorders>
              <w:top w:val="single" w:sz="4" w:space="0" w:color="000000"/>
              <w:left w:val="nil"/>
              <w:bottom w:val="nil"/>
            </w:tcBorders>
            <w:vAlign w:val="center"/>
          </w:tcPr>
          <w:p w14:paraId="2DEEADB3" w14:textId="77777777" w:rsidR="00EF6DA2" w:rsidRDefault="00EF6DA2" w:rsidP="00EF6DA2">
            <w:pPr>
              <w:widowControl w:val="0"/>
              <w:spacing w:line="240" w:lineRule="auto"/>
              <w:ind w:firstLine="0"/>
            </w:pPr>
            <w:r>
              <w:rPr>
                <w:sz w:val="16"/>
                <w:szCs w:val="16"/>
              </w:rPr>
              <w:t>(8)</w:t>
            </w:r>
          </w:p>
        </w:tc>
      </w:tr>
      <w:tr w:rsidR="00EF6DA2" w14:paraId="505A5B13" w14:textId="77777777" w:rsidTr="00552C1C">
        <w:trPr>
          <w:jc w:val="center"/>
        </w:trPr>
        <w:tc>
          <w:tcPr>
            <w:tcW w:w="2513" w:type="dxa"/>
            <w:tcBorders>
              <w:top w:val="single" w:sz="4" w:space="0" w:color="000000"/>
              <w:bottom w:val="nil"/>
              <w:right w:val="single" w:sz="4" w:space="0" w:color="000000"/>
            </w:tcBorders>
          </w:tcPr>
          <w:p w14:paraId="3594A371" w14:textId="77777777" w:rsidR="00EF6DA2" w:rsidRPr="006F5043" w:rsidRDefault="00EF6DA2" w:rsidP="00EF6DA2">
            <w:pPr>
              <w:widowControl w:val="0"/>
              <w:spacing w:line="240" w:lineRule="auto"/>
              <w:ind w:firstLine="0"/>
              <w:jc w:val="left"/>
              <w:rPr>
                <w:sz w:val="16"/>
                <w:szCs w:val="16"/>
              </w:rPr>
            </w:pPr>
          </w:p>
        </w:tc>
        <w:tc>
          <w:tcPr>
            <w:tcW w:w="875" w:type="dxa"/>
            <w:tcBorders>
              <w:top w:val="single" w:sz="4" w:space="0" w:color="000000"/>
              <w:left w:val="single" w:sz="4" w:space="0" w:color="000000"/>
              <w:bottom w:val="nil"/>
              <w:right w:val="nil"/>
            </w:tcBorders>
          </w:tcPr>
          <w:p w14:paraId="224EF6E7" w14:textId="77777777" w:rsidR="00EF6DA2" w:rsidRDefault="00EF6DA2" w:rsidP="00EF6DA2">
            <w:pPr>
              <w:widowControl w:val="0"/>
              <w:spacing w:line="240" w:lineRule="auto"/>
              <w:ind w:firstLine="0"/>
            </w:pPr>
          </w:p>
        </w:tc>
        <w:tc>
          <w:tcPr>
            <w:tcW w:w="875" w:type="dxa"/>
            <w:tcBorders>
              <w:top w:val="single" w:sz="4" w:space="0" w:color="000000"/>
              <w:left w:val="nil"/>
              <w:bottom w:val="nil"/>
              <w:right w:val="nil"/>
            </w:tcBorders>
          </w:tcPr>
          <w:p w14:paraId="4A62AF05" w14:textId="77777777" w:rsidR="00EF6DA2" w:rsidRDefault="00EF6DA2" w:rsidP="00EF6DA2">
            <w:pPr>
              <w:widowControl w:val="0"/>
              <w:spacing w:line="240" w:lineRule="auto"/>
              <w:ind w:firstLine="0"/>
            </w:pPr>
          </w:p>
        </w:tc>
        <w:tc>
          <w:tcPr>
            <w:tcW w:w="875" w:type="dxa"/>
            <w:tcBorders>
              <w:top w:val="single" w:sz="4" w:space="0" w:color="000000"/>
              <w:left w:val="nil"/>
              <w:bottom w:val="nil"/>
              <w:right w:val="nil"/>
            </w:tcBorders>
          </w:tcPr>
          <w:p w14:paraId="46E12803" w14:textId="77777777" w:rsidR="00EF6DA2" w:rsidRDefault="00EF6DA2" w:rsidP="00EF6DA2">
            <w:pPr>
              <w:widowControl w:val="0"/>
              <w:spacing w:line="240" w:lineRule="auto"/>
              <w:ind w:firstLine="0"/>
            </w:pPr>
          </w:p>
        </w:tc>
        <w:tc>
          <w:tcPr>
            <w:tcW w:w="876" w:type="dxa"/>
            <w:tcBorders>
              <w:top w:val="single" w:sz="4" w:space="0" w:color="000000"/>
              <w:left w:val="nil"/>
              <w:bottom w:val="nil"/>
              <w:right w:val="single" w:sz="4" w:space="0" w:color="000000"/>
            </w:tcBorders>
          </w:tcPr>
          <w:p w14:paraId="46C8C2B9" w14:textId="77777777" w:rsidR="00EF6DA2" w:rsidRDefault="00EF6DA2" w:rsidP="00EF6DA2">
            <w:pPr>
              <w:widowControl w:val="0"/>
              <w:spacing w:line="240" w:lineRule="auto"/>
              <w:ind w:firstLine="0"/>
            </w:pPr>
          </w:p>
        </w:tc>
        <w:tc>
          <w:tcPr>
            <w:tcW w:w="875" w:type="dxa"/>
            <w:tcBorders>
              <w:top w:val="single" w:sz="4" w:space="0" w:color="000000"/>
              <w:left w:val="single" w:sz="4" w:space="0" w:color="000000"/>
              <w:bottom w:val="nil"/>
              <w:right w:val="nil"/>
            </w:tcBorders>
          </w:tcPr>
          <w:p w14:paraId="1EE2FF90" w14:textId="77777777" w:rsidR="00EF6DA2" w:rsidRDefault="00EF6DA2" w:rsidP="00EF6DA2">
            <w:pPr>
              <w:widowControl w:val="0"/>
              <w:spacing w:line="240" w:lineRule="auto"/>
              <w:ind w:firstLine="0"/>
            </w:pPr>
          </w:p>
        </w:tc>
        <w:tc>
          <w:tcPr>
            <w:tcW w:w="875" w:type="dxa"/>
            <w:tcBorders>
              <w:top w:val="single" w:sz="4" w:space="0" w:color="000000"/>
              <w:left w:val="nil"/>
              <w:bottom w:val="nil"/>
              <w:right w:val="nil"/>
            </w:tcBorders>
          </w:tcPr>
          <w:p w14:paraId="0572EE50" w14:textId="77777777" w:rsidR="00EF6DA2" w:rsidRDefault="00EF6DA2" w:rsidP="00EF6DA2">
            <w:pPr>
              <w:widowControl w:val="0"/>
              <w:spacing w:line="240" w:lineRule="auto"/>
              <w:ind w:firstLine="0"/>
            </w:pPr>
          </w:p>
        </w:tc>
        <w:tc>
          <w:tcPr>
            <w:tcW w:w="875" w:type="dxa"/>
            <w:tcBorders>
              <w:top w:val="single" w:sz="4" w:space="0" w:color="000000"/>
              <w:left w:val="nil"/>
              <w:bottom w:val="nil"/>
              <w:right w:val="nil"/>
            </w:tcBorders>
          </w:tcPr>
          <w:p w14:paraId="252D32FA" w14:textId="77777777" w:rsidR="00EF6DA2" w:rsidRDefault="00EF6DA2" w:rsidP="00EF6DA2">
            <w:pPr>
              <w:widowControl w:val="0"/>
              <w:spacing w:line="240" w:lineRule="auto"/>
              <w:ind w:firstLine="0"/>
            </w:pPr>
          </w:p>
        </w:tc>
        <w:tc>
          <w:tcPr>
            <w:tcW w:w="876" w:type="dxa"/>
            <w:tcBorders>
              <w:top w:val="single" w:sz="4" w:space="0" w:color="000000"/>
              <w:left w:val="nil"/>
              <w:bottom w:val="nil"/>
            </w:tcBorders>
          </w:tcPr>
          <w:p w14:paraId="52097856" w14:textId="77777777" w:rsidR="00EF6DA2" w:rsidRDefault="00EF6DA2" w:rsidP="00EF6DA2">
            <w:pPr>
              <w:widowControl w:val="0"/>
              <w:spacing w:line="240" w:lineRule="auto"/>
              <w:ind w:firstLine="0"/>
            </w:pPr>
          </w:p>
        </w:tc>
      </w:tr>
      <w:tr w:rsidR="00EF6DA2" w14:paraId="57F6F017" w14:textId="77777777" w:rsidTr="00552C1C">
        <w:trPr>
          <w:trHeight w:hRule="exact" w:val="227"/>
          <w:jc w:val="center"/>
        </w:trPr>
        <w:tc>
          <w:tcPr>
            <w:tcW w:w="2513" w:type="dxa"/>
            <w:tcBorders>
              <w:top w:val="nil"/>
              <w:bottom w:val="nil"/>
              <w:right w:val="single" w:sz="4" w:space="0" w:color="000000"/>
            </w:tcBorders>
          </w:tcPr>
          <w:p w14:paraId="3564CDF5" w14:textId="12197BA4" w:rsidR="00EF6DA2" w:rsidRPr="006E76D3" w:rsidRDefault="00CA291E" w:rsidP="00EF6DA2">
            <w:pPr>
              <w:widowControl w:val="0"/>
              <w:spacing w:line="240" w:lineRule="auto"/>
              <w:ind w:firstLine="0"/>
              <w:jc w:val="left"/>
              <w:rPr>
                <w:sz w:val="18"/>
                <w:szCs w:val="16"/>
              </w:rPr>
            </w:pPr>
            <w:r>
              <w:rPr>
                <w:b/>
                <w:sz w:val="18"/>
                <w:szCs w:val="16"/>
              </w:rPr>
              <w:t>Willing</w:t>
            </w:r>
            <w:r w:rsidR="00EF6DA2" w:rsidRPr="006E76D3">
              <w:rPr>
                <w:b/>
                <w:sz w:val="18"/>
                <w:szCs w:val="16"/>
              </w:rPr>
              <w:t xml:space="preserve"> to move to the EU</w:t>
            </w:r>
          </w:p>
        </w:tc>
        <w:tc>
          <w:tcPr>
            <w:tcW w:w="875" w:type="dxa"/>
            <w:tcBorders>
              <w:top w:val="nil"/>
              <w:left w:val="single" w:sz="4" w:space="0" w:color="000000"/>
              <w:bottom w:val="nil"/>
              <w:right w:val="nil"/>
            </w:tcBorders>
          </w:tcPr>
          <w:p w14:paraId="773DF29D" w14:textId="77777777" w:rsidR="00EF6DA2" w:rsidRPr="006E76D3" w:rsidRDefault="00EF6DA2" w:rsidP="00EF6DA2">
            <w:pPr>
              <w:widowControl w:val="0"/>
              <w:spacing w:line="240" w:lineRule="auto"/>
              <w:ind w:firstLine="0"/>
              <w:rPr>
                <w:sz w:val="18"/>
              </w:rPr>
            </w:pPr>
            <w:r w:rsidRPr="006E76D3">
              <w:rPr>
                <w:sz w:val="18"/>
                <w:szCs w:val="16"/>
              </w:rPr>
              <w:t>0.025***</w:t>
            </w:r>
          </w:p>
        </w:tc>
        <w:tc>
          <w:tcPr>
            <w:tcW w:w="875" w:type="dxa"/>
            <w:tcBorders>
              <w:top w:val="nil"/>
              <w:left w:val="nil"/>
              <w:bottom w:val="nil"/>
              <w:right w:val="nil"/>
            </w:tcBorders>
          </w:tcPr>
          <w:p w14:paraId="1E915D3C"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49B2855D" w14:textId="77777777" w:rsidR="00EF6DA2" w:rsidRPr="006E76D3" w:rsidRDefault="00EF6DA2" w:rsidP="00EF6DA2">
            <w:pPr>
              <w:widowControl w:val="0"/>
              <w:spacing w:line="240" w:lineRule="auto"/>
              <w:ind w:firstLine="0"/>
              <w:rPr>
                <w:sz w:val="18"/>
              </w:rPr>
            </w:pPr>
            <w:r w:rsidRPr="006E76D3">
              <w:rPr>
                <w:sz w:val="18"/>
                <w:szCs w:val="16"/>
              </w:rPr>
              <w:t>-</w:t>
            </w:r>
          </w:p>
        </w:tc>
        <w:tc>
          <w:tcPr>
            <w:tcW w:w="876" w:type="dxa"/>
            <w:tcBorders>
              <w:top w:val="nil"/>
              <w:left w:val="nil"/>
              <w:bottom w:val="nil"/>
              <w:right w:val="single" w:sz="4" w:space="0" w:color="000000"/>
            </w:tcBorders>
          </w:tcPr>
          <w:p w14:paraId="60B30DF6" w14:textId="77777777" w:rsidR="00EF6DA2" w:rsidRPr="006E76D3" w:rsidRDefault="00EF6DA2" w:rsidP="00EF6DA2">
            <w:pPr>
              <w:widowControl w:val="0"/>
              <w:spacing w:line="240" w:lineRule="auto"/>
              <w:ind w:firstLine="0"/>
              <w:rPr>
                <w:sz w:val="18"/>
              </w:rPr>
            </w:pPr>
            <w:r w:rsidRPr="006E76D3">
              <w:rPr>
                <w:sz w:val="18"/>
                <w:szCs w:val="16"/>
              </w:rPr>
              <w:t>0.021**</w:t>
            </w:r>
          </w:p>
        </w:tc>
        <w:tc>
          <w:tcPr>
            <w:tcW w:w="875" w:type="dxa"/>
            <w:tcBorders>
              <w:top w:val="nil"/>
              <w:left w:val="single" w:sz="4" w:space="0" w:color="000000"/>
              <w:bottom w:val="nil"/>
              <w:right w:val="nil"/>
            </w:tcBorders>
          </w:tcPr>
          <w:p w14:paraId="502B73A7" w14:textId="77777777" w:rsidR="00EF6DA2" w:rsidRPr="006E76D3" w:rsidRDefault="00EF6DA2" w:rsidP="00EF6DA2">
            <w:pPr>
              <w:widowControl w:val="0"/>
              <w:spacing w:line="240" w:lineRule="auto"/>
              <w:ind w:firstLine="0"/>
              <w:rPr>
                <w:sz w:val="18"/>
              </w:rPr>
            </w:pPr>
            <w:r w:rsidRPr="006E76D3">
              <w:rPr>
                <w:sz w:val="18"/>
                <w:szCs w:val="16"/>
              </w:rPr>
              <w:t>0.067</w:t>
            </w:r>
          </w:p>
        </w:tc>
        <w:tc>
          <w:tcPr>
            <w:tcW w:w="875" w:type="dxa"/>
            <w:tcBorders>
              <w:top w:val="nil"/>
              <w:left w:val="nil"/>
              <w:bottom w:val="nil"/>
              <w:right w:val="nil"/>
            </w:tcBorders>
          </w:tcPr>
          <w:p w14:paraId="2E00ACFA"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6AF8CE75" w14:textId="77777777" w:rsidR="00EF6DA2" w:rsidRPr="006E76D3" w:rsidRDefault="00EF6DA2" w:rsidP="00EF6DA2">
            <w:pPr>
              <w:widowControl w:val="0"/>
              <w:spacing w:line="240" w:lineRule="auto"/>
              <w:ind w:firstLine="0"/>
              <w:rPr>
                <w:sz w:val="18"/>
              </w:rPr>
            </w:pPr>
            <w:r w:rsidRPr="006E76D3">
              <w:rPr>
                <w:sz w:val="18"/>
                <w:szCs w:val="16"/>
              </w:rPr>
              <w:t>-</w:t>
            </w:r>
          </w:p>
        </w:tc>
        <w:tc>
          <w:tcPr>
            <w:tcW w:w="876" w:type="dxa"/>
            <w:tcBorders>
              <w:top w:val="nil"/>
              <w:left w:val="nil"/>
              <w:bottom w:val="nil"/>
            </w:tcBorders>
          </w:tcPr>
          <w:p w14:paraId="66153DF6" w14:textId="77777777" w:rsidR="00EF6DA2" w:rsidRPr="006E76D3" w:rsidRDefault="00EF6DA2" w:rsidP="00EF6DA2">
            <w:pPr>
              <w:widowControl w:val="0"/>
              <w:spacing w:line="240" w:lineRule="auto"/>
              <w:ind w:firstLine="0"/>
              <w:rPr>
                <w:sz w:val="18"/>
              </w:rPr>
            </w:pPr>
            <w:r w:rsidRPr="006E76D3">
              <w:rPr>
                <w:sz w:val="18"/>
                <w:szCs w:val="16"/>
              </w:rPr>
              <w:t>0.051</w:t>
            </w:r>
          </w:p>
        </w:tc>
      </w:tr>
      <w:tr w:rsidR="00EF6DA2" w14:paraId="7764D18B" w14:textId="77777777" w:rsidTr="00552C1C">
        <w:trPr>
          <w:trHeight w:hRule="exact" w:val="227"/>
          <w:jc w:val="center"/>
        </w:trPr>
        <w:tc>
          <w:tcPr>
            <w:tcW w:w="2513" w:type="dxa"/>
            <w:tcBorders>
              <w:top w:val="nil"/>
              <w:bottom w:val="nil"/>
              <w:right w:val="single" w:sz="4" w:space="0" w:color="000000"/>
            </w:tcBorders>
          </w:tcPr>
          <w:p w14:paraId="37658782" w14:textId="77777777" w:rsidR="00EF6DA2" w:rsidRPr="006E76D3" w:rsidRDefault="00EF6DA2" w:rsidP="00EF6DA2">
            <w:pPr>
              <w:widowControl w:val="0"/>
              <w:spacing w:line="240" w:lineRule="auto"/>
              <w:ind w:firstLine="0"/>
              <w:jc w:val="left"/>
              <w:rPr>
                <w:sz w:val="18"/>
                <w:szCs w:val="16"/>
              </w:rPr>
            </w:pPr>
            <w:r w:rsidRPr="006E76D3">
              <w:rPr>
                <w:b/>
                <w:sz w:val="18"/>
                <w:szCs w:val="16"/>
              </w:rPr>
              <w:t>Relatives in the EU</w:t>
            </w:r>
          </w:p>
        </w:tc>
        <w:tc>
          <w:tcPr>
            <w:tcW w:w="875" w:type="dxa"/>
            <w:tcBorders>
              <w:top w:val="nil"/>
              <w:left w:val="single" w:sz="4" w:space="0" w:color="000000"/>
              <w:bottom w:val="nil"/>
              <w:right w:val="nil"/>
            </w:tcBorders>
          </w:tcPr>
          <w:p w14:paraId="4D0C684F"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700A6F9F" w14:textId="77777777" w:rsidR="00EF6DA2" w:rsidRPr="006E76D3" w:rsidRDefault="00EF6DA2" w:rsidP="00EF6DA2">
            <w:pPr>
              <w:widowControl w:val="0"/>
              <w:spacing w:line="240" w:lineRule="auto"/>
              <w:ind w:firstLine="0"/>
              <w:rPr>
                <w:sz w:val="18"/>
              </w:rPr>
            </w:pPr>
            <w:r w:rsidRPr="006E76D3">
              <w:rPr>
                <w:sz w:val="18"/>
                <w:szCs w:val="16"/>
              </w:rPr>
              <w:t>0.021***</w:t>
            </w:r>
          </w:p>
        </w:tc>
        <w:tc>
          <w:tcPr>
            <w:tcW w:w="875" w:type="dxa"/>
            <w:tcBorders>
              <w:top w:val="nil"/>
              <w:left w:val="nil"/>
              <w:bottom w:val="nil"/>
              <w:right w:val="nil"/>
            </w:tcBorders>
          </w:tcPr>
          <w:p w14:paraId="5B690731" w14:textId="77777777" w:rsidR="00EF6DA2" w:rsidRPr="006E76D3" w:rsidRDefault="00EF6DA2" w:rsidP="00EF6DA2">
            <w:pPr>
              <w:widowControl w:val="0"/>
              <w:spacing w:line="240" w:lineRule="auto"/>
              <w:ind w:firstLine="0"/>
              <w:rPr>
                <w:sz w:val="18"/>
              </w:rPr>
            </w:pPr>
            <w:r w:rsidRPr="006E76D3">
              <w:rPr>
                <w:sz w:val="18"/>
                <w:szCs w:val="16"/>
              </w:rPr>
              <w:t>-</w:t>
            </w:r>
          </w:p>
        </w:tc>
        <w:tc>
          <w:tcPr>
            <w:tcW w:w="876" w:type="dxa"/>
            <w:tcBorders>
              <w:top w:val="nil"/>
              <w:left w:val="nil"/>
              <w:bottom w:val="nil"/>
              <w:right w:val="single" w:sz="4" w:space="0" w:color="000000"/>
            </w:tcBorders>
          </w:tcPr>
          <w:p w14:paraId="6745DA4F" w14:textId="77777777" w:rsidR="00EF6DA2" w:rsidRPr="006E76D3" w:rsidRDefault="00EF6DA2" w:rsidP="00EF6DA2">
            <w:pPr>
              <w:widowControl w:val="0"/>
              <w:spacing w:line="240" w:lineRule="auto"/>
              <w:ind w:firstLine="0"/>
              <w:rPr>
                <w:sz w:val="18"/>
              </w:rPr>
            </w:pPr>
            <w:r w:rsidRPr="006E76D3">
              <w:rPr>
                <w:sz w:val="18"/>
                <w:szCs w:val="16"/>
              </w:rPr>
              <w:t>0.018***</w:t>
            </w:r>
          </w:p>
        </w:tc>
        <w:tc>
          <w:tcPr>
            <w:tcW w:w="875" w:type="dxa"/>
            <w:tcBorders>
              <w:top w:val="nil"/>
              <w:left w:val="single" w:sz="4" w:space="0" w:color="000000"/>
              <w:bottom w:val="nil"/>
              <w:right w:val="nil"/>
            </w:tcBorders>
          </w:tcPr>
          <w:p w14:paraId="7DD4FE09"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6F228A57" w14:textId="77777777" w:rsidR="00EF6DA2" w:rsidRPr="006E76D3" w:rsidRDefault="00EF6DA2" w:rsidP="00EF6DA2">
            <w:pPr>
              <w:widowControl w:val="0"/>
              <w:spacing w:line="240" w:lineRule="auto"/>
              <w:ind w:firstLine="0"/>
              <w:rPr>
                <w:sz w:val="18"/>
              </w:rPr>
            </w:pPr>
            <w:r w:rsidRPr="006E76D3">
              <w:rPr>
                <w:sz w:val="18"/>
                <w:szCs w:val="16"/>
              </w:rPr>
              <w:t>0.079**</w:t>
            </w:r>
          </w:p>
        </w:tc>
        <w:tc>
          <w:tcPr>
            <w:tcW w:w="875" w:type="dxa"/>
            <w:tcBorders>
              <w:top w:val="nil"/>
              <w:left w:val="nil"/>
              <w:bottom w:val="nil"/>
              <w:right w:val="nil"/>
            </w:tcBorders>
          </w:tcPr>
          <w:p w14:paraId="1B221B2D" w14:textId="77777777" w:rsidR="00EF6DA2" w:rsidRPr="006E76D3" w:rsidRDefault="00EF6DA2" w:rsidP="00EF6DA2">
            <w:pPr>
              <w:widowControl w:val="0"/>
              <w:spacing w:line="240" w:lineRule="auto"/>
              <w:ind w:firstLine="0"/>
              <w:rPr>
                <w:sz w:val="18"/>
              </w:rPr>
            </w:pPr>
            <w:r w:rsidRPr="006E76D3">
              <w:rPr>
                <w:sz w:val="18"/>
                <w:szCs w:val="16"/>
              </w:rPr>
              <w:t>-</w:t>
            </w:r>
          </w:p>
        </w:tc>
        <w:tc>
          <w:tcPr>
            <w:tcW w:w="876" w:type="dxa"/>
            <w:tcBorders>
              <w:top w:val="nil"/>
              <w:left w:val="nil"/>
              <w:bottom w:val="nil"/>
            </w:tcBorders>
          </w:tcPr>
          <w:p w14:paraId="067952A9" w14:textId="77777777" w:rsidR="00EF6DA2" w:rsidRPr="006E76D3" w:rsidRDefault="00EF6DA2" w:rsidP="00EF6DA2">
            <w:pPr>
              <w:widowControl w:val="0"/>
              <w:spacing w:line="240" w:lineRule="auto"/>
              <w:ind w:firstLine="0"/>
              <w:rPr>
                <w:sz w:val="18"/>
              </w:rPr>
            </w:pPr>
            <w:r w:rsidRPr="006E76D3">
              <w:rPr>
                <w:sz w:val="18"/>
                <w:szCs w:val="16"/>
              </w:rPr>
              <w:t>0.070**</w:t>
            </w:r>
          </w:p>
        </w:tc>
      </w:tr>
      <w:tr w:rsidR="00EF6DA2" w14:paraId="77545382" w14:textId="77777777" w:rsidTr="00552C1C">
        <w:trPr>
          <w:trHeight w:hRule="exact" w:val="227"/>
          <w:jc w:val="center"/>
        </w:trPr>
        <w:tc>
          <w:tcPr>
            <w:tcW w:w="2513" w:type="dxa"/>
            <w:tcBorders>
              <w:top w:val="nil"/>
              <w:bottom w:val="nil"/>
              <w:right w:val="single" w:sz="4" w:space="0" w:color="000000"/>
            </w:tcBorders>
          </w:tcPr>
          <w:p w14:paraId="71C7AB84" w14:textId="77777777" w:rsidR="00EF6DA2" w:rsidRPr="006E76D3" w:rsidRDefault="00EF6DA2" w:rsidP="00EF6DA2">
            <w:pPr>
              <w:widowControl w:val="0"/>
              <w:spacing w:line="240" w:lineRule="auto"/>
              <w:ind w:firstLine="0"/>
              <w:jc w:val="left"/>
              <w:rPr>
                <w:sz w:val="18"/>
                <w:szCs w:val="16"/>
              </w:rPr>
            </w:pPr>
            <w:r w:rsidRPr="006E76D3">
              <w:rPr>
                <w:b/>
                <w:sz w:val="18"/>
                <w:szCs w:val="16"/>
              </w:rPr>
              <w:t>EU return migrant</w:t>
            </w:r>
          </w:p>
        </w:tc>
        <w:tc>
          <w:tcPr>
            <w:tcW w:w="875" w:type="dxa"/>
            <w:tcBorders>
              <w:top w:val="nil"/>
              <w:left w:val="single" w:sz="4" w:space="0" w:color="000000"/>
              <w:bottom w:val="nil"/>
              <w:right w:val="nil"/>
            </w:tcBorders>
          </w:tcPr>
          <w:p w14:paraId="140BE80F"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27D239BA"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46FD69D7" w14:textId="77777777" w:rsidR="00EF6DA2" w:rsidRPr="006E76D3" w:rsidRDefault="00EF6DA2" w:rsidP="00EF6DA2">
            <w:pPr>
              <w:widowControl w:val="0"/>
              <w:spacing w:line="240" w:lineRule="auto"/>
              <w:ind w:firstLine="0"/>
              <w:rPr>
                <w:sz w:val="18"/>
              </w:rPr>
            </w:pPr>
            <w:r w:rsidRPr="006E76D3">
              <w:rPr>
                <w:sz w:val="18"/>
                <w:szCs w:val="16"/>
              </w:rPr>
              <w:t>0.031***</w:t>
            </w:r>
          </w:p>
        </w:tc>
        <w:tc>
          <w:tcPr>
            <w:tcW w:w="876" w:type="dxa"/>
            <w:tcBorders>
              <w:top w:val="nil"/>
              <w:left w:val="nil"/>
              <w:bottom w:val="nil"/>
              <w:right w:val="single" w:sz="4" w:space="0" w:color="000000"/>
            </w:tcBorders>
          </w:tcPr>
          <w:p w14:paraId="02D22BB6" w14:textId="77777777" w:rsidR="00EF6DA2" w:rsidRPr="006E76D3" w:rsidRDefault="00EF6DA2" w:rsidP="00EF6DA2">
            <w:pPr>
              <w:widowControl w:val="0"/>
              <w:spacing w:line="240" w:lineRule="auto"/>
              <w:ind w:firstLine="0"/>
              <w:rPr>
                <w:sz w:val="18"/>
              </w:rPr>
            </w:pPr>
            <w:r w:rsidRPr="006E76D3">
              <w:rPr>
                <w:sz w:val="18"/>
                <w:szCs w:val="16"/>
              </w:rPr>
              <w:t>0.025**</w:t>
            </w:r>
          </w:p>
        </w:tc>
        <w:tc>
          <w:tcPr>
            <w:tcW w:w="875" w:type="dxa"/>
            <w:tcBorders>
              <w:top w:val="nil"/>
              <w:left w:val="single" w:sz="4" w:space="0" w:color="000000"/>
              <w:bottom w:val="nil"/>
              <w:right w:val="nil"/>
            </w:tcBorders>
          </w:tcPr>
          <w:p w14:paraId="53E386FC"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5ABE4F49" w14:textId="77777777" w:rsidR="00EF6DA2" w:rsidRPr="006E76D3" w:rsidRDefault="00EF6DA2" w:rsidP="00EF6DA2">
            <w:pPr>
              <w:widowControl w:val="0"/>
              <w:spacing w:line="240" w:lineRule="auto"/>
              <w:ind w:firstLine="0"/>
              <w:rPr>
                <w:sz w:val="18"/>
              </w:rPr>
            </w:pPr>
            <w:r w:rsidRPr="006E76D3">
              <w:rPr>
                <w:sz w:val="18"/>
                <w:szCs w:val="16"/>
              </w:rPr>
              <w:t>-</w:t>
            </w:r>
          </w:p>
        </w:tc>
        <w:tc>
          <w:tcPr>
            <w:tcW w:w="875" w:type="dxa"/>
            <w:tcBorders>
              <w:top w:val="nil"/>
              <w:left w:val="nil"/>
              <w:bottom w:val="nil"/>
              <w:right w:val="nil"/>
            </w:tcBorders>
          </w:tcPr>
          <w:p w14:paraId="51F476EA" w14:textId="77777777" w:rsidR="00EF6DA2" w:rsidRPr="006E76D3" w:rsidRDefault="00EF6DA2" w:rsidP="00EF6DA2">
            <w:pPr>
              <w:widowControl w:val="0"/>
              <w:spacing w:line="240" w:lineRule="auto"/>
              <w:ind w:firstLine="0"/>
              <w:rPr>
                <w:sz w:val="18"/>
              </w:rPr>
            </w:pPr>
            <w:r w:rsidRPr="006E76D3">
              <w:rPr>
                <w:sz w:val="18"/>
                <w:szCs w:val="16"/>
              </w:rPr>
              <w:t>0.097</w:t>
            </w:r>
          </w:p>
        </w:tc>
        <w:tc>
          <w:tcPr>
            <w:tcW w:w="876" w:type="dxa"/>
            <w:tcBorders>
              <w:top w:val="nil"/>
              <w:left w:val="nil"/>
              <w:bottom w:val="nil"/>
            </w:tcBorders>
          </w:tcPr>
          <w:p w14:paraId="2A82CF38" w14:textId="77777777" w:rsidR="00EF6DA2" w:rsidRPr="006E76D3" w:rsidRDefault="00EF6DA2" w:rsidP="00EF6DA2">
            <w:pPr>
              <w:widowControl w:val="0"/>
              <w:spacing w:line="240" w:lineRule="auto"/>
              <w:ind w:firstLine="0"/>
              <w:rPr>
                <w:sz w:val="18"/>
              </w:rPr>
            </w:pPr>
            <w:r w:rsidRPr="006E76D3">
              <w:rPr>
                <w:sz w:val="18"/>
                <w:szCs w:val="16"/>
              </w:rPr>
              <w:t>0.074</w:t>
            </w:r>
          </w:p>
        </w:tc>
      </w:tr>
      <w:tr w:rsidR="006E76D3" w14:paraId="1AF91E34" w14:textId="77777777" w:rsidTr="00552C1C">
        <w:trPr>
          <w:trHeight w:hRule="exact" w:val="227"/>
          <w:jc w:val="center"/>
        </w:trPr>
        <w:tc>
          <w:tcPr>
            <w:tcW w:w="2513" w:type="dxa"/>
            <w:tcBorders>
              <w:top w:val="nil"/>
              <w:bottom w:val="nil"/>
              <w:right w:val="single" w:sz="4" w:space="0" w:color="000000"/>
            </w:tcBorders>
          </w:tcPr>
          <w:p w14:paraId="79149CF5" w14:textId="77777777" w:rsidR="006E76D3" w:rsidRPr="006E76D3" w:rsidRDefault="006E76D3" w:rsidP="00EF6DA2">
            <w:pPr>
              <w:widowControl w:val="0"/>
              <w:spacing w:line="240" w:lineRule="auto"/>
              <w:ind w:firstLine="0"/>
              <w:jc w:val="left"/>
              <w:rPr>
                <w:b/>
                <w:sz w:val="18"/>
                <w:szCs w:val="16"/>
              </w:rPr>
            </w:pPr>
          </w:p>
        </w:tc>
        <w:tc>
          <w:tcPr>
            <w:tcW w:w="875" w:type="dxa"/>
            <w:tcBorders>
              <w:top w:val="nil"/>
              <w:left w:val="single" w:sz="4" w:space="0" w:color="000000"/>
              <w:bottom w:val="nil"/>
              <w:right w:val="nil"/>
            </w:tcBorders>
          </w:tcPr>
          <w:p w14:paraId="26D6513A" w14:textId="77777777" w:rsidR="006E76D3" w:rsidRPr="006E76D3" w:rsidRDefault="006E76D3" w:rsidP="00EF6DA2">
            <w:pPr>
              <w:widowControl w:val="0"/>
              <w:spacing w:line="240" w:lineRule="auto"/>
              <w:ind w:firstLine="0"/>
              <w:rPr>
                <w:sz w:val="18"/>
                <w:szCs w:val="16"/>
              </w:rPr>
            </w:pPr>
          </w:p>
        </w:tc>
        <w:tc>
          <w:tcPr>
            <w:tcW w:w="875" w:type="dxa"/>
            <w:tcBorders>
              <w:top w:val="nil"/>
              <w:left w:val="nil"/>
              <w:bottom w:val="nil"/>
              <w:right w:val="nil"/>
            </w:tcBorders>
          </w:tcPr>
          <w:p w14:paraId="06F6D90B" w14:textId="77777777" w:rsidR="006E76D3" w:rsidRPr="006E76D3" w:rsidRDefault="006E76D3" w:rsidP="00EF6DA2">
            <w:pPr>
              <w:widowControl w:val="0"/>
              <w:spacing w:line="240" w:lineRule="auto"/>
              <w:ind w:firstLine="0"/>
              <w:rPr>
                <w:sz w:val="18"/>
                <w:szCs w:val="16"/>
              </w:rPr>
            </w:pPr>
          </w:p>
        </w:tc>
        <w:tc>
          <w:tcPr>
            <w:tcW w:w="875" w:type="dxa"/>
            <w:tcBorders>
              <w:top w:val="nil"/>
              <w:left w:val="nil"/>
              <w:bottom w:val="nil"/>
              <w:right w:val="nil"/>
            </w:tcBorders>
          </w:tcPr>
          <w:p w14:paraId="46F12C99" w14:textId="77777777" w:rsidR="006E76D3" w:rsidRPr="006E76D3" w:rsidRDefault="006E76D3" w:rsidP="00EF6DA2">
            <w:pPr>
              <w:widowControl w:val="0"/>
              <w:spacing w:line="240" w:lineRule="auto"/>
              <w:ind w:firstLine="0"/>
              <w:rPr>
                <w:sz w:val="18"/>
                <w:szCs w:val="16"/>
              </w:rPr>
            </w:pPr>
          </w:p>
        </w:tc>
        <w:tc>
          <w:tcPr>
            <w:tcW w:w="876" w:type="dxa"/>
            <w:tcBorders>
              <w:top w:val="nil"/>
              <w:left w:val="nil"/>
              <w:bottom w:val="nil"/>
              <w:right w:val="single" w:sz="4" w:space="0" w:color="000000"/>
            </w:tcBorders>
          </w:tcPr>
          <w:p w14:paraId="2D48CCDD" w14:textId="77777777" w:rsidR="006E76D3" w:rsidRPr="006E76D3" w:rsidRDefault="006E76D3" w:rsidP="00EF6DA2">
            <w:pPr>
              <w:widowControl w:val="0"/>
              <w:spacing w:line="240" w:lineRule="auto"/>
              <w:ind w:firstLine="0"/>
              <w:rPr>
                <w:sz w:val="18"/>
                <w:szCs w:val="16"/>
              </w:rPr>
            </w:pPr>
          </w:p>
        </w:tc>
        <w:tc>
          <w:tcPr>
            <w:tcW w:w="875" w:type="dxa"/>
            <w:tcBorders>
              <w:top w:val="nil"/>
              <w:left w:val="single" w:sz="4" w:space="0" w:color="000000"/>
              <w:bottom w:val="nil"/>
              <w:right w:val="nil"/>
            </w:tcBorders>
          </w:tcPr>
          <w:p w14:paraId="5CE8079C" w14:textId="77777777" w:rsidR="006E76D3" w:rsidRPr="006E76D3" w:rsidRDefault="006E76D3" w:rsidP="00EF6DA2">
            <w:pPr>
              <w:widowControl w:val="0"/>
              <w:spacing w:line="240" w:lineRule="auto"/>
              <w:ind w:firstLine="0"/>
              <w:rPr>
                <w:sz w:val="18"/>
                <w:szCs w:val="16"/>
              </w:rPr>
            </w:pPr>
          </w:p>
        </w:tc>
        <w:tc>
          <w:tcPr>
            <w:tcW w:w="875" w:type="dxa"/>
            <w:tcBorders>
              <w:top w:val="nil"/>
              <w:left w:val="nil"/>
              <w:bottom w:val="nil"/>
              <w:right w:val="nil"/>
            </w:tcBorders>
          </w:tcPr>
          <w:p w14:paraId="4C78D6E5" w14:textId="77777777" w:rsidR="006E76D3" w:rsidRPr="006E76D3" w:rsidRDefault="006E76D3" w:rsidP="00EF6DA2">
            <w:pPr>
              <w:widowControl w:val="0"/>
              <w:spacing w:line="240" w:lineRule="auto"/>
              <w:ind w:firstLine="0"/>
              <w:rPr>
                <w:sz w:val="18"/>
                <w:szCs w:val="16"/>
              </w:rPr>
            </w:pPr>
          </w:p>
        </w:tc>
        <w:tc>
          <w:tcPr>
            <w:tcW w:w="875" w:type="dxa"/>
            <w:tcBorders>
              <w:top w:val="nil"/>
              <w:left w:val="nil"/>
              <w:bottom w:val="nil"/>
              <w:right w:val="nil"/>
            </w:tcBorders>
          </w:tcPr>
          <w:p w14:paraId="52D8E642" w14:textId="77777777" w:rsidR="006E76D3" w:rsidRPr="006E76D3" w:rsidRDefault="006E76D3" w:rsidP="00EF6DA2">
            <w:pPr>
              <w:widowControl w:val="0"/>
              <w:spacing w:line="240" w:lineRule="auto"/>
              <w:ind w:firstLine="0"/>
              <w:rPr>
                <w:sz w:val="18"/>
                <w:szCs w:val="16"/>
              </w:rPr>
            </w:pPr>
          </w:p>
        </w:tc>
        <w:tc>
          <w:tcPr>
            <w:tcW w:w="876" w:type="dxa"/>
            <w:tcBorders>
              <w:top w:val="nil"/>
              <w:left w:val="nil"/>
              <w:bottom w:val="nil"/>
            </w:tcBorders>
          </w:tcPr>
          <w:p w14:paraId="66064E5C" w14:textId="77777777" w:rsidR="006E76D3" w:rsidRPr="006E76D3" w:rsidRDefault="006E76D3" w:rsidP="00EF6DA2">
            <w:pPr>
              <w:widowControl w:val="0"/>
              <w:spacing w:line="240" w:lineRule="auto"/>
              <w:ind w:firstLine="0"/>
              <w:rPr>
                <w:sz w:val="18"/>
                <w:szCs w:val="16"/>
              </w:rPr>
            </w:pPr>
          </w:p>
        </w:tc>
      </w:tr>
      <w:tr w:rsidR="006E76D3" w14:paraId="7BA81C47" w14:textId="77777777" w:rsidTr="00802CF6">
        <w:trPr>
          <w:trHeight w:hRule="exact" w:val="227"/>
          <w:jc w:val="center"/>
        </w:trPr>
        <w:tc>
          <w:tcPr>
            <w:tcW w:w="2513" w:type="dxa"/>
            <w:tcBorders>
              <w:top w:val="nil"/>
              <w:bottom w:val="nil"/>
              <w:right w:val="single" w:sz="4" w:space="0" w:color="000000"/>
            </w:tcBorders>
            <w:vAlign w:val="center"/>
          </w:tcPr>
          <w:p w14:paraId="62087141" w14:textId="77777777" w:rsidR="006E76D3" w:rsidRPr="006E76D3" w:rsidRDefault="006E76D3" w:rsidP="006E76D3">
            <w:pPr>
              <w:spacing w:line="240" w:lineRule="auto"/>
              <w:ind w:firstLine="0"/>
              <w:jc w:val="left"/>
              <w:rPr>
                <w:sz w:val="18"/>
                <w:szCs w:val="20"/>
              </w:rPr>
            </w:pPr>
            <w:r w:rsidRPr="006E76D3">
              <w:rPr>
                <w:sz w:val="18"/>
                <w:szCs w:val="20"/>
              </w:rPr>
              <w:t>Well informed about the EU</w:t>
            </w:r>
          </w:p>
        </w:tc>
        <w:tc>
          <w:tcPr>
            <w:tcW w:w="875" w:type="dxa"/>
            <w:tcBorders>
              <w:top w:val="nil"/>
              <w:left w:val="single" w:sz="4" w:space="0" w:color="000000"/>
              <w:bottom w:val="nil"/>
              <w:right w:val="nil"/>
            </w:tcBorders>
            <w:vAlign w:val="center"/>
          </w:tcPr>
          <w:p w14:paraId="78EDA593" w14:textId="77777777" w:rsidR="006E76D3" w:rsidRPr="006E76D3" w:rsidRDefault="006E76D3" w:rsidP="006E76D3">
            <w:pPr>
              <w:spacing w:line="240" w:lineRule="auto"/>
              <w:ind w:firstLine="0"/>
              <w:rPr>
                <w:sz w:val="18"/>
                <w:szCs w:val="20"/>
              </w:rPr>
            </w:pPr>
            <w:r>
              <w:rPr>
                <w:sz w:val="18"/>
                <w:szCs w:val="20"/>
              </w:rPr>
              <w:t>0.013</w:t>
            </w:r>
            <w:r w:rsidRPr="006E76D3">
              <w:rPr>
                <w:sz w:val="18"/>
                <w:szCs w:val="20"/>
              </w:rPr>
              <w:t>***</w:t>
            </w:r>
          </w:p>
        </w:tc>
        <w:tc>
          <w:tcPr>
            <w:tcW w:w="875" w:type="dxa"/>
            <w:tcBorders>
              <w:top w:val="nil"/>
              <w:left w:val="nil"/>
              <w:bottom w:val="nil"/>
              <w:right w:val="nil"/>
            </w:tcBorders>
            <w:vAlign w:val="center"/>
          </w:tcPr>
          <w:p w14:paraId="4FF5E5DF" w14:textId="77777777" w:rsidR="006E76D3" w:rsidRPr="006E76D3" w:rsidRDefault="006E76D3" w:rsidP="006E76D3">
            <w:pPr>
              <w:spacing w:line="240" w:lineRule="auto"/>
              <w:ind w:firstLine="0"/>
              <w:rPr>
                <w:sz w:val="18"/>
                <w:szCs w:val="20"/>
              </w:rPr>
            </w:pPr>
            <w:r>
              <w:rPr>
                <w:sz w:val="18"/>
                <w:szCs w:val="20"/>
              </w:rPr>
              <w:t>0.013</w:t>
            </w:r>
            <w:r w:rsidRPr="006E76D3">
              <w:rPr>
                <w:sz w:val="18"/>
                <w:szCs w:val="20"/>
              </w:rPr>
              <w:t>***</w:t>
            </w:r>
          </w:p>
        </w:tc>
        <w:tc>
          <w:tcPr>
            <w:tcW w:w="875" w:type="dxa"/>
            <w:tcBorders>
              <w:top w:val="nil"/>
              <w:left w:val="nil"/>
              <w:bottom w:val="nil"/>
              <w:right w:val="nil"/>
            </w:tcBorders>
            <w:vAlign w:val="center"/>
          </w:tcPr>
          <w:p w14:paraId="27808463" w14:textId="77777777" w:rsidR="006E76D3" w:rsidRPr="006E76D3" w:rsidRDefault="006E76D3" w:rsidP="006E76D3">
            <w:pPr>
              <w:spacing w:line="240" w:lineRule="auto"/>
              <w:ind w:firstLine="0"/>
              <w:rPr>
                <w:sz w:val="18"/>
                <w:szCs w:val="20"/>
              </w:rPr>
            </w:pPr>
            <w:r>
              <w:rPr>
                <w:sz w:val="18"/>
                <w:szCs w:val="20"/>
              </w:rPr>
              <w:t>0.013</w:t>
            </w:r>
            <w:r w:rsidRPr="006E76D3">
              <w:rPr>
                <w:sz w:val="18"/>
                <w:szCs w:val="20"/>
              </w:rPr>
              <w:t>***</w:t>
            </w:r>
          </w:p>
        </w:tc>
        <w:tc>
          <w:tcPr>
            <w:tcW w:w="876" w:type="dxa"/>
            <w:tcBorders>
              <w:top w:val="nil"/>
              <w:left w:val="nil"/>
              <w:bottom w:val="nil"/>
              <w:right w:val="single" w:sz="4" w:space="0" w:color="000000"/>
            </w:tcBorders>
            <w:vAlign w:val="center"/>
          </w:tcPr>
          <w:p w14:paraId="0863A4C8" w14:textId="77777777" w:rsidR="006E76D3" w:rsidRPr="006E76D3" w:rsidRDefault="006E76D3" w:rsidP="006E76D3">
            <w:pPr>
              <w:spacing w:line="240" w:lineRule="auto"/>
              <w:ind w:firstLine="0"/>
              <w:rPr>
                <w:sz w:val="18"/>
                <w:szCs w:val="20"/>
              </w:rPr>
            </w:pPr>
            <w:r>
              <w:rPr>
                <w:sz w:val="18"/>
                <w:szCs w:val="20"/>
              </w:rPr>
              <w:t>0.013</w:t>
            </w:r>
            <w:r w:rsidRPr="006E76D3">
              <w:rPr>
                <w:sz w:val="18"/>
                <w:szCs w:val="20"/>
              </w:rPr>
              <w:t>***</w:t>
            </w:r>
          </w:p>
        </w:tc>
        <w:tc>
          <w:tcPr>
            <w:tcW w:w="875" w:type="dxa"/>
            <w:tcBorders>
              <w:top w:val="nil"/>
              <w:left w:val="single" w:sz="4" w:space="0" w:color="000000"/>
              <w:bottom w:val="nil"/>
              <w:right w:val="nil"/>
            </w:tcBorders>
            <w:vAlign w:val="center"/>
          </w:tcPr>
          <w:p w14:paraId="71B545D3" w14:textId="77777777" w:rsidR="006E76D3" w:rsidRPr="006E76D3" w:rsidRDefault="006E76D3" w:rsidP="006E76D3">
            <w:pPr>
              <w:spacing w:line="240" w:lineRule="auto"/>
              <w:ind w:firstLine="0"/>
              <w:rPr>
                <w:sz w:val="18"/>
                <w:szCs w:val="20"/>
              </w:rPr>
            </w:pPr>
            <w:r w:rsidRPr="006E76D3">
              <w:rPr>
                <w:sz w:val="18"/>
                <w:szCs w:val="20"/>
              </w:rPr>
              <w:t>0.210***</w:t>
            </w:r>
          </w:p>
        </w:tc>
        <w:tc>
          <w:tcPr>
            <w:tcW w:w="875" w:type="dxa"/>
            <w:tcBorders>
              <w:top w:val="nil"/>
              <w:left w:val="nil"/>
              <w:bottom w:val="nil"/>
              <w:right w:val="nil"/>
            </w:tcBorders>
            <w:vAlign w:val="center"/>
          </w:tcPr>
          <w:p w14:paraId="5244A032" w14:textId="77777777" w:rsidR="006E76D3" w:rsidRPr="006E76D3" w:rsidRDefault="006E76D3" w:rsidP="006E76D3">
            <w:pPr>
              <w:spacing w:line="240" w:lineRule="auto"/>
              <w:ind w:firstLine="0"/>
              <w:rPr>
                <w:sz w:val="18"/>
                <w:szCs w:val="20"/>
              </w:rPr>
            </w:pPr>
            <w:r w:rsidRPr="006E76D3">
              <w:rPr>
                <w:sz w:val="18"/>
                <w:szCs w:val="20"/>
              </w:rPr>
              <w:t>0.209***</w:t>
            </w:r>
          </w:p>
        </w:tc>
        <w:tc>
          <w:tcPr>
            <w:tcW w:w="875" w:type="dxa"/>
            <w:tcBorders>
              <w:top w:val="nil"/>
              <w:left w:val="nil"/>
              <w:bottom w:val="nil"/>
              <w:right w:val="nil"/>
            </w:tcBorders>
            <w:vAlign w:val="center"/>
          </w:tcPr>
          <w:p w14:paraId="2DC27169" w14:textId="77777777" w:rsidR="006E76D3" w:rsidRPr="006E76D3" w:rsidRDefault="006E76D3" w:rsidP="006E76D3">
            <w:pPr>
              <w:spacing w:line="240" w:lineRule="auto"/>
              <w:ind w:firstLine="0"/>
              <w:rPr>
                <w:sz w:val="18"/>
                <w:szCs w:val="20"/>
              </w:rPr>
            </w:pPr>
            <w:r w:rsidRPr="006E76D3">
              <w:rPr>
                <w:sz w:val="18"/>
                <w:szCs w:val="20"/>
              </w:rPr>
              <w:t>0.208***</w:t>
            </w:r>
          </w:p>
        </w:tc>
        <w:tc>
          <w:tcPr>
            <w:tcW w:w="876" w:type="dxa"/>
            <w:tcBorders>
              <w:top w:val="nil"/>
              <w:left w:val="nil"/>
              <w:bottom w:val="nil"/>
            </w:tcBorders>
            <w:vAlign w:val="center"/>
          </w:tcPr>
          <w:p w14:paraId="17859B6B" w14:textId="77777777" w:rsidR="006E76D3" w:rsidRPr="006E76D3" w:rsidRDefault="006E76D3" w:rsidP="006E76D3">
            <w:pPr>
              <w:spacing w:line="240" w:lineRule="auto"/>
              <w:ind w:firstLine="0"/>
              <w:rPr>
                <w:sz w:val="18"/>
                <w:szCs w:val="20"/>
              </w:rPr>
            </w:pPr>
            <w:r w:rsidRPr="006E76D3">
              <w:rPr>
                <w:sz w:val="18"/>
                <w:szCs w:val="20"/>
              </w:rPr>
              <w:t>0.207***</w:t>
            </w:r>
          </w:p>
        </w:tc>
      </w:tr>
      <w:tr w:rsidR="006E76D3" w14:paraId="7101EAC7" w14:textId="77777777" w:rsidTr="00552C1C">
        <w:trPr>
          <w:trHeight w:hRule="exact" w:val="227"/>
          <w:jc w:val="center"/>
        </w:trPr>
        <w:tc>
          <w:tcPr>
            <w:tcW w:w="2513" w:type="dxa"/>
            <w:tcBorders>
              <w:top w:val="nil"/>
              <w:bottom w:val="nil"/>
              <w:right w:val="single" w:sz="4" w:space="0" w:color="000000"/>
            </w:tcBorders>
          </w:tcPr>
          <w:p w14:paraId="7B51C9C6" w14:textId="77777777" w:rsidR="006E76D3" w:rsidRPr="006E76D3" w:rsidRDefault="006E76D3" w:rsidP="006E76D3">
            <w:pPr>
              <w:widowControl w:val="0"/>
              <w:spacing w:line="240" w:lineRule="auto"/>
              <w:ind w:firstLine="0"/>
              <w:jc w:val="left"/>
              <w:rPr>
                <w:sz w:val="18"/>
                <w:szCs w:val="16"/>
              </w:rPr>
            </w:pPr>
          </w:p>
        </w:tc>
        <w:tc>
          <w:tcPr>
            <w:tcW w:w="875" w:type="dxa"/>
            <w:tcBorders>
              <w:top w:val="nil"/>
              <w:left w:val="single" w:sz="4" w:space="0" w:color="000000"/>
              <w:bottom w:val="nil"/>
              <w:right w:val="nil"/>
            </w:tcBorders>
          </w:tcPr>
          <w:p w14:paraId="0BB6A60C" w14:textId="77777777" w:rsidR="006E76D3" w:rsidRPr="006E76D3" w:rsidRDefault="006E76D3" w:rsidP="006E76D3">
            <w:pPr>
              <w:widowControl w:val="0"/>
              <w:spacing w:line="240" w:lineRule="auto"/>
              <w:ind w:firstLine="0"/>
              <w:rPr>
                <w:sz w:val="18"/>
              </w:rPr>
            </w:pPr>
          </w:p>
        </w:tc>
        <w:tc>
          <w:tcPr>
            <w:tcW w:w="875" w:type="dxa"/>
            <w:tcBorders>
              <w:top w:val="nil"/>
              <w:left w:val="nil"/>
              <w:bottom w:val="nil"/>
              <w:right w:val="nil"/>
            </w:tcBorders>
          </w:tcPr>
          <w:p w14:paraId="790CCA3C" w14:textId="77777777" w:rsidR="006E76D3" w:rsidRPr="006E76D3" w:rsidRDefault="006E76D3" w:rsidP="006E76D3">
            <w:pPr>
              <w:widowControl w:val="0"/>
              <w:spacing w:line="240" w:lineRule="auto"/>
              <w:ind w:firstLine="0"/>
              <w:rPr>
                <w:sz w:val="18"/>
              </w:rPr>
            </w:pPr>
          </w:p>
        </w:tc>
        <w:tc>
          <w:tcPr>
            <w:tcW w:w="875" w:type="dxa"/>
            <w:tcBorders>
              <w:top w:val="nil"/>
              <w:left w:val="nil"/>
              <w:bottom w:val="nil"/>
              <w:right w:val="nil"/>
            </w:tcBorders>
          </w:tcPr>
          <w:p w14:paraId="7AB7629E" w14:textId="77777777" w:rsidR="006E76D3" w:rsidRPr="006E76D3" w:rsidRDefault="006E76D3" w:rsidP="006E76D3">
            <w:pPr>
              <w:widowControl w:val="0"/>
              <w:spacing w:line="240" w:lineRule="auto"/>
              <w:ind w:firstLine="0"/>
              <w:rPr>
                <w:sz w:val="18"/>
              </w:rPr>
            </w:pPr>
          </w:p>
        </w:tc>
        <w:tc>
          <w:tcPr>
            <w:tcW w:w="876" w:type="dxa"/>
            <w:tcBorders>
              <w:top w:val="nil"/>
              <w:left w:val="nil"/>
              <w:bottom w:val="nil"/>
              <w:right w:val="single" w:sz="4" w:space="0" w:color="000000"/>
            </w:tcBorders>
          </w:tcPr>
          <w:p w14:paraId="684F4D4B" w14:textId="77777777" w:rsidR="006E76D3" w:rsidRPr="006E76D3" w:rsidRDefault="006E76D3" w:rsidP="006E76D3">
            <w:pPr>
              <w:widowControl w:val="0"/>
              <w:spacing w:line="240" w:lineRule="auto"/>
              <w:ind w:firstLine="0"/>
              <w:rPr>
                <w:sz w:val="18"/>
              </w:rPr>
            </w:pPr>
          </w:p>
        </w:tc>
        <w:tc>
          <w:tcPr>
            <w:tcW w:w="875" w:type="dxa"/>
            <w:tcBorders>
              <w:top w:val="nil"/>
              <w:left w:val="single" w:sz="4" w:space="0" w:color="000000"/>
              <w:bottom w:val="nil"/>
              <w:right w:val="nil"/>
            </w:tcBorders>
          </w:tcPr>
          <w:p w14:paraId="455526DD" w14:textId="77777777" w:rsidR="006E76D3" w:rsidRPr="006E76D3" w:rsidRDefault="006E76D3" w:rsidP="006E76D3">
            <w:pPr>
              <w:widowControl w:val="0"/>
              <w:spacing w:line="240" w:lineRule="auto"/>
              <w:ind w:firstLine="0"/>
              <w:rPr>
                <w:sz w:val="18"/>
              </w:rPr>
            </w:pPr>
          </w:p>
        </w:tc>
        <w:tc>
          <w:tcPr>
            <w:tcW w:w="875" w:type="dxa"/>
            <w:tcBorders>
              <w:top w:val="nil"/>
              <w:left w:val="nil"/>
              <w:bottom w:val="nil"/>
              <w:right w:val="nil"/>
            </w:tcBorders>
          </w:tcPr>
          <w:p w14:paraId="6EC0C659" w14:textId="77777777" w:rsidR="006E76D3" w:rsidRPr="006E76D3" w:rsidRDefault="006E76D3" w:rsidP="006E76D3">
            <w:pPr>
              <w:widowControl w:val="0"/>
              <w:spacing w:line="240" w:lineRule="auto"/>
              <w:ind w:firstLine="0"/>
              <w:rPr>
                <w:sz w:val="18"/>
              </w:rPr>
            </w:pPr>
          </w:p>
        </w:tc>
        <w:tc>
          <w:tcPr>
            <w:tcW w:w="875" w:type="dxa"/>
            <w:tcBorders>
              <w:top w:val="nil"/>
              <w:left w:val="nil"/>
              <w:bottom w:val="nil"/>
              <w:right w:val="nil"/>
            </w:tcBorders>
          </w:tcPr>
          <w:p w14:paraId="74862AE8" w14:textId="77777777" w:rsidR="006E76D3" w:rsidRPr="006E76D3" w:rsidRDefault="006E76D3" w:rsidP="006E76D3">
            <w:pPr>
              <w:widowControl w:val="0"/>
              <w:spacing w:line="240" w:lineRule="auto"/>
              <w:ind w:firstLine="0"/>
              <w:rPr>
                <w:sz w:val="18"/>
              </w:rPr>
            </w:pPr>
          </w:p>
        </w:tc>
        <w:tc>
          <w:tcPr>
            <w:tcW w:w="876" w:type="dxa"/>
            <w:tcBorders>
              <w:top w:val="nil"/>
              <w:left w:val="nil"/>
              <w:bottom w:val="nil"/>
            </w:tcBorders>
          </w:tcPr>
          <w:p w14:paraId="5A28F9BF" w14:textId="77777777" w:rsidR="006E76D3" w:rsidRPr="006E76D3" w:rsidRDefault="006E76D3" w:rsidP="006E76D3">
            <w:pPr>
              <w:widowControl w:val="0"/>
              <w:spacing w:line="240" w:lineRule="auto"/>
              <w:ind w:firstLine="0"/>
              <w:rPr>
                <w:sz w:val="18"/>
              </w:rPr>
            </w:pPr>
          </w:p>
        </w:tc>
      </w:tr>
      <w:tr w:rsidR="006E76D3" w14:paraId="33D4BD44" w14:textId="77777777" w:rsidTr="00552C1C">
        <w:trPr>
          <w:trHeight w:hRule="exact" w:val="227"/>
          <w:jc w:val="center"/>
        </w:trPr>
        <w:tc>
          <w:tcPr>
            <w:tcW w:w="2513" w:type="dxa"/>
            <w:tcBorders>
              <w:top w:val="nil"/>
              <w:bottom w:val="nil"/>
              <w:right w:val="single" w:sz="4" w:space="0" w:color="000000"/>
            </w:tcBorders>
          </w:tcPr>
          <w:p w14:paraId="7198BEB0" w14:textId="77777777" w:rsidR="006E76D3" w:rsidRPr="006E76D3" w:rsidRDefault="006E76D3" w:rsidP="006E76D3">
            <w:pPr>
              <w:widowControl w:val="0"/>
              <w:spacing w:line="240" w:lineRule="auto"/>
              <w:ind w:firstLine="0"/>
              <w:jc w:val="left"/>
              <w:rPr>
                <w:sz w:val="18"/>
              </w:rPr>
            </w:pPr>
            <w:r w:rsidRPr="006E76D3">
              <w:rPr>
                <w:sz w:val="18"/>
                <w:szCs w:val="18"/>
              </w:rPr>
              <w:t>Individual-level controls</w:t>
            </w:r>
          </w:p>
        </w:tc>
        <w:tc>
          <w:tcPr>
            <w:tcW w:w="875" w:type="dxa"/>
            <w:tcBorders>
              <w:top w:val="nil"/>
              <w:left w:val="single" w:sz="4" w:space="0" w:color="000000"/>
              <w:bottom w:val="nil"/>
              <w:right w:val="nil"/>
            </w:tcBorders>
          </w:tcPr>
          <w:p w14:paraId="0BD86372"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076BC97C"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4D1D4EF2" w14:textId="77777777" w:rsidR="006E76D3" w:rsidRPr="006E76D3" w:rsidRDefault="006E76D3" w:rsidP="006E76D3">
            <w:pPr>
              <w:widowControl w:val="0"/>
              <w:spacing w:line="240" w:lineRule="auto"/>
              <w:ind w:firstLine="0"/>
              <w:rPr>
                <w:sz w:val="18"/>
              </w:rPr>
            </w:pPr>
            <w:r w:rsidRPr="006E76D3">
              <w:rPr>
                <w:sz w:val="18"/>
              </w:rPr>
              <w:t>Yes</w:t>
            </w:r>
          </w:p>
        </w:tc>
        <w:tc>
          <w:tcPr>
            <w:tcW w:w="876" w:type="dxa"/>
            <w:tcBorders>
              <w:top w:val="nil"/>
              <w:left w:val="nil"/>
              <w:bottom w:val="nil"/>
              <w:right w:val="single" w:sz="4" w:space="0" w:color="000000"/>
            </w:tcBorders>
          </w:tcPr>
          <w:p w14:paraId="786A7CE4"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single" w:sz="4" w:space="0" w:color="000000"/>
              <w:bottom w:val="nil"/>
              <w:right w:val="nil"/>
            </w:tcBorders>
          </w:tcPr>
          <w:p w14:paraId="28463502"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286C6312"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61217F1B" w14:textId="77777777" w:rsidR="006E76D3" w:rsidRPr="006E76D3" w:rsidRDefault="006E76D3" w:rsidP="006E76D3">
            <w:pPr>
              <w:widowControl w:val="0"/>
              <w:spacing w:line="240" w:lineRule="auto"/>
              <w:ind w:firstLine="0"/>
              <w:rPr>
                <w:sz w:val="18"/>
              </w:rPr>
            </w:pPr>
            <w:r w:rsidRPr="006E76D3">
              <w:rPr>
                <w:sz w:val="18"/>
              </w:rPr>
              <w:t>Yes</w:t>
            </w:r>
          </w:p>
        </w:tc>
        <w:tc>
          <w:tcPr>
            <w:tcW w:w="876" w:type="dxa"/>
            <w:tcBorders>
              <w:top w:val="nil"/>
              <w:left w:val="nil"/>
              <w:bottom w:val="nil"/>
            </w:tcBorders>
          </w:tcPr>
          <w:p w14:paraId="5D161948" w14:textId="77777777" w:rsidR="006E76D3" w:rsidRPr="006E76D3" w:rsidRDefault="006E76D3" w:rsidP="006E76D3">
            <w:pPr>
              <w:widowControl w:val="0"/>
              <w:spacing w:line="240" w:lineRule="auto"/>
              <w:ind w:firstLine="0"/>
              <w:rPr>
                <w:sz w:val="18"/>
              </w:rPr>
            </w:pPr>
            <w:r w:rsidRPr="006E76D3">
              <w:rPr>
                <w:sz w:val="18"/>
              </w:rPr>
              <w:t>Yes</w:t>
            </w:r>
          </w:p>
        </w:tc>
      </w:tr>
      <w:tr w:rsidR="006E76D3" w14:paraId="655409C6" w14:textId="77777777" w:rsidTr="00552C1C">
        <w:trPr>
          <w:trHeight w:hRule="exact" w:val="227"/>
          <w:jc w:val="center"/>
        </w:trPr>
        <w:tc>
          <w:tcPr>
            <w:tcW w:w="2513" w:type="dxa"/>
            <w:tcBorders>
              <w:top w:val="nil"/>
              <w:bottom w:val="nil"/>
              <w:right w:val="single" w:sz="4" w:space="0" w:color="000000"/>
            </w:tcBorders>
          </w:tcPr>
          <w:p w14:paraId="036DB8F1" w14:textId="77777777" w:rsidR="006E76D3" w:rsidRPr="006E76D3" w:rsidRDefault="004D32B5" w:rsidP="004D32B5">
            <w:pPr>
              <w:widowControl w:val="0"/>
              <w:spacing w:line="240" w:lineRule="auto"/>
              <w:ind w:firstLine="0"/>
              <w:jc w:val="left"/>
              <w:rPr>
                <w:sz w:val="18"/>
              </w:rPr>
            </w:pPr>
            <w:r>
              <w:rPr>
                <w:sz w:val="18"/>
                <w:szCs w:val="18"/>
              </w:rPr>
              <w:t>Country-fixed effects</w:t>
            </w:r>
          </w:p>
        </w:tc>
        <w:tc>
          <w:tcPr>
            <w:tcW w:w="875" w:type="dxa"/>
            <w:tcBorders>
              <w:top w:val="nil"/>
              <w:left w:val="single" w:sz="4" w:space="0" w:color="000000"/>
              <w:bottom w:val="nil"/>
              <w:right w:val="nil"/>
            </w:tcBorders>
          </w:tcPr>
          <w:p w14:paraId="235CA3DC"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3406EC24"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089DE3EB" w14:textId="77777777" w:rsidR="006E76D3" w:rsidRPr="006E76D3" w:rsidRDefault="006E76D3" w:rsidP="006E76D3">
            <w:pPr>
              <w:widowControl w:val="0"/>
              <w:spacing w:line="240" w:lineRule="auto"/>
              <w:ind w:firstLine="0"/>
              <w:rPr>
                <w:sz w:val="18"/>
              </w:rPr>
            </w:pPr>
            <w:r w:rsidRPr="006E76D3">
              <w:rPr>
                <w:sz w:val="18"/>
              </w:rPr>
              <w:t>Yes</w:t>
            </w:r>
          </w:p>
        </w:tc>
        <w:tc>
          <w:tcPr>
            <w:tcW w:w="876" w:type="dxa"/>
            <w:tcBorders>
              <w:top w:val="nil"/>
              <w:left w:val="nil"/>
              <w:bottom w:val="nil"/>
              <w:right w:val="single" w:sz="4" w:space="0" w:color="000000"/>
            </w:tcBorders>
          </w:tcPr>
          <w:p w14:paraId="2C3D62BF"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single" w:sz="4" w:space="0" w:color="000000"/>
              <w:bottom w:val="nil"/>
              <w:right w:val="nil"/>
            </w:tcBorders>
          </w:tcPr>
          <w:p w14:paraId="4A0211F4"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4C778BF1"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21406F46" w14:textId="77777777" w:rsidR="006E76D3" w:rsidRPr="006E76D3" w:rsidRDefault="006E76D3" w:rsidP="006E76D3">
            <w:pPr>
              <w:widowControl w:val="0"/>
              <w:spacing w:line="240" w:lineRule="auto"/>
              <w:ind w:firstLine="0"/>
              <w:rPr>
                <w:sz w:val="18"/>
              </w:rPr>
            </w:pPr>
            <w:r w:rsidRPr="006E76D3">
              <w:rPr>
                <w:sz w:val="18"/>
              </w:rPr>
              <w:t>Yes</w:t>
            </w:r>
          </w:p>
        </w:tc>
        <w:tc>
          <w:tcPr>
            <w:tcW w:w="876" w:type="dxa"/>
            <w:tcBorders>
              <w:top w:val="nil"/>
              <w:left w:val="nil"/>
              <w:bottom w:val="nil"/>
            </w:tcBorders>
          </w:tcPr>
          <w:p w14:paraId="3FF99849" w14:textId="77777777" w:rsidR="006E76D3" w:rsidRPr="006E76D3" w:rsidRDefault="006E76D3" w:rsidP="006E76D3">
            <w:pPr>
              <w:widowControl w:val="0"/>
              <w:spacing w:line="240" w:lineRule="auto"/>
              <w:ind w:firstLine="0"/>
              <w:rPr>
                <w:sz w:val="18"/>
              </w:rPr>
            </w:pPr>
            <w:r w:rsidRPr="006E76D3">
              <w:rPr>
                <w:sz w:val="18"/>
              </w:rPr>
              <w:t>Yes</w:t>
            </w:r>
          </w:p>
        </w:tc>
      </w:tr>
      <w:tr w:rsidR="006E76D3" w14:paraId="7CE3F1E1" w14:textId="77777777" w:rsidTr="00552C1C">
        <w:trPr>
          <w:trHeight w:hRule="exact" w:val="227"/>
          <w:jc w:val="center"/>
        </w:trPr>
        <w:tc>
          <w:tcPr>
            <w:tcW w:w="2513" w:type="dxa"/>
            <w:tcBorders>
              <w:top w:val="nil"/>
              <w:bottom w:val="nil"/>
              <w:right w:val="single" w:sz="4" w:space="0" w:color="000000"/>
            </w:tcBorders>
          </w:tcPr>
          <w:p w14:paraId="6407E84A" w14:textId="77777777" w:rsidR="006E76D3" w:rsidRPr="006E76D3" w:rsidRDefault="004D32B5" w:rsidP="004D32B5">
            <w:pPr>
              <w:widowControl w:val="0"/>
              <w:spacing w:line="240" w:lineRule="auto"/>
              <w:ind w:firstLine="0"/>
              <w:jc w:val="left"/>
              <w:rPr>
                <w:sz w:val="18"/>
              </w:rPr>
            </w:pPr>
            <w:r>
              <w:rPr>
                <w:sz w:val="18"/>
                <w:szCs w:val="18"/>
              </w:rPr>
              <w:t>Year-fixed effects</w:t>
            </w:r>
          </w:p>
        </w:tc>
        <w:tc>
          <w:tcPr>
            <w:tcW w:w="875" w:type="dxa"/>
            <w:tcBorders>
              <w:top w:val="nil"/>
              <w:left w:val="single" w:sz="4" w:space="0" w:color="000000"/>
              <w:bottom w:val="nil"/>
              <w:right w:val="nil"/>
            </w:tcBorders>
          </w:tcPr>
          <w:p w14:paraId="1E674649"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7B002B78"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50908956" w14:textId="77777777" w:rsidR="006E76D3" w:rsidRPr="006E76D3" w:rsidRDefault="006E76D3" w:rsidP="006E76D3">
            <w:pPr>
              <w:widowControl w:val="0"/>
              <w:spacing w:line="240" w:lineRule="auto"/>
              <w:ind w:firstLine="0"/>
              <w:rPr>
                <w:sz w:val="18"/>
              </w:rPr>
            </w:pPr>
            <w:r w:rsidRPr="006E76D3">
              <w:rPr>
                <w:sz w:val="18"/>
              </w:rPr>
              <w:t>Yes</w:t>
            </w:r>
          </w:p>
        </w:tc>
        <w:tc>
          <w:tcPr>
            <w:tcW w:w="876" w:type="dxa"/>
            <w:tcBorders>
              <w:top w:val="nil"/>
              <w:left w:val="nil"/>
              <w:bottom w:val="nil"/>
              <w:right w:val="single" w:sz="4" w:space="0" w:color="000000"/>
            </w:tcBorders>
          </w:tcPr>
          <w:p w14:paraId="53F19410"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single" w:sz="4" w:space="0" w:color="000000"/>
              <w:bottom w:val="nil"/>
              <w:right w:val="nil"/>
            </w:tcBorders>
          </w:tcPr>
          <w:p w14:paraId="75CA1242"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642B761F" w14:textId="77777777" w:rsidR="006E76D3" w:rsidRPr="006E76D3" w:rsidRDefault="006E76D3" w:rsidP="006E76D3">
            <w:pPr>
              <w:widowControl w:val="0"/>
              <w:spacing w:line="240" w:lineRule="auto"/>
              <w:ind w:firstLine="0"/>
              <w:rPr>
                <w:sz w:val="18"/>
              </w:rPr>
            </w:pPr>
            <w:r w:rsidRPr="006E76D3">
              <w:rPr>
                <w:sz w:val="18"/>
              </w:rPr>
              <w:t>Yes</w:t>
            </w:r>
          </w:p>
        </w:tc>
        <w:tc>
          <w:tcPr>
            <w:tcW w:w="875" w:type="dxa"/>
            <w:tcBorders>
              <w:top w:val="nil"/>
              <w:left w:val="nil"/>
              <w:bottom w:val="nil"/>
              <w:right w:val="nil"/>
            </w:tcBorders>
          </w:tcPr>
          <w:p w14:paraId="725F5EBF" w14:textId="77777777" w:rsidR="006E76D3" w:rsidRPr="006E76D3" w:rsidRDefault="006E76D3" w:rsidP="006E76D3">
            <w:pPr>
              <w:widowControl w:val="0"/>
              <w:spacing w:line="240" w:lineRule="auto"/>
              <w:ind w:firstLine="0"/>
              <w:rPr>
                <w:sz w:val="18"/>
              </w:rPr>
            </w:pPr>
            <w:r w:rsidRPr="006E76D3">
              <w:rPr>
                <w:sz w:val="18"/>
              </w:rPr>
              <w:t>Yes</w:t>
            </w:r>
          </w:p>
        </w:tc>
        <w:tc>
          <w:tcPr>
            <w:tcW w:w="876" w:type="dxa"/>
            <w:tcBorders>
              <w:top w:val="nil"/>
              <w:left w:val="nil"/>
              <w:bottom w:val="nil"/>
            </w:tcBorders>
          </w:tcPr>
          <w:p w14:paraId="4FC2BD45" w14:textId="77777777" w:rsidR="006E76D3" w:rsidRPr="006E76D3" w:rsidRDefault="006E76D3" w:rsidP="006E76D3">
            <w:pPr>
              <w:widowControl w:val="0"/>
              <w:spacing w:line="240" w:lineRule="auto"/>
              <w:ind w:firstLine="0"/>
              <w:rPr>
                <w:sz w:val="18"/>
              </w:rPr>
            </w:pPr>
            <w:r w:rsidRPr="006E76D3">
              <w:rPr>
                <w:sz w:val="18"/>
              </w:rPr>
              <w:t>Yes</w:t>
            </w:r>
          </w:p>
        </w:tc>
      </w:tr>
      <w:tr w:rsidR="006E76D3" w14:paraId="2524C47D" w14:textId="77777777" w:rsidTr="00552C1C">
        <w:trPr>
          <w:trHeight w:hRule="exact" w:val="227"/>
          <w:jc w:val="center"/>
        </w:trPr>
        <w:tc>
          <w:tcPr>
            <w:tcW w:w="2513" w:type="dxa"/>
            <w:tcBorders>
              <w:top w:val="nil"/>
              <w:bottom w:val="single" w:sz="4" w:space="0" w:color="000000"/>
              <w:right w:val="single" w:sz="4" w:space="0" w:color="000000"/>
            </w:tcBorders>
          </w:tcPr>
          <w:p w14:paraId="4FC34191" w14:textId="77777777" w:rsidR="006E76D3" w:rsidRPr="006F5043" w:rsidRDefault="006E76D3" w:rsidP="006E76D3">
            <w:pPr>
              <w:widowControl w:val="0"/>
              <w:spacing w:line="240" w:lineRule="auto"/>
              <w:ind w:firstLine="0"/>
              <w:jc w:val="left"/>
              <w:rPr>
                <w:sz w:val="16"/>
                <w:szCs w:val="16"/>
              </w:rPr>
            </w:pPr>
          </w:p>
        </w:tc>
        <w:tc>
          <w:tcPr>
            <w:tcW w:w="875" w:type="dxa"/>
            <w:tcBorders>
              <w:top w:val="nil"/>
              <w:left w:val="single" w:sz="4" w:space="0" w:color="000000"/>
              <w:bottom w:val="single" w:sz="4" w:space="0" w:color="000000"/>
              <w:right w:val="nil"/>
            </w:tcBorders>
          </w:tcPr>
          <w:p w14:paraId="10B74932" w14:textId="77777777" w:rsidR="006E76D3" w:rsidRDefault="006E76D3" w:rsidP="006E76D3">
            <w:pPr>
              <w:widowControl w:val="0"/>
              <w:spacing w:line="240" w:lineRule="auto"/>
              <w:ind w:firstLine="0"/>
            </w:pPr>
          </w:p>
        </w:tc>
        <w:tc>
          <w:tcPr>
            <w:tcW w:w="875" w:type="dxa"/>
            <w:tcBorders>
              <w:top w:val="nil"/>
              <w:left w:val="nil"/>
              <w:bottom w:val="single" w:sz="4" w:space="0" w:color="000000"/>
              <w:right w:val="nil"/>
            </w:tcBorders>
          </w:tcPr>
          <w:p w14:paraId="627FBDC2" w14:textId="77777777" w:rsidR="006E76D3" w:rsidRDefault="006E76D3" w:rsidP="006E76D3">
            <w:pPr>
              <w:widowControl w:val="0"/>
              <w:spacing w:line="240" w:lineRule="auto"/>
              <w:ind w:firstLine="0"/>
            </w:pPr>
          </w:p>
        </w:tc>
        <w:tc>
          <w:tcPr>
            <w:tcW w:w="875" w:type="dxa"/>
            <w:tcBorders>
              <w:top w:val="nil"/>
              <w:left w:val="nil"/>
              <w:bottom w:val="single" w:sz="4" w:space="0" w:color="000000"/>
              <w:right w:val="nil"/>
            </w:tcBorders>
          </w:tcPr>
          <w:p w14:paraId="599F96F6" w14:textId="77777777" w:rsidR="006E76D3" w:rsidRDefault="006E76D3" w:rsidP="006E76D3">
            <w:pPr>
              <w:widowControl w:val="0"/>
              <w:spacing w:line="240" w:lineRule="auto"/>
              <w:ind w:firstLine="0"/>
            </w:pPr>
          </w:p>
        </w:tc>
        <w:tc>
          <w:tcPr>
            <w:tcW w:w="876" w:type="dxa"/>
            <w:tcBorders>
              <w:top w:val="nil"/>
              <w:left w:val="nil"/>
              <w:bottom w:val="single" w:sz="4" w:space="0" w:color="000000"/>
              <w:right w:val="single" w:sz="4" w:space="0" w:color="000000"/>
            </w:tcBorders>
          </w:tcPr>
          <w:p w14:paraId="5A6F5340" w14:textId="77777777" w:rsidR="006E76D3" w:rsidRDefault="006E76D3" w:rsidP="006E76D3">
            <w:pPr>
              <w:widowControl w:val="0"/>
              <w:spacing w:line="240" w:lineRule="auto"/>
              <w:ind w:firstLine="0"/>
            </w:pPr>
          </w:p>
        </w:tc>
        <w:tc>
          <w:tcPr>
            <w:tcW w:w="875" w:type="dxa"/>
            <w:tcBorders>
              <w:top w:val="nil"/>
              <w:left w:val="single" w:sz="4" w:space="0" w:color="000000"/>
              <w:bottom w:val="single" w:sz="4" w:space="0" w:color="000000"/>
              <w:right w:val="nil"/>
            </w:tcBorders>
          </w:tcPr>
          <w:p w14:paraId="7BD9B010" w14:textId="77777777" w:rsidR="006E76D3" w:rsidRDefault="006E76D3" w:rsidP="006E76D3">
            <w:pPr>
              <w:widowControl w:val="0"/>
              <w:spacing w:line="240" w:lineRule="auto"/>
              <w:ind w:firstLine="0"/>
            </w:pPr>
          </w:p>
        </w:tc>
        <w:tc>
          <w:tcPr>
            <w:tcW w:w="875" w:type="dxa"/>
            <w:tcBorders>
              <w:top w:val="nil"/>
              <w:left w:val="nil"/>
              <w:bottom w:val="single" w:sz="4" w:space="0" w:color="000000"/>
              <w:right w:val="nil"/>
            </w:tcBorders>
          </w:tcPr>
          <w:p w14:paraId="694452A4" w14:textId="77777777" w:rsidR="006E76D3" w:rsidRDefault="006E76D3" w:rsidP="006E76D3">
            <w:pPr>
              <w:widowControl w:val="0"/>
              <w:spacing w:line="240" w:lineRule="auto"/>
              <w:ind w:firstLine="0"/>
            </w:pPr>
          </w:p>
        </w:tc>
        <w:tc>
          <w:tcPr>
            <w:tcW w:w="875" w:type="dxa"/>
            <w:tcBorders>
              <w:top w:val="nil"/>
              <w:left w:val="nil"/>
              <w:bottom w:val="single" w:sz="4" w:space="0" w:color="000000"/>
              <w:right w:val="nil"/>
            </w:tcBorders>
          </w:tcPr>
          <w:p w14:paraId="7D234F17" w14:textId="77777777" w:rsidR="006E76D3" w:rsidRDefault="006E76D3" w:rsidP="006E76D3">
            <w:pPr>
              <w:widowControl w:val="0"/>
              <w:spacing w:line="240" w:lineRule="auto"/>
              <w:ind w:firstLine="0"/>
            </w:pPr>
          </w:p>
        </w:tc>
        <w:tc>
          <w:tcPr>
            <w:tcW w:w="876" w:type="dxa"/>
            <w:tcBorders>
              <w:top w:val="nil"/>
              <w:left w:val="nil"/>
              <w:bottom w:val="single" w:sz="4" w:space="0" w:color="000000"/>
            </w:tcBorders>
          </w:tcPr>
          <w:p w14:paraId="4E9E2CAD" w14:textId="77777777" w:rsidR="006E76D3" w:rsidRDefault="006E76D3" w:rsidP="006E76D3">
            <w:pPr>
              <w:widowControl w:val="0"/>
              <w:spacing w:line="240" w:lineRule="auto"/>
              <w:ind w:firstLine="0"/>
            </w:pPr>
          </w:p>
        </w:tc>
      </w:tr>
      <w:tr w:rsidR="006E76D3" w14:paraId="12D48D2D" w14:textId="77777777" w:rsidTr="00552C1C">
        <w:trPr>
          <w:trHeight w:hRule="exact" w:val="227"/>
          <w:jc w:val="center"/>
        </w:trPr>
        <w:tc>
          <w:tcPr>
            <w:tcW w:w="2513" w:type="dxa"/>
            <w:tcBorders>
              <w:top w:val="single" w:sz="4" w:space="0" w:color="000000"/>
              <w:bottom w:val="nil"/>
              <w:right w:val="single" w:sz="4" w:space="0" w:color="000000"/>
            </w:tcBorders>
            <w:vAlign w:val="center"/>
          </w:tcPr>
          <w:p w14:paraId="0E92A882" w14:textId="77777777" w:rsidR="006E76D3" w:rsidRPr="004D32B5" w:rsidRDefault="006E76D3" w:rsidP="006E76D3">
            <w:pPr>
              <w:widowControl w:val="0"/>
              <w:spacing w:line="240" w:lineRule="auto"/>
              <w:ind w:firstLine="0"/>
              <w:jc w:val="left"/>
              <w:rPr>
                <w:sz w:val="18"/>
                <w:szCs w:val="16"/>
              </w:rPr>
            </w:pPr>
            <w:r w:rsidRPr="004D32B5">
              <w:rPr>
                <w:sz w:val="18"/>
                <w:szCs w:val="16"/>
              </w:rPr>
              <w:t>Observations</w:t>
            </w:r>
          </w:p>
        </w:tc>
        <w:tc>
          <w:tcPr>
            <w:tcW w:w="875" w:type="dxa"/>
            <w:tcBorders>
              <w:top w:val="single" w:sz="4" w:space="0" w:color="000000"/>
              <w:left w:val="single" w:sz="4" w:space="0" w:color="000000"/>
              <w:bottom w:val="nil"/>
              <w:right w:val="nil"/>
            </w:tcBorders>
            <w:vAlign w:val="center"/>
          </w:tcPr>
          <w:p w14:paraId="2B574670" w14:textId="77777777" w:rsidR="006E76D3" w:rsidRPr="004D32B5" w:rsidRDefault="006E76D3" w:rsidP="006E76D3">
            <w:pPr>
              <w:widowControl w:val="0"/>
              <w:spacing w:line="240" w:lineRule="auto"/>
              <w:ind w:firstLine="0"/>
              <w:rPr>
                <w:sz w:val="18"/>
                <w:szCs w:val="16"/>
              </w:rPr>
            </w:pPr>
            <w:r w:rsidRPr="004D32B5">
              <w:rPr>
                <w:sz w:val="18"/>
                <w:szCs w:val="16"/>
              </w:rPr>
              <w:t>16,858</w:t>
            </w:r>
          </w:p>
        </w:tc>
        <w:tc>
          <w:tcPr>
            <w:tcW w:w="875" w:type="dxa"/>
            <w:tcBorders>
              <w:top w:val="single" w:sz="4" w:space="0" w:color="000000"/>
              <w:left w:val="nil"/>
              <w:bottom w:val="nil"/>
              <w:right w:val="nil"/>
            </w:tcBorders>
            <w:vAlign w:val="center"/>
          </w:tcPr>
          <w:p w14:paraId="4E360DE7" w14:textId="77777777" w:rsidR="006E76D3" w:rsidRPr="004D32B5" w:rsidRDefault="006E76D3" w:rsidP="006E76D3">
            <w:pPr>
              <w:widowControl w:val="0"/>
              <w:spacing w:line="240" w:lineRule="auto"/>
              <w:ind w:firstLine="0"/>
              <w:rPr>
                <w:sz w:val="18"/>
                <w:szCs w:val="16"/>
              </w:rPr>
            </w:pPr>
            <w:r w:rsidRPr="004D32B5">
              <w:rPr>
                <w:sz w:val="18"/>
                <w:szCs w:val="16"/>
              </w:rPr>
              <w:t>16,858</w:t>
            </w:r>
          </w:p>
        </w:tc>
        <w:tc>
          <w:tcPr>
            <w:tcW w:w="875" w:type="dxa"/>
            <w:tcBorders>
              <w:top w:val="single" w:sz="4" w:space="0" w:color="000000"/>
              <w:left w:val="nil"/>
              <w:bottom w:val="nil"/>
              <w:right w:val="nil"/>
            </w:tcBorders>
            <w:vAlign w:val="center"/>
          </w:tcPr>
          <w:p w14:paraId="0AC0413F" w14:textId="77777777" w:rsidR="006E76D3" w:rsidRPr="004D32B5" w:rsidRDefault="006E76D3" w:rsidP="006E76D3">
            <w:pPr>
              <w:widowControl w:val="0"/>
              <w:spacing w:line="240" w:lineRule="auto"/>
              <w:ind w:firstLine="0"/>
              <w:rPr>
                <w:sz w:val="18"/>
                <w:szCs w:val="16"/>
              </w:rPr>
            </w:pPr>
            <w:r w:rsidRPr="004D32B5">
              <w:rPr>
                <w:sz w:val="18"/>
                <w:szCs w:val="16"/>
              </w:rPr>
              <w:t>16,858</w:t>
            </w:r>
          </w:p>
        </w:tc>
        <w:tc>
          <w:tcPr>
            <w:tcW w:w="876" w:type="dxa"/>
            <w:tcBorders>
              <w:top w:val="single" w:sz="4" w:space="0" w:color="000000"/>
              <w:left w:val="nil"/>
              <w:bottom w:val="nil"/>
              <w:right w:val="single" w:sz="4" w:space="0" w:color="000000"/>
            </w:tcBorders>
            <w:vAlign w:val="center"/>
          </w:tcPr>
          <w:p w14:paraId="0C93B7B3" w14:textId="77777777" w:rsidR="006E76D3" w:rsidRPr="004D32B5" w:rsidRDefault="006E76D3" w:rsidP="006E76D3">
            <w:pPr>
              <w:widowControl w:val="0"/>
              <w:spacing w:line="240" w:lineRule="auto"/>
              <w:ind w:firstLine="0"/>
              <w:rPr>
                <w:sz w:val="18"/>
                <w:szCs w:val="16"/>
              </w:rPr>
            </w:pPr>
            <w:r w:rsidRPr="004D32B5">
              <w:rPr>
                <w:sz w:val="18"/>
                <w:szCs w:val="16"/>
              </w:rPr>
              <w:t>16,858</w:t>
            </w:r>
          </w:p>
        </w:tc>
        <w:tc>
          <w:tcPr>
            <w:tcW w:w="875" w:type="dxa"/>
            <w:tcBorders>
              <w:top w:val="single" w:sz="4" w:space="0" w:color="000000"/>
              <w:left w:val="single" w:sz="4" w:space="0" w:color="000000"/>
              <w:bottom w:val="nil"/>
              <w:right w:val="nil"/>
            </w:tcBorders>
            <w:vAlign w:val="center"/>
          </w:tcPr>
          <w:p w14:paraId="19FB0F25" w14:textId="77777777" w:rsidR="006E76D3" w:rsidRPr="004D32B5" w:rsidRDefault="006E76D3" w:rsidP="006E76D3">
            <w:pPr>
              <w:widowControl w:val="0"/>
              <w:spacing w:line="240" w:lineRule="auto"/>
              <w:ind w:firstLine="0"/>
              <w:rPr>
                <w:sz w:val="18"/>
                <w:szCs w:val="16"/>
              </w:rPr>
            </w:pPr>
            <w:r w:rsidRPr="004D32B5">
              <w:rPr>
                <w:sz w:val="18"/>
                <w:szCs w:val="16"/>
              </w:rPr>
              <w:t>17,871</w:t>
            </w:r>
          </w:p>
        </w:tc>
        <w:tc>
          <w:tcPr>
            <w:tcW w:w="875" w:type="dxa"/>
            <w:tcBorders>
              <w:top w:val="single" w:sz="4" w:space="0" w:color="000000"/>
              <w:left w:val="nil"/>
              <w:bottom w:val="nil"/>
              <w:right w:val="nil"/>
            </w:tcBorders>
            <w:vAlign w:val="center"/>
          </w:tcPr>
          <w:p w14:paraId="4F80ABFF" w14:textId="77777777" w:rsidR="006E76D3" w:rsidRPr="004D32B5" w:rsidRDefault="006E76D3" w:rsidP="006E76D3">
            <w:pPr>
              <w:widowControl w:val="0"/>
              <w:spacing w:line="240" w:lineRule="auto"/>
              <w:ind w:firstLine="0"/>
              <w:rPr>
                <w:sz w:val="18"/>
                <w:szCs w:val="16"/>
              </w:rPr>
            </w:pPr>
            <w:r w:rsidRPr="004D32B5">
              <w:rPr>
                <w:sz w:val="18"/>
                <w:szCs w:val="16"/>
              </w:rPr>
              <w:t>17,871</w:t>
            </w:r>
          </w:p>
        </w:tc>
        <w:tc>
          <w:tcPr>
            <w:tcW w:w="875" w:type="dxa"/>
            <w:tcBorders>
              <w:top w:val="single" w:sz="4" w:space="0" w:color="000000"/>
              <w:left w:val="nil"/>
              <w:bottom w:val="nil"/>
              <w:right w:val="nil"/>
            </w:tcBorders>
            <w:vAlign w:val="center"/>
          </w:tcPr>
          <w:p w14:paraId="16534043" w14:textId="77777777" w:rsidR="006E76D3" w:rsidRPr="004D32B5" w:rsidRDefault="006E76D3" w:rsidP="006E76D3">
            <w:pPr>
              <w:widowControl w:val="0"/>
              <w:spacing w:line="240" w:lineRule="auto"/>
              <w:ind w:firstLine="0"/>
              <w:rPr>
                <w:sz w:val="18"/>
                <w:szCs w:val="16"/>
              </w:rPr>
            </w:pPr>
            <w:r w:rsidRPr="004D32B5">
              <w:rPr>
                <w:sz w:val="18"/>
                <w:szCs w:val="16"/>
              </w:rPr>
              <w:t>17,871</w:t>
            </w:r>
          </w:p>
        </w:tc>
        <w:tc>
          <w:tcPr>
            <w:tcW w:w="876" w:type="dxa"/>
            <w:tcBorders>
              <w:top w:val="single" w:sz="4" w:space="0" w:color="000000"/>
              <w:left w:val="nil"/>
              <w:bottom w:val="nil"/>
            </w:tcBorders>
            <w:vAlign w:val="center"/>
          </w:tcPr>
          <w:p w14:paraId="12D51007" w14:textId="77777777" w:rsidR="006E76D3" w:rsidRPr="004D32B5" w:rsidRDefault="006E76D3" w:rsidP="006E76D3">
            <w:pPr>
              <w:widowControl w:val="0"/>
              <w:spacing w:line="240" w:lineRule="auto"/>
              <w:ind w:firstLine="0"/>
              <w:rPr>
                <w:sz w:val="18"/>
                <w:szCs w:val="16"/>
              </w:rPr>
            </w:pPr>
            <w:r w:rsidRPr="004D32B5">
              <w:rPr>
                <w:sz w:val="18"/>
                <w:szCs w:val="16"/>
              </w:rPr>
              <w:t>17,871</w:t>
            </w:r>
          </w:p>
        </w:tc>
      </w:tr>
      <w:tr w:rsidR="006E76D3" w14:paraId="69EF92A6" w14:textId="77777777" w:rsidTr="00552C1C">
        <w:trPr>
          <w:trHeight w:hRule="exact" w:val="227"/>
          <w:jc w:val="center"/>
        </w:trPr>
        <w:tc>
          <w:tcPr>
            <w:tcW w:w="2513" w:type="dxa"/>
            <w:tcBorders>
              <w:top w:val="nil"/>
              <w:right w:val="single" w:sz="4" w:space="0" w:color="000000"/>
            </w:tcBorders>
            <w:vAlign w:val="center"/>
          </w:tcPr>
          <w:p w14:paraId="7F38A666" w14:textId="77777777" w:rsidR="006E76D3" w:rsidRPr="004D32B5" w:rsidRDefault="006E76D3" w:rsidP="006E76D3">
            <w:pPr>
              <w:widowControl w:val="0"/>
              <w:spacing w:line="240" w:lineRule="auto"/>
              <w:ind w:firstLine="0"/>
              <w:jc w:val="left"/>
              <w:rPr>
                <w:sz w:val="18"/>
                <w:szCs w:val="16"/>
              </w:rPr>
            </w:pPr>
            <w:r w:rsidRPr="004D32B5">
              <w:rPr>
                <w:sz w:val="18"/>
                <w:szCs w:val="16"/>
              </w:rPr>
              <w:t>Pseudo R</w:t>
            </w:r>
            <w:r w:rsidRPr="004D32B5">
              <w:rPr>
                <w:sz w:val="18"/>
                <w:szCs w:val="16"/>
                <w:vertAlign w:val="superscript"/>
              </w:rPr>
              <w:t>2</w:t>
            </w:r>
          </w:p>
        </w:tc>
        <w:tc>
          <w:tcPr>
            <w:tcW w:w="875" w:type="dxa"/>
            <w:tcBorders>
              <w:top w:val="nil"/>
              <w:left w:val="single" w:sz="4" w:space="0" w:color="000000"/>
              <w:right w:val="nil"/>
            </w:tcBorders>
            <w:vAlign w:val="center"/>
          </w:tcPr>
          <w:p w14:paraId="3B5499F4" w14:textId="77777777" w:rsidR="006E76D3" w:rsidRPr="004D32B5" w:rsidRDefault="006E76D3" w:rsidP="006E76D3">
            <w:pPr>
              <w:widowControl w:val="0"/>
              <w:spacing w:line="240" w:lineRule="auto"/>
              <w:ind w:firstLine="0"/>
              <w:rPr>
                <w:sz w:val="18"/>
                <w:szCs w:val="16"/>
              </w:rPr>
            </w:pPr>
            <w:r w:rsidRPr="004D32B5">
              <w:rPr>
                <w:sz w:val="18"/>
                <w:szCs w:val="16"/>
              </w:rPr>
              <w:t>0.257</w:t>
            </w:r>
          </w:p>
        </w:tc>
        <w:tc>
          <w:tcPr>
            <w:tcW w:w="875" w:type="dxa"/>
            <w:tcBorders>
              <w:top w:val="nil"/>
              <w:left w:val="nil"/>
              <w:right w:val="nil"/>
            </w:tcBorders>
            <w:vAlign w:val="center"/>
          </w:tcPr>
          <w:p w14:paraId="37A30C12" w14:textId="77777777" w:rsidR="006E76D3" w:rsidRPr="004D32B5" w:rsidRDefault="006E76D3" w:rsidP="006E76D3">
            <w:pPr>
              <w:widowControl w:val="0"/>
              <w:spacing w:line="240" w:lineRule="auto"/>
              <w:ind w:firstLine="0"/>
              <w:rPr>
                <w:sz w:val="18"/>
                <w:szCs w:val="16"/>
              </w:rPr>
            </w:pPr>
            <w:r w:rsidRPr="004D32B5">
              <w:rPr>
                <w:sz w:val="18"/>
                <w:szCs w:val="16"/>
              </w:rPr>
              <w:t>0.257</w:t>
            </w:r>
          </w:p>
        </w:tc>
        <w:tc>
          <w:tcPr>
            <w:tcW w:w="875" w:type="dxa"/>
            <w:tcBorders>
              <w:top w:val="nil"/>
              <w:left w:val="nil"/>
              <w:right w:val="nil"/>
            </w:tcBorders>
            <w:vAlign w:val="center"/>
          </w:tcPr>
          <w:p w14:paraId="0512CDA2" w14:textId="77777777" w:rsidR="006E76D3" w:rsidRPr="004D32B5" w:rsidRDefault="006E76D3" w:rsidP="006E76D3">
            <w:pPr>
              <w:widowControl w:val="0"/>
              <w:spacing w:line="240" w:lineRule="auto"/>
              <w:ind w:firstLine="0"/>
              <w:rPr>
                <w:sz w:val="18"/>
                <w:szCs w:val="16"/>
              </w:rPr>
            </w:pPr>
            <w:r w:rsidRPr="004D32B5">
              <w:rPr>
                <w:sz w:val="18"/>
                <w:szCs w:val="16"/>
              </w:rPr>
              <w:t>0.257</w:t>
            </w:r>
          </w:p>
        </w:tc>
        <w:tc>
          <w:tcPr>
            <w:tcW w:w="876" w:type="dxa"/>
            <w:tcBorders>
              <w:top w:val="nil"/>
              <w:left w:val="nil"/>
              <w:right w:val="single" w:sz="4" w:space="0" w:color="000000"/>
            </w:tcBorders>
            <w:vAlign w:val="center"/>
          </w:tcPr>
          <w:p w14:paraId="3D677114" w14:textId="77777777" w:rsidR="006E76D3" w:rsidRPr="004D32B5" w:rsidRDefault="006E76D3" w:rsidP="006E76D3">
            <w:pPr>
              <w:widowControl w:val="0"/>
              <w:spacing w:line="240" w:lineRule="auto"/>
              <w:ind w:firstLine="0"/>
              <w:rPr>
                <w:sz w:val="18"/>
                <w:szCs w:val="16"/>
              </w:rPr>
            </w:pPr>
            <w:r w:rsidRPr="004D32B5">
              <w:rPr>
                <w:sz w:val="18"/>
                <w:szCs w:val="16"/>
              </w:rPr>
              <w:t>0.258</w:t>
            </w:r>
          </w:p>
        </w:tc>
        <w:tc>
          <w:tcPr>
            <w:tcW w:w="875" w:type="dxa"/>
            <w:tcBorders>
              <w:top w:val="nil"/>
              <w:left w:val="single" w:sz="4" w:space="0" w:color="000000"/>
              <w:right w:val="nil"/>
            </w:tcBorders>
            <w:vAlign w:val="center"/>
          </w:tcPr>
          <w:p w14:paraId="4469F311" w14:textId="77777777" w:rsidR="006E76D3" w:rsidRPr="004D32B5" w:rsidRDefault="006E76D3" w:rsidP="006E76D3">
            <w:pPr>
              <w:widowControl w:val="0"/>
              <w:spacing w:line="240" w:lineRule="auto"/>
              <w:ind w:firstLine="0"/>
              <w:rPr>
                <w:sz w:val="18"/>
                <w:szCs w:val="16"/>
              </w:rPr>
            </w:pPr>
            <w:r w:rsidRPr="004D32B5">
              <w:rPr>
                <w:sz w:val="18"/>
                <w:szCs w:val="16"/>
              </w:rPr>
              <w:t>0.191</w:t>
            </w:r>
          </w:p>
        </w:tc>
        <w:tc>
          <w:tcPr>
            <w:tcW w:w="875" w:type="dxa"/>
            <w:tcBorders>
              <w:top w:val="nil"/>
              <w:left w:val="nil"/>
              <w:right w:val="nil"/>
            </w:tcBorders>
            <w:vAlign w:val="center"/>
          </w:tcPr>
          <w:p w14:paraId="2F9EB51C" w14:textId="77777777" w:rsidR="006E76D3" w:rsidRPr="004D32B5" w:rsidRDefault="006E76D3" w:rsidP="006E76D3">
            <w:pPr>
              <w:widowControl w:val="0"/>
              <w:spacing w:line="240" w:lineRule="auto"/>
              <w:ind w:firstLine="0"/>
              <w:rPr>
                <w:sz w:val="18"/>
                <w:szCs w:val="16"/>
              </w:rPr>
            </w:pPr>
            <w:r w:rsidRPr="004D32B5">
              <w:rPr>
                <w:sz w:val="18"/>
                <w:szCs w:val="16"/>
              </w:rPr>
              <w:t>0.191</w:t>
            </w:r>
          </w:p>
        </w:tc>
        <w:tc>
          <w:tcPr>
            <w:tcW w:w="875" w:type="dxa"/>
            <w:tcBorders>
              <w:top w:val="nil"/>
              <w:left w:val="nil"/>
              <w:right w:val="nil"/>
            </w:tcBorders>
            <w:vAlign w:val="center"/>
          </w:tcPr>
          <w:p w14:paraId="7696B628" w14:textId="77777777" w:rsidR="006E76D3" w:rsidRPr="004D32B5" w:rsidRDefault="006E76D3" w:rsidP="006E76D3">
            <w:pPr>
              <w:widowControl w:val="0"/>
              <w:spacing w:line="240" w:lineRule="auto"/>
              <w:ind w:firstLine="0"/>
              <w:rPr>
                <w:sz w:val="18"/>
                <w:szCs w:val="16"/>
              </w:rPr>
            </w:pPr>
            <w:r w:rsidRPr="004D32B5">
              <w:rPr>
                <w:sz w:val="18"/>
                <w:szCs w:val="16"/>
              </w:rPr>
              <w:t>0.191</w:t>
            </w:r>
          </w:p>
        </w:tc>
        <w:tc>
          <w:tcPr>
            <w:tcW w:w="876" w:type="dxa"/>
            <w:tcBorders>
              <w:top w:val="nil"/>
              <w:left w:val="nil"/>
            </w:tcBorders>
            <w:vAlign w:val="center"/>
          </w:tcPr>
          <w:p w14:paraId="0ED70536" w14:textId="77777777" w:rsidR="006E76D3" w:rsidRPr="004D32B5" w:rsidRDefault="006E76D3" w:rsidP="006E76D3">
            <w:pPr>
              <w:widowControl w:val="0"/>
              <w:spacing w:line="240" w:lineRule="auto"/>
              <w:ind w:firstLine="0"/>
              <w:rPr>
                <w:sz w:val="18"/>
                <w:szCs w:val="16"/>
              </w:rPr>
            </w:pPr>
            <w:r w:rsidRPr="004D32B5">
              <w:rPr>
                <w:sz w:val="18"/>
                <w:szCs w:val="16"/>
              </w:rPr>
              <w:t>0.191</w:t>
            </w:r>
          </w:p>
        </w:tc>
      </w:tr>
      <w:tr w:rsidR="006E76D3" w14:paraId="4F6159DA" w14:textId="77777777" w:rsidTr="00552C1C">
        <w:trPr>
          <w:trHeight w:hRule="exact" w:val="227"/>
          <w:jc w:val="center"/>
        </w:trPr>
        <w:tc>
          <w:tcPr>
            <w:tcW w:w="2513" w:type="dxa"/>
            <w:tcBorders>
              <w:top w:val="nil"/>
              <w:bottom w:val="single" w:sz="4" w:space="0" w:color="000000"/>
              <w:right w:val="single" w:sz="4" w:space="0" w:color="000000"/>
            </w:tcBorders>
            <w:vAlign w:val="center"/>
          </w:tcPr>
          <w:p w14:paraId="26D9E6B0" w14:textId="77777777" w:rsidR="006E76D3" w:rsidRPr="004D32B5" w:rsidRDefault="006E76D3" w:rsidP="006E76D3">
            <w:pPr>
              <w:widowControl w:val="0"/>
              <w:spacing w:line="240" w:lineRule="auto"/>
              <w:ind w:firstLine="0"/>
              <w:jc w:val="left"/>
              <w:rPr>
                <w:sz w:val="18"/>
                <w:szCs w:val="16"/>
              </w:rPr>
            </w:pPr>
            <w:r w:rsidRPr="004D32B5">
              <w:rPr>
                <w:sz w:val="18"/>
                <w:szCs w:val="16"/>
              </w:rPr>
              <w:t>Chi</w:t>
            </w:r>
            <w:r w:rsidRPr="004D32B5">
              <w:rPr>
                <w:sz w:val="18"/>
                <w:szCs w:val="16"/>
                <w:vertAlign w:val="superscript"/>
              </w:rPr>
              <w:t>2</w:t>
            </w:r>
          </w:p>
        </w:tc>
        <w:tc>
          <w:tcPr>
            <w:tcW w:w="875" w:type="dxa"/>
            <w:tcBorders>
              <w:top w:val="nil"/>
              <w:left w:val="single" w:sz="4" w:space="0" w:color="000000"/>
              <w:bottom w:val="single" w:sz="4" w:space="0" w:color="000000"/>
              <w:right w:val="nil"/>
            </w:tcBorders>
            <w:vAlign w:val="center"/>
          </w:tcPr>
          <w:p w14:paraId="1073B57F" w14:textId="77777777" w:rsidR="006E76D3" w:rsidRPr="004D32B5" w:rsidRDefault="006E76D3" w:rsidP="006E76D3">
            <w:pPr>
              <w:widowControl w:val="0"/>
              <w:spacing w:line="240" w:lineRule="auto"/>
              <w:ind w:firstLine="0"/>
              <w:rPr>
                <w:sz w:val="18"/>
                <w:szCs w:val="16"/>
              </w:rPr>
            </w:pPr>
            <w:r w:rsidRPr="004D32B5">
              <w:rPr>
                <w:sz w:val="18"/>
                <w:szCs w:val="16"/>
              </w:rPr>
              <w:t>2084</w:t>
            </w:r>
          </w:p>
        </w:tc>
        <w:tc>
          <w:tcPr>
            <w:tcW w:w="875" w:type="dxa"/>
            <w:tcBorders>
              <w:top w:val="nil"/>
              <w:left w:val="nil"/>
              <w:bottom w:val="single" w:sz="4" w:space="0" w:color="000000"/>
              <w:right w:val="nil"/>
            </w:tcBorders>
            <w:vAlign w:val="center"/>
          </w:tcPr>
          <w:p w14:paraId="42068E85" w14:textId="77777777" w:rsidR="006E76D3" w:rsidRPr="004D32B5" w:rsidRDefault="006E76D3" w:rsidP="006E76D3">
            <w:pPr>
              <w:widowControl w:val="0"/>
              <w:spacing w:line="240" w:lineRule="auto"/>
              <w:ind w:firstLine="0"/>
              <w:rPr>
                <w:sz w:val="18"/>
                <w:szCs w:val="16"/>
              </w:rPr>
            </w:pPr>
            <w:r w:rsidRPr="004D32B5">
              <w:rPr>
                <w:sz w:val="18"/>
                <w:szCs w:val="16"/>
              </w:rPr>
              <w:t>2085</w:t>
            </w:r>
          </w:p>
        </w:tc>
        <w:tc>
          <w:tcPr>
            <w:tcW w:w="875" w:type="dxa"/>
            <w:tcBorders>
              <w:top w:val="nil"/>
              <w:left w:val="nil"/>
              <w:bottom w:val="single" w:sz="4" w:space="0" w:color="000000"/>
              <w:right w:val="nil"/>
            </w:tcBorders>
            <w:vAlign w:val="center"/>
          </w:tcPr>
          <w:p w14:paraId="109665CD" w14:textId="77777777" w:rsidR="006E76D3" w:rsidRPr="004D32B5" w:rsidRDefault="006E76D3" w:rsidP="006E76D3">
            <w:pPr>
              <w:widowControl w:val="0"/>
              <w:spacing w:line="240" w:lineRule="auto"/>
              <w:ind w:firstLine="0"/>
              <w:rPr>
                <w:sz w:val="18"/>
                <w:szCs w:val="16"/>
              </w:rPr>
            </w:pPr>
            <w:r w:rsidRPr="004D32B5">
              <w:rPr>
                <w:sz w:val="18"/>
                <w:szCs w:val="16"/>
              </w:rPr>
              <w:t>2082</w:t>
            </w:r>
          </w:p>
        </w:tc>
        <w:tc>
          <w:tcPr>
            <w:tcW w:w="876" w:type="dxa"/>
            <w:tcBorders>
              <w:top w:val="nil"/>
              <w:left w:val="nil"/>
              <w:bottom w:val="single" w:sz="4" w:space="0" w:color="000000"/>
              <w:right w:val="single" w:sz="4" w:space="0" w:color="000000"/>
            </w:tcBorders>
            <w:vAlign w:val="center"/>
          </w:tcPr>
          <w:p w14:paraId="74CC2902" w14:textId="77777777" w:rsidR="006E76D3" w:rsidRPr="004D32B5" w:rsidRDefault="006E76D3" w:rsidP="006E76D3">
            <w:pPr>
              <w:widowControl w:val="0"/>
              <w:spacing w:line="240" w:lineRule="auto"/>
              <w:ind w:firstLine="0"/>
              <w:rPr>
                <w:sz w:val="18"/>
                <w:szCs w:val="16"/>
              </w:rPr>
            </w:pPr>
            <w:r w:rsidRPr="004D32B5">
              <w:rPr>
                <w:sz w:val="18"/>
                <w:szCs w:val="16"/>
              </w:rPr>
              <w:t>2125</w:t>
            </w:r>
          </w:p>
        </w:tc>
        <w:tc>
          <w:tcPr>
            <w:tcW w:w="875" w:type="dxa"/>
            <w:tcBorders>
              <w:top w:val="nil"/>
              <w:left w:val="single" w:sz="4" w:space="0" w:color="000000"/>
              <w:bottom w:val="single" w:sz="4" w:space="0" w:color="000000"/>
              <w:right w:val="nil"/>
            </w:tcBorders>
            <w:vAlign w:val="center"/>
          </w:tcPr>
          <w:p w14:paraId="574E3320" w14:textId="77777777" w:rsidR="006E76D3" w:rsidRPr="004D32B5" w:rsidRDefault="006E76D3" w:rsidP="006E76D3">
            <w:pPr>
              <w:widowControl w:val="0"/>
              <w:spacing w:line="240" w:lineRule="auto"/>
              <w:ind w:firstLine="0"/>
              <w:rPr>
                <w:sz w:val="18"/>
                <w:szCs w:val="16"/>
              </w:rPr>
            </w:pPr>
            <w:r w:rsidRPr="004D32B5">
              <w:rPr>
                <w:sz w:val="18"/>
                <w:szCs w:val="16"/>
              </w:rPr>
              <w:t>2761</w:t>
            </w:r>
          </w:p>
        </w:tc>
        <w:tc>
          <w:tcPr>
            <w:tcW w:w="875" w:type="dxa"/>
            <w:tcBorders>
              <w:top w:val="nil"/>
              <w:left w:val="nil"/>
              <w:bottom w:val="single" w:sz="4" w:space="0" w:color="000000"/>
              <w:right w:val="nil"/>
            </w:tcBorders>
            <w:vAlign w:val="center"/>
          </w:tcPr>
          <w:p w14:paraId="6E0C4723" w14:textId="77777777" w:rsidR="006E76D3" w:rsidRPr="004D32B5" w:rsidRDefault="006E76D3" w:rsidP="006E76D3">
            <w:pPr>
              <w:widowControl w:val="0"/>
              <w:spacing w:line="240" w:lineRule="auto"/>
              <w:ind w:firstLine="0"/>
              <w:rPr>
                <w:sz w:val="18"/>
                <w:szCs w:val="16"/>
              </w:rPr>
            </w:pPr>
            <w:r w:rsidRPr="004D32B5">
              <w:rPr>
                <w:sz w:val="18"/>
                <w:szCs w:val="16"/>
              </w:rPr>
              <w:t>2761</w:t>
            </w:r>
          </w:p>
        </w:tc>
        <w:tc>
          <w:tcPr>
            <w:tcW w:w="875" w:type="dxa"/>
            <w:tcBorders>
              <w:top w:val="nil"/>
              <w:left w:val="nil"/>
              <w:bottom w:val="single" w:sz="4" w:space="0" w:color="000000"/>
              <w:right w:val="nil"/>
            </w:tcBorders>
            <w:vAlign w:val="center"/>
          </w:tcPr>
          <w:p w14:paraId="6811F4DC" w14:textId="77777777" w:rsidR="006E76D3" w:rsidRPr="004D32B5" w:rsidRDefault="006E76D3" w:rsidP="006E76D3">
            <w:pPr>
              <w:widowControl w:val="0"/>
              <w:spacing w:line="240" w:lineRule="auto"/>
              <w:ind w:firstLine="0"/>
              <w:rPr>
                <w:sz w:val="18"/>
                <w:szCs w:val="16"/>
              </w:rPr>
            </w:pPr>
            <w:r w:rsidRPr="004D32B5">
              <w:rPr>
                <w:sz w:val="18"/>
                <w:szCs w:val="16"/>
              </w:rPr>
              <w:t>2761</w:t>
            </w:r>
          </w:p>
        </w:tc>
        <w:tc>
          <w:tcPr>
            <w:tcW w:w="876" w:type="dxa"/>
            <w:tcBorders>
              <w:top w:val="nil"/>
              <w:left w:val="nil"/>
              <w:bottom w:val="single" w:sz="4" w:space="0" w:color="000000"/>
            </w:tcBorders>
            <w:vAlign w:val="center"/>
          </w:tcPr>
          <w:p w14:paraId="13EB9289" w14:textId="77777777" w:rsidR="006E76D3" w:rsidRPr="004D32B5" w:rsidRDefault="006E76D3" w:rsidP="006E76D3">
            <w:pPr>
              <w:widowControl w:val="0"/>
              <w:spacing w:line="240" w:lineRule="auto"/>
              <w:ind w:firstLine="0"/>
              <w:rPr>
                <w:sz w:val="18"/>
                <w:szCs w:val="16"/>
              </w:rPr>
            </w:pPr>
            <w:r w:rsidRPr="004D32B5">
              <w:rPr>
                <w:sz w:val="18"/>
                <w:szCs w:val="16"/>
              </w:rPr>
              <w:t>2762</w:t>
            </w:r>
          </w:p>
        </w:tc>
      </w:tr>
    </w:tbl>
    <w:p w14:paraId="64C0CFFE" w14:textId="77777777" w:rsidR="00EF6DA2" w:rsidRDefault="00EF6DA2" w:rsidP="00EF6DA2">
      <w:pPr>
        <w:widowControl w:val="0"/>
        <w:spacing w:line="240" w:lineRule="auto"/>
        <w:ind w:firstLine="0"/>
        <w:jc w:val="left"/>
        <w:rPr>
          <w:sz w:val="18"/>
          <w:szCs w:val="18"/>
        </w:rPr>
      </w:pPr>
    </w:p>
    <w:p w14:paraId="53F82E45" w14:textId="0CB2E468" w:rsidR="00552C1C" w:rsidRDefault="00EF6DA2" w:rsidP="00EF6DA2">
      <w:pPr>
        <w:widowControl w:val="0"/>
        <w:spacing w:line="240" w:lineRule="auto"/>
        <w:ind w:firstLine="0"/>
        <w:jc w:val="left"/>
        <w:rPr>
          <w:sz w:val="18"/>
          <w:szCs w:val="18"/>
        </w:rPr>
      </w:pPr>
      <w:r>
        <w:rPr>
          <w:sz w:val="18"/>
          <w:szCs w:val="18"/>
        </w:rPr>
        <w:t xml:space="preserve">Notes: *** p&lt;0.01, ** p&lt;0.05, * p&lt;0.1, heteroscedascity-robust standard errors used to calculate regressors’ level of significance. </w:t>
      </w:r>
      <w:r w:rsidR="00552C1C">
        <w:rPr>
          <w:sz w:val="18"/>
          <w:szCs w:val="18"/>
        </w:rPr>
        <w:t>See</w:t>
      </w:r>
      <w:r w:rsidR="00247A6B">
        <w:rPr>
          <w:sz w:val="18"/>
          <w:szCs w:val="18"/>
        </w:rPr>
        <w:t xml:space="preserve"> Table A2 of the </w:t>
      </w:r>
      <w:r w:rsidR="000D1AF4">
        <w:rPr>
          <w:sz w:val="18"/>
          <w:szCs w:val="18"/>
        </w:rPr>
        <w:t>S</w:t>
      </w:r>
      <w:r w:rsidR="00552C1C">
        <w:rPr>
          <w:sz w:val="18"/>
          <w:szCs w:val="18"/>
        </w:rPr>
        <w:t xml:space="preserve">upplementary </w:t>
      </w:r>
      <w:r w:rsidR="000D1AF4">
        <w:rPr>
          <w:sz w:val="18"/>
          <w:szCs w:val="18"/>
        </w:rPr>
        <w:t>Appendix</w:t>
      </w:r>
      <w:r w:rsidR="00552C1C">
        <w:rPr>
          <w:sz w:val="18"/>
          <w:szCs w:val="18"/>
        </w:rPr>
        <w:t xml:space="preserve"> for complete econometric output. </w:t>
      </w:r>
    </w:p>
    <w:p w14:paraId="7313F597" w14:textId="77777777" w:rsidR="00EF6DA2" w:rsidRDefault="00EF6DA2" w:rsidP="00EF6DA2">
      <w:pPr>
        <w:widowControl w:val="0"/>
        <w:spacing w:line="240" w:lineRule="auto"/>
        <w:ind w:firstLine="0"/>
        <w:jc w:val="left"/>
        <w:rPr>
          <w:sz w:val="18"/>
          <w:szCs w:val="18"/>
        </w:rPr>
      </w:pPr>
    </w:p>
    <w:p w14:paraId="5FC18A9B" w14:textId="77777777" w:rsidR="00EF6DA2" w:rsidRDefault="00EF6DA2" w:rsidP="00EF6DA2">
      <w:pPr>
        <w:widowControl w:val="0"/>
        <w:spacing w:line="240" w:lineRule="auto"/>
        <w:ind w:firstLine="0"/>
        <w:jc w:val="left"/>
      </w:pPr>
      <w:r>
        <w:rPr>
          <w:sz w:val="18"/>
          <w:szCs w:val="18"/>
        </w:rPr>
        <w:t xml:space="preserve">Source: Gallup Balkan Monitor survey and authors’ calculations.  </w:t>
      </w:r>
    </w:p>
    <w:p w14:paraId="1EEF33C1" w14:textId="77777777" w:rsidR="00EF6DA2" w:rsidRDefault="00EF6DA2" w:rsidP="00EF6DA2">
      <w:pPr>
        <w:widowControl w:val="0"/>
        <w:spacing w:line="240" w:lineRule="auto"/>
        <w:ind w:firstLine="0"/>
        <w:jc w:val="left"/>
      </w:pPr>
    </w:p>
    <w:p w14:paraId="59A1259D" w14:textId="77777777" w:rsidR="00EF6DA2" w:rsidRDefault="00EF6DA2" w:rsidP="00EF6DA2">
      <w:pPr>
        <w:spacing w:line="360" w:lineRule="auto"/>
        <w:ind w:firstLine="0"/>
        <w:jc w:val="left"/>
      </w:pPr>
    </w:p>
    <w:p w14:paraId="162CE236" w14:textId="535228F9" w:rsidR="005050FF" w:rsidRDefault="00EC6BE8" w:rsidP="004F2FD8">
      <w:pPr>
        <w:widowControl w:val="0"/>
        <w:spacing w:line="480" w:lineRule="auto"/>
        <w:ind w:firstLine="0"/>
        <w:jc w:val="left"/>
      </w:pPr>
      <w:r>
        <w:t>Note that the effects of the migration-related variables, presented above, have been obtained while</w:t>
      </w:r>
      <w:r>
        <w:rPr>
          <w:color w:val="0000FF"/>
        </w:rPr>
        <w:t xml:space="preserve"> </w:t>
      </w:r>
      <w:r>
        <w:t xml:space="preserve">keeping ‘informedness about the EU’ </w:t>
      </w:r>
      <w:r>
        <w:lastRenderedPageBreak/>
        <w:t xml:space="preserve">constant. </w:t>
      </w:r>
      <w:r w:rsidR="0075471F">
        <w:t>‘</w:t>
      </w:r>
      <w:r>
        <w:t>Informedness</w:t>
      </w:r>
      <w:r w:rsidR="0075471F">
        <w:t>’</w:t>
      </w:r>
      <w:r>
        <w:t xml:space="preserve"> was included as a control in all regressions of Table 1, and, as expected, being well informed about the EU is a positive and statistically significant predictor of positive attitudes toward EU membership (both voting favorably in </w:t>
      </w:r>
      <w:r w:rsidR="00B30B95">
        <w:t>an EU</w:t>
      </w:r>
      <w:r>
        <w:t xml:space="preserve"> referendum and considering EU membership a good thing)</w:t>
      </w:r>
      <w:r>
        <w:rPr>
          <w:color w:val="0000FF"/>
        </w:rPr>
        <w:t>.</w:t>
      </w:r>
    </w:p>
    <w:p w14:paraId="52EEF3DA" w14:textId="77777777" w:rsidR="005050FF" w:rsidRDefault="005050FF" w:rsidP="004F2FD8">
      <w:pPr>
        <w:widowControl w:val="0"/>
        <w:spacing w:line="480" w:lineRule="auto"/>
        <w:ind w:firstLine="0"/>
        <w:jc w:val="left"/>
      </w:pPr>
    </w:p>
    <w:p w14:paraId="340DE1EA" w14:textId="57A2889D" w:rsidR="005050FF" w:rsidRDefault="00EC6BE8" w:rsidP="004F2FD8">
      <w:pPr>
        <w:widowControl w:val="0"/>
        <w:spacing w:line="480" w:lineRule="auto"/>
        <w:ind w:firstLine="0"/>
        <w:jc w:val="left"/>
      </w:pPr>
      <w:r>
        <w:t>W</w:t>
      </w:r>
      <w:r w:rsidR="00821CE4">
        <w:t>e have, however, also hypothesiz</w:t>
      </w:r>
      <w:r>
        <w:t>ed that migration-related variables can have an independent effect on being well informed about the EU. The empirical test of this hypothesis is presented in Table 2. Having worked or studied in the EU has a positive and statistically significant correlation with the pro</w:t>
      </w:r>
      <w:r w:rsidR="00A3187F">
        <w:t>bability of being well</w:t>
      </w:r>
      <w:r w:rsidR="00704276">
        <w:t xml:space="preserve"> </w:t>
      </w:r>
      <w:r w:rsidR="00A3187F">
        <w:t>informed</w:t>
      </w:r>
      <w:r>
        <w:t xml:space="preserve"> about the EU. The coefficient of </w:t>
      </w:r>
      <w:r w:rsidRPr="00C777CE">
        <w:t>the relatives</w:t>
      </w:r>
      <w:r w:rsidR="00C777CE" w:rsidRPr="00C777CE">
        <w:t>-in-the-</w:t>
      </w:r>
      <w:r w:rsidRPr="00C777CE">
        <w:t>EU</w:t>
      </w:r>
      <w:r>
        <w:t xml:space="preserve"> variable is positive but statistically insignificant. Interestingly, controlling for work/study experience in the EU and for having relatives in the EU, people </w:t>
      </w:r>
      <w:r w:rsidR="00CA291E">
        <w:t xml:space="preserve">willing to move </w:t>
      </w:r>
      <w:r>
        <w:t xml:space="preserve">to the EU are somewhat less likely to say they are well informed </w:t>
      </w:r>
      <w:r>
        <w:lastRenderedPageBreak/>
        <w:t xml:space="preserve">about the EU (Column 4 of Table 2). The results thus provide support for H3b, but not H1b </w:t>
      </w:r>
      <w:r w:rsidR="0081240B">
        <w:t xml:space="preserve">or </w:t>
      </w:r>
      <w:r>
        <w:t xml:space="preserve">H2b. </w:t>
      </w:r>
    </w:p>
    <w:p w14:paraId="13A0A12E" w14:textId="77777777" w:rsidR="00382316" w:rsidRDefault="00382316" w:rsidP="00EF6DA2">
      <w:pPr>
        <w:widowControl w:val="0"/>
        <w:spacing w:line="360" w:lineRule="auto"/>
        <w:ind w:firstLine="0"/>
        <w:jc w:val="left"/>
      </w:pPr>
    </w:p>
    <w:p w14:paraId="14542D04" w14:textId="77777777" w:rsidR="006E76D3" w:rsidRDefault="006E76D3" w:rsidP="005C054E">
      <w:pPr>
        <w:widowControl w:val="0"/>
        <w:spacing w:line="240" w:lineRule="auto"/>
        <w:ind w:firstLine="0"/>
        <w:jc w:val="left"/>
        <w:rPr>
          <w:b/>
          <w:i/>
        </w:rPr>
      </w:pPr>
    </w:p>
    <w:p w14:paraId="7C4FBAFB" w14:textId="77777777" w:rsidR="004F2FD8" w:rsidRDefault="004F2FD8">
      <w:pPr>
        <w:rPr>
          <w:b/>
          <w:i/>
        </w:rPr>
      </w:pPr>
      <w:r>
        <w:rPr>
          <w:b/>
          <w:i/>
        </w:rPr>
        <w:br w:type="page"/>
      </w:r>
    </w:p>
    <w:p w14:paraId="19C528CB" w14:textId="77777777" w:rsidR="005C054E" w:rsidRDefault="005C054E" w:rsidP="005C054E">
      <w:pPr>
        <w:widowControl w:val="0"/>
        <w:spacing w:line="240" w:lineRule="auto"/>
        <w:ind w:firstLine="0"/>
        <w:jc w:val="left"/>
      </w:pPr>
      <w:r>
        <w:rPr>
          <w:b/>
          <w:i/>
        </w:rPr>
        <w:lastRenderedPageBreak/>
        <w:t>Table 2: Migration and informedness about the EU</w:t>
      </w:r>
    </w:p>
    <w:p w14:paraId="3BBAC618" w14:textId="77777777" w:rsidR="005C054E" w:rsidRDefault="005C054E" w:rsidP="005C054E">
      <w:pPr>
        <w:widowControl w:val="0"/>
        <w:spacing w:line="240" w:lineRule="auto"/>
        <w:ind w:firstLine="0"/>
      </w:pPr>
    </w:p>
    <w:tbl>
      <w:tblPr>
        <w:tblStyle w:val="a0"/>
        <w:tblW w:w="9487" w:type="dxa"/>
        <w:jc w:val="center"/>
        <w:tblLayout w:type="fixed"/>
        <w:tblLook w:val="0000" w:firstRow="0" w:lastRow="0" w:firstColumn="0" w:lastColumn="0" w:noHBand="0" w:noVBand="0"/>
      </w:tblPr>
      <w:tblGrid>
        <w:gridCol w:w="3243"/>
        <w:gridCol w:w="1440"/>
        <w:gridCol w:w="1440"/>
        <w:gridCol w:w="1440"/>
        <w:gridCol w:w="1924"/>
      </w:tblGrid>
      <w:tr w:rsidR="005C054E" w14:paraId="62484E3A" w14:textId="77777777" w:rsidTr="00A71F95">
        <w:trPr>
          <w:jc w:val="center"/>
        </w:trPr>
        <w:tc>
          <w:tcPr>
            <w:tcW w:w="3243" w:type="dxa"/>
            <w:tcBorders>
              <w:top w:val="single" w:sz="6" w:space="0" w:color="000000"/>
              <w:left w:val="nil"/>
              <w:right w:val="nil"/>
            </w:tcBorders>
          </w:tcPr>
          <w:p w14:paraId="074E521A" w14:textId="77777777" w:rsidR="005C054E" w:rsidRDefault="005C054E" w:rsidP="00A71F95">
            <w:pPr>
              <w:widowControl w:val="0"/>
              <w:spacing w:line="240" w:lineRule="auto"/>
              <w:ind w:firstLine="0"/>
              <w:jc w:val="left"/>
            </w:pPr>
          </w:p>
        </w:tc>
        <w:tc>
          <w:tcPr>
            <w:tcW w:w="6244" w:type="dxa"/>
            <w:gridSpan w:val="4"/>
            <w:tcBorders>
              <w:top w:val="single" w:sz="6" w:space="0" w:color="000000"/>
              <w:left w:val="nil"/>
              <w:bottom w:val="single" w:sz="4" w:space="0" w:color="auto"/>
              <w:right w:val="nil"/>
            </w:tcBorders>
          </w:tcPr>
          <w:p w14:paraId="62B05894" w14:textId="77777777" w:rsidR="005C054E" w:rsidRDefault="005C054E" w:rsidP="00A71F95">
            <w:pPr>
              <w:widowControl w:val="0"/>
              <w:spacing w:line="240" w:lineRule="auto"/>
              <w:ind w:firstLine="0"/>
            </w:pPr>
            <w:r>
              <w:rPr>
                <w:sz w:val="18"/>
                <w:szCs w:val="18"/>
              </w:rPr>
              <w:t xml:space="preserve">Dependent variable: </w:t>
            </w:r>
          </w:p>
          <w:p w14:paraId="22431B41" w14:textId="77777777" w:rsidR="005C054E" w:rsidRDefault="005C054E" w:rsidP="00A71F95">
            <w:pPr>
              <w:widowControl w:val="0"/>
              <w:spacing w:line="240" w:lineRule="auto"/>
              <w:ind w:firstLine="0"/>
            </w:pPr>
            <w:r>
              <w:rPr>
                <w:sz w:val="18"/>
                <w:szCs w:val="18"/>
              </w:rPr>
              <w:t xml:space="preserve">Well informed about the EU; </w:t>
            </w:r>
          </w:p>
          <w:p w14:paraId="03795F43" w14:textId="77777777" w:rsidR="005C054E" w:rsidRDefault="005C054E" w:rsidP="00A71F95">
            <w:pPr>
              <w:widowControl w:val="0"/>
              <w:spacing w:line="240" w:lineRule="auto"/>
              <w:ind w:firstLine="0"/>
            </w:pPr>
            <w:r>
              <w:rPr>
                <w:sz w:val="18"/>
                <w:szCs w:val="18"/>
              </w:rPr>
              <w:t>ordered probit coefficients</w:t>
            </w:r>
          </w:p>
        </w:tc>
      </w:tr>
      <w:tr w:rsidR="005C054E" w14:paraId="41A2884E" w14:textId="77777777" w:rsidTr="00A71F95">
        <w:trPr>
          <w:jc w:val="center"/>
        </w:trPr>
        <w:tc>
          <w:tcPr>
            <w:tcW w:w="3243" w:type="dxa"/>
            <w:tcBorders>
              <w:left w:val="nil"/>
              <w:bottom w:val="single" w:sz="4" w:space="0" w:color="000000"/>
            </w:tcBorders>
            <w:vAlign w:val="center"/>
          </w:tcPr>
          <w:p w14:paraId="0AEDEC74" w14:textId="77777777" w:rsidR="005C054E" w:rsidRDefault="005C054E" w:rsidP="00A71F95">
            <w:pPr>
              <w:widowControl w:val="0"/>
              <w:spacing w:line="240" w:lineRule="auto"/>
              <w:ind w:firstLine="0"/>
            </w:pPr>
          </w:p>
        </w:tc>
        <w:tc>
          <w:tcPr>
            <w:tcW w:w="1440" w:type="dxa"/>
            <w:tcBorders>
              <w:top w:val="single" w:sz="4" w:space="0" w:color="auto"/>
              <w:bottom w:val="single" w:sz="4" w:space="0" w:color="000000"/>
            </w:tcBorders>
            <w:vAlign w:val="center"/>
          </w:tcPr>
          <w:p w14:paraId="6494C866" w14:textId="77777777" w:rsidR="005C054E" w:rsidRDefault="005C054E" w:rsidP="00A71F95">
            <w:pPr>
              <w:widowControl w:val="0"/>
              <w:spacing w:line="240" w:lineRule="auto"/>
              <w:ind w:firstLine="0"/>
            </w:pPr>
            <w:r>
              <w:rPr>
                <w:sz w:val="16"/>
                <w:szCs w:val="16"/>
              </w:rPr>
              <w:t>(1)</w:t>
            </w:r>
          </w:p>
        </w:tc>
        <w:tc>
          <w:tcPr>
            <w:tcW w:w="1440" w:type="dxa"/>
            <w:tcBorders>
              <w:top w:val="single" w:sz="4" w:space="0" w:color="auto"/>
              <w:bottom w:val="single" w:sz="4" w:space="0" w:color="000000"/>
            </w:tcBorders>
            <w:vAlign w:val="center"/>
          </w:tcPr>
          <w:p w14:paraId="3AD8DBFA" w14:textId="77777777" w:rsidR="005C054E" w:rsidRDefault="005C054E" w:rsidP="00A71F95">
            <w:pPr>
              <w:widowControl w:val="0"/>
              <w:spacing w:line="240" w:lineRule="auto"/>
              <w:ind w:firstLine="0"/>
            </w:pPr>
            <w:r>
              <w:rPr>
                <w:sz w:val="16"/>
                <w:szCs w:val="16"/>
              </w:rPr>
              <w:t>(2)</w:t>
            </w:r>
          </w:p>
        </w:tc>
        <w:tc>
          <w:tcPr>
            <w:tcW w:w="1440" w:type="dxa"/>
            <w:tcBorders>
              <w:top w:val="single" w:sz="4" w:space="0" w:color="auto"/>
              <w:bottom w:val="single" w:sz="4" w:space="0" w:color="000000"/>
            </w:tcBorders>
            <w:vAlign w:val="center"/>
          </w:tcPr>
          <w:p w14:paraId="2C7BE761" w14:textId="77777777" w:rsidR="005C054E" w:rsidRDefault="005C054E" w:rsidP="00A71F95">
            <w:pPr>
              <w:widowControl w:val="0"/>
              <w:spacing w:line="240" w:lineRule="auto"/>
              <w:ind w:firstLine="0"/>
            </w:pPr>
            <w:r>
              <w:rPr>
                <w:sz w:val="16"/>
                <w:szCs w:val="16"/>
              </w:rPr>
              <w:t>(3)</w:t>
            </w:r>
          </w:p>
        </w:tc>
        <w:tc>
          <w:tcPr>
            <w:tcW w:w="1924" w:type="dxa"/>
            <w:tcBorders>
              <w:top w:val="single" w:sz="4" w:space="0" w:color="auto"/>
              <w:bottom w:val="single" w:sz="4" w:space="0" w:color="000000"/>
            </w:tcBorders>
            <w:vAlign w:val="center"/>
          </w:tcPr>
          <w:p w14:paraId="28683ABF" w14:textId="77777777" w:rsidR="005C054E" w:rsidRDefault="005C054E" w:rsidP="00A71F95">
            <w:pPr>
              <w:widowControl w:val="0"/>
              <w:spacing w:line="240" w:lineRule="auto"/>
              <w:ind w:firstLine="0"/>
            </w:pPr>
            <w:r>
              <w:rPr>
                <w:sz w:val="16"/>
                <w:szCs w:val="16"/>
              </w:rPr>
              <w:t>(4)</w:t>
            </w:r>
          </w:p>
        </w:tc>
      </w:tr>
      <w:tr w:rsidR="005C054E" w14:paraId="72CA7AE2" w14:textId="77777777" w:rsidTr="00A71F95">
        <w:trPr>
          <w:jc w:val="center"/>
        </w:trPr>
        <w:tc>
          <w:tcPr>
            <w:tcW w:w="3243" w:type="dxa"/>
            <w:tcBorders>
              <w:top w:val="single" w:sz="4" w:space="0" w:color="000000"/>
              <w:left w:val="nil"/>
              <w:bottom w:val="nil"/>
              <w:right w:val="nil"/>
            </w:tcBorders>
          </w:tcPr>
          <w:p w14:paraId="1353E6CA" w14:textId="77777777" w:rsidR="005C054E" w:rsidRDefault="005C054E" w:rsidP="00A71F95">
            <w:pPr>
              <w:widowControl w:val="0"/>
              <w:spacing w:line="240" w:lineRule="auto"/>
              <w:ind w:firstLine="0"/>
              <w:jc w:val="left"/>
            </w:pPr>
          </w:p>
        </w:tc>
        <w:tc>
          <w:tcPr>
            <w:tcW w:w="1440" w:type="dxa"/>
            <w:tcBorders>
              <w:top w:val="single" w:sz="4" w:space="0" w:color="000000"/>
              <w:left w:val="nil"/>
              <w:bottom w:val="nil"/>
              <w:right w:val="nil"/>
            </w:tcBorders>
          </w:tcPr>
          <w:p w14:paraId="14C98DAE" w14:textId="77777777" w:rsidR="005C054E" w:rsidRDefault="005C054E" w:rsidP="00A71F95">
            <w:pPr>
              <w:widowControl w:val="0"/>
              <w:spacing w:line="240" w:lineRule="auto"/>
              <w:ind w:firstLine="0"/>
            </w:pPr>
          </w:p>
        </w:tc>
        <w:tc>
          <w:tcPr>
            <w:tcW w:w="1440" w:type="dxa"/>
            <w:tcBorders>
              <w:top w:val="single" w:sz="4" w:space="0" w:color="000000"/>
              <w:left w:val="nil"/>
              <w:bottom w:val="nil"/>
              <w:right w:val="nil"/>
            </w:tcBorders>
          </w:tcPr>
          <w:p w14:paraId="134D0BD4" w14:textId="77777777" w:rsidR="005C054E" w:rsidRDefault="005C054E" w:rsidP="00A71F95">
            <w:pPr>
              <w:widowControl w:val="0"/>
              <w:spacing w:line="240" w:lineRule="auto"/>
              <w:ind w:firstLine="0"/>
            </w:pPr>
          </w:p>
        </w:tc>
        <w:tc>
          <w:tcPr>
            <w:tcW w:w="1440" w:type="dxa"/>
            <w:tcBorders>
              <w:top w:val="single" w:sz="4" w:space="0" w:color="000000"/>
              <w:left w:val="nil"/>
              <w:bottom w:val="nil"/>
              <w:right w:val="nil"/>
            </w:tcBorders>
          </w:tcPr>
          <w:p w14:paraId="0DCB7FA9" w14:textId="77777777" w:rsidR="005C054E" w:rsidRDefault="005C054E" w:rsidP="00A71F95">
            <w:pPr>
              <w:widowControl w:val="0"/>
              <w:spacing w:line="240" w:lineRule="auto"/>
              <w:ind w:firstLine="0"/>
            </w:pPr>
          </w:p>
        </w:tc>
        <w:tc>
          <w:tcPr>
            <w:tcW w:w="1924" w:type="dxa"/>
            <w:tcBorders>
              <w:top w:val="single" w:sz="4" w:space="0" w:color="000000"/>
              <w:left w:val="nil"/>
              <w:bottom w:val="nil"/>
              <w:right w:val="nil"/>
            </w:tcBorders>
          </w:tcPr>
          <w:p w14:paraId="52ED4059" w14:textId="77777777" w:rsidR="005C054E" w:rsidRDefault="005C054E" w:rsidP="00A71F95">
            <w:pPr>
              <w:widowControl w:val="0"/>
              <w:spacing w:line="240" w:lineRule="auto"/>
              <w:ind w:firstLine="0"/>
            </w:pPr>
          </w:p>
        </w:tc>
      </w:tr>
      <w:tr w:rsidR="005C054E" w14:paraId="7ACFE9FF" w14:textId="77777777" w:rsidTr="00A71F95">
        <w:trPr>
          <w:trHeight w:hRule="exact" w:val="255"/>
          <w:jc w:val="center"/>
        </w:trPr>
        <w:tc>
          <w:tcPr>
            <w:tcW w:w="3243" w:type="dxa"/>
            <w:tcBorders>
              <w:top w:val="nil"/>
              <w:left w:val="nil"/>
              <w:bottom w:val="nil"/>
              <w:right w:val="nil"/>
            </w:tcBorders>
          </w:tcPr>
          <w:p w14:paraId="5CD92729" w14:textId="0AC594C2" w:rsidR="005C054E" w:rsidRPr="006F5043" w:rsidRDefault="00CA291E" w:rsidP="00A71F95">
            <w:pPr>
              <w:widowControl w:val="0"/>
              <w:spacing w:line="240" w:lineRule="auto"/>
              <w:ind w:firstLine="0"/>
              <w:jc w:val="left"/>
              <w:rPr>
                <w:b/>
                <w:color w:val="auto"/>
              </w:rPr>
            </w:pPr>
            <w:r>
              <w:rPr>
                <w:b/>
                <w:color w:val="auto"/>
                <w:sz w:val="18"/>
                <w:szCs w:val="18"/>
              </w:rPr>
              <w:t>Willing</w:t>
            </w:r>
            <w:r w:rsidR="005C054E" w:rsidRPr="006F5043">
              <w:rPr>
                <w:b/>
                <w:color w:val="auto"/>
                <w:sz w:val="18"/>
                <w:szCs w:val="18"/>
              </w:rPr>
              <w:t xml:space="preserve"> to move to the EU</w:t>
            </w:r>
          </w:p>
        </w:tc>
        <w:tc>
          <w:tcPr>
            <w:tcW w:w="1440" w:type="dxa"/>
            <w:tcBorders>
              <w:top w:val="nil"/>
              <w:left w:val="nil"/>
              <w:bottom w:val="nil"/>
              <w:right w:val="nil"/>
            </w:tcBorders>
          </w:tcPr>
          <w:p w14:paraId="11C041DD" w14:textId="77777777" w:rsidR="005C054E" w:rsidRDefault="005C054E" w:rsidP="00A71F95">
            <w:pPr>
              <w:widowControl w:val="0"/>
              <w:spacing w:line="240" w:lineRule="auto"/>
              <w:ind w:firstLine="0"/>
            </w:pPr>
            <w:r>
              <w:rPr>
                <w:sz w:val="18"/>
                <w:szCs w:val="18"/>
              </w:rPr>
              <w:t>-0.031</w:t>
            </w:r>
          </w:p>
        </w:tc>
        <w:tc>
          <w:tcPr>
            <w:tcW w:w="1440" w:type="dxa"/>
            <w:tcBorders>
              <w:top w:val="nil"/>
              <w:left w:val="nil"/>
              <w:bottom w:val="nil"/>
              <w:right w:val="nil"/>
            </w:tcBorders>
          </w:tcPr>
          <w:p w14:paraId="17AB7954" w14:textId="77777777" w:rsidR="005C054E" w:rsidRDefault="005C054E" w:rsidP="00A71F95">
            <w:pPr>
              <w:widowControl w:val="0"/>
              <w:spacing w:line="240" w:lineRule="auto"/>
              <w:ind w:firstLine="0"/>
            </w:pPr>
            <w:r>
              <w:rPr>
                <w:sz w:val="18"/>
                <w:szCs w:val="18"/>
              </w:rPr>
              <w:t>-</w:t>
            </w:r>
          </w:p>
        </w:tc>
        <w:tc>
          <w:tcPr>
            <w:tcW w:w="1440" w:type="dxa"/>
            <w:tcBorders>
              <w:top w:val="nil"/>
              <w:left w:val="nil"/>
              <w:bottom w:val="nil"/>
              <w:right w:val="nil"/>
            </w:tcBorders>
          </w:tcPr>
          <w:p w14:paraId="285A4E47" w14:textId="77777777" w:rsidR="005C054E" w:rsidRDefault="005C054E" w:rsidP="00A71F95">
            <w:pPr>
              <w:widowControl w:val="0"/>
              <w:spacing w:line="240" w:lineRule="auto"/>
              <w:ind w:firstLine="0"/>
            </w:pPr>
            <w:r>
              <w:rPr>
                <w:sz w:val="18"/>
                <w:szCs w:val="18"/>
              </w:rPr>
              <w:t>-</w:t>
            </w:r>
          </w:p>
        </w:tc>
        <w:tc>
          <w:tcPr>
            <w:tcW w:w="1924" w:type="dxa"/>
            <w:tcBorders>
              <w:top w:val="nil"/>
              <w:left w:val="nil"/>
              <w:bottom w:val="nil"/>
              <w:right w:val="nil"/>
            </w:tcBorders>
          </w:tcPr>
          <w:p w14:paraId="2B79CD90" w14:textId="77777777" w:rsidR="005C054E" w:rsidRDefault="005C054E" w:rsidP="00A71F95">
            <w:pPr>
              <w:widowControl w:val="0"/>
              <w:spacing w:line="240" w:lineRule="auto"/>
              <w:ind w:firstLine="0"/>
            </w:pPr>
            <w:r>
              <w:rPr>
                <w:sz w:val="18"/>
                <w:szCs w:val="18"/>
              </w:rPr>
              <w:t>-0.056*</w:t>
            </w:r>
          </w:p>
        </w:tc>
      </w:tr>
      <w:tr w:rsidR="005C054E" w14:paraId="064AB0CC" w14:textId="77777777" w:rsidTr="00A71F95">
        <w:trPr>
          <w:trHeight w:hRule="exact" w:val="255"/>
          <w:jc w:val="center"/>
        </w:trPr>
        <w:tc>
          <w:tcPr>
            <w:tcW w:w="3243" w:type="dxa"/>
            <w:tcBorders>
              <w:top w:val="nil"/>
              <w:left w:val="nil"/>
              <w:bottom w:val="nil"/>
              <w:right w:val="nil"/>
            </w:tcBorders>
          </w:tcPr>
          <w:p w14:paraId="1550CFEE" w14:textId="77777777" w:rsidR="005C054E" w:rsidRPr="006F5043" w:rsidRDefault="005C054E" w:rsidP="00A71F95">
            <w:pPr>
              <w:widowControl w:val="0"/>
              <w:spacing w:line="240" w:lineRule="auto"/>
              <w:ind w:firstLine="0"/>
              <w:jc w:val="left"/>
              <w:rPr>
                <w:b/>
                <w:color w:val="auto"/>
              </w:rPr>
            </w:pPr>
            <w:r w:rsidRPr="006F5043">
              <w:rPr>
                <w:b/>
                <w:color w:val="auto"/>
                <w:sz w:val="18"/>
                <w:szCs w:val="18"/>
              </w:rPr>
              <w:t>Relatives in the EU</w:t>
            </w:r>
          </w:p>
        </w:tc>
        <w:tc>
          <w:tcPr>
            <w:tcW w:w="1440" w:type="dxa"/>
            <w:tcBorders>
              <w:top w:val="nil"/>
              <w:left w:val="nil"/>
              <w:bottom w:val="nil"/>
              <w:right w:val="nil"/>
            </w:tcBorders>
          </w:tcPr>
          <w:p w14:paraId="58458D57" w14:textId="77777777" w:rsidR="005C054E" w:rsidRDefault="005C054E" w:rsidP="00A71F95">
            <w:pPr>
              <w:widowControl w:val="0"/>
              <w:spacing w:line="240" w:lineRule="auto"/>
              <w:ind w:firstLine="0"/>
            </w:pPr>
            <w:r>
              <w:rPr>
                <w:sz w:val="18"/>
                <w:szCs w:val="18"/>
              </w:rPr>
              <w:t>-</w:t>
            </w:r>
          </w:p>
        </w:tc>
        <w:tc>
          <w:tcPr>
            <w:tcW w:w="1440" w:type="dxa"/>
            <w:tcBorders>
              <w:top w:val="nil"/>
              <w:left w:val="nil"/>
              <w:bottom w:val="nil"/>
              <w:right w:val="nil"/>
            </w:tcBorders>
          </w:tcPr>
          <w:p w14:paraId="7F4C1F10" w14:textId="77777777" w:rsidR="005C054E" w:rsidRDefault="005C054E" w:rsidP="00A71F95">
            <w:pPr>
              <w:widowControl w:val="0"/>
              <w:spacing w:line="240" w:lineRule="auto"/>
              <w:ind w:firstLine="0"/>
            </w:pPr>
            <w:r>
              <w:rPr>
                <w:sz w:val="18"/>
                <w:szCs w:val="18"/>
              </w:rPr>
              <w:t>0.029</w:t>
            </w:r>
          </w:p>
        </w:tc>
        <w:tc>
          <w:tcPr>
            <w:tcW w:w="1440" w:type="dxa"/>
            <w:tcBorders>
              <w:top w:val="nil"/>
              <w:left w:val="nil"/>
              <w:bottom w:val="nil"/>
              <w:right w:val="nil"/>
            </w:tcBorders>
          </w:tcPr>
          <w:p w14:paraId="2650AE90" w14:textId="77777777" w:rsidR="005C054E" w:rsidRDefault="005C054E" w:rsidP="00A71F95">
            <w:pPr>
              <w:widowControl w:val="0"/>
              <w:spacing w:line="240" w:lineRule="auto"/>
              <w:ind w:firstLine="0"/>
            </w:pPr>
            <w:r>
              <w:rPr>
                <w:sz w:val="18"/>
                <w:szCs w:val="18"/>
              </w:rPr>
              <w:t>-</w:t>
            </w:r>
          </w:p>
        </w:tc>
        <w:tc>
          <w:tcPr>
            <w:tcW w:w="1924" w:type="dxa"/>
            <w:tcBorders>
              <w:top w:val="nil"/>
              <w:left w:val="nil"/>
              <w:bottom w:val="nil"/>
              <w:right w:val="nil"/>
            </w:tcBorders>
          </w:tcPr>
          <w:p w14:paraId="004586A2" w14:textId="77777777" w:rsidR="005C054E" w:rsidRDefault="005C054E" w:rsidP="00A71F95">
            <w:pPr>
              <w:widowControl w:val="0"/>
              <w:spacing w:line="240" w:lineRule="auto"/>
              <w:ind w:firstLine="0"/>
            </w:pPr>
            <w:r>
              <w:rPr>
                <w:sz w:val="18"/>
                <w:szCs w:val="18"/>
              </w:rPr>
              <w:t>0.019</w:t>
            </w:r>
          </w:p>
        </w:tc>
      </w:tr>
      <w:tr w:rsidR="005C054E" w14:paraId="6DCF9BBB" w14:textId="77777777" w:rsidTr="00A71F95">
        <w:trPr>
          <w:trHeight w:hRule="exact" w:val="255"/>
          <w:jc w:val="center"/>
        </w:trPr>
        <w:tc>
          <w:tcPr>
            <w:tcW w:w="3243" w:type="dxa"/>
            <w:tcBorders>
              <w:top w:val="nil"/>
              <w:left w:val="nil"/>
              <w:bottom w:val="nil"/>
              <w:right w:val="nil"/>
            </w:tcBorders>
          </w:tcPr>
          <w:p w14:paraId="7A6D4192" w14:textId="77777777" w:rsidR="005C054E" w:rsidRPr="006F5043" w:rsidRDefault="005C054E" w:rsidP="00A71F95">
            <w:pPr>
              <w:widowControl w:val="0"/>
              <w:spacing w:line="240" w:lineRule="auto"/>
              <w:ind w:firstLine="0"/>
              <w:jc w:val="left"/>
              <w:rPr>
                <w:b/>
                <w:color w:val="auto"/>
              </w:rPr>
            </w:pPr>
            <w:r w:rsidRPr="006F5043">
              <w:rPr>
                <w:b/>
                <w:color w:val="auto"/>
                <w:sz w:val="18"/>
                <w:szCs w:val="18"/>
              </w:rPr>
              <w:t>EU return migrant</w:t>
            </w:r>
          </w:p>
        </w:tc>
        <w:tc>
          <w:tcPr>
            <w:tcW w:w="1440" w:type="dxa"/>
            <w:tcBorders>
              <w:top w:val="nil"/>
              <w:left w:val="nil"/>
              <w:bottom w:val="nil"/>
              <w:right w:val="nil"/>
            </w:tcBorders>
          </w:tcPr>
          <w:p w14:paraId="4C7986D8" w14:textId="77777777" w:rsidR="005C054E" w:rsidRDefault="005C054E" w:rsidP="00A71F95">
            <w:pPr>
              <w:widowControl w:val="0"/>
              <w:spacing w:line="240" w:lineRule="auto"/>
              <w:ind w:firstLine="0"/>
            </w:pPr>
            <w:r>
              <w:rPr>
                <w:sz w:val="18"/>
                <w:szCs w:val="18"/>
              </w:rPr>
              <w:t>-</w:t>
            </w:r>
          </w:p>
        </w:tc>
        <w:tc>
          <w:tcPr>
            <w:tcW w:w="1440" w:type="dxa"/>
            <w:tcBorders>
              <w:top w:val="nil"/>
              <w:left w:val="nil"/>
              <w:bottom w:val="nil"/>
              <w:right w:val="nil"/>
            </w:tcBorders>
          </w:tcPr>
          <w:p w14:paraId="6D36E974" w14:textId="77777777" w:rsidR="005C054E" w:rsidRDefault="005C054E" w:rsidP="00A71F95">
            <w:pPr>
              <w:widowControl w:val="0"/>
              <w:spacing w:line="240" w:lineRule="auto"/>
              <w:ind w:firstLine="0"/>
            </w:pPr>
            <w:r>
              <w:rPr>
                <w:sz w:val="18"/>
                <w:szCs w:val="18"/>
              </w:rPr>
              <w:t>-</w:t>
            </w:r>
          </w:p>
        </w:tc>
        <w:tc>
          <w:tcPr>
            <w:tcW w:w="1440" w:type="dxa"/>
            <w:tcBorders>
              <w:top w:val="nil"/>
              <w:left w:val="nil"/>
              <w:bottom w:val="nil"/>
              <w:right w:val="nil"/>
            </w:tcBorders>
          </w:tcPr>
          <w:p w14:paraId="6EA6F0F0" w14:textId="77777777" w:rsidR="005C054E" w:rsidRDefault="005C054E" w:rsidP="00A71F95">
            <w:pPr>
              <w:widowControl w:val="0"/>
              <w:spacing w:line="240" w:lineRule="auto"/>
              <w:ind w:firstLine="0"/>
            </w:pPr>
            <w:r>
              <w:rPr>
                <w:sz w:val="18"/>
                <w:szCs w:val="18"/>
              </w:rPr>
              <w:t>0.226***</w:t>
            </w:r>
          </w:p>
        </w:tc>
        <w:tc>
          <w:tcPr>
            <w:tcW w:w="1924" w:type="dxa"/>
            <w:tcBorders>
              <w:top w:val="nil"/>
              <w:left w:val="nil"/>
              <w:bottom w:val="nil"/>
              <w:right w:val="nil"/>
            </w:tcBorders>
          </w:tcPr>
          <w:p w14:paraId="15761350" w14:textId="77777777" w:rsidR="005C054E" w:rsidRDefault="005C054E" w:rsidP="00A71F95">
            <w:pPr>
              <w:widowControl w:val="0"/>
              <w:spacing w:line="240" w:lineRule="auto"/>
              <w:ind w:firstLine="0"/>
            </w:pPr>
            <w:r>
              <w:rPr>
                <w:sz w:val="18"/>
                <w:szCs w:val="18"/>
              </w:rPr>
              <w:t>0.233***</w:t>
            </w:r>
          </w:p>
        </w:tc>
      </w:tr>
      <w:tr w:rsidR="005C054E" w14:paraId="3CB6AC1C" w14:textId="77777777" w:rsidTr="00A71F95">
        <w:trPr>
          <w:trHeight w:hRule="exact" w:val="255"/>
          <w:jc w:val="center"/>
        </w:trPr>
        <w:tc>
          <w:tcPr>
            <w:tcW w:w="3243" w:type="dxa"/>
            <w:tcBorders>
              <w:top w:val="nil"/>
              <w:left w:val="nil"/>
              <w:right w:val="nil"/>
            </w:tcBorders>
          </w:tcPr>
          <w:p w14:paraId="50965390" w14:textId="77777777" w:rsidR="005C054E" w:rsidRDefault="005C054E" w:rsidP="00A71F95">
            <w:pPr>
              <w:widowControl w:val="0"/>
              <w:spacing w:line="240" w:lineRule="auto"/>
              <w:ind w:firstLine="0"/>
              <w:jc w:val="left"/>
            </w:pPr>
          </w:p>
        </w:tc>
        <w:tc>
          <w:tcPr>
            <w:tcW w:w="1440" w:type="dxa"/>
            <w:tcBorders>
              <w:top w:val="nil"/>
              <w:left w:val="nil"/>
              <w:right w:val="nil"/>
            </w:tcBorders>
          </w:tcPr>
          <w:p w14:paraId="32109441" w14:textId="77777777" w:rsidR="005C054E" w:rsidRDefault="005C054E" w:rsidP="00A71F95">
            <w:pPr>
              <w:widowControl w:val="0"/>
              <w:spacing w:line="240" w:lineRule="auto"/>
              <w:ind w:firstLine="0"/>
            </w:pPr>
          </w:p>
        </w:tc>
        <w:tc>
          <w:tcPr>
            <w:tcW w:w="1440" w:type="dxa"/>
            <w:tcBorders>
              <w:top w:val="nil"/>
              <w:left w:val="nil"/>
              <w:right w:val="nil"/>
            </w:tcBorders>
          </w:tcPr>
          <w:p w14:paraId="41144C64" w14:textId="77777777" w:rsidR="005C054E" w:rsidRDefault="005C054E" w:rsidP="00A71F95">
            <w:pPr>
              <w:widowControl w:val="0"/>
              <w:spacing w:line="240" w:lineRule="auto"/>
              <w:ind w:firstLine="0"/>
            </w:pPr>
          </w:p>
        </w:tc>
        <w:tc>
          <w:tcPr>
            <w:tcW w:w="1440" w:type="dxa"/>
            <w:tcBorders>
              <w:top w:val="nil"/>
              <w:left w:val="nil"/>
              <w:right w:val="nil"/>
            </w:tcBorders>
          </w:tcPr>
          <w:p w14:paraId="42C37CCF" w14:textId="77777777" w:rsidR="005C054E" w:rsidRDefault="005C054E" w:rsidP="00A71F95">
            <w:pPr>
              <w:widowControl w:val="0"/>
              <w:spacing w:line="240" w:lineRule="auto"/>
              <w:ind w:firstLine="0"/>
            </w:pPr>
          </w:p>
        </w:tc>
        <w:tc>
          <w:tcPr>
            <w:tcW w:w="1924" w:type="dxa"/>
            <w:tcBorders>
              <w:top w:val="nil"/>
              <w:left w:val="nil"/>
              <w:right w:val="nil"/>
            </w:tcBorders>
          </w:tcPr>
          <w:p w14:paraId="6097DAED" w14:textId="77777777" w:rsidR="005C054E" w:rsidRDefault="005C054E" w:rsidP="00A71F95">
            <w:pPr>
              <w:widowControl w:val="0"/>
              <w:spacing w:line="240" w:lineRule="auto"/>
              <w:ind w:firstLine="0"/>
            </w:pPr>
          </w:p>
        </w:tc>
      </w:tr>
      <w:tr w:rsidR="00552C1C" w14:paraId="3CC450C2" w14:textId="77777777" w:rsidTr="00A71F95">
        <w:trPr>
          <w:trHeight w:hRule="exact" w:val="255"/>
          <w:jc w:val="center"/>
        </w:trPr>
        <w:tc>
          <w:tcPr>
            <w:tcW w:w="3243" w:type="dxa"/>
            <w:tcBorders>
              <w:top w:val="nil"/>
              <w:left w:val="nil"/>
              <w:right w:val="nil"/>
            </w:tcBorders>
          </w:tcPr>
          <w:p w14:paraId="46F58B3C" w14:textId="77777777" w:rsidR="00552C1C" w:rsidRDefault="00552C1C" w:rsidP="00552C1C">
            <w:pPr>
              <w:widowControl w:val="0"/>
              <w:spacing w:line="240" w:lineRule="auto"/>
              <w:ind w:firstLine="0"/>
              <w:jc w:val="left"/>
            </w:pPr>
            <w:r>
              <w:rPr>
                <w:sz w:val="18"/>
                <w:szCs w:val="18"/>
              </w:rPr>
              <w:t>Individual-level controls</w:t>
            </w:r>
          </w:p>
        </w:tc>
        <w:tc>
          <w:tcPr>
            <w:tcW w:w="1440" w:type="dxa"/>
            <w:tcBorders>
              <w:top w:val="nil"/>
              <w:left w:val="nil"/>
              <w:right w:val="nil"/>
            </w:tcBorders>
          </w:tcPr>
          <w:p w14:paraId="54EB4733" w14:textId="77777777" w:rsidR="00552C1C" w:rsidRPr="00552C1C" w:rsidRDefault="00552C1C" w:rsidP="00552C1C">
            <w:pPr>
              <w:widowControl w:val="0"/>
              <w:spacing w:line="240" w:lineRule="auto"/>
              <w:ind w:firstLine="0"/>
              <w:rPr>
                <w:sz w:val="18"/>
              </w:rPr>
            </w:pPr>
            <w:r w:rsidRPr="00552C1C">
              <w:rPr>
                <w:sz w:val="18"/>
              </w:rPr>
              <w:t>Yes</w:t>
            </w:r>
          </w:p>
        </w:tc>
        <w:tc>
          <w:tcPr>
            <w:tcW w:w="1440" w:type="dxa"/>
            <w:tcBorders>
              <w:top w:val="nil"/>
              <w:left w:val="nil"/>
              <w:right w:val="nil"/>
            </w:tcBorders>
          </w:tcPr>
          <w:p w14:paraId="61175787" w14:textId="77777777" w:rsidR="00552C1C" w:rsidRPr="00552C1C" w:rsidRDefault="00552C1C" w:rsidP="00552C1C">
            <w:pPr>
              <w:widowControl w:val="0"/>
              <w:spacing w:line="240" w:lineRule="auto"/>
              <w:ind w:firstLine="0"/>
              <w:rPr>
                <w:sz w:val="18"/>
              </w:rPr>
            </w:pPr>
            <w:r w:rsidRPr="00552C1C">
              <w:rPr>
                <w:sz w:val="18"/>
              </w:rPr>
              <w:t>Yes</w:t>
            </w:r>
          </w:p>
        </w:tc>
        <w:tc>
          <w:tcPr>
            <w:tcW w:w="1440" w:type="dxa"/>
            <w:tcBorders>
              <w:top w:val="nil"/>
              <w:left w:val="nil"/>
              <w:right w:val="nil"/>
            </w:tcBorders>
          </w:tcPr>
          <w:p w14:paraId="5785B460" w14:textId="77777777" w:rsidR="00552C1C" w:rsidRPr="00552C1C" w:rsidRDefault="00552C1C" w:rsidP="00552C1C">
            <w:pPr>
              <w:widowControl w:val="0"/>
              <w:spacing w:line="240" w:lineRule="auto"/>
              <w:ind w:firstLine="0"/>
              <w:rPr>
                <w:sz w:val="18"/>
              </w:rPr>
            </w:pPr>
            <w:r w:rsidRPr="00552C1C">
              <w:rPr>
                <w:sz w:val="18"/>
              </w:rPr>
              <w:t>Yes</w:t>
            </w:r>
          </w:p>
        </w:tc>
        <w:tc>
          <w:tcPr>
            <w:tcW w:w="1924" w:type="dxa"/>
            <w:tcBorders>
              <w:top w:val="nil"/>
              <w:left w:val="nil"/>
              <w:right w:val="nil"/>
            </w:tcBorders>
          </w:tcPr>
          <w:p w14:paraId="3F65BB04" w14:textId="77777777" w:rsidR="00552C1C" w:rsidRPr="00552C1C" w:rsidRDefault="00552C1C" w:rsidP="00552C1C">
            <w:pPr>
              <w:widowControl w:val="0"/>
              <w:spacing w:line="240" w:lineRule="auto"/>
              <w:ind w:firstLine="0"/>
              <w:rPr>
                <w:sz w:val="18"/>
              </w:rPr>
            </w:pPr>
            <w:r w:rsidRPr="00552C1C">
              <w:rPr>
                <w:sz w:val="18"/>
              </w:rPr>
              <w:t>Yes</w:t>
            </w:r>
          </w:p>
        </w:tc>
      </w:tr>
      <w:tr w:rsidR="004D32B5" w14:paraId="7EDFCD4B" w14:textId="77777777" w:rsidTr="00A71F95">
        <w:trPr>
          <w:trHeight w:hRule="exact" w:val="255"/>
          <w:jc w:val="center"/>
        </w:trPr>
        <w:tc>
          <w:tcPr>
            <w:tcW w:w="3243" w:type="dxa"/>
            <w:tcBorders>
              <w:top w:val="nil"/>
              <w:left w:val="nil"/>
              <w:right w:val="nil"/>
            </w:tcBorders>
          </w:tcPr>
          <w:p w14:paraId="525B072E" w14:textId="77777777" w:rsidR="004D32B5" w:rsidRPr="006E76D3" w:rsidRDefault="004D32B5" w:rsidP="004D32B5">
            <w:pPr>
              <w:widowControl w:val="0"/>
              <w:spacing w:line="240" w:lineRule="auto"/>
              <w:ind w:firstLine="0"/>
              <w:jc w:val="left"/>
              <w:rPr>
                <w:sz w:val="18"/>
              </w:rPr>
            </w:pPr>
            <w:r>
              <w:rPr>
                <w:sz w:val="18"/>
                <w:szCs w:val="18"/>
              </w:rPr>
              <w:t>Country-fixed effects</w:t>
            </w:r>
          </w:p>
        </w:tc>
        <w:tc>
          <w:tcPr>
            <w:tcW w:w="1440" w:type="dxa"/>
            <w:tcBorders>
              <w:top w:val="nil"/>
              <w:left w:val="nil"/>
              <w:right w:val="nil"/>
            </w:tcBorders>
          </w:tcPr>
          <w:p w14:paraId="092F4E59" w14:textId="77777777" w:rsidR="004D32B5" w:rsidRPr="00552C1C" w:rsidRDefault="004D32B5" w:rsidP="004D32B5">
            <w:pPr>
              <w:widowControl w:val="0"/>
              <w:spacing w:line="240" w:lineRule="auto"/>
              <w:ind w:firstLine="0"/>
              <w:rPr>
                <w:sz w:val="18"/>
              </w:rPr>
            </w:pPr>
            <w:r w:rsidRPr="00552C1C">
              <w:rPr>
                <w:sz w:val="18"/>
              </w:rPr>
              <w:t>Yes</w:t>
            </w:r>
          </w:p>
        </w:tc>
        <w:tc>
          <w:tcPr>
            <w:tcW w:w="1440" w:type="dxa"/>
            <w:tcBorders>
              <w:top w:val="nil"/>
              <w:left w:val="nil"/>
              <w:right w:val="nil"/>
            </w:tcBorders>
          </w:tcPr>
          <w:p w14:paraId="76DD6F9D" w14:textId="77777777" w:rsidR="004D32B5" w:rsidRPr="00552C1C" w:rsidRDefault="004D32B5" w:rsidP="004D32B5">
            <w:pPr>
              <w:widowControl w:val="0"/>
              <w:spacing w:line="240" w:lineRule="auto"/>
              <w:ind w:firstLine="0"/>
              <w:rPr>
                <w:sz w:val="18"/>
              </w:rPr>
            </w:pPr>
            <w:r w:rsidRPr="00552C1C">
              <w:rPr>
                <w:sz w:val="18"/>
              </w:rPr>
              <w:t>Yes</w:t>
            </w:r>
          </w:p>
        </w:tc>
        <w:tc>
          <w:tcPr>
            <w:tcW w:w="1440" w:type="dxa"/>
            <w:tcBorders>
              <w:top w:val="nil"/>
              <w:left w:val="nil"/>
              <w:right w:val="nil"/>
            </w:tcBorders>
          </w:tcPr>
          <w:p w14:paraId="280FDE96" w14:textId="77777777" w:rsidR="004D32B5" w:rsidRPr="00552C1C" w:rsidRDefault="004D32B5" w:rsidP="004D32B5">
            <w:pPr>
              <w:widowControl w:val="0"/>
              <w:spacing w:line="240" w:lineRule="auto"/>
              <w:ind w:firstLine="0"/>
              <w:rPr>
                <w:sz w:val="18"/>
              </w:rPr>
            </w:pPr>
            <w:r w:rsidRPr="00552C1C">
              <w:rPr>
                <w:sz w:val="18"/>
              </w:rPr>
              <w:t>Yes</w:t>
            </w:r>
          </w:p>
        </w:tc>
        <w:tc>
          <w:tcPr>
            <w:tcW w:w="1924" w:type="dxa"/>
            <w:tcBorders>
              <w:top w:val="nil"/>
              <w:left w:val="nil"/>
              <w:right w:val="nil"/>
            </w:tcBorders>
          </w:tcPr>
          <w:p w14:paraId="03DAE069" w14:textId="77777777" w:rsidR="004D32B5" w:rsidRPr="00552C1C" w:rsidRDefault="004D32B5" w:rsidP="004D32B5">
            <w:pPr>
              <w:widowControl w:val="0"/>
              <w:spacing w:line="240" w:lineRule="auto"/>
              <w:ind w:firstLine="0"/>
              <w:rPr>
                <w:sz w:val="18"/>
              </w:rPr>
            </w:pPr>
            <w:r w:rsidRPr="00552C1C">
              <w:rPr>
                <w:sz w:val="18"/>
              </w:rPr>
              <w:t>Yes</w:t>
            </w:r>
          </w:p>
        </w:tc>
      </w:tr>
      <w:tr w:rsidR="004D32B5" w14:paraId="1C64618F" w14:textId="77777777" w:rsidTr="00A71F95">
        <w:trPr>
          <w:trHeight w:hRule="exact" w:val="255"/>
          <w:jc w:val="center"/>
        </w:trPr>
        <w:tc>
          <w:tcPr>
            <w:tcW w:w="3243" w:type="dxa"/>
            <w:tcBorders>
              <w:top w:val="nil"/>
              <w:left w:val="nil"/>
              <w:right w:val="nil"/>
            </w:tcBorders>
          </w:tcPr>
          <w:p w14:paraId="6AD3BC71" w14:textId="77777777" w:rsidR="004D32B5" w:rsidRPr="006E76D3" w:rsidRDefault="004D32B5" w:rsidP="004D32B5">
            <w:pPr>
              <w:widowControl w:val="0"/>
              <w:spacing w:line="240" w:lineRule="auto"/>
              <w:ind w:firstLine="0"/>
              <w:jc w:val="left"/>
              <w:rPr>
                <w:sz w:val="18"/>
              </w:rPr>
            </w:pPr>
            <w:r>
              <w:rPr>
                <w:sz w:val="18"/>
                <w:szCs w:val="18"/>
              </w:rPr>
              <w:t>Year-fixed effects</w:t>
            </w:r>
          </w:p>
        </w:tc>
        <w:tc>
          <w:tcPr>
            <w:tcW w:w="1440" w:type="dxa"/>
            <w:tcBorders>
              <w:top w:val="nil"/>
              <w:left w:val="nil"/>
              <w:right w:val="nil"/>
            </w:tcBorders>
          </w:tcPr>
          <w:p w14:paraId="57F1212D" w14:textId="77777777" w:rsidR="004D32B5" w:rsidRPr="00552C1C" w:rsidRDefault="004D32B5" w:rsidP="004D32B5">
            <w:pPr>
              <w:widowControl w:val="0"/>
              <w:spacing w:line="240" w:lineRule="auto"/>
              <w:ind w:firstLine="0"/>
              <w:rPr>
                <w:sz w:val="18"/>
              </w:rPr>
            </w:pPr>
            <w:r w:rsidRPr="00552C1C">
              <w:rPr>
                <w:sz w:val="18"/>
              </w:rPr>
              <w:t>Yes</w:t>
            </w:r>
          </w:p>
        </w:tc>
        <w:tc>
          <w:tcPr>
            <w:tcW w:w="1440" w:type="dxa"/>
            <w:tcBorders>
              <w:top w:val="nil"/>
              <w:left w:val="nil"/>
              <w:right w:val="nil"/>
            </w:tcBorders>
          </w:tcPr>
          <w:p w14:paraId="5892AB5D" w14:textId="77777777" w:rsidR="004D32B5" w:rsidRPr="00552C1C" w:rsidRDefault="004D32B5" w:rsidP="004D32B5">
            <w:pPr>
              <w:widowControl w:val="0"/>
              <w:spacing w:line="240" w:lineRule="auto"/>
              <w:ind w:firstLine="0"/>
              <w:rPr>
                <w:sz w:val="18"/>
              </w:rPr>
            </w:pPr>
            <w:r w:rsidRPr="00552C1C">
              <w:rPr>
                <w:sz w:val="18"/>
              </w:rPr>
              <w:t>Yes</w:t>
            </w:r>
          </w:p>
        </w:tc>
        <w:tc>
          <w:tcPr>
            <w:tcW w:w="1440" w:type="dxa"/>
            <w:tcBorders>
              <w:top w:val="nil"/>
              <w:left w:val="nil"/>
              <w:right w:val="nil"/>
            </w:tcBorders>
          </w:tcPr>
          <w:p w14:paraId="0DC4FDD5" w14:textId="77777777" w:rsidR="004D32B5" w:rsidRPr="00552C1C" w:rsidRDefault="004D32B5" w:rsidP="004D32B5">
            <w:pPr>
              <w:widowControl w:val="0"/>
              <w:spacing w:line="240" w:lineRule="auto"/>
              <w:ind w:firstLine="0"/>
              <w:rPr>
                <w:sz w:val="18"/>
              </w:rPr>
            </w:pPr>
            <w:r w:rsidRPr="00552C1C">
              <w:rPr>
                <w:sz w:val="18"/>
              </w:rPr>
              <w:t>Yes</w:t>
            </w:r>
          </w:p>
        </w:tc>
        <w:tc>
          <w:tcPr>
            <w:tcW w:w="1924" w:type="dxa"/>
            <w:tcBorders>
              <w:top w:val="nil"/>
              <w:left w:val="nil"/>
              <w:right w:val="nil"/>
            </w:tcBorders>
          </w:tcPr>
          <w:p w14:paraId="594A8F32" w14:textId="77777777" w:rsidR="004D32B5" w:rsidRPr="00552C1C" w:rsidRDefault="004D32B5" w:rsidP="004D32B5">
            <w:pPr>
              <w:widowControl w:val="0"/>
              <w:spacing w:line="240" w:lineRule="auto"/>
              <w:ind w:firstLine="0"/>
              <w:rPr>
                <w:sz w:val="18"/>
              </w:rPr>
            </w:pPr>
            <w:r w:rsidRPr="00552C1C">
              <w:rPr>
                <w:sz w:val="18"/>
              </w:rPr>
              <w:t>Yes</w:t>
            </w:r>
          </w:p>
        </w:tc>
      </w:tr>
      <w:tr w:rsidR="005C054E" w14:paraId="697A19E8" w14:textId="77777777" w:rsidTr="00A71F95">
        <w:trPr>
          <w:trHeight w:hRule="exact" w:val="255"/>
          <w:jc w:val="center"/>
        </w:trPr>
        <w:tc>
          <w:tcPr>
            <w:tcW w:w="3243" w:type="dxa"/>
            <w:tcBorders>
              <w:top w:val="nil"/>
              <w:left w:val="nil"/>
              <w:bottom w:val="single" w:sz="4" w:space="0" w:color="auto"/>
              <w:right w:val="nil"/>
            </w:tcBorders>
          </w:tcPr>
          <w:p w14:paraId="51FF701B" w14:textId="77777777" w:rsidR="005C054E" w:rsidRDefault="005C054E" w:rsidP="00A71F95">
            <w:pPr>
              <w:widowControl w:val="0"/>
              <w:spacing w:line="240" w:lineRule="auto"/>
              <w:ind w:firstLine="0"/>
              <w:jc w:val="left"/>
              <w:rPr>
                <w:sz w:val="18"/>
                <w:szCs w:val="18"/>
              </w:rPr>
            </w:pPr>
          </w:p>
        </w:tc>
        <w:tc>
          <w:tcPr>
            <w:tcW w:w="1440" w:type="dxa"/>
            <w:tcBorders>
              <w:top w:val="nil"/>
              <w:left w:val="nil"/>
              <w:bottom w:val="single" w:sz="4" w:space="0" w:color="auto"/>
              <w:right w:val="nil"/>
            </w:tcBorders>
          </w:tcPr>
          <w:p w14:paraId="4F7CAEBF" w14:textId="77777777" w:rsidR="005C054E" w:rsidRDefault="005C054E" w:rsidP="00A71F95">
            <w:pPr>
              <w:widowControl w:val="0"/>
              <w:spacing w:line="240" w:lineRule="auto"/>
              <w:ind w:firstLine="0"/>
            </w:pPr>
          </w:p>
        </w:tc>
        <w:tc>
          <w:tcPr>
            <w:tcW w:w="1440" w:type="dxa"/>
            <w:tcBorders>
              <w:top w:val="nil"/>
              <w:left w:val="nil"/>
              <w:bottom w:val="single" w:sz="4" w:space="0" w:color="auto"/>
              <w:right w:val="nil"/>
            </w:tcBorders>
          </w:tcPr>
          <w:p w14:paraId="7D48C7A6" w14:textId="77777777" w:rsidR="005C054E" w:rsidRDefault="005C054E" w:rsidP="00A71F95">
            <w:pPr>
              <w:widowControl w:val="0"/>
              <w:spacing w:line="240" w:lineRule="auto"/>
              <w:ind w:firstLine="0"/>
            </w:pPr>
          </w:p>
        </w:tc>
        <w:tc>
          <w:tcPr>
            <w:tcW w:w="1440" w:type="dxa"/>
            <w:tcBorders>
              <w:top w:val="nil"/>
              <w:left w:val="nil"/>
              <w:bottom w:val="single" w:sz="4" w:space="0" w:color="auto"/>
              <w:right w:val="nil"/>
            </w:tcBorders>
          </w:tcPr>
          <w:p w14:paraId="6C202B94" w14:textId="77777777" w:rsidR="005C054E" w:rsidRDefault="005C054E" w:rsidP="00A71F95">
            <w:pPr>
              <w:widowControl w:val="0"/>
              <w:spacing w:line="240" w:lineRule="auto"/>
              <w:ind w:firstLine="0"/>
            </w:pPr>
          </w:p>
        </w:tc>
        <w:tc>
          <w:tcPr>
            <w:tcW w:w="1924" w:type="dxa"/>
            <w:tcBorders>
              <w:top w:val="nil"/>
              <w:left w:val="nil"/>
              <w:bottom w:val="single" w:sz="4" w:space="0" w:color="auto"/>
              <w:right w:val="nil"/>
            </w:tcBorders>
          </w:tcPr>
          <w:p w14:paraId="2934CBC5" w14:textId="77777777" w:rsidR="005C054E" w:rsidRDefault="005C054E" w:rsidP="00A71F95">
            <w:pPr>
              <w:widowControl w:val="0"/>
              <w:spacing w:line="240" w:lineRule="auto"/>
              <w:ind w:firstLine="0"/>
            </w:pPr>
          </w:p>
        </w:tc>
      </w:tr>
      <w:tr w:rsidR="005C054E" w14:paraId="04A25702" w14:textId="77777777" w:rsidTr="00A71F95">
        <w:trPr>
          <w:trHeight w:hRule="exact" w:val="255"/>
          <w:jc w:val="center"/>
        </w:trPr>
        <w:tc>
          <w:tcPr>
            <w:tcW w:w="3243" w:type="dxa"/>
            <w:tcBorders>
              <w:top w:val="single" w:sz="4" w:space="0" w:color="auto"/>
              <w:left w:val="nil"/>
              <w:bottom w:val="nil"/>
              <w:right w:val="nil"/>
            </w:tcBorders>
            <w:vAlign w:val="center"/>
          </w:tcPr>
          <w:p w14:paraId="0C40D537" w14:textId="77777777" w:rsidR="005C054E" w:rsidRDefault="005C054E" w:rsidP="00A71F95">
            <w:pPr>
              <w:widowControl w:val="0"/>
              <w:spacing w:line="240" w:lineRule="auto"/>
              <w:ind w:firstLine="0"/>
              <w:jc w:val="left"/>
            </w:pPr>
            <w:r>
              <w:rPr>
                <w:sz w:val="18"/>
                <w:szCs w:val="18"/>
              </w:rPr>
              <w:t>Observations</w:t>
            </w:r>
          </w:p>
        </w:tc>
        <w:tc>
          <w:tcPr>
            <w:tcW w:w="1440" w:type="dxa"/>
            <w:tcBorders>
              <w:top w:val="single" w:sz="4" w:space="0" w:color="auto"/>
              <w:left w:val="nil"/>
              <w:bottom w:val="nil"/>
              <w:right w:val="nil"/>
            </w:tcBorders>
            <w:vAlign w:val="center"/>
          </w:tcPr>
          <w:p w14:paraId="2E406317" w14:textId="77777777" w:rsidR="005C054E" w:rsidRDefault="005C054E" w:rsidP="00A71F95">
            <w:pPr>
              <w:widowControl w:val="0"/>
              <w:spacing w:line="240" w:lineRule="auto"/>
              <w:ind w:firstLine="0"/>
            </w:pPr>
            <w:r>
              <w:rPr>
                <w:sz w:val="18"/>
                <w:szCs w:val="18"/>
              </w:rPr>
              <w:t>18,539</w:t>
            </w:r>
          </w:p>
        </w:tc>
        <w:tc>
          <w:tcPr>
            <w:tcW w:w="1440" w:type="dxa"/>
            <w:tcBorders>
              <w:top w:val="single" w:sz="4" w:space="0" w:color="auto"/>
              <w:left w:val="nil"/>
              <w:bottom w:val="nil"/>
              <w:right w:val="nil"/>
            </w:tcBorders>
            <w:vAlign w:val="center"/>
          </w:tcPr>
          <w:p w14:paraId="77264776" w14:textId="77777777" w:rsidR="005C054E" w:rsidRDefault="005C054E" w:rsidP="00A71F95">
            <w:pPr>
              <w:widowControl w:val="0"/>
              <w:spacing w:line="240" w:lineRule="auto"/>
              <w:ind w:firstLine="0"/>
            </w:pPr>
            <w:r>
              <w:rPr>
                <w:sz w:val="18"/>
                <w:szCs w:val="18"/>
              </w:rPr>
              <w:t>18,539</w:t>
            </w:r>
          </w:p>
        </w:tc>
        <w:tc>
          <w:tcPr>
            <w:tcW w:w="1440" w:type="dxa"/>
            <w:tcBorders>
              <w:top w:val="single" w:sz="4" w:space="0" w:color="auto"/>
              <w:left w:val="nil"/>
              <w:bottom w:val="nil"/>
              <w:right w:val="nil"/>
            </w:tcBorders>
            <w:vAlign w:val="center"/>
          </w:tcPr>
          <w:p w14:paraId="12907F78" w14:textId="77777777" w:rsidR="005C054E" w:rsidRDefault="005C054E" w:rsidP="00A71F95">
            <w:pPr>
              <w:widowControl w:val="0"/>
              <w:spacing w:line="240" w:lineRule="auto"/>
              <w:ind w:firstLine="0"/>
            </w:pPr>
            <w:r>
              <w:rPr>
                <w:sz w:val="18"/>
                <w:szCs w:val="18"/>
              </w:rPr>
              <w:t>18,539</w:t>
            </w:r>
          </w:p>
        </w:tc>
        <w:tc>
          <w:tcPr>
            <w:tcW w:w="1924" w:type="dxa"/>
            <w:tcBorders>
              <w:top w:val="single" w:sz="4" w:space="0" w:color="auto"/>
              <w:left w:val="nil"/>
              <w:bottom w:val="nil"/>
              <w:right w:val="nil"/>
            </w:tcBorders>
            <w:vAlign w:val="center"/>
          </w:tcPr>
          <w:p w14:paraId="4C76CCF9" w14:textId="77777777" w:rsidR="005C054E" w:rsidRDefault="005C054E" w:rsidP="00A71F95">
            <w:pPr>
              <w:widowControl w:val="0"/>
              <w:spacing w:line="240" w:lineRule="auto"/>
              <w:ind w:firstLine="0"/>
            </w:pPr>
            <w:r>
              <w:rPr>
                <w:sz w:val="18"/>
                <w:szCs w:val="18"/>
              </w:rPr>
              <w:t>18,539</w:t>
            </w:r>
          </w:p>
        </w:tc>
      </w:tr>
      <w:tr w:rsidR="005C054E" w14:paraId="4559081D" w14:textId="77777777" w:rsidTr="00A71F95">
        <w:trPr>
          <w:trHeight w:hRule="exact" w:val="255"/>
          <w:jc w:val="center"/>
        </w:trPr>
        <w:tc>
          <w:tcPr>
            <w:tcW w:w="3243" w:type="dxa"/>
            <w:tcBorders>
              <w:top w:val="nil"/>
              <w:left w:val="nil"/>
              <w:bottom w:val="nil"/>
              <w:right w:val="nil"/>
            </w:tcBorders>
            <w:vAlign w:val="center"/>
          </w:tcPr>
          <w:p w14:paraId="62F0A671" w14:textId="77777777" w:rsidR="005C054E" w:rsidRDefault="005C054E" w:rsidP="00A71F95">
            <w:pPr>
              <w:widowControl w:val="0"/>
              <w:spacing w:line="240" w:lineRule="auto"/>
              <w:ind w:firstLine="0"/>
              <w:jc w:val="left"/>
            </w:pPr>
            <w:r>
              <w:rPr>
                <w:sz w:val="18"/>
                <w:szCs w:val="18"/>
              </w:rPr>
              <w:t>Pseudo R</w:t>
            </w:r>
            <w:r>
              <w:rPr>
                <w:sz w:val="18"/>
                <w:szCs w:val="18"/>
                <w:vertAlign w:val="superscript"/>
              </w:rPr>
              <w:t>2</w:t>
            </w:r>
          </w:p>
        </w:tc>
        <w:tc>
          <w:tcPr>
            <w:tcW w:w="1440" w:type="dxa"/>
            <w:tcBorders>
              <w:top w:val="nil"/>
              <w:left w:val="nil"/>
              <w:bottom w:val="nil"/>
              <w:right w:val="nil"/>
            </w:tcBorders>
            <w:vAlign w:val="center"/>
          </w:tcPr>
          <w:p w14:paraId="452E182A" w14:textId="77777777" w:rsidR="005C054E" w:rsidRDefault="005C054E" w:rsidP="00A71F95">
            <w:pPr>
              <w:widowControl w:val="0"/>
              <w:spacing w:line="240" w:lineRule="auto"/>
              <w:ind w:firstLine="0"/>
            </w:pPr>
            <w:r>
              <w:rPr>
                <w:sz w:val="18"/>
                <w:szCs w:val="18"/>
              </w:rPr>
              <w:t>0.0550</w:t>
            </w:r>
          </w:p>
        </w:tc>
        <w:tc>
          <w:tcPr>
            <w:tcW w:w="1440" w:type="dxa"/>
            <w:tcBorders>
              <w:top w:val="nil"/>
              <w:left w:val="nil"/>
              <w:bottom w:val="nil"/>
              <w:right w:val="nil"/>
            </w:tcBorders>
            <w:vAlign w:val="center"/>
          </w:tcPr>
          <w:p w14:paraId="1461D84E" w14:textId="77777777" w:rsidR="005C054E" w:rsidRDefault="005C054E" w:rsidP="00A71F95">
            <w:pPr>
              <w:widowControl w:val="0"/>
              <w:spacing w:line="240" w:lineRule="auto"/>
              <w:ind w:firstLine="0"/>
            </w:pPr>
            <w:r>
              <w:rPr>
                <w:sz w:val="18"/>
                <w:szCs w:val="18"/>
              </w:rPr>
              <w:t>0.0551</w:t>
            </w:r>
          </w:p>
        </w:tc>
        <w:tc>
          <w:tcPr>
            <w:tcW w:w="1440" w:type="dxa"/>
            <w:tcBorders>
              <w:top w:val="nil"/>
              <w:left w:val="nil"/>
              <w:bottom w:val="nil"/>
              <w:right w:val="nil"/>
            </w:tcBorders>
            <w:vAlign w:val="center"/>
          </w:tcPr>
          <w:p w14:paraId="08B3E209" w14:textId="77777777" w:rsidR="005C054E" w:rsidRDefault="005C054E" w:rsidP="00A71F95">
            <w:pPr>
              <w:widowControl w:val="0"/>
              <w:spacing w:line="240" w:lineRule="auto"/>
              <w:ind w:firstLine="0"/>
            </w:pPr>
            <w:r>
              <w:rPr>
                <w:sz w:val="18"/>
                <w:szCs w:val="18"/>
              </w:rPr>
              <w:t>0.0560</w:t>
            </w:r>
          </w:p>
        </w:tc>
        <w:tc>
          <w:tcPr>
            <w:tcW w:w="1924" w:type="dxa"/>
            <w:tcBorders>
              <w:top w:val="nil"/>
              <w:left w:val="nil"/>
              <w:bottom w:val="nil"/>
              <w:right w:val="nil"/>
            </w:tcBorders>
            <w:vAlign w:val="center"/>
          </w:tcPr>
          <w:p w14:paraId="77F3217F" w14:textId="77777777" w:rsidR="005C054E" w:rsidRDefault="005C054E" w:rsidP="00A71F95">
            <w:pPr>
              <w:widowControl w:val="0"/>
              <w:spacing w:line="240" w:lineRule="auto"/>
              <w:ind w:firstLine="0"/>
            </w:pPr>
            <w:r>
              <w:rPr>
                <w:sz w:val="18"/>
                <w:szCs w:val="18"/>
              </w:rPr>
              <w:t>0.0562</w:t>
            </w:r>
          </w:p>
        </w:tc>
      </w:tr>
      <w:tr w:rsidR="005C054E" w14:paraId="2A0E0376" w14:textId="77777777" w:rsidTr="00A71F95">
        <w:trPr>
          <w:trHeight w:hRule="exact" w:val="255"/>
          <w:jc w:val="center"/>
        </w:trPr>
        <w:tc>
          <w:tcPr>
            <w:tcW w:w="3243" w:type="dxa"/>
            <w:tcBorders>
              <w:top w:val="nil"/>
              <w:left w:val="nil"/>
              <w:bottom w:val="single" w:sz="4" w:space="0" w:color="000000"/>
              <w:right w:val="nil"/>
            </w:tcBorders>
            <w:vAlign w:val="center"/>
          </w:tcPr>
          <w:p w14:paraId="0399077F" w14:textId="77777777" w:rsidR="005C054E" w:rsidRDefault="005C054E" w:rsidP="00A71F95">
            <w:pPr>
              <w:widowControl w:val="0"/>
              <w:spacing w:line="240" w:lineRule="auto"/>
              <w:ind w:firstLine="0"/>
              <w:jc w:val="left"/>
            </w:pPr>
            <w:r>
              <w:rPr>
                <w:sz w:val="18"/>
                <w:szCs w:val="18"/>
              </w:rPr>
              <w:t>Chi</w:t>
            </w:r>
            <w:r>
              <w:rPr>
                <w:sz w:val="18"/>
                <w:szCs w:val="18"/>
                <w:vertAlign w:val="superscript"/>
              </w:rPr>
              <w:t>2</w:t>
            </w:r>
          </w:p>
        </w:tc>
        <w:tc>
          <w:tcPr>
            <w:tcW w:w="1440" w:type="dxa"/>
            <w:tcBorders>
              <w:top w:val="nil"/>
              <w:left w:val="nil"/>
              <w:bottom w:val="single" w:sz="4" w:space="0" w:color="000000"/>
              <w:right w:val="nil"/>
            </w:tcBorders>
            <w:vAlign w:val="center"/>
          </w:tcPr>
          <w:p w14:paraId="20C14724" w14:textId="77777777" w:rsidR="005C054E" w:rsidRDefault="005C054E" w:rsidP="00A71F95">
            <w:pPr>
              <w:widowControl w:val="0"/>
              <w:spacing w:line="240" w:lineRule="auto"/>
              <w:ind w:firstLine="0"/>
            </w:pPr>
            <w:r>
              <w:rPr>
                <w:sz w:val="18"/>
                <w:szCs w:val="18"/>
              </w:rPr>
              <w:t>1363</w:t>
            </w:r>
          </w:p>
        </w:tc>
        <w:tc>
          <w:tcPr>
            <w:tcW w:w="1440" w:type="dxa"/>
            <w:tcBorders>
              <w:top w:val="nil"/>
              <w:left w:val="nil"/>
              <w:bottom w:val="single" w:sz="4" w:space="0" w:color="000000"/>
              <w:right w:val="nil"/>
            </w:tcBorders>
            <w:vAlign w:val="center"/>
          </w:tcPr>
          <w:p w14:paraId="31D2E5CE" w14:textId="77777777" w:rsidR="005C054E" w:rsidRDefault="005C054E" w:rsidP="00A71F95">
            <w:pPr>
              <w:widowControl w:val="0"/>
              <w:spacing w:line="240" w:lineRule="auto"/>
              <w:ind w:firstLine="0"/>
            </w:pPr>
            <w:r>
              <w:rPr>
                <w:sz w:val="18"/>
                <w:szCs w:val="18"/>
              </w:rPr>
              <w:t>1366</w:t>
            </w:r>
          </w:p>
        </w:tc>
        <w:tc>
          <w:tcPr>
            <w:tcW w:w="1440" w:type="dxa"/>
            <w:tcBorders>
              <w:top w:val="nil"/>
              <w:left w:val="nil"/>
              <w:bottom w:val="single" w:sz="4" w:space="0" w:color="000000"/>
              <w:right w:val="nil"/>
            </w:tcBorders>
            <w:vAlign w:val="center"/>
          </w:tcPr>
          <w:p w14:paraId="02C6CC62" w14:textId="77777777" w:rsidR="005C054E" w:rsidRDefault="005C054E" w:rsidP="00A71F95">
            <w:pPr>
              <w:widowControl w:val="0"/>
              <w:spacing w:line="240" w:lineRule="auto"/>
              <w:ind w:firstLine="0"/>
            </w:pPr>
            <w:r>
              <w:rPr>
                <w:sz w:val="18"/>
                <w:szCs w:val="18"/>
              </w:rPr>
              <w:t>1396</w:t>
            </w:r>
          </w:p>
        </w:tc>
        <w:tc>
          <w:tcPr>
            <w:tcW w:w="1924" w:type="dxa"/>
            <w:tcBorders>
              <w:top w:val="nil"/>
              <w:left w:val="nil"/>
              <w:bottom w:val="single" w:sz="4" w:space="0" w:color="000000"/>
              <w:right w:val="nil"/>
            </w:tcBorders>
            <w:vAlign w:val="center"/>
          </w:tcPr>
          <w:p w14:paraId="1F9B7617" w14:textId="77777777" w:rsidR="005C054E" w:rsidRDefault="005C054E" w:rsidP="00A71F95">
            <w:pPr>
              <w:widowControl w:val="0"/>
              <w:spacing w:line="240" w:lineRule="auto"/>
              <w:ind w:firstLine="0"/>
            </w:pPr>
            <w:r>
              <w:rPr>
                <w:sz w:val="18"/>
                <w:szCs w:val="18"/>
              </w:rPr>
              <w:t>1398</w:t>
            </w:r>
          </w:p>
        </w:tc>
      </w:tr>
    </w:tbl>
    <w:p w14:paraId="76A78BB3" w14:textId="77777777" w:rsidR="005C054E" w:rsidRDefault="005C054E" w:rsidP="005C054E">
      <w:pPr>
        <w:widowControl w:val="0"/>
        <w:spacing w:line="240" w:lineRule="auto"/>
        <w:ind w:firstLine="0"/>
      </w:pPr>
    </w:p>
    <w:p w14:paraId="14A736F5" w14:textId="5046A444" w:rsidR="006E76D3" w:rsidRDefault="006E76D3" w:rsidP="006E76D3">
      <w:pPr>
        <w:widowControl w:val="0"/>
        <w:spacing w:line="240" w:lineRule="auto"/>
        <w:ind w:firstLine="0"/>
        <w:jc w:val="left"/>
        <w:rPr>
          <w:sz w:val="18"/>
          <w:szCs w:val="18"/>
        </w:rPr>
      </w:pPr>
      <w:r>
        <w:rPr>
          <w:sz w:val="18"/>
          <w:szCs w:val="18"/>
        </w:rPr>
        <w:t xml:space="preserve">Notes: *** p&lt;0.01, ** p&lt;0.05, * p&lt;0.1, heteroscedascity-robust standard errors used to calculate regressors’ level of significance. </w:t>
      </w:r>
      <w:r w:rsidR="00247A6B">
        <w:rPr>
          <w:sz w:val="18"/>
          <w:szCs w:val="18"/>
        </w:rPr>
        <w:t xml:space="preserve">See Table A3 of the </w:t>
      </w:r>
      <w:r w:rsidR="000D1AF4">
        <w:rPr>
          <w:sz w:val="18"/>
          <w:szCs w:val="18"/>
        </w:rPr>
        <w:t>Supplementary Appendix for complete econometric output</w:t>
      </w:r>
      <w:r>
        <w:rPr>
          <w:sz w:val="18"/>
          <w:szCs w:val="18"/>
        </w:rPr>
        <w:t xml:space="preserve">. </w:t>
      </w:r>
    </w:p>
    <w:p w14:paraId="6DF42241" w14:textId="77777777" w:rsidR="005C054E" w:rsidRDefault="005C054E" w:rsidP="005C054E">
      <w:pPr>
        <w:widowControl w:val="0"/>
        <w:spacing w:line="240" w:lineRule="auto"/>
        <w:ind w:firstLine="0"/>
        <w:jc w:val="left"/>
        <w:rPr>
          <w:sz w:val="18"/>
          <w:szCs w:val="18"/>
        </w:rPr>
      </w:pPr>
    </w:p>
    <w:p w14:paraId="49D2FBDE" w14:textId="77777777" w:rsidR="005C054E" w:rsidRDefault="005C054E" w:rsidP="005C054E">
      <w:pPr>
        <w:widowControl w:val="0"/>
        <w:spacing w:line="240" w:lineRule="auto"/>
        <w:ind w:firstLine="0"/>
        <w:jc w:val="left"/>
      </w:pPr>
      <w:r>
        <w:rPr>
          <w:sz w:val="18"/>
          <w:szCs w:val="18"/>
        </w:rPr>
        <w:t xml:space="preserve">Source: Gallup Balkan Monitor survey and authors’ calculations.  </w:t>
      </w:r>
    </w:p>
    <w:p w14:paraId="3E154EFD" w14:textId="77777777" w:rsidR="005C054E" w:rsidRDefault="005C054E" w:rsidP="005C054E">
      <w:pPr>
        <w:widowControl w:val="0"/>
        <w:spacing w:line="240" w:lineRule="auto"/>
        <w:ind w:firstLine="0"/>
      </w:pPr>
    </w:p>
    <w:p w14:paraId="5284037F" w14:textId="77777777" w:rsidR="005050FF" w:rsidRDefault="005050FF" w:rsidP="00EF6DA2">
      <w:pPr>
        <w:widowControl w:val="0"/>
        <w:spacing w:line="360" w:lineRule="auto"/>
        <w:ind w:firstLine="0"/>
        <w:jc w:val="left"/>
      </w:pPr>
    </w:p>
    <w:p w14:paraId="2D86F2D5" w14:textId="36CB5CAC" w:rsidR="005050FF" w:rsidRDefault="00382316" w:rsidP="004F2FD8">
      <w:pPr>
        <w:widowControl w:val="0"/>
        <w:spacing w:line="480" w:lineRule="auto"/>
        <w:ind w:firstLine="0"/>
        <w:jc w:val="left"/>
      </w:pPr>
      <w:r>
        <w:t>W</w:t>
      </w:r>
      <w:r w:rsidR="00EC6BE8">
        <w:t>ith a final set of regressions</w:t>
      </w:r>
      <w:r w:rsidR="002F11E9">
        <w:t>,</w:t>
      </w:r>
      <w:r w:rsidR="00EC6BE8">
        <w:t xml:space="preserve"> we test the hypotheses that variables capturing migration to non-EU countries are positively associated with support for EU accession (Model 3, H4a-H4c). The results are presented in Table 3. People considering emigration to a non-EU country are 2.2 percentage points more likely to vote favorabl</w:t>
      </w:r>
      <w:r w:rsidR="002F11E9">
        <w:t>y</w:t>
      </w:r>
      <w:r w:rsidR="00EC6BE8">
        <w:t xml:space="preserve"> in a hypothetical EU referendum (Columns 1 and 4). They are also more likely to </w:t>
      </w:r>
      <w:r w:rsidR="00EC6BE8">
        <w:lastRenderedPageBreak/>
        <w:t>consider EU membership a good thing (columns 5 and 8); in terms of marginal effects, prospective migrants to non-EU countries are 2 and 1.7 percentage points less likely consider EU membership a ‘bad’ and</w:t>
      </w:r>
      <w:r w:rsidR="00EC6BE8">
        <w:rPr>
          <w:color w:val="0000FF"/>
        </w:rPr>
        <w:t xml:space="preserve">, </w:t>
      </w:r>
      <w:r w:rsidR="00EC6BE8">
        <w:t>respectively</w:t>
      </w:r>
      <w:r w:rsidR="00EC6BE8">
        <w:rPr>
          <w:color w:val="0000FF"/>
        </w:rPr>
        <w:t>,</w:t>
      </w:r>
      <w:r w:rsidR="00EC6BE8">
        <w:t xml:space="preserve"> ‘neither good nor bad’ thing, and 3.7 percentage points</w:t>
      </w:r>
      <w:r w:rsidR="00EC6BE8">
        <w:rPr>
          <w:vertAlign w:val="superscript"/>
        </w:rPr>
        <w:footnoteReference w:id="15"/>
      </w:r>
      <w:r w:rsidR="00EC6BE8">
        <w:t xml:space="preserve"> more likely to consider EU membership a ‘good’ thing. These results strongly support H4a that people considering emigration to a non-EU destination are more likely to support </w:t>
      </w:r>
      <w:r w:rsidR="002F11E9">
        <w:t xml:space="preserve">their country’s </w:t>
      </w:r>
      <w:r w:rsidR="00EC6BE8">
        <w:t xml:space="preserve">accession to the EU. </w:t>
      </w:r>
    </w:p>
    <w:p w14:paraId="2D1EAB19" w14:textId="77777777" w:rsidR="005050FF" w:rsidRDefault="00EC6BE8" w:rsidP="004F2FD8">
      <w:pPr>
        <w:widowControl w:val="0"/>
        <w:spacing w:line="480" w:lineRule="auto"/>
        <w:ind w:firstLine="0"/>
        <w:jc w:val="left"/>
      </w:pPr>
      <w:r>
        <w:t xml:space="preserve"> </w:t>
      </w:r>
    </w:p>
    <w:p w14:paraId="0BEFB7DC" w14:textId="45000B63" w:rsidR="005050FF" w:rsidRDefault="00EC6BE8" w:rsidP="004F2FD8">
      <w:pPr>
        <w:widowControl w:val="0"/>
        <w:spacing w:line="480" w:lineRule="auto"/>
        <w:ind w:firstLine="0"/>
        <w:jc w:val="left"/>
      </w:pPr>
      <w:r>
        <w:t xml:space="preserve">The estimates of the two other variables of interest (having relatives in a non-EU country and having worked/studied in a non-EU country) are statistically insignificant, regardless of the way attitudes toward EU accession are captured (voting in a referendum or considering EU </w:t>
      </w:r>
      <w:r>
        <w:lastRenderedPageBreak/>
        <w:t>membership a good thing</w:t>
      </w:r>
      <w:r w:rsidR="002F11E9">
        <w:t xml:space="preserve">) </w:t>
      </w:r>
      <w:r>
        <w:t xml:space="preserve">and whether the regressors of interest are included in the model jointly or separately. H4b and H4c are, thus, not supported by the data. </w:t>
      </w:r>
    </w:p>
    <w:p w14:paraId="066D2C8C" w14:textId="4BFEE24D" w:rsidR="004F2FD8" w:rsidRDefault="00EC6BE8" w:rsidP="004F2FD8">
      <w:pPr>
        <w:widowControl w:val="0"/>
        <w:spacing w:line="480" w:lineRule="auto"/>
        <w:ind w:firstLine="0"/>
        <w:jc w:val="left"/>
      </w:pPr>
      <w:r>
        <w:t xml:space="preserve">Finally, note that the results of the migration-to-the-EU variables, which were also included in Model 3 and reported in Table 3, remain qualitatively unchanged. </w:t>
      </w:r>
    </w:p>
    <w:p w14:paraId="25529E20" w14:textId="77777777" w:rsidR="004F2FD8" w:rsidRDefault="004F2FD8" w:rsidP="004F2FD8">
      <w:pPr>
        <w:widowControl w:val="0"/>
        <w:spacing w:line="480" w:lineRule="auto"/>
        <w:ind w:firstLine="0"/>
        <w:jc w:val="left"/>
      </w:pPr>
    </w:p>
    <w:p w14:paraId="6D88EBFE" w14:textId="77777777" w:rsidR="005C054E" w:rsidRPr="004F2FD8" w:rsidRDefault="005C054E" w:rsidP="004F2FD8">
      <w:pPr>
        <w:widowControl w:val="0"/>
        <w:spacing w:line="480" w:lineRule="auto"/>
        <w:ind w:firstLine="0"/>
        <w:jc w:val="left"/>
      </w:pPr>
      <w:r>
        <w:rPr>
          <w:b/>
          <w:i/>
        </w:rPr>
        <w:t>Table 3: Migration to non-EU destinations and attitudes towards EU membership</w:t>
      </w:r>
    </w:p>
    <w:p w14:paraId="38D25C38" w14:textId="77777777" w:rsidR="005C054E" w:rsidRDefault="005C054E" w:rsidP="005C054E">
      <w:pPr>
        <w:widowControl w:val="0"/>
        <w:spacing w:line="240" w:lineRule="auto"/>
        <w:ind w:firstLine="0"/>
      </w:pPr>
    </w:p>
    <w:tbl>
      <w:tblPr>
        <w:tblStyle w:val="a1"/>
        <w:tblW w:w="9808" w:type="dxa"/>
        <w:jc w:val="center"/>
        <w:tblLayout w:type="fixed"/>
        <w:tblLook w:val="0000" w:firstRow="0" w:lastRow="0" w:firstColumn="0" w:lastColumn="0" w:noHBand="0" w:noVBand="0"/>
      </w:tblPr>
      <w:tblGrid>
        <w:gridCol w:w="2437"/>
        <w:gridCol w:w="921"/>
        <w:gridCol w:w="921"/>
        <w:gridCol w:w="922"/>
        <w:gridCol w:w="921"/>
        <w:gridCol w:w="921"/>
        <w:gridCol w:w="922"/>
        <w:gridCol w:w="921"/>
        <w:gridCol w:w="922"/>
      </w:tblGrid>
      <w:tr w:rsidR="005C054E" w14:paraId="78235DE9" w14:textId="77777777" w:rsidTr="00552C1C">
        <w:trPr>
          <w:jc w:val="center"/>
        </w:trPr>
        <w:tc>
          <w:tcPr>
            <w:tcW w:w="2437" w:type="dxa"/>
            <w:tcBorders>
              <w:top w:val="single" w:sz="4" w:space="0" w:color="auto"/>
              <w:bottom w:val="single" w:sz="4" w:space="0" w:color="auto"/>
              <w:right w:val="single" w:sz="4" w:space="0" w:color="auto"/>
            </w:tcBorders>
          </w:tcPr>
          <w:p w14:paraId="7928AE60" w14:textId="77777777" w:rsidR="005C054E" w:rsidRDefault="005C054E" w:rsidP="00A71F95">
            <w:pPr>
              <w:widowControl w:val="0"/>
              <w:spacing w:line="240" w:lineRule="auto"/>
              <w:ind w:firstLine="0"/>
              <w:jc w:val="left"/>
            </w:pPr>
          </w:p>
        </w:tc>
        <w:tc>
          <w:tcPr>
            <w:tcW w:w="3685" w:type="dxa"/>
            <w:gridSpan w:val="4"/>
            <w:tcBorders>
              <w:top w:val="single" w:sz="4" w:space="0" w:color="auto"/>
              <w:left w:val="single" w:sz="4" w:space="0" w:color="auto"/>
              <w:bottom w:val="single" w:sz="4" w:space="0" w:color="auto"/>
              <w:right w:val="single" w:sz="4" w:space="0" w:color="auto"/>
            </w:tcBorders>
          </w:tcPr>
          <w:p w14:paraId="28B69781" w14:textId="77777777" w:rsidR="005C054E" w:rsidRDefault="005C054E" w:rsidP="00A71F95">
            <w:pPr>
              <w:widowControl w:val="0"/>
              <w:spacing w:line="240" w:lineRule="auto"/>
              <w:ind w:firstLine="0"/>
            </w:pPr>
            <w:r>
              <w:rPr>
                <w:sz w:val="18"/>
                <w:szCs w:val="18"/>
              </w:rPr>
              <w:t xml:space="preserve">A. Dependent variable: </w:t>
            </w:r>
          </w:p>
          <w:p w14:paraId="7FDF08CD" w14:textId="77777777" w:rsidR="005C054E" w:rsidRDefault="005C054E" w:rsidP="00A71F95">
            <w:pPr>
              <w:widowControl w:val="0"/>
              <w:spacing w:line="240" w:lineRule="auto"/>
              <w:ind w:firstLine="0"/>
            </w:pPr>
            <w:r>
              <w:rPr>
                <w:sz w:val="18"/>
                <w:szCs w:val="18"/>
              </w:rPr>
              <w:t>Voting yes in a hypothetical EU referendum;</w:t>
            </w:r>
          </w:p>
          <w:p w14:paraId="2A61919E" w14:textId="77777777" w:rsidR="005C054E" w:rsidRDefault="005C054E" w:rsidP="00A71F95">
            <w:pPr>
              <w:widowControl w:val="0"/>
              <w:spacing w:line="240" w:lineRule="auto"/>
              <w:ind w:firstLine="0"/>
            </w:pPr>
            <w:r>
              <w:rPr>
                <w:sz w:val="18"/>
                <w:szCs w:val="18"/>
              </w:rPr>
              <w:t>binary probit marginal effects</w:t>
            </w:r>
          </w:p>
        </w:tc>
        <w:tc>
          <w:tcPr>
            <w:tcW w:w="3686" w:type="dxa"/>
            <w:gridSpan w:val="4"/>
            <w:tcBorders>
              <w:top w:val="single" w:sz="4" w:space="0" w:color="auto"/>
              <w:left w:val="single" w:sz="4" w:space="0" w:color="auto"/>
              <w:bottom w:val="single" w:sz="4" w:space="0" w:color="auto"/>
            </w:tcBorders>
          </w:tcPr>
          <w:p w14:paraId="7C1C18A9" w14:textId="77777777" w:rsidR="005C054E" w:rsidRDefault="005C054E" w:rsidP="00A71F95">
            <w:pPr>
              <w:widowControl w:val="0"/>
              <w:spacing w:line="240" w:lineRule="auto"/>
              <w:ind w:firstLine="0"/>
            </w:pPr>
            <w:r>
              <w:rPr>
                <w:sz w:val="18"/>
                <w:szCs w:val="18"/>
              </w:rPr>
              <w:t xml:space="preserve">B. Dependent variable: </w:t>
            </w:r>
          </w:p>
          <w:p w14:paraId="5CEB096C" w14:textId="77777777" w:rsidR="005C054E" w:rsidRDefault="005C054E" w:rsidP="00A71F95">
            <w:pPr>
              <w:widowControl w:val="0"/>
              <w:spacing w:line="240" w:lineRule="auto"/>
              <w:ind w:firstLine="0"/>
            </w:pPr>
            <w:r>
              <w:rPr>
                <w:sz w:val="18"/>
                <w:szCs w:val="18"/>
              </w:rPr>
              <w:t>EU membership a good thing;</w:t>
            </w:r>
          </w:p>
          <w:p w14:paraId="3FD56228" w14:textId="77777777" w:rsidR="005C054E" w:rsidRDefault="005C054E" w:rsidP="00A71F95">
            <w:pPr>
              <w:widowControl w:val="0"/>
              <w:spacing w:line="240" w:lineRule="auto"/>
              <w:ind w:firstLine="0"/>
            </w:pPr>
            <w:r>
              <w:rPr>
                <w:sz w:val="18"/>
                <w:szCs w:val="18"/>
              </w:rPr>
              <w:t>ordered probit coefficients</w:t>
            </w:r>
          </w:p>
        </w:tc>
      </w:tr>
      <w:tr w:rsidR="005C054E" w14:paraId="2AE4C900" w14:textId="77777777" w:rsidTr="00552C1C">
        <w:trPr>
          <w:trHeight w:hRule="exact" w:val="255"/>
          <w:jc w:val="center"/>
        </w:trPr>
        <w:tc>
          <w:tcPr>
            <w:tcW w:w="2437" w:type="dxa"/>
            <w:tcBorders>
              <w:top w:val="single" w:sz="4" w:space="0" w:color="auto"/>
              <w:bottom w:val="single" w:sz="4" w:space="0" w:color="auto"/>
              <w:right w:val="single" w:sz="4" w:space="0" w:color="auto"/>
            </w:tcBorders>
            <w:vAlign w:val="center"/>
          </w:tcPr>
          <w:p w14:paraId="7FD6BB7C" w14:textId="77777777" w:rsidR="005C054E" w:rsidRDefault="005C054E" w:rsidP="00A71F95">
            <w:pPr>
              <w:widowControl w:val="0"/>
              <w:spacing w:line="240" w:lineRule="auto"/>
              <w:ind w:firstLine="0"/>
              <w:jc w:val="left"/>
            </w:pPr>
          </w:p>
        </w:tc>
        <w:tc>
          <w:tcPr>
            <w:tcW w:w="921" w:type="dxa"/>
            <w:tcBorders>
              <w:top w:val="single" w:sz="4" w:space="0" w:color="auto"/>
              <w:left w:val="single" w:sz="4" w:space="0" w:color="auto"/>
              <w:bottom w:val="single" w:sz="4" w:space="0" w:color="auto"/>
            </w:tcBorders>
            <w:vAlign w:val="center"/>
          </w:tcPr>
          <w:p w14:paraId="6BE39063" w14:textId="77777777" w:rsidR="005C054E" w:rsidRDefault="005C054E" w:rsidP="00A71F95">
            <w:pPr>
              <w:widowControl w:val="0"/>
              <w:spacing w:line="240" w:lineRule="auto"/>
              <w:ind w:firstLine="0"/>
            </w:pPr>
            <w:r>
              <w:rPr>
                <w:sz w:val="16"/>
                <w:szCs w:val="16"/>
              </w:rPr>
              <w:t>(1)</w:t>
            </w:r>
          </w:p>
        </w:tc>
        <w:tc>
          <w:tcPr>
            <w:tcW w:w="921" w:type="dxa"/>
            <w:tcBorders>
              <w:top w:val="single" w:sz="4" w:space="0" w:color="auto"/>
              <w:bottom w:val="single" w:sz="4" w:space="0" w:color="auto"/>
            </w:tcBorders>
            <w:vAlign w:val="center"/>
          </w:tcPr>
          <w:p w14:paraId="1427080D" w14:textId="77777777" w:rsidR="005C054E" w:rsidRDefault="005C054E" w:rsidP="00A71F95">
            <w:pPr>
              <w:widowControl w:val="0"/>
              <w:spacing w:line="240" w:lineRule="auto"/>
              <w:ind w:firstLine="0"/>
            </w:pPr>
            <w:r>
              <w:rPr>
                <w:sz w:val="16"/>
                <w:szCs w:val="16"/>
              </w:rPr>
              <w:t>(2)</w:t>
            </w:r>
          </w:p>
        </w:tc>
        <w:tc>
          <w:tcPr>
            <w:tcW w:w="922" w:type="dxa"/>
            <w:tcBorders>
              <w:top w:val="single" w:sz="4" w:space="0" w:color="auto"/>
              <w:bottom w:val="single" w:sz="4" w:space="0" w:color="auto"/>
            </w:tcBorders>
            <w:vAlign w:val="center"/>
          </w:tcPr>
          <w:p w14:paraId="386C855C" w14:textId="77777777" w:rsidR="005C054E" w:rsidRDefault="005C054E" w:rsidP="00A71F95">
            <w:pPr>
              <w:widowControl w:val="0"/>
              <w:spacing w:line="240" w:lineRule="auto"/>
              <w:ind w:firstLine="0"/>
            </w:pPr>
            <w:r>
              <w:rPr>
                <w:sz w:val="16"/>
                <w:szCs w:val="16"/>
              </w:rPr>
              <w:t>(3)</w:t>
            </w:r>
          </w:p>
        </w:tc>
        <w:tc>
          <w:tcPr>
            <w:tcW w:w="921" w:type="dxa"/>
            <w:tcBorders>
              <w:top w:val="single" w:sz="4" w:space="0" w:color="auto"/>
              <w:bottom w:val="single" w:sz="4" w:space="0" w:color="auto"/>
              <w:right w:val="single" w:sz="4" w:space="0" w:color="auto"/>
            </w:tcBorders>
            <w:vAlign w:val="center"/>
          </w:tcPr>
          <w:p w14:paraId="3644DB76" w14:textId="77777777" w:rsidR="005C054E" w:rsidRDefault="005C054E" w:rsidP="00A71F95">
            <w:pPr>
              <w:widowControl w:val="0"/>
              <w:spacing w:line="240" w:lineRule="auto"/>
              <w:ind w:firstLine="0"/>
            </w:pPr>
            <w:r>
              <w:rPr>
                <w:sz w:val="16"/>
                <w:szCs w:val="16"/>
              </w:rPr>
              <w:t>(4)</w:t>
            </w:r>
          </w:p>
        </w:tc>
        <w:tc>
          <w:tcPr>
            <w:tcW w:w="921" w:type="dxa"/>
            <w:tcBorders>
              <w:top w:val="single" w:sz="4" w:space="0" w:color="auto"/>
              <w:left w:val="single" w:sz="4" w:space="0" w:color="auto"/>
              <w:bottom w:val="single" w:sz="4" w:space="0" w:color="auto"/>
            </w:tcBorders>
            <w:vAlign w:val="center"/>
          </w:tcPr>
          <w:p w14:paraId="0AA40AD2" w14:textId="77777777" w:rsidR="005C054E" w:rsidRDefault="005C054E" w:rsidP="00A71F95">
            <w:pPr>
              <w:widowControl w:val="0"/>
              <w:spacing w:line="240" w:lineRule="auto"/>
              <w:ind w:firstLine="0"/>
            </w:pPr>
            <w:r>
              <w:rPr>
                <w:sz w:val="16"/>
                <w:szCs w:val="16"/>
              </w:rPr>
              <w:t>(5)</w:t>
            </w:r>
          </w:p>
        </w:tc>
        <w:tc>
          <w:tcPr>
            <w:tcW w:w="922" w:type="dxa"/>
            <w:tcBorders>
              <w:top w:val="single" w:sz="4" w:space="0" w:color="auto"/>
              <w:bottom w:val="single" w:sz="4" w:space="0" w:color="auto"/>
            </w:tcBorders>
            <w:vAlign w:val="center"/>
          </w:tcPr>
          <w:p w14:paraId="523FE2AB" w14:textId="77777777" w:rsidR="005C054E" w:rsidRDefault="005C054E" w:rsidP="00A71F95">
            <w:pPr>
              <w:widowControl w:val="0"/>
              <w:spacing w:line="240" w:lineRule="auto"/>
              <w:ind w:firstLine="0"/>
            </w:pPr>
            <w:r>
              <w:rPr>
                <w:sz w:val="16"/>
                <w:szCs w:val="16"/>
              </w:rPr>
              <w:t>(6)</w:t>
            </w:r>
          </w:p>
        </w:tc>
        <w:tc>
          <w:tcPr>
            <w:tcW w:w="921" w:type="dxa"/>
            <w:tcBorders>
              <w:top w:val="single" w:sz="4" w:space="0" w:color="auto"/>
              <w:bottom w:val="single" w:sz="4" w:space="0" w:color="auto"/>
            </w:tcBorders>
            <w:vAlign w:val="center"/>
          </w:tcPr>
          <w:p w14:paraId="77E7A5CA" w14:textId="77777777" w:rsidR="005C054E" w:rsidRDefault="005C054E" w:rsidP="00A71F95">
            <w:pPr>
              <w:widowControl w:val="0"/>
              <w:spacing w:line="240" w:lineRule="auto"/>
              <w:ind w:firstLine="0"/>
            </w:pPr>
            <w:r>
              <w:rPr>
                <w:sz w:val="16"/>
                <w:szCs w:val="16"/>
              </w:rPr>
              <w:t>(7)</w:t>
            </w:r>
          </w:p>
        </w:tc>
        <w:tc>
          <w:tcPr>
            <w:tcW w:w="922" w:type="dxa"/>
            <w:tcBorders>
              <w:top w:val="single" w:sz="4" w:space="0" w:color="auto"/>
              <w:bottom w:val="single" w:sz="4" w:space="0" w:color="auto"/>
            </w:tcBorders>
            <w:vAlign w:val="center"/>
          </w:tcPr>
          <w:p w14:paraId="0CD03743" w14:textId="77777777" w:rsidR="005C054E" w:rsidRDefault="005C054E" w:rsidP="00A71F95">
            <w:pPr>
              <w:widowControl w:val="0"/>
              <w:spacing w:line="240" w:lineRule="auto"/>
              <w:ind w:firstLine="0"/>
            </w:pPr>
            <w:r>
              <w:rPr>
                <w:sz w:val="16"/>
                <w:szCs w:val="16"/>
              </w:rPr>
              <w:t>(8)</w:t>
            </w:r>
          </w:p>
        </w:tc>
      </w:tr>
      <w:tr w:rsidR="005C054E" w14:paraId="464C94E3" w14:textId="77777777" w:rsidTr="00552C1C">
        <w:trPr>
          <w:trHeight w:hRule="exact" w:val="255"/>
          <w:jc w:val="center"/>
        </w:trPr>
        <w:tc>
          <w:tcPr>
            <w:tcW w:w="2437" w:type="dxa"/>
            <w:tcBorders>
              <w:top w:val="single" w:sz="4" w:space="0" w:color="auto"/>
              <w:right w:val="single" w:sz="4" w:space="0" w:color="auto"/>
            </w:tcBorders>
            <w:vAlign w:val="center"/>
          </w:tcPr>
          <w:p w14:paraId="25FFDFAA" w14:textId="77777777" w:rsidR="005C054E" w:rsidRDefault="005C054E" w:rsidP="00A71F95">
            <w:pPr>
              <w:widowControl w:val="0"/>
              <w:spacing w:line="240" w:lineRule="auto"/>
              <w:ind w:firstLine="0"/>
              <w:jc w:val="left"/>
            </w:pPr>
          </w:p>
        </w:tc>
        <w:tc>
          <w:tcPr>
            <w:tcW w:w="921" w:type="dxa"/>
            <w:tcBorders>
              <w:top w:val="single" w:sz="4" w:space="0" w:color="auto"/>
              <w:left w:val="single" w:sz="4" w:space="0" w:color="auto"/>
            </w:tcBorders>
            <w:vAlign w:val="center"/>
          </w:tcPr>
          <w:p w14:paraId="64344E5A" w14:textId="77777777" w:rsidR="005C054E" w:rsidRDefault="005C054E" w:rsidP="00A71F95">
            <w:pPr>
              <w:widowControl w:val="0"/>
              <w:spacing w:line="240" w:lineRule="auto"/>
              <w:ind w:firstLine="0"/>
            </w:pPr>
          </w:p>
        </w:tc>
        <w:tc>
          <w:tcPr>
            <w:tcW w:w="921" w:type="dxa"/>
            <w:tcBorders>
              <w:top w:val="single" w:sz="4" w:space="0" w:color="auto"/>
            </w:tcBorders>
            <w:vAlign w:val="center"/>
          </w:tcPr>
          <w:p w14:paraId="45AECB7B" w14:textId="77777777" w:rsidR="005C054E" w:rsidRDefault="005C054E" w:rsidP="00A71F95">
            <w:pPr>
              <w:widowControl w:val="0"/>
              <w:spacing w:line="240" w:lineRule="auto"/>
              <w:ind w:firstLine="0"/>
            </w:pPr>
          </w:p>
        </w:tc>
        <w:tc>
          <w:tcPr>
            <w:tcW w:w="922" w:type="dxa"/>
            <w:tcBorders>
              <w:top w:val="single" w:sz="4" w:space="0" w:color="auto"/>
            </w:tcBorders>
            <w:vAlign w:val="center"/>
          </w:tcPr>
          <w:p w14:paraId="5DC10007" w14:textId="77777777" w:rsidR="005C054E" w:rsidRDefault="005C054E" w:rsidP="00A71F95">
            <w:pPr>
              <w:widowControl w:val="0"/>
              <w:spacing w:line="240" w:lineRule="auto"/>
              <w:ind w:firstLine="0"/>
            </w:pPr>
          </w:p>
        </w:tc>
        <w:tc>
          <w:tcPr>
            <w:tcW w:w="921" w:type="dxa"/>
            <w:tcBorders>
              <w:top w:val="single" w:sz="4" w:space="0" w:color="auto"/>
              <w:right w:val="single" w:sz="4" w:space="0" w:color="auto"/>
            </w:tcBorders>
            <w:vAlign w:val="center"/>
          </w:tcPr>
          <w:p w14:paraId="502AFE49" w14:textId="77777777" w:rsidR="005C054E" w:rsidRDefault="005C054E" w:rsidP="00A71F95">
            <w:pPr>
              <w:widowControl w:val="0"/>
              <w:spacing w:line="240" w:lineRule="auto"/>
              <w:ind w:firstLine="0"/>
            </w:pPr>
          </w:p>
        </w:tc>
        <w:tc>
          <w:tcPr>
            <w:tcW w:w="921" w:type="dxa"/>
            <w:tcBorders>
              <w:top w:val="single" w:sz="4" w:space="0" w:color="auto"/>
              <w:left w:val="single" w:sz="4" w:space="0" w:color="auto"/>
            </w:tcBorders>
            <w:vAlign w:val="center"/>
          </w:tcPr>
          <w:p w14:paraId="1C6A0605" w14:textId="77777777" w:rsidR="005C054E" w:rsidRDefault="005C054E" w:rsidP="00A71F95">
            <w:pPr>
              <w:widowControl w:val="0"/>
              <w:spacing w:line="240" w:lineRule="auto"/>
              <w:ind w:firstLine="0"/>
            </w:pPr>
          </w:p>
        </w:tc>
        <w:tc>
          <w:tcPr>
            <w:tcW w:w="922" w:type="dxa"/>
            <w:tcBorders>
              <w:top w:val="single" w:sz="4" w:space="0" w:color="auto"/>
            </w:tcBorders>
            <w:vAlign w:val="center"/>
          </w:tcPr>
          <w:p w14:paraId="2A75BCF1" w14:textId="77777777" w:rsidR="005C054E" w:rsidRDefault="005C054E" w:rsidP="00A71F95">
            <w:pPr>
              <w:widowControl w:val="0"/>
              <w:spacing w:line="240" w:lineRule="auto"/>
              <w:ind w:firstLine="0"/>
            </w:pPr>
          </w:p>
        </w:tc>
        <w:tc>
          <w:tcPr>
            <w:tcW w:w="921" w:type="dxa"/>
            <w:tcBorders>
              <w:top w:val="single" w:sz="4" w:space="0" w:color="auto"/>
            </w:tcBorders>
            <w:vAlign w:val="center"/>
          </w:tcPr>
          <w:p w14:paraId="01DE3C33" w14:textId="77777777" w:rsidR="005C054E" w:rsidRDefault="005C054E" w:rsidP="00A71F95">
            <w:pPr>
              <w:widowControl w:val="0"/>
              <w:spacing w:line="240" w:lineRule="auto"/>
              <w:ind w:firstLine="0"/>
            </w:pPr>
          </w:p>
        </w:tc>
        <w:tc>
          <w:tcPr>
            <w:tcW w:w="922" w:type="dxa"/>
            <w:tcBorders>
              <w:top w:val="single" w:sz="4" w:space="0" w:color="auto"/>
            </w:tcBorders>
            <w:vAlign w:val="center"/>
          </w:tcPr>
          <w:p w14:paraId="45B8316A" w14:textId="77777777" w:rsidR="005C054E" w:rsidRDefault="005C054E" w:rsidP="00A71F95">
            <w:pPr>
              <w:widowControl w:val="0"/>
              <w:spacing w:line="240" w:lineRule="auto"/>
              <w:ind w:firstLine="0"/>
            </w:pPr>
          </w:p>
        </w:tc>
      </w:tr>
      <w:tr w:rsidR="005C054E" w14:paraId="40DCFA65" w14:textId="77777777" w:rsidTr="00552C1C">
        <w:trPr>
          <w:trHeight w:hRule="exact" w:val="255"/>
          <w:jc w:val="center"/>
        </w:trPr>
        <w:tc>
          <w:tcPr>
            <w:tcW w:w="2437" w:type="dxa"/>
            <w:tcBorders>
              <w:right w:val="single" w:sz="4" w:space="0" w:color="auto"/>
            </w:tcBorders>
            <w:vAlign w:val="center"/>
          </w:tcPr>
          <w:p w14:paraId="02F8B018" w14:textId="30A0F950" w:rsidR="005C054E" w:rsidRPr="006F5043" w:rsidRDefault="00CA291E" w:rsidP="00A71F95">
            <w:pPr>
              <w:widowControl w:val="0"/>
              <w:spacing w:line="240" w:lineRule="auto"/>
              <w:ind w:firstLine="0"/>
              <w:jc w:val="left"/>
              <w:rPr>
                <w:b/>
              </w:rPr>
            </w:pPr>
            <w:r>
              <w:rPr>
                <w:b/>
                <w:sz w:val="18"/>
                <w:szCs w:val="18"/>
              </w:rPr>
              <w:t>Willing</w:t>
            </w:r>
            <w:r w:rsidR="005C054E" w:rsidRPr="006F5043">
              <w:rPr>
                <w:b/>
                <w:sz w:val="18"/>
                <w:szCs w:val="18"/>
              </w:rPr>
              <w:t xml:space="preserve"> to move (non-EU)</w:t>
            </w:r>
          </w:p>
        </w:tc>
        <w:tc>
          <w:tcPr>
            <w:tcW w:w="921" w:type="dxa"/>
            <w:tcBorders>
              <w:left w:val="single" w:sz="4" w:space="0" w:color="auto"/>
            </w:tcBorders>
            <w:vAlign w:val="center"/>
          </w:tcPr>
          <w:p w14:paraId="19884437" w14:textId="77777777" w:rsidR="005C054E" w:rsidRDefault="005C054E" w:rsidP="00A71F95">
            <w:pPr>
              <w:widowControl w:val="0"/>
              <w:spacing w:line="240" w:lineRule="auto"/>
              <w:ind w:firstLine="0"/>
            </w:pPr>
            <w:r>
              <w:rPr>
                <w:sz w:val="18"/>
                <w:szCs w:val="18"/>
              </w:rPr>
              <w:t>0.022**</w:t>
            </w:r>
          </w:p>
        </w:tc>
        <w:tc>
          <w:tcPr>
            <w:tcW w:w="921" w:type="dxa"/>
            <w:vAlign w:val="center"/>
          </w:tcPr>
          <w:p w14:paraId="1BADAE01" w14:textId="77777777" w:rsidR="005C054E" w:rsidRDefault="005C054E" w:rsidP="00A71F95">
            <w:pPr>
              <w:widowControl w:val="0"/>
              <w:spacing w:line="240" w:lineRule="auto"/>
              <w:ind w:firstLine="0"/>
            </w:pPr>
            <w:r>
              <w:rPr>
                <w:sz w:val="18"/>
                <w:szCs w:val="18"/>
              </w:rPr>
              <w:t>-</w:t>
            </w:r>
          </w:p>
        </w:tc>
        <w:tc>
          <w:tcPr>
            <w:tcW w:w="922" w:type="dxa"/>
            <w:vAlign w:val="center"/>
          </w:tcPr>
          <w:p w14:paraId="70F9136F" w14:textId="77777777" w:rsidR="005C054E" w:rsidRDefault="005C054E" w:rsidP="00A71F95">
            <w:pPr>
              <w:widowControl w:val="0"/>
              <w:spacing w:line="240" w:lineRule="auto"/>
              <w:ind w:firstLine="0"/>
            </w:pPr>
            <w:r>
              <w:rPr>
                <w:sz w:val="18"/>
                <w:szCs w:val="18"/>
              </w:rPr>
              <w:t>-</w:t>
            </w:r>
          </w:p>
        </w:tc>
        <w:tc>
          <w:tcPr>
            <w:tcW w:w="921" w:type="dxa"/>
            <w:tcBorders>
              <w:right w:val="single" w:sz="4" w:space="0" w:color="auto"/>
            </w:tcBorders>
            <w:vAlign w:val="center"/>
          </w:tcPr>
          <w:p w14:paraId="1E6B7692" w14:textId="77777777" w:rsidR="005C054E" w:rsidRDefault="005C054E" w:rsidP="00A71F95">
            <w:pPr>
              <w:widowControl w:val="0"/>
              <w:spacing w:line="240" w:lineRule="auto"/>
              <w:ind w:firstLine="0"/>
            </w:pPr>
            <w:r>
              <w:rPr>
                <w:sz w:val="18"/>
                <w:szCs w:val="18"/>
              </w:rPr>
              <w:t>0.022**</w:t>
            </w:r>
          </w:p>
        </w:tc>
        <w:tc>
          <w:tcPr>
            <w:tcW w:w="921" w:type="dxa"/>
            <w:tcBorders>
              <w:left w:val="single" w:sz="4" w:space="0" w:color="auto"/>
            </w:tcBorders>
            <w:vAlign w:val="center"/>
          </w:tcPr>
          <w:p w14:paraId="1BB09296" w14:textId="77777777" w:rsidR="005C054E" w:rsidRDefault="005C054E" w:rsidP="00A71F95">
            <w:pPr>
              <w:widowControl w:val="0"/>
              <w:spacing w:line="240" w:lineRule="auto"/>
              <w:ind w:firstLine="0"/>
            </w:pPr>
            <w:r>
              <w:rPr>
                <w:sz w:val="18"/>
                <w:szCs w:val="18"/>
              </w:rPr>
              <w:t>0.129***</w:t>
            </w:r>
          </w:p>
        </w:tc>
        <w:tc>
          <w:tcPr>
            <w:tcW w:w="922" w:type="dxa"/>
            <w:vAlign w:val="center"/>
          </w:tcPr>
          <w:p w14:paraId="5FF44C46" w14:textId="77777777" w:rsidR="005C054E" w:rsidRDefault="005C054E" w:rsidP="00A71F95">
            <w:pPr>
              <w:widowControl w:val="0"/>
              <w:spacing w:line="240" w:lineRule="auto"/>
              <w:ind w:firstLine="0"/>
            </w:pPr>
            <w:r>
              <w:rPr>
                <w:sz w:val="18"/>
                <w:szCs w:val="18"/>
              </w:rPr>
              <w:t>-</w:t>
            </w:r>
          </w:p>
        </w:tc>
        <w:tc>
          <w:tcPr>
            <w:tcW w:w="921" w:type="dxa"/>
            <w:vAlign w:val="center"/>
          </w:tcPr>
          <w:p w14:paraId="3A1EF3B8" w14:textId="77777777" w:rsidR="005C054E" w:rsidRDefault="005C054E" w:rsidP="00A71F95">
            <w:pPr>
              <w:widowControl w:val="0"/>
              <w:spacing w:line="240" w:lineRule="auto"/>
              <w:ind w:firstLine="0"/>
            </w:pPr>
            <w:r>
              <w:rPr>
                <w:sz w:val="18"/>
                <w:szCs w:val="18"/>
              </w:rPr>
              <w:t>-</w:t>
            </w:r>
          </w:p>
        </w:tc>
        <w:tc>
          <w:tcPr>
            <w:tcW w:w="922" w:type="dxa"/>
            <w:vAlign w:val="center"/>
          </w:tcPr>
          <w:p w14:paraId="5078AEF6" w14:textId="77777777" w:rsidR="005C054E" w:rsidRDefault="005C054E" w:rsidP="00A71F95">
            <w:pPr>
              <w:widowControl w:val="0"/>
              <w:spacing w:line="240" w:lineRule="auto"/>
              <w:ind w:firstLine="0"/>
            </w:pPr>
            <w:r>
              <w:rPr>
                <w:sz w:val="18"/>
                <w:szCs w:val="18"/>
              </w:rPr>
              <w:t>0.136***</w:t>
            </w:r>
          </w:p>
        </w:tc>
      </w:tr>
      <w:tr w:rsidR="005C054E" w14:paraId="253EC295" w14:textId="77777777" w:rsidTr="00552C1C">
        <w:trPr>
          <w:trHeight w:hRule="exact" w:val="255"/>
          <w:jc w:val="center"/>
        </w:trPr>
        <w:tc>
          <w:tcPr>
            <w:tcW w:w="2437" w:type="dxa"/>
            <w:tcBorders>
              <w:right w:val="single" w:sz="4" w:space="0" w:color="auto"/>
            </w:tcBorders>
            <w:vAlign w:val="center"/>
          </w:tcPr>
          <w:p w14:paraId="787EC529" w14:textId="77777777" w:rsidR="005C054E" w:rsidRPr="006F5043" w:rsidRDefault="005C054E" w:rsidP="00A71F95">
            <w:pPr>
              <w:widowControl w:val="0"/>
              <w:spacing w:line="240" w:lineRule="auto"/>
              <w:ind w:firstLine="0"/>
              <w:jc w:val="left"/>
              <w:rPr>
                <w:b/>
              </w:rPr>
            </w:pPr>
            <w:r w:rsidRPr="006F5043">
              <w:rPr>
                <w:b/>
                <w:sz w:val="18"/>
                <w:szCs w:val="18"/>
              </w:rPr>
              <w:t>Relatives abroad (non-EU)</w:t>
            </w:r>
          </w:p>
        </w:tc>
        <w:tc>
          <w:tcPr>
            <w:tcW w:w="921" w:type="dxa"/>
            <w:tcBorders>
              <w:left w:val="single" w:sz="4" w:space="0" w:color="auto"/>
            </w:tcBorders>
            <w:vAlign w:val="center"/>
          </w:tcPr>
          <w:p w14:paraId="325EB93F" w14:textId="77777777" w:rsidR="005C054E" w:rsidRDefault="005C054E" w:rsidP="00A71F95">
            <w:pPr>
              <w:widowControl w:val="0"/>
              <w:spacing w:line="240" w:lineRule="auto"/>
              <w:ind w:firstLine="0"/>
            </w:pPr>
            <w:r>
              <w:rPr>
                <w:sz w:val="18"/>
                <w:szCs w:val="18"/>
              </w:rPr>
              <w:t>-</w:t>
            </w:r>
          </w:p>
        </w:tc>
        <w:tc>
          <w:tcPr>
            <w:tcW w:w="921" w:type="dxa"/>
            <w:vAlign w:val="center"/>
          </w:tcPr>
          <w:p w14:paraId="76F56965" w14:textId="77777777" w:rsidR="005C054E" w:rsidRDefault="005C054E" w:rsidP="00A71F95">
            <w:pPr>
              <w:widowControl w:val="0"/>
              <w:spacing w:line="240" w:lineRule="auto"/>
              <w:ind w:firstLine="0"/>
            </w:pPr>
            <w:r>
              <w:rPr>
                <w:sz w:val="18"/>
                <w:szCs w:val="18"/>
              </w:rPr>
              <w:t>0.007</w:t>
            </w:r>
          </w:p>
        </w:tc>
        <w:tc>
          <w:tcPr>
            <w:tcW w:w="922" w:type="dxa"/>
            <w:vAlign w:val="center"/>
          </w:tcPr>
          <w:p w14:paraId="3FD93AC8" w14:textId="77777777" w:rsidR="005C054E" w:rsidRDefault="005C054E" w:rsidP="00A71F95">
            <w:pPr>
              <w:widowControl w:val="0"/>
              <w:spacing w:line="240" w:lineRule="auto"/>
              <w:ind w:firstLine="0"/>
            </w:pPr>
            <w:r>
              <w:rPr>
                <w:sz w:val="18"/>
                <w:szCs w:val="18"/>
              </w:rPr>
              <w:t>-</w:t>
            </w:r>
          </w:p>
        </w:tc>
        <w:tc>
          <w:tcPr>
            <w:tcW w:w="921" w:type="dxa"/>
            <w:tcBorders>
              <w:right w:val="single" w:sz="4" w:space="0" w:color="auto"/>
            </w:tcBorders>
            <w:vAlign w:val="center"/>
          </w:tcPr>
          <w:p w14:paraId="0BB0E480" w14:textId="77777777" w:rsidR="005C054E" w:rsidRDefault="005C054E" w:rsidP="00A71F95">
            <w:pPr>
              <w:widowControl w:val="0"/>
              <w:spacing w:line="240" w:lineRule="auto"/>
              <w:ind w:firstLine="0"/>
            </w:pPr>
            <w:r>
              <w:rPr>
                <w:sz w:val="18"/>
                <w:szCs w:val="18"/>
              </w:rPr>
              <w:t>0.006</w:t>
            </w:r>
          </w:p>
        </w:tc>
        <w:tc>
          <w:tcPr>
            <w:tcW w:w="921" w:type="dxa"/>
            <w:tcBorders>
              <w:left w:val="single" w:sz="4" w:space="0" w:color="auto"/>
            </w:tcBorders>
            <w:vAlign w:val="center"/>
          </w:tcPr>
          <w:p w14:paraId="1C3AADD0" w14:textId="77777777" w:rsidR="005C054E" w:rsidRDefault="005C054E" w:rsidP="00A71F95">
            <w:pPr>
              <w:widowControl w:val="0"/>
              <w:spacing w:line="240" w:lineRule="auto"/>
              <w:ind w:firstLine="0"/>
            </w:pPr>
            <w:r>
              <w:rPr>
                <w:sz w:val="18"/>
                <w:szCs w:val="18"/>
              </w:rPr>
              <w:t>-</w:t>
            </w:r>
          </w:p>
        </w:tc>
        <w:tc>
          <w:tcPr>
            <w:tcW w:w="922" w:type="dxa"/>
            <w:vAlign w:val="center"/>
          </w:tcPr>
          <w:p w14:paraId="122AB797" w14:textId="77777777" w:rsidR="005C054E" w:rsidRDefault="005C054E" w:rsidP="00A71F95">
            <w:pPr>
              <w:widowControl w:val="0"/>
              <w:spacing w:line="240" w:lineRule="auto"/>
              <w:ind w:firstLine="0"/>
            </w:pPr>
            <w:r>
              <w:rPr>
                <w:sz w:val="18"/>
                <w:szCs w:val="18"/>
              </w:rPr>
              <w:t>-0.050</w:t>
            </w:r>
          </w:p>
        </w:tc>
        <w:tc>
          <w:tcPr>
            <w:tcW w:w="921" w:type="dxa"/>
            <w:vAlign w:val="center"/>
          </w:tcPr>
          <w:p w14:paraId="0BD1EA16" w14:textId="77777777" w:rsidR="005C054E" w:rsidRDefault="005C054E" w:rsidP="00A71F95">
            <w:pPr>
              <w:widowControl w:val="0"/>
              <w:spacing w:line="240" w:lineRule="auto"/>
              <w:ind w:firstLine="0"/>
            </w:pPr>
            <w:r>
              <w:rPr>
                <w:sz w:val="18"/>
                <w:szCs w:val="18"/>
              </w:rPr>
              <w:t>-</w:t>
            </w:r>
          </w:p>
        </w:tc>
        <w:tc>
          <w:tcPr>
            <w:tcW w:w="922" w:type="dxa"/>
            <w:vAlign w:val="center"/>
          </w:tcPr>
          <w:p w14:paraId="0F0DF362" w14:textId="77777777" w:rsidR="005C054E" w:rsidRDefault="005C054E" w:rsidP="00A71F95">
            <w:pPr>
              <w:widowControl w:val="0"/>
              <w:spacing w:line="240" w:lineRule="auto"/>
              <w:ind w:firstLine="0"/>
            </w:pPr>
            <w:r>
              <w:rPr>
                <w:sz w:val="18"/>
                <w:szCs w:val="18"/>
              </w:rPr>
              <w:t>-0.056</w:t>
            </w:r>
          </w:p>
        </w:tc>
      </w:tr>
      <w:tr w:rsidR="005C054E" w14:paraId="74537A59" w14:textId="77777777" w:rsidTr="00552C1C">
        <w:trPr>
          <w:trHeight w:hRule="exact" w:val="255"/>
          <w:jc w:val="center"/>
        </w:trPr>
        <w:tc>
          <w:tcPr>
            <w:tcW w:w="2437" w:type="dxa"/>
            <w:tcBorders>
              <w:right w:val="single" w:sz="4" w:space="0" w:color="auto"/>
            </w:tcBorders>
            <w:vAlign w:val="center"/>
          </w:tcPr>
          <w:p w14:paraId="73BB88A5" w14:textId="77777777" w:rsidR="005C054E" w:rsidRPr="006F5043" w:rsidRDefault="005C054E" w:rsidP="00A71F95">
            <w:pPr>
              <w:widowControl w:val="0"/>
              <w:spacing w:line="240" w:lineRule="auto"/>
              <w:ind w:firstLine="0"/>
              <w:jc w:val="left"/>
              <w:rPr>
                <w:b/>
              </w:rPr>
            </w:pPr>
            <w:r w:rsidRPr="006F5043">
              <w:rPr>
                <w:b/>
                <w:sz w:val="18"/>
                <w:szCs w:val="18"/>
              </w:rPr>
              <w:t>Return migrant (non-EU)</w:t>
            </w:r>
          </w:p>
        </w:tc>
        <w:tc>
          <w:tcPr>
            <w:tcW w:w="921" w:type="dxa"/>
            <w:tcBorders>
              <w:left w:val="single" w:sz="4" w:space="0" w:color="auto"/>
            </w:tcBorders>
            <w:vAlign w:val="center"/>
          </w:tcPr>
          <w:p w14:paraId="7C761CD2" w14:textId="77777777" w:rsidR="005C054E" w:rsidRDefault="005C054E" w:rsidP="00A71F95">
            <w:pPr>
              <w:widowControl w:val="0"/>
              <w:spacing w:line="240" w:lineRule="auto"/>
              <w:ind w:firstLine="0"/>
            </w:pPr>
            <w:r>
              <w:rPr>
                <w:sz w:val="18"/>
                <w:szCs w:val="18"/>
              </w:rPr>
              <w:t>-</w:t>
            </w:r>
          </w:p>
        </w:tc>
        <w:tc>
          <w:tcPr>
            <w:tcW w:w="921" w:type="dxa"/>
            <w:vAlign w:val="center"/>
          </w:tcPr>
          <w:p w14:paraId="5A3CA04B" w14:textId="77777777" w:rsidR="005C054E" w:rsidRDefault="005C054E" w:rsidP="00A71F95">
            <w:pPr>
              <w:widowControl w:val="0"/>
              <w:spacing w:line="240" w:lineRule="auto"/>
              <w:ind w:firstLine="0"/>
            </w:pPr>
            <w:r>
              <w:rPr>
                <w:sz w:val="18"/>
                <w:szCs w:val="18"/>
              </w:rPr>
              <w:t>-</w:t>
            </w:r>
          </w:p>
        </w:tc>
        <w:tc>
          <w:tcPr>
            <w:tcW w:w="922" w:type="dxa"/>
            <w:vAlign w:val="center"/>
          </w:tcPr>
          <w:p w14:paraId="62DE4EC3" w14:textId="77777777" w:rsidR="005C054E" w:rsidRDefault="005C054E" w:rsidP="00A71F95">
            <w:pPr>
              <w:widowControl w:val="0"/>
              <w:spacing w:line="240" w:lineRule="auto"/>
              <w:ind w:firstLine="0"/>
            </w:pPr>
            <w:r>
              <w:rPr>
                <w:sz w:val="18"/>
                <w:szCs w:val="18"/>
              </w:rPr>
              <w:t>-0.017</w:t>
            </w:r>
          </w:p>
        </w:tc>
        <w:tc>
          <w:tcPr>
            <w:tcW w:w="921" w:type="dxa"/>
            <w:tcBorders>
              <w:right w:val="single" w:sz="4" w:space="0" w:color="auto"/>
            </w:tcBorders>
            <w:vAlign w:val="center"/>
          </w:tcPr>
          <w:p w14:paraId="05806FCD" w14:textId="77777777" w:rsidR="005C054E" w:rsidRDefault="005C054E" w:rsidP="00A71F95">
            <w:pPr>
              <w:widowControl w:val="0"/>
              <w:spacing w:line="240" w:lineRule="auto"/>
              <w:ind w:firstLine="0"/>
            </w:pPr>
            <w:r>
              <w:rPr>
                <w:sz w:val="18"/>
                <w:szCs w:val="18"/>
              </w:rPr>
              <w:t>-0.021</w:t>
            </w:r>
          </w:p>
        </w:tc>
        <w:tc>
          <w:tcPr>
            <w:tcW w:w="921" w:type="dxa"/>
            <w:tcBorders>
              <w:left w:val="single" w:sz="4" w:space="0" w:color="auto"/>
            </w:tcBorders>
            <w:vAlign w:val="center"/>
          </w:tcPr>
          <w:p w14:paraId="2B4DC099" w14:textId="77777777" w:rsidR="005C054E" w:rsidRDefault="005C054E" w:rsidP="00A71F95">
            <w:pPr>
              <w:widowControl w:val="0"/>
              <w:spacing w:line="240" w:lineRule="auto"/>
              <w:ind w:firstLine="0"/>
            </w:pPr>
            <w:r>
              <w:rPr>
                <w:sz w:val="18"/>
                <w:szCs w:val="18"/>
              </w:rPr>
              <w:t>-</w:t>
            </w:r>
          </w:p>
        </w:tc>
        <w:tc>
          <w:tcPr>
            <w:tcW w:w="922" w:type="dxa"/>
            <w:vAlign w:val="center"/>
          </w:tcPr>
          <w:p w14:paraId="60E27F1A" w14:textId="77777777" w:rsidR="005C054E" w:rsidRDefault="005C054E" w:rsidP="00A71F95">
            <w:pPr>
              <w:widowControl w:val="0"/>
              <w:spacing w:line="240" w:lineRule="auto"/>
              <w:ind w:firstLine="0"/>
            </w:pPr>
            <w:r>
              <w:rPr>
                <w:sz w:val="18"/>
                <w:szCs w:val="18"/>
              </w:rPr>
              <w:t>-</w:t>
            </w:r>
          </w:p>
        </w:tc>
        <w:tc>
          <w:tcPr>
            <w:tcW w:w="921" w:type="dxa"/>
            <w:vAlign w:val="center"/>
          </w:tcPr>
          <w:p w14:paraId="6C32FA42" w14:textId="77777777" w:rsidR="005C054E" w:rsidRDefault="005C054E" w:rsidP="00A71F95">
            <w:pPr>
              <w:widowControl w:val="0"/>
              <w:spacing w:line="240" w:lineRule="auto"/>
              <w:ind w:firstLine="0"/>
            </w:pPr>
            <w:r>
              <w:rPr>
                <w:sz w:val="18"/>
                <w:szCs w:val="18"/>
              </w:rPr>
              <w:t>-0.069</w:t>
            </w:r>
          </w:p>
        </w:tc>
        <w:tc>
          <w:tcPr>
            <w:tcW w:w="922" w:type="dxa"/>
            <w:vAlign w:val="center"/>
          </w:tcPr>
          <w:p w14:paraId="7AB7B2CE" w14:textId="77777777" w:rsidR="005C054E" w:rsidRDefault="005C054E" w:rsidP="00A71F95">
            <w:pPr>
              <w:widowControl w:val="0"/>
              <w:spacing w:line="240" w:lineRule="auto"/>
              <w:ind w:firstLine="0"/>
            </w:pPr>
            <w:r>
              <w:rPr>
                <w:sz w:val="18"/>
                <w:szCs w:val="18"/>
              </w:rPr>
              <w:t>-0.077</w:t>
            </w:r>
          </w:p>
        </w:tc>
      </w:tr>
      <w:tr w:rsidR="005C054E" w14:paraId="1AD38B03" w14:textId="77777777" w:rsidTr="00552C1C">
        <w:trPr>
          <w:trHeight w:hRule="exact" w:val="255"/>
          <w:jc w:val="center"/>
        </w:trPr>
        <w:tc>
          <w:tcPr>
            <w:tcW w:w="2437" w:type="dxa"/>
            <w:tcBorders>
              <w:right w:val="single" w:sz="4" w:space="0" w:color="auto"/>
            </w:tcBorders>
            <w:vAlign w:val="center"/>
          </w:tcPr>
          <w:p w14:paraId="4189AFBA" w14:textId="77777777" w:rsidR="005C054E" w:rsidRDefault="005C054E" w:rsidP="00A71F95">
            <w:pPr>
              <w:widowControl w:val="0"/>
              <w:spacing w:line="240" w:lineRule="auto"/>
              <w:ind w:firstLine="0"/>
              <w:jc w:val="left"/>
            </w:pPr>
          </w:p>
        </w:tc>
        <w:tc>
          <w:tcPr>
            <w:tcW w:w="921" w:type="dxa"/>
            <w:tcBorders>
              <w:left w:val="single" w:sz="4" w:space="0" w:color="auto"/>
            </w:tcBorders>
            <w:vAlign w:val="center"/>
          </w:tcPr>
          <w:p w14:paraId="5A27551A" w14:textId="77777777" w:rsidR="005C054E" w:rsidRDefault="005C054E" w:rsidP="00A71F95">
            <w:pPr>
              <w:widowControl w:val="0"/>
              <w:spacing w:line="240" w:lineRule="auto"/>
              <w:ind w:firstLine="0"/>
            </w:pPr>
          </w:p>
        </w:tc>
        <w:tc>
          <w:tcPr>
            <w:tcW w:w="921" w:type="dxa"/>
            <w:vAlign w:val="center"/>
          </w:tcPr>
          <w:p w14:paraId="31F89AD1" w14:textId="77777777" w:rsidR="005C054E" w:rsidRDefault="005C054E" w:rsidP="00A71F95">
            <w:pPr>
              <w:widowControl w:val="0"/>
              <w:spacing w:line="240" w:lineRule="auto"/>
              <w:ind w:firstLine="0"/>
            </w:pPr>
          </w:p>
        </w:tc>
        <w:tc>
          <w:tcPr>
            <w:tcW w:w="922" w:type="dxa"/>
            <w:vAlign w:val="center"/>
          </w:tcPr>
          <w:p w14:paraId="29580BA2" w14:textId="77777777" w:rsidR="005C054E" w:rsidRDefault="005C054E" w:rsidP="00A71F95">
            <w:pPr>
              <w:widowControl w:val="0"/>
              <w:spacing w:line="240" w:lineRule="auto"/>
              <w:ind w:firstLine="0"/>
            </w:pPr>
          </w:p>
        </w:tc>
        <w:tc>
          <w:tcPr>
            <w:tcW w:w="921" w:type="dxa"/>
            <w:tcBorders>
              <w:right w:val="single" w:sz="4" w:space="0" w:color="auto"/>
            </w:tcBorders>
            <w:vAlign w:val="center"/>
          </w:tcPr>
          <w:p w14:paraId="31C3192C" w14:textId="77777777" w:rsidR="005C054E" w:rsidRDefault="005C054E" w:rsidP="00A71F95">
            <w:pPr>
              <w:widowControl w:val="0"/>
              <w:spacing w:line="240" w:lineRule="auto"/>
              <w:ind w:firstLine="0"/>
            </w:pPr>
          </w:p>
        </w:tc>
        <w:tc>
          <w:tcPr>
            <w:tcW w:w="921" w:type="dxa"/>
            <w:tcBorders>
              <w:left w:val="single" w:sz="4" w:space="0" w:color="auto"/>
            </w:tcBorders>
            <w:vAlign w:val="center"/>
          </w:tcPr>
          <w:p w14:paraId="24A9863A" w14:textId="77777777" w:rsidR="005C054E" w:rsidRDefault="005C054E" w:rsidP="00A71F95">
            <w:pPr>
              <w:widowControl w:val="0"/>
              <w:spacing w:line="240" w:lineRule="auto"/>
              <w:ind w:firstLine="0"/>
            </w:pPr>
          </w:p>
        </w:tc>
        <w:tc>
          <w:tcPr>
            <w:tcW w:w="922" w:type="dxa"/>
            <w:vAlign w:val="center"/>
          </w:tcPr>
          <w:p w14:paraId="168F1F5D" w14:textId="77777777" w:rsidR="005C054E" w:rsidRDefault="005C054E" w:rsidP="00A71F95">
            <w:pPr>
              <w:widowControl w:val="0"/>
              <w:spacing w:line="240" w:lineRule="auto"/>
              <w:ind w:firstLine="0"/>
            </w:pPr>
          </w:p>
        </w:tc>
        <w:tc>
          <w:tcPr>
            <w:tcW w:w="921" w:type="dxa"/>
            <w:vAlign w:val="center"/>
          </w:tcPr>
          <w:p w14:paraId="0BB2E06C" w14:textId="77777777" w:rsidR="005C054E" w:rsidRDefault="005C054E" w:rsidP="00A71F95">
            <w:pPr>
              <w:widowControl w:val="0"/>
              <w:spacing w:line="240" w:lineRule="auto"/>
              <w:ind w:firstLine="0"/>
            </w:pPr>
          </w:p>
        </w:tc>
        <w:tc>
          <w:tcPr>
            <w:tcW w:w="922" w:type="dxa"/>
            <w:vAlign w:val="center"/>
          </w:tcPr>
          <w:p w14:paraId="68583419" w14:textId="77777777" w:rsidR="005C054E" w:rsidRDefault="005C054E" w:rsidP="00A71F95">
            <w:pPr>
              <w:widowControl w:val="0"/>
              <w:spacing w:line="240" w:lineRule="auto"/>
              <w:ind w:firstLine="0"/>
            </w:pPr>
          </w:p>
        </w:tc>
      </w:tr>
      <w:tr w:rsidR="005C054E" w14:paraId="73824F1C" w14:textId="77777777" w:rsidTr="00552C1C">
        <w:trPr>
          <w:trHeight w:hRule="exact" w:val="255"/>
          <w:jc w:val="center"/>
        </w:trPr>
        <w:tc>
          <w:tcPr>
            <w:tcW w:w="2437" w:type="dxa"/>
            <w:tcBorders>
              <w:right w:val="single" w:sz="4" w:space="0" w:color="auto"/>
            </w:tcBorders>
            <w:vAlign w:val="center"/>
          </w:tcPr>
          <w:p w14:paraId="4088A318" w14:textId="5B006A7C" w:rsidR="005C054E" w:rsidRDefault="00CA291E" w:rsidP="00A71F95">
            <w:pPr>
              <w:widowControl w:val="0"/>
              <w:spacing w:line="240" w:lineRule="auto"/>
              <w:ind w:firstLine="0"/>
              <w:jc w:val="left"/>
            </w:pPr>
            <w:r>
              <w:rPr>
                <w:sz w:val="18"/>
                <w:szCs w:val="18"/>
              </w:rPr>
              <w:t>Willing</w:t>
            </w:r>
            <w:r w:rsidR="005C054E">
              <w:rPr>
                <w:sz w:val="18"/>
                <w:szCs w:val="18"/>
              </w:rPr>
              <w:t xml:space="preserve"> to move (EU)</w:t>
            </w:r>
          </w:p>
        </w:tc>
        <w:tc>
          <w:tcPr>
            <w:tcW w:w="921" w:type="dxa"/>
            <w:tcBorders>
              <w:left w:val="single" w:sz="4" w:space="0" w:color="auto"/>
            </w:tcBorders>
            <w:vAlign w:val="center"/>
          </w:tcPr>
          <w:p w14:paraId="54E5A19D" w14:textId="77777777" w:rsidR="005C054E" w:rsidRDefault="005C054E" w:rsidP="00A71F95">
            <w:pPr>
              <w:widowControl w:val="0"/>
              <w:spacing w:line="240" w:lineRule="auto"/>
              <w:ind w:firstLine="0"/>
            </w:pPr>
            <w:r>
              <w:rPr>
                <w:sz w:val="18"/>
                <w:szCs w:val="18"/>
              </w:rPr>
              <w:t>0.027***</w:t>
            </w:r>
          </w:p>
        </w:tc>
        <w:tc>
          <w:tcPr>
            <w:tcW w:w="921" w:type="dxa"/>
            <w:vAlign w:val="center"/>
          </w:tcPr>
          <w:p w14:paraId="0875F255" w14:textId="77777777" w:rsidR="005C054E" w:rsidRDefault="005C054E" w:rsidP="00A71F95">
            <w:pPr>
              <w:widowControl w:val="0"/>
              <w:spacing w:line="240" w:lineRule="auto"/>
              <w:ind w:firstLine="0"/>
            </w:pPr>
            <w:r>
              <w:rPr>
                <w:sz w:val="18"/>
                <w:szCs w:val="18"/>
              </w:rPr>
              <w:t>-</w:t>
            </w:r>
          </w:p>
        </w:tc>
        <w:tc>
          <w:tcPr>
            <w:tcW w:w="922" w:type="dxa"/>
            <w:vAlign w:val="center"/>
          </w:tcPr>
          <w:p w14:paraId="2FDE68BE" w14:textId="77777777" w:rsidR="005C054E" w:rsidRDefault="005C054E" w:rsidP="00A71F95">
            <w:pPr>
              <w:widowControl w:val="0"/>
              <w:spacing w:line="240" w:lineRule="auto"/>
              <w:ind w:firstLine="0"/>
            </w:pPr>
            <w:r>
              <w:rPr>
                <w:sz w:val="18"/>
                <w:szCs w:val="18"/>
              </w:rPr>
              <w:t>-</w:t>
            </w:r>
          </w:p>
        </w:tc>
        <w:tc>
          <w:tcPr>
            <w:tcW w:w="921" w:type="dxa"/>
            <w:tcBorders>
              <w:right w:val="single" w:sz="4" w:space="0" w:color="auto"/>
            </w:tcBorders>
            <w:vAlign w:val="center"/>
          </w:tcPr>
          <w:p w14:paraId="02650DE7" w14:textId="77777777" w:rsidR="005C054E" w:rsidRDefault="005C054E" w:rsidP="00A71F95">
            <w:pPr>
              <w:widowControl w:val="0"/>
              <w:spacing w:line="240" w:lineRule="auto"/>
              <w:ind w:firstLine="0"/>
            </w:pPr>
            <w:r>
              <w:rPr>
                <w:sz w:val="18"/>
                <w:szCs w:val="18"/>
              </w:rPr>
              <w:t>0.023**</w:t>
            </w:r>
          </w:p>
        </w:tc>
        <w:tc>
          <w:tcPr>
            <w:tcW w:w="921" w:type="dxa"/>
            <w:tcBorders>
              <w:left w:val="single" w:sz="4" w:space="0" w:color="auto"/>
            </w:tcBorders>
            <w:vAlign w:val="center"/>
          </w:tcPr>
          <w:p w14:paraId="79D31854" w14:textId="77777777" w:rsidR="005C054E" w:rsidRDefault="005C054E" w:rsidP="00A71F95">
            <w:pPr>
              <w:widowControl w:val="0"/>
              <w:spacing w:line="240" w:lineRule="auto"/>
              <w:ind w:firstLine="0"/>
            </w:pPr>
            <w:r>
              <w:rPr>
                <w:sz w:val="18"/>
                <w:szCs w:val="18"/>
              </w:rPr>
              <w:t>0.082*</w:t>
            </w:r>
          </w:p>
        </w:tc>
        <w:tc>
          <w:tcPr>
            <w:tcW w:w="922" w:type="dxa"/>
            <w:vAlign w:val="center"/>
          </w:tcPr>
          <w:p w14:paraId="32593E50" w14:textId="77777777" w:rsidR="005C054E" w:rsidRDefault="005C054E" w:rsidP="00A71F95">
            <w:pPr>
              <w:widowControl w:val="0"/>
              <w:spacing w:line="240" w:lineRule="auto"/>
              <w:ind w:firstLine="0"/>
            </w:pPr>
            <w:r>
              <w:rPr>
                <w:sz w:val="18"/>
                <w:szCs w:val="18"/>
              </w:rPr>
              <w:t>-</w:t>
            </w:r>
          </w:p>
        </w:tc>
        <w:tc>
          <w:tcPr>
            <w:tcW w:w="921" w:type="dxa"/>
            <w:vAlign w:val="center"/>
          </w:tcPr>
          <w:p w14:paraId="24B84DEB" w14:textId="77777777" w:rsidR="005C054E" w:rsidRDefault="005C054E" w:rsidP="00A71F95">
            <w:pPr>
              <w:widowControl w:val="0"/>
              <w:spacing w:line="240" w:lineRule="auto"/>
              <w:ind w:firstLine="0"/>
            </w:pPr>
            <w:r>
              <w:rPr>
                <w:sz w:val="18"/>
                <w:szCs w:val="18"/>
              </w:rPr>
              <w:t>-</w:t>
            </w:r>
          </w:p>
        </w:tc>
        <w:tc>
          <w:tcPr>
            <w:tcW w:w="922" w:type="dxa"/>
            <w:vAlign w:val="center"/>
          </w:tcPr>
          <w:p w14:paraId="4D91F574" w14:textId="77777777" w:rsidR="005C054E" w:rsidRDefault="005C054E" w:rsidP="00A71F95">
            <w:pPr>
              <w:widowControl w:val="0"/>
              <w:spacing w:line="240" w:lineRule="auto"/>
              <w:ind w:firstLine="0"/>
            </w:pPr>
            <w:r>
              <w:rPr>
                <w:sz w:val="18"/>
                <w:szCs w:val="18"/>
              </w:rPr>
              <w:t>0.066</w:t>
            </w:r>
          </w:p>
        </w:tc>
      </w:tr>
      <w:tr w:rsidR="005C054E" w14:paraId="55E8F52D" w14:textId="77777777" w:rsidTr="00552C1C">
        <w:trPr>
          <w:trHeight w:hRule="exact" w:val="255"/>
          <w:jc w:val="center"/>
        </w:trPr>
        <w:tc>
          <w:tcPr>
            <w:tcW w:w="2437" w:type="dxa"/>
            <w:tcBorders>
              <w:right w:val="single" w:sz="4" w:space="0" w:color="auto"/>
            </w:tcBorders>
            <w:vAlign w:val="center"/>
          </w:tcPr>
          <w:p w14:paraId="6921DB8E" w14:textId="77777777" w:rsidR="005C054E" w:rsidRDefault="005C054E" w:rsidP="00A71F95">
            <w:pPr>
              <w:widowControl w:val="0"/>
              <w:spacing w:line="240" w:lineRule="auto"/>
              <w:ind w:firstLine="0"/>
              <w:jc w:val="left"/>
            </w:pPr>
            <w:r>
              <w:rPr>
                <w:sz w:val="18"/>
                <w:szCs w:val="18"/>
              </w:rPr>
              <w:t>Relatives abroad (EU)</w:t>
            </w:r>
          </w:p>
        </w:tc>
        <w:tc>
          <w:tcPr>
            <w:tcW w:w="921" w:type="dxa"/>
            <w:tcBorders>
              <w:left w:val="single" w:sz="4" w:space="0" w:color="auto"/>
            </w:tcBorders>
            <w:vAlign w:val="center"/>
          </w:tcPr>
          <w:p w14:paraId="52F0D67D" w14:textId="77777777" w:rsidR="005C054E" w:rsidRDefault="005C054E" w:rsidP="00A71F95">
            <w:pPr>
              <w:widowControl w:val="0"/>
              <w:spacing w:line="240" w:lineRule="auto"/>
              <w:ind w:firstLine="0"/>
            </w:pPr>
            <w:r>
              <w:rPr>
                <w:sz w:val="18"/>
                <w:szCs w:val="18"/>
              </w:rPr>
              <w:t>-</w:t>
            </w:r>
          </w:p>
        </w:tc>
        <w:tc>
          <w:tcPr>
            <w:tcW w:w="921" w:type="dxa"/>
            <w:vAlign w:val="center"/>
          </w:tcPr>
          <w:p w14:paraId="7C615592" w14:textId="77777777" w:rsidR="005C054E" w:rsidRDefault="005C054E" w:rsidP="00A71F95">
            <w:pPr>
              <w:widowControl w:val="0"/>
              <w:spacing w:line="240" w:lineRule="auto"/>
              <w:ind w:firstLine="0"/>
            </w:pPr>
            <w:r>
              <w:rPr>
                <w:sz w:val="18"/>
                <w:szCs w:val="18"/>
              </w:rPr>
              <w:t>0.022***</w:t>
            </w:r>
          </w:p>
        </w:tc>
        <w:tc>
          <w:tcPr>
            <w:tcW w:w="922" w:type="dxa"/>
            <w:vAlign w:val="center"/>
          </w:tcPr>
          <w:p w14:paraId="3D1CABEA" w14:textId="77777777" w:rsidR="005C054E" w:rsidRDefault="005C054E" w:rsidP="00A71F95">
            <w:pPr>
              <w:widowControl w:val="0"/>
              <w:spacing w:line="240" w:lineRule="auto"/>
              <w:ind w:firstLine="0"/>
            </w:pPr>
            <w:r>
              <w:rPr>
                <w:sz w:val="18"/>
                <w:szCs w:val="18"/>
              </w:rPr>
              <w:t>-</w:t>
            </w:r>
          </w:p>
        </w:tc>
        <w:tc>
          <w:tcPr>
            <w:tcW w:w="921" w:type="dxa"/>
            <w:tcBorders>
              <w:right w:val="single" w:sz="4" w:space="0" w:color="auto"/>
            </w:tcBorders>
            <w:vAlign w:val="center"/>
          </w:tcPr>
          <w:p w14:paraId="0FFBFCD0" w14:textId="77777777" w:rsidR="005C054E" w:rsidRDefault="005C054E" w:rsidP="00A71F95">
            <w:pPr>
              <w:widowControl w:val="0"/>
              <w:spacing w:line="240" w:lineRule="auto"/>
              <w:ind w:firstLine="0"/>
            </w:pPr>
            <w:r>
              <w:rPr>
                <w:sz w:val="18"/>
                <w:szCs w:val="18"/>
              </w:rPr>
              <w:t>0.018***</w:t>
            </w:r>
          </w:p>
        </w:tc>
        <w:tc>
          <w:tcPr>
            <w:tcW w:w="921" w:type="dxa"/>
            <w:tcBorders>
              <w:left w:val="single" w:sz="4" w:space="0" w:color="auto"/>
            </w:tcBorders>
            <w:vAlign w:val="center"/>
          </w:tcPr>
          <w:p w14:paraId="511E7201" w14:textId="77777777" w:rsidR="005C054E" w:rsidRDefault="005C054E" w:rsidP="00A71F95">
            <w:pPr>
              <w:widowControl w:val="0"/>
              <w:spacing w:line="240" w:lineRule="auto"/>
              <w:ind w:firstLine="0"/>
            </w:pPr>
            <w:r>
              <w:rPr>
                <w:sz w:val="18"/>
                <w:szCs w:val="18"/>
              </w:rPr>
              <w:t>-</w:t>
            </w:r>
          </w:p>
        </w:tc>
        <w:tc>
          <w:tcPr>
            <w:tcW w:w="922" w:type="dxa"/>
            <w:vAlign w:val="center"/>
          </w:tcPr>
          <w:p w14:paraId="18088448" w14:textId="77777777" w:rsidR="005C054E" w:rsidRDefault="005C054E" w:rsidP="00A71F95">
            <w:pPr>
              <w:widowControl w:val="0"/>
              <w:spacing w:line="240" w:lineRule="auto"/>
              <w:ind w:firstLine="0"/>
            </w:pPr>
            <w:r>
              <w:rPr>
                <w:sz w:val="18"/>
                <w:szCs w:val="18"/>
              </w:rPr>
              <w:t>0.072**</w:t>
            </w:r>
          </w:p>
        </w:tc>
        <w:tc>
          <w:tcPr>
            <w:tcW w:w="921" w:type="dxa"/>
            <w:vAlign w:val="center"/>
          </w:tcPr>
          <w:p w14:paraId="19C7718F" w14:textId="77777777" w:rsidR="005C054E" w:rsidRDefault="005C054E" w:rsidP="00A71F95">
            <w:pPr>
              <w:widowControl w:val="0"/>
              <w:spacing w:line="240" w:lineRule="auto"/>
              <w:ind w:firstLine="0"/>
            </w:pPr>
            <w:r>
              <w:rPr>
                <w:sz w:val="18"/>
                <w:szCs w:val="18"/>
              </w:rPr>
              <w:t>-</w:t>
            </w:r>
          </w:p>
        </w:tc>
        <w:tc>
          <w:tcPr>
            <w:tcW w:w="922" w:type="dxa"/>
            <w:vAlign w:val="center"/>
          </w:tcPr>
          <w:p w14:paraId="135C45A8" w14:textId="77777777" w:rsidR="005C054E" w:rsidRDefault="005C054E" w:rsidP="00A71F95">
            <w:pPr>
              <w:widowControl w:val="0"/>
              <w:spacing w:line="240" w:lineRule="auto"/>
              <w:ind w:firstLine="0"/>
            </w:pPr>
            <w:r>
              <w:rPr>
                <w:sz w:val="18"/>
                <w:szCs w:val="18"/>
              </w:rPr>
              <w:t>0.061*</w:t>
            </w:r>
          </w:p>
        </w:tc>
      </w:tr>
      <w:tr w:rsidR="005C054E" w14:paraId="7F4FD2C0" w14:textId="77777777" w:rsidTr="00552C1C">
        <w:trPr>
          <w:trHeight w:hRule="exact" w:val="255"/>
          <w:jc w:val="center"/>
        </w:trPr>
        <w:tc>
          <w:tcPr>
            <w:tcW w:w="2437" w:type="dxa"/>
            <w:tcBorders>
              <w:right w:val="single" w:sz="4" w:space="0" w:color="auto"/>
            </w:tcBorders>
            <w:vAlign w:val="center"/>
          </w:tcPr>
          <w:p w14:paraId="6512B38F" w14:textId="77777777" w:rsidR="005C054E" w:rsidRDefault="005C054E" w:rsidP="00A71F95">
            <w:pPr>
              <w:widowControl w:val="0"/>
              <w:spacing w:line="240" w:lineRule="auto"/>
              <w:ind w:firstLine="0"/>
              <w:jc w:val="left"/>
            </w:pPr>
            <w:r>
              <w:rPr>
                <w:sz w:val="18"/>
                <w:szCs w:val="18"/>
              </w:rPr>
              <w:t>Return migrant (EU)</w:t>
            </w:r>
          </w:p>
        </w:tc>
        <w:tc>
          <w:tcPr>
            <w:tcW w:w="921" w:type="dxa"/>
            <w:tcBorders>
              <w:left w:val="single" w:sz="4" w:space="0" w:color="auto"/>
            </w:tcBorders>
            <w:vAlign w:val="center"/>
          </w:tcPr>
          <w:p w14:paraId="197F6A97" w14:textId="77777777" w:rsidR="005C054E" w:rsidRDefault="005C054E" w:rsidP="00A71F95">
            <w:pPr>
              <w:widowControl w:val="0"/>
              <w:spacing w:line="240" w:lineRule="auto"/>
              <w:ind w:firstLine="0"/>
            </w:pPr>
            <w:r>
              <w:rPr>
                <w:sz w:val="18"/>
                <w:szCs w:val="18"/>
              </w:rPr>
              <w:t>-</w:t>
            </w:r>
          </w:p>
        </w:tc>
        <w:tc>
          <w:tcPr>
            <w:tcW w:w="921" w:type="dxa"/>
            <w:vAlign w:val="center"/>
          </w:tcPr>
          <w:p w14:paraId="4828DD13" w14:textId="77777777" w:rsidR="005C054E" w:rsidRDefault="005C054E" w:rsidP="00A71F95">
            <w:pPr>
              <w:widowControl w:val="0"/>
              <w:spacing w:line="240" w:lineRule="auto"/>
              <w:ind w:firstLine="0"/>
            </w:pPr>
            <w:r>
              <w:rPr>
                <w:sz w:val="18"/>
                <w:szCs w:val="18"/>
              </w:rPr>
              <w:t>-</w:t>
            </w:r>
          </w:p>
        </w:tc>
        <w:tc>
          <w:tcPr>
            <w:tcW w:w="922" w:type="dxa"/>
            <w:vAlign w:val="center"/>
          </w:tcPr>
          <w:p w14:paraId="62B600E9" w14:textId="77777777" w:rsidR="005C054E" w:rsidRDefault="005C054E" w:rsidP="00A71F95">
            <w:pPr>
              <w:widowControl w:val="0"/>
              <w:spacing w:line="240" w:lineRule="auto"/>
              <w:ind w:firstLine="0"/>
            </w:pPr>
            <w:r>
              <w:rPr>
                <w:sz w:val="18"/>
                <w:szCs w:val="18"/>
              </w:rPr>
              <w:t>0.031***</w:t>
            </w:r>
          </w:p>
        </w:tc>
        <w:tc>
          <w:tcPr>
            <w:tcW w:w="921" w:type="dxa"/>
            <w:tcBorders>
              <w:right w:val="single" w:sz="4" w:space="0" w:color="auto"/>
            </w:tcBorders>
            <w:vAlign w:val="center"/>
          </w:tcPr>
          <w:p w14:paraId="7B4DD0C5" w14:textId="77777777" w:rsidR="005C054E" w:rsidRDefault="005C054E" w:rsidP="00A71F95">
            <w:pPr>
              <w:widowControl w:val="0"/>
              <w:spacing w:line="240" w:lineRule="auto"/>
              <w:ind w:firstLine="0"/>
            </w:pPr>
            <w:r>
              <w:rPr>
                <w:sz w:val="18"/>
                <w:szCs w:val="18"/>
              </w:rPr>
              <w:t>0.024**</w:t>
            </w:r>
          </w:p>
        </w:tc>
        <w:tc>
          <w:tcPr>
            <w:tcW w:w="921" w:type="dxa"/>
            <w:tcBorders>
              <w:left w:val="single" w:sz="4" w:space="0" w:color="auto"/>
            </w:tcBorders>
            <w:vAlign w:val="center"/>
          </w:tcPr>
          <w:p w14:paraId="734F0582" w14:textId="77777777" w:rsidR="005C054E" w:rsidRDefault="005C054E" w:rsidP="00A71F95">
            <w:pPr>
              <w:widowControl w:val="0"/>
              <w:spacing w:line="240" w:lineRule="auto"/>
              <w:ind w:firstLine="0"/>
            </w:pPr>
            <w:r>
              <w:rPr>
                <w:sz w:val="18"/>
                <w:szCs w:val="18"/>
              </w:rPr>
              <w:t>-</w:t>
            </w:r>
          </w:p>
        </w:tc>
        <w:tc>
          <w:tcPr>
            <w:tcW w:w="922" w:type="dxa"/>
            <w:vAlign w:val="center"/>
          </w:tcPr>
          <w:p w14:paraId="39933474" w14:textId="77777777" w:rsidR="005C054E" w:rsidRDefault="005C054E" w:rsidP="00A71F95">
            <w:pPr>
              <w:widowControl w:val="0"/>
              <w:spacing w:line="240" w:lineRule="auto"/>
              <w:ind w:firstLine="0"/>
            </w:pPr>
            <w:r>
              <w:rPr>
                <w:sz w:val="18"/>
                <w:szCs w:val="18"/>
              </w:rPr>
              <w:t>-</w:t>
            </w:r>
          </w:p>
        </w:tc>
        <w:tc>
          <w:tcPr>
            <w:tcW w:w="921" w:type="dxa"/>
            <w:vAlign w:val="center"/>
          </w:tcPr>
          <w:p w14:paraId="5F501317" w14:textId="77777777" w:rsidR="005C054E" w:rsidRDefault="005C054E" w:rsidP="00A71F95">
            <w:pPr>
              <w:widowControl w:val="0"/>
              <w:spacing w:line="240" w:lineRule="auto"/>
              <w:ind w:firstLine="0"/>
            </w:pPr>
            <w:r>
              <w:rPr>
                <w:sz w:val="18"/>
                <w:szCs w:val="18"/>
              </w:rPr>
              <w:t>0.094</w:t>
            </w:r>
          </w:p>
        </w:tc>
        <w:tc>
          <w:tcPr>
            <w:tcW w:w="922" w:type="dxa"/>
            <w:vAlign w:val="center"/>
          </w:tcPr>
          <w:p w14:paraId="1DF9481A" w14:textId="77777777" w:rsidR="005C054E" w:rsidRDefault="005C054E" w:rsidP="00A71F95">
            <w:pPr>
              <w:widowControl w:val="0"/>
              <w:spacing w:line="240" w:lineRule="auto"/>
              <w:ind w:firstLine="0"/>
            </w:pPr>
            <w:r>
              <w:rPr>
                <w:sz w:val="18"/>
                <w:szCs w:val="18"/>
              </w:rPr>
              <w:t>0.071</w:t>
            </w:r>
          </w:p>
        </w:tc>
      </w:tr>
      <w:tr w:rsidR="006E76D3" w14:paraId="7A590EF6" w14:textId="77777777" w:rsidTr="00552C1C">
        <w:trPr>
          <w:trHeight w:hRule="exact" w:val="255"/>
          <w:jc w:val="center"/>
        </w:trPr>
        <w:tc>
          <w:tcPr>
            <w:tcW w:w="2437" w:type="dxa"/>
            <w:tcBorders>
              <w:right w:val="single" w:sz="4" w:space="0" w:color="auto"/>
            </w:tcBorders>
            <w:vAlign w:val="center"/>
          </w:tcPr>
          <w:p w14:paraId="345510A1" w14:textId="77777777" w:rsidR="006E76D3" w:rsidRDefault="006E76D3" w:rsidP="00A71F95">
            <w:pPr>
              <w:widowControl w:val="0"/>
              <w:spacing w:line="240" w:lineRule="auto"/>
              <w:ind w:firstLine="0"/>
              <w:jc w:val="left"/>
              <w:rPr>
                <w:sz w:val="18"/>
                <w:szCs w:val="18"/>
              </w:rPr>
            </w:pPr>
          </w:p>
        </w:tc>
        <w:tc>
          <w:tcPr>
            <w:tcW w:w="921" w:type="dxa"/>
            <w:tcBorders>
              <w:left w:val="single" w:sz="4" w:space="0" w:color="auto"/>
            </w:tcBorders>
            <w:vAlign w:val="center"/>
          </w:tcPr>
          <w:p w14:paraId="3E6BB426" w14:textId="77777777" w:rsidR="006E76D3" w:rsidRDefault="006E76D3" w:rsidP="00A71F95">
            <w:pPr>
              <w:widowControl w:val="0"/>
              <w:spacing w:line="240" w:lineRule="auto"/>
              <w:ind w:firstLine="0"/>
              <w:rPr>
                <w:sz w:val="18"/>
                <w:szCs w:val="18"/>
              </w:rPr>
            </w:pPr>
          </w:p>
        </w:tc>
        <w:tc>
          <w:tcPr>
            <w:tcW w:w="921" w:type="dxa"/>
            <w:vAlign w:val="center"/>
          </w:tcPr>
          <w:p w14:paraId="44EAF078" w14:textId="77777777" w:rsidR="006E76D3" w:rsidRDefault="006E76D3" w:rsidP="00A71F95">
            <w:pPr>
              <w:widowControl w:val="0"/>
              <w:spacing w:line="240" w:lineRule="auto"/>
              <w:ind w:firstLine="0"/>
              <w:rPr>
                <w:sz w:val="18"/>
                <w:szCs w:val="18"/>
              </w:rPr>
            </w:pPr>
          </w:p>
        </w:tc>
        <w:tc>
          <w:tcPr>
            <w:tcW w:w="922" w:type="dxa"/>
            <w:vAlign w:val="center"/>
          </w:tcPr>
          <w:p w14:paraId="0417FD32" w14:textId="77777777" w:rsidR="006E76D3" w:rsidRDefault="006E76D3" w:rsidP="00A71F95">
            <w:pPr>
              <w:widowControl w:val="0"/>
              <w:spacing w:line="240" w:lineRule="auto"/>
              <w:ind w:firstLine="0"/>
              <w:rPr>
                <w:sz w:val="18"/>
                <w:szCs w:val="18"/>
              </w:rPr>
            </w:pPr>
          </w:p>
        </w:tc>
        <w:tc>
          <w:tcPr>
            <w:tcW w:w="921" w:type="dxa"/>
            <w:tcBorders>
              <w:right w:val="single" w:sz="4" w:space="0" w:color="auto"/>
            </w:tcBorders>
            <w:vAlign w:val="center"/>
          </w:tcPr>
          <w:p w14:paraId="27591339" w14:textId="77777777" w:rsidR="006E76D3" w:rsidRDefault="006E76D3" w:rsidP="00A71F95">
            <w:pPr>
              <w:widowControl w:val="0"/>
              <w:spacing w:line="240" w:lineRule="auto"/>
              <w:ind w:firstLine="0"/>
              <w:rPr>
                <w:sz w:val="18"/>
                <w:szCs w:val="18"/>
              </w:rPr>
            </w:pPr>
          </w:p>
        </w:tc>
        <w:tc>
          <w:tcPr>
            <w:tcW w:w="921" w:type="dxa"/>
            <w:tcBorders>
              <w:left w:val="single" w:sz="4" w:space="0" w:color="auto"/>
            </w:tcBorders>
            <w:vAlign w:val="center"/>
          </w:tcPr>
          <w:p w14:paraId="1F43440E" w14:textId="77777777" w:rsidR="006E76D3" w:rsidRDefault="006E76D3" w:rsidP="00A71F95">
            <w:pPr>
              <w:widowControl w:val="0"/>
              <w:spacing w:line="240" w:lineRule="auto"/>
              <w:ind w:firstLine="0"/>
              <w:rPr>
                <w:sz w:val="18"/>
                <w:szCs w:val="18"/>
              </w:rPr>
            </w:pPr>
          </w:p>
        </w:tc>
        <w:tc>
          <w:tcPr>
            <w:tcW w:w="922" w:type="dxa"/>
            <w:vAlign w:val="center"/>
          </w:tcPr>
          <w:p w14:paraId="72969876" w14:textId="77777777" w:rsidR="006E76D3" w:rsidRDefault="006E76D3" w:rsidP="00A71F95">
            <w:pPr>
              <w:widowControl w:val="0"/>
              <w:spacing w:line="240" w:lineRule="auto"/>
              <w:ind w:firstLine="0"/>
              <w:rPr>
                <w:sz w:val="18"/>
                <w:szCs w:val="18"/>
              </w:rPr>
            </w:pPr>
          </w:p>
        </w:tc>
        <w:tc>
          <w:tcPr>
            <w:tcW w:w="921" w:type="dxa"/>
            <w:vAlign w:val="center"/>
          </w:tcPr>
          <w:p w14:paraId="1663DCBB" w14:textId="77777777" w:rsidR="006E76D3" w:rsidRDefault="006E76D3" w:rsidP="00A71F95">
            <w:pPr>
              <w:widowControl w:val="0"/>
              <w:spacing w:line="240" w:lineRule="auto"/>
              <w:ind w:firstLine="0"/>
              <w:rPr>
                <w:sz w:val="18"/>
                <w:szCs w:val="18"/>
              </w:rPr>
            </w:pPr>
          </w:p>
        </w:tc>
        <w:tc>
          <w:tcPr>
            <w:tcW w:w="922" w:type="dxa"/>
            <w:vAlign w:val="center"/>
          </w:tcPr>
          <w:p w14:paraId="1017C123" w14:textId="77777777" w:rsidR="006E76D3" w:rsidRDefault="006E76D3" w:rsidP="00A71F95">
            <w:pPr>
              <w:widowControl w:val="0"/>
              <w:spacing w:line="240" w:lineRule="auto"/>
              <w:ind w:firstLine="0"/>
              <w:rPr>
                <w:sz w:val="18"/>
                <w:szCs w:val="18"/>
              </w:rPr>
            </w:pPr>
          </w:p>
        </w:tc>
      </w:tr>
      <w:tr w:rsidR="00552C1C" w14:paraId="48750047" w14:textId="77777777" w:rsidTr="00552C1C">
        <w:trPr>
          <w:trHeight w:hRule="exact" w:val="255"/>
          <w:jc w:val="center"/>
        </w:trPr>
        <w:tc>
          <w:tcPr>
            <w:tcW w:w="2437" w:type="dxa"/>
            <w:tcBorders>
              <w:right w:val="single" w:sz="4" w:space="0" w:color="auto"/>
            </w:tcBorders>
            <w:vAlign w:val="center"/>
          </w:tcPr>
          <w:p w14:paraId="459FFCDC" w14:textId="77777777" w:rsidR="00552C1C" w:rsidRDefault="00552C1C" w:rsidP="00552C1C">
            <w:pPr>
              <w:widowControl w:val="0"/>
              <w:spacing w:line="240" w:lineRule="auto"/>
              <w:ind w:firstLine="0"/>
              <w:jc w:val="left"/>
            </w:pPr>
            <w:r>
              <w:rPr>
                <w:sz w:val="18"/>
                <w:szCs w:val="18"/>
              </w:rPr>
              <w:t>Individual-level controls</w:t>
            </w:r>
          </w:p>
        </w:tc>
        <w:tc>
          <w:tcPr>
            <w:tcW w:w="921" w:type="dxa"/>
            <w:tcBorders>
              <w:left w:val="single" w:sz="4" w:space="0" w:color="auto"/>
            </w:tcBorders>
          </w:tcPr>
          <w:p w14:paraId="25B469C0" w14:textId="77777777" w:rsidR="00552C1C" w:rsidRPr="00552C1C" w:rsidRDefault="00552C1C" w:rsidP="00552C1C">
            <w:pPr>
              <w:widowControl w:val="0"/>
              <w:spacing w:line="240" w:lineRule="auto"/>
              <w:ind w:firstLine="0"/>
              <w:rPr>
                <w:sz w:val="18"/>
              </w:rPr>
            </w:pPr>
            <w:r w:rsidRPr="00552C1C">
              <w:rPr>
                <w:sz w:val="18"/>
              </w:rPr>
              <w:t>Yes</w:t>
            </w:r>
          </w:p>
        </w:tc>
        <w:tc>
          <w:tcPr>
            <w:tcW w:w="921" w:type="dxa"/>
          </w:tcPr>
          <w:p w14:paraId="1549BED3" w14:textId="77777777" w:rsidR="00552C1C" w:rsidRPr="00552C1C" w:rsidRDefault="00552C1C" w:rsidP="00552C1C">
            <w:pPr>
              <w:widowControl w:val="0"/>
              <w:spacing w:line="240" w:lineRule="auto"/>
              <w:ind w:firstLine="0"/>
              <w:rPr>
                <w:sz w:val="18"/>
              </w:rPr>
            </w:pPr>
            <w:r w:rsidRPr="00552C1C">
              <w:rPr>
                <w:sz w:val="18"/>
              </w:rPr>
              <w:t>Yes</w:t>
            </w:r>
          </w:p>
        </w:tc>
        <w:tc>
          <w:tcPr>
            <w:tcW w:w="922" w:type="dxa"/>
          </w:tcPr>
          <w:p w14:paraId="492A507C" w14:textId="77777777" w:rsidR="00552C1C" w:rsidRPr="00552C1C" w:rsidRDefault="00552C1C" w:rsidP="00552C1C">
            <w:pPr>
              <w:widowControl w:val="0"/>
              <w:spacing w:line="240" w:lineRule="auto"/>
              <w:ind w:firstLine="0"/>
              <w:rPr>
                <w:sz w:val="18"/>
              </w:rPr>
            </w:pPr>
            <w:r w:rsidRPr="00552C1C">
              <w:rPr>
                <w:sz w:val="18"/>
              </w:rPr>
              <w:t>Yes</w:t>
            </w:r>
          </w:p>
        </w:tc>
        <w:tc>
          <w:tcPr>
            <w:tcW w:w="921" w:type="dxa"/>
            <w:tcBorders>
              <w:right w:val="single" w:sz="4" w:space="0" w:color="auto"/>
            </w:tcBorders>
          </w:tcPr>
          <w:p w14:paraId="775E88D9" w14:textId="77777777" w:rsidR="00552C1C" w:rsidRPr="00552C1C" w:rsidRDefault="00552C1C" w:rsidP="00552C1C">
            <w:pPr>
              <w:widowControl w:val="0"/>
              <w:spacing w:line="240" w:lineRule="auto"/>
              <w:ind w:firstLine="0"/>
              <w:rPr>
                <w:sz w:val="18"/>
              </w:rPr>
            </w:pPr>
            <w:r w:rsidRPr="00552C1C">
              <w:rPr>
                <w:sz w:val="18"/>
              </w:rPr>
              <w:t>Yes</w:t>
            </w:r>
          </w:p>
        </w:tc>
        <w:tc>
          <w:tcPr>
            <w:tcW w:w="921" w:type="dxa"/>
            <w:tcBorders>
              <w:left w:val="single" w:sz="4" w:space="0" w:color="auto"/>
            </w:tcBorders>
          </w:tcPr>
          <w:p w14:paraId="00B4EAF1" w14:textId="77777777" w:rsidR="00552C1C" w:rsidRPr="00552C1C" w:rsidRDefault="00552C1C" w:rsidP="00552C1C">
            <w:pPr>
              <w:widowControl w:val="0"/>
              <w:spacing w:line="240" w:lineRule="auto"/>
              <w:ind w:firstLine="0"/>
              <w:rPr>
                <w:sz w:val="18"/>
              </w:rPr>
            </w:pPr>
            <w:r w:rsidRPr="00552C1C">
              <w:rPr>
                <w:sz w:val="18"/>
              </w:rPr>
              <w:t>Yes</w:t>
            </w:r>
          </w:p>
        </w:tc>
        <w:tc>
          <w:tcPr>
            <w:tcW w:w="922" w:type="dxa"/>
          </w:tcPr>
          <w:p w14:paraId="37A5C7A3" w14:textId="77777777" w:rsidR="00552C1C" w:rsidRPr="00552C1C" w:rsidRDefault="00552C1C" w:rsidP="00552C1C">
            <w:pPr>
              <w:widowControl w:val="0"/>
              <w:spacing w:line="240" w:lineRule="auto"/>
              <w:ind w:firstLine="0"/>
              <w:rPr>
                <w:sz w:val="18"/>
              </w:rPr>
            </w:pPr>
            <w:r w:rsidRPr="00552C1C">
              <w:rPr>
                <w:sz w:val="18"/>
              </w:rPr>
              <w:t>Yes</w:t>
            </w:r>
          </w:p>
        </w:tc>
        <w:tc>
          <w:tcPr>
            <w:tcW w:w="921" w:type="dxa"/>
          </w:tcPr>
          <w:p w14:paraId="6DE898DF" w14:textId="77777777" w:rsidR="00552C1C" w:rsidRPr="00552C1C" w:rsidRDefault="00552C1C" w:rsidP="00552C1C">
            <w:pPr>
              <w:widowControl w:val="0"/>
              <w:spacing w:line="240" w:lineRule="auto"/>
              <w:ind w:firstLine="0"/>
              <w:rPr>
                <w:sz w:val="18"/>
              </w:rPr>
            </w:pPr>
            <w:r w:rsidRPr="00552C1C">
              <w:rPr>
                <w:sz w:val="18"/>
              </w:rPr>
              <w:t>Yes</w:t>
            </w:r>
          </w:p>
        </w:tc>
        <w:tc>
          <w:tcPr>
            <w:tcW w:w="922" w:type="dxa"/>
          </w:tcPr>
          <w:p w14:paraId="0F3D9475" w14:textId="77777777" w:rsidR="00552C1C" w:rsidRPr="00552C1C" w:rsidRDefault="00552C1C" w:rsidP="00552C1C">
            <w:pPr>
              <w:widowControl w:val="0"/>
              <w:spacing w:line="240" w:lineRule="auto"/>
              <w:ind w:firstLine="0"/>
              <w:rPr>
                <w:sz w:val="18"/>
              </w:rPr>
            </w:pPr>
            <w:r w:rsidRPr="00552C1C">
              <w:rPr>
                <w:sz w:val="18"/>
              </w:rPr>
              <w:t>Yes</w:t>
            </w:r>
          </w:p>
        </w:tc>
      </w:tr>
      <w:tr w:rsidR="004D32B5" w14:paraId="79780815" w14:textId="77777777" w:rsidTr="00441B83">
        <w:trPr>
          <w:trHeight w:hRule="exact" w:val="255"/>
          <w:jc w:val="center"/>
        </w:trPr>
        <w:tc>
          <w:tcPr>
            <w:tcW w:w="2437" w:type="dxa"/>
            <w:tcBorders>
              <w:right w:val="single" w:sz="4" w:space="0" w:color="auto"/>
            </w:tcBorders>
          </w:tcPr>
          <w:p w14:paraId="4B989156" w14:textId="77777777" w:rsidR="004D32B5" w:rsidRPr="006E76D3" w:rsidRDefault="004D32B5" w:rsidP="004D32B5">
            <w:pPr>
              <w:widowControl w:val="0"/>
              <w:spacing w:line="240" w:lineRule="auto"/>
              <w:ind w:firstLine="0"/>
              <w:jc w:val="left"/>
              <w:rPr>
                <w:sz w:val="18"/>
              </w:rPr>
            </w:pPr>
            <w:r>
              <w:rPr>
                <w:sz w:val="18"/>
                <w:szCs w:val="18"/>
              </w:rPr>
              <w:t>Country-fixed effects</w:t>
            </w:r>
          </w:p>
        </w:tc>
        <w:tc>
          <w:tcPr>
            <w:tcW w:w="921" w:type="dxa"/>
            <w:tcBorders>
              <w:left w:val="single" w:sz="4" w:space="0" w:color="auto"/>
            </w:tcBorders>
          </w:tcPr>
          <w:p w14:paraId="370C7F83"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Pr>
          <w:p w14:paraId="75849450" w14:textId="77777777" w:rsidR="004D32B5" w:rsidRPr="00552C1C" w:rsidRDefault="004D32B5" w:rsidP="004D32B5">
            <w:pPr>
              <w:widowControl w:val="0"/>
              <w:spacing w:line="240" w:lineRule="auto"/>
              <w:ind w:firstLine="0"/>
              <w:rPr>
                <w:sz w:val="18"/>
              </w:rPr>
            </w:pPr>
            <w:r w:rsidRPr="00552C1C">
              <w:rPr>
                <w:sz w:val="18"/>
              </w:rPr>
              <w:t>Yes</w:t>
            </w:r>
          </w:p>
        </w:tc>
        <w:tc>
          <w:tcPr>
            <w:tcW w:w="922" w:type="dxa"/>
          </w:tcPr>
          <w:p w14:paraId="7A3AA517"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Borders>
              <w:right w:val="single" w:sz="4" w:space="0" w:color="auto"/>
            </w:tcBorders>
          </w:tcPr>
          <w:p w14:paraId="36DC5014"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Borders>
              <w:left w:val="single" w:sz="4" w:space="0" w:color="auto"/>
            </w:tcBorders>
          </w:tcPr>
          <w:p w14:paraId="3CF8D852" w14:textId="77777777" w:rsidR="004D32B5" w:rsidRPr="00552C1C" w:rsidRDefault="004D32B5" w:rsidP="004D32B5">
            <w:pPr>
              <w:widowControl w:val="0"/>
              <w:spacing w:line="240" w:lineRule="auto"/>
              <w:ind w:firstLine="0"/>
              <w:rPr>
                <w:sz w:val="18"/>
              </w:rPr>
            </w:pPr>
            <w:r w:rsidRPr="00552C1C">
              <w:rPr>
                <w:sz w:val="18"/>
              </w:rPr>
              <w:t>Yes</w:t>
            </w:r>
          </w:p>
        </w:tc>
        <w:tc>
          <w:tcPr>
            <w:tcW w:w="922" w:type="dxa"/>
          </w:tcPr>
          <w:p w14:paraId="318F9F73"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Pr>
          <w:p w14:paraId="6DE4DA90" w14:textId="77777777" w:rsidR="004D32B5" w:rsidRPr="00552C1C" w:rsidRDefault="004D32B5" w:rsidP="004D32B5">
            <w:pPr>
              <w:widowControl w:val="0"/>
              <w:spacing w:line="240" w:lineRule="auto"/>
              <w:ind w:firstLine="0"/>
              <w:rPr>
                <w:sz w:val="18"/>
              </w:rPr>
            </w:pPr>
            <w:r w:rsidRPr="00552C1C">
              <w:rPr>
                <w:sz w:val="18"/>
              </w:rPr>
              <w:t>Yes</w:t>
            </w:r>
          </w:p>
        </w:tc>
        <w:tc>
          <w:tcPr>
            <w:tcW w:w="922" w:type="dxa"/>
          </w:tcPr>
          <w:p w14:paraId="7FA1B3B4" w14:textId="77777777" w:rsidR="004D32B5" w:rsidRPr="00552C1C" w:rsidRDefault="004D32B5" w:rsidP="004D32B5">
            <w:pPr>
              <w:widowControl w:val="0"/>
              <w:spacing w:line="240" w:lineRule="auto"/>
              <w:ind w:firstLine="0"/>
              <w:rPr>
                <w:sz w:val="18"/>
              </w:rPr>
            </w:pPr>
            <w:r w:rsidRPr="00552C1C">
              <w:rPr>
                <w:sz w:val="18"/>
              </w:rPr>
              <w:t>Yes</w:t>
            </w:r>
          </w:p>
        </w:tc>
      </w:tr>
      <w:tr w:rsidR="004D32B5" w14:paraId="25F34812" w14:textId="77777777" w:rsidTr="00441B83">
        <w:trPr>
          <w:trHeight w:hRule="exact" w:val="255"/>
          <w:jc w:val="center"/>
        </w:trPr>
        <w:tc>
          <w:tcPr>
            <w:tcW w:w="2437" w:type="dxa"/>
            <w:tcBorders>
              <w:right w:val="single" w:sz="4" w:space="0" w:color="auto"/>
            </w:tcBorders>
          </w:tcPr>
          <w:p w14:paraId="0CDB0C09" w14:textId="77777777" w:rsidR="004D32B5" w:rsidRPr="006E76D3" w:rsidRDefault="004D32B5" w:rsidP="004D32B5">
            <w:pPr>
              <w:widowControl w:val="0"/>
              <w:spacing w:line="240" w:lineRule="auto"/>
              <w:ind w:firstLine="0"/>
              <w:jc w:val="left"/>
              <w:rPr>
                <w:sz w:val="18"/>
              </w:rPr>
            </w:pPr>
            <w:r>
              <w:rPr>
                <w:sz w:val="18"/>
                <w:szCs w:val="18"/>
              </w:rPr>
              <w:t>Year-fixed effects</w:t>
            </w:r>
          </w:p>
        </w:tc>
        <w:tc>
          <w:tcPr>
            <w:tcW w:w="921" w:type="dxa"/>
            <w:tcBorders>
              <w:left w:val="single" w:sz="4" w:space="0" w:color="auto"/>
            </w:tcBorders>
          </w:tcPr>
          <w:p w14:paraId="4A69793B"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Pr>
          <w:p w14:paraId="4B5C9C9B" w14:textId="77777777" w:rsidR="004D32B5" w:rsidRPr="00552C1C" w:rsidRDefault="004D32B5" w:rsidP="004D32B5">
            <w:pPr>
              <w:widowControl w:val="0"/>
              <w:spacing w:line="240" w:lineRule="auto"/>
              <w:ind w:firstLine="0"/>
              <w:rPr>
                <w:sz w:val="18"/>
              </w:rPr>
            </w:pPr>
            <w:r w:rsidRPr="00552C1C">
              <w:rPr>
                <w:sz w:val="18"/>
              </w:rPr>
              <w:t>Yes</w:t>
            </w:r>
          </w:p>
        </w:tc>
        <w:tc>
          <w:tcPr>
            <w:tcW w:w="922" w:type="dxa"/>
          </w:tcPr>
          <w:p w14:paraId="3AF0CDC9"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Borders>
              <w:right w:val="single" w:sz="4" w:space="0" w:color="auto"/>
            </w:tcBorders>
          </w:tcPr>
          <w:p w14:paraId="43136BF0"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Borders>
              <w:left w:val="single" w:sz="4" w:space="0" w:color="auto"/>
            </w:tcBorders>
          </w:tcPr>
          <w:p w14:paraId="5B20C0CF" w14:textId="77777777" w:rsidR="004D32B5" w:rsidRPr="00552C1C" w:rsidRDefault="004D32B5" w:rsidP="004D32B5">
            <w:pPr>
              <w:widowControl w:val="0"/>
              <w:spacing w:line="240" w:lineRule="auto"/>
              <w:ind w:firstLine="0"/>
              <w:rPr>
                <w:sz w:val="18"/>
              </w:rPr>
            </w:pPr>
            <w:r w:rsidRPr="00552C1C">
              <w:rPr>
                <w:sz w:val="18"/>
              </w:rPr>
              <w:t>Yes</w:t>
            </w:r>
          </w:p>
        </w:tc>
        <w:tc>
          <w:tcPr>
            <w:tcW w:w="922" w:type="dxa"/>
          </w:tcPr>
          <w:p w14:paraId="1291B140" w14:textId="77777777" w:rsidR="004D32B5" w:rsidRPr="00552C1C" w:rsidRDefault="004D32B5" w:rsidP="004D32B5">
            <w:pPr>
              <w:widowControl w:val="0"/>
              <w:spacing w:line="240" w:lineRule="auto"/>
              <w:ind w:firstLine="0"/>
              <w:rPr>
                <w:sz w:val="18"/>
              </w:rPr>
            </w:pPr>
            <w:r w:rsidRPr="00552C1C">
              <w:rPr>
                <w:sz w:val="18"/>
              </w:rPr>
              <w:t>Yes</w:t>
            </w:r>
          </w:p>
        </w:tc>
        <w:tc>
          <w:tcPr>
            <w:tcW w:w="921" w:type="dxa"/>
          </w:tcPr>
          <w:p w14:paraId="7A4994E0" w14:textId="77777777" w:rsidR="004D32B5" w:rsidRPr="00552C1C" w:rsidRDefault="004D32B5" w:rsidP="004D32B5">
            <w:pPr>
              <w:widowControl w:val="0"/>
              <w:spacing w:line="240" w:lineRule="auto"/>
              <w:ind w:firstLine="0"/>
              <w:rPr>
                <w:sz w:val="18"/>
              </w:rPr>
            </w:pPr>
            <w:r w:rsidRPr="00552C1C">
              <w:rPr>
                <w:sz w:val="18"/>
              </w:rPr>
              <w:t>Yes</w:t>
            </w:r>
          </w:p>
        </w:tc>
        <w:tc>
          <w:tcPr>
            <w:tcW w:w="922" w:type="dxa"/>
          </w:tcPr>
          <w:p w14:paraId="73E15127" w14:textId="77777777" w:rsidR="004D32B5" w:rsidRPr="00552C1C" w:rsidRDefault="004D32B5" w:rsidP="004D32B5">
            <w:pPr>
              <w:widowControl w:val="0"/>
              <w:spacing w:line="240" w:lineRule="auto"/>
              <w:ind w:firstLine="0"/>
              <w:rPr>
                <w:sz w:val="18"/>
              </w:rPr>
            </w:pPr>
            <w:r w:rsidRPr="00552C1C">
              <w:rPr>
                <w:sz w:val="18"/>
              </w:rPr>
              <w:t>Yes</w:t>
            </w:r>
          </w:p>
        </w:tc>
      </w:tr>
      <w:tr w:rsidR="005C054E" w14:paraId="2829F401" w14:textId="77777777" w:rsidTr="00552C1C">
        <w:trPr>
          <w:trHeight w:hRule="exact" w:val="255"/>
          <w:jc w:val="center"/>
        </w:trPr>
        <w:tc>
          <w:tcPr>
            <w:tcW w:w="2437" w:type="dxa"/>
            <w:tcBorders>
              <w:bottom w:val="single" w:sz="4" w:space="0" w:color="auto"/>
              <w:right w:val="single" w:sz="4" w:space="0" w:color="auto"/>
            </w:tcBorders>
          </w:tcPr>
          <w:p w14:paraId="01209A9B" w14:textId="77777777" w:rsidR="005C054E" w:rsidRDefault="005C054E" w:rsidP="00A71F95">
            <w:pPr>
              <w:widowControl w:val="0"/>
              <w:spacing w:line="240" w:lineRule="auto"/>
              <w:ind w:firstLine="0"/>
              <w:jc w:val="left"/>
              <w:rPr>
                <w:sz w:val="18"/>
                <w:szCs w:val="18"/>
              </w:rPr>
            </w:pPr>
          </w:p>
        </w:tc>
        <w:tc>
          <w:tcPr>
            <w:tcW w:w="921" w:type="dxa"/>
            <w:tcBorders>
              <w:left w:val="single" w:sz="4" w:space="0" w:color="auto"/>
              <w:bottom w:val="single" w:sz="4" w:space="0" w:color="auto"/>
            </w:tcBorders>
          </w:tcPr>
          <w:p w14:paraId="5AD7EB66" w14:textId="77777777" w:rsidR="005C054E" w:rsidRDefault="005C054E" w:rsidP="00A71F95">
            <w:pPr>
              <w:widowControl w:val="0"/>
              <w:spacing w:line="240" w:lineRule="auto"/>
              <w:ind w:firstLine="0"/>
            </w:pPr>
          </w:p>
        </w:tc>
        <w:tc>
          <w:tcPr>
            <w:tcW w:w="921" w:type="dxa"/>
            <w:tcBorders>
              <w:bottom w:val="single" w:sz="4" w:space="0" w:color="auto"/>
            </w:tcBorders>
          </w:tcPr>
          <w:p w14:paraId="286E7FA6" w14:textId="77777777" w:rsidR="005C054E" w:rsidRDefault="005C054E" w:rsidP="00A71F95">
            <w:pPr>
              <w:widowControl w:val="0"/>
              <w:spacing w:line="240" w:lineRule="auto"/>
              <w:ind w:firstLine="0"/>
            </w:pPr>
          </w:p>
        </w:tc>
        <w:tc>
          <w:tcPr>
            <w:tcW w:w="922" w:type="dxa"/>
            <w:tcBorders>
              <w:bottom w:val="single" w:sz="4" w:space="0" w:color="auto"/>
            </w:tcBorders>
          </w:tcPr>
          <w:p w14:paraId="3223CF35" w14:textId="77777777" w:rsidR="005C054E" w:rsidRDefault="005C054E" w:rsidP="00A71F95">
            <w:pPr>
              <w:widowControl w:val="0"/>
              <w:spacing w:line="240" w:lineRule="auto"/>
              <w:ind w:firstLine="0"/>
            </w:pPr>
          </w:p>
        </w:tc>
        <w:tc>
          <w:tcPr>
            <w:tcW w:w="921" w:type="dxa"/>
            <w:tcBorders>
              <w:bottom w:val="single" w:sz="4" w:space="0" w:color="auto"/>
              <w:right w:val="single" w:sz="4" w:space="0" w:color="auto"/>
            </w:tcBorders>
          </w:tcPr>
          <w:p w14:paraId="22D0FE2C" w14:textId="77777777" w:rsidR="005C054E" w:rsidRDefault="005C054E" w:rsidP="00A71F95">
            <w:pPr>
              <w:widowControl w:val="0"/>
              <w:spacing w:line="240" w:lineRule="auto"/>
              <w:ind w:firstLine="0"/>
            </w:pPr>
          </w:p>
        </w:tc>
        <w:tc>
          <w:tcPr>
            <w:tcW w:w="921" w:type="dxa"/>
            <w:tcBorders>
              <w:left w:val="single" w:sz="4" w:space="0" w:color="auto"/>
              <w:bottom w:val="single" w:sz="4" w:space="0" w:color="auto"/>
            </w:tcBorders>
          </w:tcPr>
          <w:p w14:paraId="46B39043" w14:textId="77777777" w:rsidR="005C054E" w:rsidRDefault="005C054E" w:rsidP="00A71F95">
            <w:pPr>
              <w:widowControl w:val="0"/>
              <w:spacing w:line="240" w:lineRule="auto"/>
              <w:ind w:firstLine="0"/>
            </w:pPr>
          </w:p>
        </w:tc>
        <w:tc>
          <w:tcPr>
            <w:tcW w:w="922" w:type="dxa"/>
            <w:tcBorders>
              <w:bottom w:val="single" w:sz="4" w:space="0" w:color="auto"/>
            </w:tcBorders>
          </w:tcPr>
          <w:p w14:paraId="71B22F9B" w14:textId="77777777" w:rsidR="005C054E" w:rsidRDefault="005C054E" w:rsidP="00A71F95">
            <w:pPr>
              <w:widowControl w:val="0"/>
              <w:spacing w:line="240" w:lineRule="auto"/>
              <w:ind w:firstLine="0"/>
            </w:pPr>
          </w:p>
        </w:tc>
        <w:tc>
          <w:tcPr>
            <w:tcW w:w="921" w:type="dxa"/>
            <w:tcBorders>
              <w:bottom w:val="single" w:sz="4" w:space="0" w:color="auto"/>
            </w:tcBorders>
          </w:tcPr>
          <w:p w14:paraId="5BD94245" w14:textId="77777777" w:rsidR="005C054E" w:rsidRDefault="005C054E" w:rsidP="00A71F95">
            <w:pPr>
              <w:widowControl w:val="0"/>
              <w:spacing w:line="240" w:lineRule="auto"/>
              <w:ind w:firstLine="0"/>
            </w:pPr>
          </w:p>
        </w:tc>
        <w:tc>
          <w:tcPr>
            <w:tcW w:w="922" w:type="dxa"/>
            <w:tcBorders>
              <w:bottom w:val="single" w:sz="4" w:space="0" w:color="auto"/>
            </w:tcBorders>
          </w:tcPr>
          <w:p w14:paraId="38D03FBC" w14:textId="77777777" w:rsidR="005C054E" w:rsidRDefault="005C054E" w:rsidP="00A71F95">
            <w:pPr>
              <w:widowControl w:val="0"/>
              <w:spacing w:line="240" w:lineRule="auto"/>
              <w:ind w:firstLine="0"/>
            </w:pPr>
          </w:p>
        </w:tc>
      </w:tr>
      <w:tr w:rsidR="005C054E" w14:paraId="5A1CE6ED" w14:textId="77777777" w:rsidTr="00552C1C">
        <w:trPr>
          <w:trHeight w:hRule="exact" w:val="255"/>
          <w:jc w:val="center"/>
        </w:trPr>
        <w:tc>
          <w:tcPr>
            <w:tcW w:w="2437" w:type="dxa"/>
            <w:tcBorders>
              <w:top w:val="single" w:sz="4" w:space="0" w:color="auto"/>
              <w:right w:val="single" w:sz="4" w:space="0" w:color="auto"/>
            </w:tcBorders>
            <w:vAlign w:val="center"/>
          </w:tcPr>
          <w:p w14:paraId="6C8282A2" w14:textId="77777777" w:rsidR="005C054E" w:rsidRDefault="005C054E" w:rsidP="00A71F95">
            <w:pPr>
              <w:widowControl w:val="0"/>
              <w:spacing w:line="240" w:lineRule="auto"/>
              <w:ind w:firstLine="0"/>
              <w:jc w:val="left"/>
            </w:pPr>
            <w:r>
              <w:rPr>
                <w:sz w:val="18"/>
                <w:szCs w:val="18"/>
              </w:rPr>
              <w:t>Observations</w:t>
            </w:r>
          </w:p>
        </w:tc>
        <w:tc>
          <w:tcPr>
            <w:tcW w:w="921" w:type="dxa"/>
            <w:tcBorders>
              <w:top w:val="single" w:sz="4" w:space="0" w:color="auto"/>
              <w:left w:val="single" w:sz="4" w:space="0" w:color="auto"/>
            </w:tcBorders>
            <w:vAlign w:val="center"/>
          </w:tcPr>
          <w:p w14:paraId="65DA6A80" w14:textId="77777777" w:rsidR="005C054E" w:rsidRDefault="005C054E" w:rsidP="00A71F95">
            <w:pPr>
              <w:widowControl w:val="0"/>
              <w:spacing w:line="240" w:lineRule="auto"/>
              <w:ind w:firstLine="0"/>
            </w:pPr>
            <w:r>
              <w:rPr>
                <w:sz w:val="18"/>
                <w:szCs w:val="18"/>
              </w:rPr>
              <w:t>16,858</w:t>
            </w:r>
          </w:p>
        </w:tc>
        <w:tc>
          <w:tcPr>
            <w:tcW w:w="921" w:type="dxa"/>
            <w:tcBorders>
              <w:top w:val="single" w:sz="4" w:space="0" w:color="auto"/>
            </w:tcBorders>
            <w:vAlign w:val="center"/>
          </w:tcPr>
          <w:p w14:paraId="07348ED7" w14:textId="77777777" w:rsidR="005C054E" w:rsidRDefault="005C054E" w:rsidP="00A71F95">
            <w:pPr>
              <w:widowControl w:val="0"/>
              <w:spacing w:line="240" w:lineRule="auto"/>
              <w:ind w:firstLine="0"/>
            </w:pPr>
            <w:r>
              <w:rPr>
                <w:sz w:val="18"/>
                <w:szCs w:val="18"/>
              </w:rPr>
              <w:t>16,858</w:t>
            </w:r>
          </w:p>
        </w:tc>
        <w:tc>
          <w:tcPr>
            <w:tcW w:w="922" w:type="dxa"/>
            <w:tcBorders>
              <w:top w:val="single" w:sz="4" w:space="0" w:color="auto"/>
            </w:tcBorders>
            <w:vAlign w:val="center"/>
          </w:tcPr>
          <w:p w14:paraId="06587586" w14:textId="77777777" w:rsidR="005C054E" w:rsidRDefault="005C054E" w:rsidP="00A71F95">
            <w:pPr>
              <w:widowControl w:val="0"/>
              <w:spacing w:line="240" w:lineRule="auto"/>
              <w:ind w:firstLine="0"/>
            </w:pPr>
            <w:r>
              <w:rPr>
                <w:sz w:val="18"/>
                <w:szCs w:val="18"/>
              </w:rPr>
              <w:t>16,858</w:t>
            </w:r>
          </w:p>
        </w:tc>
        <w:tc>
          <w:tcPr>
            <w:tcW w:w="921" w:type="dxa"/>
            <w:tcBorders>
              <w:top w:val="single" w:sz="4" w:space="0" w:color="auto"/>
              <w:right w:val="single" w:sz="4" w:space="0" w:color="auto"/>
            </w:tcBorders>
            <w:vAlign w:val="center"/>
          </w:tcPr>
          <w:p w14:paraId="0AA137A0" w14:textId="77777777" w:rsidR="005C054E" w:rsidRDefault="005C054E" w:rsidP="00A71F95">
            <w:pPr>
              <w:widowControl w:val="0"/>
              <w:spacing w:line="240" w:lineRule="auto"/>
              <w:ind w:firstLine="0"/>
            </w:pPr>
            <w:r>
              <w:rPr>
                <w:sz w:val="18"/>
                <w:szCs w:val="18"/>
              </w:rPr>
              <w:t>16,858</w:t>
            </w:r>
          </w:p>
        </w:tc>
        <w:tc>
          <w:tcPr>
            <w:tcW w:w="921" w:type="dxa"/>
            <w:tcBorders>
              <w:top w:val="single" w:sz="4" w:space="0" w:color="auto"/>
              <w:left w:val="single" w:sz="4" w:space="0" w:color="auto"/>
            </w:tcBorders>
            <w:vAlign w:val="center"/>
          </w:tcPr>
          <w:p w14:paraId="65DFB377" w14:textId="77777777" w:rsidR="005C054E" w:rsidRDefault="005C054E" w:rsidP="00A71F95">
            <w:pPr>
              <w:widowControl w:val="0"/>
              <w:spacing w:line="240" w:lineRule="auto"/>
              <w:ind w:firstLine="0"/>
            </w:pPr>
            <w:r>
              <w:rPr>
                <w:sz w:val="18"/>
                <w:szCs w:val="18"/>
              </w:rPr>
              <w:t>17,871</w:t>
            </w:r>
          </w:p>
        </w:tc>
        <w:tc>
          <w:tcPr>
            <w:tcW w:w="922" w:type="dxa"/>
            <w:tcBorders>
              <w:top w:val="single" w:sz="4" w:space="0" w:color="auto"/>
            </w:tcBorders>
            <w:vAlign w:val="center"/>
          </w:tcPr>
          <w:p w14:paraId="51F4BADD" w14:textId="77777777" w:rsidR="005C054E" w:rsidRDefault="005C054E" w:rsidP="00A71F95">
            <w:pPr>
              <w:widowControl w:val="0"/>
              <w:spacing w:line="240" w:lineRule="auto"/>
              <w:ind w:firstLine="0"/>
            </w:pPr>
            <w:r>
              <w:rPr>
                <w:sz w:val="18"/>
                <w:szCs w:val="18"/>
              </w:rPr>
              <w:t>17,871</w:t>
            </w:r>
          </w:p>
        </w:tc>
        <w:tc>
          <w:tcPr>
            <w:tcW w:w="921" w:type="dxa"/>
            <w:tcBorders>
              <w:top w:val="single" w:sz="4" w:space="0" w:color="auto"/>
            </w:tcBorders>
            <w:vAlign w:val="center"/>
          </w:tcPr>
          <w:p w14:paraId="34B199EF" w14:textId="77777777" w:rsidR="005C054E" w:rsidRDefault="005C054E" w:rsidP="00A71F95">
            <w:pPr>
              <w:widowControl w:val="0"/>
              <w:spacing w:line="240" w:lineRule="auto"/>
              <w:ind w:firstLine="0"/>
            </w:pPr>
            <w:r>
              <w:rPr>
                <w:sz w:val="18"/>
                <w:szCs w:val="18"/>
              </w:rPr>
              <w:t>17,871</w:t>
            </w:r>
          </w:p>
        </w:tc>
        <w:tc>
          <w:tcPr>
            <w:tcW w:w="922" w:type="dxa"/>
            <w:tcBorders>
              <w:top w:val="single" w:sz="4" w:space="0" w:color="auto"/>
            </w:tcBorders>
            <w:vAlign w:val="center"/>
          </w:tcPr>
          <w:p w14:paraId="1C6B4403" w14:textId="77777777" w:rsidR="005C054E" w:rsidRDefault="005C054E" w:rsidP="00A71F95">
            <w:pPr>
              <w:widowControl w:val="0"/>
              <w:spacing w:line="240" w:lineRule="auto"/>
              <w:ind w:firstLine="0"/>
            </w:pPr>
            <w:r>
              <w:rPr>
                <w:sz w:val="18"/>
                <w:szCs w:val="18"/>
              </w:rPr>
              <w:t>17,871</w:t>
            </w:r>
          </w:p>
        </w:tc>
      </w:tr>
      <w:tr w:rsidR="005C054E" w14:paraId="6720F152" w14:textId="77777777" w:rsidTr="00552C1C">
        <w:trPr>
          <w:trHeight w:hRule="exact" w:val="255"/>
          <w:jc w:val="center"/>
        </w:trPr>
        <w:tc>
          <w:tcPr>
            <w:tcW w:w="2437" w:type="dxa"/>
            <w:tcBorders>
              <w:right w:val="single" w:sz="4" w:space="0" w:color="auto"/>
            </w:tcBorders>
            <w:vAlign w:val="center"/>
          </w:tcPr>
          <w:p w14:paraId="21D40903" w14:textId="77777777" w:rsidR="005C054E" w:rsidRDefault="005C054E" w:rsidP="00A71F95">
            <w:pPr>
              <w:widowControl w:val="0"/>
              <w:spacing w:line="240" w:lineRule="auto"/>
              <w:ind w:firstLine="0"/>
              <w:jc w:val="left"/>
            </w:pPr>
            <w:r>
              <w:rPr>
                <w:sz w:val="18"/>
                <w:szCs w:val="18"/>
              </w:rPr>
              <w:t>Pseudo R</w:t>
            </w:r>
            <w:r>
              <w:rPr>
                <w:sz w:val="18"/>
                <w:szCs w:val="18"/>
                <w:vertAlign w:val="superscript"/>
              </w:rPr>
              <w:t>2</w:t>
            </w:r>
          </w:p>
        </w:tc>
        <w:tc>
          <w:tcPr>
            <w:tcW w:w="921" w:type="dxa"/>
            <w:tcBorders>
              <w:left w:val="single" w:sz="4" w:space="0" w:color="auto"/>
            </w:tcBorders>
            <w:vAlign w:val="center"/>
          </w:tcPr>
          <w:p w14:paraId="5E6A75AE" w14:textId="77777777" w:rsidR="005C054E" w:rsidRDefault="005C054E" w:rsidP="00A71F95">
            <w:pPr>
              <w:widowControl w:val="0"/>
              <w:spacing w:line="240" w:lineRule="auto"/>
              <w:ind w:firstLine="0"/>
            </w:pPr>
            <w:r>
              <w:rPr>
                <w:sz w:val="18"/>
                <w:szCs w:val="18"/>
              </w:rPr>
              <w:t>0.257</w:t>
            </w:r>
          </w:p>
        </w:tc>
        <w:tc>
          <w:tcPr>
            <w:tcW w:w="921" w:type="dxa"/>
            <w:vAlign w:val="center"/>
          </w:tcPr>
          <w:p w14:paraId="353179E4" w14:textId="77777777" w:rsidR="005C054E" w:rsidRDefault="005C054E" w:rsidP="00A71F95">
            <w:pPr>
              <w:widowControl w:val="0"/>
              <w:spacing w:line="240" w:lineRule="auto"/>
              <w:ind w:firstLine="0"/>
            </w:pPr>
            <w:r>
              <w:rPr>
                <w:sz w:val="18"/>
                <w:szCs w:val="18"/>
              </w:rPr>
              <w:t>0.257</w:t>
            </w:r>
          </w:p>
        </w:tc>
        <w:tc>
          <w:tcPr>
            <w:tcW w:w="922" w:type="dxa"/>
            <w:vAlign w:val="center"/>
          </w:tcPr>
          <w:p w14:paraId="461DE5F6" w14:textId="77777777" w:rsidR="005C054E" w:rsidRDefault="005C054E" w:rsidP="00A71F95">
            <w:pPr>
              <w:widowControl w:val="0"/>
              <w:spacing w:line="240" w:lineRule="auto"/>
              <w:ind w:firstLine="0"/>
            </w:pPr>
            <w:r>
              <w:rPr>
                <w:sz w:val="18"/>
                <w:szCs w:val="18"/>
              </w:rPr>
              <w:t>0.257</w:t>
            </w:r>
          </w:p>
        </w:tc>
        <w:tc>
          <w:tcPr>
            <w:tcW w:w="921" w:type="dxa"/>
            <w:tcBorders>
              <w:right w:val="single" w:sz="4" w:space="0" w:color="auto"/>
            </w:tcBorders>
            <w:vAlign w:val="center"/>
          </w:tcPr>
          <w:p w14:paraId="040BE8CF" w14:textId="77777777" w:rsidR="005C054E" w:rsidRDefault="005C054E" w:rsidP="00A71F95">
            <w:pPr>
              <w:widowControl w:val="0"/>
              <w:spacing w:line="240" w:lineRule="auto"/>
              <w:ind w:firstLine="0"/>
            </w:pPr>
            <w:r>
              <w:rPr>
                <w:sz w:val="18"/>
                <w:szCs w:val="18"/>
              </w:rPr>
              <w:t>0.259</w:t>
            </w:r>
          </w:p>
        </w:tc>
        <w:tc>
          <w:tcPr>
            <w:tcW w:w="921" w:type="dxa"/>
            <w:tcBorders>
              <w:left w:val="single" w:sz="4" w:space="0" w:color="auto"/>
            </w:tcBorders>
            <w:vAlign w:val="center"/>
          </w:tcPr>
          <w:p w14:paraId="57EF09E4" w14:textId="77777777" w:rsidR="005C054E" w:rsidRDefault="005C054E" w:rsidP="00A71F95">
            <w:pPr>
              <w:widowControl w:val="0"/>
              <w:spacing w:line="240" w:lineRule="auto"/>
              <w:ind w:firstLine="0"/>
            </w:pPr>
            <w:r>
              <w:rPr>
                <w:sz w:val="18"/>
                <w:szCs w:val="18"/>
              </w:rPr>
              <w:t>0.191</w:t>
            </w:r>
          </w:p>
        </w:tc>
        <w:tc>
          <w:tcPr>
            <w:tcW w:w="922" w:type="dxa"/>
            <w:vAlign w:val="center"/>
          </w:tcPr>
          <w:p w14:paraId="085B4E9E" w14:textId="77777777" w:rsidR="005C054E" w:rsidRDefault="005C054E" w:rsidP="00A71F95">
            <w:pPr>
              <w:widowControl w:val="0"/>
              <w:spacing w:line="240" w:lineRule="auto"/>
              <w:ind w:firstLine="0"/>
            </w:pPr>
            <w:r>
              <w:rPr>
                <w:sz w:val="18"/>
                <w:szCs w:val="18"/>
              </w:rPr>
              <w:t>0.191</w:t>
            </w:r>
          </w:p>
        </w:tc>
        <w:tc>
          <w:tcPr>
            <w:tcW w:w="921" w:type="dxa"/>
            <w:vAlign w:val="center"/>
          </w:tcPr>
          <w:p w14:paraId="31E3AE42" w14:textId="77777777" w:rsidR="005C054E" w:rsidRDefault="005C054E" w:rsidP="00A71F95">
            <w:pPr>
              <w:widowControl w:val="0"/>
              <w:spacing w:line="240" w:lineRule="auto"/>
              <w:ind w:firstLine="0"/>
            </w:pPr>
            <w:r>
              <w:rPr>
                <w:sz w:val="18"/>
                <w:szCs w:val="18"/>
              </w:rPr>
              <w:t>0.191</w:t>
            </w:r>
          </w:p>
        </w:tc>
        <w:tc>
          <w:tcPr>
            <w:tcW w:w="922" w:type="dxa"/>
            <w:vAlign w:val="center"/>
          </w:tcPr>
          <w:p w14:paraId="06A0EFEC" w14:textId="77777777" w:rsidR="005C054E" w:rsidRDefault="005C054E" w:rsidP="00A71F95">
            <w:pPr>
              <w:widowControl w:val="0"/>
              <w:spacing w:line="240" w:lineRule="auto"/>
              <w:ind w:firstLine="0"/>
            </w:pPr>
            <w:r>
              <w:rPr>
                <w:sz w:val="18"/>
                <w:szCs w:val="18"/>
              </w:rPr>
              <w:t>0.191</w:t>
            </w:r>
          </w:p>
        </w:tc>
      </w:tr>
      <w:tr w:rsidR="005C054E" w14:paraId="58B684DF" w14:textId="77777777" w:rsidTr="00552C1C">
        <w:trPr>
          <w:trHeight w:hRule="exact" w:val="255"/>
          <w:jc w:val="center"/>
        </w:trPr>
        <w:tc>
          <w:tcPr>
            <w:tcW w:w="2437" w:type="dxa"/>
            <w:tcBorders>
              <w:bottom w:val="single" w:sz="4" w:space="0" w:color="auto"/>
              <w:right w:val="single" w:sz="4" w:space="0" w:color="auto"/>
            </w:tcBorders>
            <w:vAlign w:val="center"/>
          </w:tcPr>
          <w:p w14:paraId="75D6C6A7" w14:textId="77777777" w:rsidR="005C054E" w:rsidRDefault="005C054E" w:rsidP="00A71F95">
            <w:pPr>
              <w:widowControl w:val="0"/>
              <w:spacing w:line="240" w:lineRule="auto"/>
              <w:ind w:firstLine="0"/>
              <w:jc w:val="left"/>
            </w:pPr>
            <w:r>
              <w:rPr>
                <w:sz w:val="18"/>
                <w:szCs w:val="18"/>
              </w:rPr>
              <w:t>Chi</w:t>
            </w:r>
            <w:r>
              <w:rPr>
                <w:sz w:val="18"/>
                <w:szCs w:val="18"/>
                <w:vertAlign w:val="superscript"/>
              </w:rPr>
              <w:t>2</w:t>
            </w:r>
          </w:p>
        </w:tc>
        <w:tc>
          <w:tcPr>
            <w:tcW w:w="921" w:type="dxa"/>
            <w:tcBorders>
              <w:left w:val="single" w:sz="4" w:space="0" w:color="auto"/>
              <w:bottom w:val="single" w:sz="4" w:space="0" w:color="auto"/>
            </w:tcBorders>
            <w:vAlign w:val="center"/>
          </w:tcPr>
          <w:p w14:paraId="4B8FFC23" w14:textId="77777777" w:rsidR="005C054E" w:rsidRDefault="005C054E" w:rsidP="00A71F95">
            <w:pPr>
              <w:widowControl w:val="0"/>
              <w:spacing w:line="240" w:lineRule="auto"/>
              <w:ind w:firstLine="0"/>
            </w:pPr>
            <w:r>
              <w:rPr>
                <w:sz w:val="18"/>
                <w:szCs w:val="18"/>
              </w:rPr>
              <w:t>2093</w:t>
            </w:r>
          </w:p>
        </w:tc>
        <w:tc>
          <w:tcPr>
            <w:tcW w:w="921" w:type="dxa"/>
            <w:tcBorders>
              <w:bottom w:val="single" w:sz="4" w:space="0" w:color="auto"/>
            </w:tcBorders>
            <w:vAlign w:val="center"/>
          </w:tcPr>
          <w:p w14:paraId="6DC8B423" w14:textId="77777777" w:rsidR="005C054E" w:rsidRDefault="005C054E" w:rsidP="00A71F95">
            <w:pPr>
              <w:widowControl w:val="0"/>
              <w:spacing w:line="240" w:lineRule="auto"/>
              <w:ind w:firstLine="0"/>
            </w:pPr>
            <w:r>
              <w:rPr>
                <w:sz w:val="18"/>
                <w:szCs w:val="18"/>
              </w:rPr>
              <w:t>2088</w:t>
            </w:r>
          </w:p>
        </w:tc>
        <w:tc>
          <w:tcPr>
            <w:tcW w:w="922" w:type="dxa"/>
            <w:tcBorders>
              <w:bottom w:val="single" w:sz="4" w:space="0" w:color="auto"/>
            </w:tcBorders>
            <w:vAlign w:val="center"/>
          </w:tcPr>
          <w:p w14:paraId="47B3925C" w14:textId="77777777" w:rsidR="005C054E" w:rsidRDefault="005C054E" w:rsidP="00A71F95">
            <w:pPr>
              <w:widowControl w:val="0"/>
              <w:spacing w:line="240" w:lineRule="auto"/>
              <w:ind w:firstLine="0"/>
            </w:pPr>
            <w:r>
              <w:rPr>
                <w:sz w:val="18"/>
                <w:szCs w:val="18"/>
              </w:rPr>
              <w:t>2080</w:t>
            </w:r>
          </w:p>
        </w:tc>
        <w:tc>
          <w:tcPr>
            <w:tcW w:w="921" w:type="dxa"/>
            <w:tcBorders>
              <w:bottom w:val="single" w:sz="4" w:space="0" w:color="auto"/>
              <w:right w:val="single" w:sz="4" w:space="0" w:color="auto"/>
            </w:tcBorders>
            <w:vAlign w:val="center"/>
          </w:tcPr>
          <w:p w14:paraId="4F029FC6" w14:textId="77777777" w:rsidR="005C054E" w:rsidRDefault="005C054E" w:rsidP="00A71F95">
            <w:pPr>
              <w:widowControl w:val="0"/>
              <w:spacing w:line="240" w:lineRule="auto"/>
              <w:ind w:firstLine="0"/>
            </w:pPr>
            <w:r>
              <w:rPr>
                <w:sz w:val="18"/>
                <w:szCs w:val="18"/>
              </w:rPr>
              <w:t>2135</w:t>
            </w:r>
          </w:p>
        </w:tc>
        <w:tc>
          <w:tcPr>
            <w:tcW w:w="921" w:type="dxa"/>
            <w:tcBorders>
              <w:left w:val="single" w:sz="4" w:space="0" w:color="auto"/>
              <w:bottom w:val="single" w:sz="4" w:space="0" w:color="auto"/>
            </w:tcBorders>
            <w:vAlign w:val="center"/>
          </w:tcPr>
          <w:p w14:paraId="32B84C4B" w14:textId="77777777" w:rsidR="005C054E" w:rsidRDefault="005C054E" w:rsidP="00A71F95">
            <w:pPr>
              <w:widowControl w:val="0"/>
              <w:spacing w:line="240" w:lineRule="auto"/>
              <w:ind w:firstLine="0"/>
            </w:pPr>
            <w:r>
              <w:rPr>
                <w:sz w:val="18"/>
                <w:szCs w:val="18"/>
              </w:rPr>
              <w:t>2778</w:t>
            </w:r>
          </w:p>
        </w:tc>
        <w:tc>
          <w:tcPr>
            <w:tcW w:w="922" w:type="dxa"/>
            <w:tcBorders>
              <w:bottom w:val="single" w:sz="4" w:space="0" w:color="auto"/>
            </w:tcBorders>
            <w:vAlign w:val="center"/>
          </w:tcPr>
          <w:p w14:paraId="63539928" w14:textId="77777777" w:rsidR="005C054E" w:rsidRDefault="005C054E" w:rsidP="00A71F95">
            <w:pPr>
              <w:widowControl w:val="0"/>
              <w:spacing w:line="240" w:lineRule="auto"/>
              <w:ind w:firstLine="0"/>
            </w:pPr>
            <w:r>
              <w:rPr>
                <w:sz w:val="18"/>
                <w:szCs w:val="18"/>
              </w:rPr>
              <w:t>2760</w:t>
            </w:r>
          </w:p>
        </w:tc>
        <w:tc>
          <w:tcPr>
            <w:tcW w:w="921" w:type="dxa"/>
            <w:tcBorders>
              <w:bottom w:val="single" w:sz="4" w:space="0" w:color="auto"/>
            </w:tcBorders>
            <w:vAlign w:val="center"/>
          </w:tcPr>
          <w:p w14:paraId="1927916A" w14:textId="77777777" w:rsidR="005C054E" w:rsidRDefault="005C054E" w:rsidP="00A71F95">
            <w:pPr>
              <w:widowControl w:val="0"/>
              <w:spacing w:line="240" w:lineRule="auto"/>
              <w:ind w:firstLine="0"/>
            </w:pPr>
            <w:r>
              <w:rPr>
                <w:sz w:val="18"/>
                <w:szCs w:val="18"/>
              </w:rPr>
              <w:t>2759</w:t>
            </w:r>
          </w:p>
        </w:tc>
        <w:tc>
          <w:tcPr>
            <w:tcW w:w="922" w:type="dxa"/>
            <w:tcBorders>
              <w:bottom w:val="single" w:sz="4" w:space="0" w:color="auto"/>
            </w:tcBorders>
            <w:vAlign w:val="center"/>
          </w:tcPr>
          <w:p w14:paraId="1E0248FB" w14:textId="77777777" w:rsidR="005C054E" w:rsidRDefault="005C054E" w:rsidP="00A71F95">
            <w:pPr>
              <w:widowControl w:val="0"/>
              <w:spacing w:line="240" w:lineRule="auto"/>
              <w:ind w:firstLine="0"/>
            </w:pPr>
            <w:r>
              <w:rPr>
                <w:sz w:val="18"/>
                <w:szCs w:val="18"/>
              </w:rPr>
              <w:t>2776</w:t>
            </w:r>
          </w:p>
        </w:tc>
      </w:tr>
    </w:tbl>
    <w:p w14:paraId="6D1447FC" w14:textId="77777777" w:rsidR="005C054E" w:rsidRDefault="005C054E" w:rsidP="005C054E">
      <w:pPr>
        <w:widowControl w:val="0"/>
        <w:spacing w:line="240" w:lineRule="auto"/>
        <w:ind w:firstLine="0"/>
      </w:pPr>
    </w:p>
    <w:p w14:paraId="3E1A7ABE" w14:textId="68F44740" w:rsidR="006E76D3" w:rsidRDefault="005C054E" w:rsidP="006E76D3">
      <w:pPr>
        <w:widowControl w:val="0"/>
        <w:spacing w:line="240" w:lineRule="auto"/>
        <w:ind w:firstLine="0"/>
        <w:jc w:val="left"/>
        <w:rPr>
          <w:sz w:val="18"/>
          <w:szCs w:val="18"/>
        </w:rPr>
      </w:pPr>
      <w:r>
        <w:rPr>
          <w:sz w:val="18"/>
          <w:szCs w:val="18"/>
        </w:rPr>
        <w:t xml:space="preserve">Notes: </w:t>
      </w:r>
      <w:r w:rsidR="006E76D3">
        <w:rPr>
          <w:sz w:val="18"/>
          <w:szCs w:val="18"/>
        </w:rPr>
        <w:t xml:space="preserve">*** p&lt;0.01, ** p&lt;0.05, * p&lt;0.1, heteroscedascity-robust standard errors used to calculate regressors’ level of significance. The set of control variables includes informedness about the EU. </w:t>
      </w:r>
      <w:r w:rsidR="00247A6B">
        <w:rPr>
          <w:sz w:val="18"/>
          <w:szCs w:val="18"/>
        </w:rPr>
        <w:t xml:space="preserve">See Table A4 of the </w:t>
      </w:r>
      <w:r w:rsidR="000D1AF4">
        <w:rPr>
          <w:sz w:val="18"/>
          <w:szCs w:val="18"/>
        </w:rPr>
        <w:t>Supplementary Appendix for complete econometric output</w:t>
      </w:r>
      <w:r w:rsidR="006E76D3">
        <w:rPr>
          <w:sz w:val="18"/>
          <w:szCs w:val="18"/>
        </w:rPr>
        <w:t xml:space="preserve">. </w:t>
      </w:r>
    </w:p>
    <w:p w14:paraId="18E3AFF4" w14:textId="77777777" w:rsidR="005C054E" w:rsidRDefault="005C054E" w:rsidP="005C054E">
      <w:pPr>
        <w:widowControl w:val="0"/>
        <w:spacing w:line="240" w:lineRule="auto"/>
        <w:ind w:firstLine="0"/>
        <w:jc w:val="left"/>
        <w:rPr>
          <w:sz w:val="18"/>
          <w:szCs w:val="18"/>
        </w:rPr>
      </w:pPr>
    </w:p>
    <w:p w14:paraId="71E1F0D0" w14:textId="77777777" w:rsidR="005C054E" w:rsidRDefault="005C054E" w:rsidP="005C054E">
      <w:pPr>
        <w:widowControl w:val="0"/>
        <w:spacing w:line="240" w:lineRule="auto"/>
        <w:ind w:firstLine="0"/>
        <w:jc w:val="left"/>
        <w:rPr>
          <w:sz w:val="18"/>
          <w:szCs w:val="18"/>
        </w:rPr>
      </w:pPr>
      <w:r>
        <w:rPr>
          <w:sz w:val="18"/>
          <w:szCs w:val="18"/>
        </w:rPr>
        <w:t xml:space="preserve">Source: Gallup Balkan Monitor survey and authors’ calculations.  </w:t>
      </w:r>
    </w:p>
    <w:p w14:paraId="03E05F37" w14:textId="77777777" w:rsidR="005C054E" w:rsidRDefault="005C054E" w:rsidP="00EF6DA2">
      <w:pPr>
        <w:widowControl w:val="0"/>
        <w:spacing w:line="360" w:lineRule="auto"/>
        <w:ind w:firstLine="0"/>
        <w:jc w:val="left"/>
      </w:pPr>
    </w:p>
    <w:p w14:paraId="51B17A00" w14:textId="77777777" w:rsidR="00382316" w:rsidRDefault="00382316" w:rsidP="00EF6DA2">
      <w:pPr>
        <w:widowControl w:val="0"/>
        <w:spacing w:line="360" w:lineRule="auto"/>
        <w:ind w:firstLine="0"/>
        <w:jc w:val="left"/>
      </w:pPr>
    </w:p>
    <w:p w14:paraId="7E1E18E3" w14:textId="41892B02" w:rsidR="007630DF" w:rsidRDefault="007C4BCA" w:rsidP="008D11AE">
      <w:pPr>
        <w:pStyle w:val="ListParagraph"/>
        <w:numPr>
          <w:ilvl w:val="0"/>
          <w:numId w:val="4"/>
        </w:numPr>
        <w:spacing w:line="480" w:lineRule="auto"/>
        <w:jc w:val="left"/>
      </w:pPr>
      <w:r>
        <w:t>DISCUSSION AND CONCLUSION</w:t>
      </w:r>
    </w:p>
    <w:p w14:paraId="63ADB685" w14:textId="4643B216" w:rsidR="005050FF" w:rsidRDefault="00EC6BE8" w:rsidP="004F2FD8">
      <w:pPr>
        <w:spacing w:line="480" w:lineRule="auto"/>
        <w:ind w:firstLine="0"/>
        <w:jc w:val="left"/>
      </w:pPr>
      <w:r>
        <w:t xml:space="preserve">This study set out to assess whether </w:t>
      </w:r>
      <w:r w:rsidR="00116E1D">
        <w:t>e</w:t>
      </w:r>
      <w:r>
        <w:t xml:space="preserve">migration affects attitudes toward joining the EU in prospective EU member states - Albania and the successor states of Yugoslavia. To answer our research question, we used data from the Gallup Balkan Monitor survey, a large and underexplored dataset containing rich information on attitudes toward joining the EU and migration in the </w:t>
      </w:r>
      <w:r w:rsidR="00E406E6">
        <w:t>Western</w:t>
      </w:r>
      <w:r w:rsidR="00821CE4">
        <w:t xml:space="preserve"> Balkan countries. We </w:t>
      </w:r>
      <w:r w:rsidR="00C777CE">
        <w:t xml:space="preserve">first </w:t>
      </w:r>
      <w:r w:rsidR="00B24950">
        <w:t>discussed the ways in which</w:t>
      </w:r>
      <w:r>
        <w:t xml:space="preserve"> migration can affect attitudes toward EU membership and </w:t>
      </w:r>
      <w:r w:rsidR="00C777CE">
        <w:t xml:space="preserve">then </w:t>
      </w:r>
      <w:r>
        <w:t xml:space="preserve">estimated the relationship between migration-related variables – </w:t>
      </w:r>
      <w:r w:rsidR="00C777CE">
        <w:t>willingness</w:t>
      </w:r>
      <w:r w:rsidR="00A65939">
        <w:t xml:space="preserve"> </w:t>
      </w:r>
      <w:r>
        <w:t xml:space="preserve">to migrate, having relatives </w:t>
      </w:r>
      <w:r>
        <w:lastRenderedPageBreak/>
        <w:t>abroad, and being a return migrant – and the likelihood of providing an affirmative answer to the following two questions:</w:t>
      </w:r>
    </w:p>
    <w:p w14:paraId="1A40087A" w14:textId="77777777" w:rsidR="005050FF" w:rsidRDefault="00EC6BE8" w:rsidP="004F2FD8">
      <w:pPr>
        <w:spacing w:line="480" w:lineRule="auto"/>
        <w:ind w:firstLine="0"/>
        <w:jc w:val="left"/>
      </w:pPr>
      <w:r>
        <w:t xml:space="preserve"> </w:t>
      </w:r>
    </w:p>
    <w:p w14:paraId="2591E2F9" w14:textId="77777777" w:rsidR="005050FF" w:rsidRDefault="00EC6BE8" w:rsidP="004F2FD8">
      <w:pPr>
        <w:spacing w:line="480" w:lineRule="auto"/>
        <w:ind w:firstLine="0"/>
        <w:jc w:val="left"/>
      </w:pPr>
      <w:r>
        <w:t xml:space="preserve">(i) </w:t>
      </w:r>
      <w:r>
        <w:rPr>
          <w:i/>
        </w:rPr>
        <w:t>“If there were a referendum on Sunday on joining the EU, what would you vote?”</w:t>
      </w:r>
    </w:p>
    <w:p w14:paraId="68BD3C34" w14:textId="77777777" w:rsidR="005050FF" w:rsidRDefault="00EC6BE8" w:rsidP="004F2FD8">
      <w:pPr>
        <w:spacing w:line="480" w:lineRule="auto"/>
        <w:ind w:firstLine="0"/>
        <w:jc w:val="left"/>
      </w:pPr>
      <w:r>
        <w:t xml:space="preserve">(ii) </w:t>
      </w:r>
      <w:r>
        <w:rPr>
          <w:i/>
        </w:rPr>
        <w:t>“Do you think [your country’s]</w:t>
      </w:r>
      <w:r>
        <w:t xml:space="preserve"> </w:t>
      </w:r>
      <w:r>
        <w:rPr>
          <w:i/>
        </w:rPr>
        <w:t>membership in</w:t>
      </w:r>
      <w:r w:rsidR="009F1F6D">
        <w:rPr>
          <w:i/>
        </w:rPr>
        <w:t xml:space="preserve"> the EU would be a good thing?”</w:t>
      </w:r>
    </w:p>
    <w:p w14:paraId="3EBB7740" w14:textId="77777777" w:rsidR="005050FF" w:rsidRDefault="00EC6BE8" w:rsidP="004F2FD8">
      <w:pPr>
        <w:spacing w:line="480" w:lineRule="auto"/>
        <w:ind w:firstLine="0"/>
        <w:jc w:val="left"/>
      </w:pPr>
      <w:r>
        <w:t xml:space="preserve"> </w:t>
      </w:r>
    </w:p>
    <w:p w14:paraId="38DA9C5B" w14:textId="70DAEAB6" w:rsidR="005050FF" w:rsidRDefault="00EC6BE8" w:rsidP="004F2FD8">
      <w:pPr>
        <w:spacing w:line="480" w:lineRule="auto"/>
        <w:ind w:firstLine="0"/>
        <w:jc w:val="left"/>
      </w:pPr>
      <w:r>
        <w:t>The results revealed intriguing differences</w:t>
      </w:r>
      <w:r>
        <w:rPr>
          <w:color w:val="0000FF"/>
        </w:rPr>
        <w:t xml:space="preserve"> </w:t>
      </w:r>
      <w:r>
        <w:t>in</w:t>
      </w:r>
      <w:r>
        <w:rPr>
          <w:color w:val="0000FF"/>
        </w:rPr>
        <w:t xml:space="preserve"> </w:t>
      </w:r>
      <w:r w:rsidR="00A65939">
        <w:t xml:space="preserve">migration’s </w:t>
      </w:r>
      <w:r>
        <w:t>effects on responses to these, on first sight, similar questions regarding public support for the EU. Prospective migrants, return migrants</w:t>
      </w:r>
      <w:r w:rsidR="00A65939">
        <w:t>,</w:t>
      </w:r>
      <w:r>
        <w:t xml:space="preserve"> and people with a migrant family member or close friend in the EU are, across the board, more likely to vote yes in a hypothetical referendum on whether to join the EU. Responses to the second question, however, deliver a less clear picture. Only people who </w:t>
      </w:r>
      <w:r w:rsidR="00D42A35">
        <w:t xml:space="preserve">had </w:t>
      </w:r>
      <w:r>
        <w:t xml:space="preserve">relatives or close </w:t>
      </w:r>
      <w:r>
        <w:lastRenderedPageBreak/>
        <w:t xml:space="preserve">friends in the EU </w:t>
      </w:r>
      <w:r w:rsidR="00D42A35">
        <w:t xml:space="preserve">were </w:t>
      </w:r>
      <w:r>
        <w:t xml:space="preserve">more likely to think that their country’s membership in the EU would be a good thing. Return migrants and prospective migrants </w:t>
      </w:r>
      <w:r w:rsidR="00D42A35">
        <w:t>were</w:t>
      </w:r>
      <w:r>
        <w:t>, in this regard, indistinguishable from people without migrant connections.</w:t>
      </w:r>
    </w:p>
    <w:p w14:paraId="35AD1B30" w14:textId="77777777" w:rsidR="005050FF" w:rsidRDefault="00EC6BE8" w:rsidP="004F2FD8">
      <w:pPr>
        <w:spacing w:line="480" w:lineRule="auto"/>
        <w:ind w:firstLine="0"/>
        <w:jc w:val="left"/>
      </w:pPr>
      <w:r>
        <w:t xml:space="preserve"> </w:t>
      </w:r>
    </w:p>
    <w:p w14:paraId="4CF8C8E5" w14:textId="3B51EB2F" w:rsidR="00B25BC3" w:rsidRDefault="00EC6BE8" w:rsidP="004F2FD8">
      <w:pPr>
        <w:spacing w:line="480" w:lineRule="auto"/>
        <w:ind w:firstLine="0"/>
        <w:jc w:val="left"/>
      </w:pPr>
      <w:r>
        <w:t xml:space="preserve">One possible interpretation </w:t>
      </w:r>
      <w:r w:rsidR="005E7FA5">
        <w:t xml:space="preserve">of this situation </w:t>
      </w:r>
      <w:r>
        <w:t>is that a vote in a national referendum would draw relatively more strongly on personal utilitarian/instrumental motives, related to anticipated opportunities for easier job search and travel. The question, whether one’s country’s membership in the EU would be a good thing, lends itself to broader interpretation, including one’s view on whether membership would be a good thing for the country’s future development. People may doubt that their country would have a good future inside the EU</w:t>
      </w:r>
      <w:r w:rsidR="00442E11">
        <w:t xml:space="preserve"> </w:t>
      </w:r>
      <w:r>
        <w:t xml:space="preserve">but still vote ‘yes’ in a hypothetical referendum because they expect concrete benefits for themselves. Also, for those </w:t>
      </w:r>
      <w:r w:rsidR="00B24950">
        <w:t>willing</w:t>
      </w:r>
      <w:r>
        <w:t xml:space="preserve"> to emigrate permanently, </w:t>
      </w:r>
      <w:r w:rsidR="00442E11">
        <w:lastRenderedPageBreak/>
        <w:t xml:space="preserve">their home country’s </w:t>
      </w:r>
      <w:r>
        <w:t xml:space="preserve">future may be of lesser concern. </w:t>
      </w:r>
      <w:r w:rsidR="00A141EB">
        <w:t>Overall</w:t>
      </w:r>
      <w:r>
        <w:t>, the</w:t>
      </w:r>
      <w:r w:rsidR="00A141EB">
        <w:t>se results suggest that utilitarian considerations play a significant role in explaining public support for joining th</w:t>
      </w:r>
      <w:r w:rsidR="00B25BC3">
        <w:t xml:space="preserve">e EU in the Western Balkans, which in turn advances theory by </w:t>
      </w:r>
      <w:r w:rsidR="00A141EB">
        <w:t>add</w:t>
      </w:r>
      <w:r w:rsidR="00B25BC3">
        <w:t>ing</w:t>
      </w:r>
      <w:r w:rsidR="00A141EB">
        <w:t xml:space="preserve"> migration-rela</w:t>
      </w:r>
      <w:r w:rsidR="00B25BC3">
        <w:t>ted variables to the battery of factors (income, education etc.) through which utilitarian considerations c</w:t>
      </w:r>
      <w:r w:rsidR="00A141EB">
        <w:t>a</w:t>
      </w:r>
      <w:r w:rsidR="00B25BC3">
        <w:t xml:space="preserve">n manifest themselves (Gabel and Palmer, 1995; Hobolt and De Vries, 2016). Also, </w:t>
      </w:r>
      <w:r>
        <w:t xml:space="preserve">differential responses to the ‘twin questions’ </w:t>
      </w:r>
      <w:r w:rsidR="00A141EB">
        <w:t>help</w:t>
      </w:r>
      <w:r w:rsidR="00B25BC3">
        <w:t>s</w:t>
      </w:r>
      <w:r>
        <w:t xml:space="preserve"> sharpen the split between</w:t>
      </w:r>
      <w:r w:rsidR="00B25BC3">
        <w:t xml:space="preserve"> self-centred</w:t>
      </w:r>
      <w:r>
        <w:t xml:space="preserve"> instrumental motives and </w:t>
      </w:r>
      <w:r w:rsidR="00A141EB">
        <w:t xml:space="preserve">sociotropic </w:t>
      </w:r>
      <w:r w:rsidR="00B25BC3">
        <w:t xml:space="preserve">concerns. </w:t>
      </w:r>
    </w:p>
    <w:p w14:paraId="7F3FC577" w14:textId="77777777" w:rsidR="005050FF" w:rsidRDefault="00EC6BE8" w:rsidP="004F2FD8">
      <w:pPr>
        <w:spacing w:line="480" w:lineRule="auto"/>
        <w:ind w:firstLine="0"/>
        <w:jc w:val="left"/>
      </w:pPr>
      <w:r>
        <w:t xml:space="preserve"> </w:t>
      </w:r>
    </w:p>
    <w:p w14:paraId="5390FD70" w14:textId="7D636E47" w:rsidR="0039151F" w:rsidRDefault="00EC6BE8" w:rsidP="004F2FD8">
      <w:pPr>
        <w:spacing w:line="480" w:lineRule="auto"/>
        <w:ind w:firstLine="0"/>
        <w:jc w:val="left"/>
      </w:pPr>
      <w:r>
        <w:t xml:space="preserve">We also tested </w:t>
      </w:r>
      <w:r w:rsidR="00A3187F">
        <w:t>how migration-related variables</w:t>
      </w:r>
      <w:r>
        <w:t xml:space="preserve"> </w:t>
      </w:r>
      <w:r w:rsidR="00B22A04">
        <w:t xml:space="preserve">correspond </w:t>
      </w:r>
      <w:r>
        <w:t>to being well</w:t>
      </w:r>
      <w:r w:rsidR="008F5885">
        <w:t xml:space="preserve"> </w:t>
      </w:r>
      <w:r>
        <w:t>informed about the EU, which by itself can positively affect pro-EU sentiment. Not surprising</w:t>
      </w:r>
      <w:r w:rsidR="008F5885">
        <w:t>ly</w:t>
      </w:r>
      <w:r>
        <w:t>, a strong positive information effect is seen in people who lived or studied in the EU. Having a migrant relative or close friend in the EU</w:t>
      </w:r>
      <w:r w:rsidR="008F5885">
        <w:t xml:space="preserve">, however, </w:t>
      </w:r>
      <w:r>
        <w:t>does</w:t>
      </w:r>
      <w:r w:rsidR="008F5885">
        <w:t xml:space="preserve"> </w:t>
      </w:r>
      <w:r>
        <w:t xml:space="preserve">not show any significant </w:t>
      </w:r>
      <w:r>
        <w:lastRenderedPageBreak/>
        <w:t xml:space="preserve">influence on </w:t>
      </w:r>
      <w:r w:rsidR="00B22A04">
        <w:t>‘</w:t>
      </w:r>
      <w:r>
        <w:t>informedness</w:t>
      </w:r>
      <w:r w:rsidR="00A75160">
        <w:t>,</w:t>
      </w:r>
      <w:r w:rsidR="00B22A04">
        <w:t>’</w:t>
      </w:r>
      <w:r>
        <w:t xml:space="preserve"> suggesting that information transfer through relatives or friends residing in the EU is of limited effectiveness.</w:t>
      </w:r>
      <w:r w:rsidR="001024D7">
        <w:t xml:space="preserve"> In terms of the cue-taking approach to explaining public support </w:t>
      </w:r>
      <w:r w:rsidR="00010817">
        <w:t xml:space="preserve">for </w:t>
      </w:r>
      <w:r w:rsidR="001024D7">
        <w:t>the EU</w:t>
      </w:r>
      <w:r w:rsidR="00A141EB">
        <w:t xml:space="preserve"> (Hobolt and De Vries, 2016)</w:t>
      </w:r>
      <w:r w:rsidR="001024D7">
        <w:t xml:space="preserve">, our results show that </w:t>
      </w:r>
      <w:r w:rsidR="00A141EB">
        <w:t>relatives and friends residing</w:t>
      </w:r>
      <w:r w:rsidR="00A3187F">
        <w:t xml:space="preserve"> in the EU</w:t>
      </w:r>
      <w:r w:rsidR="00A141EB">
        <w:t xml:space="preserve"> may not be a source</w:t>
      </w:r>
      <w:r w:rsidR="001024D7">
        <w:t xml:space="preserve"> of informational ‘shortcuts’ about the EU</w:t>
      </w:r>
      <w:r w:rsidR="00A141EB">
        <w:t xml:space="preserve"> (see </w:t>
      </w:r>
      <w:r w:rsidR="001B73DB">
        <w:t xml:space="preserve">Tanasoiu </w:t>
      </w:r>
      <w:r w:rsidR="00A141EB" w:rsidRPr="00D61CB9">
        <w:t>and Colonescu, 2008</w:t>
      </w:r>
      <w:r w:rsidR="00A141EB">
        <w:t>)</w:t>
      </w:r>
      <w:r w:rsidR="001024D7">
        <w:t xml:space="preserve">. </w:t>
      </w:r>
      <w:r>
        <w:t xml:space="preserve"> Similar lack of significant effects is observed for prospective EU migrants. Here</w:t>
      </w:r>
      <w:r w:rsidR="00010817">
        <w:t>,</w:t>
      </w:r>
      <w:r>
        <w:t xml:space="preserve"> an explanation may be that people with concrete plans to emigrate face</w:t>
      </w:r>
      <w:r w:rsidR="007A357F">
        <w:t xml:space="preserve"> </w:t>
      </w:r>
      <w:r>
        <w:t>concrete questions, which make them painfully aware of all the things they do not know. They do not feel well informed about the EU</w:t>
      </w:r>
      <w:r w:rsidR="00010817">
        <w:t xml:space="preserve"> </w:t>
      </w:r>
      <w:r>
        <w:t xml:space="preserve">because they apply more </w:t>
      </w:r>
      <w:r w:rsidRPr="0039151F">
        <w:t xml:space="preserve">discriminating standards of </w:t>
      </w:r>
      <w:r w:rsidR="00B22A04" w:rsidRPr="0039151F">
        <w:t>‘</w:t>
      </w:r>
      <w:r w:rsidRPr="0039151F">
        <w:t>informedness</w:t>
      </w:r>
      <w:r w:rsidR="00010817" w:rsidRPr="0039151F">
        <w:t>.</w:t>
      </w:r>
      <w:r w:rsidR="00B22A04" w:rsidRPr="0039151F">
        <w:t>’</w:t>
      </w:r>
      <w:r>
        <w:t xml:space="preserve"> </w:t>
      </w:r>
      <w:r w:rsidR="0039151F">
        <w:t xml:space="preserve">Overall, we obtain limited support for migration’s potential ‘informational effect’ on joining the EU: it works for return migrants but not for prospective migrants or migrant relatives and friends staying in home countries.   </w:t>
      </w:r>
    </w:p>
    <w:p w14:paraId="48118EE0" w14:textId="77777777" w:rsidR="0039151F" w:rsidRDefault="0039151F" w:rsidP="004F2FD8">
      <w:pPr>
        <w:spacing w:line="480" w:lineRule="auto"/>
        <w:ind w:firstLine="0"/>
        <w:jc w:val="left"/>
      </w:pPr>
    </w:p>
    <w:p w14:paraId="3EE50A4D" w14:textId="7C579C3B" w:rsidR="00464CB3" w:rsidRDefault="00010817" w:rsidP="004F2FD8">
      <w:pPr>
        <w:spacing w:line="480" w:lineRule="auto"/>
        <w:ind w:firstLine="0"/>
        <w:jc w:val="left"/>
      </w:pPr>
      <w:r>
        <w:t>T</w:t>
      </w:r>
      <w:r w:rsidR="00EC6BE8">
        <w:t xml:space="preserve">o test for </w:t>
      </w:r>
      <w:r>
        <w:t xml:space="preserve">migration’s </w:t>
      </w:r>
      <w:r w:rsidR="00EC6BE8">
        <w:t>potential ‘cosmopolitan effect’ on joining the EU, we looked at attitudes toward EU membership of people with migration connections to countries outside the EU. Support for the ‘cosmopolitan’ effect is limited. People who lived or studied in a non-EU country, as well as those whose relatives reside</w:t>
      </w:r>
      <w:r>
        <w:t>d</w:t>
      </w:r>
      <w:r w:rsidR="00EC6BE8">
        <w:t xml:space="preserve"> in a non-EU country, </w:t>
      </w:r>
      <w:r>
        <w:t xml:space="preserve">were </w:t>
      </w:r>
      <w:r w:rsidR="00EC6BE8">
        <w:t>not found to be</w:t>
      </w:r>
      <w:r w:rsidR="00EC6BE8">
        <w:rPr>
          <w:color w:val="0000FF"/>
        </w:rPr>
        <w:t xml:space="preserve"> </w:t>
      </w:r>
      <w:r w:rsidR="00EC6BE8">
        <w:t xml:space="preserve">more likely to vote favorably in a hypothetical EU referendum or </w:t>
      </w:r>
      <w:r w:rsidR="00C634D3">
        <w:t xml:space="preserve">to </w:t>
      </w:r>
      <w:r w:rsidR="00EC6BE8">
        <w:t xml:space="preserve">consider EU membership a good thing.  Only people </w:t>
      </w:r>
      <w:r w:rsidR="00B24950">
        <w:t>willing</w:t>
      </w:r>
      <w:r w:rsidR="00EC6BE8">
        <w:t xml:space="preserve"> to emigrate to a non-EU country show evidence of higher support for their country’s EU membership. This</w:t>
      </w:r>
      <w:r w:rsidR="00C634D3">
        <w:t xml:space="preserve"> finding</w:t>
      </w:r>
      <w:r w:rsidR="00EC6BE8">
        <w:t xml:space="preserve">, however, could </w:t>
      </w:r>
      <w:r w:rsidR="00C634D3">
        <w:t xml:space="preserve">indicate </w:t>
      </w:r>
      <w:r w:rsidR="00EC6BE8">
        <w:t>instrumental motives at work</w:t>
      </w:r>
      <w:r w:rsidR="00300510">
        <w:t>,</w:t>
      </w:r>
      <w:r w:rsidR="00EC6BE8">
        <w:t xml:space="preserve"> insofar as EU membership may be seen as a ‘jumping board’ for emigration to countries other than EU.</w:t>
      </w:r>
    </w:p>
    <w:p w14:paraId="717DE63C" w14:textId="1B9218BC" w:rsidR="00D26989" w:rsidRDefault="00300510" w:rsidP="00CE1126">
      <w:pPr>
        <w:spacing w:before="240" w:line="480" w:lineRule="auto"/>
        <w:ind w:firstLine="0"/>
        <w:jc w:val="left"/>
      </w:pPr>
      <w:r>
        <w:t xml:space="preserve">Where do these findings leave us? </w:t>
      </w:r>
      <w:r w:rsidR="003C37BF" w:rsidRPr="00710228">
        <w:t xml:space="preserve">This </w:t>
      </w:r>
      <w:r w:rsidR="003C37BF">
        <w:t>article</w:t>
      </w:r>
      <w:r w:rsidR="00464CB3">
        <w:t xml:space="preserve"> contributes</w:t>
      </w:r>
      <w:r w:rsidR="003C37BF" w:rsidRPr="00710228">
        <w:t xml:space="preserve"> to scholarly discourse in several ways. First, the existing literature on </w:t>
      </w:r>
      <w:r w:rsidR="003C37BF">
        <w:t xml:space="preserve">migration’s </w:t>
      </w:r>
      <w:r w:rsidR="003C37BF" w:rsidRPr="00710228">
        <w:lastRenderedPageBreak/>
        <w:t>influence on support for European integration has focused on perspective</w:t>
      </w:r>
      <w:r w:rsidR="003C37BF">
        <w:t>s</w:t>
      </w:r>
      <w:r w:rsidR="003C37BF" w:rsidRPr="00710228">
        <w:t xml:space="preserve"> from ‘old’ EU member states, within-EU mobility, and migration from outside Europe (Azrout et al., 2011; De Vreese et al. 2008; Hobolt et al. 2011; Gerhards and Hans, 2011; McLaren, 2007; Kuhn, 2015), leaving the perspective</w:t>
      </w:r>
      <w:r w:rsidR="003C37BF">
        <w:t>s</w:t>
      </w:r>
      <w:r w:rsidR="003C37BF" w:rsidRPr="00710228">
        <w:t xml:space="preserve"> of countries aspiring to join the EU</w:t>
      </w:r>
      <w:r w:rsidR="003C37BF">
        <w:t xml:space="preserve"> un</w:t>
      </w:r>
      <w:r w:rsidR="003C37BF" w:rsidRPr="00710228">
        <w:t xml:space="preserve">explored. We </w:t>
      </w:r>
      <w:r w:rsidR="00464CB3">
        <w:t xml:space="preserve">have </w:t>
      </w:r>
      <w:r w:rsidR="003C37BF" w:rsidRPr="00710228">
        <w:t>fill</w:t>
      </w:r>
      <w:r w:rsidR="00464CB3">
        <w:t>ed</w:t>
      </w:r>
      <w:r w:rsidR="003C37BF" w:rsidRPr="00710228">
        <w:t xml:space="preserve"> this gap by focusing on the links between emigration and public opinion on European integration in the Western Balkans</w:t>
      </w:r>
      <w:r w:rsidR="003C37BF">
        <w:t xml:space="preserve"> – countries next in line to join the EU</w:t>
      </w:r>
      <w:r w:rsidR="003C37BF" w:rsidRPr="00710228">
        <w:t xml:space="preserve">. </w:t>
      </w:r>
    </w:p>
    <w:p w14:paraId="76D39CE9" w14:textId="5410BA02" w:rsidR="00250923" w:rsidRDefault="00D26989" w:rsidP="00CE1126">
      <w:pPr>
        <w:spacing w:before="240" w:line="480" w:lineRule="auto"/>
        <w:ind w:firstLine="0"/>
        <w:jc w:val="left"/>
      </w:pPr>
      <w:r>
        <w:t>Second, o</w:t>
      </w:r>
      <w:r w:rsidRPr="00EB370A">
        <w:t xml:space="preserve">ur </w:t>
      </w:r>
      <w:r w:rsidR="003C37BF" w:rsidRPr="00EB370A">
        <w:t>study</w:t>
      </w:r>
      <w:r w:rsidR="00DF0CFD">
        <w:t xml:space="preserve"> </w:t>
      </w:r>
      <w:r w:rsidR="00464CB3">
        <w:t>adds</w:t>
      </w:r>
      <w:r w:rsidR="003C37BF" w:rsidRPr="00EB370A">
        <w:t xml:space="preserve"> to the broader literature on the determinants of EU preferences in prospective member states. There is substantial evidence on the</w:t>
      </w:r>
      <w:r w:rsidR="003C37BF" w:rsidRPr="00EB370A">
        <w:rPr>
          <w:color w:val="FF0000"/>
        </w:rPr>
        <w:t xml:space="preserve"> </w:t>
      </w:r>
      <w:r w:rsidR="003C37BF" w:rsidRPr="00EB370A">
        <w:rPr>
          <w:color w:val="000000" w:themeColor="text1"/>
        </w:rPr>
        <w:t xml:space="preserve">individual-level determinants of </w:t>
      </w:r>
      <w:r w:rsidR="003C37BF" w:rsidRPr="00EB370A">
        <w:t>attitudes toward EU membership</w:t>
      </w:r>
      <w:r w:rsidR="003C37BF" w:rsidRPr="00EB370A">
        <w:rPr>
          <w:i/>
          <w:color w:val="FF0000"/>
        </w:rPr>
        <w:t xml:space="preserve"> </w:t>
      </w:r>
      <w:r w:rsidR="003C37BF" w:rsidRPr="00EB370A">
        <w:t xml:space="preserve">in countries that joined the EU in 2004 and 2007 (e.g., Caplanova et al., 2004; Loveless, 2010; Tucker et al., 2002; </w:t>
      </w:r>
      <w:r w:rsidR="001B73DB">
        <w:t xml:space="preserve">Tanasoiu </w:t>
      </w:r>
      <w:r w:rsidR="003C37BF" w:rsidRPr="00EB370A">
        <w:t xml:space="preserve">and Colonescu, 2008; Jackson, 2011). These contributions have </w:t>
      </w:r>
      <w:r w:rsidR="003C37BF" w:rsidRPr="00EB370A">
        <w:lastRenderedPageBreak/>
        <w:t xml:space="preserve">sought to establish how support for joining the EU is affected by factors particularly relevant in the transition context, such as attitudes to free markets, experience of transition from planned to market economy, and perceptions of social inequality. Despite the salience of emigration from the </w:t>
      </w:r>
      <w:r w:rsidR="003C37BF">
        <w:t xml:space="preserve">Western Balkan </w:t>
      </w:r>
      <w:r w:rsidR="003C37BF" w:rsidRPr="00EB370A">
        <w:t>region, variables capturing migration-related phenomena have never entered the analysis. Our</w:t>
      </w:r>
      <w:r w:rsidR="00464CB3">
        <w:t xml:space="preserve"> study</w:t>
      </w:r>
      <w:r>
        <w:t>, thus,</w:t>
      </w:r>
      <w:r w:rsidR="003C37BF" w:rsidRPr="00EB370A">
        <w:t xml:space="preserve"> </w:t>
      </w:r>
      <w:r w:rsidR="003C37BF">
        <w:t xml:space="preserve">offers </w:t>
      </w:r>
      <w:r w:rsidR="003C37BF" w:rsidRPr="00EB370A">
        <w:t xml:space="preserve">an explicit treatment of emigration-related variables – </w:t>
      </w:r>
      <w:r w:rsidR="00CA291E">
        <w:t>willingness</w:t>
      </w:r>
      <w:r w:rsidR="003C37BF" w:rsidRPr="00EB370A">
        <w:t xml:space="preserve"> to emigrate, having relatives abroad, and being a return migrant – as potential antecedents of people’</w:t>
      </w:r>
      <w:r w:rsidR="00464CB3">
        <w:t xml:space="preserve">s support for joining the EU. </w:t>
      </w:r>
    </w:p>
    <w:p w14:paraId="251504A4" w14:textId="1DE5D911" w:rsidR="0078246D" w:rsidRPr="00D7162C" w:rsidRDefault="00464CB3" w:rsidP="008D11AE">
      <w:pPr>
        <w:spacing w:before="240" w:line="480" w:lineRule="auto"/>
        <w:ind w:firstLine="0"/>
        <w:jc w:val="left"/>
      </w:pPr>
      <w:r>
        <w:t>Finally, our study contributes</w:t>
      </w:r>
      <w:r w:rsidR="00FC62AB">
        <w:t xml:space="preserve"> to the literature on </w:t>
      </w:r>
      <w:r w:rsidR="00250923">
        <w:t xml:space="preserve">international migration’s </w:t>
      </w:r>
      <w:r w:rsidR="00FC62AB">
        <w:t xml:space="preserve">effects on the </w:t>
      </w:r>
      <w:r w:rsidR="005F7C08">
        <w:t xml:space="preserve">development of </w:t>
      </w:r>
      <w:r w:rsidR="00FC62AB">
        <w:t xml:space="preserve">political institutions </w:t>
      </w:r>
      <w:r w:rsidR="00DF0CFD">
        <w:t xml:space="preserve">in migrants’ </w:t>
      </w:r>
      <w:r w:rsidR="00250923">
        <w:t xml:space="preserve">origin </w:t>
      </w:r>
      <w:r w:rsidR="00DF0CFD">
        <w:t>countries</w:t>
      </w:r>
      <w:r w:rsidR="00FC62AB">
        <w:t xml:space="preserve">. </w:t>
      </w:r>
      <w:r w:rsidR="00DC400B">
        <w:t xml:space="preserve">Closely related to the concept of </w:t>
      </w:r>
      <w:r w:rsidR="00DF0CFD">
        <w:t>‘</w:t>
      </w:r>
      <w:r w:rsidR="00DC400B">
        <w:t>social remittances</w:t>
      </w:r>
      <w:r w:rsidR="00DF0CFD">
        <w:t>’</w:t>
      </w:r>
      <w:r w:rsidR="00DC400B">
        <w:t xml:space="preserve"> </w:t>
      </w:r>
      <w:r w:rsidR="00DC400B">
        <w:lastRenderedPageBreak/>
        <w:t>(Levitt, 1998),</w:t>
      </w:r>
      <w:r w:rsidR="00DE4060">
        <w:rPr>
          <w:rStyle w:val="FootnoteReference"/>
        </w:rPr>
        <w:footnoteReference w:id="16"/>
      </w:r>
      <w:r w:rsidR="00DC400B">
        <w:t xml:space="preserve"> this literature has shown that </w:t>
      </w:r>
      <w:r w:rsidR="00540E4D">
        <w:t xml:space="preserve">emigration can enhance </w:t>
      </w:r>
      <w:r w:rsidR="00DF0CFD">
        <w:t xml:space="preserve">government accountability, political participation, </w:t>
      </w:r>
      <w:r w:rsidR="00250923">
        <w:t xml:space="preserve">and </w:t>
      </w:r>
      <w:r w:rsidR="00DF0CFD">
        <w:t xml:space="preserve">voting for pro-democratic parties and reduce </w:t>
      </w:r>
      <w:r w:rsidR="00100B4D">
        <w:t xml:space="preserve">public sector </w:t>
      </w:r>
      <w:r w:rsidR="00DF0CFD">
        <w:t>corruption in</w:t>
      </w:r>
      <w:r w:rsidR="00540E4D">
        <w:t xml:space="preserve"> migrants’ </w:t>
      </w:r>
      <w:r w:rsidR="00DF0CFD">
        <w:t xml:space="preserve">home </w:t>
      </w:r>
      <w:r w:rsidR="00540E4D">
        <w:t>countries (</w:t>
      </w:r>
      <w:r w:rsidR="005F7C08">
        <w:t xml:space="preserve">Barsbai et al., 2018; </w:t>
      </w:r>
      <w:r w:rsidR="00DF0CFD">
        <w:t xml:space="preserve">Batista and Vicente, 2011; </w:t>
      </w:r>
      <w:r w:rsidR="003C37BF">
        <w:t xml:space="preserve">Chauvet and Mercier, 2014; </w:t>
      </w:r>
      <w:r w:rsidR="00540E4D">
        <w:t xml:space="preserve">Docquier et al., 2016; </w:t>
      </w:r>
      <w:r w:rsidR="00DF0CFD">
        <w:t xml:space="preserve">Ivlevs and King, 2017; </w:t>
      </w:r>
      <w:r w:rsidR="005F7C08">
        <w:t>Pfutze, 2012)</w:t>
      </w:r>
      <w:r w:rsidR="003C37BF">
        <w:t xml:space="preserve">. </w:t>
      </w:r>
      <w:r>
        <w:t xml:space="preserve">Our study </w:t>
      </w:r>
      <w:r w:rsidR="005425E4">
        <w:t xml:space="preserve">adds </w:t>
      </w:r>
      <w:r w:rsidR="00CE1126">
        <w:t xml:space="preserve">to </w:t>
      </w:r>
      <w:r w:rsidR="005425E4">
        <w:t xml:space="preserve">this literature by showing that prospective and return migrants, as well as migrant relatives staying in the home countries, are more likely to support </w:t>
      </w:r>
      <w:r w:rsidR="00CE1126">
        <w:t>joining a supr</w:t>
      </w:r>
      <w:r w:rsidR="00100B4D">
        <w:t>anational institution, such as the EU</w:t>
      </w:r>
      <w:r w:rsidR="00DF0CFD" w:rsidRPr="00D7162C">
        <w:t xml:space="preserve">. </w:t>
      </w:r>
      <w:r w:rsidR="00980D2C" w:rsidRPr="00D7162C">
        <w:t>J</w:t>
      </w:r>
      <w:r w:rsidR="007310D1" w:rsidRPr="00D7162C">
        <w:t xml:space="preserve">oining the EU, </w:t>
      </w:r>
      <w:r w:rsidR="00CE1126" w:rsidRPr="00D7162C">
        <w:t xml:space="preserve">in turn, is likely to </w:t>
      </w:r>
      <w:r w:rsidR="00100B4D" w:rsidRPr="00D7162C">
        <w:t xml:space="preserve">foster </w:t>
      </w:r>
      <w:r w:rsidR="003B2F37" w:rsidRPr="00D7162C">
        <w:t xml:space="preserve">political and </w:t>
      </w:r>
      <w:r w:rsidR="00CE1126" w:rsidRPr="00D7162C">
        <w:t xml:space="preserve">institutional </w:t>
      </w:r>
      <w:r w:rsidR="00100B4D" w:rsidRPr="00D7162C">
        <w:t>development in these countries</w:t>
      </w:r>
      <w:r w:rsidR="0078246D" w:rsidRPr="00D7162C">
        <w:t xml:space="preserve">. Specifically, as a condition for joining the </w:t>
      </w:r>
      <w:r w:rsidR="001C5E6B" w:rsidRPr="00D7162C">
        <w:t>EU</w:t>
      </w:r>
      <w:r w:rsidR="00980D2C" w:rsidRPr="00D7162C">
        <w:t xml:space="preserve">, </w:t>
      </w:r>
      <w:r w:rsidR="0078246D" w:rsidRPr="00D7162C">
        <w:t xml:space="preserve">candidate countries must ensure the existence </w:t>
      </w:r>
      <w:r w:rsidR="00980D2C" w:rsidRPr="00D7162C">
        <w:t xml:space="preserve">of </w:t>
      </w:r>
      <w:r w:rsidR="0078246D" w:rsidRPr="00D7162C">
        <w:t xml:space="preserve">institutions that guarantee </w:t>
      </w:r>
      <w:r w:rsidR="00980D2C" w:rsidRPr="00D7162C">
        <w:t xml:space="preserve">democracy, the rule of law, </w:t>
      </w:r>
      <w:r w:rsidR="0078246D" w:rsidRPr="00D7162C">
        <w:t>human rights,</w:t>
      </w:r>
      <w:r w:rsidR="00980D2C" w:rsidRPr="00D7162C">
        <w:t xml:space="preserve"> and protection of national minorities</w:t>
      </w:r>
      <w:r w:rsidR="0086427D" w:rsidRPr="00D7162C">
        <w:t xml:space="preserve"> (</w:t>
      </w:r>
      <w:r w:rsidR="00FE5367" w:rsidRPr="00D7162C">
        <w:t xml:space="preserve">Pridham, 2005; </w:t>
      </w:r>
      <w:r w:rsidR="0086427D" w:rsidRPr="00D7162C">
        <w:t xml:space="preserve">Schimmelfennig and Sedelmeier, 2008). Evidence suggests that the </w:t>
      </w:r>
      <w:r w:rsidR="0086427D" w:rsidRPr="00D7162C">
        <w:lastRenderedPageBreak/>
        <w:t>pressure of such</w:t>
      </w:r>
      <w:r w:rsidR="00980D2C" w:rsidRPr="00D7162C">
        <w:t xml:space="preserve"> political conditionality </w:t>
      </w:r>
      <w:r w:rsidR="0086427D" w:rsidRPr="00D7162C">
        <w:t xml:space="preserve">indeed </w:t>
      </w:r>
      <w:r w:rsidR="00FE5367" w:rsidRPr="00D7162C">
        <w:t>contributed to</w:t>
      </w:r>
      <w:r w:rsidR="00F460CE">
        <w:t xml:space="preserve"> democratization</w:t>
      </w:r>
      <w:r w:rsidR="00980D2C" w:rsidRPr="00D7162C">
        <w:t xml:space="preserve"> and institutional reforms</w:t>
      </w:r>
      <w:r w:rsidR="00F460CE">
        <w:t xml:space="preserve"> in </w:t>
      </w:r>
      <w:r w:rsidR="00980D2C" w:rsidRPr="00D7162C">
        <w:t>Central and Eastern European countries that joined the EU in 2004</w:t>
      </w:r>
      <w:r w:rsidR="001C5E6B" w:rsidRPr="00D7162C">
        <w:t xml:space="preserve"> (</w:t>
      </w:r>
      <w:r w:rsidR="00FE5367" w:rsidRPr="00D7162C">
        <w:t xml:space="preserve">Elbasani, 2013; Pop-Eleches, 2007; </w:t>
      </w:r>
      <w:r w:rsidR="001C5E6B" w:rsidRPr="00D7162C">
        <w:t>Pridham, 2005; Schimmelfennig, 2007</w:t>
      </w:r>
      <w:r w:rsidR="00FE5367" w:rsidRPr="00D7162C">
        <w:t xml:space="preserve">). Therefore, through raising support for joining the EU, emigration is likely to contribute to the political and institutional development of the successor states of Yugoslavia. </w:t>
      </w:r>
      <w:r w:rsidR="0078246D" w:rsidRPr="00D7162C">
        <w:t xml:space="preserve">  </w:t>
      </w:r>
    </w:p>
    <w:p w14:paraId="539E0260" w14:textId="77777777" w:rsidR="0061236D" w:rsidRDefault="0061236D" w:rsidP="00F770D9">
      <w:pPr>
        <w:pStyle w:val="ListParagraph"/>
        <w:spacing w:line="480" w:lineRule="auto"/>
        <w:ind w:left="0" w:firstLine="0"/>
        <w:jc w:val="left"/>
      </w:pPr>
    </w:p>
    <w:p w14:paraId="1DD57325" w14:textId="0CD57F13" w:rsidR="00F770D9" w:rsidRDefault="00EC6BE8" w:rsidP="00F770D9">
      <w:pPr>
        <w:pStyle w:val="ListParagraph"/>
        <w:spacing w:line="480" w:lineRule="auto"/>
        <w:ind w:left="0" w:firstLine="0"/>
        <w:jc w:val="left"/>
      </w:pPr>
      <w:r>
        <w:t xml:space="preserve">While we uncover an important relationship between migration, especially to and from the EU, and favourable attitudes toward joining the bloc, there are several limitations to our study. First, our results should be interpreted as conditional correlations rather than causal effects. Even after controlling for a wide range of factors, there may remain unobserved individual and/or household-level characteristics driving both migration and attitudes toward the EU. One way to move closer </w:t>
      </w:r>
      <w:r>
        <w:lastRenderedPageBreak/>
        <w:t>to causality, and a possible direction for future research, would be to use panel data, where migration histories and EU preferences of the same people are observed over time. Second, a question on whether EU membership is a good thing, which we use to capture favorable attitudes toward joining the EU, is very broad. While it may serve the purpose o</w:t>
      </w:r>
      <w:r w:rsidR="009532E9">
        <w:t xml:space="preserve">f distilling a net sentiment </w:t>
      </w:r>
      <w:r>
        <w:t xml:space="preserve">from a multitude of more narrowly targeted and possibly contradicting sentiments, responses to such a broad question </w:t>
      </w:r>
      <w:r w:rsidR="0061236D">
        <w:t xml:space="preserve">must </w:t>
      </w:r>
      <w:r>
        <w:t xml:space="preserve">be treated with caution. A solution here could be to include in surveys a range of ‘good thing for </w:t>
      </w:r>
      <w:r w:rsidRPr="00A141EB">
        <w:rPr>
          <w:i/>
        </w:rPr>
        <w:t>whom</w:t>
      </w:r>
      <w:r>
        <w:t xml:space="preserve">’ questions, asking whether EU membership would be good for respondents themselves, their family members, or their country as a </w:t>
      </w:r>
      <w:r w:rsidR="00821CE4">
        <w:t>whole. Third, we have hypothesiz</w:t>
      </w:r>
      <w:r>
        <w:t>ed that migration can affect pro-EU sentiment indirectly through being better informed about the EU. A</w:t>
      </w:r>
      <w:r w:rsidR="00D900CE">
        <w:t xml:space="preserve"> similar argument could go for </w:t>
      </w:r>
      <w:r w:rsidR="00567AEE">
        <w:t>European</w:t>
      </w:r>
      <w:r>
        <w:t xml:space="preserve"> identity: for example, return EU migrants </w:t>
      </w:r>
      <w:r>
        <w:lastRenderedPageBreak/>
        <w:t>or people whose relatives reside in</w:t>
      </w:r>
      <w:r w:rsidR="00D900CE">
        <w:t xml:space="preserve"> the EU may develop a stronger </w:t>
      </w:r>
      <w:r w:rsidR="00567AEE">
        <w:t>European</w:t>
      </w:r>
      <w:r>
        <w:t xml:space="preserve"> identity, which would feed into a favorable stance toward joining the EU.</w:t>
      </w:r>
      <w:r w:rsidR="008A7F1F">
        <w:rPr>
          <w:rStyle w:val="FootnoteReference"/>
        </w:rPr>
        <w:footnoteReference w:id="17"/>
      </w:r>
      <w:r>
        <w:t xml:space="preserve"> Assessing </w:t>
      </w:r>
      <w:r w:rsidR="0036727F">
        <w:t xml:space="preserve">migration’s </w:t>
      </w:r>
      <w:r w:rsidR="00D900CE">
        <w:t xml:space="preserve">importance for </w:t>
      </w:r>
      <w:r w:rsidR="00567AEE">
        <w:t>European</w:t>
      </w:r>
      <w:r>
        <w:t xml:space="preserve"> identi</w:t>
      </w:r>
      <w:r w:rsidR="00567AEE">
        <w:t>ty in prospective EU member</w:t>
      </w:r>
      <w:r>
        <w:t xml:space="preserve"> states is beyond </w:t>
      </w:r>
      <w:r w:rsidR="0036727F">
        <w:t xml:space="preserve">this study’s </w:t>
      </w:r>
      <w:r>
        <w:t>scope and left for future research.</w:t>
      </w:r>
    </w:p>
    <w:p w14:paraId="7BC9CF05" w14:textId="77777777" w:rsidR="00057F47" w:rsidRDefault="00057F47" w:rsidP="00F770D9">
      <w:pPr>
        <w:pStyle w:val="ListParagraph"/>
        <w:spacing w:line="480" w:lineRule="auto"/>
        <w:ind w:left="0" w:firstLine="0"/>
        <w:jc w:val="left"/>
      </w:pPr>
    </w:p>
    <w:p w14:paraId="60CBBD6E" w14:textId="6BC365CB" w:rsidR="005050FF" w:rsidRDefault="00EC6BE8" w:rsidP="00F770D9">
      <w:pPr>
        <w:pStyle w:val="ListParagraph"/>
        <w:spacing w:line="480" w:lineRule="auto"/>
        <w:ind w:left="0" w:firstLine="0"/>
        <w:jc w:val="left"/>
      </w:pPr>
      <w:r>
        <w:t xml:space="preserve">All things considered, our results show that migration is good for fostering positive attitudes toward joining the EU among the prospective member states of the </w:t>
      </w:r>
      <w:r w:rsidR="00E406E6">
        <w:t>Western</w:t>
      </w:r>
      <w:r>
        <w:t xml:space="preserve"> Balkans. In the presence of seemingly pervasive Euroscepticism, migration can play a role in keeping the EU desirable. Our results point toward a preponderance of instrumental motives for joining the EU, compared to the ‘grand ideas’ of the </w:t>
      </w:r>
      <w:r w:rsidR="0036727F">
        <w:t xml:space="preserve">EU’s </w:t>
      </w:r>
      <w:r>
        <w:lastRenderedPageBreak/>
        <w:t xml:space="preserve">formative stage. Recalling that the </w:t>
      </w:r>
      <w:r w:rsidR="0036727F">
        <w:t xml:space="preserve">EU’s </w:t>
      </w:r>
      <w:r>
        <w:t>creation was first and foremost about peace in Europe, the motives for joining seem to have become ‘smaller</w:t>
      </w:r>
      <w:r w:rsidR="00400C16">
        <w:t>.</w:t>
      </w:r>
      <w:r>
        <w:t xml:space="preserve">’ </w:t>
      </w:r>
      <w:r w:rsidR="00400C16">
        <w:t>I</w:t>
      </w:r>
      <w:r>
        <w:t xml:space="preserve">t </w:t>
      </w:r>
      <w:r w:rsidR="00400C16">
        <w:t xml:space="preserve">may be </w:t>
      </w:r>
      <w:r>
        <w:t xml:space="preserve">an indicator of </w:t>
      </w:r>
      <w:r w:rsidR="0036727F">
        <w:t xml:space="preserve">EU </w:t>
      </w:r>
      <w:r>
        <w:t xml:space="preserve">success, </w:t>
      </w:r>
      <w:r w:rsidR="00400C16">
        <w:t xml:space="preserve">however, </w:t>
      </w:r>
      <w:r>
        <w:t>that one can afford to focus on ‘small’ things</w:t>
      </w:r>
      <w:r w:rsidR="0036727F">
        <w:t xml:space="preserve">, </w:t>
      </w:r>
      <w:r>
        <w:t xml:space="preserve">especially in the </w:t>
      </w:r>
      <w:r w:rsidR="00E406E6">
        <w:t>Western</w:t>
      </w:r>
      <w:r>
        <w:t xml:space="preserve"> Balkans, where grander things</w:t>
      </w:r>
      <w:r w:rsidR="000C3B00">
        <w:t xml:space="preserve"> </w:t>
      </w:r>
      <w:r>
        <w:t>like peace and security</w:t>
      </w:r>
      <w:r w:rsidR="000C3B00">
        <w:t xml:space="preserve"> </w:t>
      </w:r>
      <w:r>
        <w:t>may still not be taken for granted</w:t>
      </w:r>
      <w:r w:rsidR="002A774C">
        <w:t>. Finally, in the context of a broader literature</w:t>
      </w:r>
      <w:r w:rsidR="00100B4D">
        <w:t xml:space="preserve"> </w:t>
      </w:r>
      <w:r w:rsidR="000C3B00">
        <w:t xml:space="preserve">on emigration’s </w:t>
      </w:r>
      <w:r w:rsidR="00100B4D">
        <w:t>effects on the development of migrant-sending countries,</w:t>
      </w:r>
      <w:r w:rsidR="002A774C">
        <w:t xml:space="preserve"> our study shows that migration increases support for joining a supranational institution (the EU), which, in turn, is likely to </w:t>
      </w:r>
      <w:r w:rsidR="00100B4D">
        <w:t xml:space="preserve">improve institutional quality in migrants’ </w:t>
      </w:r>
      <w:r w:rsidR="000C3B00">
        <w:t xml:space="preserve">origin </w:t>
      </w:r>
      <w:r w:rsidR="00100B4D">
        <w:t>countries</w:t>
      </w:r>
      <w:r w:rsidR="002A774C">
        <w:t xml:space="preserve">.  </w:t>
      </w:r>
    </w:p>
    <w:p w14:paraId="032F0A91" w14:textId="77777777" w:rsidR="005050FF" w:rsidRDefault="005050FF" w:rsidP="00EF6DA2">
      <w:pPr>
        <w:spacing w:after="200" w:line="360" w:lineRule="auto"/>
        <w:ind w:firstLine="0"/>
        <w:jc w:val="left"/>
      </w:pPr>
    </w:p>
    <w:p w14:paraId="3EB51BD7" w14:textId="77777777" w:rsidR="002A6988" w:rsidRDefault="002A6988">
      <w:r>
        <w:br w:type="page"/>
      </w:r>
    </w:p>
    <w:p w14:paraId="44F9E5AB" w14:textId="77777777" w:rsidR="005050FF" w:rsidRPr="00F648CC" w:rsidRDefault="00F648CC" w:rsidP="004F2FD8">
      <w:pPr>
        <w:spacing w:after="200" w:line="480" w:lineRule="auto"/>
        <w:ind w:firstLine="0"/>
        <w:jc w:val="left"/>
      </w:pPr>
      <w:r w:rsidRPr="00F648CC">
        <w:lastRenderedPageBreak/>
        <w:t>REFERENCES</w:t>
      </w:r>
    </w:p>
    <w:p w14:paraId="41ECA471" w14:textId="77777777" w:rsidR="006852C2" w:rsidRDefault="006852C2" w:rsidP="006852C2">
      <w:pPr>
        <w:spacing w:before="100" w:beforeAutospacing="1" w:line="480" w:lineRule="auto"/>
        <w:ind w:left="709" w:hanging="709"/>
        <w:jc w:val="left"/>
        <w:rPr>
          <w:color w:val="231F20"/>
          <w:shd w:val="clear" w:color="auto" w:fill="FFFFFF"/>
        </w:rPr>
      </w:pPr>
      <w:r w:rsidRPr="006852C2">
        <w:t xml:space="preserve">Anderson, C. J. (1998) “When in Doubt Use Proxies: Attitudes toward Domestic Politics and Support for European Integration”, </w:t>
      </w:r>
      <w:r w:rsidRPr="006852C2">
        <w:rPr>
          <w:i/>
          <w:iCs/>
        </w:rPr>
        <w:t xml:space="preserve">Comparative Political Studies </w:t>
      </w:r>
      <w:r w:rsidRPr="006852C2">
        <w:t>31(5): 569–601.</w:t>
      </w:r>
    </w:p>
    <w:p w14:paraId="2E6D5C4B" w14:textId="77777777" w:rsidR="006852C2" w:rsidRPr="00BE5B7B" w:rsidRDefault="006852C2" w:rsidP="006852C2">
      <w:pPr>
        <w:spacing w:before="100" w:beforeAutospacing="1" w:line="480" w:lineRule="auto"/>
        <w:ind w:left="709" w:hanging="709"/>
        <w:jc w:val="left"/>
        <w:rPr>
          <w:color w:val="000000" w:themeColor="text1"/>
          <w:shd w:val="clear" w:color="auto" w:fill="FFFFFF"/>
        </w:rPr>
      </w:pPr>
      <w:r w:rsidRPr="00BE5B7B">
        <w:rPr>
          <w:color w:val="000000" w:themeColor="text1"/>
        </w:rPr>
        <w:t>Anderson, C.J. and Reichert, M.S. (1995) "Economic Benefits and Support for Membership in the E.U.: A Cross-National Analysis", </w:t>
      </w:r>
      <w:r w:rsidRPr="00BE5B7B">
        <w:rPr>
          <w:i/>
          <w:iCs/>
          <w:color w:val="000000" w:themeColor="text1"/>
        </w:rPr>
        <w:t xml:space="preserve">Journal of Public Policy </w:t>
      </w:r>
      <w:r w:rsidRPr="00BE5B7B">
        <w:rPr>
          <w:color w:val="000000" w:themeColor="text1"/>
        </w:rPr>
        <w:t>15(3): 231-249.</w:t>
      </w:r>
    </w:p>
    <w:p w14:paraId="347A6989" w14:textId="77777777" w:rsidR="006852C2" w:rsidRDefault="00662497" w:rsidP="006852C2">
      <w:pPr>
        <w:spacing w:before="100" w:beforeAutospacing="1" w:line="480" w:lineRule="auto"/>
        <w:ind w:left="709" w:hanging="709"/>
        <w:jc w:val="left"/>
        <w:rPr>
          <w:color w:val="231F20"/>
          <w:shd w:val="clear" w:color="auto" w:fill="FFFFFF"/>
        </w:rPr>
      </w:pPr>
      <w:r w:rsidRPr="006852C2">
        <w:rPr>
          <w:color w:val="231F20"/>
          <w:shd w:val="clear" w:color="auto" w:fill="FFFFFF"/>
        </w:rPr>
        <w:t>Azrout, R., van Spa</w:t>
      </w:r>
      <w:r w:rsidR="006852C2" w:rsidRPr="006852C2">
        <w:rPr>
          <w:color w:val="231F20"/>
          <w:shd w:val="clear" w:color="auto" w:fill="FFFFFF"/>
        </w:rPr>
        <w:t>nje, J., &amp; de Vreese, C. (2011)</w:t>
      </w:r>
      <w:r w:rsidRPr="006852C2">
        <w:rPr>
          <w:color w:val="231F20"/>
          <w:shd w:val="clear" w:color="auto" w:fill="FFFFFF"/>
        </w:rPr>
        <w:t xml:space="preserve"> </w:t>
      </w:r>
      <w:r w:rsidR="006852C2" w:rsidRPr="006852C2">
        <w:rPr>
          <w:color w:val="231F20"/>
          <w:shd w:val="clear" w:color="auto" w:fill="FFFFFF"/>
        </w:rPr>
        <w:t>“</w:t>
      </w:r>
      <w:r w:rsidRPr="006852C2">
        <w:rPr>
          <w:color w:val="231F20"/>
          <w:shd w:val="clear" w:color="auto" w:fill="FFFFFF"/>
        </w:rPr>
        <w:t>Talking Turkey: anti-immigrant attitudes and their effect on support for Turkish membership</w:t>
      </w:r>
      <w:r w:rsidR="006852C2" w:rsidRPr="006852C2">
        <w:rPr>
          <w:color w:val="231F20"/>
          <w:shd w:val="clear" w:color="auto" w:fill="FFFFFF"/>
        </w:rPr>
        <w:t xml:space="preserve"> of the EU”,</w:t>
      </w:r>
      <w:r w:rsidRPr="006852C2">
        <w:rPr>
          <w:color w:val="231F20"/>
          <w:shd w:val="clear" w:color="auto" w:fill="FFFFFF"/>
        </w:rPr>
        <w:t> </w:t>
      </w:r>
      <w:r w:rsidRPr="006852C2">
        <w:rPr>
          <w:rStyle w:val="Emphasis"/>
          <w:color w:val="231F20"/>
          <w:shd w:val="clear" w:color="auto" w:fill="FFFFFF"/>
        </w:rPr>
        <w:t>European Union Politics</w:t>
      </w:r>
      <w:r w:rsidRPr="006852C2">
        <w:rPr>
          <w:color w:val="231F20"/>
          <w:shd w:val="clear" w:color="auto" w:fill="FFFFFF"/>
        </w:rPr>
        <w:t> </w:t>
      </w:r>
      <w:r w:rsidRPr="006852C2">
        <w:rPr>
          <w:rStyle w:val="Emphasis"/>
          <w:color w:val="231F20"/>
          <w:shd w:val="clear" w:color="auto" w:fill="FFFFFF"/>
        </w:rPr>
        <w:t>12</w:t>
      </w:r>
      <w:r w:rsidR="006852C2" w:rsidRPr="006852C2">
        <w:rPr>
          <w:color w:val="231F20"/>
          <w:shd w:val="clear" w:color="auto" w:fill="FFFFFF"/>
        </w:rPr>
        <w:t>(1):</w:t>
      </w:r>
      <w:r w:rsidRPr="006852C2">
        <w:rPr>
          <w:color w:val="231F20"/>
          <w:shd w:val="clear" w:color="auto" w:fill="FFFFFF"/>
        </w:rPr>
        <w:t xml:space="preserve"> 3-19</w:t>
      </w:r>
      <w:r w:rsidR="006852C2">
        <w:rPr>
          <w:color w:val="231F20"/>
          <w:shd w:val="clear" w:color="auto" w:fill="FFFFFF"/>
        </w:rPr>
        <w:t xml:space="preserve"> </w:t>
      </w:r>
    </w:p>
    <w:p w14:paraId="572F80C3" w14:textId="77777777" w:rsidR="00662497" w:rsidRDefault="006852C2" w:rsidP="006852C2">
      <w:pPr>
        <w:spacing w:before="100" w:beforeAutospacing="1" w:line="480" w:lineRule="auto"/>
        <w:ind w:left="709" w:hanging="709"/>
        <w:jc w:val="left"/>
      </w:pPr>
      <w:r w:rsidRPr="006852C2">
        <w:rPr>
          <w:color w:val="231F20"/>
          <w:shd w:val="clear" w:color="auto" w:fill="FFFFFF"/>
          <w:lang w:val="fr-FR"/>
        </w:rPr>
        <w:t xml:space="preserve">Azrout, R., van Spanje, J., &amp; de Vreese, C. (2012). </w:t>
      </w:r>
      <w:r w:rsidR="00662497" w:rsidRPr="006852C2">
        <w:t>“When News Matters: Media Effects on</w:t>
      </w:r>
      <w:r w:rsidRPr="006852C2">
        <w:rPr>
          <w:color w:val="auto"/>
        </w:rPr>
        <w:t xml:space="preserve"> </w:t>
      </w:r>
      <w:r w:rsidR="00662497" w:rsidRPr="006852C2">
        <w:t xml:space="preserve">Public Support for European Union Enlargement in 21 Countries”, </w:t>
      </w:r>
      <w:r w:rsidR="00662497" w:rsidRPr="00D74525">
        <w:rPr>
          <w:i/>
        </w:rPr>
        <w:t>Journal of Common Market Studies</w:t>
      </w:r>
      <w:r w:rsidR="00662497" w:rsidRPr="006852C2">
        <w:t xml:space="preserve"> 50(5): 691</w:t>
      </w:r>
      <w:r w:rsidRPr="006852C2">
        <w:t>–708.</w:t>
      </w:r>
    </w:p>
    <w:p w14:paraId="739C9F8C" w14:textId="77777777" w:rsidR="00D74525" w:rsidRDefault="005F7C08" w:rsidP="00D74525">
      <w:pPr>
        <w:spacing w:before="100" w:beforeAutospacing="1" w:line="480" w:lineRule="auto"/>
        <w:ind w:left="709" w:hanging="709"/>
        <w:jc w:val="left"/>
        <w:rPr>
          <w:i/>
        </w:rPr>
      </w:pPr>
      <w:r w:rsidRPr="00777441">
        <w:lastRenderedPageBreak/>
        <w:t>Barsbai</w:t>
      </w:r>
      <w:r>
        <w:t>, T., Rapoport, H., Steinmayr, A. and Trebesch, C. (2017). The effect of labor migration on the diffusion of democracy: Evidence from a former soviet republic.</w:t>
      </w:r>
      <w:r>
        <w:rPr>
          <w:rFonts w:ascii="inherit" w:hAnsi="inherit"/>
          <w:color w:val="353C3F"/>
        </w:rPr>
        <w:t xml:space="preserve"> </w:t>
      </w:r>
      <w:r w:rsidRPr="00777441">
        <w:rPr>
          <w:i/>
        </w:rPr>
        <w:t>American Economic Journal: Applied Economics</w:t>
      </w:r>
      <w:r>
        <w:rPr>
          <w:i/>
        </w:rPr>
        <w:t xml:space="preserve"> 9(3): 36-69</w:t>
      </w:r>
    </w:p>
    <w:p w14:paraId="08D5F315" w14:textId="6F2770AB" w:rsidR="00D74525" w:rsidRPr="00D74525" w:rsidRDefault="00D74525" w:rsidP="00D74525">
      <w:pPr>
        <w:spacing w:before="100" w:beforeAutospacing="1" w:line="480" w:lineRule="auto"/>
        <w:ind w:left="709" w:hanging="709"/>
        <w:jc w:val="left"/>
      </w:pPr>
      <w:r>
        <w:t>Batista, C., and</w:t>
      </w:r>
      <w:r w:rsidRPr="00D74525">
        <w:t xml:space="preserve"> Vicente, P. (2011). </w:t>
      </w:r>
      <w:r>
        <w:t>“</w:t>
      </w:r>
      <w:r w:rsidRPr="00D74525">
        <w:t>Do migrants improve governance at home? Evidence from a voting experiment.</w:t>
      </w:r>
      <w:r>
        <w:t>”</w:t>
      </w:r>
      <w:r w:rsidRPr="00D74525">
        <w:t xml:space="preserve"> </w:t>
      </w:r>
      <w:r w:rsidRPr="00D74525">
        <w:rPr>
          <w:i/>
        </w:rPr>
        <w:t>World Bank Economic Review</w:t>
      </w:r>
      <w:r w:rsidRPr="00D74525">
        <w:t xml:space="preserve"> 25</w:t>
      </w:r>
      <w:r>
        <w:t>(1):</w:t>
      </w:r>
      <w:r w:rsidRPr="00D74525">
        <w:t xml:space="preserve"> 77–104.</w:t>
      </w:r>
    </w:p>
    <w:p w14:paraId="546BAA6E" w14:textId="3401B2D7" w:rsidR="00F17842" w:rsidRDefault="00EC6BE8" w:rsidP="00F17842">
      <w:pPr>
        <w:spacing w:before="100" w:beforeAutospacing="1" w:line="480" w:lineRule="auto"/>
        <w:ind w:left="709" w:hanging="709"/>
        <w:jc w:val="left"/>
        <w:rPr>
          <w:color w:val="auto"/>
        </w:rPr>
      </w:pPr>
      <w:r w:rsidRPr="000F6D07">
        <w:rPr>
          <w:color w:val="auto"/>
        </w:rPr>
        <w:t>BBC (2012), “Croati</w:t>
      </w:r>
      <w:r w:rsidR="00B30B95">
        <w:rPr>
          <w:color w:val="auto"/>
        </w:rPr>
        <w:t>an EU</w:t>
      </w:r>
      <w:r w:rsidRPr="000F6D07">
        <w:rPr>
          <w:color w:val="auto"/>
        </w:rPr>
        <w:t xml:space="preserve"> referendum: Voters back membership”, BBC News Europe, 22.01.2012. </w:t>
      </w:r>
      <w:hyperlink r:id="rId8">
        <w:r w:rsidRPr="000F6D07">
          <w:rPr>
            <w:color w:val="auto"/>
            <w:u w:val="single"/>
          </w:rPr>
          <w:t>http://www.bbc.co.uk/news/world-europe-16670298</w:t>
        </w:r>
      </w:hyperlink>
      <w:r w:rsidRPr="000F6D07">
        <w:rPr>
          <w:color w:val="auto"/>
        </w:rPr>
        <w:t xml:space="preserve">  (accessed 22.07.2012)</w:t>
      </w:r>
    </w:p>
    <w:p w14:paraId="417625E3" w14:textId="77777777" w:rsidR="00F17842" w:rsidRPr="00326949" w:rsidRDefault="00F17842" w:rsidP="00F17842">
      <w:pPr>
        <w:spacing w:before="100" w:beforeAutospacing="1" w:line="480" w:lineRule="auto"/>
        <w:ind w:left="709" w:hanging="709"/>
        <w:jc w:val="left"/>
        <w:rPr>
          <w:color w:val="000000" w:themeColor="text1"/>
        </w:rPr>
      </w:pPr>
      <w:r w:rsidRPr="00F17842">
        <w:rPr>
          <w:color w:val="000000" w:themeColor="text1"/>
        </w:rPr>
        <w:t xml:space="preserve">Belloni, R. </w:t>
      </w:r>
      <w:r w:rsidRPr="00326949">
        <w:rPr>
          <w:color w:val="000000" w:themeColor="text1"/>
        </w:rPr>
        <w:t>(</w:t>
      </w:r>
      <w:r w:rsidRPr="00F17842">
        <w:rPr>
          <w:color w:val="000000" w:themeColor="text1"/>
        </w:rPr>
        <w:t>2016</w:t>
      </w:r>
      <w:r w:rsidRPr="00326949">
        <w:rPr>
          <w:color w:val="000000" w:themeColor="text1"/>
        </w:rPr>
        <w:t>)</w:t>
      </w:r>
      <w:r w:rsidRPr="00F17842">
        <w:rPr>
          <w:color w:val="000000" w:themeColor="text1"/>
        </w:rPr>
        <w:t xml:space="preserve"> "The European Union Blowback? Euroscepticism and its Consequences in the Western Balkans", </w:t>
      </w:r>
      <w:r w:rsidRPr="00F17842">
        <w:rPr>
          <w:i/>
          <w:iCs/>
          <w:color w:val="000000" w:themeColor="text1"/>
        </w:rPr>
        <w:t>Journal of Intervention and Statebuild</w:t>
      </w:r>
      <w:r w:rsidRPr="00326949">
        <w:rPr>
          <w:i/>
          <w:iCs/>
          <w:color w:val="000000" w:themeColor="text1"/>
        </w:rPr>
        <w:t xml:space="preserve">ing </w:t>
      </w:r>
      <w:r w:rsidRPr="00326949">
        <w:rPr>
          <w:color w:val="000000" w:themeColor="text1"/>
        </w:rPr>
        <w:t>10(</w:t>
      </w:r>
      <w:r w:rsidRPr="00F17842">
        <w:rPr>
          <w:color w:val="000000" w:themeColor="text1"/>
        </w:rPr>
        <w:t>4</w:t>
      </w:r>
      <w:r w:rsidRPr="00326949">
        <w:rPr>
          <w:color w:val="000000" w:themeColor="text1"/>
        </w:rPr>
        <w:t xml:space="preserve">): </w:t>
      </w:r>
      <w:r w:rsidRPr="00F17842">
        <w:rPr>
          <w:color w:val="000000" w:themeColor="text1"/>
        </w:rPr>
        <w:t>530-547.</w:t>
      </w:r>
    </w:p>
    <w:p w14:paraId="6C984CD4" w14:textId="77777777" w:rsidR="00326949" w:rsidRDefault="00F17842" w:rsidP="00326949">
      <w:pPr>
        <w:spacing w:before="100" w:beforeAutospacing="1" w:line="480" w:lineRule="auto"/>
        <w:ind w:left="709" w:hanging="709"/>
        <w:jc w:val="left"/>
        <w:rPr>
          <w:color w:val="000000" w:themeColor="text1"/>
        </w:rPr>
      </w:pPr>
      <w:r w:rsidRPr="00326949">
        <w:rPr>
          <w:color w:val="000000" w:themeColor="text1"/>
        </w:rPr>
        <w:lastRenderedPageBreak/>
        <w:t xml:space="preserve">Belloni, R., and Brunazzo, M. (2017) “After ‘Brexit:’ The Western Balkans in the European Waiting Room”, </w:t>
      </w:r>
      <w:r w:rsidRPr="00326949">
        <w:rPr>
          <w:i/>
          <w:color w:val="000000" w:themeColor="text1"/>
        </w:rPr>
        <w:t>European Review of International Studies</w:t>
      </w:r>
      <w:r w:rsidRPr="00326949">
        <w:rPr>
          <w:color w:val="000000" w:themeColor="text1"/>
        </w:rPr>
        <w:t xml:space="preserve"> 1: 21-38. </w:t>
      </w:r>
    </w:p>
    <w:p w14:paraId="29C85947" w14:textId="77777777" w:rsidR="00326949" w:rsidRPr="00A3187F" w:rsidRDefault="00326949" w:rsidP="00326949">
      <w:pPr>
        <w:spacing w:before="100" w:beforeAutospacing="1" w:line="480" w:lineRule="auto"/>
        <w:ind w:left="709" w:hanging="709"/>
        <w:jc w:val="left"/>
        <w:rPr>
          <w:color w:val="000000" w:themeColor="text1"/>
        </w:rPr>
      </w:pPr>
      <w:r w:rsidRPr="00A3187F">
        <w:rPr>
          <w:color w:val="000000" w:themeColor="text1"/>
        </w:rPr>
        <w:t>Brown, B. (2018) "Unlikely Cosmopolitans: An Ethnographic Reflection on Migration and Belonging in Sri Lanka", </w:t>
      </w:r>
      <w:r w:rsidRPr="00A3187F">
        <w:rPr>
          <w:i/>
          <w:iCs/>
          <w:color w:val="000000" w:themeColor="text1"/>
        </w:rPr>
        <w:t xml:space="preserve">Anthropological Quarterly </w:t>
      </w:r>
      <w:r w:rsidRPr="00A3187F">
        <w:rPr>
          <w:color w:val="000000" w:themeColor="text1"/>
        </w:rPr>
        <w:t>91(1): 209-236.</w:t>
      </w:r>
    </w:p>
    <w:p w14:paraId="0615C0CE" w14:textId="77777777" w:rsidR="005050FF" w:rsidRPr="000F6D07" w:rsidRDefault="00EC6BE8" w:rsidP="004F2FD8">
      <w:pPr>
        <w:spacing w:before="100" w:beforeAutospacing="1" w:line="480" w:lineRule="auto"/>
        <w:ind w:left="709" w:hanging="709"/>
        <w:jc w:val="left"/>
        <w:rPr>
          <w:color w:val="auto"/>
        </w:rPr>
      </w:pPr>
      <w:r w:rsidRPr="000F6D07">
        <w:rPr>
          <w:color w:val="auto"/>
        </w:rPr>
        <w:t>Brunnbauer, U. (2009) Labour Emigration from the Yugoslav Region from the late 19th Century until the End of Socialism: Continuities and Changes. In Brunnbauer, U. (ed.): Transnational Societies, Transterritorial Politics. Migrations in the (Post-)Yugoslav Region, 19th–21st Century. Munich: R. Oldenbourg Verlag.</w:t>
      </w:r>
    </w:p>
    <w:p w14:paraId="0B92414E" w14:textId="77777777" w:rsidR="006852C2" w:rsidRDefault="00EC6BE8" w:rsidP="006852C2">
      <w:pPr>
        <w:spacing w:before="100" w:beforeAutospacing="1" w:line="480" w:lineRule="auto"/>
        <w:ind w:left="709" w:hanging="709"/>
        <w:jc w:val="left"/>
        <w:rPr>
          <w:color w:val="auto"/>
        </w:rPr>
      </w:pPr>
      <w:r w:rsidRPr="000F6D07">
        <w:rPr>
          <w:color w:val="auto"/>
        </w:rPr>
        <w:t>Caplanova, A., Orviska, M. and Hudson, J.</w:t>
      </w:r>
      <w:r w:rsidRPr="000F6D07">
        <w:rPr>
          <w:color w:val="auto"/>
          <w:sz w:val="22"/>
          <w:szCs w:val="22"/>
        </w:rPr>
        <w:t xml:space="preserve"> (2008)</w:t>
      </w:r>
      <w:r w:rsidR="003A1402">
        <w:rPr>
          <w:color w:val="auto"/>
        </w:rPr>
        <w:t xml:space="preserve"> “</w:t>
      </w:r>
      <w:r w:rsidRPr="000F6D07">
        <w:rPr>
          <w:color w:val="auto"/>
        </w:rPr>
        <w:t>Eastern European Attitudes to Integration</w:t>
      </w:r>
      <w:r w:rsidR="003A1402">
        <w:rPr>
          <w:color w:val="auto"/>
        </w:rPr>
        <w:t xml:space="preserve"> with Western Europe</w:t>
      </w:r>
      <w:r w:rsidRPr="000F6D07">
        <w:rPr>
          <w:color w:val="auto"/>
        </w:rPr>
        <w:t xml:space="preserve">.” </w:t>
      </w:r>
      <w:r w:rsidRPr="000F6D07">
        <w:rPr>
          <w:i/>
          <w:color w:val="auto"/>
        </w:rPr>
        <w:t>Journal of Common Market Studies</w:t>
      </w:r>
      <w:r w:rsidRPr="000F6D07">
        <w:rPr>
          <w:color w:val="auto"/>
        </w:rPr>
        <w:t xml:space="preserve"> 42(2): 271-87.</w:t>
      </w:r>
    </w:p>
    <w:p w14:paraId="20CC74BD" w14:textId="77777777" w:rsidR="003C37BF" w:rsidRDefault="00572968" w:rsidP="003C37BF">
      <w:pPr>
        <w:spacing w:before="100" w:beforeAutospacing="1" w:line="480" w:lineRule="auto"/>
        <w:ind w:left="709" w:hanging="709"/>
        <w:jc w:val="left"/>
        <w:rPr>
          <w:color w:val="000000" w:themeColor="text1"/>
        </w:rPr>
      </w:pPr>
      <w:r w:rsidRPr="006852C2">
        <w:rPr>
          <w:color w:val="000000" w:themeColor="text1"/>
        </w:rPr>
        <w:lastRenderedPageBreak/>
        <w:t xml:space="preserve">Carey, S. </w:t>
      </w:r>
      <w:r w:rsidR="006852C2" w:rsidRPr="006852C2">
        <w:rPr>
          <w:color w:val="000000" w:themeColor="text1"/>
        </w:rPr>
        <w:t>(</w:t>
      </w:r>
      <w:r w:rsidRPr="006852C2">
        <w:rPr>
          <w:color w:val="000000" w:themeColor="text1"/>
        </w:rPr>
        <w:t>2002</w:t>
      </w:r>
      <w:r w:rsidR="006852C2" w:rsidRPr="006852C2">
        <w:rPr>
          <w:color w:val="000000" w:themeColor="text1"/>
        </w:rPr>
        <w:t>)</w:t>
      </w:r>
      <w:r w:rsidRPr="006852C2">
        <w:rPr>
          <w:color w:val="000000" w:themeColor="text1"/>
        </w:rPr>
        <w:t xml:space="preserve"> "Undivided Loyalties: Is National Identity an Obstacle to European Integration?", </w:t>
      </w:r>
      <w:r w:rsidR="006852C2" w:rsidRPr="006852C2">
        <w:rPr>
          <w:i/>
          <w:iCs/>
          <w:color w:val="000000" w:themeColor="text1"/>
        </w:rPr>
        <w:t xml:space="preserve">European Union Politics </w:t>
      </w:r>
      <w:r w:rsidR="006852C2" w:rsidRPr="006852C2">
        <w:rPr>
          <w:color w:val="000000" w:themeColor="text1"/>
        </w:rPr>
        <w:t>3(</w:t>
      </w:r>
      <w:r w:rsidRPr="006852C2">
        <w:rPr>
          <w:color w:val="000000" w:themeColor="text1"/>
        </w:rPr>
        <w:t>4</w:t>
      </w:r>
      <w:r w:rsidR="006852C2" w:rsidRPr="006852C2">
        <w:rPr>
          <w:color w:val="000000" w:themeColor="text1"/>
        </w:rPr>
        <w:t>):</w:t>
      </w:r>
      <w:r w:rsidRPr="006852C2">
        <w:rPr>
          <w:color w:val="000000" w:themeColor="text1"/>
        </w:rPr>
        <w:t xml:space="preserve"> 387-413.</w:t>
      </w:r>
    </w:p>
    <w:p w14:paraId="40234566" w14:textId="5039C737" w:rsidR="003C37BF" w:rsidRDefault="003C37BF" w:rsidP="003C37BF">
      <w:pPr>
        <w:spacing w:before="100" w:beforeAutospacing="1" w:line="480" w:lineRule="auto"/>
        <w:ind w:left="709" w:hanging="709"/>
        <w:jc w:val="left"/>
        <w:rPr>
          <w:color w:val="000000" w:themeColor="text1"/>
        </w:rPr>
      </w:pPr>
      <w:r>
        <w:rPr>
          <w:color w:val="000000" w:themeColor="text1"/>
        </w:rPr>
        <w:t>Chauvet, L., and</w:t>
      </w:r>
      <w:r w:rsidRPr="003C37BF">
        <w:rPr>
          <w:color w:val="000000" w:themeColor="text1"/>
        </w:rPr>
        <w:t xml:space="preserve"> Mercier, M. (2014). </w:t>
      </w:r>
      <w:r>
        <w:rPr>
          <w:color w:val="000000" w:themeColor="text1"/>
        </w:rPr>
        <w:t>“</w:t>
      </w:r>
      <w:r w:rsidRPr="003C37BF">
        <w:rPr>
          <w:color w:val="000000" w:themeColor="text1"/>
        </w:rPr>
        <w:t>Do return migrants transfer political norms to their origin country?</w:t>
      </w:r>
      <w:r>
        <w:rPr>
          <w:color w:val="000000" w:themeColor="text1"/>
        </w:rPr>
        <w:t xml:space="preserve"> </w:t>
      </w:r>
      <w:r w:rsidRPr="003C37BF">
        <w:rPr>
          <w:color w:val="000000" w:themeColor="text1"/>
        </w:rPr>
        <w:t>Evidence from Mali.</w:t>
      </w:r>
      <w:r>
        <w:rPr>
          <w:color w:val="000000" w:themeColor="text1"/>
        </w:rPr>
        <w:t>”</w:t>
      </w:r>
      <w:r w:rsidRPr="003C37BF">
        <w:rPr>
          <w:color w:val="000000" w:themeColor="text1"/>
        </w:rPr>
        <w:t xml:space="preserve"> </w:t>
      </w:r>
      <w:r w:rsidRPr="003C37BF">
        <w:rPr>
          <w:i/>
          <w:color w:val="000000" w:themeColor="text1"/>
        </w:rPr>
        <w:t>Journal of Comparative Economics</w:t>
      </w:r>
      <w:r w:rsidRPr="003C37BF">
        <w:rPr>
          <w:color w:val="000000" w:themeColor="text1"/>
        </w:rPr>
        <w:t xml:space="preserve"> 42</w:t>
      </w:r>
      <w:r>
        <w:rPr>
          <w:color w:val="000000" w:themeColor="text1"/>
        </w:rPr>
        <w:t>(3):</w:t>
      </w:r>
      <w:r w:rsidRPr="003C37BF">
        <w:rPr>
          <w:color w:val="000000" w:themeColor="text1"/>
        </w:rPr>
        <w:t xml:space="preserve"> 630–657.</w:t>
      </w:r>
    </w:p>
    <w:p w14:paraId="23BC5882" w14:textId="77777777" w:rsidR="008417BB" w:rsidRPr="008417BB" w:rsidRDefault="008417BB" w:rsidP="008417BB">
      <w:pPr>
        <w:spacing w:before="100" w:beforeAutospacing="1" w:line="480" w:lineRule="auto"/>
        <w:ind w:left="709" w:hanging="709"/>
        <w:jc w:val="left"/>
        <w:rPr>
          <w:color w:val="000000" w:themeColor="text1"/>
        </w:rPr>
      </w:pPr>
      <w:r w:rsidRPr="008417BB">
        <w:rPr>
          <w:color w:val="000000" w:themeColor="text1"/>
        </w:rPr>
        <w:t xml:space="preserve">Cook, N. </w:t>
      </w:r>
      <w:r w:rsidRPr="00F07311">
        <w:rPr>
          <w:color w:val="000000" w:themeColor="text1"/>
        </w:rPr>
        <w:t>(</w:t>
      </w:r>
      <w:r w:rsidRPr="008417BB">
        <w:rPr>
          <w:color w:val="000000" w:themeColor="text1"/>
        </w:rPr>
        <w:t>2012</w:t>
      </w:r>
      <w:r w:rsidRPr="00F07311">
        <w:rPr>
          <w:color w:val="000000" w:themeColor="text1"/>
        </w:rPr>
        <w:t>)</w:t>
      </w:r>
      <w:r w:rsidRPr="008417BB">
        <w:rPr>
          <w:color w:val="000000" w:themeColor="text1"/>
        </w:rPr>
        <w:t xml:space="preserve"> "Canadian development workers, transnational encounters and cultures of cosmopolitanism", </w:t>
      </w:r>
      <w:r w:rsidR="00F07311" w:rsidRPr="00F07311">
        <w:rPr>
          <w:i/>
          <w:iCs/>
          <w:color w:val="000000" w:themeColor="text1"/>
        </w:rPr>
        <w:t xml:space="preserve">International Sociology </w:t>
      </w:r>
      <w:r w:rsidR="00F07311" w:rsidRPr="00F07311">
        <w:rPr>
          <w:color w:val="000000" w:themeColor="text1"/>
        </w:rPr>
        <w:t>27(</w:t>
      </w:r>
      <w:r w:rsidRPr="008417BB">
        <w:rPr>
          <w:color w:val="000000" w:themeColor="text1"/>
        </w:rPr>
        <w:t>1</w:t>
      </w:r>
      <w:r w:rsidR="00F07311" w:rsidRPr="00F07311">
        <w:rPr>
          <w:color w:val="000000" w:themeColor="text1"/>
        </w:rPr>
        <w:t>):</w:t>
      </w:r>
      <w:r w:rsidRPr="008417BB">
        <w:rPr>
          <w:color w:val="000000" w:themeColor="text1"/>
        </w:rPr>
        <w:t xml:space="preserve"> 3-20.</w:t>
      </w:r>
    </w:p>
    <w:p w14:paraId="0D3A1256" w14:textId="77777777" w:rsidR="00540E4D" w:rsidRDefault="00EC6BE8" w:rsidP="00540E4D">
      <w:pPr>
        <w:spacing w:before="100" w:beforeAutospacing="1" w:line="480" w:lineRule="auto"/>
        <w:ind w:left="709" w:hanging="709"/>
        <w:jc w:val="left"/>
        <w:rPr>
          <w:color w:val="auto"/>
        </w:rPr>
      </w:pPr>
      <w:r w:rsidRPr="000F6D07">
        <w:rPr>
          <w:color w:val="auto"/>
        </w:rPr>
        <w:t>De Vr</w:t>
      </w:r>
      <w:r w:rsidR="009A43E2">
        <w:rPr>
          <w:color w:val="auto"/>
        </w:rPr>
        <w:t>eese, C. H., Boomgaarden, H. G.</w:t>
      </w:r>
      <w:r w:rsidRPr="000F6D07">
        <w:rPr>
          <w:color w:val="auto"/>
        </w:rPr>
        <w:t xml:space="preserve"> and Semetko, H. (2008) “Hard and soft: Public support for Turkish membership in the EU”, </w:t>
      </w:r>
      <w:r w:rsidRPr="000F6D07">
        <w:rPr>
          <w:i/>
          <w:color w:val="auto"/>
        </w:rPr>
        <w:t>European Union Politics</w:t>
      </w:r>
      <w:r w:rsidRPr="000F6D07">
        <w:rPr>
          <w:color w:val="auto"/>
        </w:rPr>
        <w:t xml:space="preserve"> 9 (4): 537-56.</w:t>
      </w:r>
    </w:p>
    <w:p w14:paraId="46AE5923" w14:textId="4E8D4A3C" w:rsidR="00540E4D" w:rsidRDefault="00540E4D" w:rsidP="00540E4D">
      <w:pPr>
        <w:spacing w:before="100" w:beforeAutospacing="1" w:line="480" w:lineRule="auto"/>
        <w:ind w:left="709" w:hanging="709"/>
        <w:jc w:val="left"/>
        <w:rPr>
          <w:color w:val="auto"/>
        </w:rPr>
      </w:pPr>
      <w:r w:rsidRPr="005F7C08">
        <w:rPr>
          <w:color w:val="auto"/>
        </w:rPr>
        <w:lastRenderedPageBreak/>
        <w:t>Docquier, F.</w:t>
      </w:r>
      <w:r w:rsidR="005F7C08">
        <w:rPr>
          <w:color w:val="auto"/>
        </w:rPr>
        <w:t>, Lodigiani, E., Rapoport, H. and</w:t>
      </w:r>
      <w:r w:rsidRPr="005F7C08">
        <w:rPr>
          <w:color w:val="auto"/>
        </w:rPr>
        <w:t xml:space="preserve"> Schiff, M. (2016). </w:t>
      </w:r>
      <w:r w:rsidR="005F7C08">
        <w:rPr>
          <w:color w:val="auto"/>
        </w:rPr>
        <w:t>“</w:t>
      </w:r>
      <w:r w:rsidRPr="005F7C08">
        <w:rPr>
          <w:color w:val="auto"/>
        </w:rPr>
        <w:t>Emigration and democracy</w:t>
      </w:r>
      <w:r w:rsidR="005F7C08">
        <w:rPr>
          <w:color w:val="auto"/>
        </w:rPr>
        <w:t>”</w:t>
      </w:r>
      <w:r w:rsidRPr="005F7C08">
        <w:rPr>
          <w:color w:val="auto"/>
        </w:rPr>
        <w:t xml:space="preserve">. </w:t>
      </w:r>
      <w:r w:rsidRPr="005F7C08">
        <w:rPr>
          <w:i/>
          <w:color w:val="auto"/>
        </w:rPr>
        <w:t>Journal of</w:t>
      </w:r>
      <w:r w:rsidR="005F7C08" w:rsidRPr="005F7C08">
        <w:rPr>
          <w:i/>
          <w:color w:val="auto"/>
        </w:rPr>
        <w:t xml:space="preserve"> Development Economics</w:t>
      </w:r>
      <w:r w:rsidR="005F7C08">
        <w:rPr>
          <w:color w:val="auto"/>
        </w:rPr>
        <w:t xml:space="preserve"> 120: </w:t>
      </w:r>
      <w:r w:rsidRPr="005F7C08">
        <w:rPr>
          <w:color w:val="auto"/>
        </w:rPr>
        <w:t>209–223.</w:t>
      </w:r>
    </w:p>
    <w:p w14:paraId="584AD024" w14:textId="5FAEFDEC" w:rsidR="009532E9" w:rsidRDefault="009532E9" w:rsidP="00540E4D">
      <w:pPr>
        <w:spacing w:before="100" w:beforeAutospacing="1" w:line="480" w:lineRule="auto"/>
        <w:ind w:left="709" w:hanging="709"/>
        <w:jc w:val="left"/>
        <w:rPr>
          <w:color w:val="auto"/>
        </w:rPr>
      </w:pPr>
      <w:r w:rsidRPr="009532E9">
        <w:rPr>
          <w:color w:val="auto"/>
        </w:rPr>
        <w:t>Elbasani, A. (2013) European Integration and Transformation in the Western Balkans. Europeanization or Business as Usual? Abingdon, Routledg</w:t>
      </w:r>
      <w:r>
        <w:rPr>
          <w:color w:val="auto"/>
        </w:rPr>
        <w:t xml:space="preserve">e. </w:t>
      </w:r>
    </w:p>
    <w:p w14:paraId="0348B941" w14:textId="77777777" w:rsidR="00B26F94" w:rsidRPr="000F6D07" w:rsidRDefault="006852C2" w:rsidP="004F2FD8">
      <w:pPr>
        <w:spacing w:before="100" w:beforeAutospacing="1" w:line="480" w:lineRule="auto"/>
        <w:ind w:left="709" w:hanging="709"/>
        <w:jc w:val="left"/>
        <w:rPr>
          <w:color w:val="auto"/>
        </w:rPr>
      </w:pPr>
      <w:r w:rsidRPr="006852C2">
        <w:rPr>
          <w:color w:val="auto"/>
        </w:rPr>
        <w:t>Eichenberg, R.C. and</w:t>
      </w:r>
      <w:r w:rsidR="00B26F94" w:rsidRPr="006852C2">
        <w:rPr>
          <w:color w:val="auto"/>
        </w:rPr>
        <w:t xml:space="preserve"> Dalton, R.J. </w:t>
      </w:r>
      <w:r w:rsidRPr="006852C2">
        <w:rPr>
          <w:color w:val="auto"/>
        </w:rPr>
        <w:t>(</w:t>
      </w:r>
      <w:r w:rsidR="00B26F94" w:rsidRPr="006852C2">
        <w:rPr>
          <w:color w:val="auto"/>
        </w:rPr>
        <w:t>1993</w:t>
      </w:r>
      <w:r w:rsidRPr="006852C2">
        <w:rPr>
          <w:color w:val="auto"/>
        </w:rPr>
        <w:t>)</w:t>
      </w:r>
      <w:r w:rsidR="00B26F94" w:rsidRPr="006852C2">
        <w:rPr>
          <w:color w:val="auto"/>
        </w:rPr>
        <w:t xml:space="preserve"> "Europeans and the European Community: the dynamics of public support for European integration", </w:t>
      </w:r>
      <w:r w:rsidRPr="006852C2">
        <w:rPr>
          <w:i/>
          <w:color w:val="auto"/>
        </w:rPr>
        <w:t>International Organization</w:t>
      </w:r>
      <w:r w:rsidRPr="006852C2">
        <w:rPr>
          <w:color w:val="auto"/>
        </w:rPr>
        <w:t xml:space="preserve"> 47(</w:t>
      </w:r>
      <w:r w:rsidR="00B26F94" w:rsidRPr="006852C2">
        <w:rPr>
          <w:color w:val="auto"/>
        </w:rPr>
        <w:t>4</w:t>
      </w:r>
      <w:r w:rsidRPr="006852C2">
        <w:rPr>
          <w:color w:val="auto"/>
        </w:rPr>
        <w:t>):</w:t>
      </w:r>
      <w:r w:rsidR="00B26F94" w:rsidRPr="006852C2">
        <w:rPr>
          <w:color w:val="auto"/>
        </w:rPr>
        <w:t xml:space="preserve"> 507-534</w:t>
      </w:r>
      <w:r w:rsidRPr="006852C2">
        <w:rPr>
          <w:color w:val="auto"/>
        </w:rPr>
        <w:t>.</w:t>
      </w:r>
    </w:p>
    <w:p w14:paraId="17F7954F" w14:textId="77777777" w:rsidR="005050FF" w:rsidRPr="000F6D07" w:rsidRDefault="00EC6BE8" w:rsidP="004F2FD8">
      <w:pPr>
        <w:spacing w:before="100" w:beforeAutospacing="1" w:line="480" w:lineRule="auto"/>
        <w:ind w:left="709" w:hanging="709"/>
        <w:jc w:val="left"/>
        <w:rPr>
          <w:color w:val="auto"/>
        </w:rPr>
      </w:pPr>
      <w:r w:rsidRPr="000F6D07">
        <w:rPr>
          <w:color w:val="auto"/>
        </w:rPr>
        <w:t>Favell, A. (2011) “Immigration, migration and free movement in the making of Europe”. In Checkel, J. and Katzenstein, P. (eds.) European Identity. Cambridge University Press, pp.167-189.</w:t>
      </w:r>
    </w:p>
    <w:p w14:paraId="1027AF00" w14:textId="77777777" w:rsidR="005050FF" w:rsidRPr="000F6D07" w:rsidRDefault="00EC6BE8" w:rsidP="004F2FD8">
      <w:pPr>
        <w:spacing w:before="100" w:beforeAutospacing="1" w:line="480" w:lineRule="auto"/>
        <w:ind w:left="709" w:hanging="709"/>
        <w:jc w:val="left"/>
        <w:rPr>
          <w:color w:val="auto"/>
        </w:rPr>
      </w:pPr>
      <w:r w:rsidRPr="000F6D07">
        <w:rPr>
          <w:color w:val="auto"/>
        </w:rPr>
        <w:t xml:space="preserve">Franklin, M., van der Eijk, C. and Marsh, M. (1995) “Referendum Outcomes and Trust in Government: Public Support for Europe in </w:t>
      </w:r>
      <w:r w:rsidRPr="000F6D07">
        <w:rPr>
          <w:color w:val="auto"/>
        </w:rPr>
        <w:lastRenderedPageBreak/>
        <w:t xml:space="preserve">the Wake of Maastricht”, </w:t>
      </w:r>
      <w:r w:rsidRPr="000F6D07">
        <w:rPr>
          <w:i/>
          <w:color w:val="auto"/>
        </w:rPr>
        <w:t>West European Politics</w:t>
      </w:r>
      <w:r w:rsidRPr="000F6D07">
        <w:rPr>
          <w:color w:val="auto"/>
        </w:rPr>
        <w:t>, 18(3): 101–117.</w:t>
      </w:r>
    </w:p>
    <w:p w14:paraId="5D715F6D" w14:textId="7FD0E7F8" w:rsidR="005050FF" w:rsidRDefault="009F1F6D" w:rsidP="004F2FD8">
      <w:pPr>
        <w:spacing w:before="100" w:beforeAutospacing="1" w:line="480" w:lineRule="auto"/>
        <w:ind w:left="709" w:hanging="709"/>
        <w:jc w:val="left"/>
        <w:rPr>
          <w:color w:val="auto"/>
        </w:rPr>
      </w:pPr>
      <w:r w:rsidRPr="000F6D07">
        <w:rPr>
          <w:color w:val="auto"/>
        </w:rPr>
        <w:t>Gabel, M.</w:t>
      </w:r>
      <w:r w:rsidR="00EC6BE8" w:rsidRPr="000F6D07">
        <w:rPr>
          <w:color w:val="auto"/>
        </w:rPr>
        <w:t xml:space="preserve"> J.</w:t>
      </w:r>
      <w:r w:rsidR="009A11EF">
        <w:rPr>
          <w:color w:val="auto"/>
        </w:rPr>
        <w:t xml:space="preserve"> </w:t>
      </w:r>
      <w:r w:rsidR="00EC6BE8" w:rsidRPr="000F6D07">
        <w:rPr>
          <w:color w:val="auto"/>
        </w:rPr>
        <w:t xml:space="preserve">(1998) “Public Support for European Integration: An Empirical Test of Five Theories”, </w:t>
      </w:r>
      <w:r w:rsidR="00EC6BE8" w:rsidRPr="000F6D07">
        <w:rPr>
          <w:i/>
          <w:color w:val="auto"/>
        </w:rPr>
        <w:t xml:space="preserve">Journal of Politics </w:t>
      </w:r>
      <w:r w:rsidR="00EC6BE8" w:rsidRPr="000F6D07">
        <w:rPr>
          <w:color w:val="auto"/>
        </w:rPr>
        <w:t>60(2): 333-354.</w:t>
      </w:r>
    </w:p>
    <w:p w14:paraId="6166BCED" w14:textId="77777777" w:rsidR="001A4525" w:rsidRDefault="006852C2" w:rsidP="001A4525">
      <w:pPr>
        <w:spacing w:before="100" w:beforeAutospacing="1" w:line="480" w:lineRule="auto"/>
        <w:ind w:left="709" w:hanging="709"/>
        <w:jc w:val="left"/>
      </w:pPr>
      <w:r>
        <w:t xml:space="preserve">Gabel, M.J. and Palmer, H. (1995) "Understanding Variation in Public Support for European Integration." </w:t>
      </w:r>
      <w:r w:rsidRPr="006852C2">
        <w:rPr>
          <w:i/>
        </w:rPr>
        <w:t>European Journal of Political Research</w:t>
      </w:r>
      <w:r>
        <w:t xml:space="preserve"> 27: 3-19.</w:t>
      </w:r>
    </w:p>
    <w:p w14:paraId="7C536386" w14:textId="43F68578" w:rsidR="009A11EF" w:rsidRPr="009A11EF" w:rsidRDefault="009A11EF" w:rsidP="001A4525">
      <w:pPr>
        <w:spacing w:before="100" w:beforeAutospacing="1" w:line="480" w:lineRule="auto"/>
        <w:ind w:left="709" w:hanging="709"/>
        <w:jc w:val="left"/>
      </w:pPr>
      <w:r w:rsidRPr="009A11EF">
        <w:rPr>
          <w:color w:val="0A0A0A"/>
          <w:shd w:val="clear" w:color="auto" w:fill="FFFFFF"/>
        </w:rPr>
        <w:t xml:space="preserve">Gallup (2010) ”Gallup Balkan Monitor, Insight and Perceptions: Voices of the Balkans. 2010, Summary of the Findings”. Available at: </w:t>
      </w:r>
      <w:hyperlink r:id="rId9" w:history="1">
        <w:r w:rsidRPr="009A11EF">
          <w:rPr>
            <w:rStyle w:val="Hyperlink"/>
            <w:shd w:val="clear" w:color="auto" w:fill="FFFFFF"/>
          </w:rPr>
          <w:t>https://www.esiweb.org/enlargement/wp-content/uploads/2009/02/2010_Summary_of_Findings.pdf</w:t>
        </w:r>
      </w:hyperlink>
      <w:r w:rsidRPr="009A11EF">
        <w:rPr>
          <w:color w:val="0A0A0A"/>
          <w:shd w:val="clear" w:color="auto" w:fill="FFFFFF"/>
        </w:rPr>
        <w:t xml:space="preserve"> </w:t>
      </w:r>
    </w:p>
    <w:p w14:paraId="3D6AB241" w14:textId="77777777" w:rsidR="001A4525" w:rsidRPr="001A4525" w:rsidRDefault="001A4525" w:rsidP="004F2FD8">
      <w:pPr>
        <w:spacing w:before="100" w:beforeAutospacing="1" w:line="480" w:lineRule="auto"/>
        <w:ind w:left="709" w:hanging="709"/>
        <w:jc w:val="left"/>
      </w:pPr>
      <w:r>
        <w:rPr>
          <w:highlight w:val="white"/>
        </w:rPr>
        <w:t xml:space="preserve">Geddes A (2014) The EU, UKIP and the Politics of Immigration in Britain. </w:t>
      </w:r>
      <w:r>
        <w:rPr>
          <w:i/>
          <w:highlight w:val="white"/>
        </w:rPr>
        <w:t>The Political Quarterly</w:t>
      </w:r>
      <w:r>
        <w:rPr>
          <w:highlight w:val="white"/>
        </w:rPr>
        <w:t xml:space="preserve"> 85(3): 289–295. </w:t>
      </w:r>
    </w:p>
    <w:p w14:paraId="41453F81" w14:textId="77777777" w:rsidR="008F6168" w:rsidRDefault="00BD5583" w:rsidP="008F6168">
      <w:pPr>
        <w:spacing w:before="100" w:beforeAutospacing="1" w:line="480" w:lineRule="auto"/>
        <w:ind w:left="709" w:hanging="709"/>
        <w:jc w:val="left"/>
        <w:rPr>
          <w:color w:val="auto"/>
        </w:rPr>
      </w:pPr>
      <w:r w:rsidRPr="000F6D07">
        <w:rPr>
          <w:color w:val="auto"/>
        </w:rPr>
        <w:lastRenderedPageBreak/>
        <w:t xml:space="preserve">Gerhards, J. and Hans, S. (2011) “Why not Turkey? Attitudes towards Turkish Membership in the EU among Citizens in 27 European Countries”. </w:t>
      </w:r>
      <w:r w:rsidRPr="000F6D07">
        <w:rPr>
          <w:i/>
          <w:color w:val="auto"/>
        </w:rPr>
        <w:t>Journal of Common Market Studies</w:t>
      </w:r>
      <w:r w:rsidRPr="000F6D07">
        <w:rPr>
          <w:color w:val="auto"/>
        </w:rPr>
        <w:t xml:space="preserve"> 49(4): 741</w:t>
      </w:r>
      <w:r w:rsidRPr="000F6D07">
        <w:rPr>
          <w:rFonts w:ascii="Calibri" w:eastAsia="Calibri" w:hAnsi="Calibri" w:cs="Calibri"/>
          <w:color w:val="auto"/>
        </w:rPr>
        <w:t>‐</w:t>
      </w:r>
      <w:r w:rsidRPr="000F6D07">
        <w:rPr>
          <w:color w:val="auto"/>
        </w:rPr>
        <w:t>766.</w:t>
      </w:r>
    </w:p>
    <w:p w14:paraId="44833269" w14:textId="77777777" w:rsidR="00C85654" w:rsidRDefault="0009607B" w:rsidP="00C85654">
      <w:pPr>
        <w:spacing w:before="100" w:beforeAutospacing="1" w:line="480" w:lineRule="auto"/>
        <w:ind w:left="709" w:hanging="709"/>
        <w:jc w:val="left"/>
        <w:rPr>
          <w:color w:val="auto"/>
        </w:rPr>
      </w:pPr>
      <w:r w:rsidRPr="0009607B">
        <w:rPr>
          <w:color w:val="auto"/>
        </w:rPr>
        <w:t>Graham</w:t>
      </w:r>
      <w:r>
        <w:rPr>
          <w:color w:val="auto"/>
        </w:rPr>
        <w:t>,</w:t>
      </w:r>
      <w:r w:rsidRPr="0009607B">
        <w:rPr>
          <w:color w:val="auto"/>
        </w:rPr>
        <w:t xml:space="preserve"> E</w:t>
      </w:r>
      <w:r>
        <w:rPr>
          <w:color w:val="auto"/>
        </w:rPr>
        <w:t>.</w:t>
      </w:r>
      <w:r w:rsidRPr="0009607B">
        <w:rPr>
          <w:color w:val="auto"/>
        </w:rPr>
        <w:t>, Jordan</w:t>
      </w:r>
      <w:r>
        <w:rPr>
          <w:color w:val="auto"/>
        </w:rPr>
        <w:t>,</w:t>
      </w:r>
      <w:r w:rsidRPr="0009607B">
        <w:rPr>
          <w:color w:val="auto"/>
        </w:rPr>
        <w:t xml:space="preserve"> L</w:t>
      </w:r>
      <w:r>
        <w:rPr>
          <w:color w:val="auto"/>
        </w:rPr>
        <w:t>.</w:t>
      </w:r>
      <w:r w:rsidRPr="0009607B">
        <w:rPr>
          <w:color w:val="auto"/>
        </w:rPr>
        <w:t>P</w:t>
      </w:r>
      <w:r>
        <w:rPr>
          <w:color w:val="auto"/>
        </w:rPr>
        <w:t xml:space="preserve">. and </w:t>
      </w:r>
      <w:r w:rsidRPr="0009607B">
        <w:rPr>
          <w:color w:val="auto"/>
        </w:rPr>
        <w:t>Yeoh</w:t>
      </w:r>
      <w:r>
        <w:rPr>
          <w:color w:val="auto"/>
        </w:rPr>
        <w:t>,</w:t>
      </w:r>
      <w:r w:rsidRPr="0009607B">
        <w:rPr>
          <w:color w:val="auto"/>
        </w:rPr>
        <w:t xml:space="preserve"> B</w:t>
      </w:r>
      <w:r>
        <w:rPr>
          <w:color w:val="auto"/>
        </w:rPr>
        <w:t>.</w:t>
      </w:r>
      <w:r w:rsidRPr="0009607B">
        <w:rPr>
          <w:color w:val="auto"/>
        </w:rPr>
        <w:t>S</w:t>
      </w:r>
      <w:r>
        <w:rPr>
          <w:color w:val="auto"/>
        </w:rPr>
        <w:t>.</w:t>
      </w:r>
      <w:r w:rsidRPr="0009607B">
        <w:rPr>
          <w:color w:val="auto"/>
        </w:rPr>
        <w:t xml:space="preserve"> (2015) </w:t>
      </w:r>
      <w:r>
        <w:rPr>
          <w:color w:val="auto"/>
        </w:rPr>
        <w:t>“</w:t>
      </w:r>
      <w:r w:rsidRPr="0009607B">
        <w:rPr>
          <w:color w:val="auto"/>
        </w:rPr>
        <w:t>Parental migration and the mental health of those who stay behind to care for children in South-East Asia.</w:t>
      </w:r>
      <w:r>
        <w:rPr>
          <w:color w:val="auto"/>
        </w:rPr>
        <w:t>”</w:t>
      </w:r>
      <w:r w:rsidRPr="0009607B">
        <w:rPr>
          <w:color w:val="auto"/>
        </w:rPr>
        <w:t xml:space="preserve"> </w:t>
      </w:r>
      <w:r w:rsidRPr="0009607B">
        <w:rPr>
          <w:i/>
          <w:color w:val="auto"/>
        </w:rPr>
        <w:t>Social Science and Medicine</w:t>
      </w:r>
      <w:r w:rsidRPr="0009607B">
        <w:rPr>
          <w:color w:val="auto"/>
        </w:rPr>
        <w:t xml:space="preserve"> 132:</w:t>
      </w:r>
      <w:r>
        <w:rPr>
          <w:color w:val="auto"/>
        </w:rPr>
        <w:t xml:space="preserve"> </w:t>
      </w:r>
      <w:r w:rsidRPr="0009607B">
        <w:rPr>
          <w:color w:val="auto"/>
        </w:rPr>
        <w:t>225–235</w:t>
      </w:r>
      <w:r w:rsidR="00C85654">
        <w:rPr>
          <w:color w:val="auto"/>
        </w:rPr>
        <w:t>.</w:t>
      </w:r>
    </w:p>
    <w:p w14:paraId="1AFF416F" w14:textId="2812253E" w:rsidR="00C85654" w:rsidRDefault="00C85654" w:rsidP="008F6168">
      <w:pPr>
        <w:spacing w:before="100" w:beforeAutospacing="1" w:line="480" w:lineRule="auto"/>
        <w:ind w:left="709" w:hanging="709"/>
        <w:jc w:val="left"/>
        <w:rPr>
          <w:color w:val="auto"/>
        </w:rPr>
      </w:pPr>
      <w:r w:rsidRPr="00C85654">
        <w:rPr>
          <w:color w:val="auto"/>
        </w:rPr>
        <w:t>Hakhverdian, A., van Elsas, E., van der Brug, W. &amp; Kuhn, T. (2013) "Euroscepticism and education: a longitudinal study of 12 EU member states, 1973-2010", </w:t>
      </w:r>
      <w:r w:rsidRPr="00C85654">
        <w:rPr>
          <w:i/>
          <w:color w:val="auto"/>
        </w:rPr>
        <w:t>European Union Politics</w:t>
      </w:r>
      <w:r w:rsidRPr="00C85654">
        <w:rPr>
          <w:color w:val="auto"/>
        </w:rPr>
        <w:t> 14(4): 522-541.</w:t>
      </w:r>
    </w:p>
    <w:p w14:paraId="18A2142D" w14:textId="77777777" w:rsidR="008F6168" w:rsidRPr="00A3187F" w:rsidRDefault="008F6168" w:rsidP="006852C2">
      <w:pPr>
        <w:spacing w:before="100" w:beforeAutospacing="1" w:line="480" w:lineRule="auto"/>
        <w:ind w:left="709" w:hanging="709"/>
        <w:jc w:val="left"/>
        <w:rPr>
          <w:color w:val="000000" w:themeColor="text1"/>
        </w:rPr>
      </w:pPr>
      <w:r w:rsidRPr="00A3187F">
        <w:rPr>
          <w:color w:val="000000" w:themeColor="text1"/>
        </w:rPr>
        <w:t>Halla, M., Wagner, A.F. and Zweimüller, J. (2017) "Immigration and Voting for the Far Right", </w:t>
      </w:r>
      <w:r w:rsidRPr="00A3187F">
        <w:rPr>
          <w:i/>
          <w:iCs/>
          <w:color w:val="000000" w:themeColor="text1"/>
        </w:rPr>
        <w:t>Journal of the European Economic Association, </w:t>
      </w:r>
      <w:r w:rsidRPr="00A3187F">
        <w:rPr>
          <w:color w:val="000000" w:themeColor="text1"/>
        </w:rPr>
        <w:t>15(6): 1341-1385.</w:t>
      </w:r>
    </w:p>
    <w:p w14:paraId="1CECD3CC" w14:textId="77777777" w:rsidR="00680F89" w:rsidRDefault="006852C2" w:rsidP="006852C2">
      <w:pPr>
        <w:spacing w:before="100" w:beforeAutospacing="1" w:line="480" w:lineRule="auto"/>
        <w:ind w:left="709" w:hanging="709"/>
        <w:jc w:val="left"/>
        <w:rPr>
          <w:color w:val="000000" w:themeColor="text1"/>
        </w:rPr>
      </w:pPr>
      <w:r w:rsidRPr="006852C2">
        <w:rPr>
          <w:color w:val="000000" w:themeColor="text1"/>
        </w:rPr>
        <w:lastRenderedPageBreak/>
        <w:t>Hobolt, S.B. and D</w:t>
      </w:r>
      <w:r w:rsidR="00680F89" w:rsidRPr="006852C2">
        <w:rPr>
          <w:color w:val="000000" w:themeColor="text1"/>
        </w:rPr>
        <w:t xml:space="preserve">e Vries, C.E. </w:t>
      </w:r>
      <w:r w:rsidRPr="006852C2">
        <w:rPr>
          <w:color w:val="000000" w:themeColor="text1"/>
        </w:rPr>
        <w:t>(</w:t>
      </w:r>
      <w:r w:rsidR="00680F89" w:rsidRPr="006852C2">
        <w:rPr>
          <w:color w:val="000000" w:themeColor="text1"/>
        </w:rPr>
        <w:t>2016</w:t>
      </w:r>
      <w:r w:rsidRPr="006852C2">
        <w:rPr>
          <w:color w:val="000000" w:themeColor="text1"/>
        </w:rPr>
        <w:t>)</w:t>
      </w:r>
      <w:r w:rsidR="00680F89" w:rsidRPr="006852C2">
        <w:rPr>
          <w:color w:val="000000" w:themeColor="text1"/>
        </w:rPr>
        <w:t xml:space="preserve"> "Public Support for European Integration", </w:t>
      </w:r>
      <w:r w:rsidR="00680F89" w:rsidRPr="006852C2">
        <w:rPr>
          <w:i/>
          <w:iCs/>
          <w:color w:val="000000" w:themeColor="text1"/>
        </w:rPr>
        <w:t>Annu</w:t>
      </w:r>
      <w:r w:rsidRPr="006852C2">
        <w:rPr>
          <w:i/>
          <w:iCs/>
          <w:color w:val="000000" w:themeColor="text1"/>
        </w:rPr>
        <w:t xml:space="preserve">al Review of Political Science </w:t>
      </w:r>
      <w:r w:rsidRPr="006852C2">
        <w:rPr>
          <w:color w:val="000000" w:themeColor="text1"/>
        </w:rPr>
        <w:t>19(</w:t>
      </w:r>
      <w:r w:rsidR="00680F89" w:rsidRPr="006852C2">
        <w:rPr>
          <w:color w:val="000000" w:themeColor="text1"/>
        </w:rPr>
        <w:t>1</w:t>
      </w:r>
      <w:r w:rsidRPr="006852C2">
        <w:rPr>
          <w:color w:val="000000" w:themeColor="text1"/>
        </w:rPr>
        <w:t>):</w:t>
      </w:r>
      <w:r w:rsidR="00680F89" w:rsidRPr="006852C2">
        <w:rPr>
          <w:color w:val="000000" w:themeColor="text1"/>
        </w:rPr>
        <w:t xml:space="preserve"> 413-432.</w:t>
      </w:r>
    </w:p>
    <w:p w14:paraId="4485FD98" w14:textId="77777777" w:rsidR="003023DA" w:rsidRPr="003023DA" w:rsidRDefault="003023DA" w:rsidP="006852C2">
      <w:pPr>
        <w:spacing w:before="100" w:beforeAutospacing="1" w:line="480" w:lineRule="auto"/>
        <w:ind w:left="709" w:hanging="709"/>
        <w:jc w:val="left"/>
        <w:rPr>
          <w:color w:val="000000" w:themeColor="text1"/>
        </w:rPr>
      </w:pPr>
      <w:r>
        <w:t xml:space="preserve">Holzmann, R., Koettl, J. and Chernetsky, T. (2005) “Portability Regimes of Pension and Health Care Benefits for International Migrants: An Analysis of Issues and Good Practices”, </w:t>
      </w:r>
      <w:r w:rsidRPr="003023DA">
        <w:rPr>
          <w:i/>
          <w:shd w:val="clear" w:color="auto" w:fill="FFFFFF"/>
        </w:rPr>
        <w:t xml:space="preserve">Social Protection discussion paper series </w:t>
      </w:r>
      <w:r w:rsidRPr="003023DA">
        <w:rPr>
          <w:shd w:val="clear" w:color="auto" w:fill="FFFFFF"/>
        </w:rPr>
        <w:t xml:space="preserve">No. 0519. Washington, DC: World Bank. </w:t>
      </w:r>
      <w:r w:rsidRPr="003023DA">
        <w:t xml:space="preserve"> </w:t>
      </w:r>
    </w:p>
    <w:p w14:paraId="635E8ACE" w14:textId="77777777" w:rsidR="005050FF" w:rsidRDefault="00EC6BE8" w:rsidP="004F2FD8">
      <w:pPr>
        <w:spacing w:before="100" w:beforeAutospacing="1" w:line="480" w:lineRule="auto"/>
        <w:ind w:left="709" w:hanging="709"/>
        <w:jc w:val="left"/>
        <w:rPr>
          <w:color w:val="auto"/>
        </w:rPr>
      </w:pPr>
      <w:r w:rsidRPr="000F6D07">
        <w:rPr>
          <w:color w:val="auto"/>
        </w:rPr>
        <w:t>Hooghe, L and Marks, G. (2004) “Does Identity or Economic Rationality Drive Public O</w:t>
      </w:r>
      <w:r w:rsidR="00970BCA" w:rsidRPr="000F6D07">
        <w:rPr>
          <w:color w:val="auto"/>
        </w:rPr>
        <w:t xml:space="preserve">pinion on European Integration”, </w:t>
      </w:r>
      <w:r w:rsidR="00970BCA" w:rsidRPr="000F6D07">
        <w:rPr>
          <w:i/>
          <w:color w:val="auto"/>
        </w:rPr>
        <w:t>Political Science and Politics</w:t>
      </w:r>
      <w:r w:rsidR="00970BCA" w:rsidRPr="000F6D07">
        <w:rPr>
          <w:color w:val="auto"/>
        </w:rPr>
        <w:t xml:space="preserve"> 37(3): 415-420. </w:t>
      </w:r>
    </w:p>
    <w:p w14:paraId="69950046" w14:textId="53E4081D" w:rsidR="006B2CA5" w:rsidRDefault="006B2CA5" w:rsidP="004F2FD8">
      <w:pPr>
        <w:spacing w:before="100" w:beforeAutospacing="1" w:line="480" w:lineRule="auto"/>
        <w:ind w:left="709" w:hanging="709"/>
        <w:jc w:val="left"/>
        <w:rPr>
          <w:color w:val="auto"/>
        </w:rPr>
      </w:pPr>
      <w:r>
        <w:t xml:space="preserve">Inglehart, Ronald (1970) “Cognitive Mobilization and European Identity”, </w:t>
      </w:r>
      <w:r w:rsidRPr="006B2CA5">
        <w:rPr>
          <w:i/>
        </w:rPr>
        <w:t>Comparative Politics</w:t>
      </w:r>
      <w:r>
        <w:t xml:space="preserve"> 3: 45–70.</w:t>
      </w:r>
    </w:p>
    <w:p w14:paraId="3CFFF1D4" w14:textId="2F980003" w:rsidR="00582311" w:rsidRPr="000F6D07" w:rsidRDefault="006B2CA5" w:rsidP="004F2FD8">
      <w:pPr>
        <w:spacing w:before="100" w:beforeAutospacing="1" w:line="480" w:lineRule="auto"/>
        <w:ind w:left="709" w:hanging="709"/>
        <w:jc w:val="left"/>
        <w:rPr>
          <w:color w:val="auto"/>
        </w:rPr>
      </w:pPr>
      <w:r>
        <w:lastRenderedPageBreak/>
        <w:t>Inglehart, R</w:t>
      </w:r>
      <w:r w:rsidR="00582311">
        <w:t>, Rabier</w:t>
      </w:r>
      <w:r>
        <w:t>, J.-R</w:t>
      </w:r>
      <w:r w:rsidR="00582311">
        <w:t>, and Reif</w:t>
      </w:r>
      <w:r>
        <w:t>, K. (</w:t>
      </w:r>
      <w:r w:rsidR="00582311">
        <w:t>1991</w:t>
      </w:r>
      <w:r>
        <w:t>)</w:t>
      </w:r>
      <w:r w:rsidR="00582311">
        <w:t xml:space="preserve">. "The Evolution of Public Attitudes toward European Integration: 1970-86." In </w:t>
      </w:r>
      <w:r w:rsidR="00582311" w:rsidRPr="006B2CA5">
        <w:rPr>
          <w:i/>
        </w:rPr>
        <w:t>Eurobarometer: The Dynamics of European Public Opinion</w:t>
      </w:r>
      <w:r w:rsidR="00582311">
        <w:t>, ed. K. Reif and R. Inglehart. London: Macmillan</w:t>
      </w:r>
    </w:p>
    <w:p w14:paraId="41ED288F" w14:textId="77777777" w:rsidR="00E406E6" w:rsidRDefault="000F6D07" w:rsidP="004F2FD8">
      <w:pPr>
        <w:spacing w:before="100" w:beforeAutospacing="1" w:line="480" w:lineRule="auto"/>
        <w:ind w:left="709" w:hanging="709"/>
        <w:jc w:val="left"/>
        <w:rPr>
          <w:color w:val="auto"/>
        </w:rPr>
      </w:pPr>
      <w:r w:rsidRPr="000F6D07">
        <w:rPr>
          <w:color w:val="auto"/>
        </w:rPr>
        <w:t>Ivlevs, A. (2015) “Happy moves? Assessing the link between life satisfaction and emigration intentions”, </w:t>
      </w:r>
      <w:r w:rsidRPr="000F6D07">
        <w:rPr>
          <w:i/>
          <w:iCs/>
          <w:color w:val="auto"/>
        </w:rPr>
        <w:t>Kyklos</w:t>
      </w:r>
      <w:r w:rsidRPr="000F6D07">
        <w:rPr>
          <w:color w:val="auto"/>
        </w:rPr>
        <w:t> 68(3): 335-356.</w:t>
      </w:r>
    </w:p>
    <w:p w14:paraId="0379F447" w14:textId="7E99FE47" w:rsidR="00180707" w:rsidRDefault="00180707" w:rsidP="004F2FD8">
      <w:pPr>
        <w:spacing w:before="100" w:beforeAutospacing="1" w:line="480" w:lineRule="auto"/>
        <w:ind w:left="709" w:hanging="709"/>
        <w:jc w:val="left"/>
        <w:rPr>
          <w:color w:val="auto"/>
        </w:rPr>
      </w:pPr>
      <w:r w:rsidRPr="00180707">
        <w:rPr>
          <w:color w:val="auto"/>
        </w:rPr>
        <w:t>Ivlevs, A. and King, R. (2017) "Does emigration reduce corruption?", </w:t>
      </w:r>
      <w:r w:rsidRPr="00180707">
        <w:rPr>
          <w:i/>
          <w:color w:val="auto"/>
        </w:rPr>
        <w:t>Public Choice</w:t>
      </w:r>
      <w:r w:rsidRPr="00180707">
        <w:rPr>
          <w:color w:val="auto"/>
        </w:rPr>
        <w:t> 171 (3-4):</w:t>
      </w:r>
      <w:r>
        <w:rPr>
          <w:color w:val="auto"/>
        </w:rPr>
        <w:t xml:space="preserve"> </w:t>
      </w:r>
      <w:r w:rsidRPr="00180707">
        <w:rPr>
          <w:color w:val="auto"/>
        </w:rPr>
        <w:t>389–408. </w:t>
      </w:r>
    </w:p>
    <w:p w14:paraId="4239C7EC" w14:textId="4DA89077" w:rsidR="00F770D9" w:rsidRDefault="00F770D9" w:rsidP="004F2FD8">
      <w:pPr>
        <w:spacing w:before="100" w:beforeAutospacing="1" w:line="480" w:lineRule="auto"/>
        <w:ind w:left="709" w:hanging="709"/>
        <w:jc w:val="left"/>
        <w:rPr>
          <w:color w:val="auto"/>
        </w:rPr>
      </w:pPr>
      <w:r>
        <w:rPr>
          <w:color w:val="auto"/>
        </w:rPr>
        <w:t>Ivlevs, A., Ni</w:t>
      </w:r>
      <w:r w:rsidR="00180707">
        <w:rPr>
          <w:color w:val="auto"/>
        </w:rPr>
        <w:t>kolova, M., and Graham, C. (2019</w:t>
      </w:r>
      <w:r>
        <w:rPr>
          <w:color w:val="auto"/>
        </w:rPr>
        <w:t xml:space="preserve">) “Emigration, remittances, and subjective well-being of those staying behind”, </w:t>
      </w:r>
      <w:r w:rsidRPr="00F770D9">
        <w:rPr>
          <w:i/>
          <w:color w:val="auto"/>
        </w:rPr>
        <w:t xml:space="preserve">Journal of Population Economics </w:t>
      </w:r>
      <w:r w:rsidR="00180707" w:rsidRPr="00180707">
        <w:rPr>
          <w:color w:val="auto"/>
        </w:rPr>
        <w:t>32(1): 113-151</w:t>
      </w:r>
      <w:r w:rsidR="00180707">
        <w:rPr>
          <w:color w:val="auto"/>
        </w:rPr>
        <w:t>.</w:t>
      </w:r>
    </w:p>
    <w:p w14:paraId="3DB777A2" w14:textId="77777777" w:rsidR="00D635DE" w:rsidRPr="00D635DE" w:rsidRDefault="00E406E6" w:rsidP="004F2FD8">
      <w:pPr>
        <w:spacing w:before="100" w:beforeAutospacing="1" w:line="480" w:lineRule="auto"/>
        <w:ind w:left="709" w:hanging="709"/>
        <w:jc w:val="left"/>
        <w:rPr>
          <w:color w:val="333333"/>
          <w:shd w:val="clear" w:color="auto" w:fill="FFFFFF"/>
        </w:rPr>
      </w:pPr>
      <w:r w:rsidRPr="00E406E6">
        <w:rPr>
          <w:color w:val="auto"/>
        </w:rPr>
        <w:t>Ivl</w:t>
      </w:r>
      <w:r w:rsidR="006852C2">
        <w:rPr>
          <w:color w:val="auto"/>
        </w:rPr>
        <w:t>evs, A. and Veliziotis, M. (2018</w:t>
      </w:r>
      <w:r w:rsidRPr="00E406E6">
        <w:rPr>
          <w:color w:val="auto"/>
        </w:rPr>
        <w:t xml:space="preserve">). "Local-level immigration and life satisfaction: The EU enlargement experience in England and Wales", </w:t>
      </w:r>
      <w:r w:rsidRPr="00E406E6">
        <w:rPr>
          <w:i/>
          <w:color w:val="auto"/>
        </w:rPr>
        <w:t>Environment and Planning A</w:t>
      </w:r>
      <w:r>
        <w:rPr>
          <w:color w:val="auto"/>
        </w:rPr>
        <w:t xml:space="preserve"> </w:t>
      </w:r>
      <w:r w:rsidR="00D635DE" w:rsidRPr="00D635DE">
        <w:rPr>
          <w:color w:val="333333"/>
          <w:shd w:val="clear" w:color="auto" w:fill="FFFFFF"/>
        </w:rPr>
        <w:t>50(1): 175-193</w:t>
      </w:r>
    </w:p>
    <w:p w14:paraId="427565F5" w14:textId="77777777" w:rsidR="005050FF" w:rsidRPr="000F6D07" w:rsidRDefault="00EC6BE8" w:rsidP="004F2FD8">
      <w:pPr>
        <w:spacing w:before="100" w:beforeAutospacing="1" w:line="480" w:lineRule="auto"/>
        <w:ind w:left="709" w:hanging="709"/>
        <w:jc w:val="left"/>
        <w:rPr>
          <w:color w:val="auto"/>
        </w:rPr>
      </w:pPr>
      <w:r w:rsidRPr="000F6D07">
        <w:rPr>
          <w:color w:val="auto"/>
        </w:rPr>
        <w:lastRenderedPageBreak/>
        <w:t xml:space="preserve">Jackson, J. E., Bogdan W. M., and Miller-Gonzalez, J. (2011) “Buying Support and Regime Change: The Evolution of Polish Attitudes towards the EU and Voting between Accession and 2008,” </w:t>
      </w:r>
      <w:r w:rsidRPr="000F6D07">
        <w:rPr>
          <w:i/>
          <w:color w:val="auto"/>
        </w:rPr>
        <w:t xml:space="preserve">European Union Politics 12 (2): 147-167. </w:t>
      </w:r>
    </w:p>
    <w:p w14:paraId="2CD53542" w14:textId="77777777" w:rsidR="00F17842" w:rsidRDefault="00EC6BE8" w:rsidP="00F17842">
      <w:pPr>
        <w:spacing w:before="100" w:beforeAutospacing="1" w:line="480" w:lineRule="auto"/>
        <w:ind w:left="709" w:hanging="709"/>
        <w:jc w:val="left"/>
        <w:rPr>
          <w:color w:val="auto"/>
        </w:rPr>
      </w:pPr>
      <w:r w:rsidRPr="000F6D07">
        <w:rPr>
          <w:color w:val="auto"/>
        </w:rPr>
        <w:t xml:space="preserve">Janssen, J. (1991). “Postmaterialism, cognitive mobilization and support for European integration”. </w:t>
      </w:r>
      <w:r w:rsidRPr="000F6D07">
        <w:rPr>
          <w:i/>
          <w:color w:val="auto"/>
        </w:rPr>
        <w:t xml:space="preserve">British Journal of Political Science </w:t>
      </w:r>
      <w:r w:rsidRPr="000F6D07">
        <w:rPr>
          <w:color w:val="auto"/>
        </w:rPr>
        <w:t xml:space="preserve"> 21:</w:t>
      </w:r>
      <w:r w:rsidR="00F648CC" w:rsidRPr="000F6D07">
        <w:rPr>
          <w:color w:val="auto"/>
        </w:rPr>
        <w:t xml:space="preserve"> </w:t>
      </w:r>
      <w:r w:rsidRPr="000F6D07">
        <w:rPr>
          <w:color w:val="auto"/>
        </w:rPr>
        <w:t>443-457.</w:t>
      </w:r>
    </w:p>
    <w:p w14:paraId="0A68E2DF" w14:textId="77777777" w:rsidR="00F17842" w:rsidRPr="00F17842" w:rsidRDefault="00F17842" w:rsidP="00F17842">
      <w:pPr>
        <w:spacing w:before="100" w:beforeAutospacing="1" w:line="480" w:lineRule="auto"/>
        <w:ind w:left="709" w:hanging="709"/>
        <w:jc w:val="left"/>
        <w:rPr>
          <w:color w:val="000000" w:themeColor="text1"/>
        </w:rPr>
      </w:pPr>
      <w:r w:rsidRPr="00F17842">
        <w:rPr>
          <w:color w:val="000000" w:themeColor="text1"/>
        </w:rPr>
        <w:t>Ker-Lindsay, J. (2017) "The United Kingdom and EU enlargement in the Western Balkans: from ardent champion of expansion to Post-Brexit irrelevance", </w:t>
      </w:r>
      <w:r w:rsidRPr="00F17842">
        <w:rPr>
          <w:i/>
          <w:iCs/>
          <w:color w:val="000000" w:themeColor="text1"/>
        </w:rPr>
        <w:t>Southeast European and Black Sea Studies</w:t>
      </w:r>
      <w:r w:rsidRPr="00F17842">
        <w:rPr>
          <w:color w:val="000000" w:themeColor="text1"/>
        </w:rPr>
        <w:t xml:space="preserve"> 17(4): 555-569.</w:t>
      </w:r>
    </w:p>
    <w:p w14:paraId="74D439D5" w14:textId="77777777" w:rsidR="001A4525" w:rsidRDefault="00BD5583" w:rsidP="001A4525">
      <w:pPr>
        <w:spacing w:before="100" w:beforeAutospacing="1" w:line="480" w:lineRule="auto"/>
        <w:ind w:left="709" w:hanging="709"/>
        <w:jc w:val="left"/>
        <w:rPr>
          <w:color w:val="auto"/>
        </w:rPr>
      </w:pPr>
      <w:r w:rsidRPr="000F6D07">
        <w:rPr>
          <w:color w:val="auto"/>
        </w:rPr>
        <w:t xml:space="preserve">Kuhn, T. (2015) </w:t>
      </w:r>
      <w:r w:rsidR="00EC6BE8" w:rsidRPr="000F6D07">
        <w:rPr>
          <w:color w:val="auto"/>
        </w:rPr>
        <w:t>Experiencing European Integration. Transnational Lives and European Identity. Oxford University Press.</w:t>
      </w:r>
    </w:p>
    <w:p w14:paraId="044760A8" w14:textId="77777777" w:rsidR="003C37BF" w:rsidRDefault="001A4525" w:rsidP="003C37BF">
      <w:pPr>
        <w:spacing w:before="100" w:beforeAutospacing="1" w:line="480" w:lineRule="auto"/>
        <w:ind w:left="709" w:hanging="709"/>
        <w:jc w:val="left"/>
        <w:rPr>
          <w:color w:val="auto"/>
        </w:rPr>
      </w:pPr>
      <w:r>
        <w:lastRenderedPageBreak/>
        <w:t xml:space="preserve">Lawless, J. (2015) “In an English market town, a political battle over immigration.” Available at: </w:t>
      </w:r>
      <w:hyperlink r:id="rId10" w:history="1">
        <w:r>
          <w:rPr>
            <w:rStyle w:val="Hyperlink"/>
          </w:rPr>
          <w:t>http://www.macleans.ca/politics/worldpolitics/in-an-english-market-town-a-political-battle-over-immigration/</w:t>
        </w:r>
      </w:hyperlink>
    </w:p>
    <w:p w14:paraId="12AAB0AA" w14:textId="4096C96F" w:rsidR="003C37BF" w:rsidRPr="003C37BF" w:rsidRDefault="003C37BF" w:rsidP="003C37BF">
      <w:pPr>
        <w:spacing w:before="100" w:beforeAutospacing="1" w:line="480" w:lineRule="auto"/>
        <w:ind w:left="709" w:hanging="709"/>
        <w:jc w:val="left"/>
        <w:rPr>
          <w:color w:val="auto"/>
        </w:rPr>
      </w:pPr>
      <w:r w:rsidRPr="003C37BF">
        <w:rPr>
          <w:color w:val="auto"/>
        </w:rPr>
        <w:t xml:space="preserve">Levitt, P. (1998). </w:t>
      </w:r>
      <w:r>
        <w:rPr>
          <w:color w:val="auto"/>
        </w:rPr>
        <w:t>“</w:t>
      </w:r>
      <w:r w:rsidRPr="003C37BF">
        <w:rPr>
          <w:color w:val="auto"/>
        </w:rPr>
        <w:t>Social remittances: Migration driven local-level forms of cultural diffusion.</w:t>
      </w:r>
      <w:r>
        <w:rPr>
          <w:color w:val="auto"/>
        </w:rPr>
        <w:t>”</w:t>
      </w:r>
      <w:r w:rsidRPr="003C37BF">
        <w:rPr>
          <w:color w:val="auto"/>
        </w:rPr>
        <w:t xml:space="preserve"> </w:t>
      </w:r>
      <w:r w:rsidRPr="003C37BF">
        <w:rPr>
          <w:i/>
          <w:color w:val="auto"/>
        </w:rPr>
        <w:t>International Migration Review</w:t>
      </w:r>
      <w:r w:rsidRPr="003C37BF">
        <w:rPr>
          <w:color w:val="auto"/>
        </w:rPr>
        <w:t xml:space="preserve"> 32</w:t>
      </w:r>
      <w:r>
        <w:rPr>
          <w:color w:val="auto"/>
        </w:rPr>
        <w:t>(4):</w:t>
      </w:r>
      <w:r w:rsidRPr="003C37BF">
        <w:rPr>
          <w:color w:val="auto"/>
        </w:rPr>
        <w:t xml:space="preserve"> 926–948.</w:t>
      </w:r>
    </w:p>
    <w:p w14:paraId="155FA20E" w14:textId="77777777" w:rsidR="00FD7B2B" w:rsidRDefault="00EC6BE8" w:rsidP="00FD7B2B">
      <w:pPr>
        <w:spacing w:before="100" w:beforeAutospacing="1" w:line="480" w:lineRule="auto"/>
        <w:ind w:left="709" w:hanging="709"/>
        <w:jc w:val="left"/>
        <w:rPr>
          <w:color w:val="auto"/>
        </w:rPr>
      </w:pPr>
      <w:r w:rsidRPr="000F6D07">
        <w:rPr>
          <w:color w:val="auto"/>
        </w:rPr>
        <w:t xml:space="preserve">Loveless, M (2010) “Agreeing in Principle: Utilitarianism and Economic Values as Support for the European Union in Central and Eastern Europe”, </w:t>
      </w:r>
      <w:r w:rsidRPr="000F6D07">
        <w:rPr>
          <w:i/>
          <w:color w:val="auto"/>
        </w:rPr>
        <w:t>Journal of Common Market Studies</w:t>
      </w:r>
      <w:r w:rsidRPr="000F6D07">
        <w:rPr>
          <w:color w:val="auto"/>
        </w:rPr>
        <w:t xml:space="preserve"> 48(4): 1083–1106. </w:t>
      </w:r>
    </w:p>
    <w:p w14:paraId="574429C5" w14:textId="35D73051" w:rsidR="0009607B" w:rsidRDefault="0009607B" w:rsidP="00FD7B2B">
      <w:pPr>
        <w:spacing w:before="100" w:beforeAutospacing="1" w:line="480" w:lineRule="auto"/>
        <w:ind w:left="709" w:hanging="709"/>
        <w:jc w:val="left"/>
        <w:rPr>
          <w:color w:val="auto"/>
        </w:rPr>
      </w:pPr>
      <w:r w:rsidRPr="0009607B">
        <w:rPr>
          <w:color w:val="auto"/>
        </w:rPr>
        <w:t>Marchetti-Mercer</w:t>
      </w:r>
      <w:r>
        <w:rPr>
          <w:color w:val="auto"/>
        </w:rPr>
        <w:t>,</w:t>
      </w:r>
      <w:r w:rsidRPr="0009607B">
        <w:rPr>
          <w:color w:val="auto"/>
        </w:rPr>
        <w:t xml:space="preserve"> M</w:t>
      </w:r>
      <w:r>
        <w:rPr>
          <w:color w:val="auto"/>
        </w:rPr>
        <w:t>.</w:t>
      </w:r>
      <w:r w:rsidRPr="0009607B">
        <w:rPr>
          <w:color w:val="auto"/>
        </w:rPr>
        <w:t>C</w:t>
      </w:r>
      <w:r>
        <w:rPr>
          <w:color w:val="auto"/>
        </w:rPr>
        <w:t>.</w:t>
      </w:r>
      <w:r w:rsidRPr="0009607B">
        <w:rPr>
          <w:color w:val="auto"/>
        </w:rPr>
        <w:t xml:space="preserve"> (2012) </w:t>
      </w:r>
      <w:r>
        <w:rPr>
          <w:color w:val="auto"/>
        </w:rPr>
        <w:t>“</w:t>
      </w:r>
      <w:r w:rsidRPr="0009607B">
        <w:rPr>
          <w:color w:val="auto"/>
        </w:rPr>
        <w:t>Those easily forgotten: the impact of emigration on those left behind.</w:t>
      </w:r>
      <w:r>
        <w:rPr>
          <w:color w:val="auto"/>
        </w:rPr>
        <w:t>”</w:t>
      </w:r>
      <w:r w:rsidRPr="0009607B">
        <w:rPr>
          <w:color w:val="auto"/>
        </w:rPr>
        <w:t xml:space="preserve"> </w:t>
      </w:r>
      <w:r w:rsidRPr="0009607B">
        <w:rPr>
          <w:i/>
          <w:color w:val="auto"/>
        </w:rPr>
        <w:t>Family Process</w:t>
      </w:r>
      <w:r w:rsidRPr="0009607B">
        <w:rPr>
          <w:color w:val="auto"/>
        </w:rPr>
        <w:t xml:space="preserve"> 51:</w:t>
      </w:r>
      <w:r>
        <w:rPr>
          <w:color w:val="auto"/>
        </w:rPr>
        <w:t xml:space="preserve"> </w:t>
      </w:r>
      <w:r w:rsidRPr="0009607B">
        <w:rPr>
          <w:color w:val="auto"/>
        </w:rPr>
        <w:t>376–390</w:t>
      </w:r>
      <w:r>
        <w:rPr>
          <w:color w:val="auto"/>
        </w:rPr>
        <w:t>.</w:t>
      </w:r>
    </w:p>
    <w:p w14:paraId="10D8A1B2" w14:textId="77777777" w:rsidR="00FD7B2B" w:rsidRPr="00FD7B2B" w:rsidRDefault="00FD7B2B" w:rsidP="00FD7B2B">
      <w:pPr>
        <w:spacing w:before="100" w:beforeAutospacing="1" w:line="480" w:lineRule="auto"/>
        <w:ind w:left="709" w:hanging="709"/>
        <w:jc w:val="left"/>
        <w:rPr>
          <w:color w:val="000000" w:themeColor="text1"/>
        </w:rPr>
      </w:pPr>
      <w:r w:rsidRPr="00FD7B2B">
        <w:rPr>
          <w:color w:val="000000" w:themeColor="text1"/>
        </w:rPr>
        <w:lastRenderedPageBreak/>
        <w:t>Mau, S., Gülzau, F., Laube, L. and Zaun, N. (2015) "The Global Mobility Divide: How Visa Policies Have Evolved over Time", </w:t>
      </w:r>
      <w:r w:rsidRPr="00FD7B2B">
        <w:rPr>
          <w:i/>
          <w:iCs/>
          <w:color w:val="000000" w:themeColor="text1"/>
        </w:rPr>
        <w:t>Journal of Ethnic and Migration Studies, </w:t>
      </w:r>
      <w:r w:rsidRPr="00FD7B2B">
        <w:rPr>
          <w:color w:val="000000" w:themeColor="text1"/>
        </w:rPr>
        <w:t>41(8): 1192-1213.</w:t>
      </w:r>
    </w:p>
    <w:p w14:paraId="61BFDC64" w14:textId="77777777" w:rsidR="005050FF" w:rsidRPr="000F6D07" w:rsidRDefault="00EC6BE8" w:rsidP="004F2FD8">
      <w:pPr>
        <w:spacing w:before="100" w:beforeAutospacing="1" w:line="480" w:lineRule="auto"/>
        <w:ind w:left="709" w:hanging="709"/>
        <w:jc w:val="left"/>
        <w:rPr>
          <w:color w:val="auto"/>
        </w:rPr>
      </w:pPr>
      <w:r w:rsidRPr="000F6D07">
        <w:rPr>
          <w:color w:val="auto"/>
        </w:rPr>
        <w:t xml:space="preserve">McLaren, L. M. (2004) “Opposition to European integration and fear of loss of national identity: Debunking a basic assumption regarding hostility to the integration project”. </w:t>
      </w:r>
      <w:r w:rsidRPr="000F6D07">
        <w:rPr>
          <w:i/>
          <w:color w:val="auto"/>
        </w:rPr>
        <w:t>European Journal of Political Research</w:t>
      </w:r>
      <w:r w:rsidRPr="000F6D07">
        <w:rPr>
          <w:color w:val="auto"/>
        </w:rPr>
        <w:t xml:space="preserve"> 43: 895-911. </w:t>
      </w:r>
    </w:p>
    <w:p w14:paraId="1876C10C" w14:textId="77777777" w:rsidR="00F07311" w:rsidRDefault="00EC6BE8" w:rsidP="00F07311">
      <w:pPr>
        <w:spacing w:before="100" w:beforeAutospacing="1" w:line="480" w:lineRule="auto"/>
        <w:ind w:left="709" w:hanging="709"/>
        <w:jc w:val="left"/>
        <w:rPr>
          <w:color w:val="auto"/>
        </w:rPr>
      </w:pPr>
      <w:r w:rsidRPr="000F6D07">
        <w:rPr>
          <w:color w:val="auto"/>
        </w:rPr>
        <w:t>McLaren, L. M. (2007) “Explaining Opposition to Turkish Membership of the EU”</w:t>
      </w:r>
      <w:r w:rsidRPr="000F6D07">
        <w:rPr>
          <w:i/>
          <w:color w:val="auto"/>
        </w:rPr>
        <w:t>. European Union Politics</w:t>
      </w:r>
      <w:r w:rsidRPr="000F6D07">
        <w:rPr>
          <w:color w:val="auto"/>
        </w:rPr>
        <w:t xml:space="preserve"> 8(2): 251</w:t>
      </w:r>
      <w:r w:rsidRPr="000F6D07">
        <w:rPr>
          <w:rFonts w:ascii="Calibri" w:eastAsia="Calibri" w:hAnsi="Calibri" w:cs="Calibri"/>
          <w:color w:val="auto"/>
        </w:rPr>
        <w:t>‐</w:t>
      </w:r>
      <w:r w:rsidRPr="000F6D07">
        <w:rPr>
          <w:color w:val="auto"/>
        </w:rPr>
        <w:t>278.</w:t>
      </w:r>
    </w:p>
    <w:p w14:paraId="1ED89F3C" w14:textId="77777777" w:rsidR="00F07311" w:rsidRDefault="00F07311" w:rsidP="00F07311">
      <w:pPr>
        <w:spacing w:before="100" w:beforeAutospacing="1" w:line="480" w:lineRule="auto"/>
        <w:ind w:left="709" w:hanging="709"/>
        <w:jc w:val="left"/>
        <w:rPr>
          <w:color w:val="000000" w:themeColor="text1"/>
        </w:rPr>
      </w:pPr>
      <w:r w:rsidRPr="00F07311">
        <w:rPr>
          <w:color w:val="000000" w:themeColor="text1"/>
        </w:rPr>
        <w:t xml:space="preserve">Nedelcu, M. </w:t>
      </w:r>
      <w:r>
        <w:rPr>
          <w:color w:val="000000" w:themeColor="text1"/>
        </w:rPr>
        <w:t>(</w:t>
      </w:r>
      <w:r w:rsidRPr="00F07311">
        <w:rPr>
          <w:color w:val="000000" w:themeColor="text1"/>
        </w:rPr>
        <w:t>2012</w:t>
      </w:r>
      <w:r>
        <w:rPr>
          <w:color w:val="000000" w:themeColor="text1"/>
        </w:rPr>
        <w:t>)</w:t>
      </w:r>
      <w:r w:rsidRPr="00F07311">
        <w:rPr>
          <w:color w:val="000000" w:themeColor="text1"/>
        </w:rPr>
        <w:t xml:space="preserve"> "Migrants' New Transnational Habitus: Rethinking Migration Through a Cosmopolitan Lens in the Digital Age", </w:t>
      </w:r>
      <w:r w:rsidRPr="00F07311">
        <w:rPr>
          <w:i/>
          <w:iCs/>
          <w:color w:val="000000" w:themeColor="text1"/>
        </w:rPr>
        <w:t>Journal o</w:t>
      </w:r>
      <w:r>
        <w:rPr>
          <w:i/>
          <w:iCs/>
          <w:color w:val="000000" w:themeColor="text1"/>
        </w:rPr>
        <w:t>f Ethnic and Migration Studies</w:t>
      </w:r>
      <w:r w:rsidRPr="00F07311">
        <w:rPr>
          <w:color w:val="000000" w:themeColor="text1"/>
        </w:rPr>
        <w:t xml:space="preserve"> 38</w:t>
      </w:r>
      <w:r>
        <w:rPr>
          <w:color w:val="000000" w:themeColor="text1"/>
        </w:rPr>
        <w:t>(</w:t>
      </w:r>
      <w:r w:rsidRPr="00F07311">
        <w:rPr>
          <w:color w:val="000000" w:themeColor="text1"/>
        </w:rPr>
        <w:t>9</w:t>
      </w:r>
      <w:r>
        <w:rPr>
          <w:color w:val="000000" w:themeColor="text1"/>
        </w:rPr>
        <w:t>):</w:t>
      </w:r>
      <w:r w:rsidRPr="00F07311">
        <w:rPr>
          <w:color w:val="000000" w:themeColor="text1"/>
        </w:rPr>
        <w:t xml:space="preserve"> 1339-1356.</w:t>
      </w:r>
    </w:p>
    <w:p w14:paraId="08A5D39B" w14:textId="626EDFA5" w:rsidR="00E56020" w:rsidRPr="00F07311" w:rsidRDefault="00E56020" w:rsidP="00F07311">
      <w:pPr>
        <w:spacing w:before="100" w:beforeAutospacing="1" w:line="480" w:lineRule="auto"/>
        <w:ind w:left="709" w:hanging="709"/>
        <w:jc w:val="left"/>
        <w:rPr>
          <w:color w:val="000000" w:themeColor="text1"/>
        </w:rPr>
      </w:pPr>
      <w:r w:rsidRPr="00E56020">
        <w:rPr>
          <w:color w:val="000000" w:themeColor="text1"/>
        </w:rPr>
        <w:lastRenderedPageBreak/>
        <w:t>Nobles</w:t>
      </w:r>
      <w:r>
        <w:rPr>
          <w:color w:val="000000" w:themeColor="text1"/>
        </w:rPr>
        <w:t>,</w:t>
      </w:r>
      <w:r w:rsidRPr="00E56020">
        <w:rPr>
          <w:color w:val="000000" w:themeColor="text1"/>
        </w:rPr>
        <w:t xml:space="preserve"> J</w:t>
      </w:r>
      <w:r>
        <w:rPr>
          <w:color w:val="000000" w:themeColor="text1"/>
        </w:rPr>
        <w:t>.</w:t>
      </w:r>
      <w:r w:rsidRPr="00E56020">
        <w:rPr>
          <w:color w:val="000000" w:themeColor="text1"/>
        </w:rPr>
        <w:t>, Rubalcava</w:t>
      </w:r>
      <w:r>
        <w:rPr>
          <w:color w:val="000000" w:themeColor="text1"/>
        </w:rPr>
        <w:t>,</w:t>
      </w:r>
      <w:r w:rsidRPr="00E56020">
        <w:rPr>
          <w:color w:val="000000" w:themeColor="text1"/>
        </w:rPr>
        <w:t xml:space="preserve"> L</w:t>
      </w:r>
      <w:r>
        <w:rPr>
          <w:color w:val="000000" w:themeColor="text1"/>
        </w:rPr>
        <w:t xml:space="preserve">. and </w:t>
      </w:r>
      <w:r w:rsidRPr="00E56020">
        <w:rPr>
          <w:color w:val="000000" w:themeColor="text1"/>
        </w:rPr>
        <w:t>Teruel</w:t>
      </w:r>
      <w:r>
        <w:rPr>
          <w:color w:val="000000" w:themeColor="text1"/>
        </w:rPr>
        <w:t>,</w:t>
      </w:r>
      <w:r w:rsidRPr="00E56020">
        <w:rPr>
          <w:color w:val="000000" w:themeColor="text1"/>
        </w:rPr>
        <w:t xml:space="preserve"> G</w:t>
      </w:r>
      <w:r>
        <w:rPr>
          <w:color w:val="000000" w:themeColor="text1"/>
        </w:rPr>
        <w:t>.</w:t>
      </w:r>
      <w:r w:rsidRPr="00E56020">
        <w:rPr>
          <w:color w:val="000000" w:themeColor="text1"/>
        </w:rPr>
        <w:t xml:space="preserve"> (2015) </w:t>
      </w:r>
      <w:r>
        <w:rPr>
          <w:color w:val="000000" w:themeColor="text1"/>
        </w:rPr>
        <w:t>“</w:t>
      </w:r>
      <w:r w:rsidRPr="00E56020">
        <w:rPr>
          <w:color w:val="000000" w:themeColor="text1"/>
        </w:rPr>
        <w:t>After spouses depart: emotional wellbeing a</w:t>
      </w:r>
      <w:r>
        <w:rPr>
          <w:color w:val="000000" w:themeColor="text1"/>
        </w:rPr>
        <w:t>mong nonmigrant Mexican mothers”,</w:t>
      </w:r>
      <w:r w:rsidRPr="00E56020">
        <w:rPr>
          <w:color w:val="000000" w:themeColor="text1"/>
        </w:rPr>
        <w:t xml:space="preserve"> Soc</w:t>
      </w:r>
      <w:r>
        <w:rPr>
          <w:color w:val="000000" w:themeColor="text1"/>
        </w:rPr>
        <w:t xml:space="preserve">ial Science and Medicine </w:t>
      </w:r>
      <w:r w:rsidRPr="00E56020">
        <w:rPr>
          <w:color w:val="000000" w:themeColor="text1"/>
        </w:rPr>
        <w:t>132:</w:t>
      </w:r>
      <w:r>
        <w:rPr>
          <w:color w:val="000000" w:themeColor="text1"/>
        </w:rPr>
        <w:t xml:space="preserve"> </w:t>
      </w:r>
      <w:r w:rsidRPr="00E56020">
        <w:rPr>
          <w:color w:val="000000" w:themeColor="text1"/>
        </w:rPr>
        <w:t>236–244</w:t>
      </w:r>
      <w:r>
        <w:rPr>
          <w:color w:val="000000" w:themeColor="text1"/>
        </w:rPr>
        <w:t>.</w:t>
      </w:r>
    </w:p>
    <w:p w14:paraId="4F8CFC91" w14:textId="77777777" w:rsidR="005F7C08" w:rsidRDefault="00E310E0" w:rsidP="005F7C08">
      <w:pPr>
        <w:spacing w:before="100" w:beforeAutospacing="1" w:line="480" w:lineRule="auto"/>
        <w:ind w:left="709" w:hanging="709"/>
        <w:jc w:val="left"/>
        <w:rPr>
          <w:b/>
          <w:bCs/>
          <w:color w:val="333333"/>
        </w:rPr>
      </w:pPr>
      <w:r w:rsidRPr="0086427D">
        <w:rPr>
          <w:color w:val="auto"/>
        </w:rPr>
        <w:t>Nuttall, C.</w:t>
      </w:r>
      <w:r w:rsidR="004978CC" w:rsidRPr="0086427D">
        <w:rPr>
          <w:color w:val="auto"/>
        </w:rPr>
        <w:t xml:space="preserve"> (2017) </w:t>
      </w:r>
      <w:r w:rsidRPr="0086427D">
        <w:rPr>
          <w:color w:val="auto"/>
        </w:rPr>
        <w:t>“</w:t>
      </w:r>
      <w:r w:rsidRPr="0086427D">
        <w:rPr>
          <w:bCs/>
          <w:color w:val="auto"/>
        </w:rPr>
        <w:t xml:space="preserve">Euroscepticism grows in richer Western Balkans countries”, Inellinews, published June 14, 2017. Available online at: </w:t>
      </w:r>
      <w:hyperlink r:id="rId11" w:history="1">
        <w:r w:rsidRPr="00E310E0">
          <w:rPr>
            <w:rStyle w:val="Hyperlink"/>
            <w:bCs/>
          </w:rPr>
          <w:t>http://www.intellinews.com/euroscepticism-grows-in-richer-western-balkans-countries-125370/</w:t>
        </w:r>
      </w:hyperlink>
      <w:r w:rsidRPr="00E310E0">
        <w:rPr>
          <w:b/>
          <w:bCs/>
          <w:color w:val="333333"/>
        </w:rPr>
        <w:t xml:space="preserve"> </w:t>
      </w:r>
    </w:p>
    <w:p w14:paraId="02363830" w14:textId="7732953D" w:rsidR="005F7C08" w:rsidRPr="006B2CA5" w:rsidRDefault="005F7C08" w:rsidP="005F7C08">
      <w:pPr>
        <w:spacing w:before="100" w:beforeAutospacing="1" w:line="480" w:lineRule="auto"/>
        <w:ind w:left="709" w:hanging="709"/>
        <w:jc w:val="left"/>
        <w:rPr>
          <w:bCs/>
          <w:color w:val="auto"/>
        </w:rPr>
      </w:pPr>
      <w:r w:rsidRPr="006B2CA5">
        <w:rPr>
          <w:bCs/>
          <w:color w:val="auto"/>
        </w:rPr>
        <w:t xml:space="preserve">Pfutze, T. (2012). “Does migration promote democratization? Evidence from the Mexican transition.” </w:t>
      </w:r>
      <w:r w:rsidRPr="006B2CA5">
        <w:rPr>
          <w:bCs/>
          <w:i/>
          <w:color w:val="auto"/>
        </w:rPr>
        <w:t>Journal of Comparative Economics</w:t>
      </w:r>
      <w:r w:rsidRPr="006B2CA5">
        <w:rPr>
          <w:bCs/>
          <w:color w:val="auto"/>
        </w:rPr>
        <w:t xml:space="preserve"> 40(2): 159–175.</w:t>
      </w:r>
    </w:p>
    <w:p w14:paraId="65796E9B" w14:textId="77777777" w:rsidR="00F460CE" w:rsidRDefault="00FB5177" w:rsidP="00F460CE">
      <w:pPr>
        <w:spacing w:before="100" w:beforeAutospacing="1" w:line="480" w:lineRule="auto"/>
        <w:ind w:left="709" w:hanging="709"/>
        <w:jc w:val="left"/>
        <w:rPr>
          <w:color w:val="auto"/>
        </w:rPr>
      </w:pPr>
      <w:r w:rsidRPr="00FB5177">
        <w:rPr>
          <w:color w:val="auto"/>
        </w:rPr>
        <w:t>Pottie</w:t>
      </w:r>
      <w:r w:rsidRPr="00FB5177">
        <w:rPr>
          <w:rFonts w:ascii="Cambria Math" w:hAnsi="Cambria Math" w:cs="Cambria Math"/>
          <w:color w:val="auto"/>
        </w:rPr>
        <w:t>‐</w:t>
      </w:r>
      <w:r w:rsidRPr="00FB5177">
        <w:rPr>
          <w:color w:val="auto"/>
        </w:rPr>
        <w:t xml:space="preserve">Sherman, Y. &amp; </w:t>
      </w:r>
      <w:r w:rsidR="00EA6C01">
        <w:rPr>
          <w:color w:val="auto"/>
        </w:rPr>
        <w:t xml:space="preserve">Wilkes, R. (2017) </w:t>
      </w:r>
      <w:r w:rsidRPr="00FB5177">
        <w:rPr>
          <w:color w:val="auto"/>
        </w:rPr>
        <w:t>"Does Size Really Matter? On the Relationship between Immigrant Group Size and Anti</w:t>
      </w:r>
      <w:r w:rsidRPr="00FB5177">
        <w:rPr>
          <w:rFonts w:ascii="Cambria Math" w:hAnsi="Cambria Math" w:cs="Cambria Math"/>
          <w:color w:val="auto"/>
        </w:rPr>
        <w:t>‐</w:t>
      </w:r>
      <w:r w:rsidR="00F236C8">
        <w:rPr>
          <w:color w:val="auto"/>
        </w:rPr>
        <w:t xml:space="preserve">Immigrant Prejudice". </w:t>
      </w:r>
      <w:r w:rsidRPr="00FB5177">
        <w:rPr>
          <w:i/>
          <w:color w:val="auto"/>
        </w:rPr>
        <w:t>International Migration Review</w:t>
      </w:r>
      <w:r w:rsidR="00EA6C01">
        <w:rPr>
          <w:color w:val="auto"/>
        </w:rPr>
        <w:t xml:space="preserve"> 51(1): </w:t>
      </w:r>
      <w:r w:rsidRPr="00FB5177">
        <w:rPr>
          <w:color w:val="auto"/>
        </w:rPr>
        <w:t>218-250.</w:t>
      </w:r>
    </w:p>
    <w:p w14:paraId="0840E2C0" w14:textId="54276FCD" w:rsidR="00F460CE" w:rsidRDefault="00F460CE" w:rsidP="004F2FD8">
      <w:pPr>
        <w:spacing w:before="100" w:beforeAutospacing="1" w:line="480" w:lineRule="auto"/>
        <w:ind w:left="709" w:hanging="709"/>
        <w:jc w:val="left"/>
        <w:rPr>
          <w:color w:val="auto"/>
        </w:rPr>
      </w:pPr>
      <w:r w:rsidRPr="00F460CE">
        <w:rPr>
          <w:color w:val="auto"/>
        </w:rPr>
        <w:lastRenderedPageBreak/>
        <w:t>Pop-Eleches, G. (2007) "Between Historical Legacies and the Promise of Western Integration: Democratic Conditionality after Communism", </w:t>
      </w:r>
      <w:r w:rsidRPr="00F460CE">
        <w:rPr>
          <w:i/>
          <w:color w:val="auto"/>
        </w:rPr>
        <w:t>East European Politics &amp; Societies</w:t>
      </w:r>
      <w:r w:rsidRPr="00F460CE">
        <w:rPr>
          <w:color w:val="auto"/>
        </w:rPr>
        <w:t> 21(1): 142-161.</w:t>
      </w:r>
    </w:p>
    <w:p w14:paraId="57C25A55" w14:textId="43192C0B" w:rsidR="00A12A24" w:rsidRPr="00FB5177" w:rsidRDefault="00A12A24" w:rsidP="004F2FD8">
      <w:pPr>
        <w:spacing w:before="100" w:beforeAutospacing="1" w:line="480" w:lineRule="auto"/>
        <w:ind w:left="709" w:hanging="709"/>
        <w:jc w:val="left"/>
        <w:rPr>
          <w:color w:val="auto"/>
        </w:rPr>
      </w:pPr>
      <w:r>
        <w:t>Pridham, G. (2005) Designing Democracy: EU Enlargement and Regime Change in Postcommunist Europe. London: Palgrave Macmillan.</w:t>
      </w:r>
    </w:p>
    <w:p w14:paraId="60DB8257" w14:textId="77777777" w:rsidR="005050FF" w:rsidRPr="000F6D07" w:rsidRDefault="00EC6BE8" w:rsidP="004F2FD8">
      <w:pPr>
        <w:spacing w:before="100" w:beforeAutospacing="1" w:line="480" w:lineRule="auto"/>
        <w:ind w:left="709" w:hanging="709"/>
        <w:jc w:val="left"/>
        <w:rPr>
          <w:color w:val="auto"/>
        </w:rPr>
      </w:pPr>
      <w:r w:rsidRPr="000F6D07">
        <w:rPr>
          <w:color w:val="auto"/>
        </w:rPr>
        <w:t xml:space="preserve">Ray, L. (2003) “Reconsidering the Link between Incumbent Support and Pro-EU Opinion”. </w:t>
      </w:r>
      <w:r w:rsidRPr="000F6D07">
        <w:rPr>
          <w:i/>
          <w:color w:val="auto"/>
        </w:rPr>
        <w:t>European Union Politics</w:t>
      </w:r>
      <w:r w:rsidRPr="000F6D07">
        <w:rPr>
          <w:color w:val="auto"/>
        </w:rPr>
        <w:t xml:space="preserve"> 4(3): 259–279.</w:t>
      </w:r>
    </w:p>
    <w:p w14:paraId="60243F29" w14:textId="77777777" w:rsidR="00D635DE" w:rsidRDefault="00EC6BE8" w:rsidP="00D635DE">
      <w:pPr>
        <w:spacing w:before="100" w:beforeAutospacing="1" w:line="480" w:lineRule="auto"/>
        <w:ind w:left="709" w:hanging="709"/>
        <w:jc w:val="left"/>
        <w:rPr>
          <w:color w:val="auto"/>
        </w:rPr>
      </w:pPr>
      <w:r w:rsidRPr="000F6D07">
        <w:rPr>
          <w:color w:val="auto"/>
        </w:rPr>
        <w:t>Recchi, E. &amp; Kuhn, T. (2013) “Europeans’ Space Sets and the Political Legitimacy of the EU</w:t>
      </w:r>
      <w:r w:rsidR="00987880" w:rsidRPr="000F6D07">
        <w:rPr>
          <w:color w:val="auto"/>
        </w:rPr>
        <w:t>”</w:t>
      </w:r>
      <w:r w:rsidRPr="000F6D07">
        <w:rPr>
          <w:color w:val="auto"/>
        </w:rPr>
        <w:t xml:space="preserve">. In Kauppi, N. (ed.): </w:t>
      </w:r>
      <w:r w:rsidRPr="000F6D07">
        <w:rPr>
          <w:i/>
          <w:color w:val="auto"/>
        </w:rPr>
        <w:t>A Political Sociology of Transnational Europe.</w:t>
      </w:r>
      <w:r w:rsidRPr="000F6D07">
        <w:rPr>
          <w:color w:val="auto"/>
        </w:rPr>
        <w:t xml:space="preserve"> Colchester: ECPR Press.</w:t>
      </w:r>
      <w:r w:rsidR="00D635DE">
        <w:rPr>
          <w:color w:val="auto"/>
        </w:rPr>
        <w:t xml:space="preserve"> </w:t>
      </w:r>
    </w:p>
    <w:p w14:paraId="42710C2B" w14:textId="77777777" w:rsidR="00B83838" w:rsidRDefault="00582311" w:rsidP="00B83838">
      <w:pPr>
        <w:spacing w:before="100" w:beforeAutospacing="1" w:line="480" w:lineRule="auto"/>
        <w:ind w:left="709" w:hanging="709"/>
        <w:jc w:val="left"/>
        <w:rPr>
          <w:rStyle w:val="singlehighlightclass"/>
        </w:rPr>
      </w:pPr>
      <w:r w:rsidRPr="00D635DE">
        <w:rPr>
          <w:rStyle w:val="singlehighlightclass"/>
        </w:rPr>
        <w:t xml:space="preserve">Sánchez-Cuenca, I. </w:t>
      </w:r>
      <w:r w:rsidR="00D635DE" w:rsidRPr="00D635DE">
        <w:rPr>
          <w:rStyle w:val="singlehighlightclass"/>
        </w:rPr>
        <w:t>(</w:t>
      </w:r>
      <w:r w:rsidRPr="00D635DE">
        <w:rPr>
          <w:rStyle w:val="singlehighlightclass"/>
        </w:rPr>
        <w:t>2000</w:t>
      </w:r>
      <w:r w:rsidR="00D635DE" w:rsidRPr="00D635DE">
        <w:rPr>
          <w:rStyle w:val="singlehighlightclass"/>
        </w:rPr>
        <w:t>)</w:t>
      </w:r>
      <w:r w:rsidRPr="00D635DE">
        <w:rPr>
          <w:rStyle w:val="singlehighlightclass"/>
        </w:rPr>
        <w:t xml:space="preserve"> "The Politica</w:t>
      </w:r>
      <w:r w:rsidR="00D635DE" w:rsidRPr="00D635DE">
        <w:rPr>
          <w:rStyle w:val="singlehighlightclass"/>
        </w:rPr>
        <w:t xml:space="preserve">l Basis of Support for European </w:t>
      </w:r>
      <w:r w:rsidRPr="00D635DE">
        <w:rPr>
          <w:rStyle w:val="singlehighlightclass"/>
        </w:rPr>
        <w:t>Integration", </w:t>
      </w:r>
      <w:r w:rsidR="00D635DE" w:rsidRPr="00F460CE">
        <w:rPr>
          <w:rStyle w:val="singlehighlightclass"/>
          <w:i/>
        </w:rPr>
        <w:t>European Union Politics</w:t>
      </w:r>
      <w:r w:rsidR="00D635DE" w:rsidRPr="00D635DE">
        <w:rPr>
          <w:rStyle w:val="singlehighlightclass"/>
        </w:rPr>
        <w:t xml:space="preserve"> 1(</w:t>
      </w:r>
      <w:r w:rsidRPr="00D635DE">
        <w:rPr>
          <w:rStyle w:val="singlehighlightclass"/>
        </w:rPr>
        <w:t>2</w:t>
      </w:r>
      <w:r w:rsidR="00D635DE" w:rsidRPr="00D635DE">
        <w:rPr>
          <w:rStyle w:val="singlehighlightclass"/>
        </w:rPr>
        <w:t>):</w:t>
      </w:r>
      <w:r w:rsidRPr="00D635DE">
        <w:rPr>
          <w:rStyle w:val="singlehighlightclass"/>
        </w:rPr>
        <w:t xml:space="preserve"> 147-171.</w:t>
      </w:r>
    </w:p>
    <w:p w14:paraId="59CAC6D8" w14:textId="07F0D48E" w:rsidR="00B83838" w:rsidRDefault="00B83838" w:rsidP="00D635DE">
      <w:pPr>
        <w:spacing w:before="100" w:beforeAutospacing="1" w:line="480" w:lineRule="auto"/>
        <w:ind w:left="709" w:hanging="709"/>
        <w:jc w:val="left"/>
        <w:rPr>
          <w:rStyle w:val="singlehighlightclass"/>
        </w:rPr>
      </w:pPr>
      <w:r w:rsidRPr="00B83838">
        <w:rPr>
          <w:rStyle w:val="singlehighlightclass"/>
        </w:rPr>
        <w:lastRenderedPageBreak/>
        <w:t>Schimmelfennig, F. (2007) "European Regional Organizations, Political Conditionality, and Democratic Transformation in Eastern Europe", </w:t>
      </w:r>
      <w:r w:rsidRPr="00F460CE">
        <w:rPr>
          <w:rStyle w:val="singlehighlightclass"/>
          <w:i/>
        </w:rPr>
        <w:t>East European Politics &amp; Societies</w:t>
      </w:r>
      <w:r>
        <w:rPr>
          <w:rStyle w:val="singlehighlightclass"/>
        </w:rPr>
        <w:t xml:space="preserve"> 21(</w:t>
      </w:r>
      <w:r w:rsidRPr="00B83838">
        <w:rPr>
          <w:rStyle w:val="singlehighlightclass"/>
        </w:rPr>
        <w:t>1</w:t>
      </w:r>
      <w:r>
        <w:rPr>
          <w:rStyle w:val="singlehighlightclass"/>
        </w:rPr>
        <w:t xml:space="preserve">): </w:t>
      </w:r>
      <w:r w:rsidRPr="00B83838">
        <w:rPr>
          <w:rStyle w:val="singlehighlightclass"/>
        </w:rPr>
        <w:t>126-141.</w:t>
      </w:r>
    </w:p>
    <w:p w14:paraId="03E1392C" w14:textId="4590EF35" w:rsidR="0086427D" w:rsidRPr="0086427D" w:rsidRDefault="0086427D" w:rsidP="00D635DE">
      <w:pPr>
        <w:spacing w:before="100" w:beforeAutospacing="1" w:line="480" w:lineRule="auto"/>
        <w:ind w:left="709" w:hanging="709"/>
        <w:jc w:val="left"/>
        <w:rPr>
          <w:rStyle w:val="singlehighlightclass"/>
        </w:rPr>
      </w:pPr>
      <w:r>
        <w:rPr>
          <w:rStyle w:val="singlehighlightclass"/>
        </w:rPr>
        <w:t>Schimmelfennig, F. and</w:t>
      </w:r>
      <w:r w:rsidRPr="0086427D">
        <w:rPr>
          <w:rStyle w:val="singlehighlightclass"/>
        </w:rPr>
        <w:t xml:space="preserve"> Sedelmeier</w:t>
      </w:r>
      <w:r>
        <w:rPr>
          <w:rStyle w:val="singlehighlightclass"/>
        </w:rPr>
        <w:t>,</w:t>
      </w:r>
      <w:r w:rsidRPr="0086427D">
        <w:rPr>
          <w:rStyle w:val="singlehighlightclass"/>
        </w:rPr>
        <w:t xml:space="preserve"> U. (2008) Candidate Countries and Conditionalit</w:t>
      </w:r>
      <w:r>
        <w:rPr>
          <w:rStyle w:val="singlehighlightclass"/>
        </w:rPr>
        <w:t>y. In: Graziano P., Vink M.P. (E</w:t>
      </w:r>
      <w:r w:rsidRPr="0086427D">
        <w:rPr>
          <w:rStyle w:val="singlehighlightclass"/>
        </w:rPr>
        <w:t>ds) Europeanization. Palgrave Macmillan, London</w:t>
      </w:r>
      <w:r>
        <w:rPr>
          <w:rStyle w:val="singlehighlightclass"/>
        </w:rPr>
        <w:t xml:space="preserve">. </w:t>
      </w:r>
    </w:p>
    <w:p w14:paraId="05C0F82F" w14:textId="77777777" w:rsidR="00662497" w:rsidRPr="00EB370A" w:rsidRDefault="00D635DE" w:rsidP="00D635DE">
      <w:pPr>
        <w:spacing w:before="100" w:beforeAutospacing="1" w:line="480" w:lineRule="auto"/>
        <w:ind w:left="709" w:hanging="709"/>
        <w:jc w:val="left"/>
        <w:rPr>
          <w:color w:val="000000" w:themeColor="text1"/>
        </w:rPr>
      </w:pPr>
      <w:r w:rsidRPr="00EB370A">
        <w:rPr>
          <w:color w:val="000000" w:themeColor="text1"/>
        </w:rPr>
        <w:t>Schuck, A.R.T. and D</w:t>
      </w:r>
      <w:r w:rsidR="00662497" w:rsidRPr="00EB370A">
        <w:rPr>
          <w:color w:val="000000" w:themeColor="text1"/>
        </w:rPr>
        <w:t xml:space="preserve">e Vreese, C.H. </w:t>
      </w:r>
      <w:r w:rsidRPr="00EB370A">
        <w:rPr>
          <w:color w:val="000000" w:themeColor="text1"/>
        </w:rPr>
        <w:t>(</w:t>
      </w:r>
      <w:r w:rsidR="00662497" w:rsidRPr="00EB370A">
        <w:rPr>
          <w:color w:val="000000" w:themeColor="text1"/>
        </w:rPr>
        <w:t>2006</w:t>
      </w:r>
      <w:r w:rsidRPr="00EB370A">
        <w:rPr>
          <w:color w:val="000000" w:themeColor="text1"/>
        </w:rPr>
        <w:t>)</w:t>
      </w:r>
      <w:r w:rsidR="00662497" w:rsidRPr="00EB370A">
        <w:rPr>
          <w:color w:val="000000" w:themeColor="text1"/>
        </w:rPr>
        <w:t xml:space="preserve"> "Between Risk and Opportunity: News Framing and its Effects on Public Support for EU Enlargement", </w:t>
      </w:r>
      <w:r w:rsidR="00662497" w:rsidRPr="00EB370A">
        <w:rPr>
          <w:i/>
          <w:iCs/>
          <w:color w:val="000000" w:themeColor="text1"/>
        </w:rPr>
        <w:t>Eur</w:t>
      </w:r>
      <w:r w:rsidRPr="00EB370A">
        <w:rPr>
          <w:i/>
          <w:iCs/>
          <w:color w:val="000000" w:themeColor="text1"/>
        </w:rPr>
        <w:t xml:space="preserve">opean Journal of Communication </w:t>
      </w:r>
      <w:r w:rsidR="00662497" w:rsidRPr="00EB370A">
        <w:rPr>
          <w:color w:val="000000" w:themeColor="text1"/>
        </w:rPr>
        <w:t>21</w:t>
      </w:r>
      <w:r w:rsidRPr="00EB370A">
        <w:rPr>
          <w:color w:val="000000" w:themeColor="text1"/>
        </w:rPr>
        <w:t xml:space="preserve">(1): </w:t>
      </w:r>
      <w:r w:rsidR="00662497" w:rsidRPr="00EB370A">
        <w:rPr>
          <w:color w:val="000000" w:themeColor="text1"/>
        </w:rPr>
        <w:t>5-32.</w:t>
      </w:r>
    </w:p>
    <w:p w14:paraId="56FDDA12" w14:textId="550595AE" w:rsidR="005050FF" w:rsidRPr="000F6D07" w:rsidRDefault="001B73DB" w:rsidP="004F2FD8">
      <w:pPr>
        <w:spacing w:before="100" w:beforeAutospacing="1" w:line="480" w:lineRule="auto"/>
        <w:ind w:left="709" w:hanging="709"/>
        <w:jc w:val="left"/>
        <w:rPr>
          <w:color w:val="auto"/>
        </w:rPr>
      </w:pPr>
      <w:r>
        <w:rPr>
          <w:color w:val="auto"/>
        </w:rPr>
        <w:t>Tanas</w:t>
      </w:r>
      <w:r w:rsidR="00EC6BE8" w:rsidRPr="000F6D07">
        <w:rPr>
          <w:color w:val="auto"/>
        </w:rPr>
        <w:t xml:space="preserve">oiu, C. and Colonescu, C. (2008) “Determinants of Support for European Integration: The Case of Bulgaria”. </w:t>
      </w:r>
      <w:r w:rsidR="00EC6BE8" w:rsidRPr="000F6D07">
        <w:rPr>
          <w:i/>
          <w:color w:val="auto"/>
        </w:rPr>
        <w:t>European Union Politics</w:t>
      </w:r>
      <w:r w:rsidR="00EC6BE8" w:rsidRPr="000F6D07">
        <w:rPr>
          <w:color w:val="auto"/>
        </w:rPr>
        <w:t xml:space="preserve"> 9(3): 363-377.</w:t>
      </w:r>
    </w:p>
    <w:p w14:paraId="63A3CAD0" w14:textId="77777777" w:rsidR="005050FF" w:rsidRPr="000F6D07" w:rsidRDefault="00EC6BE8" w:rsidP="004F2FD8">
      <w:pPr>
        <w:spacing w:before="100" w:beforeAutospacing="1" w:line="480" w:lineRule="auto"/>
        <w:ind w:left="709" w:hanging="709"/>
        <w:jc w:val="left"/>
        <w:rPr>
          <w:color w:val="auto"/>
        </w:rPr>
      </w:pPr>
      <w:r w:rsidRPr="000F6D07">
        <w:rPr>
          <w:color w:val="auto"/>
        </w:rPr>
        <w:lastRenderedPageBreak/>
        <w:t xml:space="preserve">Tucker, J.A., Pacek, A.C. and Berinsky, A.J. (2002) “Transitional Winners and Losers: Attitudes toward EU Membership in Post-Communist Countries”, </w:t>
      </w:r>
      <w:r w:rsidRPr="000F6D07">
        <w:rPr>
          <w:i/>
          <w:color w:val="auto"/>
        </w:rPr>
        <w:t>American</w:t>
      </w:r>
      <w:r w:rsidRPr="000F6D07">
        <w:rPr>
          <w:color w:val="auto"/>
        </w:rPr>
        <w:t xml:space="preserve"> </w:t>
      </w:r>
      <w:r w:rsidRPr="000F6D07">
        <w:rPr>
          <w:i/>
          <w:color w:val="auto"/>
        </w:rPr>
        <w:t>Journal of Political Science</w:t>
      </w:r>
      <w:r w:rsidRPr="000F6D07">
        <w:rPr>
          <w:color w:val="auto"/>
        </w:rPr>
        <w:t xml:space="preserve"> 46 (3), 557–71.</w:t>
      </w:r>
    </w:p>
    <w:p w14:paraId="1DA88B72" w14:textId="77777777" w:rsidR="00EB370A" w:rsidRDefault="008A7F1F" w:rsidP="00EB370A">
      <w:pPr>
        <w:spacing w:before="100" w:beforeAutospacing="1" w:line="480" w:lineRule="auto"/>
        <w:ind w:left="709" w:hanging="709"/>
        <w:jc w:val="left"/>
      </w:pPr>
      <w:r w:rsidRPr="000F6D07">
        <w:t xml:space="preserve">Verhaegen, S., Hooghe, M., and Quintelier, E. (2014). “European identity and support for European integration: A matter of perceived economic benefits?” </w:t>
      </w:r>
      <w:r w:rsidRPr="000F6D07">
        <w:rPr>
          <w:i/>
        </w:rPr>
        <w:t>Kyklos</w:t>
      </w:r>
      <w:r w:rsidRPr="000F6D07">
        <w:t xml:space="preserve"> 67: 295- 314.</w:t>
      </w:r>
    </w:p>
    <w:p w14:paraId="65FA4DE2" w14:textId="77777777" w:rsidR="004978CC" w:rsidRDefault="00662497" w:rsidP="004978CC">
      <w:pPr>
        <w:spacing w:before="100" w:beforeAutospacing="1" w:line="480" w:lineRule="auto"/>
        <w:ind w:left="709" w:hanging="709"/>
        <w:jc w:val="left"/>
        <w:rPr>
          <w:color w:val="000000" w:themeColor="text1"/>
        </w:rPr>
      </w:pPr>
      <w:r w:rsidRPr="00EB370A">
        <w:rPr>
          <w:color w:val="000000" w:themeColor="text1"/>
        </w:rPr>
        <w:t>Vliegenthart, R., Sch</w:t>
      </w:r>
      <w:r w:rsidR="00EB370A" w:rsidRPr="00EB370A">
        <w:rPr>
          <w:color w:val="000000" w:themeColor="text1"/>
        </w:rPr>
        <w:t>uck, A.R.T., Boomgaarden, H.G. and D</w:t>
      </w:r>
      <w:r w:rsidRPr="00EB370A">
        <w:rPr>
          <w:color w:val="000000" w:themeColor="text1"/>
        </w:rPr>
        <w:t xml:space="preserve">e Vreese, C.H. </w:t>
      </w:r>
      <w:r w:rsidR="00EB370A" w:rsidRPr="00EB370A">
        <w:rPr>
          <w:color w:val="000000" w:themeColor="text1"/>
        </w:rPr>
        <w:t>(</w:t>
      </w:r>
      <w:r w:rsidRPr="00EB370A">
        <w:rPr>
          <w:color w:val="000000" w:themeColor="text1"/>
        </w:rPr>
        <w:t>2008</w:t>
      </w:r>
      <w:r w:rsidR="00EB370A" w:rsidRPr="00EB370A">
        <w:rPr>
          <w:color w:val="000000" w:themeColor="text1"/>
        </w:rPr>
        <w:t>)</w:t>
      </w:r>
      <w:r w:rsidRPr="00EB370A">
        <w:rPr>
          <w:color w:val="000000" w:themeColor="text1"/>
        </w:rPr>
        <w:t xml:space="preserve"> "News coverage and support for European integration, 1990-2006", </w:t>
      </w:r>
      <w:r w:rsidRPr="00EB370A">
        <w:rPr>
          <w:i/>
          <w:iCs/>
          <w:color w:val="000000" w:themeColor="text1"/>
        </w:rPr>
        <w:t>International Journal</w:t>
      </w:r>
      <w:r w:rsidR="00EB370A" w:rsidRPr="00EB370A">
        <w:rPr>
          <w:i/>
          <w:iCs/>
          <w:color w:val="000000" w:themeColor="text1"/>
        </w:rPr>
        <w:t xml:space="preserve"> of Public Opinion Research </w:t>
      </w:r>
      <w:r w:rsidRPr="00EB370A">
        <w:rPr>
          <w:color w:val="000000" w:themeColor="text1"/>
        </w:rPr>
        <w:t>20</w:t>
      </w:r>
      <w:r w:rsidR="00EB370A" w:rsidRPr="00EB370A">
        <w:rPr>
          <w:color w:val="000000" w:themeColor="text1"/>
        </w:rPr>
        <w:t>(</w:t>
      </w:r>
      <w:r w:rsidRPr="00EB370A">
        <w:rPr>
          <w:color w:val="000000" w:themeColor="text1"/>
        </w:rPr>
        <w:t>4</w:t>
      </w:r>
      <w:r w:rsidR="00EB370A" w:rsidRPr="00EB370A">
        <w:rPr>
          <w:color w:val="000000" w:themeColor="text1"/>
        </w:rPr>
        <w:t>):</w:t>
      </w:r>
      <w:r w:rsidRPr="00EB370A">
        <w:rPr>
          <w:color w:val="000000" w:themeColor="text1"/>
        </w:rPr>
        <w:t xml:space="preserve"> 415-439.</w:t>
      </w:r>
    </w:p>
    <w:p w14:paraId="4E8ABD27" w14:textId="77777777" w:rsidR="004978CC" w:rsidRPr="004978CC" w:rsidRDefault="004978CC" w:rsidP="004978CC">
      <w:pPr>
        <w:spacing w:before="100" w:beforeAutospacing="1" w:line="480" w:lineRule="auto"/>
        <w:ind w:left="709" w:hanging="709"/>
        <w:jc w:val="left"/>
        <w:rPr>
          <w:color w:val="000000" w:themeColor="text1"/>
        </w:rPr>
      </w:pPr>
      <w:r w:rsidRPr="004978CC">
        <w:t xml:space="preserve">Yamron, E. (2017) “Serbian Subversion: How the European Union is Failing in the Balkans”, </w:t>
      </w:r>
      <w:r w:rsidRPr="004978CC">
        <w:rPr>
          <w:i/>
        </w:rPr>
        <w:t>Brown Political Review</w:t>
      </w:r>
      <w:r w:rsidRPr="004978CC">
        <w:t xml:space="preserve">, published on </w:t>
      </w:r>
      <w:r w:rsidRPr="004978CC">
        <w:lastRenderedPageBreak/>
        <w:t xml:space="preserve">May 11, 2017. Available online at </w:t>
      </w:r>
      <w:hyperlink r:id="rId12" w:history="1">
        <w:r w:rsidRPr="00BB4A77">
          <w:rPr>
            <w:rStyle w:val="Hyperlink"/>
          </w:rPr>
          <w:t>http://www.brownpoliticalreview.org/2017/05/serbian-subversion-european-union-failing-balkans/</w:t>
        </w:r>
      </w:hyperlink>
      <w:r>
        <w:t xml:space="preserve"> </w:t>
      </w:r>
    </w:p>
    <w:p w14:paraId="18594C41" w14:textId="77777777" w:rsidR="00184B6B" w:rsidRDefault="00EC6BE8" w:rsidP="004F2FD8">
      <w:pPr>
        <w:spacing w:before="100" w:beforeAutospacing="1" w:line="480" w:lineRule="auto"/>
        <w:ind w:left="709" w:hanging="709"/>
        <w:jc w:val="left"/>
        <w:rPr>
          <w:color w:val="auto"/>
        </w:rPr>
        <w:sectPr w:rsidR="00184B6B">
          <w:footerReference w:type="default" r:id="rId13"/>
          <w:pgSz w:w="11906" w:h="16838"/>
          <w:pgMar w:top="1440" w:right="1440" w:bottom="1440" w:left="1440" w:header="720" w:footer="720" w:gutter="0"/>
          <w:pgNumType w:start="1"/>
          <w:cols w:space="720"/>
        </w:sectPr>
      </w:pPr>
      <w:r w:rsidRPr="000F6D07">
        <w:rPr>
          <w:color w:val="auto"/>
        </w:rPr>
        <w:t xml:space="preserve">Zimmerman, W. (1987) </w:t>
      </w:r>
      <w:r w:rsidRPr="000F6D07">
        <w:rPr>
          <w:i/>
          <w:color w:val="auto"/>
        </w:rPr>
        <w:t>Open Borders, Nonalignment,</w:t>
      </w:r>
      <w:r w:rsidR="00F648CC" w:rsidRPr="000F6D07">
        <w:rPr>
          <w:i/>
          <w:color w:val="auto"/>
        </w:rPr>
        <w:t xml:space="preserve"> and the Political Evolution of </w:t>
      </w:r>
      <w:r w:rsidRPr="000F6D07">
        <w:rPr>
          <w:i/>
          <w:color w:val="auto"/>
        </w:rPr>
        <w:t xml:space="preserve">Yugoslavia. </w:t>
      </w:r>
      <w:r w:rsidRPr="000F6D07">
        <w:rPr>
          <w:color w:val="auto"/>
        </w:rPr>
        <w:t>Princeton: Princeton University Press.</w:t>
      </w:r>
    </w:p>
    <w:p w14:paraId="33365DB8" w14:textId="77777777" w:rsidR="00184B6B" w:rsidRPr="00184B6B" w:rsidRDefault="00184B6B" w:rsidP="00184B6B">
      <w:pPr>
        <w:spacing w:line="240" w:lineRule="auto"/>
        <w:ind w:firstLine="0"/>
        <w:jc w:val="left"/>
        <w:rPr>
          <w:b/>
          <w:color w:val="auto"/>
        </w:rPr>
      </w:pPr>
      <w:r w:rsidRPr="00184B6B">
        <w:rPr>
          <w:b/>
          <w:color w:val="auto"/>
        </w:rPr>
        <w:lastRenderedPageBreak/>
        <w:t>Supplementary Appendix for the article:</w:t>
      </w:r>
    </w:p>
    <w:p w14:paraId="47B62007" w14:textId="77777777" w:rsidR="00184B6B" w:rsidRPr="00184B6B" w:rsidRDefault="00184B6B" w:rsidP="00184B6B">
      <w:pPr>
        <w:spacing w:line="240" w:lineRule="auto"/>
        <w:ind w:firstLine="0"/>
        <w:jc w:val="left"/>
        <w:rPr>
          <w:b/>
          <w:color w:val="auto"/>
        </w:rPr>
      </w:pPr>
    </w:p>
    <w:p w14:paraId="30F7919F" w14:textId="77777777" w:rsidR="00184B6B" w:rsidRPr="00184B6B" w:rsidRDefault="00184B6B" w:rsidP="00184B6B">
      <w:pPr>
        <w:spacing w:line="240" w:lineRule="auto"/>
        <w:ind w:firstLine="0"/>
        <w:jc w:val="left"/>
        <w:rPr>
          <w:b/>
          <w:i/>
          <w:iCs/>
          <w:szCs w:val="28"/>
        </w:rPr>
      </w:pPr>
      <w:r w:rsidRPr="00184B6B">
        <w:rPr>
          <w:b/>
          <w:color w:val="auto"/>
          <w:sz w:val="22"/>
        </w:rPr>
        <w:t>“</w:t>
      </w:r>
      <w:r w:rsidRPr="00184B6B">
        <w:rPr>
          <w:b/>
          <w:i/>
          <w:iCs/>
          <w:szCs w:val="28"/>
        </w:rPr>
        <w:t>To Europe or not to Europe? Migration and public support for joining the European Union in the Western Balkans”</w:t>
      </w:r>
    </w:p>
    <w:p w14:paraId="249A5BE0" w14:textId="77777777" w:rsidR="00184B6B" w:rsidRPr="00184B6B" w:rsidRDefault="00184B6B" w:rsidP="00184B6B">
      <w:pPr>
        <w:spacing w:after="200" w:line="276" w:lineRule="auto"/>
        <w:ind w:firstLine="0"/>
        <w:jc w:val="left"/>
        <w:rPr>
          <w:rFonts w:eastAsiaTheme="minorHAnsi"/>
          <w:color w:val="auto"/>
          <w:sz w:val="22"/>
          <w:szCs w:val="22"/>
          <w:lang w:eastAsia="en-US"/>
        </w:rPr>
      </w:pPr>
    </w:p>
    <w:p w14:paraId="50C3756B"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t xml:space="preserve">This document contains:  </w:t>
      </w:r>
    </w:p>
    <w:p w14:paraId="757C69ED" w14:textId="77777777" w:rsidR="00184B6B" w:rsidRPr="00184B6B" w:rsidRDefault="00184B6B" w:rsidP="00184B6B">
      <w:pPr>
        <w:numPr>
          <w:ilvl w:val="0"/>
          <w:numId w:val="21"/>
        </w:numPr>
        <w:spacing w:after="200" w:line="276" w:lineRule="auto"/>
        <w:ind w:left="426"/>
        <w:contextualSpacing/>
        <w:jc w:val="left"/>
        <w:rPr>
          <w:rFonts w:eastAsiaTheme="minorHAnsi"/>
          <w:color w:val="auto"/>
          <w:szCs w:val="22"/>
          <w:lang w:eastAsia="en-US"/>
        </w:rPr>
      </w:pPr>
      <w:r w:rsidRPr="00184B6B">
        <w:rPr>
          <w:rFonts w:eastAsiaTheme="minorHAnsi"/>
          <w:color w:val="auto"/>
          <w:szCs w:val="22"/>
          <w:lang w:eastAsia="en-US"/>
        </w:rPr>
        <w:t>Summary statistics about the variables included in the analysis (Table A1, page 2)</w:t>
      </w:r>
    </w:p>
    <w:p w14:paraId="40F8A40E" w14:textId="77777777" w:rsidR="00184B6B" w:rsidRPr="00184B6B" w:rsidRDefault="00184B6B" w:rsidP="00184B6B">
      <w:pPr>
        <w:numPr>
          <w:ilvl w:val="0"/>
          <w:numId w:val="21"/>
        </w:numPr>
        <w:spacing w:after="200" w:line="276" w:lineRule="auto"/>
        <w:ind w:left="426"/>
        <w:contextualSpacing/>
        <w:jc w:val="left"/>
        <w:rPr>
          <w:rFonts w:eastAsiaTheme="minorHAnsi"/>
          <w:color w:val="auto"/>
          <w:szCs w:val="22"/>
          <w:lang w:eastAsia="en-US"/>
        </w:rPr>
      </w:pPr>
      <w:r w:rsidRPr="00184B6B">
        <w:rPr>
          <w:rFonts w:eastAsiaTheme="minorHAnsi"/>
          <w:color w:val="auto"/>
          <w:szCs w:val="22"/>
          <w:lang w:eastAsia="en-US"/>
        </w:rPr>
        <w:t>Complete econometric output for Tables 1, 2 and 3 (Tables A2, A3 and A4 on page 3, 5 and 7, respectively).</w:t>
      </w:r>
    </w:p>
    <w:p w14:paraId="18443EDC"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br w:type="page"/>
      </w:r>
    </w:p>
    <w:p w14:paraId="0D2C2DCE" w14:textId="77777777" w:rsidR="00184B6B" w:rsidRPr="00184B6B" w:rsidRDefault="00184B6B" w:rsidP="00184B6B">
      <w:pPr>
        <w:spacing w:after="200" w:line="276" w:lineRule="auto"/>
        <w:ind w:firstLine="0"/>
        <w:jc w:val="both"/>
        <w:rPr>
          <w:rFonts w:eastAsiaTheme="minorHAnsi"/>
          <w:color w:val="auto"/>
          <w:szCs w:val="20"/>
          <w:lang w:eastAsia="en-US"/>
        </w:rPr>
      </w:pPr>
      <w:r w:rsidRPr="00184B6B">
        <w:rPr>
          <w:rFonts w:eastAsiaTheme="minorHAnsi"/>
          <w:color w:val="auto"/>
          <w:szCs w:val="20"/>
          <w:lang w:eastAsia="en-US"/>
        </w:rPr>
        <w:lastRenderedPageBreak/>
        <w:t xml:space="preserve">Table A1:  Summary statistics of the variables included in the analysis </w:t>
      </w:r>
    </w:p>
    <w:tbl>
      <w:tblPr>
        <w:tblW w:w="8314" w:type="dxa"/>
        <w:tblInd w:w="93" w:type="dxa"/>
        <w:tblLook w:val="04A0" w:firstRow="1" w:lastRow="0" w:firstColumn="1" w:lastColumn="0" w:noHBand="0" w:noVBand="1"/>
      </w:tblPr>
      <w:tblGrid>
        <w:gridCol w:w="4126"/>
        <w:gridCol w:w="960"/>
        <w:gridCol w:w="1308"/>
        <w:gridCol w:w="960"/>
        <w:gridCol w:w="960"/>
      </w:tblGrid>
      <w:tr w:rsidR="00184B6B" w:rsidRPr="00184B6B" w14:paraId="2CF64DC2" w14:textId="77777777" w:rsidTr="00B617ED">
        <w:trPr>
          <w:trHeight w:hRule="exact" w:val="284"/>
        </w:trPr>
        <w:tc>
          <w:tcPr>
            <w:tcW w:w="4126" w:type="dxa"/>
            <w:tcBorders>
              <w:top w:val="single" w:sz="4" w:space="0" w:color="auto"/>
              <w:left w:val="nil"/>
              <w:bottom w:val="single" w:sz="4" w:space="0" w:color="auto"/>
              <w:right w:val="nil"/>
            </w:tcBorders>
            <w:noWrap/>
            <w:vAlign w:val="bottom"/>
          </w:tcPr>
          <w:p w14:paraId="72E5EDEE" w14:textId="77777777" w:rsidR="00184B6B" w:rsidRPr="00184B6B" w:rsidRDefault="00184B6B" w:rsidP="00184B6B">
            <w:pPr>
              <w:spacing w:after="200" w:line="240" w:lineRule="auto"/>
              <w:ind w:firstLine="0"/>
              <w:jc w:val="left"/>
              <w:rPr>
                <w:rFonts w:eastAsiaTheme="minorHAnsi"/>
                <w:color w:val="auto"/>
                <w:sz w:val="20"/>
                <w:szCs w:val="20"/>
                <w:lang w:eastAsia="en-US"/>
              </w:rPr>
            </w:pPr>
          </w:p>
        </w:tc>
        <w:tc>
          <w:tcPr>
            <w:tcW w:w="960" w:type="dxa"/>
            <w:tcBorders>
              <w:top w:val="single" w:sz="4" w:space="0" w:color="auto"/>
              <w:left w:val="nil"/>
              <w:bottom w:val="single" w:sz="4" w:space="0" w:color="auto"/>
              <w:right w:val="nil"/>
            </w:tcBorders>
            <w:noWrap/>
            <w:vAlign w:val="bottom"/>
            <w:hideMark/>
          </w:tcPr>
          <w:p w14:paraId="79E5C93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Mean</w:t>
            </w:r>
          </w:p>
        </w:tc>
        <w:tc>
          <w:tcPr>
            <w:tcW w:w="1308" w:type="dxa"/>
            <w:tcBorders>
              <w:top w:val="single" w:sz="4" w:space="0" w:color="auto"/>
              <w:left w:val="nil"/>
              <w:bottom w:val="single" w:sz="4" w:space="0" w:color="auto"/>
              <w:right w:val="nil"/>
            </w:tcBorders>
            <w:noWrap/>
            <w:vAlign w:val="bottom"/>
            <w:hideMark/>
          </w:tcPr>
          <w:p w14:paraId="7F64D8E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Std. Dev.</w:t>
            </w:r>
          </w:p>
        </w:tc>
        <w:tc>
          <w:tcPr>
            <w:tcW w:w="960" w:type="dxa"/>
            <w:tcBorders>
              <w:top w:val="single" w:sz="4" w:space="0" w:color="auto"/>
              <w:left w:val="nil"/>
              <w:bottom w:val="single" w:sz="4" w:space="0" w:color="auto"/>
              <w:right w:val="nil"/>
            </w:tcBorders>
            <w:noWrap/>
            <w:vAlign w:val="bottom"/>
            <w:hideMark/>
          </w:tcPr>
          <w:p w14:paraId="5AE32B3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Min</w:t>
            </w:r>
          </w:p>
        </w:tc>
        <w:tc>
          <w:tcPr>
            <w:tcW w:w="960" w:type="dxa"/>
            <w:tcBorders>
              <w:top w:val="single" w:sz="4" w:space="0" w:color="auto"/>
              <w:left w:val="nil"/>
              <w:bottom w:val="single" w:sz="4" w:space="0" w:color="auto"/>
              <w:right w:val="nil"/>
            </w:tcBorders>
            <w:noWrap/>
            <w:vAlign w:val="bottom"/>
            <w:hideMark/>
          </w:tcPr>
          <w:p w14:paraId="57FD56C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Max</w:t>
            </w:r>
          </w:p>
        </w:tc>
      </w:tr>
      <w:tr w:rsidR="00184B6B" w:rsidRPr="00184B6B" w14:paraId="69BA4B50" w14:textId="77777777" w:rsidTr="00B617ED">
        <w:trPr>
          <w:trHeight w:hRule="exact" w:val="284"/>
        </w:trPr>
        <w:tc>
          <w:tcPr>
            <w:tcW w:w="4126" w:type="dxa"/>
            <w:tcBorders>
              <w:top w:val="single" w:sz="4" w:space="0" w:color="auto"/>
              <w:left w:val="nil"/>
              <w:bottom w:val="nil"/>
              <w:right w:val="nil"/>
            </w:tcBorders>
            <w:noWrap/>
            <w:vAlign w:val="bottom"/>
            <w:hideMark/>
          </w:tcPr>
          <w:p w14:paraId="0011D9E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Voting yes in a hypothetical EU referendum</w:t>
            </w:r>
          </w:p>
        </w:tc>
        <w:tc>
          <w:tcPr>
            <w:tcW w:w="960" w:type="dxa"/>
            <w:tcBorders>
              <w:top w:val="single" w:sz="4" w:space="0" w:color="auto"/>
              <w:left w:val="nil"/>
              <w:bottom w:val="nil"/>
              <w:right w:val="nil"/>
            </w:tcBorders>
            <w:noWrap/>
            <w:vAlign w:val="bottom"/>
            <w:hideMark/>
          </w:tcPr>
          <w:p w14:paraId="47E239C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0.839</w:t>
            </w:r>
          </w:p>
        </w:tc>
        <w:tc>
          <w:tcPr>
            <w:tcW w:w="1308" w:type="dxa"/>
            <w:tcBorders>
              <w:top w:val="single" w:sz="4" w:space="0" w:color="auto"/>
              <w:left w:val="nil"/>
              <w:bottom w:val="nil"/>
              <w:right w:val="nil"/>
            </w:tcBorders>
            <w:noWrap/>
            <w:vAlign w:val="bottom"/>
            <w:hideMark/>
          </w:tcPr>
          <w:p w14:paraId="4CCE871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0.368</w:t>
            </w:r>
          </w:p>
        </w:tc>
        <w:tc>
          <w:tcPr>
            <w:tcW w:w="960" w:type="dxa"/>
            <w:tcBorders>
              <w:top w:val="single" w:sz="4" w:space="0" w:color="auto"/>
              <w:left w:val="nil"/>
              <w:bottom w:val="nil"/>
              <w:right w:val="nil"/>
            </w:tcBorders>
            <w:noWrap/>
            <w:vAlign w:val="bottom"/>
            <w:hideMark/>
          </w:tcPr>
          <w:p w14:paraId="2A216D0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tcBorders>
              <w:top w:val="single" w:sz="4" w:space="0" w:color="auto"/>
              <w:left w:val="nil"/>
              <w:bottom w:val="nil"/>
              <w:right w:val="nil"/>
            </w:tcBorders>
            <w:noWrap/>
            <w:vAlign w:val="bottom"/>
            <w:hideMark/>
          </w:tcPr>
          <w:p w14:paraId="5F5F653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1E90021D" w14:textId="77777777" w:rsidTr="00B617ED">
        <w:trPr>
          <w:trHeight w:hRule="exact" w:val="284"/>
        </w:trPr>
        <w:tc>
          <w:tcPr>
            <w:tcW w:w="4126" w:type="dxa"/>
            <w:noWrap/>
            <w:vAlign w:val="bottom"/>
            <w:hideMark/>
          </w:tcPr>
          <w:p w14:paraId="2AE82A9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EU membership good thing</w:t>
            </w:r>
          </w:p>
        </w:tc>
        <w:tc>
          <w:tcPr>
            <w:tcW w:w="960" w:type="dxa"/>
            <w:noWrap/>
            <w:vAlign w:val="bottom"/>
            <w:hideMark/>
          </w:tcPr>
          <w:p w14:paraId="27B66CE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2.593</w:t>
            </w:r>
          </w:p>
        </w:tc>
        <w:tc>
          <w:tcPr>
            <w:tcW w:w="1308" w:type="dxa"/>
            <w:noWrap/>
            <w:vAlign w:val="bottom"/>
            <w:hideMark/>
          </w:tcPr>
          <w:p w14:paraId="1C7C741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0.686</w:t>
            </w:r>
          </w:p>
        </w:tc>
        <w:tc>
          <w:tcPr>
            <w:tcW w:w="960" w:type="dxa"/>
            <w:noWrap/>
            <w:vAlign w:val="bottom"/>
            <w:hideMark/>
          </w:tcPr>
          <w:p w14:paraId="6D7D991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c>
          <w:tcPr>
            <w:tcW w:w="960" w:type="dxa"/>
            <w:noWrap/>
            <w:vAlign w:val="bottom"/>
            <w:hideMark/>
          </w:tcPr>
          <w:p w14:paraId="0666532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3</w:t>
            </w:r>
          </w:p>
        </w:tc>
      </w:tr>
      <w:tr w:rsidR="00184B6B" w:rsidRPr="00184B6B" w14:paraId="49DB1E9C" w14:textId="77777777" w:rsidTr="00B617ED">
        <w:trPr>
          <w:trHeight w:hRule="exact" w:val="284"/>
        </w:trPr>
        <w:tc>
          <w:tcPr>
            <w:tcW w:w="4126" w:type="dxa"/>
            <w:noWrap/>
            <w:vAlign w:val="bottom"/>
            <w:hideMark/>
          </w:tcPr>
          <w:p w14:paraId="15ADE64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Well informed about the EU</w:t>
            </w:r>
          </w:p>
        </w:tc>
        <w:tc>
          <w:tcPr>
            <w:tcW w:w="960" w:type="dxa"/>
            <w:noWrap/>
            <w:vAlign w:val="bottom"/>
            <w:hideMark/>
          </w:tcPr>
          <w:p w14:paraId="4B691B0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2.572</w:t>
            </w:r>
          </w:p>
        </w:tc>
        <w:tc>
          <w:tcPr>
            <w:tcW w:w="1308" w:type="dxa"/>
            <w:noWrap/>
            <w:vAlign w:val="bottom"/>
            <w:hideMark/>
          </w:tcPr>
          <w:p w14:paraId="1A3E831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0.760</w:t>
            </w:r>
          </w:p>
        </w:tc>
        <w:tc>
          <w:tcPr>
            <w:tcW w:w="960" w:type="dxa"/>
            <w:noWrap/>
            <w:vAlign w:val="bottom"/>
            <w:hideMark/>
          </w:tcPr>
          <w:p w14:paraId="6B38790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c>
          <w:tcPr>
            <w:tcW w:w="960" w:type="dxa"/>
            <w:noWrap/>
            <w:vAlign w:val="bottom"/>
            <w:hideMark/>
          </w:tcPr>
          <w:p w14:paraId="7088C42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4</w:t>
            </w:r>
          </w:p>
        </w:tc>
      </w:tr>
      <w:tr w:rsidR="00184B6B" w:rsidRPr="00184B6B" w14:paraId="1776F00B" w14:textId="77777777" w:rsidTr="00B617ED">
        <w:trPr>
          <w:trHeight w:hRule="exact" w:val="284"/>
        </w:trPr>
        <w:tc>
          <w:tcPr>
            <w:tcW w:w="4126" w:type="dxa"/>
            <w:noWrap/>
            <w:vAlign w:val="bottom"/>
            <w:hideMark/>
          </w:tcPr>
          <w:p w14:paraId="763210E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Intentions to move (EU)</w:t>
            </w:r>
          </w:p>
        </w:tc>
        <w:tc>
          <w:tcPr>
            <w:tcW w:w="960" w:type="dxa"/>
            <w:noWrap/>
            <w:vAlign w:val="bottom"/>
            <w:hideMark/>
          </w:tcPr>
          <w:p w14:paraId="79C02E2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0.145</w:t>
            </w:r>
          </w:p>
        </w:tc>
        <w:tc>
          <w:tcPr>
            <w:tcW w:w="1308" w:type="dxa"/>
            <w:noWrap/>
            <w:vAlign w:val="bottom"/>
            <w:hideMark/>
          </w:tcPr>
          <w:p w14:paraId="5CB7C19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0.352</w:t>
            </w:r>
          </w:p>
        </w:tc>
        <w:tc>
          <w:tcPr>
            <w:tcW w:w="960" w:type="dxa"/>
            <w:noWrap/>
            <w:vAlign w:val="bottom"/>
            <w:hideMark/>
          </w:tcPr>
          <w:p w14:paraId="108BCBC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5E16458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43F7C0A" w14:textId="77777777" w:rsidTr="00B617ED">
        <w:trPr>
          <w:trHeight w:hRule="exact" w:val="284"/>
        </w:trPr>
        <w:tc>
          <w:tcPr>
            <w:tcW w:w="4126" w:type="dxa"/>
            <w:noWrap/>
            <w:vAlign w:val="bottom"/>
            <w:hideMark/>
          </w:tcPr>
          <w:p w14:paraId="48E383D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Intentions to move (non-EU)</w:t>
            </w:r>
          </w:p>
        </w:tc>
        <w:tc>
          <w:tcPr>
            <w:tcW w:w="960" w:type="dxa"/>
            <w:noWrap/>
            <w:vAlign w:val="bottom"/>
            <w:hideMark/>
          </w:tcPr>
          <w:p w14:paraId="5B46225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0.074</w:t>
            </w:r>
          </w:p>
        </w:tc>
        <w:tc>
          <w:tcPr>
            <w:tcW w:w="1308" w:type="dxa"/>
            <w:noWrap/>
            <w:vAlign w:val="bottom"/>
            <w:hideMark/>
          </w:tcPr>
          <w:p w14:paraId="2C9FCC1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0.263</w:t>
            </w:r>
          </w:p>
        </w:tc>
        <w:tc>
          <w:tcPr>
            <w:tcW w:w="960" w:type="dxa"/>
            <w:noWrap/>
            <w:vAlign w:val="bottom"/>
            <w:hideMark/>
          </w:tcPr>
          <w:p w14:paraId="0964F3C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00E820D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46EBE1E8" w14:textId="77777777" w:rsidTr="00B617ED">
        <w:trPr>
          <w:trHeight w:hRule="exact" w:val="284"/>
        </w:trPr>
        <w:tc>
          <w:tcPr>
            <w:tcW w:w="4126" w:type="dxa"/>
            <w:noWrap/>
            <w:vAlign w:val="bottom"/>
            <w:hideMark/>
          </w:tcPr>
          <w:p w14:paraId="7286797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Relatives abroad (EU)</w:t>
            </w:r>
          </w:p>
        </w:tc>
        <w:tc>
          <w:tcPr>
            <w:tcW w:w="960" w:type="dxa"/>
            <w:noWrap/>
            <w:vAlign w:val="bottom"/>
            <w:hideMark/>
          </w:tcPr>
          <w:p w14:paraId="2BEF2D9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0.256</w:t>
            </w:r>
          </w:p>
        </w:tc>
        <w:tc>
          <w:tcPr>
            <w:tcW w:w="1308" w:type="dxa"/>
            <w:noWrap/>
            <w:vAlign w:val="bottom"/>
            <w:hideMark/>
          </w:tcPr>
          <w:p w14:paraId="11B3CB0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0.436</w:t>
            </w:r>
          </w:p>
        </w:tc>
        <w:tc>
          <w:tcPr>
            <w:tcW w:w="960" w:type="dxa"/>
            <w:noWrap/>
            <w:vAlign w:val="bottom"/>
            <w:hideMark/>
          </w:tcPr>
          <w:p w14:paraId="39816E1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356A37C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4B84370" w14:textId="77777777" w:rsidTr="00B617ED">
        <w:trPr>
          <w:trHeight w:hRule="exact" w:val="284"/>
        </w:trPr>
        <w:tc>
          <w:tcPr>
            <w:tcW w:w="4126" w:type="dxa"/>
            <w:noWrap/>
            <w:vAlign w:val="bottom"/>
            <w:hideMark/>
          </w:tcPr>
          <w:p w14:paraId="624655B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Relatives abroad (non-EU)</w:t>
            </w:r>
          </w:p>
        </w:tc>
        <w:tc>
          <w:tcPr>
            <w:tcW w:w="960" w:type="dxa"/>
            <w:noWrap/>
            <w:vAlign w:val="bottom"/>
            <w:hideMark/>
          </w:tcPr>
          <w:p w14:paraId="3F538F3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0.102</w:t>
            </w:r>
          </w:p>
        </w:tc>
        <w:tc>
          <w:tcPr>
            <w:tcW w:w="1308" w:type="dxa"/>
            <w:noWrap/>
            <w:vAlign w:val="bottom"/>
            <w:hideMark/>
          </w:tcPr>
          <w:p w14:paraId="03AB331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0.303</w:t>
            </w:r>
          </w:p>
        </w:tc>
        <w:tc>
          <w:tcPr>
            <w:tcW w:w="960" w:type="dxa"/>
            <w:noWrap/>
            <w:vAlign w:val="bottom"/>
            <w:hideMark/>
          </w:tcPr>
          <w:p w14:paraId="59D3AC9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2891997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24955482" w14:textId="77777777" w:rsidTr="00B617ED">
        <w:trPr>
          <w:trHeight w:hRule="exact" w:val="284"/>
        </w:trPr>
        <w:tc>
          <w:tcPr>
            <w:tcW w:w="4126" w:type="dxa"/>
            <w:noWrap/>
            <w:vAlign w:val="bottom"/>
            <w:hideMark/>
          </w:tcPr>
          <w:p w14:paraId="5C00132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Return migrant (EU)</w:t>
            </w:r>
          </w:p>
        </w:tc>
        <w:tc>
          <w:tcPr>
            <w:tcW w:w="960" w:type="dxa"/>
            <w:noWrap/>
            <w:vAlign w:val="bottom"/>
            <w:hideMark/>
          </w:tcPr>
          <w:p w14:paraId="09EB959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0.064</w:t>
            </w:r>
          </w:p>
        </w:tc>
        <w:tc>
          <w:tcPr>
            <w:tcW w:w="1308" w:type="dxa"/>
            <w:noWrap/>
            <w:vAlign w:val="bottom"/>
            <w:hideMark/>
          </w:tcPr>
          <w:p w14:paraId="2DD5795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0.245</w:t>
            </w:r>
          </w:p>
        </w:tc>
        <w:tc>
          <w:tcPr>
            <w:tcW w:w="960" w:type="dxa"/>
            <w:noWrap/>
            <w:vAlign w:val="bottom"/>
            <w:hideMark/>
          </w:tcPr>
          <w:p w14:paraId="719D227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34405F5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42A174AF" w14:textId="77777777" w:rsidTr="00B617ED">
        <w:trPr>
          <w:trHeight w:hRule="exact" w:val="284"/>
        </w:trPr>
        <w:tc>
          <w:tcPr>
            <w:tcW w:w="4126" w:type="dxa"/>
            <w:noWrap/>
            <w:vAlign w:val="bottom"/>
            <w:hideMark/>
          </w:tcPr>
          <w:p w14:paraId="0FD7CDE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Return migrant (non-EU)</w:t>
            </w:r>
          </w:p>
        </w:tc>
        <w:tc>
          <w:tcPr>
            <w:tcW w:w="960" w:type="dxa"/>
            <w:noWrap/>
            <w:vAlign w:val="bottom"/>
            <w:hideMark/>
          </w:tcPr>
          <w:p w14:paraId="6502E61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0.033</w:t>
            </w:r>
          </w:p>
        </w:tc>
        <w:tc>
          <w:tcPr>
            <w:tcW w:w="1308" w:type="dxa"/>
            <w:noWrap/>
            <w:vAlign w:val="bottom"/>
            <w:hideMark/>
          </w:tcPr>
          <w:p w14:paraId="3B42E68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0.179</w:t>
            </w:r>
          </w:p>
        </w:tc>
        <w:tc>
          <w:tcPr>
            <w:tcW w:w="960" w:type="dxa"/>
            <w:noWrap/>
            <w:vAlign w:val="bottom"/>
            <w:hideMark/>
          </w:tcPr>
          <w:p w14:paraId="109212B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4EE5029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814D188" w14:textId="77777777" w:rsidTr="00B617ED">
        <w:trPr>
          <w:trHeight w:hRule="exact" w:val="284"/>
        </w:trPr>
        <w:tc>
          <w:tcPr>
            <w:tcW w:w="4126" w:type="dxa"/>
            <w:noWrap/>
            <w:vAlign w:val="bottom"/>
            <w:hideMark/>
          </w:tcPr>
          <w:p w14:paraId="470633E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Age </w:t>
            </w:r>
          </w:p>
        </w:tc>
        <w:tc>
          <w:tcPr>
            <w:tcW w:w="960" w:type="dxa"/>
            <w:noWrap/>
            <w:vAlign w:val="bottom"/>
            <w:hideMark/>
          </w:tcPr>
          <w:p w14:paraId="5401954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41.600</w:t>
            </w:r>
          </w:p>
        </w:tc>
        <w:tc>
          <w:tcPr>
            <w:tcW w:w="1308" w:type="dxa"/>
            <w:noWrap/>
            <w:vAlign w:val="bottom"/>
            <w:hideMark/>
          </w:tcPr>
          <w:p w14:paraId="5BC7E03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16.425</w:t>
            </w:r>
          </w:p>
        </w:tc>
        <w:tc>
          <w:tcPr>
            <w:tcW w:w="960" w:type="dxa"/>
            <w:noWrap/>
            <w:vAlign w:val="bottom"/>
            <w:hideMark/>
          </w:tcPr>
          <w:p w14:paraId="1DF2672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15</w:t>
            </w:r>
          </w:p>
        </w:tc>
        <w:tc>
          <w:tcPr>
            <w:tcW w:w="960" w:type="dxa"/>
            <w:noWrap/>
            <w:vAlign w:val="bottom"/>
            <w:hideMark/>
          </w:tcPr>
          <w:p w14:paraId="776BA7E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99</w:t>
            </w:r>
          </w:p>
        </w:tc>
      </w:tr>
      <w:tr w:rsidR="00184B6B" w:rsidRPr="00184B6B" w14:paraId="38A153F7" w14:textId="77777777" w:rsidTr="00B617ED">
        <w:trPr>
          <w:trHeight w:hRule="exact" w:val="284"/>
        </w:trPr>
        <w:tc>
          <w:tcPr>
            <w:tcW w:w="4126" w:type="dxa"/>
            <w:noWrap/>
            <w:vAlign w:val="bottom"/>
            <w:hideMark/>
          </w:tcPr>
          <w:p w14:paraId="51B74A6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Female</w:t>
            </w:r>
          </w:p>
        </w:tc>
        <w:tc>
          <w:tcPr>
            <w:tcW w:w="960" w:type="dxa"/>
            <w:noWrap/>
            <w:vAlign w:val="bottom"/>
            <w:hideMark/>
          </w:tcPr>
          <w:p w14:paraId="7FAE8FA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0.499</w:t>
            </w:r>
          </w:p>
        </w:tc>
        <w:tc>
          <w:tcPr>
            <w:tcW w:w="1308" w:type="dxa"/>
            <w:noWrap/>
            <w:vAlign w:val="bottom"/>
            <w:hideMark/>
          </w:tcPr>
          <w:p w14:paraId="66CA275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0.500</w:t>
            </w:r>
          </w:p>
        </w:tc>
        <w:tc>
          <w:tcPr>
            <w:tcW w:w="960" w:type="dxa"/>
            <w:noWrap/>
            <w:vAlign w:val="bottom"/>
            <w:hideMark/>
          </w:tcPr>
          <w:p w14:paraId="7454835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693F335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42FBDF0B" w14:textId="77777777" w:rsidTr="00B617ED">
        <w:trPr>
          <w:trHeight w:hRule="exact" w:val="284"/>
        </w:trPr>
        <w:tc>
          <w:tcPr>
            <w:tcW w:w="4126" w:type="dxa"/>
            <w:noWrap/>
            <w:vAlign w:val="bottom"/>
            <w:hideMark/>
          </w:tcPr>
          <w:p w14:paraId="201F0FE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Primary education</w:t>
            </w:r>
          </w:p>
        </w:tc>
        <w:tc>
          <w:tcPr>
            <w:tcW w:w="960" w:type="dxa"/>
            <w:noWrap/>
            <w:vAlign w:val="bottom"/>
            <w:hideMark/>
          </w:tcPr>
          <w:p w14:paraId="62B1332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0.304</w:t>
            </w:r>
          </w:p>
        </w:tc>
        <w:tc>
          <w:tcPr>
            <w:tcW w:w="1308" w:type="dxa"/>
            <w:noWrap/>
            <w:vAlign w:val="bottom"/>
            <w:hideMark/>
          </w:tcPr>
          <w:p w14:paraId="430562F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0.460</w:t>
            </w:r>
          </w:p>
        </w:tc>
        <w:tc>
          <w:tcPr>
            <w:tcW w:w="960" w:type="dxa"/>
            <w:noWrap/>
            <w:vAlign w:val="bottom"/>
            <w:hideMark/>
          </w:tcPr>
          <w:p w14:paraId="40B3B11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489CD09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2363B067" w14:textId="77777777" w:rsidTr="00B617ED">
        <w:trPr>
          <w:trHeight w:hRule="exact" w:val="284"/>
        </w:trPr>
        <w:tc>
          <w:tcPr>
            <w:tcW w:w="4126" w:type="dxa"/>
            <w:noWrap/>
            <w:vAlign w:val="bottom"/>
            <w:hideMark/>
          </w:tcPr>
          <w:p w14:paraId="53A871D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Secondary education</w:t>
            </w:r>
          </w:p>
        </w:tc>
        <w:tc>
          <w:tcPr>
            <w:tcW w:w="960" w:type="dxa"/>
            <w:noWrap/>
            <w:vAlign w:val="bottom"/>
            <w:hideMark/>
          </w:tcPr>
          <w:p w14:paraId="00239AC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0.537</w:t>
            </w:r>
          </w:p>
        </w:tc>
        <w:tc>
          <w:tcPr>
            <w:tcW w:w="1308" w:type="dxa"/>
            <w:noWrap/>
            <w:vAlign w:val="bottom"/>
            <w:hideMark/>
          </w:tcPr>
          <w:p w14:paraId="70F55FB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0.499</w:t>
            </w:r>
          </w:p>
        </w:tc>
        <w:tc>
          <w:tcPr>
            <w:tcW w:w="960" w:type="dxa"/>
            <w:noWrap/>
            <w:vAlign w:val="bottom"/>
            <w:hideMark/>
          </w:tcPr>
          <w:p w14:paraId="1065DBC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2EAC4F1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0B83C16C" w14:textId="77777777" w:rsidTr="00B617ED">
        <w:trPr>
          <w:trHeight w:hRule="exact" w:val="284"/>
        </w:trPr>
        <w:tc>
          <w:tcPr>
            <w:tcW w:w="4126" w:type="dxa"/>
            <w:noWrap/>
            <w:vAlign w:val="bottom"/>
            <w:hideMark/>
          </w:tcPr>
          <w:p w14:paraId="427320F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Tertiary education</w:t>
            </w:r>
          </w:p>
        </w:tc>
        <w:tc>
          <w:tcPr>
            <w:tcW w:w="960" w:type="dxa"/>
            <w:noWrap/>
            <w:vAlign w:val="bottom"/>
            <w:hideMark/>
          </w:tcPr>
          <w:p w14:paraId="55C5148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0.159</w:t>
            </w:r>
          </w:p>
        </w:tc>
        <w:tc>
          <w:tcPr>
            <w:tcW w:w="1308" w:type="dxa"/>
            <w:noWrap/>
            <w:vAlign w:val="bottom"/>
            <w:hideMark/>
          </w:tcPr>
          <w:p w14:paraId="04B2372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0.366</w:t>
            </w:r>
          </w:p>
        </w:tc>
        <w:tc>
          <w:tcPr>
            <w:tcW w:w="960" w:type="dxa"/>
            <w:noWrap/>
            <w:vAlign w:val="bottom"/>
            <w:hideMark/>
          </w:tcPr>
          <w:p w14:paraId="43F9683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521F080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07460090" w14:textId="77777777" w:rsidTr="00B617ED">
        <w:trPr>
          <w:trHeight w:hRule="exact" w:val="284"/>
        </w:trPr>
        <w:tc>
          <w:tcPr>
            <w:tcW w:w="4126" w:type="dxa"/>
            <w:noWrap/>
            <w:vAlign w:val="bottom"/>
            <w:hideMark/>
          </w:tcPr>
          <w:p w14:paraId="58A00DA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r w:rsidRPr="00184B6B">
              <w:rPr>
                <w:rFonts w:eastAsiaTheme="minorHAnsi"/>
                <w:color w:val="auto"/>
                <w:sz w:val="20"/>
                <w:szCs w:val="20"/>
                <w:vertAlign w:val="superscript"/>
                <w:lang w:eastAsia="en-US"/>
              </w:rPr>
              <w:t>st</w:t>
            </w:r>
            <w:r w:rsidRPr="00184B6B">
              <w:rPr>
                <w:rFonts w:eastAsiaTheme="minorHAnsi"/>
                <w:color w:val="auto"/>
                <w:sz w:val="20"/>
                <w:szCs w:val="20"/>
                <w:lang w:eastAsia="en-US"/>
              </w:rPr>
              <w:t xml:space="preserve"> income quintile</w:t>
            </w:r>
          </w:p>
        </w:tc>
        <w:tc>
          <w:tcPr>
            <w:tcW w:w="960" w:type="dxa"/>
            <w:noWrap/>
            <w:vAlign w:val="bottom"/>
            <w:hideMark/>
          </w:tcPr>
          <w:p w14:paraId="0F3862B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0.169</w:t>
            </w:r>
          </w:p>
        </w:tc>
        <w:tc>
          <w:tcPr>
            <w:tcW w:w="1308" w:type="dxa"/>
            <w:noWrap/>
            <w:vAlign w:val="bottom"/>
            <w:hideMark/>
          </w:tcPr>
          <w:p w14:paraId="0130A07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0.375</w:t>
            </w:r>
          </w:p>
        </w:tc>
        <w:tc>
          <w:tcPr>
            <w:tcW w:w="960" w:type="dxa"/>
            <w:noWrap/>
            <w:vAlign w:val="bottom"/>
            <w:hideMark/>
          </w:tcPr>
          <w:p w14:paraId="4187AFD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0D72C6E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4152B14" w14:textId="77777777" w:rsidTr="00B617ED">
        <w:trPr>
          <w:trHeight w:hRule="exact" w:val="284"/>
        </w:trPr>
        <w:tc>
          <w:tcPr>
            <w:tcW w:w="4126" w:type="dxa"/>
            <w:noWrap/>
            <w:vAlign w:val="bottom"/>
            <w:hideMark/>
          </w:tcPr>
          <w:p w14:paraId="239049F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2</w:t>
            </w:r>
            <w:r w:rsidRPr="00184B6B">
              <w:rPr>
                <w:rFonts w:eastAsiaTheme="minorHAnsi"/>
                <w:color w:val="auto"/>
                <w:sz w:val="20"/>
                <w:szCs w:val="20"/>
                <w:vertAlign w:val="superscript"/>
                <w:lang w:eastAsia="en-US"/>
              </w:rPr>
              <w:t>nd</w:t>
            </w:r>
            <w:r w:rsidRPr="00184B6B">
              <w:rPr>
                <w:rFonts w:eastAsiaTheme="minorHAnsi"/>
                <w:color w:val="auto"/>
                <w:sz w:val="20"/>
                <w:szCs w:val="20"/>
                <w:lang w:eastAsia="en-US"/>
              </w:rPr>
              <w:t xml:space="preserve"> income quintile</w:t>
            </w:r>
          </w:p>
        </w:tc>
        <w:tc>
          <w:tcPr>
            <w:tcW w:w="960" w:type="dxa"/>
            <w:noWrap/>
            <w:vAlign w:val="bottom"/>
            <w:hideMark/>
          </w:tcPr>
          <w:p w14:paraId="71723E4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0.172</w:t>
            </w:r>
          </w:p>
        </w:tc>
        <w:tc>
          <w:tcPr>
            <w:tcW w:w="1308" w:type="dxa"/>
            <w:noWrap/>
            <w:vAlign w:val="bottom"/>
            <w:hideMark/>
          </w:tcPr>
          <w:p w14:paraId="46CD0B4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0.378</w:t>
            </w:r>
          </w:p>
        </w:tc>
        <w:tc>
          <w:tcPr>
            <w:tcW w:w="960" w:type="dxa"/>
            <w:noWrap/>
            <w:vAlign w:val="bottom"/>
            <w:hideMark/>
          </w:tcPr>
          <w:p w14:paraId="4337889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447F560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073D357" w14:textId="77777777" w:rsidTr="00B617ED">
        <w:trPr>
          <w:trHeight w:hRule="exact" w:val="284"/>
        </w:trPr>
        <w:tc>
          <w:tcPr>
            <w:tcW w:w="4126" w:type="dxa"/>
            <w:noWrap/>
            <w:vAlign w:val="bottom"/>
            <w:hideMark/>
          </w:tcPr>
          <w:p w14:paraId="1B228FD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3</w:t>
            </w:r>
            <w:r w:rsidRPr="00184B6B">
              <w:rPr>
                <w:rFonts w:eastAsiaTheme="minorHAnsi"/>
                <w:color w:val="auto"/>
                <w:sz w:val="20"/>
                <w:szCs w:val="20"/>
                <w:vertAlign w:val="superscript"/>
                <w:lang w:eastAsia="en-US"/>
              </w:rPr>
              <w:t>rd</w:t>
            </w:r>
            <w:r w:rsidRPr="00184B6B">
              <w:rPr>
                <w:rFonts w:eastAsiaTheme="minorHAnsi"/>
                <w:color w:val="auto"/>
                <w:sz w:val="20"/>
                <w:szCs w:val="20"/>
                <w:lang w:eastAsia="en-US"/>
              </w:rPr>
              <w:t xml:space="preserve"> income quintile</w:t>
            </w:r>
          </w:p>
        </w:tc>
        <w:tc>
          <w:tcPr>
            <w:tcW w:w="960" w:type="dxa"/>
            <w:noWrap/>
            <w:vAlign w:val="bottom"/>
            <w:hideMark/>
          </w:tcPr>
          <w:p w14:paraId="17F5AC7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0.165</w:t>
            </w:r>
          </w:p>
        </w:tc>
        <w:tc>
          <w:tcPr>
            <w:tcW w:w="1308" w:type="dxa"/>
            <w:noWrap/>
            <w:vAlign w:val="bottom"/>
            <w:hideMark/>
          </w:tcPr>
          <w:p w14:paraId="46E6E86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0.371</w:t>
            </w:r>
          </w:p>
        </w:tc>
        <w:tc>
          <w:tcPr>
            <w:tcW w:w="960" w:type="dxa"/>
            <w:noWrap/>
            <w:vAlign w:val="bottom"/>
            <w:hideMark/>
          </w:tcPr>
          <w:p w14:paraId="236EFC6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73D5E9B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5088C1A" w14:textId="77777777" w:rsidTr="00B617ED">
        <w:trPr>
          <w:trHeight w:hRule="exact" w:val="284"/>
        </w:trPr>
        <w:tc>
          <w:tcPr>
            <w:tcW w:w="4126" w:type="dxa"/>
            <w:noWrap/>
            <w:vAlign w:val="bottom"/>
            <w:hideMark/>
          </w:tcPr>
          <w:p w14:paraId="267FA3E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4</w:t>
            </w:r>
            <w:r w:rsidRPr="00184B6B">
              <w:rPr>
                <w:rFonts w:eastAsiaTheme="minorHAnsi"/>
                <w:color w:val="auto"/>
                <w:sz w:val="20"/>
                <w:szCs w:val="20"/>
                <w:vertAlign w:val="superscript"/>
                <w:lang w:eastAsia="en-US"/>
              </w:rPr>
              <w:t>th</w:t>
            </w:r>
            <w:r w:rsidRPr="00184B6B">
              <w:rPr>
                <w:rFonts w:eastAsiaTheme="minorHAnsi"/>
                <w:color w:val="auto"/>
                <w:sz w:val="20"/>
                <w:szCs w:val="20"/>
                <w:lang w:eastAsia="en-US"/>
              </w:rPr>
              <w:t xml:space="preserve"> income quintile</w:t>
            </w:r>
          </w:p>
        </w:tc>
        <w:tc>
          <w:tcPr>
            <w:tcW w:w="960" w:type="dxa"/>
            <w:noWrap/>
            <w:vAlign w:val="bottom"/>
            <w:hideMark/>
          </w:tcPr>
          <w:p w14:paraId="09C05D3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0.163</w:t>
            </w:r>
          </w:p>
        </w:tc>
        <w:tc>
          <w:tcPr>
            <w:tcW w:w="1308" w:type="dxa"/>
            <w:noWrap/>
            <w:vAlign w:val="bottom"/>
            <w:hideMark/>
          </w:tcPr>
          <w:p w14:paraId="33C3ED1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0.369</w:t>
            </w:r>
          </w:p>
        </w:tc>
        <w:tc>
          <w:tcPr>
            <w:tcW w:w="960" w:type="dxa"/>
            <w:noWrap/>
            <w:vAlign w:val="bottom"/>
            <w:hideMark/>
          </w:tcPr>
          <w:p w14:paraId="7E6AEEA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67528D6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3B4584B5" w14:textId="77777777" w:rsidTr="00B617ED">
        <w:trPr>
          <w:trHeight w:hRule="exact" w:val="284"/>
        </w:trPr>
        <w:tc>
          <w:tcPr>
            <w:tcW w:w="4126" w:type="dxa"/>
            <w:noWrap/>
            <w:vAlign w:val="bottom"/>
            <w:hideMark/>
          </w:tcPr>
          <w:p w14:paraId="13F3A4C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5</w:t>
            </w:r>
            <w:r w:rsidRPr="00184B6B">
              <w:rPr>
                <w:rFonts w:eastAsiaTheme="minorHAnsi"/>
                <w:color w:val="auto"/>
                <w:sz w:val="20"/>
                <w:szCs w:val="20"/>
                <w:vertAlign w:val="superscript"/>
                <w:lang w:eastAsia="en-US"/>
              </w:rPr>
              <w:t>th</w:t>
            </w:r>
            <w:r w:rsidRPr="00184B6B">
              <w:rPr>
                <w:rFonts w:eastAsiaTheme="minorHAnsi"/>
                <w:color w:val="auto"/>
                <w:sz w:val="20"/>
                <w:szCs w:val="20"/>
                <w:lang w:eastAsia="en-US"/>
              </w:rPr>
              <w:t xml:space="preserve"> income quintile</w:t>
            </w:r>
          </w:p>
        </w:tc>
        <w:tc>
          <w:tcPr>
            <w:tcW w:w="960" w:type="dxa"/>
            <w:noWrap/>
            <w:vAlign w:val="bottom"/>
            <w:hideMark/>
          </w:tcPr>
          <w:p w14:paraId="050620C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0.155</w:t>
            </w:r>
          </w:p>
        </w:tc>
        <w:tc>
          <w:tcPr>
            <w:tcW w:w="1308" w:type="dxa"/>
            <w:noWrap/>
            <w:vAlign w:val="bottom"/>
            <w:hideMark/>
          </w:tcPr>
          <w:p w14:paraId="5723E64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0.362</w:t>
            </w:r>
          </w:p>
        </w:tc>
        <w:tc>
          <w:tcPr>
            <w:tcW w:w="960" w:type="dxa"/>
            <w:noWrap/>
            <w:vAlign w:val="bottom"/>
            <w:hideMark/>
          </w:tcPr>
          <w:p w14:paraId="174715C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1D1B4C2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0814723" w14:textId="77777777" w:rsidTr="00B617ED">
        <w:trPr>
          <w:trHeight w:hRule="exact" w:val="284"/>
        </w:trPr>
        <w:tc>
          <w:tcPr>
            <w:tcW w:w="4126" w:type="dxa"/>
            <w:noWrap/>
            <w:vAlign w:val="bottom"/>
            <w:hideMark/>
          </w:tcPr>
          <w:p w14:paraId="7500D5F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Income: no answer</w:t>
            </w:r>
          </w:p>
        </w:tc>
        <w:tc>
          <w:tcPr>
            <w:tcW w:w="960" w:type="dxa"/>
            <w:noWrap/>
            <w:vAlign w:val="bottom"/>
            <w:hideMark/>
          </w:tcPr>
          <w:p w14:paraId="3C1E3AA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0.176</w:t>
            </w:r>
          </w:p>
        </w:tc>
        <w:tc>
          <w:tcPr>
            <w:tcW w:w="1308" w:type="dxa"/>
            <w:noWrap/>
            <w:vAlign w:val="bottom"/>
            <w:hideMark/>
          </w:tcPr>
          <w:p w14:paraId="6EBC05B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0.381</w:t>
            </w:r>
          </w:p>
        </w:tc>
        <w:tc>
          <w:tcPr>
            <w:tcW w:w="960" w:type="dxa"/>
            <w:noWrap/>
            <w:vAlign w:val="bottom"/>
            <w:hideMark/>
          </w:tcPr>
          <w:p w14:paraId="3E34CF9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0B0BD89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246F49B4" w14:textId="77777777" w:rsidTr="00B617ED">
        <w:trPr>
          <w:trHeight w:hRule="exact" w:val="284"/>
        </w:trPr>
        <w:tc>
          <w:tcPr>
            <w:tcW w:w="4126" w:type="dxa"/>
            <w:noWrap/>
            <w:vAlign w:val="bottom"/>
            <w:hideMark/>
          </w:tcPr>
          <w:p w14:paraId="5A92F69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Standard of living worse</w:t>
            </w:r>
          </w:p>
        </w:tc>
        <w:tc>
          <w:tcPr>
            <w:tcW w:w="960" w:type="dxa"/>
            <w:noWrap/>
            <w:vAlign w:val="bottom"/>
            <w:hideMark/>
          </w:tcPr>
          <w:p w14:paraId="530AAF6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2.094</w:t>
            </w:r>
          </w:p>
        </w:tc>
        <w:tc>
          <w:tcPr>
            <w:tcW w:w="1308" w:type="dxa"/>
            <w:noWrap/>
            <w:vAlign w:val="bottom"/>
            <w:hideMark/>
          </w:tcPr>
          <w:p w14:paraId="5BF81D9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0.814</w:t>
            </w:r>
          </w:p>
        </w:tc>
        <w:tc>
          <w:tcPr>
            <w:tcW w:w="960" w:type="dxa"/>
            <w:noWrap/>
            <w:vAlign w:val="bottom"/>
            <w:hideMark/>
          </w:tcPr>
          <w:p w14:paraId="589430E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c>
          <w:tcPr>
            <w:tcW w:w="960" w:type="dxa"/>
            <w:noWrap/>
            <w:vAlign w:val="bottom"/>
            <w:hideMark/>
          </w:tcPr>
          <w:p w14:paraId="4823E75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3</w:t>
            </w:r>
          </w:p>
        </w:tc>
      </w:tr>
      <w:tr w:rsidR="00184B6B" w:rsidRPr="00184B6B" w14:paraId="3FF28F76" w14:textId="77777777" w:rsidTr="00B617ED">
        <w:trPr>
          <w:trHeight w:hRule="exact" w:val="284"/>
        </w:trPr>
        <w:tc>
          <w:tcPr>
            <w:tcW w:w="4126" w:type="dxa"/>
            <w:noWrap/>
            <w:vAlign w:val="bottom"/>
            <w:hideMark/>
          </w:tcPr>
          <w:p w14:paraId="5C6B485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Unemployed</w:t>
            </w:r>
          </w:p>
        </w:tc>
        <w:tc>
          <w:tcPr>
            <w:tcW w:w="960" w:type="dxa"/>
            <w:noWrap/>
            <w:vAlign w:val="bottom"/>
            <w:hideMark/>
          </w:tcPr>
          <w:p w14:paraId="1AC33C8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0.130</w:t>
            </w:r>
          </w:p>
        </w:tc>
        <w:tc>
          <w:tcPr>
            <w:tcW w:w="1308" w:type="dxa"/>
            <w:noWrap/>
            <w:vAlign w:val="bottom"/>
            <w:hideMark/>
          </w:tcPr>
          <w:p w14:paraId="4EF5B16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0.336</w:t>
            </w:r>
          </w:p>
        </w:tc>
        <w:tc>
          <w:tcPr>
            <w:tcW w:w="960" w:type="dxa"/>
            <w:noWrap/>
            <w:vAlign w:val="bottom"/>
            <w:hideMark/>
          </w:tcPr>
          <w:p w14:paraId="42A2A1C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7424B9A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0FA3DD53" w14:textId="77777777" w:rsidTr="00B617ED">
        <w:trPr>
          <w:trHeight w:hRule="exact" w:val="284"/>
        </w:trPr>
        <w:tc>
          <w:tcPr>
            <w:tcW w:w="4126" w:type="dxa"/>
            <w:noWrap/>
            <w:vAlign w:val="bottom"/>
            <w:hideMark/>
          </w:tcPr>
          <w:p w14:paraId="5776756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Orthodox </w:t>
            </w:r>
          </w:p>
        </w:tc>
        <w:tc>
          <w:tcPr>
            <w:tcW w:w="960" w:type="dxa"/>
            <w:noWrap/>
            <w:vAlign w:val="bottom"/>
            <w:hideMark/>
          </w:tcPr>
          <w:p w14:paraId="76832B4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0.382</w:t>
            </w:r>
          </w:p>
        </w:tc>
        <w:tc>
          <w:tcPr>
            <w:tcW w:w="1308" w:type="dxa"/>
            <w:noWrap/>
            <w:vAlign w:val="bottom"/>
            <w:hideMark/>
          </w:tcPr>
          <w:p w14:paraId="2120902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0.486</w:t>
            </w:r>
          </w:p>
        </w:tc>
        <w:tc>
          <w:tcPr>
            <w:tcW w:w="960" w:type="dxa"/>
            <w:noWrap/>
            <w:vAlign w:val="bottom"/>
            <w:hideMark/>
          </w:tcPr>
          <w:p w14:paraId="7947BD2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5031555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48910AA8" w14:textId="77777777" w:rsidTr="00B617ED">
        <w:trPr>
          <w:trHeight w:hRule="exact" w:val="284"/>
        </w:trPr>
        <w:tc>
          <w:tcPr>
            <w:tcW w:w="4126" w:type="dxa"/>
            <w:noWrap/>
            <w:vAlign w:val="bottom"/>
            <w:hideMark/>
          </w:tcPr>
          <w:p w14:paraId="1C6E702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Catholic </w:t>
            </w:r>
          </w:p>
        </w:tc>
        <w:tc>
          <w:tcPr>
            <w:tcW w:w="960" w:type="dxa"/>
            <w:noWrap/>
            <w:vAlign w:val="bottom"/>
            <w:hideMark/>
          </w:tcPr>
          <w:p w14:paraId="53D1481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0.171</w:t>
            </w:r>
          </w:p>
        </w:tc>
        <w:tc>
          <w:tcPr>
            <w:tcW w:w="1308" w:type="dxa"/>
            <w:noWrap/>
            <w:vAlign w:val="bottom"/>
            <w:hideMark/>
          </w:tcPr>
          <w:p w14:paraId="1EC7252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0.376</w:t>
            </w:r>
          </w:p>
        </w:tc>
        <w:tc>
          <w:tcPr>
            <w:tcW w:w="960" w:type="dxa"/>
            <w:noWrap/>
            <w:vAlign w:val="bottom"/>
            <w:hideMark/>
          </w:tcPr>
          <w:p w14:paraId="58E8DC4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78574F7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9BC5A70" w14:textId="77777777" w:rsidTr="00B617ED">
        <w:trPr>
          <w:trHeight w:hRule="exact" w:val="284"/>
        </w:trPr>
        <w:tc>
          <w:tcPr>
            <w:tcW w:w="4126" w:type="dxa"/>
            <w:noWrap/>
            <w:vAlign w:val="bottom"/>
            <w:hideMark/>
          </w:tcPr>
          <w:p w14:paraId="7F52BB4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Muslim </w:t>
            </w:r>
          </w:p>
        </w:tc>
        <w:tc>
          <w:tcPr>
            <w:tcW w:w="960" w:type="dxa"/>
            <w:noWrap/>
            <w:vAlign w:val="bottom"/>
            <w:hideMark/>
          </w:tcPr>
          <w:p w14:paraId="23E864D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0.401</w:t>
            </w:r>
          </w:p>
        </w:tc>
        <w:tc>
          <w:tcPr>
            <w:tcW w:w="1308" w:type="dxa"/>
            <w:noWrap/>
            <w:vAlign w:val="bottom"/>
            <w:hideMark/>
          </w:tcPr>
          <w:p w14:paraId="2572881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0.490</w:t>
            </w:r>
          </w:p>
        </w:tc>
        <w:tc>
          <w:tcPr>
            <w:tcW w:w="960" w:type="dxa"/>
            <w:noWrap/>
            <w:vAlign w:val="bottom"/>
            <w:hideMark/>
          </w:tcPr>
          <w:p w14:paraId="35DAD1D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26B0DA8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6F81D1C" w14:textId="77777777" w:rsidTr="00B617ED">
        <w:trPr>
          <w:trHeight w:hRule="exact" w:val="284"/>
        </w:trPr>
        <w:tc>
          <w:tcPr>
            <w:tcW w:w="4126" w:type="dxa"/>
            <w:noWrap/>
            <w:vAlign w:val="bottom"/>
            <w:hideMark/>
          </w:tcPr>
          <w:p w14:paraId="79E65C0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Religion: other</w:t>
            </w:r>
          </w:p>
        </w:tc>
        <w:tc>
          <w:tcPr>
            <w:tcW w:w="960" w:type="dxa"/>
            <w:noWrap/>
            <w:vAlign w:val="bottom"/>
            <w:hideMark/>
          </w:tcPr>
          <w:p w14:paraId="156503C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0.046</w:t>
            </w:r>
          </w:p>
        </w:tc>
        <w:tc>
          <w:tcPr>
            <w:tcW w:w="1308" w:type="dxa"/>
            <w:noWrap/>
            <w:vAlign w:val="bottom"/>
            <w:hideMark/>
          </w:tcPr>
          <w:p w14:paraId="5F4EF31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0.210</w:t>
            </w:r>
          </w:p>
        </w:tc>
        <w:tc>
          <w:tcPr>
            <w:tcW w:w="960" w:type="dxa"/>
            <w:noWrap/>
            <w:vAlign w:val="bottom"/>
            <w:hideMark/>
          </w:tcPr>
          <w:p w14:paraId="72D06E4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4122969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9F9BCB1" w14:textId="77777777" w:rsidTr="00B617ED">
        <w:trPr>
          <w:trHeight w:hRule="exact" w:val="284"/>
        </w:trPr>
        <w:tc>
          <w:tcPr>
            <w:tcW w:w="4126" w:type="dxa"/>
            <w:noWrap/>
            <w:vAlign w:val="bottom"/>
            <w:hideMark/>
          </w:tcPr>
          <w:p w14:paraId="5781977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Support for national government</w:t>
            </w:r>
          </w:p>
        </w:tc>
        <w:tc>
          <w:tcPr>
            <w:tcW w:w="960" w:type="dxa"/>
            <w:noWrap/>
            <w:vAlign w:val="bottom"/>
            <w:hideMark/>
          </w:tcPr>
          <w:p w14:paraId="219D417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2.000</w:t>
            </w:r>
          </w:p>
        </w:tc>
        <w:tc>
          <w:tcPr>
            <w:tcW w:w="1308" w:type="dxa"/>
            <w:noWrap/>
            <w:vAlign w:val="bottom"/>
            <w:hideMark/>
          </w:tcPr>
          <w:p w14:paraId="28E6699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0.905</w:t>
            </w:r>
          </w:p>
        </w:tc>
        <w:tc>
          <w:tcPr>
            <w:tcW w:w="960" w:type="dxa"/>
            <w:noWrap/>
            <w:vAlign w:val="bottom"/>
            <w:hideMark/>
          </w:tcPr>
          <w:p w14:paraId="2A6ED35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c>
          <w:tcPr>
            <w:tcW w:w="960" w:type="dxa"/>
            <w:noWrap/>
            <w:vAlign w:val="bottom"/>
            <w:hideMark/>
          </w:tcPr>
          <w:p w14:paraId="78AEEE5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4</w:t>
            </w:r>
          </w:p>
        </w:tc>
      </w:tr>
      <w:tr w:rsidR="00184B6B" w:rsidRPr="00184B6B" w14:paraId="39006429" w14:textId="77777777" w:rsidTr="00B617ED">
        <w:trPr>
          <w:trHeight w:hRule="exact" w:val="284"/>
        </w:trPr>
        <w:tc>
          <w:tcPr>
            <w:tcW w:w="4126" w:type="dxa"/>
            <w:noWrap/>
            <w:vAlign w:val="bottom"/>
            <w:hideMark/>
          </w:tcPr>
          <w:p w14:paraId="2CC8CAB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Strong European identity</w:t>
            </w:r>
          </w:p>
        </w:tc>
        <w:tc>
          <w:tcPr>
            <w:tcW w:w="960" w:type="dxa"/>
            <w:noWrap/>
            <w:vAlign w:val="bottom"/>
            <w:hideMark/>
          </w:tcPr>
          <w:p w14:paraId="2E157DF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3.031</w:t>
            </w:r>
          </w:p>
        </w:tc>
        <w:tc>
          <w:tcPr>
            <w:tcW w:w="1308" w:type="dxa"/>
            <w:noWrap/>
            <w:vAlign w:val="bottom"/>
            <w:hideMark/>
          </w:tcPr>
          <w:p w14:paraId="098F0C8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1.263</w:t>
            </w:r>
          </w:p>
        </w:tc>
        <w:tc>
          <w:tcPr>
            <w:tcW w:w="960" w:type="dxa"/>
            <w:noWrap/>
            <w:vAlign w:val="bottom"/>
            <w:hideMark/>
          </w:tcPr>
          <w:p w14:paraId="4FE08B0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c>
          <w:tcPr>
            <w:tcW w:w="960" w:type="dxa"/>
            <w:noWrap/>
            <w:vAlign w:val="bottom"/>
            <w:hideMark/>
          </w:tcPr>
          <w:p w14:paraId="744292A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5</w:t>
            </w:r>
          </w:p>
        </w:tc>
      </w:tr>
      <w:tr w:rsidR="00184B6B" w:rsidRPr="00184B6B" w14:paraId="6D743FCF" w14:textId="77777777" w:rsidTr="00B617ED">
        <w:trPr>
          <w:trHeight w:hRule="exact" w:val="284"/>
        </w:trPr>
        <w:tc>
          <w:tcPr>
            <w:tcW w:w="4126" w:type="dxa"/>
            <w:noWrap/>
            <w:vAlign w:val="bottom"/>
            <w:hideMark/>
          </w:tcPr>
          <w:p w14:paraId="5F0F56E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Helpful international community</w:t>
            </w:r>
          </w:p>
        </w:tc>
        <w:tc>
          <w:tcPr>
            <w:tcW w:w="960" w:type="dxa"/>
            <w:noWrap/>
            <w:vAlign w:val="bottom"/>
            <w:hideMark/>
          </w:tcPr>
          <w:p w14:paraId="6A86C0B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3.449</w:t>
            </w:r>
          </w:p>
        </w:tc>
        <w:tc>
          <w:tcPr>
            <w:tcW w:w="1308" w:type="dxa"/>
            <w:noWrap/>
            <w:vAlign w:val="bottom"/>
            <w:hideMark/>
          </w:tcPr>
          <w:p w14:paraId="4E9C785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0.970</w:t>
            </w:r>
          </w:p>
        </w:tc>
        <w:tc>
          <w:tcPr>
            <w:tcW w:w="960" w:type="dxa"/>
            <w:noWrap/>
            <w:vAlign w:val="bottom"/>
            <w:hideMark/>
          </w:tcPr>
          <w:p w14:paraId="63C244A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c>
          <w:tcPr>
            <w:tcW w:w="960" w:type="dxa"/>
            <w:noWrap/>
            <w:vAlign w:val="bottom"/>
            <w:hideMark/>
          </w:tcPr>
          <w:p w14:paraId="2ECF9AD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5</w:t>
            </w:r>
          </w:p>
        </w:tc>
      </w:tr>
      <w:tr w:rsidR="00184B6B" w:rsidRPr="00184B6B" w14:paraId="307AAC0C" w14:textId="77777777" w:rsidTr="00B617ED">
        <w:trPr>
          <w:trHeight w:hRule="exact" w:val="284"/>
        </w:trPr>
        <w:tc>
          <w:tcPr>
            <w:tcW w:w="4126" w:type="dxa"/>
            <w:noWrap/>
            <w:vAlign w:val="bottom"/>
            <w:hideMark/>
          </w:tcPr>
          <w:p w14:paraId="1FC0E54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Year 2009</w:t>
            </w:r>
          </w:p>
        </w:tc>
        <w:tc>
          <w:tcPr>
            <w:tcW w:w="960" w:type="dxa"/>
            <w:noWrap/>
            <w:vAlign w:val="bottom"/>
            <w:hideMark/>
          </w:tcPr>
          <w:p w14:paraId="4627CE9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0.322</w:t>
            </w:r>
          </w:p>
        </w:tc>
        <w:tc>
          <w:tcPr>
            <w:tcW w:w="1308" w:type="dxa"/>
            <w:noWrap/>
            <w:vAlign w:val="bottom"/>
            <w:hideMark/>
          </w:tcPr>
          <w:p w14:paraId="002D913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0.467</w:t>
            </w:r>
          </w:p>
        </w:tc>
        <w:tc>
          <w:tcPr>
            <w:tcW w:w="960" w:type="dxa"/>
            <w:noWrap/>
            <w:vAlign w:val="bottom"/>
            <w:hideMark/>
          </w:tcPr>
          <w:p w14:paraId="6F287EF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7F9C767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D83817A" w14:textId="77777777" w:rsidTr="00B617ED">
        <w:trPr>
          <w:trHeight w:hRule="exact" w:val="284"/>
        </w:trPr>
        <w:tc>
          <w:tcPr>
            <w:tcW w:w="4126" w:type="dxa"/>
            <w:noWrap/>
            <w:vAlign w:val="bottom"/>
            <w:hideMark/>
          </w:tcPr>
          <w:p w14:paraId="6D270DF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lastRenderedPageBreak/>
              <w:t>Year 2010</w:t>
            </w:r>
          </w:p>
        </w:tc>
        <w:tc>
          <w:tcPr>
            <w:tcW w:w="960" w:type="dxa"/>
            <w:noWrap/>
            <w:vAlign w:val="bottom"/>
            <w:hideMark/>
          </w:tcPr>
          <w:p w14:paraId="0E4FB31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0.343</w:t>
            </w:r>
          </w:p>
        </w:tc>
        <w:tc>
          <w:tcPr>
            <w:tcW w:w="1308" w:type="dxa"/>
            <w:noWrap/>
            <w:vAlign w:val="bottom"/>
            <w:hideMark/>
          </w:tcPr>
          <w:p w14:paraId="22975F7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0.475</w:t>
            </w:r>
          </w:p>
        </w:tc>
        <w:tc>
          <w:tcPr>
            <w:tcW w:w="960" w:type="dxa"/>
            <w:noWrap/>
            <w:vAlign w:val="bottom"/>
            <w:hideMark/>
          </w:tcPr>
          <w:p w14:paraId="243527DA"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264699B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4680A515" w14:textId="77777777" w:rsidTr="00B617ED">
        <w:trPr>
          <w:trHeight w:hRule="exact" w:val="284"/>
        </w:trPr>
        <w:tc>
          <w:tcPr>
            <w:tcW w:w="4126" w:type="dxa"/>
            <w:noWrap/>
            <w:vAlign w:val="bottom"/>
            <w:hideMark/>
          </w:tcPr>
          <w:p w14:paraId="390B2586"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Year 2011</w:t>
            </w:r>
          </w:p>
        </w:tc>
        <w:tc>
          <w:tcPr>
            <w:tcW w:w="960" w:type="dxa"/>
            <w:noWrap/>
            <w:vAlign w:val="bottom"/>
            <w:hideMark/>
          </w:tcPr>
          <w:p w14:paraId="7BAB576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0.335</w:t>
            </w:r>
          </w:p>
        </w:tc>
        <w:tc>
          <w:tcPr>
            <w:tcW w:w="1308" w:type="dxa"/>
            <w:noWrap/>
            <w:vAlign w:val="bottom"/>
            <w:hideMark/>
          </w:tcPr>
          <w:p w14:paraId="7745D0F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0.472</w:t>
            </w:r>
          </w:p>
        </w:tc>
        <w:tc>
          <w:tcPr>
            <w:tcW w:w="960" w:type="dxa"/>
            <w:noWrap/>
            <w:vAlign w:val="bottom"/>
            <w:hideMark/>
          </w:tcPr>
          <w:p w14:paraId="4C6E114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3598EB1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DB0A33D" w14:textId="77777777" w:rsidTr="00B617ED">
        <w:trPr>
          <w:trHeight w:hRule="exact" w:val="284"/>
        </w:trPr>
        <w:tc>
          <w:tcPr>
            <w:tcW w:w="4126" w:type="dxa"/>
            <w:noWrap/>
            <w:vAlign w:val="bottom"/>
            <w:hideMark/>
          </w:tcPr>
          <w:p w14:paraId="5049DF8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Albania </w:t>
            </w:r>
          </w:p>
        </w:tc>
        <w:tc>
          <w:tcPr>
            <w:tcW w:w="960" w:type="dxa"/>
            <w:noWrap/>
            <w:vAlign w:val="bottom"/>
            <w:hideMark/>
          </w:tcPr>
          <w:p w14:paraId="3D115A7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0.156</w:t>
            </w:r>
          </w:p>
        </w:tc>
        <w:tc>
          <w:tcPr>
            <w:tcW w:w="1308" w:type="dxa"/>
            <w:noWrap/>
            <w:vAlign w:val="bottom"/>
            <w:hideMark/>
          </w:tcPr>
          <w:p w14:paraId="5DC977C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0.363</w:t>
            </w:r>
          </w:p>
        </w:tc>
        <w:tc>
          <w:tcPr>
            <w:tcW w:w="960" w:type="dxa"/>
            <w:noWrap/>
            <w:vAlign w:val="bottom"/>
            <w:hideMark/>
          </w:tcPr>
          <w:p w14:paraId="1505E01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1D73C74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8082466" w14:textId="77777777" w:rsidTr="00B617ED">
        <w:trPr>
          <w:trHeight w:hRule="exact" w:val="284"/>
        </w:trPr>
        <w:tc>
          <w:tcPr>
            <w:tcW w:w="4126" w:type="dxa"/>
            <w:noWrap/>
            <w:vAlign w:val="bottom"/>
            <w:hideMark/>
          </w:tcPr>
          <w:p w14:paraId="7C73610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Bosnia and Herzegovina</w:t>
            </w:r>
          </w:p>
        </w:tc>
        <w:tc>
          <w:tcPr>
            <w:tcW w:w="960" w:type="dxa"/>
            <w:noWrap/>
            <w:vAlign w:val="bottom"/>
            <w:hideMark/>
          </w:tcPr>
          <w:p w14:paraId="715F46B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0.142</w:t>
            </w:r>
          </w:p>
        </w:tc>
        <w:tc>
          <w:tcPr>
            <w:tcW w:w="1308" w:type="dxa"/>
            <w:noWrap/>
            <w:vAlign w:val="bottom"/>
            <w:hideMark/>
          </w:tcPr>
          <w:p w14:paraId="6F28418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0.349</w:t>
            </w:r>
          </w:p>
        </w:tc>
        <w:tc>
          <w:tcPr>
            <w:tcW w:w="960" w:type="dxa"/>
            <w:noWrap/>
            <w:vAlign w:val="bottom"/>
            <w:hideMark/>
          </w:tcPr>
          <w:p w14:paraId="7666C5A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5FB9DAB4"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36C8BA34" w14:textId="77777777" w:rsidTr="00B617ED">
        <w:trPr>
          <w:trHeight w:hRule="exact" w:val="284"/>
        </w:trPr>
        <w:tc>
          <w:tcPr>
            <w:tcW w:w="4126" w:type="dxa"/>
            <w:noWrap/>
            <w:vAlign w:val="bottom"/>
            <w:hideMark/>
          </w:tcPr>
          <w:p w14:paraId="6B69444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Croatia </w:t>
            </w:r>
          </w:p>
        </w:tc>
        <w:tc>
          <w:tcPr>
            <w:tcW w:w="960" w:type="dxa"/>
            <w:noWrap/>
            <w:vAlign w:val="bottom"/>
            <w:hideMark/>
          </w:tcPr>
          <w:p w14:paraId="406E49D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0.131</w:t>
            </w:r>
          </w:p>
        </w:tc>
        <w:tc>
          <w:tcPr>
            <w:tcW w:w="1308" w:type="dxa"/>
            <w:noWrap/>
            <w:vAlign w:val="bottom"/>
            <w:hideMark/>
          </w:tcPr>
          <w:p w14:paraId="621481E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0.338</w:t>
            </w:r>
          </w:p>
        </w:tc>
        <w:tc>
          <w:tcPr>
            <w:tcW w:w="960" w:type="dxa"/>
            <w:noWrap/>
            <w:vAlign w:val="bottom"/>
            <w:hideMark/>
          </w:tcPr>
          <w:p w14:paraId="47C8FE0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04C5E40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A03F59D" w14:textId="77777777" w:rsidTr="00B617ED">
        <w:trPr>
          <w:trHeight w:hRule="exact" w:val="284"/>
        </w:trPr>
        <w:tc>
          <w:tcPr>
            <w:tcW w:w="4126" w:type="dxa"/>
            <w:noWrap/>
            <w:vAlign w:val="bottom"/>
            <w:hideMark/>
          </w:tcPr>
          <w:p w14:paraId="4D9C2D7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Macedonia </w:t>
            </w:r>
          </w:p>
        </w:tc>
        <w:tc>
          <w:tcPr>
            <w:tcW w:w="960" w:type="dxa"/>
            <w:noWrap/>
            <w:vAlign w:val="bottom"/>
            <w:hideMark/>
          </w:tcPr>
          <w:p w14:paraId="7B8805A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0.141</w:t>
            </w:r>
          </w:p>
        </w:tc>
        <w:tc>
          <w:tcPr>
            <w:tcW w:w="1308" w:type="dxa"/>
            <w:noWrap/>
            <w:vAlign w:val="bottom"/>
            <w:hideMark/>
          </w:tcPr>
          <w:p w14:paraId="2C4D4A42"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0.348</w:t>
            </w:r>
          </w:p>
        </w:tc>
        <w:tc>
          <w:tcPr>
            <w:tcW w:w="960" w:type="dxa"/>
            <w:noWrap/>
            <w:vAlign w:val="bottom"/>
            <w:hideMark/>
          </w:tcPr>
          <w:p w14:paraId="2C268C3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5DDCC87B"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46051E93" w14:textId="77777777" w:rsidTr="00B617ED">
        <w:trPr>
          <w:trHeight w:hRule="exact" w:val="284"/>
        </w:trPr>
        <w:tc>
          <w:tcPr>
            <w:tcW w:w="4126" w:type="dxa"/>
            <w:noWrap/>
            <w:vAlign w:val="bottom"/>
            <w:hideMark/>
          </w:tcPr>
          <w:p w14:paraId="04F28D90"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Montenegro </w:t>
            </w:r>
          </w:p>
        </w:tc>
        <w:tc>
          <w:tcPr>
            <w:tcW w:w="960" w:type="dxa"/>
            <w:noWrap/>
            <w:vAlign w:val="bottom"/>
            <w:hideMark/>
          </w:tcPr>
          <w:p w14:paraId="682D74C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0.131</w:t>
            </w:r>
          </w:p>
        </w:tc>
        <w:tc>
          <w:tcPr>
            <w:tcW w:w="1308" w:type="dxa"/>
            <w:noWrap/>
            <w:vAlign w:val="bottom"/>
            <w:hideMark/>
          </w:tcPr>
          <w:p w14:paraId="32E6ABBF"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0.338</w:t>
            </w:r>
          </w:p>
        </w:tc>
        <w:tc>
          <w:tcPr>
            <w:tcW w:w="960" w:type="dxa"/>
            <w:noWrap/>
            <w:vAlign w:val="bottom"/>
            <w:hideMark/>
          </w:tcPr>
          <w:p w14:paraId="56579EF8"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7A7A6F19"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6ECB7D9C" w14:textId="77777777" w:rsidTr="00B617ED">
        <w:trPr>
          <w:trHeight w:hRule="exact" w:val="284"/>
        </w:trPr>
        <w:tc>
          <w:tcPr>
            <w:tcW w:w="4126" w:type="dxa"/>
            <w:noWrap/>
            <w:vAlign w:val="bottom"/>
            <w:hideMark/>
          </w:tcPr>
          <w:p w14:paraId="4D72B70E"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Kosovo </w:t>
            </w:r>
          </w:p>
        </w:tc>
        <w:tc>
          <w:tcPr>
            <w:tcW w:w="960" w:type="dxa"/>
            <w:noWrap/>
            <w:vAlign w:val="bottom"/>
            <w:hideMark/>
          </w:tcPr>
          <w:p w14:paraId="44E5832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0.157</w:t>
            </w:r>
          </w:p>
        </w:tc>
        <w:tc>
          <w:tcPr>
            <w:tcW w:w="1308" w:type="dxa"/>
            <w:noWrap/>
            <w:vAlign w:val="bottom"/>
            <w:hideMark/>
          </w:tcPr>
          <w:p w14:paraId="33E46A2C"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0.364</w:t>
            </w:r>
          </w:p>
        </w:tc>
        <w:tc>
          <w:tcPr>
            <w:tcW w:w="960" w:type="dxa"/>
            <w:noWrap/>
            <w:vAlign w:val="bottom"/>
            <w:hideMark/>
          </w:tcPr>
          <w:p w14:paraId="5CC9E403"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noWrap/>
            <w:vAlign w:val="bottom"/>
            <w:hideMark/>
          </w:tcPr>
          <w:p w14:paraId="483D329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r w:rsidR="00184B6B" w:rsidRPr="00184B6B" w14:paraId="72319426" w14:textId="77777777" w:rsidTr="00B617ED">
        <w:trPr>
          <w:trHeight w:hRule="exact" w:val="284"/>
        </w:trPr>
        <w:tc>
          <w:tcPr>
            <w:tcW w:w="4126" w:type="dxa"/>
            <w:tcBorders>
              <w:top w:val="nil"/>
              <w:left w:val="nil"/>
              <w:bottom w:val="single" w:sz="4" w:space="0" w:color="auto"/>
              <w:right w:val="nil"/>
            </w:tcBorders>
            <w:noWrap/>
            <w:vAlign w:val="bottom"/>
            <w:hideMark/>
          </w:tcPr>
          <w:p w14:paraId="0F9EBBF1"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 xml:space="preserve">Serbia </w:t>
            </w:r>
          </w:p>
        </w:tc>
        <w:tc>
          <w:tcPr>
            <w:tcW w:w="960" w:type="dxa"/>
            <w:tcBorders>
              <w:top w:val="nil"/>
              <w:left w:val="nil"/>
              <w:bottom w:val="single" w:sz="4" w:space="0" w:color="auto"/>
              <w:right w:val="nil"/>
            </w:tcBorders>
            <w:noWrap/>
            <w:vAlign w:val="bottom"/>
            <w:hideMark/>
          </w:tcPr>
          <w:p w14:paraId="579CC02D"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0.140</w:t>
            </w:r>
          </w:p>
        </w:tc>
        <w:tc>
          <w:tcPr>
            <w:tcW w:w="1308" w:type="dxa"/>
            <w:tcBorders>
              <w:top w:val="nil"/>
              <w:left w:val="nil"/>
              <w:bottom w:val="single" w:sz="4" w:space="0" w:color="auto"/>
              <w:right w:val="nil"/>
            </w:tcBorders>
            <w:noWrap/>
            <w:vAlign w:val="bottom"/>
            <w:hideMark/>
          </w:tcPr>
          <w:p w14:paraId="33855DF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0.347</w:t>
            </w:r>
          </w:p>
        </w:tc>
        <w:tc>
          <w:tcPr>
            <w:tcW w:w="960" w:type="dxa"/>
            <w:tcBorders>
              <w:top w:val="nil"/>
              <w:left w:val="nil"/>
              <w:bottom w:val="single" w:sz="4" w:space="0" w:color="auto"/>
              <w:right w:val="nil"/>
            </w:tcBorders>
            <w:noWrap/>
            <w:vAlign w:val="bottom"/>
            <w:hideMark/>
          </w:tcPr>
          <w:p w14:paraId="1E725127"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0</w:t>
            </w:r>
          </w:p>
        </w:tc>
        <w:tc>
          <w:tcPr>
            <w:tcW w:w="960" w:type="dxa"/>
            <w:tcBorders>
              <w:top w:val="nil"/>
              <w:left w:val="nil"/>
              <w:bottom w:val="single" w:sz="4" w:space="0" w:color="auto"/>
              <w:right w:val="nil"/>
            </w:tcBorders>
            <w:noWrap/>
            <w:vAlign w:val="bottom"/>
            <w:hideMark/>
          </w:tcPr>
          <w:p w14:paraId="22A01425" w14:textId="77777777" w:rsidR="00184B6B" w:rsidRPr="00184B6B" w:rsidRDefault="00184B6B" w:rsidP="00184B6B">
            <w:pPr>
              <w:spacing w:after="200" w:line="240" w:lineRule="auto"/>
              <w:ind w:firstLine="0"/>
              <w:jc w:val="left"/>
              <w:rPr>
                <w:rFonts w:eastAsiaTheme="minorHAnsi"/>
                <w:color w:val="auto"/>
                <w:sz w:val="20"/>
                <w:szCs w:val="20"/>
                <w:lang w:eastAsia="en-US"/>
              </w:rPr>
            </w:pPr>
            <w:r w:rsidRPr="00184B6B">
              <w:rPr>
                <w:rFonts w:eastAsiaTheme="minorHAnsi"/>
                <w:color w:val="auto"/>
                <w:sz w:val="20"/>
                <w:szCs w:val="20"/>
                <w:lang w:eastAsia="en-US"/>
              </w:rPr>
              <w:t>1</w:t>
            </w:r>
          </w:p>
        </w:tc>
      </w:tr>
    </w:tbl>
    <w:p w14:paraId="730D654C" w14:textId="77777777" w:rsidR="00184B6B" w:rsidRPr="00184B6B" w:rsidRDefault="00184B6B" w:rsidP="00184B6B">
      <w:pPr>
        <w:spacing w:after="200" w:line="276" w:lineRule="auto"/>
        <w:ind w:firstLine="0"/>
        <w:jc w:val="left"/>
        <w:rPr>
          <w:rFonts w:eastAsiaTheme="minorHAnsi"/>
          <w:sz w:val="20"/>
          <w:szCs w:val="20"/>
          <w:lang w:eastAsia="en-US"/>
        </w:rPr>
      </w:pPr>
    </w:p>
    <w:p w14:paraId="63F3F93C" w14:textId="77777777" w:rsidR="00184B6B" w:rsidRPr="00184B6B" w:rsidRDefault="00184B6B" w:rsidP="00184B6B">
      <w:pPr>
        <w:spacing w:after="200" w:line="276" w:lineRule="auto"/>
        <w:ind w:firstLine="0"/>
        <w:jc w:val="left"/>
        <w:rPr>
          <w:rFonts w:eastAsiaTheme="minorHAnsi"/>
          <w:color w:val="auto"/>
          <w:sz w:val="20"/>
          <w:szCs w:val="20"/>
          <w:lang w:eastAsia="en-US"/>
        </w:rPr>
      </w:pPr>
      <w:r w:rsidRPr="00184B6B">
        <w:rPr>
          <w:rFonts w:eastAsiaTheme="minorHAnsi"/>
          <w:color w:val="auto"/>
          <w:sz w:val="20"/>
          <w:szCs w:val="20"/>
          <w:lang w:eastAsia="en-US"/>
        </w:rPr>
        <w:t>Source: Gallup Balkan Monitor and authors’ calculations.</w:t>
      </w:r>
    </w:p>
    <w:p w14:paraId="21AD70E7"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br w:type="page"/>
      </w:r>
    </w:p>
    <w:p w14:paraId="15D11C4C"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lastRenderedPageBreak/>
        <w:t>Table A2: Complete econometric output for Table 1 (this table reports probit coefficients and not the marginal effects)</w:t>
      </w:r>
    </w:p>
    <w:tbl>
      <w:tblPr>
        <w:tblW w:w="5000" w:type="pct"/>
        <w:tblLook w:val="04A0" w:firstRow="1" w:lastRow="0" w:firstColumn="1" w:lastColumn="0" w:noHBand="0" w:noVBand="1"/>
      </w:tblPr>
      <w:tblGrid>
        <w:gridCol w:w="2241"/>
        <w:gridCol w:w="864"/>
        <w:gridCol w:w="864"/>
        <w:gridCol w:w="864"/>
        <w:gridCol w:w="864"/>
        <w:gridCol w:w="831"/>
        <w:gridCol w:w="831"/>
        <w:gridCol w:w="831"/>
        <w:gridCol w:w="826"/>
      </w:tblGrid>
      <w:tr w:rsidR="00184B6B" w:rsidRPr="00184B6B" w14:paraId="67ADF5BB" w14:textId="77777777" w:rsidTr="00B617ED">
        <w:trPr>
          <w:trHeight w:val="196"/>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742F0" w14:textId="77777777" w:rsidR="00184B6B" w:rsidRPr="00184B6B" w:rsidRDefault="00184B6B" w:rsidP="00184B6B">
            <w:pPr>
              <w:spacing w:line="240" w:lineRule="auto"/>
              <w:ind w:firstLine="0"/>
              <w:jc w:val="left"/>
              <w:rPr>
                <w:sz w:val="14"/>
                <w:szCs w:val="20"/>
              </w:rPr>
            </w:pPr>
          </w:p>
        </w:tc>
        <w:tc>
          <w:tcPr>
            <w:tcW w:w="187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D0FB4EC" w14:textId="77777777" w:rsidR="00184B6B" w:rsidRPr="00184B6B" w:rsidRDefault="00184B6B" w:rsidP="00184B6B">
            <w:pPr>
              <w:spacing w:line="240" w:lineRule="auto"/>
              <w:ind w:firstLine="0"/>
              <w:rPr>
                <w:color w:val="auto"/>
              </w:rPr>
            </w:pPr>
            <w:r w:rsidRPr="00184B6B">
              <w:rPr>
                <w:sz w:val="18"/>
                <w:szCs w:val="18"/>
              </w:rPr>
              <w:t xml:space="preserve">A. Dependent variable: </w:t>
            </w:r>
          </w:p>
          <w:p w14:paraId="0E9CA35F" w14:textId="77777777" w:rsidR="00184B6B" w:rsidRPr="00184B6B" w:rsidRDefault="00184B6B" w:rsidP="00184B6B">
            <w:pPr>
              <w:spacing w:line="240" w:lineRule="auto"/>
              <w:ind w:firstLine="0"/>
              <w:rPr>
                <w:color w:val="auto"/>
              </w:rPr>
            </w:pPr>
            <w:r w:rsidRPr="00184B6B">
              <w:rPr>
                <w:sz w:val="18"/>
                <w:szCs w:val="18"/>
              </w:rPr>
              <w:t>Voting yes in a hypothetical EU referendum;</w:t>
            </w:r>
          </w:p>
          <w:p w14:paraId="2A341AB3" w14:textId="77777777" w:rsidR="00184B6B" w:rsidRPr="00184B6B" w:rsidRDefault="00184B6B" w:rsidP="00184B6B">
            <w:pPr>
              <w:spacing w:line="240" w:lineRule="auto"/>
              <w:ind w:firstLine="0"/>
              <w:rPr>
                <w:sz w:val="14"/>
                <w:szCs w:val="20"/>
              </w:rPr>
            </w:pPr>
            <w:r w:rsidRPr="00184B6B">
              <w:rPr>
                <w:sz w:val="18"/>
                <w:szCs w:val="18"/>
              </w:rPr>
              <w:t>binary probit coefficients</w:t>
            </w:r>
          </w:p>
        </w:tc>
        <w:tc>
          <w:tcPr>
            <w:tcW w:w="1873"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F11ECB" w14:textId="77777777" w:rsidR="00184B6B" w:rsidRPr="00184B6B" w:rsidRDefault="00184B6B" w:rsidP="00184B6B">
            <w:pPr>
              <w:spacing w:line="240" w:lineRule="auto"/>
              <w:ind w:firstLine="0"/>
              <w:rPr>
                <w:color w:val="auto"/>
              </w:rPr>
            </w:pPr>
            <w:r w:rsidRPr="00184B6B">
              <w:rPr>
                <w:sz w:val="18"/>
                <w:szCs w:val="18"/>
              </w:rPr>
              <w:t xml:space="preserve">B. Dependent variable: </w:t>
            </w:r>
          </w:p>
          <w:p w14:paraId="5C371C73" w14:textId="77777777" w:rsidR="00184B6B" w:rsidRPr="00184B6B" w:rsidRDefault="00184B6B" w:rsidP="00184B6B">
            <w:pPr>
              <w:spacing w:line="240" w:lineRule="auto"/>
              <w:ind w:firstLine="0"/>
              <w:rPr>
                <w:color w:val="auto"/>
              </w:rPr>
            </w:pPr>
            <w:r w:rsidRPr="00184B6B">
              <w:rPr>
                <w:sz w:val="18"/>
                <w:szCs w:val="18"/>
              </w:rPr>
              <w:t>EU membership a good thing;</w:t>
            </w:r>
          </w:p>
          <w:p w14:paraId="494B454A" w14:textId="77777777" w:rsidR="00184B6B" w:rsidRPr="00184B6B" w:rsidRDefault="00184B6B" w:rsidP="00184B6B">
            <w:pPr>
              <w:spacing w:line="240" w:lineRule="auto"/>
              <w:ind w:firstLine="0"/>
              <w:rPr>
                <w:sz w:val="14"/>
                <w:szCs w:val="20"/>
              </w:rPr>
            </w:pPr>
            <w:r w:rsidRPr="00184B6B">
              <w:rPr>
                <w:sz w:val="18"/>
                <w:szCs w:val="18"/>
              </w:rPr>
              <w:t>ordered probit coefficients</w:t>
            </w:r>
          </w:p>
        </w:tc>
      </w:tr>
      <w:tr w:rsidR="00184B6B" w:rsidRPr="00184B6B" w14:paraId="5364F9BB" w14:textId="77777777" w:rsidTr="00B617ED">
        <w:trPr>
          <w:trHeight w:val="196"/>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8FC93" w14:textId="77777777" w:rsidR="00184B6B" w:rsidRPr="00184B6B" w:rsidRDefault="00184B6B" w:rsidP="00184B6B">
            <w:pPr>
              <w:spacing w:line="240" w:lineRule="auto"/>
              <w:ind w:firstLine="0"/>
              <w:jc w:val="left"/>
              <w:rPr>
                <w:sz w:val="14"/>
                <w:szCs w:val="20"/>
              </w:rPr>
            </w:pPr>
          </w:p>
        </w:tc>
        <w:tc>
          <w:tcPr>
            <w:tcW w:w="469" w:type="pct"/>
            <w:tcBorders>
              <w:top w:val="single" w:sz="4" w:space="0" w:color="auto"/>
              <w:left w:val="single" w:sz="4" w:space="0" w:color="auto"/>
              <w:bottom w:val="single" w:sz="4" w:space="0" w:color="auto"/>
              <w:right w:val="nil"/>
            </w:tcBorders>
            <w:shd w:val="clear" w:color="auto" w:fill="auto"/>
            <w:noWrap/>
            <w:vAlign w:val="center"/>
          </w:tcPr>
          <w:p w14:paraId="2EBE4D9F" w14:textId="77777777" w:rsidR="00184B6B" w:rsidRPr="00184B6B" w:rsidRDefault="00184B6B" w:rsidP="00184B6B">
            <w:pPr>
              <w:spacing w:line="240" w:lineRule="auto"/>
              <w:ind w:firstLine="0"/>
              <w:rPr>
                <w:sz w:val="14"/>
                <w:szCs w:val="20"/>
              </w:rPr>
            </w:pPr>
            <w:r w:rsidRPr="00184B6B">
              <w:rPr>
                <w:sz w:val="14"/>
                <w:szCs w:val="20"/>
              </w:rPr>
              <w:t>(1)</w:t>
            </w:r>
          </w:p>
        </w:tc>
        <w:tc>
          <w:tcPr>
            <w:tcW w:w="469" w:type="pct"/>
            <w:tcBorders>
              <w:top w:val="single" w:sz="4" w:space="0" w:color="auto"/>
              <w:left w:val="nil"/>
              <w:bottom w:val="single" w:sz="4" w:space="0" w:color="auto"/>
              <w:right w:val="nil"/>
            </w:tcBorders>
            <w:shd w:val="clear" w:color="auto" w:fill="auto"/>
            <w:noWrap/>
            <w:vAlign w:val="center"/>
          </w:tcPr>
          <w:p w14:paraId="55B4ABC5" w14:textId="77777777" w:rsidR="00184B6B" w:rsidRPr="00184B6B" w:rsidRDefault="00184B6B" w:rsidP="00184B6B">
            <w:pPr>
              <w:spacing w:line="240" w:lineRule="auto"/>
              <w:ind w:firstLine="0"/>
              <w:rPr>
                <w:sz w:val="14"/>
                <w:szCs w:val="20"/>
              </w:rPr>
            </w:pPr>
            <w:r w:rsidRPr="00184B6B">
              <w:rPr>
                <w:sz w:val="14"/>
                <w:szCs w:val="20"/>
              </w:rPr>
              <w:t>(2)</w:t>
            </w:r>
          </w:p>
        </w:tc>
        <w:tc>
          <w:tcPr>
            <w:tcW w:w="469" w:type="pct"/>
            <w:tcBorders>
              <w:top w:val="single" w:sz="4" w:space="0" w:color="auto"/>
              <w:left w:val="nil"/>
              <w:bottom w:val="single" w:sz="4" w:space="0" w:color="auto"/>
              <w:right w:val="nil"/>
            </w:tcBorders>
            <w:shd w:val="clear" w:color="auto" w:fill="auto"/>
            <w:noWrap/>
            <w:vAlign w:val="center"/>
          </w:tcPr>
          <w:p w14:paraId="0F2E8AB2" w14:textId="77777777" w:rsidR="00184B6B" w:rsidRPr="00184B6B" w:rsidRDefault="00184B6B" w:rsidP="00184B6B">
            <w:pPr>
              <w:spacing w:line="240" w:lineRule="auto"/>
              <w:ind w:firstLine="0"/>
              <w:rPr>
                <w:sz w:val="14"/>
                <w:szCs w:val="20"/>
              </w:rPr>
            </w:pPr>
            <w:r w:rsidRPr="00184B6B">
              <w:rPr>
                <w:sz w:val="14"/>
                <w:szCs w:val="20"/>
              </w:rPr>
              <w:t>(3)</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078B983F" w14:textId="77777777" w:rsidR="00184B6B" w:rsidRPr="00184B6B" w:rsidRDefault="00184B6B" w:rsidP="00184B6B">
            <w:pPr>
              <w:spacing w:line="240" w:lineRule="auto"/>
              <w:ind w:firstLine="0"/>
              <w:rPr>
                <w:sz w:val="14"/>
                <w:szCs w:val="20"/>
              </w:rPr>
            </w:pPr>
            <w:r w:rsidRPr="00184B6B">
              <w:rPr>
                <w:sz w:val="14"/>
                <w:szCs w:val="20"/>
              </w:rPr>
              <w:t>(4)</w:t>
            </w:r>
          </w:p>
        </w:tc>
        <w:tc>
          <w:tcPr>
            <w:tcW w:w="469" w:type="pct"/>
            <w:tcBorders>
              <w:top w:val="single" w:sz="4" w:space="0" w:color="auto"/>
              <w:left w:val="single" w:sz="4" w:space="0" w:color="auto"/>
              <w:bottom w:val="single" w:sz="4" w:space="0" w:color="auto"/>
              <w:right w:val="nil"/>
            </w:tcBorders>
            <w:shd w:val="clear" w:color="auto" w:fill="auto"/>
            <w:noWrap/>
            <w:vAlign w:val="center"/>
          </w:tcPr>
          <w:p w14:paraId="115C6A9A" w14:textId="77777777" w:rsidR="00184B6B" w:rsidRPr="00184B6B" w:rsidRDefault="00184B6B" w:rsidP="00184B6B">
            <w:pPr>
              <w:spacing w:line="240" w:lineRule="auto"/>
              <w:ind w:firstLine="0"/>
              <w:rPr>
                <w:sz w:val="14"/>
                <w:szCs w:val="20"/>
              </w:rPr>
            </w:pPr>
            <w:r w:rsidRPr="00184B6B">
              <w:rPr>
                <w:sz w:val="14"/>
                <w:szCs w:val="20"/>
              </w:rPr>
              <w:t>(5)</w:t>
            </w:r>
          </w:p>
        </w:tc>
        <w:tc>
          <w:tcPr>
            <w:tcW w:w="469" w:type="pct"/>
            <w:tcBorders>
              <w:top w:val="single" w:sz="4" w:space="0" w:color="auto"/>
              <w:left w:val="nil"/>
              <w:bottom w:val="single" w:sz="4" w:space="0" w:color="auto"/>
              <w:right w:val="nil"/>
            </w:tcBorders>
            <w:shd w:val="clear" w:color="auto" w:fill="auto"/>
            <w:noWrap/>
            <w:vAlign w:val="center"/>
          </w:tcPr>
          <w:p w14:paraId="217254E3" w14:textId="77777777" w:rsidR="00184B6B" w:rsidRPr="00184B6B" w:rsidRDefault="00184B6B" w:rsidP="00184B6B">
            <w:pPr>
              <w:spacing w:line="240" w:lineRule="auto"/>
              <w:ind w:firstLine="0"/>
              <w:rPr>
                <w:sz w:val="14"/>
                <w:szCs w:val="20"/>
              </w:rPr>
            </w:pPr>
            <w:r w:rsidRPr="00184B6B">
              <w:rPr>
                <w:sz w:val="14"/>
                <w:szCs w:val="20"/>
              </w:rPr>
              <w:t>(6)</w:t>
            </w:r>
          </w:p>
        </w:tc>
        <w:tc>
          <w:tcPr>
            <w:tcW w:w="469" w:type="pct"/>
            <w:tcBorders>
              <w:top w:val="single" w:sz="4" w:space="0" w:color="auto"/>
              <w:left w:val="nil"/>
              <w:bottom w:val="single" w:sz="4" w:space="0" w:color="auto"/>
              <w:right w:val="nil"/>
            </w:tcBorders>
            <w:shd w:val="clear" w:color="auto" w:fill="auto"/>
            <w:noWrap/>
            <w:vAlign w:val="center"/>
          </w:tcPr>
          <w:p w14:paraId="3A2F521F" w14:textId="77777777" w:rsidR="00184B6B" w:rsidRPr="00184B6B" w:rsidRDefault="00184B6B" w:rsidP="00184B6B">
            <w:pPr>
              <w:spacing w:line="240" w:lineRule="auto"/>
              <w:ind w:firstLine="0"/>
              <w:rPr>
                <w:sz w:val="14"/>
                <w:szCs w:val="20"/>
              </w:rPr>
            </w:pPr>
            <w:r w:rsidRPr="00184B6B">
              <w:rPr>
                <w:sz w:val="14"/>
                <w:szCs w:val="20"/>
              </w:rPr>
              <w:t>(7)</w:t>
            </w:r>
          </w:p>
        </w:tc>
        <w:tc>
          <w:tcPr>
            <w:tcW w:w="466" w:type="pct"/>
            <w:tcBorders>
              <w:top w:val="single" w:sz="4" w:space="0" w:color="auto"/>
              <w:left w:val="nil"/>
              <w:bottom w:val="single" w:sz="4" w:space="0" w:color="auto"/>
              <w:right w:val="single" w:sz="4" w:space="0" w:color="auto"/>
            </w:tcBorders>
            <w:shd w:val="clear" w:color="auto" w:fill="auto"/>
            <w:noWrap/>
            <w:vAlign w:val="center"/>
          </w:tcPr>
          <w:p w14:paraId="446E37F1" w14:textId="77777777" w:rsidR="00184B6B" w:rsidRPr="00184B6B" w:rsidRDefault="00184B6B" w:rsidP="00184B6B">
            <w:pPr>
              <w:spacing w:line="240" w:lineRule="auto"/>
              <w:ind w:firstLine="0"/>
              <w:rPr>
                <w:sz w:val="14"/>
                <w:szCs w:val="20"/>
              </w:rPr>
            </w:pPr>
            <w:r w:rsidRPr="00184B6B">
              <w:rPr>
                <w:sz w:val="14"/>
                <w:szCs w:val="20"/>
              </w:rPr>
              <w:t>(8)</w:t>
            </w:r>
          </w:p>
        </w:tc>
      </w:tr>
      <w:tr w:rsidR="00184B6B" w:rsidRPr="00184B6B" w14:paraId="4C27B474" w14:textId="77777777" w:rsidTr="00B617ED">
        <w:trPr>
          <w:trHeight w:hRule="exact" w:val="227"/>
        </w:trPr>
        <w:tc>
          <w:tcPr>
            <w:tcW w:w="1251" w:type="pct"/>
            <w:tcBorders>
              <w:top w:val="single" w:sz="4" w:space="0" w:color="auto"/>
              <w:left w:val="single" w:sz="4" w:space="0" w:color="auto"/>
              <w:bottom w:val="nil"/>
              <w:right w:val="single" w:sz="4" w:space="0" w:color="auto"/>
            </w:tcBorders>
            <w:shd w:val="clear" w:color="auto" w:fill="auto"/>
            <w:noWrap/>
            <w:vAlign w:val="center"/>
            <w:hideMark/>
          </w:tcPr>
          <w:p w14:paraId="63CD6B53" w14:textId="77777777" w:rsidR="00184B6B" w:rsidRPr="00184B6B" w:rsidRDefault="00184B6B" w:rsidP="00184B6B">
            <w:pPr>
              <w:spacing w:line="240" w:lineRule="auto"/>
              <w:ind w:firstLine="0"/>
              <w:jc w:val="left"/>
              <w:rPr>
                <w:sz w:val="14"/>
                <w:szCs w:val="20"/>
              </w:rPr>
            </w:pPr>
            <w:r w:rsidRPr="00184B6B">
              <w:rPr>
                <w:sz w:val="14"/>
                <w:szCs w:val="20"/>
              </w:rPr>
              <w:t>Intentions to move to the EU</w:t>
            </w:r>
          </w:p>
        </w:tc>
        <w:tc>
          <w:tcPr>
            <w:tcW w:w="469" w:type="pct"/>
            <w:tcBorders>
              <w:top w:val="single" w:sz="4" w:space="0" w:color="auto"/>
              <w:left w:val="single" w:sz="4" w:space="0" w:color="auto"/>
              <w:bottom w:val="nil"/>
              <w:right w:val="nil"/>
            </w:tcBorders>
            <w:shd w:val="clear" w:color="auto" w:fill="auto"/>
            <w:noWrap/>
            <w:vAlign w:val="center"/>
            <w:hideMark/>
          </w:tcPr>
          <w:p w14:paraId="5A9B3AAC" w14:textId="77777777" w:rsidR="00184B6B" w:rsidRPr="00184B6B" w:rsidRDefault="00184B6B" w:rsidP="00184B6B">
            <w:pPr>
              <w:spacing w:line="240" w:lineRule="auto"/>
              <w:ind w:firstLine="0"/>
              <w:rPr>
                <w:sz w:val="14"/>
                <w:szCs w:val="20"/>
              </w:rPr>
            </w:pPr>
            <w:r w:rsidRPr="00184B6B">
              <w:rPr>
                <w:sz w:val="14"/>
                <w:szCs w:val="20"/>
              </w:rPr>
              <w:t>0.153***</w:t>
            </w:r>
          </w:p>
        </w:tc>
        <w:tc>
          <w:tcPr>
            <w:tcW w:w="469" w:type="pct"/>
            <w:tcBorders>
              <w:top w:val="single" w:sz="4" w:space="0" w:color="auto"/>
              <w:left w:val="nil"/>
              <w:bottom w:val="nil"/>
              <w:right w:val="nil"/>
            </w:tcBorders>
            <w:shd w:val="clear" w:color="auto" w:fill="auto"/>
            <w:noWrap/>
            <w:vAlign w:val="center"/>
            <w:hideMark/>
          </w:tcPr>
          <w:p w14:paraId="1026CB6D"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nil"/>
              <w:bottom w:val="nil"/>
              <w:right w:val="nil"/>
            </w:tcBorders>
            <w:shd w:val="clear" w:color="auto" w:fill="auto"/>
            <w:noWrap/>
            <w:vAlign w:val="center"/>
            <w:hideMark/>
          </w:tcPr>
          <w:p w14:paraId="3B56E080"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nil"/>
              <w:bottom w:val="nil"/>
              <w:right w:val="single" w:sz="4" w:space="0" w:color="auto"/>
            </w:tcBorders>
            <w:shd w:val="clear" w:color="auto" w:fill="auto"/>
            <w:noWrap/>
            <w:vAlign w:val="center"/>
            <w:hideMark/>
          </w:tcPr>
          <w:p w14:paraId="0EEF686B" w14:textId="77777777" w:rsidR="00184B6B" w:rsidRPr="00184B6B" w:rsidRDefault="00184B6B" w:rsidP="00184B6B">
            <w:pPr>
              <w:spacing w:line="240" w:lineRule="auto"/>
              <w:ind w:firstLine="0"/>
              <w:rPr>
                <w:sz w:val="14"/>
                <w:szCs w:val="20"/>
              </w:rPr>
            </w:pPr>
            <w:r w:rsidRPr="00184B6B">
              <w:rPr>
                <w:sz w:val="14"/>
                <w:szCs w:val="20"/>
              </w:rPr>
              <w:t>0.128**</w:t>
            </w:r>
          </w:p>
        </w:tc>
        <w:tc>
          <w:tcPr>
            <w:tcW w:w="469" w:type="pct"/>
            <w:tcBorders>
              <w:top w:val="single" w:sz="4" w:space="0" w:color="auto"/>
              <w:left w:val="single" w:sz="4" w:space="0" w:color="auto"/>
              <w:bottom w:val="nil"/>
              <w:right w:val="nil"/>
            </w:tcBorders>
            <w:shd w:val="clear" w:color="auto" w:fill="auto"/>
            <w:noWrap/>
            <w:vAlign w:val="center"/>
            <w:hideMark/>
          </w:tcPr>
          <w:p w14:paraId="11858327" w14:textId="77777777" w:rsidR="00184B6B" w:rsidRPr="00184B6B" w:rsidRDefault="00184B6B" w:rsidP="00184B6B">
            <w:pPr>
              <w:spacing w:line="240" w:lineRule="auto"/>
              <w:ind w:firstLine="0"/>
              <w:rPr>
                <w:sz w:val="14"/>
                <w:szCs w:val="20"/>
              </w:rPr>
            </w:pPr>
            <w:r w:rsidRPr="00184B6B">
              <w:rPr>
                <w:sz w:val="14"/>
                <w:szCs w:val="20"/>
              </w:rPr>
              <w:t>0.067</w:t>
            </w:r>
          </w:p>
        </w:tc>
        <w:tc>
          <w:tcPr>
            <w:tcW w:w="469" w:type="pct"/>
            <w:tcBorders>
              <w:top w:val="single" w:sz="4" w:space="0" w:color="auto"/>
              <w:left w:val="nil"/>
              <w:bottom w:val="nil"/>
              <w:right w:val="nil"/>
            </w:tcBorders>
            <w:shd w:val="clear" w:color="auto" w:fill="auto"/>
            <w:noWrap/>
            <w:vAlign w:val="center"/>
            <w:hideMark/>
          </w:tcPr>
          <w:p w14:paraId="4A051E13"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nil"/>
              <w:bottom w:val="nil"/>
              <w:right w:val="nil"/>
            </w:tcBorders>
            <w:shd w:val="clear" w:color="auto" w:fill="auto"/>
            <w:noWrap/>
            <w:vAlign w:val="center"/>
            <w:hideMark/>
          </w:tcPr>
          <w:p w14:paraId="415F8D81" w14:textId="77777777" w:rsidR="00184B6B" w:rsidRPr="00184B6B" w:rsidRDefault="00184B6B" w:rsidP="00184B6B">
            <w:pPr>
              <w:spacing w:line="240" w:lineRule="auto"/>
              <w:ind w:firstLine="0"/>
              <w:rPr>
                <w:sz w:val="14"/>
                <w:szCs w:val="20"/>
              </w:rPr>
            </w:pPr>
            <w:r w:rsidRPr="00184B6B">
              <w:rPr>
                <w:sz w:val="14"/>
                <w:szCs w:val="20"/>
              </w:rPr>
              <w:t>-</w:t>
            </w:r>
          </w:p>
        </w:tc>
        <w:tc>
          <w:tcPr>
            <w:tcW w:w="466" w:type="pct"/>
            <w:tcBorders>
              <w:top w:val="single" w:sz="4" w:space="0" w:color="auto"/>
              <w:left w:val="nil"/>
              <w:bottom w:val="nil"/>
              <w:right w:val="single" w:sz="4" w:space="0" w:color="auto"/>
            </w:tcBorders>
            <w:shd w:val="clear" w:color="auto" w:fill="auto"/>
            <w:noWrap/>
            <w:vAlign w:val="center"/>
            <w:hideMark/>
          </w:tcPr>
          <w:p w14:paraId="09C45619" w14:textId="77777777" w:rsidR="00184B6B" w:rsidRPr="00184B6B" w:rsidRDefault="00184B6B" w:rsidP="00184B6B">
            <w:pPr>
              <w:spacing w:line="240" w:lineRule="auto"/>
              <w:ind w:firstLine="0"/>
              <w:rPr>
                <w:sz w:val="14"/>
                <w:szCs w:val="20"/>
              </w:rPr>
            </w:pPr>
            <w:r w:rsidRPr="00184B6B">
              <w:rPr>
                <w:sz w:val="14"/>
                <w:szCs w:val="20"/>
              </w:rPr>
              <w:t>0.051</w:t>
            </w:r>
          </w:p>
        </w:tc>
      </w:tr>
      <w:tr w:rsidR="00184B6B" w:rsidRPr="00184B6B" w14:paraId="49D886F5"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A42A8E6"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A564277" w14:textId="77777777" w:rsidR="00184B6B" w:rsidRPr="00184B6B" w:rsidRDefault="00184B6B" w:rsidP="00184B6B">
            <w:pPr>
              <w:spacing w:line="240" w:lineRule="auto"/>
              <w:ind w:firstLine="0"/>
              <w:rPr>
                <w:sz w:val="14"/>
                <w:szCs w:val="20"/>
              </w:rPr>
            </w:pPr>
            <w:r w:rsidRPr="00184B6B">
              <w:rPr>
                <w:sz w:val="14"/>
                <w:szCs w:val="20"/>
              </w:rPr>
              <w:t>(0.055)</w:t>
            </w:r>
          </w:p>
        </w:tc>
        <w:tc>
          <w:tcPr>
            <w:tcW w:w="469" w:type="pct"/>
            <w:tcBorders>
              <w:top w:val="nil"/>
              <w:left w:val="nil"/>
              <w:bottom w:val="nil"/>
              <w:right w:val="nil"/>
            </w:tcBorders>
            <w:shd w:val="clear" w:color="auto" w:fill="auto"/>
            <w:noWrap/>
            <w:vAlign w:val="center"/>
            <w:hideMark/>
          </w:tcPr>
          <w:p w14:paraId="3A40B0F0"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5ED0BBA1"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single" w:sz="4" w:space="0" w:color="auto"/>
            </w:tcBorders>
            <w:shd w:val="clear" w:color="auto" w:fill="auto"/>
            <w:noWrap/>
            <w:vAlign w:val="center"/>
            <w:hideMark/>
          </w:tcPr>
          <w:p w14:paraId="08BB0488"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single" w:sz="4" w:space="0" w:color="auto"/>
              <w:bottom w:val="nil"/>
              <w:right w:val="nil"/>
            </w:tcBorders>
            <w:shd w:val="clear" w:color="auto" w:fill="auto"/>
            <w:noWrap/>
            <w:vAlign w:val="center"/>
            <w:hideMark/>
          </w:tcPr>
          <w:p w14:paraId="09A97E3F" w14:textId="77777777" w:rsidR="00184B6B" w:rsidRPr="00184B6B" w:rsidRDefault="00184B6B" w:rsidP="00184B6B">
            <w:pPr>
              <w:spacing w:line="240" w:lineRule="auto"/>
              <w:ind w:firstLine="0"/>
              <w:rPr>
                <w:sz w:val="14"/>
                <w:szCs w:val="20"/>
              </w:rPr>
            </w:pPr>
            <w:r w:rsidRPr="00184B6B">
              <w:rPr>
                <w:sz w:val="14"/>
                <w:szCs w:val="20"/>
              </w:rPr>
              <w:t>(0.043)</w:t>
            </w:r>
          </w:p>
        </w:tc>
        <w:tc>
          <w:tcPr>
            <w:tcW w:w="469" w:type="pct"/>
            <w:tcBorders>
              <w:top w:val="nil"/>
              <w:left w:val="nil"/>
              <w:bottom w:val="nil"/>
              <w:right w:val="nil"/>
            </w:tcBorders>
            <w:shd w:val="clear" w:color="auto" w:fill="auto"/>
            <w:noWrap/>
            <w:vAlign w:val="center"/>
            <w:hideMark/>
          </w:tcPr>
          <w:p w14:paraId="465CEA23"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758F23D8" w14:textId="77777777" w:rsidR="00184B6B" w:rsidRPr="00184B6B" w:rsidRDefault="00184B6B" w:rsidP="00184B6B">
            <w:pPr>
              <w:spacing w:line="240" w:lineRule="auto"/>
              <w:ind w:firstLine="0"/>
              <w:rPr>
                <w:sz w:val="14"/>
                <w:szCs w:val="20"/>
              </w:rPr>
            </w:pPr>
            <w:r w:rsidRPr="00184B6B">
              <w:rPr>
                <w:sz w:val="14"/>
                <w:szCs w:val="20"/>
              </w:rPr>
              <w:t>-</w:t>
            </w:r>
          </w:p>
        </w:tc>
        <w:tc>
          <w:tcPr>
            <w:tcW w:w="466" w:type="pct"/>
            <w:tcBorders>
              <w:top w:val="nil"/>
              <w:left w:val="nil"/>
              <w:bottom w:val="nil"/>
              <w:right w:val="single" w:sz="4" w:space="0" w:color="auto"/>
            </w:tcBorders>
            <w:shd w:val="clear" w:color="auto" w:fill="auto"/>
            <w:noWrap/>
            <w:vAlign w:val="center"/>
            <w:hideMark/>
          </w:tcPr>
          <w:p w14:paraId="0F5EFB3A" w14:textId="77777777" w:rsidR="00184B6B" w:rsidRPr="00184B6B" w:rsidRDefault="00184B6B" w:rsidP="00184B6B">
            <w:pPr>
              <w:spacing w:line="240" w:lineRule="auto"/>
              <w:ind w:firstLine="0"/>
              <w:rPr>
                <w:sz w:val="14"/>
                <w:szCs w:val="20"/>
              </w:rPr>
            </w:pPr>
            <w:r w:rsidRPr="00184B6B">
              <w:rPr>
                <w:sz w:val="14"/>
                <w:szCs w:val="20"/>
              </w:rPr>
              <w:t>(0.044)</w:t>
            </w:r>
          </w:p>
        </w:tc>
      </w:tr>
      <w:tr w:rsidR="00184B6B" w:rsidRPr="00184B6B" w14:paraId="78598D21"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2BE4943" w14:textId="77777777" w:rsidR="00184B6B" w:rsidRPr="00184B6B" w:rsidRDefault="00184B6B" w:rsidP="00184B6B">
            <w:pPr>
              <w:spacing w:line="240" w:lineRule="auto"/>
              <w:ind w:firstLine="0"/>
              <w:jc w:val="left"/>
              <w:rPr>
                <w:sz w:val="14"/>
                <w:szCs w:val="20"/>
              </w:rPr>
            </w:pPr>
            <w:r w:rsidRPr="00184B6B">
              <w:rPr>
                <w:sz w:val="14"/>
                <w:szCs w:val="20"/>
              </w:rPr>
              <w:t>Relatives in the EU</w:t>
            </w:r>
          </w:p>
        </w:tc>
        <w:tc>
          <w:tcPr>
            <w:tcW w:w="469" w:type="pct"/>
            <w:tcBorders>
              <w:top w:val="nil"/>
              <w:left w:val="single" w:sz="4" w:space="0" w:color="auto"/>
              <w:bottom w:val="nil"/>
              <w:right w:val="nil"/>
            </w:tcBorders>
            <w:shd w:val="clear" w:color="auto" w:fill="auto"/>
            <w:noWrap/>
            <w:vAlign w:val="center"/>
            <w:hideMark/>
          </w:tcPr>
          <w:p w14:paraId="290D442B"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7CFCDB44" w14:textId="77777777" w:rsidR="00184B6B" w:rsidRPr="00184B6B" w:rsidRDefault="00184B6B" w:rsidP="00184B6B">
            <w:pPr>
              <w:spacing w:line="240" w:lineRule="auto"/>
              <w:ind w:firstLine="0"/>
              <w:rPr>
                <w:sz w:val="14"/>
                <w:szCs w:val="20"/>
              </w:rPr>
            </w:pPr>
            <w:r w:rsidRPr="00184B6B">
              <w:rPr>
                <w:sz w:val="14"/>
                <w:szCs w:val="20"/>
              </w:rPr>
              <w:t>0.128***</w:t>
            </w:r>
          </w:p>
        </w:tc>
        <w:tc>
          <w:tcPr>
            <w:tcW w:w="469" w:type="pct"/>
            <w:tcBorders>
              <w:top w:val="nil"/>
              <w:left w:val="nil"/>
              <w:bottom w:val="nil"/>
              <w:right w:val="nil"/>
            </w:tcBorders>
            <w:shd w:val="clear" w:color="auto" w:fill="auto"/>
            <w:noWrap/>
            <w:vAlign w:val="center"/>
            <w:hideMark/>
          </w:tcPr>
          <w:p w14:paraId="0B74C202"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single" w:sz="4" w:space="0" w:color="auto"/>
            </w:tcBorders>
            <w:shd w:val="clear" w:color="auto" w:fill="auto"/>
            <w:noWrap/>
            <w:vAlign w:val="center"/>
            <w:hideMark/>
          </w:tcPr>
          <w:p w14:paraId="19437569" w14:textId="77777777" w:rsidR="00184B6B" w:rsidRPr="00184B6B" w:rsidRDefault="00184B6B" w:rsidP="00184B6B">
            <w:pPr>
              <w:spacing w:line="240" w:lineRule="auto"/>
              <w:ind w:firstLine="0"/>
              <w:rPr>
                <w:sz w:val="14"/>
                <w:szCs w:val="20"/>
              </w:rPr>
            </w:pPr>
            <w:r w:rsidRPr="00184B6B">
              <w:rPr>
                <w:sz w:val="14"/>
                <w:szCs w:val="20"/>
              </w:rPr>
              <w:t>0.109***</w:t>
            </w:r>
          </w:p>
        </w:tc>
        <w:tc>
          <w:tcPr>
            <w:tcW w:w="469" w:type="pct"/>
            <w:tcBorders>
              <w:top w:val="nil"/>
              <w:left w:val="single" w:sz="4" w:space="0" w:color="auto"/>
              <w:bottom w:val="nil"/>
              <w:right w:val="nil"/>
            </w:tcBorders>
            <w:shd w:val="clear" w:color="auto" w:fill="auto"/>
            <w:noWrap/>
            <w:vAlign w:val="center"/>
            <w:hideMark/>
          </w:tcPr>
          <w:p w14:paraId="4BFBF6D7"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1C396AB4" w14:textId="77777777" w:rsidR="00184B6B" w:rsidRPr="00184B6B" w:rsidRDefault="00184B6B" w:rsidP="00184B6B">
            <w:pPr>
              <w:spacing w:line="240" w:lineRule="auto"/>
              <w:ind w:firstLine="0"/>
              <w:rPr>
                <w:sz w:val="14"/>
                <w:szCs w:val="20"/>
              </w:rPr>
            </w:pPr>
            <w:r w:rsidRPr="00184B6B">
              <w:rPr>
                <w:sz w:val="14"/>
                <w:szCs w:val="20"/>
              </w:rPr>
              <w:t>0.079**</w:t>
            </w:r>
          </w:p>
        </w:tc>
        <w:tc>
          <w:tcPr>
            <w:tcW w:w="469" w:type="pct"/>
            <w:tcBorders>
              <w:top w:val="nil"/>
              <w:left w:val="nil"/>
              <w:bottom w:val="nil"/>
              <w:right w:val="nil"/>
            </w:tcBorders>
            <w:shd w:val="clear" w:color="auto" w:fill="auto"/>
            <w:noWrap/>
            <w:vAlign w:val="center"/>
            <w:hideMark/>
          </w:tcPr>
          <w:p w14:paraId="61BF31A3" w14:textId="77777777" w:rsidR="00184B6B" w:rsidRPr="00184B6B" w:rsidRDefault="00184B6B" w:rsidP="00184B6B">
            <w:pPr>
              <w:spacing w:line="240" w:lineRule="auto"/>
              <w:ind w:firstLine="0"/>
              <w:rPr>
                <w:sz w:val="14"/>
                <w:szCs w:val="20"/>
              </w:rPr>
            </w:pPr>
            <w:r w:rsidRPr="00184B6B">
              <w:rPr>
                <w:sz w:val="14"/>
                <w:szCs w:val="20"/>
              </w:rPr>
              <w:t>-</w:t>
            </w:r>
          </w:p>
        </w:tc>
        <w:tc>
          <w:tcPr>
            <w:tcW w:w="466" w:type="pct"/>
            <w:tcBorders>
              <w:top w:val="nil"/>
              <w:left w:val="nil"/>
              <w:bottom w:val="nil"/>
              <w:right w:val="single" w:sz="4" w:space="0" w:color="auto"/>
            </w:tcBorders>
            <w:shd w:val="clear" w:color="auto" w:fill="auto"/>
            <w:noWrap/>
            <w:vAlign w:val="center"/>
            <w:hideMark/>
          </w:tcPr>
          <w:p w14:paraId="7EE02788" w14:textId="77777777" w:rsidR="00184B6B" w:rsidRPr="00184B6B" w:rsidRDefault="00184B6B" w:rsidP="00184B6B">
            <w:pPr>
              <w:spacing w:line="240" w:lineRule="auto"/>
              <w:ind w:firstLine="0"/>
              <w:rPr>
                <w:sz w:val="14"/>
                <w:szCs w:val="20"/>
              </w:rPr>
            </w:pPr>
            <w:r w:rsidRPr="00184B6B">
              <w:rPr>
                <w:sz w:val="14"/>
                <w:szCs w:val="20"/>
              </w:rPr>
              <w:t>0.070**</w:t>
            </w:r>
          </w:p>
        </w:tc>
      </w:tr>
      <w:tr w:rsidR="00184B6B" w:rsidRPr="00184B6B" w14:paraId="2EAF8492"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E882D97"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949C468"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4E00BFB8" w14:textId="77777777" w:rsidR="00184B6B" w:rsidRPr="00184B6B" w:rsidRDefault="00184B6B" w:rsidP="00184B6B">
            <w:pPr>
              <w:spacing w:line="240" w:lineRule="auto"/>
              <w:ind w:firstLine="0"/>
              <w:rPr>
                <w:sz w:val="14"/>
                <w:szCs w:val="20"/>
              </w:rPr>
            </w:pPr>
            <w:r w:rsidRPr="00184B6B">
              <w:rPr>
                <w:sz w:val="14"/>
                <w:szCs w:val="20"/>
              </w:rPr>
              <w:t>(0.041)</w:t>
            </w:r>
          </w:p>
        </w:tc>
        <w:tc>
          <w:tcPr>
            <w:tcW w:w="469" w:type="pct"/>
            <w:tcBorders>
              <w:top w:val="nil"/>
              <w:left w:val="nil"/>
              <w:bottom w:val="nil"/>
              <w:right w:val="nil"/>
            </w:tcBorders>
            <w:shd w:val="clear" w:color="auto" w:fill="auto"/>
            <w:noWrap/>
            <w:vAlign w:val="center"/>
            <w:hideMark/>
          </w:tcPr>
          <w:p w14:paraId="0DC7CBF1"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single" w:sz="4" w:space="0" w:color="auto"/>
            </w:tcBorders>
            <w:shd w:val="clear" w:color="auto" w:fill="auto"/>
            <w:noWrap/>
            <w:vAlign w:val="center"/>
            <w:hideMark/>
          </w:tcPr>
          <w:p w14:paraId="44E784B6" w14:textId="77777777" w:rsidR="00184B6B" w:rsidRPr="00184B6B" w:rsidRDefault="00184B6B" w:rsidP="00184B6B">
            <w:pPr>
              <w:spacing w:line="240" w:lineRule="auto"/>
              <w:ind w:firstLine="0"/>
              <w:rPr>
                <w:sz w:val="14"/>
                <w:szCs w:val="20"/>
              </w:rPr>
            </w:pPr>
            <w:r w:rsidRPr="00184B6B">
              <w:rPr>
                <w:sz w:val="14"/>
                <w:szCs w:val="20"/>
              </w:rPr>
              <w:t>(0.041)</w:t>
            </w:r>
          </w:p>
        </w:tc>
        <w:tc>
          <w:tcPr>
            <w:tcW w:w="469" w:type="pct"/>
            <w:tcBorders>
              <w:top w:val="nil"/>
              <w:left w:val="single" w:sz="4" w:space="0" w:color="auto"/>
              <w:bottom w:val="nil"/>
              <w:right w:val="nil"/>
            </w:tcBorders>
            <w:shd w:val="clear" w:color="auto" w:fill="auto"/>
            <w:noWrap/>
            <w:vAlign w:val="center"/>
            <w:hideMark/>
          </w:tcPr>
          <w:p w14:paraId="00DB21BF"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71AA57E1" w14:textId="77777777" w:rsidR="00184B6B" w:rsidRPr="00184B6B" w:rsidRDefault="00184B6B" w:rsidP="00184B6B">
            <w:pPr>
              <w:spacing w:line="240" w:lineRule="auto"/>
              <w:ind w:firstLine="0"/>
              <w:rPr>
                <w:sz w:val="14"/>
                <w:szCs w:val="20"/>
              </w:rPr>
            </w:pPr>
            <w:r w:rsidRPr="00184B6B">
              <w:rPr>
                <w:sz w:val="14"/>
                <w:szCs w:val="20"/>
              </w:rPr>
              <w:t>(0.032)</w:t>
            </w:r>
          </w:p>
        </w:tc>
        <w:tc>
          <w:tcPr>
            <w:tcW w:w="469" w:type="pct"/>
            <w:tcBorders>
              <w:top w:val="nil"/>
              <w:left w:val="nil"/>
              <w:bottom w:val="nil"/>
              <w:right w:val="nil"/>
            </w:tcBorders>
            <w:shd w:val="clear" w:color="auto" w:fill="auto"/>
            <w:noWrap/>
            <w:vAlign w:val="center"/>
            <w:hideMark/>
          </w:tcPr>
          <w:p w14:paraId="2EFA351F" w14:textId="77777777" w:rsidR="00184B6B" w:rsidRPr="00184B6B" w:rsidRDefault="00184B6B" w:rsidP="00184B6B">
            <w:pPr>
              <w:spacing w:line="240" w:lineRule="auto"/>
              <w:ind w:firstLine="0"/>
              <w:rPr>
                <w:sz w:val="14"/>
                <w:szCs w:val="20"/>
              </w:rPr>
            </w:pPr>
            <w:r w:rsidRPr="00184B6B">
              <w:rPr>
                <w:sz w:val="14"/>
                <w:szCs w:val="20"/>
              </w:rPr>
              <w:t>-</w:t>
            </w:r>
          </w:p>
        </w:tc>
        <w:tc>
          <w:tcPr>
            <w:tcW w:w="466" w:type="pct"/>
            <w:tcBorders>
              <w:top w:val="nil"/>
              <w:left w:val="nil"/>
              <w:bottom w:val="nil"/>
              <w:right w:val="single" w:sz="4" w:space="0" w:color="auto"/>
            </w:tcBorders>
            <w:shd w:val="clear" w:color="auto" w:fill="auto"/>
            <w:noWrap/>
            <w:vAlign w:val="center"/>
            <w:hideMark/>
          </w:tcPr>
          <w:p w14:paraId="4FD4B84F" w14:textId="77777777" w:rsidR="00184B6B" w:rsidRPr="00184B6B" w:rsidRDefault="00184B6B" w:rsidP="00184B6B">
            <w:pPr>
              <w:spacing w:line="240" w:lineRule="auto"/>
              <w:ind w:firstLine="0"/>
              <w:rPr>
                <w:sz w:val="14"/>
                <w:szCs w:val="20"/>
              </w:rPr>
            </w:pPr>
            <w:r w:rsidRPr="00184B6B">
              <w:rPr>
                <w:sz w:val="14"/>
                <w:szCs w:val="20"/>
              </w:rPr>
              <w:t>(0.032)</w:t>
            </w:r>
          </w:p>
        </w:tc>
      </w:tr>
      <w:tr w:rsidR="00184B6B" w:rsidRPr="00184B6B" w14:paraId="3B8BDC1D"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E7D8EA9" w14:textId="77777777" w:rsidR="00184B6B" w:rsidRPr="00184B6B" w:rsidRDefault="00184B6B" w:rsidP="00184B6B">
            <w:pPr>
              <w:spacing w:line="240" w:lineRule="auto"/>
              <w:ind w:firstLine="0"/>
              <w:jc w:val="left"/>
              <w:rPr>
                <w:sz w:val="14"/>
                <w:szCs w:val="20"/>
              </w:rPr>
            </w:pPr>
            <w:r w:rsidRPr="00184B6B">
              <w:rPr>
                <w:sz w:val="14"/>
                <w:szCs w:val="20"/>
              </w:rPr>
              <w:t>EU return migrant</w:t>
            </w:r>
          </w:p>
        </w:tc>
        <w:tc>
          <w:tcPr>
            <w:tcW w:w="469" w:type="pct"/>
            <w:tcBorders>
              <w:top w:val="nil"/>
              <w:left w:val="single" w:sz="4" w:space="0" w:color="auto"/>
              <w:bottom w:val="nil"/>
              <w:right w:val="nil"/>
            </w:tcBorders>
            <w:shd w:val="clear" w:color="auto" w:fill="auto"/>
            <w:noWrap/>
            <w:vAlign w:val="center"/>
            <w:hideMark/>
          </w:tcPr>
          <w:p w14:paraId="51D6B705"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35381B8D"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4485B6CE" w14:textId="77777777" w:rsidR="00184B6B" w:rsidRPr="00184B6B" w:rsidRDefault="00184B6B" w:rsidP="00184B6B">
            <w:pPr>
              <w:spacing w:line="240" w:lineRule="auto"/>
              <w:ind w:firstLine="0"/>
              <w:rPr>
                <w:sz w:val="14"/>
                <w:szCs w:val="20"/>
              </w:rPr>
            </w:pPr>
            <w:r w:rsidRPr="00184B6B">
              <w:rPr>
                <w:sz w:val="14"/>
                <w:szCs w:val="20"/>
              </w:rPr>
              <w:t>0.204***</w:t>
            </w:r>
          </w:p>
        </w:tc>
        <w:tc>
          <w:tcPr>
            <w:tcW w:w="469" w:type="pct"/>
            <w:tcBorders>
              <w:top w:val="nil"/>
              <w:left w:val="nil"/>
              <w:bottom w:val="nil"/>
              <w:right w:val="single" w:sz="4" w:space="0" w:color="auto"/>
            </w:tcBorders>
            <w:shd w:val="clear" w:color="auto" w:fill="auto"/>
            <w:noWrap/>
            <w:vAlign w:val="center"/>
            <w:hideMark/>
          </w:tcPr>
          <w:p w14:paraId="58C2DAB8" w14:textId="77777777" w:rsidR="00184B6B" w:rsidRPr="00184B6B" w:rsidRDefault="00184B6B" w:rsidP="00184B6B">
            <w:pPr>
              <w:spacing w:line="240" w:lineRule="auto"/>
              <w:ind w:firstLine="0"/>
              <w:rPr>
                <w:sz w:val="14"/>
                <w:szCs w:val="20"/>
              </w:rPr>
            </w:pPr>
            <w:r w:rsidRPr="00184B6B">
              <w:rPr>
                <w:sz w:val="14"/>
                <w:szCs w:val="20"/>
              </w:rPr>
              <w:t>0.162**</w:t>
            </w:r>
          </w:p>
        </w:tc>
        <w:tc>
          <w:tcPr>
            <w:tcW w:w="469" w:type="pct"/>
            <w:tcBorders>
              <w:top w:val="nil"/>
              <w:left w:val="single" w:sz="4" w:space="0" w:color="auto"/>
              <w:bottom w:val="nil"/>
              <w:right w:val="nil"/>
            </w:tcBorders>
            <w:shd w:val="clear" w:color="auto" w:fill="auto"/>
            <w:noWrap/>
            <w:vAlign w:val="center"/>
            <w:hideMark/>
          </w:tcPr>
          <w:p w14:paraId="464DB589"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2E3A29CE"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08627FEF" w14:textId="77777777" w:rsidR="00184B6B" w:rsidRPr="00184B6B" w:rsidRDefault="00184B6B" w:rsidP="00184B6B">
            <w:pPr>
              <w:spacing w:line="240" w:lineRule="auto"/>
              <w:ind w:firstLine="0"/>
              <w:rPr>
                <w:sz w:val="14"/>
                <w:szCs w:val="20"/>
              </w:rPr>
            </w:pPr>
            <w:r w:rsidRPr="00184B6B">
              <w:rPr>
                <w:sz w:val="14"/>
                <w:szCs w:val="20"/>
              </w:rPr>
              <w:t>0.097</w:t>
            </w:r>
          </w:p>
        </w:tc>
        <w:tc>
          <w:tcPr>
            <w:tcW w:w="466" w:type="pct"/>
            <w:tcBorders>
              <w:top w:val="nil"/>
              <w:left w:val="nil"/>
              <w:bottom w:val="nil"/>
              <w:right w:val="single" w:sz="4" w:space="0" w:color="auto"/>
            </w:tcBorders>
            <w:shd w:val="clear" w:color="auto" w:fill="auto"/>
            <w:noWrap/>
            <w:vAlign w:val="center"/>
            <w:hideMark/>
          </w:tcPr>
          <w:p w14:paraId="45D29ADD" w14:textId="77777777" w:rsidR="00184B6B" w:rsidRPr="00184B6B" w:rsidRDefault="00184B6B" w:rsidP="00184B6B">
            <w:pPr>
              <w:spacing w:line="240" w:lineRule="auto"/>
              <w:ind w:firstLine="0"/>
              <w:rPr>
                <w:sz w:val="14"/>
                <w:szCs w:val="20"/>
              </w:rPr>
            </w:pPr>
            <w:r w:rsidRPr="00184B6B">
              <w:rPr>
                <w:sz w:val="14"/>
                <w:szCs w:val="20"/>
              </w:rPr>
              <w:t>0.074</w:t>
            </w:r>
          </w:p>
        </w:tc>
      </w:tr>
      <w:tr w:rsidR="00184B6B" w:rsidRPr="00184B6B" w14:paraId="5D2671B3"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F88177A"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22F9A672"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5E733875"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0549C091" w14:textId="77777777" w:rsidR="00184B6B" w:rsidRPr="00184B6B" w:rsidRDefault="00184B6B" w:rsidP="00184B6B">
            <w:pPr>
              <w:spacing w:line="240" w:lineRule="auto"/>
              <w:ind w:firstLine="0"/>
              <w:rPr>
                <w:sz w:val="14"/>
                <w:szCs w:val="20"/>
              </w:rPr>
            </w:pPr>
            <w:r w:rsidRPr="00184B6B">
              <w:rPr>
                <w:sz w:val="14"/>
                <w:szCs w:val="20"/>
              </w:rPr>
              <w:t>(0.072)</w:t>
            </w:r>
          </w:p>
        </w:tc>
        <w:tc>
          <w:tcPr>
            <w:tcW w:w="469" w:type="pct"/>
            <w:tcBorders>
              <w:top w:val="nil"/>
              <w:left w:val="nil"/>
              <w:bottom w:val="nil"/>
              <w:right w:val="single" w:sz="4" w:space="0" w:color="auto"/>
            </w:tcBorders>
            <w:shd w:val="clear" w:color="auto" w:fill="auto"/>
            <w:noWrap/>
            <w:vAlign w:val="center"/>
            <w:hideMark/>
          </w:tcPr>
          <w:p w14:paraId="796D28E7" w14:textId="77777777" w:rsidR="00184B6B" w:rsidRPr="00184B6B" w:rsidRDefault="00184B6B" w:rsidP="00184B6B">
            <w:pPr>
              <w:spacing w:line="240" w:lineRule="auto"/>
              <w:ind w:firstLine="0"/>
              <w:rPr>
                <w:sz w:val="14"/>
                <w:szCs w:val="20"/>
              </w:rPr>
            </w:pPr>
            <w:r w:rsidRPr="00184B6B">
              <w:rPr>
                <w:sz w:val="14"/>
                <w:szCs w:val="20"/>
              </w:rPr>
              <w:t>(0.073)</w:t>
            </w:r>
          </w:p>
        </w:tc>
        <w:tc>
          <w:tcPr>
            <w:tcW w:w="469" w:type="pct"/>
            <w:tcBorders>
              <w:top w:val="nil"/>
              <w:left w:val="single" w:sz="4" w:space="0" w:color="auto"/>
              <w:bottom w:val="nil"/>
              <w:right w:val="nil"/>
            </w:tcBorders>
            <w:shd w:val="clear" w:color="auto" w:fill="auto"/>
            <w:noWrap/>
            <w:vAlign w:val="center"/>
            <w:hideMark/>
          </w:tcPr>
          <w:p w14:paraId="6BC728E4"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5278A026"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78A4AC3D" w14:textId="77777777" w:rsidR="00184B6B" w:rsidRPr="00184B6B" w:rsidRDefault="00184B6B" w:rsidP="00184B6B">
            <w:pPr>
              <w:spacing w:line="240" w:lineRule="auto"/>
              <w:ind w:firstLine="0"/>
              <w:rPr>
                <w:sz w:val="14"/>
                <w:szCs w:val="20"/>
              </w:rPr>
            </w:pPr>
            <w:r w:rsidRPr="00184B6B">
              <w:rPr>
                <w:sz w:val="14"/>
                <w:szCs w:val="20"/>
              </w:rPr>
              <w:t>(0.063)</w:t>
            </w:r>
          </w:p>
        </w:tc>
        <w:tc>
          <w:tcPr>
            <w:tcW w:w="466" w:type="pct"/>
            <w:tcBorders>
              <w:top w:val="nil"/>
              <w:left w:val="nil"/>
              <w:bottom w:val="nil"/>
              <w:right w:val="single" w:sz="4" w:space="0" w:color="auto"/>
            </w:tcBorders>
            <w:shd w:val="clear" w:color="auto" w:fill="auto"/>
            <w:noWrap/>
            <w:vAlign w:val="center"/>
            <w:hideMark/>
          </w:tcPr>
          <w:p w14:paraId="6070A994" w14:textId="77777777" w:rsidR="00184B6B" w:rsidRPr="00184B6B" w:rsidRDefault="00184B6B" w:rsidP="00184B6B">
            <w:pPr>
              <w:spacing w:line="240" w:lineRule="auto"/>
              <w:ind w:firstLine="0"/>
              <w:rPr>
                <w:sz w:val="14"/>
                <w:szCs w:val="20"/>
              </w:rPr>
            </w:pPr>
            <w:r w:rsidRPr="00184B6B">
              <w:rPr>
                <w:sz w:val="14"/>
                <w:szCs w:val="20"/>
              </w:rPr>
              <w:t>(0.064)</w:t>
            </w:r>
          </w:p>
        </w:tc>
      </w:tr>
      <w:tr w:rsidR="00184B6B" w:rsidRPr="00184B6B" w14:paraId="3D289BFB"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6E4BF30" w14:textId="77777777" w:rsidR="00184B6B" w:rsidRPr="00184B6B" w:rsidRDefault="00184B6B" w:rsidP="00184B6B">
            <w:pPr>
              <w:spacing w:line="240" w:lineRule="auto"/>
              <w:ind w:firstLine="0"/>
              <w:jc w:val="left"/>
              <w:rPr>
                <w:sz w:val="14"/>
                <w:szCs w:val="20"/>
              </w:rPr>
            </w:pPr>
            <w:r w:rsidRPr="00184B6B">
              <w:rPr>
                <w:sz w:val="14"/>
                <w:szCs w:val="20"/>
              </w:rPr>
              <w:t>Age</w:t>
            </w:r>
          </w:p>
        </w:tc>
        <w:tc>
          <w:tcPr>
            <w:tcW w:w="469" w:type="pct"/>
            <w:tcBorders>
              <w:top w:val="nil"/>
              <w:left w:val="single" w:sz="4" w:space="0" w:color="auto"/>
              <w:bottom w:val="nil"/>
              <w:right w:val="nil"/>
            </w:tcBorders>
            <w:shd w:val="clear" w:color="auto" w:fill="auto"/>
            <w:noWrap/>
            <w:vAlign w:val="center"/>
            <w:hideMark/>
          </w:tcPr>
          <w:p w14:paraId="30876224"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nil"/>
            </w:tcBorders>
            <w:shd w:val="clear" w:color="auto" w:fill="auto"/>
            <w:noWrap/>
            <w:vAlign w:val="center"/>
            <w:hideMark/>
          </w:tcPr>
          <w:p w14:paraId="54CCC06A" w14:textId="77777777" w:rsidR="00184B6B" w:rsidRPr="00184B6B" w:rsidRDefault="00184B6B" w:rsidP="00184B6B">
            <w:pPr>
              <w:spacing w:line="240" w:lineRule="auto"/>
              <w:ind w:firstLine="0"/>
              <w:rPr>
                <w:sz w:val="14"/>
                <w:szCs w:val="20"/>
              </w:rPr>
            </w:pPr>
            <w:r w:rsidRPr="00184B6B">
              <w:rPr>
                <w:sz w:val="14"/>
                <w:szCs w:val="20"/>
              </w:rPr>
              <w:t>-0.016***</w:t>
            </w:r>
          </w:p>
        </w:tc>
        <w:tc>
          <w:tcPr>
            <w:tcW w:w="469" w:type="pct"/>
            <w:tcBorders>
              <w:top w:val="nil"/>
              <w:left w:val="nil"/>
              <w:bottom w:val="nil"/>
              <w:right w:val="nil"/>
            </w:tcBorders>
            <w:shd w:val="clear" w:color="auto" w:fill="auto"/>
            <w:noWrap/>
            <w:vAlign w:val="center"/>
            <w:hideMark/>
          </w:tcPr>
          <w:p w14:paraId="4DFE8B55" w14:textId="77777777" w:rsidR="00184B6B" w:rsidRPr="00184B6B" w:rsidRDefault="00184B6B" w:rsidP="00184B6B">
            <w:pPr>
              <w:spacing w:line="240" w:lineRule="auto"/>
              <w:ind w:firstLine="0"/>
              <w:rPr>
                <w:sz w:val="14"/>
                <w:szCs w:val="20"/>
              </w:rPr>
            </w:pPr>
            <w:r w:rsidRPr="00184B6B">
              <w:rPr>
                <w:sz w:val="14"/>
                <w:szCs w:val="20"/>
              </w:rPr>
              <w:t>-0.016***</w:t>
            </w:r>
          </w:p>
        </w:tc>
        <w:tc>
          <w:tcPr>
            <w:tcW w:w="469" w:type="pct"/>
            <w:tcBorders>
              <w:top w:val="nil"/>
              <w:left w:val="nil"/>
              <w:bottom w:val="nil"/>
              <w:right w:val="single" w:sz="4" w:space="0" w:color="auto"/>
            </w:tcBorders>
            <w:shd w:val="clear" w:color="auto" w:fill="auto"/>
            <w:noWrap/>
            <w:vAlign w:val="center"/>
            <w:hideMark/>
          </w:tcPr>
          <w:p w14:paraId="39341A24"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single" w:sz="4" w:space="0" w:color="auto"/>
              <w:bottom w:val="nil"/>
              <w:right w:val="nil"/>
            </w:tcBorders>
            <w:shd w:val="clear" w:color="auto" w:fill="auto"/>
            <w:noWrap/>
            <w:vAlign w:val="center"/>
            <w:hideMark/>
          </w:tcPr>
          <w:p w14:paraId="1EDB9DE3" w14:textId="77777777" w:rsidR="00184B6B" w:rsidRPr="00184B6B" w:rsidRDefault="00184B6B" w:rsidP="00184B6B">
            <w:pPr>
              <w:spacing w:line="240" w:lineRule="auto"/>
              <w:ind w:firstLine="0"/>
              <w:rPr>
                <w:sz w:val="14"/>
                <w:szCs w:val="20"/>
              </w:rPr>
            </w:pPr>
            <w:r w:rsidRPr="00184B6B">
              <w:rPr>
                <w:sz w:val="14"/>
                <w:szCs w:val="20"/>
              </w:rPr>
              <w:t>-0.014***</w:t>
            </w:r>
          </w:p>
        </w:tc>
        <w:tc>
          <w:tcPr>
            <w:tcW w:w="469" w:type="pct"/>
            <w:tcBorders>
              <w:top w:val="nil"/>
              <w:left w:val="nil"/>
              <w:bottom w:val="nil"/>
              <w:right w:val="nil"/>
            </w:tcBorders>
            <w:shd w:val="clear" w:color="auto" w:fill="auto"/>
            <w:noWrap/>
            <w:vAlign w:val="center"/>
            <w:hideMark/>
          </w:tcPr>
          <w:p w14:paraId="6A44D9E4" w14:textId="77777777" w:rsidR="00184B6B" w:rsidRPr="00184B6B" w:rsidRDefault="00184B6B" w:rsidP="00184B6B">
            <w:pPr>
              <w:spacing w:line="240" w:lineRule="auto"/>
              <w:ind w:firstLine="0"/>
              <w:rPr>
                <w:sz w:val="14"/>
                <w:szCs w:val="20"/>
              </w:rPr>
            </w:pPr>
            <w:r w:rsidRPr="00184B6B">
              <w:rPr>
                <w:sz w:val="14"/>
                <w:szCs w:val="20"/>
              </w:rPr>
              <w:t>-0.014***</w:t>
            </w:r>
          </w:p>
        </w:tc>
        <w:tc>
          <w:tcPr>
            <w:tcW w:w="469" w:type="pct"/>
            <w:tcBorders>
              <w:top w:val="nil"/>
              <w:left w:val="nil"/>
              <w:bottom w:val="nil"/>
              <w:right w:val="nil"/>
            </w:tcBorders>
            <w:shd w:val="clear" w:color="auto" w:fill="auto"/>
            <w:noWrap/>
            <w:vAlign w:val="center"/>
            <w:hideMark/>
          </w:tcPr>
          <w:p w14:paraId="6E67E428" w14:textId="77777777" w:rsidR="00184B6B" w:rsidRPr="00184B6B" w:rsidRDefault="00184B6B" w:rsidP="00184B6B">
            <w:pPr>
              <w:spacing w:line="240" w:lineRule="auto"/>
              <w:ind w:firstLine="0"/>
              <w:rPr>
                <w:sz w:val="14"/>
                <w:szCs w:val="20"/>
              </w:rPr>
            </w:pPr>
            <w:r w:rsidRPr="00184B6B">
              <w:rPr>
                <w:sz w:val="14"/>
                <w:szCs w:val="20"/>
              </w:rPr>
              <w:t>-0.014***</w:t>
            </w:r>
          </w:p>
        </w:tc>
        <w:tc>
          <w:tcPr>
            <w:tcW w:w="466" w:type="pct"/>
            <w:tcBorders>
              <w:top w:val="nil"/>
              <w:left w:val="nil"/>
              <w:bottom w:val="nil"/>
              <w:right w:val="single" w:sz="4" w:space="0" w:color="auto"/>
            </w:tcBorders>
            <w:shd w:val="clear" w:color="auto" w:fill="auto"/>
            <w:noWrap/>
            <w:vAlign w:val="center"/>
            <w:hideMark/>
          </w:tcPr>
          <w:p w14:paraId="22A8B4B0" w14:textId="77777777" w:rsidR="00184B6B" w:rsidRPr="00184B6B" w:rsidRDefault="00184B6B" w:rsidP="00184B6B">
            <w:pPr>
              <w:spacing w:line="240" w:lineRule="auto"/>
              <w:ind w:firstLine="0"/>
              <w:rPr>
                <w:sz w:val="14"/>
                <w:szCs w:val="20"/>
              </w:rPr>
            </w:pPr>
            <w:r w:rsidRPr="00184B6B">
              <w:rPr>
                <w:sz w:val="14"/>
                <w:szCs w:val="20"/>
              </w:rPr>
              <w:t>-0.014***</w:t>
            </w:r>
          </w:p>
        </w:tc>
      </w:tr>
      <w:tr w:rsidR="00184B6B" w:rsidRPr="00184B6B" w14:paraId="42678E4F"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9F4B011"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1B136BBF" w14:textId="77777777" w:rsidR="00184B6B" w:rsidRPr="00184B6B" w:rsidRDefault="00184B6B" w:rsidP="00184B6B">
            <w:pPr>
              <w:spacing w:line="240" w:lineRule="auto"/>
              <w:ind w:firstLine="0"/>
              <w:rPr>
                <w:sz w:val="14"/>
                <w:szCs w:val="20"/>
              </w:rPr>
            </w:pPr>
            <w:r w:rsidRPr="00184B6B">
              <w:rPr>
                <w:sz w:val="14"/>
                <w:szCs w:val="20"/>
              </w:rPr>
              <w:t>(0.005)</w:t>
            </w:r>
          </w:p>
        </w:tc>
        <w:tc>
          <w:tcPr>
            <w:tcW w:w="469" w:type="pct"/>
            <w:tcBorders>
              <w:top w:val="nil"/>
              <w:left w:val="nil"/>
              <w:bottom w:val="nil"/>
              <w:right w:val="nil"/>
            </w:tcBorders>
            <w:shd w:val="clear" w:color="auto" w:fill="auto"/>
            <w:noWrap/>
            <w:vAlign w:val="center"/>
            <w:hideMark/>
          </w:tcPr>
          <w:p w14:paraId="5319439F" w14:textId="77777777" w:rsidR="00184B6B" w:rsidRPr="00184B6B" w:rsidRDefault="00184B6B" w:rsidP="00184B6B">
            <w:pPr>
              <w:spacing w:line="240" w:lineRule="auto"/>
              <w:ind w:firstLine="0"/>
              <w:rPr>
                <w:sz w:val="14"/>
                <w:szCs w:val="20"/>
              </w:rPr>
            </w:pPr>
            <w:r w:rsidRPr="00184B6B">
              <w:rPr>
                <w:sz w:val="14"/>
                <w:szCs w:val="20"/>
              </w:rPr>
              <w:t>(0.005)</w:t>
            </w:r>
          </w:p>
        </w:tc>
        <w:tc>
          <w:tcPr>
            <w:tcW w:w="469" w:type="pct"/>
            <w:tcBorders>
              <w:top w:val="nil"/>
              <w:left w:val="nil"/>
              <w:bottom w:val="nil"/>
              <w:right w:val="nil"/>
            </w:tcBorders>
            <w:shd w:val="clear" w:color="auto" w:fill="auto"/>
            <w:noWrap/>
            <w:vAlign w:val="center"/>
            <w:hideMark/>
          </w:tcPr>
          <w:p w14:paraId="0B43FE4F" w14:textId="77777777" w:rsidR="00184B6B" w:rsidRPr="00184B6B" w:rsidRDefault="00184B6B" w:rsidP="00184B6B">
            <w:pPr>
              <w:spacing w:line="240" w:lineRule="auto"/>
              <w:ind w:firstLine="0"/>
              <w:rPr>
                <w:sz w:val="14"/>
                <w:szCs w:val="20"/>
              </w:rPr>
            </w:pPr>
            <w:r w:rsidRPr="00184B6B">
              <w:rPr>
                <w:sz w:val="14"/>
                <w:szCs w:val="20"/>
              </w:rPr>
              <w:t>(0.005)</w:t>
            </w:r>
          </w:p>
        </w:tc>
        <w:tc>
          <w:tcPr>
            <w:tcW w:w="469" w:type="pct"/>
            <w:tcBorders>
              <w:top w:val="nil"/>
              <w:left w:val="nil"/>
              <w:bottom w:val="nil"/>
              <w:right w:val="single" w:sz="4" w:space="0" w:color="auto"/>
            </w:tcBorders>
            <w:shd w:val="clear" w:color="auto" w:fill="auto"/>
            <w:noWrap/>
            <w:vAlign w:val="center"/>
            <w:hideMark/>
          </w:tcPr>
          <w:p w14:paraId="4A7FE47B" w14:textId="77777777" w:rsidR="00184B6B" w:rsidRPr="00184B6B" w:rsidRDefault="00184B6B" w:rsidP="00184B6B">
            <w:pPr>
              <w:spacing w:line="240" w:lineRule="auto"/>
              <w:ind w:firstLine="0"/>
              <w:rPr>
                <w:sz w:val="14"/>
                <w:szCs w:val="20"/>
              </w:rPr>
            </w:pPr>
            <w:r w:rsidRPr="00184B6B">
              <w:rPr>
                <w:sz w:val="14"/>
                <w:szCs w:val="20"/>
              </w:rPr>
              <w:t>(0.005)</w:t>
            </w:r>
          </w:p>
        </w:tc>
        <w:tc>
          <w:tcPr>
            <w:tcW w:w="469" w:type="pct"/>
            <w:tcBorders>
              <w:top w:val="nil"/>
              <w:left w:val="single" w:sz="4" w:space="0" w:color="auto"/>
              <w:bottom w:val="nil"/>
              <w:right w:val="nil"/>
            </w:tcBorders>
            <w:shd w:val="clear" w:color="auto" w:fill="auto"/>
            <w:noWrap/>
            <w:vAlign w:val="center"/>
            <w:hideMark/>
          </w:tcPr>
          <w:p w14:paraId="276D1CF9" w14:textId="77777777" w:rsidR="00184B6B" w:rsidRPr="00184B6B" w:rsidRDefault="00184B6B" w:rsidP="00184B6B">
            <w:pPr>
              <w:spacing w:line="240" w:lineRule="auto"/>
              <w:ind w:firstLine="0"/>
              <w:rPr>
                <w:sz w:val="14"/>
                <w:szCs w:val="20"/>
              </w:rPr>
            </w:pPr>
            <w:r w:rsidRPr="00184B6B">
              <w:rPr>
                <w:sz w:val="14"/>
                <w:szCs w:val="20"/>
              </w:rPr>
              <w:t>(0.004)</w:t>
            </w:r>
          </w:p>
        </w:tc>
        <w:tc>
          <w:tcPr>
            <w:tcW w:w="469" w:type="pct"/>
            <w:tcBorders>
              <w:top w:val="nil"/>
              <w:left w:val="nil"/>
              <w:bottom w:val="nil"/>
              <w:right w:val="nil"/>
            </w:tcBorders>
            <w:shd w:val="clear" w:color="auto" w:fill="auto"/>
            <w:noWrap/>
            <w:vAlign w:val="center"/>
            <w:hideMark/>
          </w:tcPr>
          <w:p w14:paraId="1FFD5194" w14:textId="77777777" w:rsidR="00184B6B" w:rsidRPr="00184B6B" w:rsidRDefault="00184B6B" w:rsidP="00184B6B">
            <w:pPr>
              <w:spacing w:line="240" w:lineRule="auto"/>
              <w:ind w:firstLine="0"/>
              <w:rPr>
                <w:sz w:val="14"/>
                <w:szCs w:val="20"/>
              </w:rPr>
            </w:pPr>
            <w:r w:rsidRPr="00184B6B">
              <w:rPr>
                <w:sz w:val="14"/>
                <w:szCs w:val="20"/>
              </w:rPr>
              <w:t>(0.004)</w:t>
            </w:r>
          </w:p>
        </w:tc>
        <w:tc>
          <w:tcPr>
            <w:tcW w:w="469" w:type="pct"/>
            <w:tcBorders>
              <w:top w:val="nil"/>
              <w:left w:val="nil"/>
              <w:bottom w:val="nil"/>
              <w:right w:val="nil"/>
            </w:tcBorders>
            <w:shd w:val="clear" w:color="auto" w:fill="auto"/>
            <w:noWrap/>
            <w:vAlign w:val="center"/>
            <w:hideMark/>
          </w:tcPr>
          <w:p w14:paraId="542F5B6E" w14:textId="77777777" w:rsidR="00184B6B" w:rsidRPr="00184B6B" w:rsidRDefault="00184B6B" w:rsidP="00184B6B">
            <w:pPr>
              <w:spacing w:line="240" w:lineRule="auto"/>
              <w:ind w:firstLine="0"/>
              <w:rPr>
                <w:sz w:val="14"/>
                <w:szCs w:val="20"/>
              </w:rPr>
            </w:pPr>
            <w:r w:rsidRPr="00184B6B">
              <w:rPr>
                <w:sz w:val="14"/>
                <w:szCs w:val="20"/>
              </w:rPr>
              <w:t>(0.004)</w:t>
            </w:r>
          </w:p>
        </w:tc>
        <w:tc>
          <w:tcPr>
            <w:tcW w:w="466" w:type="pct"/>
            <w:tcBorders>
              <w:top w:val="nil"/>
              <w:left w:val="nil"/>
              <w:bottom w:val="nil"/>
              <w:right w:val="single" w:sz="4" w:space="0" w:color="auto"/>
            </w:tcBorders>
            <w:shd w:val="clear" w:color="auto" w:fill="auto"/>
            <w:noWrap/>
            <w:vAlign w:val="center"/>
            <w:hideMark/>
          </w:tcPr>
          <w:p w14:paraId="37D35B6F" w14:textId="77777777" w:rsidR="00184B6B" w:rsidRPr="00184B6B" w:rsidRDefault="00184B6B" w:rsidP="00184B6B">
            <w:pPr>
              <w:spacing w:line="240" w:lineRule="auto"/>
              <w:ind w:firstLine="0"/>
              <w:rPr>
                <w:sz w:val="14"/>
                <w:szCs w:val="20"/>
              </w:rPr>
            </w:pPr>
            <w:r w:rsidRPr="00184B6B">
              <w:rPr>
                <w:sz w:val="14"/>
                <w:szCs w:val="20"/>
              </w:rPr>
              <w:t>(0.004)</w:t>
            </w:r>
          </w:p>
        </w:tc>
      </w:tr>
      <w:tr w:rsidR="00184B6B" w:rsidRPr="00184B6B" w14:paraId="2A8526F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9CB5680" w14:textId="77777777" w:rsidR="00184B6B" w:rsidRPr="00184B6B" w:rsidRDefault="00184B6B" w:rsidP="00184B6B">
            <w:pPr>
              <w:spacing w:line="240" w:lineRule="auto"/>
              <w:ind w:firstLine="0"/>
              <w:jc w:val="left"/>
              <w:rPr>
                <w:sz w:val="14"/>
                <w:szCs w:val="20"/>
              </w:rPr>
            </w:pPr>
            <w:r w:rsidRPr="00184B6B">
              <w:rPr>
                <w:sz w:val="14"/>
                <w:szCs w:val="20"/>
              </w:rPr>
              <w:t>Age squared/100</w:t>
            </w:r>
          </w:p>
        </w:tc>
        <w:tc>
          <w:tcPr>
            <w:tcW w:w="469" w:type="pct"/>
            <w:tcBorders>
              <w:top w:val="nil"/>
              <w:left w:val="single" w:sz="4" w:space="0" w:color="auto"/>
              <w:bottom w:val="nil"/>
              <w:right w:val="nil"/>
            </w:tcBorders>
            <w:shd w:val="clear" w:color="auto" w:fill="auto"/>
            <w:noWrap/>
            <w:vAlign w:val="center"/>
            <w:hideMark/>
          </w:tcPr>
          <w:p w14:paraId="28C23243" w14:textId="77777777" w:rsidR="00184B6B" w:rsidRPr="00184B6B" w:rsidRDefault="00184B6B" w:rsidP="00184B6B">
            <w:pPr>
              <w:spacing w:line="240" w:lineRule="auto"/>
              <w:ind w:firstLine="0"/>
              <w:rPr>
                <w:sz w:val="14"/>
                <w:szCs w:val="20"/>
              </w:rPr>
            </w:pPr>
            <w:r w:rsidRPr="00184B6B">
              <w:rPr>
                <w:sz w:val="14"/>
                <w:szCs w:val="20"/>
              </w:rPr>
              <w:t>0.017***</w:t>
            </w:r>
          </w:p>
        </w:tc>
        <w:tc>
          <w:tcPr>
            <w:tcW w:w="469" w:type="pct"/>
            <w:tcBorders>
              <w:top w:val="nil"/>
              <w:left w:val="nil"/>
              <w:bottom w:val="nil"/>
              <w:right w:val="nil"/>
            </w:tcBorders>
            <w:shd w:val="clear" w:color="auto" w:fill="auto"/>
            <w:noWrap/>
            <w:vAlign w:val="center"/>
            <w:hideMark/>
          </w:tcPr>
          <w:p w14:paraId="3D0EEBF0" w14:textId="77777777" w:rsidR="00184B6B" w:rsidRPr="00184B6B" w:rsidRDefault="00184B6B" w:rsidP="00184B6B">
            <w:pPr>
              <w:spacing w:line="240" w:lineRule="auto"/>
              <w:ind w:firstLine="0"/>
              <w:rPr>
                <w:sz w:val="14"/>
                <w:szCs w:val="20"/>
              </w:rPr>
            </w:pPr>
            <w:r w:rsidRPr="00184B6B">
              <w:rPr>
                <w:sz w:val="14"/>
                <w:szCs w:val="20"/>
              </w:rPr>
              <w:t>0.017***</w:t>
            </w:r>
          </w:p>
        </w:tc>
        <w:tc>
          <w:tcPr>
            <w:tcW w:w="469" w:type="pct"/>
            <w:tcBorders>
              <w:top w:val="nil"/>
              <w:left w:val="nil"/>
              <w:bottom w:val="nil"/>
              <w:right w:val="nil"/>
            </w:tcBorders>
            <w:shd w:val="clear" w:color="auto" w:fill="auto"/>
            <w:noWrap/>
            <w:vAlign w:val="center"/>
            <w:hideMark/>
          </w:tcPr>
          <w:p w14:paraId="007E277D" w14:textId="77777777" w:rsidR="00184B6B" w:rsidRPr="00184B6B" w:rsidRDefault="00184B6B" w:rsidP="00184B6B">
            <w:pPr>
              <w:spacing w:line="240" w:lineRule="auto"/>
              <w:ind w:firstLine="0"/>
              <w:rPr>
                <w:sz w:val="14"/>
                <w:szCs w:val="20"/>
              </w:rPr>
            </w:pPr>
            <w:r w:rsidRPr="00184B6B">
              <w:rPr>
                <w:sz w:val="14"/>
                <w:szCs w:val="20"/>
              </w:rPr>
              <w:t>0.018***</w:t>
            </w:r>
          </w:p>
        </w:tc>
        <w:tc>
          <w:tcPr>
            <w:tcW w:w="469" w:type="pct"/>
            <w:tcBorders>
              <w:top w:val="nil"/>
              <w:left w:val="nil"/>
              <w:bottom w:val="nil"/>
              <w:right w:val="single" w:sz="4" w:space="0" w:color="auto"/>
            </w:tcBorders>
            <w:shd w:val="clear" w:color="auto" w:fill="auto"/>
            <w:noWrap/>
            <w:vAlign w:val="center"/>
            <w:hideMark/>
          </w:tcPr>
          <w:p w14:paraId="02BD9CF6" w14:textId="77777777" w:rsidR="00184B6B" w:rsidRPr="00184B6B" w:rsidRDefault="00184B6B" w:rsidP="00184B6B">
            <w:pPr>
              <w:spacing w:line="240" w:lineRule="auto"/>
              <w:ind w:firstLine="0"/>
              <w:rPr>
                <w:sz w:val="14"/>
                <w:szCs w:val="20"/>
              </w:rPr>
            </w:pPr>
            <w:r w:rsidRPr="00184B6B">
              <w:rPr>
                <w:sz w:val="14"/>
                <w:szCs w:val="20"/>
              </w:rPr>
              <w:t>0.017***</w:t>
            </w:r>
          </w:p>
        </w:tc>
        <w:tc>
          <w:tcPr>
            <w:tcW w:w="469" w:type="pct"/>
            <w:tcBorders>
              <w:top w:val="nil"/>
              <w:left w:val="single" w:sz="4" w:space="0" w:color="auto"/>
              <w:bottom w:val="nil"/>
              <w:right w:val="nil"/>
            </w:tcBorders>
            <w:shd w:val="clear" w:color="auto" w:fill="auto"/>
            <w:noWrap/>
            <w:vAlign w:val="center"/>
            <w:hideMark/>
          </w:tcPr>
          <w:p w14:paraId="3F3B45D6" w14:textId="77777777" w:rsidR="00184B6B" w:rsidRPr="00184B6B" w:rsidRDefault="00184B6B" w:rsidP="00184B6B">
            <w:pPr>
              <w:spacing w:line="240" w:lineRule="auto"/>
              <w:ind w:firstLine="0"/>
              <w:rPr>
                <w:sz w:val="14"/>
                <w:szCs w:val="20"/>
              </w:rPr>
            </w:pPr>
            <w:r w:rsidRPr="00184B6B">
              <w:rPr>
                <w:sz w:val="14"/>
                <w:szCs w:val="20"/>
              </w:rPr>
              <w:t>0.014***</w:t>
            </w:r>
          </w:p>
        </w:tc>
        <w:tc>
          <w:tcPr>
            <w:tcW w:w="469" w:type="pct"/>
            <w:tcBorders>
              <w:top w:val="nil"/>
              <w:left w:val="nil"/>
              <w:bottom w:val="nil"/>
              <w:right w:val="nil"/>
            </w:tcBorders>
            <w:shd w:val="clear" w:color="auto" w:fill="auto"/>
            <w:noWrap/>
            <w:vAlign w:val="center"/>
            <w:hideMark/>
          </w:tcPr>
          <w:p w14:paraId="5FF2F81E" w14:textId="77777777" w:rsidR="00184B6B" w:rsidRPr="00184B6B" w:rsidRDefault="00184B6B" w:rsidP="00184B6B">
            <w:pPr>
              <w:spacing w:line="240" w:lineRule="auto"/>
              <w:ind w:firstLine="0"/>
              <w:rPr>
                <w:sz w:val="14"/>
                <w:szCs w:val="20"/>
              </w:rPr>
            </w:pPr>
            <w:r w:rsidRPr="00184B6B">
              <w:rPr>
                <w:sz w:val="14"/>
                <w:szCs w:val="20"/>
              </w:rPr>
              <w:t>0.014***</w:t>
            </w:r>
          </w:p>
        </w:tc>
        <w:tc>
          <w:tcPr>
            <w:tcW w:w="469" w:type="pct"/>
            <w:tcBorders>
              <w:top w:val="nil"/>
              <w:left w:val="nil"/>
              <w:bottom w:val="nil"/>
              <w:right w:val="nil"/>
            </w:tcBorders>
            <w:shd w:val="clear" w:color="auto" w:fill="auto"/>
            <w:noWrap/>
            <w:vAlign w:val="center"/>
            <w:hideMark/>
          </w:tcPr>
          <w:p w14:paraId="07259289" w14:textId="77777777" w:rsidR="00184B6B" w:rsidRPr="00184B6B" w:rsidRDefault="00184B6B" w:rsidP="00184B6B">
            <w:pPr>
              <w:spacing w:line="240" w:lineRule="auto"/>
              <w:ind w:firstLine="0"/>
              <w:rPr>
                <w:sz w:val="14"/>
                <w:szCs w:val="20"/>
              </w:rPr>
            </w:pPr>
            <w:r w:rsidRPr="00184B6B">
              <w:rPr>
                <w:sz w:val="14"/>
                <w:szCs w:val="20"/>
              </w:rPr>
              <w:t>0.014***</w:t>
            </w:r>
          </w:p>
        </w:tc>
        <w:tc>
          <w:tcPr>
            <w:tcW w:w="466" w:type="pct"/>
            <w:tcBorders>
              <w:top w:val="nil"/>
              <w:left w:val="nil"/>
              <w:bottom w:val="nil"/>
              <w:right w:val="single" w:sz="4" w:space="0" w:color="auto"/>
            </w:tcBorders>
            <w:shd w:val="clear" w:color="auto" w:fill="auto"/>
            <w:noWrap/>
            <w:vAlign w:val="center"/>
            <w:hideMark/>
          </w:tcPr>
          <w:p w14:paraId="47733A02" w14:textId="77777777" w:rsidR="00184B6B" w:rsidRPr="00184B6B" w:rsidRDefault="00184B6B" w:rsidP="00184B6B">
            <w:pPr>
              <w:spacing w:line="240" w:lineRule="auto"/>
              <w:ind w:firstLine="0"/>
              <w:rPr>
                <w:sz w:val="14"/>
                <w:szCs w:val="20"/>
              </w:rPr>
            </w:pPr>
            <w:r w:rsidRPr="00184B6B">
              <w:rPr>
                <w:sz w:val="14"/>
                <w:szCs w:val="20"/>
              </w:rPr>
              <w:t>0.014***</w:t>
            </w:r>
          </w:p>
        </w:tc>
      </w:tr>
      <w:tr w:rsidR="00184B6B" w:rsidRPr="00184B6B" w14:paraId="02EE6CF2"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13462BD"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1BCCF6A" w14:textId="77777777" w:rsidR="00184B6B" w:rsidRPr="00184B6B" w:rsidRDefault="00184B6B" w:rsidP="00184B6B">
            <w:pPr>
              <w:spacing w:line="240" w:lineRule="auto"/>
              <w:ind w:firstLine="0"/>
              <w:rPr>
                <w:sz w:val="14"/>
                <w:szCs w:val="20"/>
              </w:rPr>
            </w:pPr>
            <w:r w:rsidRPr="00184B6B">
              <w:rPr>
                <w:sz w:val="14"/>
                <w:szCs w:val="20"/>
              </w:rPr>
              <w:t>(0.006)</w:t>
            </w:r>
          </w:p>
        </w:tc>
        <w:tc>
          <w:tcPr>
            <w:tcW w:w="469" w:type="pct"/>
            <w:tcBorders>
              <w:top w:val="nil"/>
              <w:left w:val="nil"/>
              <w:bottom w:val="nil"/>
              <w:right w:val="nil"/>
            </w:tcBorders>
            <w:shd w:val="clear" w:color="auto" w:fill="auto"/>
            <w:noWrap/>
            <w:vAlign w:val="center"/>
            <w:hideMark/>
          </w:tcPr>
          <w:p w14:paraId="236DFEC9" w14:textId="77777777" w:rsidR="00184B6B" w:rsidRPr="00184B6B" w:rsidRDefault="00184B6B" w:rsidP="00184B6B">
            <w:pPr>
              <w:spacing w:line="240" w:lineRule="auto"/>
              <w:ind w:firstLine="0"/>
              <w:rPr>
                <w:sz w:val="14"/>
                <w:szCs w:val="20"/>
              </w:rPr>
            </w:pPr>
            <w:r w:rsidRPr="00184B6B">
              <w:rPr>
                <w:sz w:val="14"/>
                <w:szCs w:val="20"/>
              </w:rPr>
              <w:t>(0.006)</w:t>
            </w:r>
          </w:p>
        </w:tc>
        <w:tc>
          <w:tcPr>
            <w:tcW w:w="469" w:type="pct"/>
            <w:tcBorders>
              <w:top w:val="nil"/>
              <w:left w:val="nil"/>
              <w:bottom w:val="nil"/>
              <w:right w:val="nil"/>
            </w:tcBorders>
            <w:shd w:val="clear" w:color="auto" w:fill="auto"/>
            <w:noWrap/>
            <w:vAlign w:val="center"/>
            <w:hideMark/>
          </w:tcPr>
          <w:p w14:paraId="4DD4205D" w14:textId="77777777" w:rsidR="00184B6B" w:rsidRPr="00184B6B" w:rsidRDefault="00184B6B" w:rsidP="00184B6B">
            <w:pPr>
              <w:spacing w:line="240" w:lineRule="auto"/>
              <w:ind w:firstLine="0"/>
              <w:rPr>
                <w:sz w:val="14"/>
                <w:szCs w:val="20"/>
              </w:rPr>
            </w:pPr>
            <w:r w:rsidRPr="00184B6B">
              <w:rPr>
                <w:sz w:val="14"/>
                <w:szCs w:val="20"/>
              </w:rPr>
              <w:t>(0.006)</w:t>
            </w:r>
          </w:p>
        </w:tc>
        <w:tc>
          <w:tcPr>
            <w:tcW w:w="469" w:type="pct"/>
            <w:tcBorders>
              <w:top w:val="nil"/>
              <w:left w:val="nil"/>
              <w:bottom w:val="nil"/>
              <w:right w:val="single" w:sz="4" w:space="0" w:color="auto"/>
            </w:tcBorders>
            <w:shd w:val="clear" w:color="auto" w:fill="auto"/>
            <w:noWrap/>
            <w:vAlign w:val="center"/>
            <w:hideMark/>
          </w:tcPr>
          <w:p w14:paraId="5DEA643A" w14:textId="77777777" w:rsidR="00184B6B" w:rsidRPr="00184B6B" w:rsidRDefault="00184B6B" w:rsidP="00184B6B">
            <w:pPr>
              <w:spacing w:line="240" w:lineRule="auto"/>
              <w:ind w:firstLine="0"/>
              <w:rPr>
                <w:sz w:val="14"/>
                <w:szCs w:val="20"/>
              </w:rPr>
            </w:pPr>
            <w:r w:rsidRPr="00184B6B">
              <w:rPr>
                <w:sz w:val="14"/>
                <w:szCs w:val="20"/>
              </w:rPr>
              <w:t>(0.006)</w:t>
            </w:r>
          </w:p>
        </w:tc>
        <w:tc>
          <w:tcPr>
            <w:tcW w:w="469" w:type="pct"/>
            <w:tcBorders>
              <w:top w:val="nil"/>
              <w:left w:val="single" w:sz="4" w:space="0" w:color="auto"/>
              <w:bottom w:val="nil"/>
              <w:right w:val="nil"/>
            </w:tcBorders>
            <w:shd w:val="clear" w:color="auto" w:fill="auto"/>
            <w:noWrap/>
            <w:vAlign w:val="center"/>
            <w:hideMark/>
          </w:tcPr>
          <w:p w14:paraId="0413FA1D" w14:textId="77777777" w:rsidR="00184B6B" w:rsidRPr="00184B6B" w:rsidRDefault="00184B6B" w:rsidP="00184B6B">
            <w:pPr>
              <w:spacing w:line="240" w:lineRule="auto"/>
              <w:ind w:firstLine="0"/>
              <w:rPr>
                <w:sz w:val="14"/>
                <w:szCs w:val="20"/>
              </w:rPr>
            </w:pPr>
            <w:r w:rsidRPr="00184B6B">
              <w:rPr>
                <w:sz w:val="14"/>
                <w:szCs w:val="20"/>
              </w:rPr>
              <w:t>(0.004)</w:t>
            </w:r>
          </w:p>
        </w:tc>
        <w:tc>
          <w:tcPr>
            <w:tcW w:w="469" w:type="pct"/>
            <w:tcBorders>
              <w:top w:val="nil"/>
              <w:left w:val="nil"/>
              <w:bottom w:val="nil"/>
              <w:right w:val="nil"/>
            </w:tcBorders>
            <w:shd w:val="clear" w:color="auto" w:fill="auto"/>
            <w:noWrap/>
            <w:vAlign w:val="center"/>
            <w:hideMark/>
          </w:tcPr>
          <w:p w14:paraId="0D6ED360" w14:textId="77777777" w:rsidR="00184B6B" w:rsidRPr="00184B6B" w:rsidRDefault="00184B6B" w:rsidP="00184B6B">
            <w:pPr>
              <w:spacing w:line="240" w:lineRule="auto"/>
              <w:ind w:firstLine="0"/>
              <w:rPr>
                <w:sz w:val="14"/>
                <w:szCs w:val="20"/>
              </w:rPr>
            </w:pPr>
            <w:r w:rsidRPr="00184B6B">
              <w:rPr>
                <w:sz w:val="14"/>
                <w:szCs w:val="20"/>
              </w:rPr>
              <w:t>(0.004)</w:t>
            </w:r>
          </w:p>
        </w:tc>
        <w:tc>
          <w:tcPr>
            <w:tcW w:w="469" w:type="pct"/>
            <w:tcBorders>
              <w:top w:val="nil"/>
              <w:left w:val="nil"/>
              <w:bottom w:val="nil"/>
              <w:right w:val="nil"/>
            </w:tcBorders>
            <w:shd w:val="clear" w:color="auto" w:fill="auto"/>
            <w:noWrap/>
            <w:vAlign w:val="center"/>
            <w:hideMark/>
          </w:tcPr>
          <w:p w14:paraId="6FAFBD20" w14:textId="77777777" w:rsidR="00184B6B" w:rsidRPr="00184B6B" w:rsidRDefault="00184B6B" w:rsidP="00184B6B">
            <w:pPr>
              <w:spacing w:line="240" w:lineRule="auto"/>
              <w:ind w:firstLine="0"/>
              <w:rPr>
                <w:sz w:val="14"/>
                <w:szCs w:val="20"/>
              </w:rPr>
            </w:pPr>
            <w:r w:rsidRPr="00184B6B">
              <w:rPr>
                <w:sz w:val="14"/>
                <w:szCs w:val="20"/>
              </w:rPr>
              <w:t>(0.004)</w:t>
            </w:r>
          </w:p>
        </w:tc>
        <w:tc>
          <w:tcPr>
            <w:tcW w:w="466" w:type="pct"/>
            <w:tcBorders>
              <w:top w:val="nil"/>
              <w:left w:val="nil"/>
              <w:bottom w:val="nil"/>
              <w:right w:val="single" w:sz="4" w:space="0" w:color="auto"/>
            </w:tcBorders>
            <w:shd w:val="clear" w:color="auto" w:fill="auto"/>
            <w:noWrap/>
            <w:vAlign w:val="center"/>
            <w:hideMark/>
          </w:tcPr>
          <w:p w14:paraId="43F757C1" w14:textId="77777777" w:rsidR="00184B6B" w:rsidRPr="00184B6B" w:rsidRDefault="00184B6B" w:rsidP="00184B6B">
            <w:pPr>
              <w:spacing w:line="240" w:lineRule="auto"/>
              <w:ind w:firstLine="0"/>
              <w:rPr>
                <w:sz w:val="14"/>
                <w:szCs w:val="20"/>
              </w:rPr>
            </w:pPr>
            <w:r w:rsidRPr="00184B6B">
              <w:rPr>
                <w:sz w:val="14"/>
                <w:szCs w:val="20"/>
              </w:rPr>
              <w:t>(0.004)</w:t>
            </w:r>
          </w:p>
        </w:tc>
      </w:tr>
      <w:tr w:rsidR="00184B6B" w:rsidRPr="00184B6B" w14:paraId="5734AB4A"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0FD62DA0" w14:textId="77777777" w:rsidR="00184B6B" w:rsidRPr="00184B6B" w:rsidRDefault="00184B6B" w:rsidP="00184B6B">
            <w:pPr>
              <w:spacing w:line="240" w:lineRule="auto"/>
              <w:ind w:firstLine="0"/>
              <w:jc w:val="left"/>
              <w:rPr>
                <w:sz w:val="14"/>
                <w:szCs w:val="20"/>
              </w:rPr>
            </w:pPr>
            <w:r w:rsidRPr="00184B6B">
              <w:rPr>
                <w:sz w:val="14"/>
                <w:szCs w:val="20"/>
              </w:rPr>
              <w:t>Female</w:t>
            </w:r>
          </w:p>
        </w:tc>
        <w:tc>
          <w:tcPr>
            <w:tcW w:w="469" w:type="pct"/>
            <w:tcBorders>
              <w:top w:val="nil"/>
              <w:left w:val="single" w:sz="4" w:space="0" w:color="auto"/>
              <w:bottom w:val="nil"/>
              <w:right w:val="nil"/>
            </w:tcBorders>
            <w:shd w:val="clear" w:color="auto" w:fill="auto"/>
            <w:noWrap/>
            <w:vAlign w:val="center"/>
            <w:hideMark/>
          </w:tcPr>
          <w:p w14:paraId="26A0FEF6" w14:textId="77777777" w:rsidR="00184B6B" w:rsidRPr="00184B6B" w:rsidRDefault="00184B6B" w:rsidP="00184B6B">
            <w:pPr>
              <w:spacing w:line="240" w:lineRule="auto"/>
              <w:ind w:firstLine="0"/>
              <w:rPr>
                <w:sz w:val="14"/>
                <w:szCs w:val="20"/>
              </w:rPr>
            </w:pPr>
            <w:r w:rsidRPr="00184B6B">
              <w:rPr>
                <w:sz w:val="14"/>
                <w:szCs w:val="20"/>
              </w:rPr>
              <w:t>0.005</w:t>
            </w:r>
          </w:p>
        </w:tc>
        <w:tc>
          <w:tcPr>
            <w:tcW w:w="469" w:type="pct"/>
            <w:tcBorders>
              <w:top w:val="nil"/>
              <w:left w:val="nil"/>
              <w:bottom w:val="nil"/>
              <w:right w:val="nil"/>
            </w:tcBorders>
            <w:shd w:val="clear" w:color="auto" w:fill="auto"/>
            <w:noWrap/>
            <w:vAlign w:val="center"/>
            <w:hideMark/>
          </w:tcPr>
          <w:p w14:paraId="0961F7D1" w14:textId="77777777" w:rsidR="00184B6B" w:rsidRPr="00184B6B" w:rsidRDefault="00184B6B" w:rsidP="00184B6B">
            <w:pPr>
              <w:spacing w:line="240" w:lineRule="auto"/>
              <w:ind w:firstLine="0"/>
              <w:rPr>
                <w:sz w:val="14"/>
                <w:szCs w:val="20"/>
              </w:rPr>
            </w:pPr>
            <w:r w:rsidRPr="00184B6B">
              <w:rPr>
                <w:sz w:val="14"/>
                <w:szCs w:val="20"/>
              </w:rPr>
              <w:t>0.003</w:t>
            </w:r>
          </w:p>
        </w:tc>
        <w:tc>
          <w:tcPr>
            <w:tcW w:w="469" w:type="pct"/>
            <w:tcBorders>
              <w:top w:val="nil"/>
              <w:left w:val="nil"/>
              <w:bottom w:val="nil"/>
              <w:right w:val="nil"/>
            </w:tcBorders>
            <w:shd w:val="clear" w:color="auto" w:fill="auto"/>
            <w:noWrap/>
            <w:vAlign w:val="center"/>
            <w:hideMark/>
          </w:tcPr>
          <w:p w14:paraId="0E6CB53E" w14:textId="77777777" w:rsidR="00184B6B" w:rsidRPr="00184B6B" w:rsidRDefault="00184B6B" w:rsidP="00184B6B">
            <w:pPr>
              <w:spacing w:line="240" w:lineRule="auto"/>
              <w:ind w:firstLine="0"/>
              <w:rPr>
                <w:sz w:val="14"/>
                <w:szCs w:val="20"/>
              </w:rPr>
            </w:pPr>
            <w:r w:rsidRPr="00184B6B">
              <w:rPr>
                <w:sz w:val="14"/>
                <w:szCs w:val="20"/>
              </w:rPr>
              <w:t>0.011</w:t>
            </w:r>
          </w:p>
        </w:tc>
        <w:tc>
          <w:tcPr>
            <w:tcW w:w="469" w:type="pct"/>
            <w:tcBorders>
              <w:top w:val="nil"/>
              <w:left w:val="nil"/>
              <w:bottom w:val="nil"/>
              <w:right w:val="single" w:sz="4" w:space="0" w:color="auto"/>
            </w:tcBorders>
            <w:shd w:val="clear" w:color="auto" w:fill="auto"/>
            <w:noWrap/>
            <w:vAlign w:val="center"/>
            <w:hideMark/>
          </w:tcPr>
          <w:p w14:paraId="7B71B45B" w14:textId="77777777" w:rsidR="00184B6B" w:rsidRPr="00184B6B" w:rsidRDefault="00184B6B" w:rsidP="00184B6B">
            <w:pPr>
              <w:spacing w:line="240" w:lineRule="auto"/>
              <w:ind w:firstLine="0"/>
              <w:rPr>
                <w:sz w:val="14"/>
                <w:szCs w:val="20"/>
              </w:rPr>
            </w:pPr>
            <w:r w:rsidRPr="00184B6B">
              <w:rPr>
                <w:sz w:val="14"/>
                <w:szCs w:val="20"/>
              </w:rPr>
              <w:t>0.010</w:t>
            </w:r>
          </w:p>
        </w:tc>
        <w:tc>
          <w:tcPr>
            <w:tcW w:w="469" w:type="pct"/>
            <w:tcBorders>
              <w:top w:val="nil"/>
              <w:left w:val="single" w:sz="4" w:space="0" w:color="auto"/>
              <w:bottom w:val="nil"/>
              <w:right w:val="nil"/>
            </w:tcBorders>
            <w:shd w:val="clear" w:color="auto" w:fill="auto"/>
            <w:noWrap/>
            <w:vAlign w:val="center"/>
            <w:hideMark/>
          </w:tcPr>
          <w:p w14:paraId="54210709" w14:textId="77777777" w:rsidR="00184B6B" w:rsidRPr="00184B6B" w:rsidRDefault="00184B6B" w:rsidP="00184B6B">
            <w:pPr>
              <w:spacing w:line="240" w:lineRule="auto"/>
              <w:ind w:firstLine="0"/>
              <w:rPr>
                <w:sz w:val="14"/>
                <w:szCs w:val="20"/>
              </w:rPr>
            </w:pPr>
            <w:r w:rsidRPr="00184B6B">
              <w:rPr>
                <w:sz w:val="14"/>
                <w:szCs w:val="20"/>
              </w:rPr>
              <w:t>0.003</w:t>
            </w:r>
          </w:p>
        </w:tc>
        <w:tc>
          <w:tcPr>
            <w:tcW w:w="469" w:type="pct"/>
            <w:tcBorders>
              <w:top w:val="nil"/>
              <w:left w:val="nil"/>
              <w:bottom w:val="nil"/>
              <w:right w:val="nil"/>
            </w:tcBorders>
            <w:shd w:val="clear" w:color="auto" w:fill="auto"/>
            <w:noWrap/>
            <w:vAlign w:val="center"/>
            <w:hideMark/>
          </w:tcPr>
          <w:p w14:paraId="1217C767" w14:textId="77777777" w:rsidR="00184B6B" w:rsidRPr="00184B6B" w:rsidRDefault="00184B6B" w:rsidP="00184B6B">
            <w:pPr>
              <w:spacing w:line="240" w:lineRule="auto"/>
              <w:ind w:firstLine="0"/>
              <w:rPr>
                <w:sz w:val="14"/>
                <w:szCs w:val="20"/>
              </w:rPr>
            </w:pPr>
            <w:r w:rsidRPr="00184B6B">
              <w:rPr>
                <w:sz w:val="14"/>
                <w:szCs w:val="20"/>
              </w:rPr>
              <w:t>0.002</w:t>
            </w:r>
          </w:p>
        </w:tc>
        <w:tc>
          <w:tcPr>
            <w:tcW w:w="469" w:type="pct"/>
            <w:tcBorders>
              <w:top w:val="nil"/>
              <w:left w:val="nil"/>
              <w:bottom w:val="nil"/>
              <w:right w:val="nil"/>
            </w:tcBorders>
            <w:shd w:val="clear" w:color="auto" w:fill="auto"/>
            <w:noWrap/>
            <w:vAlign w:val="center"/>
            <w:hideMark/>
          </w:tcPr>
          <w:p w14:paraId="354979CF" w14:textId="77777777" w:rsidR="00184B6B" w:rsidRPr="00184B6B" w:rsidRDefault="00184B6B" w:rsidP="00184B6B">
            <w:pPr>
              <w:spacing w:line="240" w:lineRule="auto"/>
              <w:ind w:firstLine="0"/>
              <w:rPr>
                <w:sz w:val="14"/>
                <w:szCs w:val="20"/>
              </w:rPr>
            </w:pPr>
            <w:r w:rsidRPr="00184B6B">
              <w:rPr>
                <w:sz w:val="14"/>
                <w:szCs w:val="20"/>
              </w:rPr>
              <w:t>0.006</w:t>
            </w:r>
          </w:p>
        </w:tc>
        <w:tc>
          <w:tcPr>
            <w:tcW w:w="466" w:type="pct"/>
            <w:tcBorders>
              <w:top w:val="nil"/>
              <w:left w:val="nil"/>
              <w:bottom w:val="nil"/>
              <w:right w:val="single" w:sz="4" w:space="0" w:color="auto"/>
            </w:tcBorders>
            <w:shd w:val="clear" w:color="auto" w:fill="auto"/>
            <w:noWrap/>
            <w:vAlign w:val="center"/>
            <w:hideMark/>
          </w:tcPr>
          <w:p w14:paraId="5ED2C74D" w14:textId="77777777" w:rsidR="00184B6B" w:rsidRPr="00184B6B" w:rsidRDefault="00184B6B" w:rsidP="00184B6B">
            <w:pPr>
              <w:spacing w:line="240" w:lineRule="auto"/>
              <w:ind w:firstLine="0"/>
              <w:rPr>
                <w:sz w:val="14"/>
                <w:szCs w:val="20"/>
              </w:rPr>
            </w:pPr>
            <w:r w:rsidRPr="00184B6B">
              <w:rPr>
                <w:sz w:val="14"/>
                <w:szCs w:val="20"/>
              </w:rPr>
              <w:t>0.005</w:t>
            </w:r>
          </w:p>
        </w:tc>
      </w:tr>
      <w:tr w:rsidR="00184B6B" w:rsidRPr="00184B6B" w14:paraId="2FBC19E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A9C1951"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183ED53" w14:textId="77777777" w:rsidR="00184B6B" w:rsidRPr="00184B6B" w:rsidRDefault="00184B6B" w:rsidP="00184B6B">
            <w:pPr>
              <w:spacing w:line="240" w:lineRule="auto"/>
              <w:ind w:firstLine="0"/>
              <w:rPr>
                <w:sz w:val="14"/>
                <w:szCs w:val="20"/>
              </w:rPr>
            </w:pPr>
            <w:r w:rsidRPr="00184B6B">
              <w:rPr>
                <w:sz w:val="14"/>
                <w:szCs w:val="20"/>
              </w:rPr>
              <w:t>(0.032)</w:t>
            </w:r>
          </w:p>
        </w:tc>
        <w:tc>
          <w:tcPr>
            <w:tcW w:w="469" w:type="pct"/>
            <w:tcBorders>
              <w:top w:val="nil"/>
              <w:left w:val="nil"/>
              <w:bottom w:val="nil"/>
              <w:right w:val="nil"/>
            </w:tcBorders>
            <w:shd w:val="clear" w:color="auto" w:fill="auto"/>
            <w:noWrap/>
            <w:vAlign w:val="center"/>
            <w:hideMark/>
          </w:tcPr>
          <w:p w14:paraId="6D346C21" w14:textId="77777777" w:rsidR="00184B6B" w:rsidRPr="00184B6B" w:rsidRDefault="00184B6B" w:rsidP="00184B6B">
            <w:pPr>
              <w:spacing w:line="240" w:lineRule="auto"/>
              <w:ind w:firstLine="0"/>
              <w:rPr>
                <w:sz w:val="14"/>
                <w:szCs w:val="20"/>
              </w:rPr>
            </w:pPr>
            <w:r w:rsidRPr="00184B6B">
              <w:rPr>
                <w:sz w:val="14"/>
                <w:szCs w:val="20"/>
              </w:rPr>
              <w:t>(0.032)</w:t>
            </w:r>
          </w:p>
        </w:tc>
        <w:tc>
          <w:tcPr>
            <w:tcW w:w="469" w:type="pct"/>
            <w:tcBorders>
              <w:top w:val="nil"/>
              <w:left w:val="nil"/>
              <w:bottom w:val="nil"/>
              <w:right w:val="nil"/>
            </w:tcBorders>
            <w:shd w:val="clear" w:color="auto" w:fill="auto"/>
            <w:noWrap/>
            <w:vAlign w:val="center"/>
            <w:hideMark/>
          </w:tcPr>
          <w:p w14:paraId="0F252C3F" w14:textId="77777777" w:rsidR="00184B6B" w:rsidRPr="00184B6B" w:rsidRDefault="00184B6B" w:rsidP="00184B6B">
            <w:pPr>
              <w:spacing w:line="240" w:lineRule="auto"/>
              <w:ind w:firstLine="0"/>
              <w:rPr>
                <w:sz w:val="14"/>
                <w:szCs w:val="20"/>
              </w:rPr>
            </w:pPr>
            <w:r w:rsidRPr="00184B6B">
              <w:rPr>
                <w:sz w:val="14"/>
                <w:szCs w:val="20"/>
              </w:rPr>
              <w:t>(0.033)</w:t>
            </w:r>
          </w:p>
        </w:tc>
        <w:tc>
          <w:tcPr>
            <w:tcW w:w="469" w:type="pct"/>
            <w:tcBorders>
              <w:top w:val="nil"/>
              <w:left w:val="nil"/>
              <w:bottom w:val="nil"/>
              <w:right w:val="single" w:sz="4" w:space="0" w:color="auto"/>
            </w:tcBorders>
            <w:shd w:val="clear" w:color="auto" w:fill="auto"/>
            <w:noWrap/>
            <w:vAlign w:val="center"/>
            <w:hideMark/>
          </w:tcPr>
          <w:p w14:paraId="201F22EA" w14:textId="77777777" w:rsidR="00184B6B" w:rsidRPr="00184B6B" w:rsidRDefault="00184B6B" w:rsidP="00184B6B">
            <w:pPr>
              <w:spacing w:line="240" w:lineRule="auto"/>
              <w:ind w:firstLine="0"/>
              <w:rPr>
                <w:sz w:val="14"/>
                <w:szCs w:val="20"/>
              </w:rPr>
            </w:pPr>
            <w:r w:rsidRPr="00184B6B">
              <w:rPr>
                <w:sz w:val="14"/>
                <w:szCs w:val="20"/>
              </w:rPr>
              <w:t>(0.033)</w:t>
            </w:r>
          </w:p>
        </w:tc>
        <w:tc>
          <w:tcPr>
            <w:tcW w:w="469" w:type="pct"/>
            <w:tcBorders>
              <w:top w:val="nil"/>
              <w:left w:val="single" w:sz="4" w:space="0" w:color="auto"/>
              <w:bottom w:val="nil"/>
              <w:right w:val="nil"/>
            </w:tcBorders>
            <w:shd w:val="clear" w:color="auto" w:fill="auto"/>
            <w:noWrap/>
            <w:vAlign w:val="center"/>
            <w:hideMark/>
          </w:tcPr>
          <w:p w14:paraId="658B1D0F" w14:textId="77777777" w:rsidR="00184B6B" w:rsidRPr="00184B6B" w:rsidRDefault="00184B6B" w:rsidP="00184B6B">
            <w:pPr>
              <w:spacing w:line="240" w:lineRule="auto"/>
              <w:ind w:firstLine="0"/>
              <w:rPr>
                <w:sz w:val="14"/>
                <w:szCs w:val="20"/>
              </w:rPr>
            </w:pPr>
            <w:r w:rsidRPr="00184B6B">
              <w:rPr>
                <w:sz w:val="14"/>
                <w:szCs w:val="20"/>
              </w:rPr>
              <w:t>(0.025)</w:t>
            </w:r>
          </w:p>
        </w:tc>
        <w:tc>
          <w:tcPr>
            <w:tcW w:w="469" w:type="pct"/>
            <w:tcBorders>
              <w:top w:val="nil"/>
              <w:left w:val="nil"/>
              <w:bottom w:val="nil"/>
              <w:right w:val="nil"/>
            </w:tcBorders>
            <w:shd w:val="clear" w:color="auto" w:fill="auto"/>
            <w:noWrap/>
            <w:vAlign w:val="center"/>
            <w:hideMark/>
          </w:tcPr>
          <w:p w14:paraId="24E6AF2E" w14:textId="77777777" w:rsidR="00184B6B" w:rsidRPr="00184B6B" w:rsidRDefault="00184B6B" w:rsidP="00184B6B">
            <w:pPr>
              <w:spacing w:line="240" w:lineRule="auto"/>
              <w:ind w:firstLine="0"/>
              <w:rPr>
                <w:sz w:val="14"/>
                <w:szCs w:val="20"/>
              </w:rPr>
            </w:pPr>
            <w:r w:rsidRPr="00184B6B">
              <w:rPr>
                <w:sz w:val="14"/>
                <w:szCs w:val="20"/>
              </w:rPr>
              <w:t>(0.025)</w:t>
            </w:r>
          </w:p>
        </w:tc>
        <w:tc>
          <w:tcPr>
            <w:tcW w:w="469" w:type="pct"/>
            <w:tcBorders>
              <w:top w:val="nil"/>
              <w:left w:val="nil"/>
              <w:bottom w:val="nil"/>
              <w:right w:val="nil"/>
            </w:tcBorders>
            <w:shd w:val="clear" w:color="auto" w:fill="auto"/>
            <w:noWrap/>
            <w:vAlign w:val="center"/>
            <w:hideMark/>
          </w:tcPr>
          <w:p w14:paraId="40DB2C50" w14:textId="77777777" w:rsidR="00184B6B" w:rsidRPr="00184B6B" w:rsidRDefault="00184B6B" w:rsidP="00184B6B">
            <w:pPr>
              <w:spacing w:line="240" w:lineRule="auto"/>
              <w:ind w:firstLine="0"/>
              <w:rPr>
                <w:sz w:val="14"/>
                <w:szCs w:val="20"/>
              </w:rPr>
            </w:pPr>
            <w:r w:rsidRPr="00184B6B">
              <w:rPr>
                <w:sz w:val="14"/>
                <w:szCs w:val="20"/>
              </w:rPr>
              <w:t>(0.025)</w:t>
            </w:r>
          </w:p>
        </w:tc>
        <w:tc>
          <w:tcPr>
            <w:tcW w:w="466" w:type="pct"/>
            <w:tcBorders>
              <w:top w:val="nil"/>
              <w:left w:val="nil"/>
              <w:bottom w:val="nil"/>
              <w:right w:val="single" w:sz="4" w:space="0" w:color="auto"/>
            </w:tcBorders>
            <w:shd w:val="clear" w:color="auto" w:fill="auto"/>
            <w:noWrap/>
            <w:vAlign w:val="center"/>
            <w:hideMark/>
          </w:tcPr>
          <w:p w14:paraId="333FC02C" w14:textId="77777777" w:rsidR="00184B6B" w:rsidRPr="00184B6B" w:rsidRDefault="00184B6B" w:rsidP="00184B6B">
            <w:pPr>
              <w:spacing w:line="240" w:lineRule="auto"/>
              <w:ind w:firstLine="0"/>
              <w:rPr>
                <w:sz w:val="14"/>
                <w:szCs w:val="20"/>
              </w:rPr>
            </w:pPr>
            <w:r w:rsidRPr="00184B6B">
              <w:rPr>
                <w:sz w:val="14"/>
                <w:szCs w:val="20"/>
              </w:rPr>
              <w:t>(0.025)</w:t>
            </w:r>
          </w:p>
        </w:tc>
      </w:tr>
      <w:tr w:rsidR="00184B6B" w:rsidRPr="00184B6B" w14:paraId="2F5841FE"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E3B4694" w14:textId="77777777" w:rsidR="00184B6B" w:rsidRPr="00184B6B" w:rsidRDefault="00184B6B" w:rsidP="00184B6B">
            <w:pPr>
              <w:spacing w:line="240" w:lineRule="auto"/>
              <w:ind w:firstLine="0"/>
              <w:jc w:val="left"/>
              <w:rPr>
                <w:sz w:val="14"/>
                <w:szCs w:val="20"/>
              </w:rPr>
            </w:pPr>
            <w:r w:rsidRPr="00184B6B">
              <w:rPr>
                <w:sz w:val="14"/>
                <w:szCs w:val="20"/>
              </w:rPr>
              <w:t>Primary education</w:t>
            </w:r>
          </w:p>
        </w:tc>
        <w:tc>
          <w:tcPr>
            <w:tcW w:w="469" w:type="pct"/>
            <w:tcBorders>
              <w:top w:val="nil"/>
              <w:left w:val="single" w:sz="4" w:space="0" w:color="auto"/>
              <w:bottom w:val="nil"/>
              <w:right w:val="nil"/>
            </w:tcBorders>
            <w:shd w:val="clear" w:color="auto" w:fill="auto"/>
            <w:noWrap/>
            <w:vAlign w:val="center"/>
            <w:hideMark/>
          </w:tcPr>
          <w:p w14:paraId="230F7F6C" w14:textId="77777777" w:rsidR="00184B6B" w:rsidRPr="00184B6B" w:rsidRDefault="00184B6B" w:rsidP="00184B6B">
            <w:pPr>
              <w:spacing w:line="240" w:lineRule="auto"/>
              <w:ind w:firstLine="0"/>
              <w:rPr>
                <w:sz w:val="14"/>
                <w:szCs w:val="20"/>
              </w:rPr>
            </w:pPr>
            <w:r w:rsidRPr="00184B6B">
              <w:rPr>
                <w:sz w:val="14"/>
                <w:szCs w:val="20"/>
              </w:rPr>
              <w:t>0.029</w:t>
            </w:r>
          </w:p>
        </w:tc>
        <w:tc>
          <w:tcPr>
            <w:tcW w:w="469" w:type="pct"/>
            <w:tcBorders>
              <w:top w:val="nil"/>
              <w:left w:val="nil"/>
              <w:bottom w:val="nil"/>
              <w:right w:val="nil"/>
            </w:tcBorders>
            <w:shd w:val="clear" w:color="auto" w:fill="auto"/>
            <w:noWrap/>
            <w:vAlign w:val="center"/>
            <w:hideMark/>
          </w:tcPr>
          <w:p w14:paraId="24981C0A" w14:textId="77777777" w:rsidR="00184B6B" w:rsidRPr="00184B6B" w:rsidRDefault="00184B6B" w:rsidP="00184B6B">
            <w:pPr>
              <w:spacing w:line="240" w:lineRule="auto"/>
              <w:ind w:firstLine="0"/>
              <w:rPr>
                <w:sz w:val="14"/>
                <w:szCs w:val="20"/>
              </w:rPr>
            </w:pPr>
            <w:r w:rsidRPr="00184B6B">
              <w:rPr>
                <w:sz w:val="14"/>
                <w:szCs w:val="20"/>
              </w:rPr>
              <w:t>0.027</w:t>
            </w:r>
          </w:p>
        </w:tc>
        <w:tc>
          <w:tcPr>
            <w:tcW w:w="469" w:type="pct"/>
            <w:tcBorders>
              <w:top w:val="nil"/>
              <w:left w:val="nil"/>
              <w:bottom w:val="nil"/>
              <w:right w:val="nil"/>
            </w:tcBorders>
            <w:shd w:val="clear" w:color="auto" w:fill="auto"/>
            <w:noWrap/>
            <w:vAlign w:val="center"/>
            <w:hideMark/>
          </w:tcPr>
          <w:p w14:paraId="7A78823F" w14:textId="77777777" w:rsidR="00184B6B" w:rsidRPr="00184B6B" w:rsidRDefault="00184B6B" w:rsidP="00184B6B">
            <w:pPr>
              <w:spacing w:line="240" w:lineRule="auto"/>
              <w:ind w:firstLine="0"/>
              <w:rPr>
                <w:sz w:val="14"/>
                <w:szCs w:val="20"/>
              </w:rPr>
            </w:pPr>
            <w:r w:rsidRPr="00184B6B">
              <w:rPr>
                <w:sz w:val="14"/>
                <w:szCs w:val="20"/>
              </w:rPr>
              <w:t>0.027</w:t>
            </w:r>
          </w:p>
        </w:tc>
        <w:tc>
          <w:tcPr>
            <w:tcW w:w="469" w:type="pct"/>
            <w:tcBorders>
              <w:top w:val="nil"/>
              <w:left w:val="nil"/>
              <w:bottom w:val="nil"/>
              <w:right w:val="single" w:sz="4" w:space="0" w:color="auto"/>
            </w:tcBorders>
            <w:shd w:val="clear" w:color="auto" w:fill="auto"/>
            <w:noWrap/>
            <w:vAlign w:val="center"/>
            <w:hideMark/>
          </w:tcPr>
          <w:p w14:paraId="7C29AA30" w14:textId="77777777" w:rsidR="00184B6B" w:rsidRPr="00184B6B" w:rsidRDefault="00184B6B" w:rsidP="00184B6B">
            <w:pPr>
              <w:spacing w:line="240" w:lineRule="auto"/>
              <w:ind w:firstLine="0"/>
              <w:rPr>
                <w:sz w:val="14"/>
                <w:szCs w:val="20"/>
              </w:rPr>
            </w:pPr>
            <w:r w:rsidRPr="00184B6B">
              <w:rPr>
                <w:sz w:val="14"/>
                <w:szCs w:val="20"/>
              </w:rPr>
              <w:t>0.029</w:t>
            </w:r>
          </w:p>
        </w:tc>
        <w:tc>
          <w:tcPr>
            <w:tcW w:w="469" w:type="pct"/>
            <w:tcBorders>
              <w:top w:val="nil"/>
              <w:left w:val="single" w:sz="4" w:space="0" w:color="auto"/>
              <w:bottom w:val="nil"/>
              <w:right w:val="nil"/>
            </w:tcBorders>
            <w:shd w:val="clear" w:color="auto" w:fill="auto"/>
            <w:noWrap/>
            <w:vAlign w:val="center"/>
            <w:hideMark/>
          </w:tcPr>
          <w:p w14:paraId="6572E4A7" w14:textId="77777777" w:rsidR="00184B6B" w:rsidRPr="00184B6B" w:rsidRDefault="00184B6B" w:rsidP="00184B6B">
            <w:pPr>
              <w:spacing w:line="240" w:lineRule="auto"/>
              <w:ind w:firstLine="0"/>
              <w:rPr>
                <w:sz w:val="14"/>
                <w:szCs w:val="20"/>
              </w:rPr>
            </w:pPr>
            <w:r w:rsidRPr="00184B6B">
              <w:rPr>
                <w:sz w:val="14"/>
                <w:szCs w:val="20"/>
              </w:rPr>
              <w:t>0.034</w:t>
            </w:r>
          </w:p>
        </w:tc>
        <w:tc>
          <w:tcPr>
            <w:tcW w:w="469" w:type="pct"/>
            <w:tcBorders>
              <w:top w:val="nil"/>
              <w:left w:val="nil"/>
              <w:bottom w:val="nil"/>
              <w:right w:val="nil"/>
            </w:tcBorders>
            <w:shd w:val="clear" w:color="auto" w:fill="auto"/>
            <w:noWrap/>
            <w:vAlign w:val="center"/>
            <w:hideMark/>
          </w:tcPr>
          <w:p w14:paraId="03BAC632" w14:textId="77777777" w:rsidR="00184B6B" w:rsidRPr="00184B6B" w:rsidRDefault="00184B6B" w:rsidP="00184B6B">
            <w:pPr>
              <w:spacing w:line="240" w:lineRule="auto"/>
              <w:ind w:firstLine="0"/>
              <w:rPr>
                <w:sz w:val="14"/>
                <w:szCs w:val="20"/>
              </w:rPr>
            </w:pPr>
            <w:r w:rsidRPr="00184B6B">
              <w:rPr>
                <w:sz w:val="14"/>
                <w:szCs w:val="20"/>
              </w:rPr>
              <w:t>0.034</w:t>
            </w:r>
          </w:p>
        </w:tc>
        <w:tc>
          <w:tcPr>
            <w:tcW w:w="469" w:type="pct"/>
            <w:tcBorders>
              <w:top w:val="nil"/>
              <w:left w:val="nil"/>
              <w:bottom w:val="nil"/>
              <w:right w:val="nil"/>
            </w:tcBorders>
            <w:shd w:val="clear" w:color="auto" w:fill="auto"/>
            <w:noWrap/>
            <w:vAlign w:val="center"/>
            <w:hideMark/>
          </w:tcPr>
          <w:p w14:paraId="2F521261" w14:textId="77777777" w:rsidR="00184B6B" w:rsidRPr="00184B6B" w:rsidRDefault="00184B6B" w:rsidP="00184B6B">
            <w:pPr>
              <w:spacing w:line="240" w:lineRule="auto"/>
              <w:ind w:firstLine="0"/>
              <w:rPr>
                <w:sz w:val="14"/>
                <w:szCs w:val="20"/>
              </w:rPr>
            </w:pPr>
            <w:r w:rsidRPr="00184B6B">
              <w:rPr>
                <w:sz w:val="14"/>
                <w:szCs w:val="20"/>
              </w:rPr>
              <w:t>0.034</w:t>
            </w:r>
          </w:p>
        </w:tc>
        <w:tc>
          <w:tcPr>
            <w:tcW w:w="466" w:type="pct"/>
            <w:tcBorders>
              <w:top w:val="nil"/>
              <w:left w:val="nil"/>
              <w:bottom w:val="nil"/>
              <w:right w:val="single" w:sz="4" w:space="0" w:color="auto"/>
            </w:tcBorders>
            <w:shd w:val="clear" w:color="auto" w:fill="auto"/>
            <w:noWrap/>
            <w:vAlign w:val="center"/>
            <w:hideMark/>
          </w:tcPr>
          <w:p w14:paraId="7A97DF23" w14:textId="77777777" w:rsidR="00184B6B" w:rsidRPr="00184B6B" w:rsidRDefault="00184B6B" w:rsidP="00184B6B">
            <w:pPr>
              <w:spacing w:line="240" w:lineRule="auto"/>
              <w:ind w:firstLine="0"/>
              <w:rPr>
                <w:sz w:val="14"/>
                <w:szCs w:val="20"/>
              </w:rPr>
            </w:pPr>
            <w:r w:rsidRPr="00184B6B">
              <w:rPr>
                <w:sz w:val="14"/>
                <w:szCs w:val="20"/>
              </w:rPr>
              <w:t>0.034</w:t>
            </w:r>
          </w:p>
        </w:tc>
      </w:tr>
      <w:tr w:rsidR="00184B6B" w:rsidRPr="00184B6B" w14:paraId="446A281F"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7E885E9"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E663746"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12636D65"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0B6883ED"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single" w:sz="4" w:space="0" w:color="auto"/>
            </w:tcBorders>
            <w:shd w:val="clear" w:color="auto" w:fill="auto"/>
            <w:noWrap/>
            <w:vAlign w:val="center"/>
            <w:hideMark/>
          </w:tcPr>
          <w:p w14:paraId="4399D278"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single" w:sz="4" w:space="0" w:color="auto"/>
              <w:bottom w:val="nil"/>
              <w:right w:val="nil"/>
            </w:tcBorders>
            <w:shd w:val="clear" w:color="auto" w:fill="auto"/>
            <w:noWrap/>
            <w:vAlign w:val="center"/>
            <w:hideMark/>
          </w:tcPr>
          <w:p w14:paraId="7F2C2859" w14:textId="77777777" w:rsidR="00184B6B" w:rsidRPr="00184B6B" w:rsidRDefault="00184B6B" w:rsidP="00184B6B">
            <w:pPr>
              <w:spacing w:line="240" w:lineRule="auto"/>
              <w:ind w:firstLine="0"/>
              <w:rPr>
                <w:sz w:val="14"/>
                <w:szCs w:val="20"/>
              </w:rPr>
            </w:pPr>
            <w:r w:rsidRPr="00184B6B">
              <w:rPr>
                <w:sz w:val="14"/>
                <w:szCs w:val="20"/>
              </w:rPr>
              <w:t>(0.036)</w:t>
            </w:r>
          </w:p>
        </w:tc>
        <w:tc>
          <w:tcPr>
            <w:tcW w:w="469" w:type="pct"/>
            <w:tcBorders>
              <w:top w:val="nil"/>
              <w:left w:val="nil"/>
              <w:bottom w:val="nil"/>
              <w:right w:val="nil"/>
            </w:tcBorders>
            <w:shd w:val="clear" w:color="auto" w:fill="auto"/>
            <w:noWrap/>
            <w:vAlign w:val="center"/>
            <w:hideMark/>
          </w:tcPr>
          <w:p w14:paraId="5C14C79B" w14:textId="77777777" w:rsidR="00184B6B" w:rsidRPr="00184B6B" w:rsidRDefault="00184B6B" w:rsidP="00184B6B">
            <w:pPr>
              <w:spacing w:line="240" w:lineRule="auto"/>
              <w:ind w:firstLine="0"/>
              <w:rPr>
                <w:sz w:val="14"/>
                <w:szCs w:val="20"/>
              </w:rPr>
            </w:pPr>
            <w:r w:rsidRPr="00184B6B">
              <w:rPr>
                <w:sz w:val="14"/>
                <w:szCs w:val="20"/>
              </w:rPr>
              <w:t>(0.036)</w:t>
            </w:r>
          </w:p>
        </w:tc>
        <w:tc>
          <w:tcPr>
            <w:tcW w:w="469" w:type="pct"/>
            <w:tcBorders>
              <w:top w:val="nil"/>
              <w:left w:val="nil"/>
              <w:bottom w:val="nil"/>
              <w:right w:val="nil"/>
            </w:tcBorders>
            <w:shd w:val="clear" w:color="auto" w:fill="auto"/>
            <w:noWrap/>
            <w:vAlign w:val="center"/>
            <w:hideMark/>
          </w:tcPr>
          <w:p w14:paraId="243A6718" w14:textId="77777777" w:rsidR="00184B6B" w:rsidRPr="00184B6B" w:rsidRDefault="00184B6B" w:rsidP="00184B6B">
            <w:pPr>
              <w:spacing w:line="240" w:lineRule="auto"/>
              <w:ind w:firstLine="0"/>
              <w:rPr>
                <w:sz w:val="14"/>
                <w:szCs w:val="20"/>
              </w:rPr>
            </w:pPr>
            <w:r w:rsidRPr="00184B6B">
              <w:rPr>
                <w:sz w:val="14"/>
                <w:szCs w:val="20"/>
              </w:rPr>
              <w:t>(0.036)</w:t>
            </w:r>
          </w:p>
        </w:tc>
        <w:tc>
          <w:tcPr>
            <w:tcW w:w="466" w:type="pct"/>
            <w:tcBorders>
              <w:top w:val="nil"/>
              <w:left w:val="nil"/>
              <w:bottom w:val="nil"/>
              <w:right w:val="single" w:sz="4" w:space="0" w:color="auto"/>
            </w:tcBorders>
            <w:shd w:val="clear" w:color="auto" w:fill="auto"/>
            <w:noWrap/>
            <w:vAlign w:val="center"/>
            <w:hideMark/>
          </w:tcPr>
          <w:p w14:paraId="6F91B8C4" w14:textId="77777777" w:rsidR="00184B6B" w:rsidRPr="00184B6B" w:rsidRDefault="00184B6B" w:rsidP="00184B6B">
            <w:pPr>
              <w:spacing w:line="240" w:lineRule="auto"/>
              <w:ind w:firstLine="0"/>
              <w:rPr>
                <w:sz w:val="14"/>
                <w:szCs w:val="20"/>
              </w:rPr>
            </w:pPr>
            <w:r w:rsidRPr="00184B6B">
              <w:rPr>
                <w:sz w:val="14"/>
                <w:szCs w:val="20"/>
              </w:rPr>
              <w:t>(0.036)</w:t>
            </w:r>
          </w:p>
        </w:tc>
      </w:tr>
      <w:tr w:rsidR="00184B6B" w:rsidRPr="00184B6B" w14:paraId="153E08AB"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791FCE9" w14:textId="77777777" w:rsidR="00184B6B" w:rsidRPr="00184B6B" w:rsidRDefault="00184B6B" w:rsidP="00184B6B">
            <w:pPr>
              <w:spacing w:line="240" w:lineRule="auto"/>
              <w:ind w:firstLine="0"/>
              <w:jc w:val="left"/>
              <w:rPr>
                <w:sz w:val="14"/>
                <w:szCs w:val="20"/>
              </w:rPr>
            </w:pPr>
            <w:r w:rsidRPr="00184B6B">
              <w:rPr>
                <w:sz w:val="14"/>
                <w:szCs w:val="20"/>
              </w:rPr>
              <w:t>Tertiary education</w:t>
            </w:r>
          </w:p>
        </w:tc>
        <w:tc>
          <w:tcPr>
            <w:tcW w:w="469" w:type="pct"/>
            <w:tcBorders>
              <w:top w:val="nil"/>
              <w:left w:val="single" w:sz="4" w:space="0" w:color="auto"/>
              <w:bottom w:val="nil"/>
              <w:right w:val="nil"/>
            </w:tcBorders>
            <w:shd w:val="clear" w:color="auto" w:fill="auto"/>
            <w:noWrap/>
            <w:vAlign w:val="center"/>
            <w:hideMark/>
          </w:tcPr>
          <w:p w14:paraId="76A053B4" w14:textId="77777777" w:rsidR="00184B6B" w:rsidRPr="00184B6B" w:rsidRDefault="00184B6B" w:rsidP="00184B6B">
            <w:pPr>
              <w:spacing w:line="240" w:lineRule="auto"/>
              <w:ind w:firstLine="0"/>
              <w:rPr>
                <w:sz w:val="14"/>
                <w:szCs w:val="20"/>
              </w:rPr>
            </w:pPr>
            <w:r w:rsidRPr="00184B6B">
              <w:rPr>
                <w:sz w:val="14"/>
                <w:szCs w:val="20"/>
              </w:rPr>
              <w:t>0.073*</w:t>
            </w:r>
          </w:p>
        </w:tc>
        <w:tc>
          <w:tcPr>
            <w:tcW w:w="469" w:type="pct"/>
            <w:tcBorders>
              <w:top w:val="nil"/>
              <w:left w:val="nil"/>
              <w:bottom w:val="nil"/>
              <w:right w:val="nil"/>
            </w:tcBorders>
            <w:shd w:val="clear" w:color="auto" w:fill="auto"/>
            <w:noWrap/>
            <w:vAlign w:val="center"/>
            <w:hideMark/>
          </w:tcPr>
          <w:p w14:paraId="7FB81127" w14:textId="77777777" w:rsidR="00184B6B" w:rsidRPr="00184B6B" w:rsidRDefault="00184B6B" w:rsidP="00184B6B">
            <w:pPr>
              <w:spacing w:line="240" w:lineRule="auto"/>
              <w:ind w:firstLine="0"/>
              <w:rPr>
                <w:sz w:val="14"/>
                <w:szCs w:val="20"/>
              </w:rPr>
            </w:pPr>
            <w:r w:rsidRPr="00184B6B">
              <w:rPr>
                <w:sz w:val="14"/>
                <w:szCs w:val="20"/>
              </w:rPr>
              <w:t>0.072*</w:t>
            </w:r>
          </w:p>
        </w:tc>
        <w:tc>
          <w:tcPr>
            <w:tcW w:w="469" w:type="pct"/>
            <w:tcBorders>
              <w:top w:val="nil"/>
              <w:left w:val="nil"/>
              <w:bottom w:val="nil"/>
              <w:right w:val="nil"/>
            </w:tcBorders>
            <w:shd w:val="clear" w:color="auto" w:fill="auto"/>
            <w:noWrap/>
            <w:vAlign w:val="center"/>
            <w:hideMark/>
          </w:tcPr>
          <w:p w14:paraId="5377139B" w14:textId="77777777" w:rsidR="00184B6B" w:rsidRPr="00184B6B" w:rsidRDefault="00184B6B" w:rsidP="00184B6B">
            <w:pPr>
              <w:spacing w:line="240" w:lineRule="auto"/>
              <w:ind w:firstLine="0"/>
              <w:rPr>
                <w:sz w:val="14"/>
                <w:szCs w:val="20"/>
              </w:rPr>
            </w:pPr>
            <w:r w:rsidRPr="00184B6B">
              <w:rPr>
                <w:sz w:val="14"/>
                <w:szCs w:val="20"/>
              </w:rPr>
              <w:t>0.074*</w:t>
            </w:r>
          </w:p>
        </w:tc>
        <w:tc>
          <w:tcPr>
            <w:tcW w:w="469" w:type="pct"/>
            <w:tcBorders>
              <w:top w:val="nil"/>
              <w:left w:val="nil"/>
              <w:bottom w:val="nil"/>
              <w:right w:val="single" w:sz="4" w:space="0" w:color="auto"/>
            </w:tcBorders>
            <w:shd w:val="clear" w:color="auto" w:fill="auto"/>
            <w:noWrap/>
            <w:vAlign w:val="center"/>
            <w:hideMark/>
          </w:tcPr>
          <w:p w14:paraId="1A3806B0" w14:textId="77777777" w:rsidR="00184B6B" w:rsidRPr="00184B6B" w:rsidRDefault="00184B6B" w:rsidP="00184B6B">
            <w:pPr>
              <w:spacing w:line="240" w:lineRule="auto"/>
              <w:ind w:firstLine="0"/>
              <w:rPr>
                <w:sz w:val="14"/>
                <w:szCs w:val="20"/>
              </w:rPr>
            </w:pPr>
            <w:r w:rsidRPr="00184B6B">
              <w:rPr>
                <w:sz w:val="14"/>
                <w:szCs w:val="20"/>
              </w:rPr>
              <w:t>0.075*</w:t>
            </w:r>
          </w:p>
        </w:tc>
        <w:tc>
          <w:tcPr>
            <w:tcW w:w="469" w:type="pct"/>
            <w:tcBorders>
              <w:top w:val="nil"/>
              <w:left w:val="single" w:sz="4" w:space="0" w:color="auto"/>
              <w:bottom w:val="nil"/>
              <w:right w:val="nil"/>
            </w:tcBorders>
            <w:shd w:val="clear" w:color="auto" w:fill="auto"/>
            <w:noWrap/>
            <w:vAlign w:val="center"/>
            <w:hideMark/>
          </w:tcPr>
          <w:p w14:paraId="72655E8F"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nil"/>
              <w:bottom w:val="nil"/>
              <w:right w:val="nil"/>
            </w:tcBorders>
            <w:shd w:val="clear" w:color="auto" w:fill="auto"/>
            <w:noWrap/>
            <w:vAlign w:val="center"/>
            <w:hideMark/>
          </w:tcPr>
          <w:p w14:paraId="35E97EDF"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nil"/>
              <w:bottom w:val="nil"/>
              <w:right w:val="nil"/>
            </w:tcBorders>
            <w:shd w:val="clear" w:color="auto" w:fill="auto"/>
            <w:noWrap/>
            <w:vAlign w:val="center"/>
            <w:hideMark/>
          </w:tcPr>
          <w:p w14:paraId="59B512A4" w14:textId="77777777" w:rsidR="00184B6B" w:rsidRPr="00184B6B" w:rsidRDefault="00184B6B" w:rsidP="00184B6B">
            <w:pPr>
              <w:spacing w:line="240" w:lineRule="auto"/>
              <w:ind w:firstLine="0"/>
              <w:rPr>
                <w:sz w:val="14"/>
                <w:szCs w:val="20"/>
              </w:rPr>
            </w:pPr>
            <w:r w:rsidRPr="00184B6B">
              <w:rPr>
                <w:sz w:val="14"/>
                <w:szCs w:val="20"/>
              </w:rPr>
              <w:t>0.057*</w:t>
            </w:r>
          </w:p>
        </w:tc>
        <w:tc>
          <w:tcPr>
            <w:tcW w:w="466" w:type="pct"/>
            <w:tcBorders>
              <w:top w:val="nil"/>
              <w:left w:val="nil"/>
              <w:bottom w:val="nil"/>
              <w:right w:val="single" w:sz="4" w:space="0" w:color="auto"/>
            </w:tcBorders>
            <w:shd w:val="clear" w:color="auto" w:fill="auto"/>
            <w:noWrap/>
            <w:vAlign w:val="center"/>
            <w:hideMark/>
          </w:tcPr>
          <w:p w14:paraId="1299116C" w14:textId="77777777" w:rsidR="00184B6B" w:rsidRPr="00184B6B" w:rsidRDefault="00184B6B" w:rsidP="00184B6B">
            <w:pPr>
              <w:spacing w:line="240" w:lineRule="auto"/>
              <w:ind w:firstLine="0"/>
              <w:rPr>
                <w:sz w:val="14"/>
                <w:szCs w:val="20"/>
              </w:rPr>
            </w:pPr>
            <w:r w:rsidRPr="00184B6B">
              <w:rPr>
                <w:sz w:val="14"/>
                <w:szCs w:val="20"/>
              </w:rPr>
              <w:t>0.057*</w:t>
            </w:r>
          </w:p>
        </w:tc>
      </w:tr>
      <w:tr w:rsidR="00184B6B" w:rsidRPr="00184B6B" w14:paraId="7B57875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07DF56F3"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1E175F0D" w14:textId="77777777" w:rsidR="00184B6B" w:rsidRPr="00184B6B" w:rsidRDefault="00184B6B" w:rsidP="00184B6B">
            <w:pPr>
              <w:spacing w:line="240" w:lineRule="auto"/>
              <w:ind w:firstLine="0"/>
              <w:rPr>
                <w:sz w:val="14"/>
                <w:szCs w:val="20"/>
              </w:rPr>
            </w:pPr>
            <w:r w:rsidRPr="00184B6B">
              <w:rPr>
                <w:sz w:val="14"/>
                <w:szCs w:val="20"/>
              </w:rPr>
              <w:t>(0.042)</w:t>
            </w:r>
          </w:p>
        </w:tc>
        <w:tc>
          <w:tcPr>
            <w:tcW w:w="469" w:type="pct"/>
            <w:tcBorders>
              <w:top w:val="nil"/>
              <w:left w:val="nil"/>
              <w:bottom w:val="nil"/>
              <w:right w:val="nil"/>
            </w:tcBorders>
            <w:shd w:val="clear" w:color="auto" w:fill="auto"/>
            <w:noWrap/>
            <w:vAlign w:val="center"/>
            <w:hideMark/>
          </w:tcPr>
          <w:p w14:paraId="01A64719" w14:textId="77777777" w:rsidR="00184B6B" w:rsidRPr="00184B6B" w:rsidRDefault="00184B6B" w:rsidP="00184B6B">
            <w:pPr>
              <w:spacing w:line="240" w:lineRule="auto"/>
              <w:ind w:firstLine="0"/>
              <w:rPr>
                <w:sz w:val="14"/>
                <w:szCs w:val="20"/>
              </w:rPr>
            </w:pPr>
            <w:r w:rsidRPr="00184B6B">
              <w:rPr>
                <w:sz w:val="14"/>
                <w:szCs w:val="20"/>
              </w:rPr>
              <w:t>(0.042)</w:t>
            </w:r>
          </w:p>
        </w:tc>
        <w:tc>
          <w:tcPr>
            <w:tcW w:w="469" w:type="pct"/>
            <w:tcBorders>
              <w:top w:val="nil"/>
              <w:left w:val="nil"/>
              <w:bottom w:val="nil"/>
              <w:right w:val="nil"/>
            </w:tcBorders>
            <w:shd w:val="clear" w:color="auto" w:fill="auto"/>
            <w:noWrap/>
            <w:vAlign w:val="center"/>
            <w:hideMark/>
          </w:tcPr>
          <w:p w14:paraId="63024799" w14:textId="77777777" w:rsidR="00184B6B" w:rsidRPr="00184B6B" w:rsidRDefault="00184B6B" w:rsidP="00184B6B">
            <w:pPr>
              <w:spacing w:line="240" w:lineRule="auto"/>
              <w:ind w:firstLine="0"/>
              <w:rPr>
                <w:sz w:val="14"/>
                <w:szCs w:val="20"/>
              </w:rPr>
            </w:pPr>
            <w:r w:rsidRPr="00184B6B">
              <w:rPr>
                <w:sz w:val="14"/>
                <w:szCs w:val="20"/>
              </w:rPr>
              <w:t>(0.042)</w:t>
            </w:r>
          </w:p>
        </w:tc>
        <w:tc>
          <w:tcPr>
            <w:tcW w:w="469" w:type="pct"/>
            <w:tcBorders>
              <w:top w:val="nil"/>
              <w:left w:val="nil"/>
              <w:bottom w:val="nil"/>
              <w:right w:val="single" w:sz="4" w:space="0" w:color="auto"/>
            </w:tcBorders>
            <w:shd w:val="clear" w:color="auto" w:fill="auto"/>
            <w:noWrap/>
            <w:vAlign w:val="center"/>
            <w:hideMark/>
          </w:tcPr>
          <w:p w14:paraId="6981974A" w14:textId="77777777" w:rsidR="00184B6B" w:rsidRPr="00184B6B" w:rsidRDefault="00184B6B" w:rsidP="00184B6B">
            <w:pPr>
              <w:spacing w:line="240" w:lineRule="auto"/>
              <w:ind w:firstLine="0"/>
              <w:rPr>
                <w:sz w:val="14"/>
                <w:szCs w:val="20"/>
              </w:rPr>
            </w:pPr>
            <w:r w:rsidRPr="00184B6B">
              <w:rPr>
                <w:sz w:val="14"/>
                <w:szCs w:val="20"/>
              </w:rPr>
              <w:t>(0.042)</w:t>
            </w:r>
          </w:p>
        </w:tc>
        <w:tc>
          <w:tcPr>
            <w:tcW w:w="469" w:type="pct"/>
            <w:tcBorders>
              <w:top w:val="nil"/>
              <w:left w:val="single" w:sz="4" w:space="0" w:color="auto"/>
              <w:bottom w:val="nil"/>
              <w:right w:val="nil"/>
            </w:tcBorders>
            <w:shd w:val="clear" w:color="auto" w:fill="auto"/>
            <w:noWrap/>
            <w:vAlign w:val="center"/>
            <w:hideMark/>
          </w:tcPr>
          <w:p w14:paraId="2B95EDF7" w14:textId="77777777" w:rsidR="00184B6B" w:rsidRPr="00184B6B" w:rsidRDefault="00184B6B" w:rsidP="00184B6B">
            <w:pPr>
              <w:spacing w:line="240" w:lineRule="auto"/>
              <w:ind w:firstLine="0"/>
              <w:rPr>
                <w:sz w:val="14"/>
                <w:szCs w:val="20"/>
              </w:rPr>
            </w:pPr>
            <w:r w:rsidRPr="00184B6B">
              <w:rPr>
                <w:sz w:val="14"/>
                <w:szCs w:val="20"/>
              </w:rPr>
              <w:t>(0.032)</w:t>
            </w:r>
          </w:p>
        </w:tc>
        <w:tc>
          <w:tcPr>
            <w:tcW w:w="469" w:type="pct"/>
            <w:tcBorders>
              <w:top w:val="nil"/>
              <w:left w:val="nil"/>
              <w:bottom w:val="nil"/>
              <w:right w:val="nil"/>
            </w:tcBorders>
            <w:shd w:val="clear" w:color="auto" w:fill="auto"/>
            <w:noWrap/>
            <w:vAlign w:val="center"/>
            <w:hideMark/>
          </w:tcPr>
          <w:p w14:paraId="31D6EEC7" w14:textId="77777777" w:rsidR="00184B6B" w:rsidRPr="00184B6B" w:rsidRDefault="00184B6B" w:rsidP="00184B6B">
            <w:pPr>
              <w:spacing w:line="240" w:lineRule="auto"/>
              <w:ind w:firstLine="0"/>
              <w:rPr>
                <w:sz w:val="14"/>
                <w:szCs w:val="20"/>
              </w:rPr>
            </w:pPr>
            <w:r w:rsidRPr="00184B6B">
              <w:rPr>
                <w:sz w:val="14"/>
                <w:szCs w:val="20"/>
              </w:rPr>
              <w:t>(0.031)</w:t>
            </w:r>
          </w:p>
        </w:tc>
        <w:tc>
          <w:tcPr>
            <w:tcW w:w="469" w:type="pct"/>
            <w:tcBorders>
              <w:top w:val="nil"/>
              <w:left w:val="nil"/>
              <w:bottom w:val="nil"/>
              <w:right w:val="nil"/>
            </w:tcBorders>
            <w:shd w:val="clear" w:color="auto" w:fill="auto"/>
            <w:noWrap/>
            <w:vAlign w:val="center"/>
            <w:hideMark/>
          </w:tcPr>
          <w:p w14:paraId="1D931E2A" w14:textId="77777777" w:rsidR="00184B6B" w:rsidRPr="00184B6B" w:rsidRDefault="00184B6B" w:rsidP="00184B6B">
            <w:pPr>
              <w:spacing w:line="240" w:lineRule="auto"/>
              <w:ind w:firstLine="0"/>
              <w:rPr>
                <w:sz w:val="14"/>
                <w:szCs w:val="20"/>
              </w:rPr>
            </w:pPr>
            <w:r w:rsidRPr="00184B6B">
              <w:rPr>
                <w:sz w:val="14"/>
                <w:szCs w:val="20"/>
              </w:rPr>
              <w:t>(0.031)</w:t>
            </w:r>
          </w:p>
        </w:tc>
        <w:tc>
          <w:tcPr>
            <w:tcW w:w="466" w:type="pct"/>
            <w:tcBorders>
              <w:top w:val="nil"/>
              <w:left w:val="nil"/>
              <w:bottom w:val="nil"/>
              <w:right w:val="single" w:sz="4" w:space="0" w:color="auto"/>
            </w:tcBorders>
            <w:shd w:val="clear" w:color="auto" w:fill="auto"/>
            <w:noWrap/>
            <w:vAlign w:val="center"/>
            <w:hideMark/>
          </w:tcPr>
          <w:p w14:paraId="2FF8EAE1" w14:textId="77777777" w:rsidR="00184B6B" w:rsidRPr="00184B6B" w:rsidRDefault="00184B6B" w:rsidP="00184B6B">
            <w:pPr>
              <w:spacing w:line="240" w:lineRule="auto"/>
              <w:ind w:firstLine="0"/>
              <w:rPr>
                <w:sz w:val="14"/>
                <w:szCs w:val="20"/>
              </w:rPr>
            </w:pPr>
            <w:r w:rsidRPr="00184B6B">
              <w:rPr>
                <w:sz w:val="14"/>
                <w:szCs w:val="20"/>
              </w:rPr>
              <w:t>(0.032)</w:t>
            </w:r>
          </w:p>
        </w:tc>
      </w:tr>
      <w:tr w:rsidR="00184B6B" w:rsidRPr="00184B6B" w14:paraId="2332683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7F0DB84" w14:textId="77777777" w:rsidR="00184B6B" w:rsidRPr="00184B6B" w:rsidRDefault="00184B6B" w:rsidP="00184B6B">
            <w:pPr>
              <w:spacing w:line="240" w:lineRule="auto"/>
              <w:ind w:firstLine="0"/>
              <w:jc w:val="left"/>
              <w:rPr>
                <w:sz w:val="14"/>
                <w:szCs w:val="20"/>
              </w:rPr>
            </w:pPr>
            <w:r w:rsidRPr="00184B6B">
              <w:rPr>
                <w:sz w:val="14"/>
                <w:szCs w:val="20"/>
              </w:rPr>
              <w:t>2nd income quintile</w:t>
            </w:r>
          </w:p>
        </w:tc>
        <w:tc>
          <w:tcPr>
            <w:tcW w:w="469" w:type="pct"/>
            <w:tcBorders>
              <w:top w:val="nil"/>
              <w:left w:val="single" w:sz="4" w:space="0" w:color="auto"/>
              <w:bottom w:val="nil"/>
              <w:right w:val="nil"/>
            </w:tcBorders>
            <w:shd w:val="clear" w:color="auto" w:fill="auto"/>
            <w:noWrap/>
            <w:vAlign w:val="center"/>
            <w:hideMark/>
          </w:tcPr>
          <w:p w14:paraId="1E2243FA" w14:textId="77777777" w:rsidR="00184B6B" w:rsidRPr="00184B6B" w:rsidRDefault="00184B6B" w:rsidP="00184B6B">
            <w:pPr>
              <w:spacing w:line="240" w:lineRule="auto"/>
              <w:ind w:firstLine="0"/>
              <w:rPr>
                <w:sz w:val="14"/>
                <w:szCs w:val="20"/>
              </w:rPr>
            </w:pPr>
            <w:r w:rsidRPr="00184B6B">
              <w:rPr>
                <w:sz w:val="14"/>
                <w:szCs w:val="20"/>
              </w:rPr>
              <w:t>-0.033</w:t>
            </w:r>
          </w:p>
        </w:tc>
        <w:tc>
          <w:tcPr>
            <w:tcW w:w="469" w:type="pct"/>
            <w:tcBorders>
              <w:top w:val="nil"/>
              <w:left w:val="nil"/>
              <w:bottom w:val="nil"/>
              <w:right w:val="nil"/>
            </w:tcBorders>
            <w:shd w:val="clear" w:color="auto" w:fill="auto"/>
            <w:noWrap/>
            <w:vAlign w:val="center"/>
            <w:hideMark/>
          </w:tcPr>
          <w:p w14:paraId="23968C50" w14:textId="77777777" w:rsidR="00184B6B" w:rsidRPr="00184B6B" w:rsidRDefault="00184B6B" w:rsidP="00184B6B">
            <w:pPr>
              <w:spacing w:line="240" w:lineRule="auto"/>
              <w:ind w:firstLine="0"/>
              <w:rPr>
                <w:sz w:val="14"/>
                <w:szCs w:val="20"/>
              </w:rPr>
            </w:pPr>
            <w:r w:rsidRPr="00184B6B">
              <w:rPr>
                <w:sz w:val="14"/>
                <w:szCs w:val="20"/>
              </w:rPr>
              <w:t>-0.038</w:t>
            </w:r>
          </w:p>
        </w:tc>
        <w:tc>
          <w:tcPr>
            <w:tcW w:w="469" w:type="pct"/>
            <w:tcBorders>
              <w:top w:val="nil"/>
              <w:left w:val="nil"/>
              <w:bottom w:val="nil"/>
              <w:right w:val="nil"/>
            </w:tcBorders>
            <w:shd w:val="clear" w:color="auto" w:fill="auto"/>
            <w:noWrap/>
            <w:vAlign w:val="center"/>
            <w:hideMark/>
          </w:tcPr>
          <w:p w14:paraId="61919F45" w14:textId="77777777" w:rsidR="00184B6B" w:rsidRPr="00184B6B" w:rsidRDefault="00184B6B" w:rsidP="00184B6B">
            <w:pPr>
              <w:spacing w:line="240" w:lineRule="auto"/>
              <w:ind w:firstLine="0"/>
              <w:rPr>
                <w:sz w:val="14"/>
                <w:szCs w:val="20"/>
              </w:rPr>
            </w:pPr>
            <w:r w:rsidRPr="00184B6B">
              <w:rPr>
                <w:sz w:val="14"/>
                <w:szCs w:val="20"/>
              </w:rPr>
              <w:t>-0.034</w:t>
            </w:r>
          </w:p>
        </w:tc>
        <w:tc>
          <w:tcPr>
            <w:tcW w:w="469" w:type="pct"/>
            <w:tcBorders>
              <w:top w:val="nil"/>
              <w:left w:val="nil"/>
              <w:bottom w:val="nil"/>
              <w:right w:val="single" w:sz="4" w:space="0" w:color="auto"/>
            </w:tcBorders>
            <w:shd w:val="clear" w:color="auto" w:fill="auto"/>
            <w:noWrap/>
            <w:vAlign w:val="center"/>
            <w:hideMark/>
          </w:tcPr>
          <w:p w14:paraId="2A97FB7A" w14:textId="77777777" w:rsidR="00184B6B" w:rsidRPr="00184B6B" w:rsidRDefault="00184B6B" w:rsidP="00184B6B">
            <w:pPr>
              <w:spacing w:line="240" w:lineRule="auto"/>
              <w:ind w:firstLine="0"/>
              <w:rPr>
                <w:sz w:val="14"/>
                <w:szCs w:val="20"/>
              </w:rPr>
            </w:pPr>
            <w:r w:rsidRPr="00184B6B">
              <w:rPr>
                <w:sz w:val="14"/>
                <w:szCs w:val="20"/>
              </w:rPr>
              <w:t>-0.034</w:t>
            </w:r>
          </w:p>
        </w:tc>
        <w:tc>
          <w:tcPr>
            <w:tcW w:w="469" w:type="pct"/>
            <w:tcBorders>
              <w:top w:val="nil"/>
              <w:left w:val="single" w:sz="4" w:space="0" w:color="auto"/>
              <w:bottom w:val="nil"/>
              <w:right w:val="nil"/>
            </w:tcBorders>
            <w:shd w:val="clear" w:color="auto" w:fill="auto"/>
            <w:noWrap/>
            <w:vAlign w:val="center"/>
            <w:hideMark/>
          </w:tcPr>
          <w:p w14:paraId="23972FE5"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nil"/>
            </w:tcBorders>
            <w:shd w:val="clear" w:color="auto" w:fill="auto"/>
            <w:noWrap/>
            <w:vAlign w:val="center"/>
            <w:hideMark/>
          </w:tcPr>
          <w:p w14:paraId="7A151CFC" w14:textId="77777777" w:rsidR="00184B6B" w:rsidRPr="00184B6B" w:rsidRDefault="00184B6B" w:rsidP="00184B6B">
            <w:pPr>
              <w:spacing w:line="240" w:lineRule="auto"/>
              <w:ind w:firstLine="0"/>
              <w:rPr>
                <w:sz w:val="14"/>
                <w:szCs w:val="20"/>
              </w:rPr>
            </w:pPr>
            <w:r w:rsidRPr="00184B6B">
              <w:rPr>
                <w:sz w:val="14"/>
                <w:szCs w:val="20"/>
              </w:rPr>
              <w:t>-0.026</w:t>
            </w:r>
          </w:p>
        </w:tc>
        <w:tc>
          <w:tcPr>
            <w:tcW w:w="469" w:type="pct"/>
            <w:tcBorders>
              <w:top w:val="nil"/>
              <w:left w:val="nil"/>
              <w:bottom w:val="nil"/>
              <w:right w:val="nil"/>
            </w:tcBorders>
            <w:shd w:val="clear" w:color="auto" w:fill="auto"/>
            <w:noWrap/>
            <w:vAlign w:val="center"/>
            <w:hideMark/>
          </w:tcPr>
          <w:p w14:paraId="1705E39D" w14:textId="77777777" w:rsidR="00184B6B" w:rsidRPr="00184B6B" w:rsidRDefault="00184B6B" w:rsidP="00184B6B">
            <w:pPr>
              <w:spacing w:line="240" w:lineRule="auto"/>
              <w:ind w:firstLine="0"/>
              <w:rPr>
                <w:sz w:val="14"/>
                <w:szCs w:val="20"/>
              </w:rPr>
            </w:pPr>
            <w:r w:rsidRPr="00184B6B">
              <w:rPr>
                <w:sz w:val="14"/>
                <w:szCs w:val="20"/>
              </w:rPr>
              <w:t>-0.024</w:t>
            </w:r>
          </w:p>
        </w:tc>
        <w:tc>
          <w:tcPr>
            <w:tcW w:w="466" w:type="pct"/>
            <w:tcBorders>
              <w:top w:val="nil"/>
              <w:left w:val="nil"/>
              <w:bottom w:val="nil"/>
              <w:right w:val="single" w:sz="4" w:space="0" w:color="auto"/>
            </w:tcBorders>
            <w:shd w:val="clear" w:color="auto" w:fill="auto"/>
            <w:noWrap/>
            <w:vAlign w:val="center"/>
            <w:hideMark/>
          </w:tcPr>
          <w:p w14:paraId="57F9BF72" w14:textId="77777777" w:rsidR="00184B6B" w:rsidRPr="00184B6B" w:rsidRDefault="00184B6B" w:rsidP="00184B6B">
            <w:pPr>
              <w:spacing w:line="240" w:lineRule="auto"/>
              <w:ind w:firstLine="0"/>
              <w:rPr>
                <w:sz w:val="14"/>
                <w:szCs w:val="20"/>
              </w:rPr>
            </w:pPr>
            <w:r w:rsidRPr="00184B6B">
              <w:rPr>
                <w:sz w:val="14"/>
                <w:szCs w:val="20"/>
              </w:rPr>
              <w:t>-0.025</w:t>
            </w:r>
          </w:p>
        </w:tc>
      </w:tr>
      <w:tr w:rsidR="00184B6B" w:rsidRPr="00184B6B" w14:paraId="7F329C5B"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FD49364"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92750DF"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nil"/>
              <w:bottom w:val="nil"/>
              <w:right w:val="nil"/>
            </w:tcBorders>
            <w:shd w:val="clear" w:color="auto" w:fill="auto"/>
            <w:noWrap/>
            <w:vAlign w:val="center"/>
            <w:hideMark/>
          </w:tcPr>
          <w:p w14:paraId="74566A47"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nil"/>
              <w:bottom w:val="nil"/>
              <w:right w:val="nil"/>
            </w:tcBorders>
            <w:shd w:val="clear" w:color="auto" w:fill="auto"/>
            <w:noWrap/>
            <w:vAlign w:val="center"/>
            <w:hideMark/>
          </w:tcPr>
          <w:p w14:paraId="32381BF5"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single" w:sz="4" w:space="0" w:color="auto"/>
            </w:tcBorders>
            <w:shd w:val="clear" w:color="auto" w:fill="auto"/>
            <w:noWrap/>
            <w:vAlign w:val="center"/>
            <w:hideMark/>
          </w:tcPr>
          <w:p w14:paraId="2D954AB7"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single" w:sz="4" w:space="0" w:color="auto"/>
              <w:bottom w:val="nil"/>
              <w:right w:val="nil"/>
            </w:tcBorders>
            <w:shd w:val="clear" w:color="auto" w:fill="auto"/>
            <w:noWrap/>
            <w:vAlign w:val="center"/>
            <w:hideMark/>
          </w:tcPr>
          <w:p w14:paraId="5360179C"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2876A04D"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69F081A3" w14:textId="77777777" w:rsidR="00184B6B" w:rsidRPr="00184B6B" w:rsidRDefault="00184B6B" w:rsidP="00184B6B">
            <w:pPr>
              <w:spacing w:line="240" w:lineRule="auto"/>
              <w:ind w:firstLine="0"/>
              <w:rPr>
                <w:sz w:val="14"/>
                <w:szCs w:val="20"/>
              </w:rPr>
            </w:pPr>
            <w:r w:rsidRPr="00184B6B">
              <w:rPr>
                <w:sz w:val="14"/>
                <w:szCs w:val="20"/>
              </w:rPr>
              <w:t>(0.046)</w:t>
            </w:r>
          </w:p>
        </w:tc>
        <w:tc>
          <w:tcPr>
            <w:tcW w:w="466" w:type="pct"/>
            <w:tcBorders>
              <w:top w:val="nil"/>
              <w:left w:val="nil"/>
              <w:bottom w:val="nil"/>
              <w:right w:val="single" w:sz="4" w:space="0" w:color="auto"/>
            </w:tcBorders>
            <w:shd w:val="clear" w:color="auto" w:fill="auto"/>
            <w:noWrap/>
            <w:vAlign w:val="center"/>
            <w:hideMark/>
          </w:tcPr>
          <w:p w14:paraId="4AAA37FC" w14:textId="77777777" w:rsidR="00184B6B" w:rsidRPr="00184B6B" w:rsidRDefault="00184B6B" w:rsidP="00184B6B">
            <w:pPr>
              <w:spacing w:line="240" w:lineRule="auto"/>
              <w:ind w:firstLine="0"/>
              <w:rPr>
                <w:sz w:val="14"/>
                <w:szCs w:val="20"/>
              </w:rPr>
            </w:pPr>
            <w:r w:rsidRPr="00184B6B">
              <w:rPr>
                <w:sz w:val="14"/>
                <w:szCs w:val="20"/>
              </w:rPr>
              <w:t>(0.046)</w:t>
            </w:r>
          </w:p>
        </w:tc>
      </w:tr>
      <w:tr w:rsidR="00184B6B" w:rsidRPr="00184B6B" w14:paraId="081C67C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3A538C8" w14:textId="77777777" w:rsidR="00184B6B" w:rsidRPr="00184B6B" w:rsidRDefault="00184B6B" w:rsidP="00184B6B">
            <w:pPr>
              <w:spacing w:line="240" w:lineRule="auto"/>
              <w:ind w:firstLine="0"/>
              <w:jc w:val="left"/>
              <w:rPr>
                <w:sz w:val="14"/>
                <w:szCs w:val="20"/>
              </w:rPr>
            </w:pPr>
            <w:r w:rsidRPr="00184B6B">
              <w:rPr>
                <w:sz w:val="14"/>
                <w:szCs w:val="20"/>
              </w:rPr>
              <w:t>3rd income quintile</w:t>
            </w:r>
          </w:p>
        </w:tc>
        <w:tc>
          <w:tcPr>
            <w:tcW w:w="469" w:type="pct"/>
            <w:tcBorders>
              <w:top w:val="nil"/>
              <w:left w:val="single" w:sz="4" w:space="0" w:color="auto"/>
              <w:bottom w:val="nil"/>
              <w:right w:val="nil"/>
            </w:tcBorders>
            <w:shd w:val="clear" w:color="auto" w:fill="auto"/>
            <w:noWrap/>
            <w:vAlign w:val="center"/>
            <w:hideMark/>
          </w:tcPr>
          <w:p w14:paraId="048035E3" w14:textId="77777777" w:rsidR="00184B6B" w:rsidRPr="00184B6B" w:rsidRDefault="00184B6B" w:rsidP="00184B6B">
            <w:pPr>
              <w:spacing w:line="240" w:lineRule="auto"/>
              <w:ind w:firstLine="0"/>
              <w:rPr>
                <w:sz w:val="14"/>
                <w:szCs w:val="20"/>
              </w:rPr>
            </w:pPr>
            <w:r w:rsidRPr="00184B6B">
              <w:rPr>
                <w:sz w:val="14"/>
                <w:szCs w:val="20"/>
              </w:rPr>
              <w:t>-0.114**</w:t>
            </w:r>
          </w:p>
        </w:tc>
        <w:tc>
          <w:tcPr>
            <w:tcW w:w="469" w:type="pct"/>
            <w:tcBorders>
              <w:top w:val="nil"/>
              <w:left w:val="nil"/>
              <w:bottom w:val="nil"/>
              <w:right w:val="nil"/>
            </w:tcBorders>
            <w:shd w:val="clear" w:color="auto" w:fill="auto"/>
            <w:noWrap/>
            <w:vAlign w:val="center"/>
            <w:hideMark/>
          </w:tcPr>
          <w:p w14:paraId="45A00827" w14:textId="77777777" w:rsidR="00184B6B" w:rsidRPr="00184B6B" w:rsidRDefault="00184B6B" w:rsidP="00184B6B">
            <w:pPr>
              <w:spacing w:line="240" w:lineRule="auto"/>
              <w:ind w:firstLine="0"/>
              <w:rPr>
                <w:sz w:val="14"/>
                <w:szCs w:val="20"/>
              </w:rPr>
            </w:pPr>
            <w:r w:rsidRPr="00184B6B">
              <w:rPr>
                <w:sz w:val="14"/>
                <w:szCs w:val="20"/>
              </w:rPr>
              <w:t>-0.116**</w:t>
            </w:r>
          </w:p>
        </w:tc>
        <w:tc>
          <w:tcPr>
            <w:tcW w:w="469" w:type="pct"/>
            <w:tcBorders>
              <w:top w:val="nil"/>
              <w:left w:val="nil"/>
              <w:bottom w:val="nil"/>
              <w:right w:val="nil"/>
            </w:tcBorders>
            <w:shd w:val="clear" w:color="auto" w:fill="auto"/>
            <w:noWrap/>
            <w:vAlign w:val="center"/>
            <w:hideMark/>
          </w:tcPr>
          <w:p w14:paraId="27658CF9" w14:textId="77777777" w:rsidR="00184B6B" w:rsidRPr="00184B6B" w:rsidRDefault="00184B6B" w:rsidP="00184B6B">
            <w:pPr>
              <w:spacing w:line="240" w:lineRule="auto"/>
              <w:ind w:firstLine="0"/>
              <w:rPr>
                <w:sz w:val="14"/>
                <w:szCs w:val="20"/>
              </w:rPr>
            </w:pPr>
            <w:r w:rsidRPr="00184B6B">
              <w:rPr>
                <w:sz w:val="14"/>
                <w:szCs w:val="20"/>
              </w:rPr>
              <w:t>-0.114**</w:t>
            </w:r>
          </w:p>
        </w:tc>
        <w:tc>
          <w:tcPr>
            <w:tcW w:w="469" w:type="pct"/>
            <w:tcBorders>
              <w:top w:val="nil"/>
              <w:left w:val="nil"/>
              <w:bottom w:val="nil"/>
              <w:right w:val="single" w:sz="4" w:space="0" w:color="auto"/>
            </w:tcBorders>
            <w:shd w:val="clear" w:color="auto" w:fill="auto"/>
            <w:noWrap/>
            <w:vAlign w:val="center"/>
            <w:hideMark/>
          </w:tcPr>
          <w:p w14:paraId="7DDDE6E6" w14:textId="77777777" w:rsidR="00184B6B" w:rsidRPr="00184B6B" w:rsidRDefault="00184B6B" w:rsidP="00184B6B">
            <w:pPr>
              <w:spacing w:line="240" w:lineRule="auto"/>
              <w:ind w:firstLine="0"/>
              <w:rPr>
                <w:sz w:val="14"/>
                <w:szCs w:val="20"/>
              </w:rPr>
            </w:pPr>
            <w:r w:rsidRPr="00184B6B">
              <w:rPr>
                <w:sz w:val="14"/>
                <w:szCs w:val="20"/>
              </w:rPr>
              <w:t>-0.115**</w:t>
            </w:r>
          </w:p>
        </w:tc>
        <w:tc>
          <w:tcPr>
            <w:tcW w:w="469" w:type="pct"/>
            <w:tcBorders>
              <w:top w:val="nil"/>
              <w:left w:val="single" w:sz="4" w:space="0" w:color="auto"/>
              <w:bottom w:val="nil"/>
              <w:right w:val="nil"/>
            </w:tcBorders>
            <w:shd w:val="clear" w:color="auto" w:fill="auto"/>
            <w:noWrap/>
            <w:vAlign w:val="center"/>
            <w:hideMark/>
          </w:tcPr>
          <w:p w14:paraId="44EFF978" w14:textId="77777777" w:rsidR="00184B6B" w:rsidRPr="00184B6B" w:rsidRDefault="00184B6B" w:rsidP="00184B6B">
            <w:pPr>
              <w:spacing w:line="240" w:lineRule="auto"/>
              <w:ind w:firstLine="0"/>
              <w:rPr>
                <w:sz w:val="14"/>
                <w:szCs w:val="20"/>
              </w:rPr>
            </w:pPr>
            <w:r w:rsidRPr="00184B6B">
              <w:rPr>
                <w:sz w:val="14"/>
                <w:szCs w:val="20"/>
              </w:rPr>
              <w:t>-0.088*</w:t>
            </w:r>
          </w:p>
        </w:tc>
        <w:tc>
          <w:tcPr>
            <w:tcW w:w="469" w:type="pct"/>
            <w:tcBorders>
              <w:top w:val="nil"/>
              <w:left w:val="nil"/>
              <w:bottom w:val="nil"/>
              <w:right w:val="nil"/>
            </w:tcBorders>
            <w:shd w:val="clear" w:color="auto" w:fill="auto"/>
            <w:noWrap/>
            <w:vAlign w:val="center"/>
            <w:hideMark/>
          </w:tcPr>
          <w:p w14:paraId="45424A6F" w14:textId="77777777" w:rsidR="00184B6B" w:rsidRPr="00184B6B" w:rsidRDefault="00184B6B" w:rsidP="00184B6B">
            <w:pPr>
              <w:spacing w:line="240" w:lineRule="auto"/>
              <w:ind w:firstLine="0"/>
              <w:rPr>
                <w:sz w:val="14"/>
                <w:szCs w:val="20"/>
              </w:rPr>
            </w:pPr>
            <w:r w:rsidRPr="00184B6B">
              <w:rPr>
                <w:sz w:val="14"/>
                <w:szCs w:val="20"/>
              </w:rPr>
              <w:t>-0.090*</w:t>
            </w:r>
          </w:p>
        </w:tc>
        <w:tc>
          <w:tcPr>
            <w:tcW w:w="469" w:type="pct"/>
            <w:tcBorders>
              <w:top w:val="nil"/>
              <w:left w:val="nil"/>
              <w:bottom w:val="nil"/>
              <w:right w:val="nil"/>
            </w:tcBorders>
            <w:shd w:val="clear" w:color="auto" w:fill="auto"/>
            <w:noWrap/>
            <w:vAlign w:val="center"/>
            <w:hideMark/>
          </w:tcPr>
          <w:p w14:paraId="1B2E5600" w14:textId="77777777" w:rsidR="00184B6B" w:rsidRPr="00184B6B" w:rsidRDefault="00184B6B" w:rsidP="00184B6B">
            <w:pPr>
              <w:spacing w:line="240" w:lineRule="auto"/>
              <w:ind w:firstLine="0"/>
              <w:rPr>
                <w:sz w:val="14"/>
                <w:szCs w:val="20"/>
              </w:rPr>
            </w:pPr>
            <w:r w:rsidRPr="00184B6B">
              <w:rPr>
                <w:sz w:val="14"/>
                <w:szCs w:val="20"/>
              </w:rPr>
              <w:t>-0.089*</w:t>
            </w:r>
          </w:p>
        </w:tc>
        <w:tc>
          <w:tcPr>
            <w:tcW w:w="466" w:type="pct"/>
            <w:tcBorders>
              <w:top w:val="nil"/>
              <w:left w:val="nil"/>
              <w:bottom w:val="nil"/>
              <w:right w:val="single" w:sz="4" w:space="0" w:color="auto"/>
            </w:tcBorders>
            <w:shd w:val="clear" w:color="auto" w:fill="auto"/>
            <w:noWrap/>
            <w:vAlign w:val="center"/>
            <w:hideMark/>
          </w:tcPr>
          <w:p w14:paraId="5BA5F106" w14:textId="77777777" w:rsidR="00184B6B" w:rsidRPr="00184B6B" w:rsidRDefault="00184B6B" w:rsidP="00184B6B">
            <w:pPr>
              <w:spacing w:line="240" w:lineRule="auto"/>
              <w:ind w:firstLine="0"/>
              <w:rPr>
                <w:sz w:val="14"/>
                <w:szCs w:val="20"/>
              </w:rPr>
            </w:pPr>
            <w:r w:rsidRPr="00184B6B">
              <w:rPr>
                <w:sz w:val="14"/>
                <w:szCs w:val="20"/>
              </w:rPr>
              <w:t>-0.090*</w:t>
            </w:r>
          </w:p>
        </w:tc>
      </w:tr>
      <w:tr w:rsidR="00184B6B" w:rsidRPr="00184B6B" w14:paraId="50099A82"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44C5BC52"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0D661C4" w14:textId="77777777" w:rsidR="00184B6B" w:rsidRPr="00184B6B" w:rsidRDefault="00184B6B" w:rsidP="00184B6B">
            <w:pPr>
              <w:spacing w:line="240" w:lineRule="auto"/>
              <w:ind w:firstLine="0"/>
              <w:rPr>
                <w:sz w:val="14"/>
                <w:szCs w:val="20"/>
              </w:rPr>
            </w:pPr>
            <w:r w:rsidRPr="00184B6B">
              <w:rPr>
                <w:sz w:val="14"/>
                <w:szCs w:val="20"/>
              </w:rPr>
              <w:t>(0.057)</w:t>
            </w:r>
          </w:p>
        </w:tc>
        <w:tc>
          <w:tcPr>
            <w:tcW w:w="469" w:type="pct"/>
            <w:tcBorders>
              <w:top w:val="nil"/>
              <w:left w:val="nil"/>
              <w:bottom w:val="nil"/>
              <w:right w:val="nil"/>
            </w:tcBorders>
            <w:shd w:val="clear" w:color="auto" w:fill="auto"/>
            <w:noWrap/>
            <w:vAlign w:val="center"/>
            <w:hideMark/>
          </w:tcPr>
          <w:p w14:paraId="6B717D15" w14:textId="77777777" w:rsidR="00184B6B" w:rsidRPr="00184B6B" w:rsidRDefault="00184B6B" w:rsidP="00184B6B">
            <w:pPr>
              <w:spacing w:line="240" w:lineRule="auto"/>
              <w:ind w:firstLine="0"/>
              <w:rPr>
                <w:sz w:val="14"/>
                <w:szCs w:val="20"/>
              </w:rPr>
            </w:pPr>
            <w:r w:rsidRPr="00184B6B">
              <w:rPr>
                <w:sz w:val="14"/>
                <w:szCs w:val="20"/>
              </w:rPr>
              <w:t>(0.057)</w:t>
            </w:r>
          </w:p>
        </w:tc>
        <w:tc>
          <w:tcPr>
            <w:tcW w:w="469" w:type="pct"/>
            <w:tcBorders>
              <w:top w:val="nil"/>
              <w:left w:val="nil"/>
              <w:bottom w:val="nil"/>
              <w:right w:val="nil"/>
            </w:tcBorders>
            <w:shd w:val="clear" w:color="auto" w:fill="auto"/>
            <w:noWrap/>
            <w:vAlign w:val="center"/>
            <w:hideMark/>
          </w:tcPr>
          <w:p w14:paraId="7BD88995" w14:textId="77777777" w:rsidR="00184B6B" w:rsidRPr="00184B6B" w:rsidRDefault="00184B6B" w:rsidP="00184B6B">
            <w:pPr>
              <w:spacing w:line="240" w:lineRule="auto"/>
              <w:ind w:firstLine="0"/>
              <w:rPr>
                <w:sz w:val="14"/>
                <w:szCs w:val="20"/>
              </w:rPr>
            </w:pPr>
            <w:r w:rsidRPr="00184B6B">
              <w:rPr>
                <w:sz w:val="14"/>
                <w:szCs w:val="20"/>
              </w:rPr>
              <w:t>(0.057)</w:t>
            </w:r>
          </w:p>
        </w:tc>
        <w:tc>
          <w:tcPr>
            <w:tcW w:w="469" w:type="pct"/>
            <w:tcBorders>
              <w:top w:val="nil"/>
              <w:left w:val="nil"/>
              <w:bottom w:val="nil"/>
              <w:right w:val="single" w:sz="4" w:space="0" w:color="auto"/>
            </w:tcBorders>
            <w:shd w:val="clear" w:color="auto" w:fill="auto"/>
            <w:noWrap/>
            <w:vAlign w:val="center"/>
            <w:hideMark/>
          </w:tcPr>
          <w:p w14:paraId="3D231C2E" w14:textId="77777777" w:rsidR="00184B6B" w:rsidRPr="00184B6B" w:rsidRDefault="00184B6B" w:rsidP="00184B6B">
            <w:pPr>
              <w:spacing w:line="240" w:lineRule="auto"/>
              <w:ind w:firstLine="0"/>
              <w:rPr>
                <w:sz w:val="14"/>
                <w:szCs w:val="20"/>
              </w:rPr>
            </w:pPr>
            <w:r w:rsidRPr="00184B6B">
              <w:rPr>
                <w:sz w:val="14"/>
                <w:szCs w:val="20"/>
              </w:rPr>
              <w:t>(0.057)</w:t>
            </w:r>
          </w:p>
        </w:tc>
        <w:tc>
          <w:tcPr>
            <w:tcW w:w="469" w:type="pct"/>
            <w:tcBorders>
              <w:top w:val="nil"/>
              <w:left w:val="single" w:sz="4" w:space="0" w:color="auto"/>
              <w:bottom w:val="nil"/>
              <w:right w:val="nil"/>
            </w:tcBorders>
            <w:shd w:val="clear" w:color="auto" w:fill="auto"/>
            <w:noWrap/>
            <w:vAlign w:val="center"/>
            <w:hideMark/>
          </w:tcPr>
          <w:p w14:paraId="06FCDEB7"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2DF8C954"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3C5073DB" w14:textId="77777777" w:rsidR="00184B6B" w:rsidRPr="00184B6B" w:rsidRDefault="00184B6B" w:rsidP="00184B6B">
            <w:pPr>
              <w:spacing w:line="240" w:lineRule="auto"/>
              <w:ind w:firstLine="0"/>
              <w:rPr>
                <w:sz w:val="14"/>
                <w:szCs w:val="20"/>
              </w:rPr>
            </w:pPr>
            <w:r w:rsidRPr="00184B6B">
              <w:rPr>
                <w:sz w:val="14"/>
                <w:szCs w:val="20"/>
              </w:rPr>
              <w:t>(0.046)</w:t>
            </w:r>
          </w:p>
        </w:tc>
        <w:tc>
          <w:tcPr>
            <w:tcW w:w="466" w:type="pct"/>
            <w:tcBorders>
              <w:top w:val="nil"/>
              <w:left w:val="nil"/>
              <w:bottom w:val="nil"/>
              <w:right w:val="single" w:sz="4" w:space="0" w:color="auto"/>
            </w:tcBorders>
            <w:shd w:val="clear" w:color="auto" w:fill="auto"/>
            <w:noWrap/>
            <w:vAlign w:val="center"/>
            <w:hideMark/>
          </w:tcPr>
          <w:p w14:paraId="75797850" w14:textId="77777777" w:rsidR="00184B6B" w:rsidRPr="00184B6B" w:rsidRDefault="00184B6B" w:rsidP="00184B6B">
            <w:pPr>
              <w:spacing w:line="240" w:lineRule="auto"/>
              <w:ind w:firstLine="0"/>
              <w:rPr>
                <w:sz w:val="14"/>
                <w:szCs w:val="20"/>
              </w:rPr>
            </w:pPr>
            <w:r w:rsidRPr="00184B6B">
              <w:rPr>
                <w:sz w:val="14"/>
                <w:szCs w:val="20"/>
              </w:rPr>
              <w:t>(0.046)</w:t>
            </w:r>
          </w:p>
        </w:tc>
      </w:tr>
      <w:tr w:rsidR="00184B6B" w:rsidRPr="00184B6B" w14:paraId="609A225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B795A66" w14:textId="77777777" w:rsidR="00184B6B" w:rsidRPr="00184B6B" w:rsidRDefault="00184B6B" w:rsidP="00184B6B">
            <w:pPr>
              <w:spacing w:line="240" w:lineRule="auto"/>
              <w:ind w:firstLine="0"/>
              <w:jc w:val="left"/>
              <w:rPr>
                <w:sz w:val="14"/>
                <w:szCs w:val="20"/>
              </w:rPr>
            </w:pPr>
            <w:r w:rsidRPr="00184B6B">
              <w:rPr>
                <w:sz w:val="14"/>
                <w:szCs w:val="20"/>
              </w:rPr>
              <w:t>4th income quintile</w:t>
            </w:r>
          </w:p>
        </w:tc>
        <w:tc>
          <w:tcPr>
            <w:tcW w:w="469" w:type="pct"/>
            <w:tcBorders>
              <w:top w:val="nil"/>
              <w:left w:val="single" w:sz="4" w:space="0" w:color="auto"/>
              <w:bottom w:val="nil"/>
              <w:right w:val="nil"/>
            </w:tcBorders>
            <w:shd w:val="clear" w:color="auto" w:fill="auto"/>
            <w:noWrap/>
            <w:vAlign w:val="center"/>
            <w:hideMark/>
          </w:tcPr>
          <w:p w14:paraId="198DC77C" w14:textId="77777777" w:rsidR="00184B6B" w:rsidRPr="00184B6B" w:rsidRDefault="00184B6B" w:rsidP="00184B6B">
            <w:pPr>
              <w:spacing w:line="240" w:lineRule="auto"/>
              <w:ind w:firstLine="0"/>
              <w:rPr>
                <w:sz w:val="14"/>
                <w:szCs w:val="20"/>
              </w:rPr>
            </w:pPr>
            <w:r w:rsidRPr="00184B6B">
              <w:rPr>
                <w:sz w:val="14"/>
                <w:szCs w:val="20"/>
              </w:rPr>
              <w:t>-0.012</w:t>
            </w:r>
          </w:p>
        </w:tc>
        <w:tc>
          <w:tcPr>
            <w:tcW w:w="469" w:type="pct"/>
            <w:tcBorders>
              <w:top w:val="nil"/>
              <w:left w:val="nil"/>
              <w:bottom w:val="nil"/>
              <w:right w:val="nil"/>
            </w:tcBorders>
            <w:shd w:val="clear" w:color="auto" w:fill="auto"/>
            <w:noWrap/>
            <w:vAlign w:val="center"/>
            <w:hideMark/>
          </w:tcPr>
          <w:p w14:paraId="6F2A9E03" w14:textId="77777777" w:rsidR="00184B6B" w:rsidRPr="00184B6B" w:rsidRDefault="00184B6B" w:rsidP="00184B6B">
            <w:pPr>
              <w:spacing w:line="240" w:lineRule="auto"/>
              <w:ind w:firstLine="0"/>
              <w:rPr>
                <w:sz w:val="14"/>
                <w:szCs w:val="20"/>
              </w:rPr>
            </w:pPr>
            <w:r w:rsidRPr="00184B6B">
              <w:rPr>
                <w:sz w:val="14"/>
                <w:szCs w:val="20"/>
              </w:rPr>
              <w:t>-0.022</w:t>
            </w:r>
          </w:p>
        </w:tc>
        <w:tc>
          <w:tcPr>
            <w:tcW w:w="469" w:type="pct"/>
            <w:tcBorders>
              <w:top w:val="nil"/>
              <w:left w:val="nil"/>
              <w:bottom w:val="nil"/>
              <w:right w:val="nil"/>
            </w:tcBorders>
            <w:shd w:val="clear" w:color="auto" w:fill="auto"/>
            <w:noWrap/>
            <w:vAlign w:val="center"/>
            <w:hideMark/>
          </w:tcPr>
          <w:p w14:paraId="50FCBB3F"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single" w:sz="4" w:space="0" w:color="auto"/>
            </w:tcBorders>
            <w:shd w:val="clear" w:color="auto" w:fill="auto"/>
            <w:noWrap/>
            <w:vAlign w:val="center"/>
            <w:hideMark/>
          </w:tcPr>
          <w:p w14:paraId="0AA837EE"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single" w:sz="4" w:space="0" w:color="auto"/>
              <w:bottom w:val="nil"/>
              <w:right w:val="nil"/>
            </w:tcBorders>
            <w:shd w:val="clear" w:color="auto" w:fill="auto"/>
            <w:noWrap/>
            <w:vAlign w:val="center"/>
            <w:hideMark/>
          </w:tcPr>
          <w:p w14:paraId="72766958"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nil"/>
            </w:tcBorders>
            <w:shd w:val="clear" w:color="auto" w:fill="auto"/>
            <w:noWrap/>
            <w:vAlign w:val="center"/>
            <w:hideMark/>
          </w:tcPr>
          <w:p w14:paraId="43B44489" w14:textId="77777777" w:rsidR="00184B6B" w:rsidRPr="00184B6B" w:rsidRDefault="00184B6B" w:rsidP="00184B6B">
            <w:pPr>
              <w:spacing w:line="240" w:lineRule="auto"/>
              <w:ind w:firstLine="0"/>
              <w:rPr>
                <w:sz w:val="14"/>
                <w:szCs w:val="20"/>
              </w:rPr>
            </w:pPr>
            <w:r w:rsidRPr="00184B6B">
              <w:rPr>
                <w:sz w:val="14"/>
                <w:szCs w:val="20"/>
              </w:rPr>
              <w:t>-0.020</w:t>
            </w:r>
          </w:p>
        </w:tc>
        <w:tc>
          <w:tcPr>
            <w:tcW w:w="469" w:type="pct"/>
            <w:tcBorders>
              <w:top w:val="nil"/>
              <w:left w:val="nil"/>
              <w:bottom w:val="nil"/>
              <w:right w:val="nil"/>
            </w:tcBorders>
            <w:shd w:val="clear" w:color="auto" w:fill="auto"/>
            <w:noWrap/>
            <w:vAlign w:val="center"/>
            <w:hideMark/>
          </w:tcPr>
          <w:p w14:paraId="75B62770" w14:textId="77777777" w:rsidR="00184B6B" w:rsidRPr="00184B6B" w:rsidRDefault="00184B6B" w:rsidP="00184B6B">
            <w:pPr>
              <w:spacing w:line="240" w:lineRule="auto"/>
              <w:ind w:firstLine="0"/>
              <w:rPr>
                <w:sz w:val="14"/>
                <w:szCs w:val="20"/>
              </w:rPr>
            </w:pPr>
            <w:r w:rsidRPr="00184B6B">
              <w:rPr>
                <w:sz w:val="14"/>
                <w:szCs w:val="20"/>
              </w:rPr>
              <w:t>-0.018</w:t>
            </w:r>
          </w:p>
        </w:tc>
        <w:tc>
          <w:tcPr>
            <w:tcW w:w="466" w:type="pct"/>
            <w:tcBorders>
              <w:top w:val="nil"/>
              <w:left w:val="nil"/>
              <w:bottom w:val="nil"/>
              <w:right w:val="single" w:sz="4" w:space="0" w:color="auto"/>
            </w:tcBorders>
            <w:shd w:val="clear" w:color="auto" w:fill="auto"/>
            <w:noWrap/>
            <w:vAlign w:val="center"/>
            <w:hideMark/>
          </w:tcPr>
          <w:p w14:paraId="6813F490" w14:textId="77777777" w:rsidR="00184B6B" w:rsidRPr="00184B6B" w:rsidRDefault="00184B6B" w:rsidP="00184B6B">
            <w:pPr>
              <w:spacing w:line="240" w:lineRule="auto"/>
              <w:ind w:firstLine="0"/>
              <w:rPr>
                <w:sz w:val="14"/>
                <w:szCs w:val="20"/>
              </w:rPr>
            </w:pPr>
            <w:r w:rsidRPr="00184B6B">
              <w:rPr>
                <w:sz w:val="14"/>
                <w:szCs w:val="20"/>
              </w:rPr>
              <w:t>-0.019</w:t>
            </w:r>
          </w:p>
        </w:tc>
      </w:tr>
      <w:tr w:rsidR="00184B6B" w:rsidRPr="00184B6B" w14:paraId="768DBB07"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42417E9"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47B5F0E1"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nil"/>
            </w:tcBorders>
            <w:shd w:val="clear" w:color="auto" w:fill="auto"/>
            <w:noWrap/>
            <w:vAlign w:val="center"/>
            <w:hideMark/>
          </w:tcPr>
          <w:p w14:paraId="29E6BA29"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nil"/>
            </w:tcBorders>
            <w:shd w:val="clear" w:color="auto" w:fill="auto"/>
            <w:noWrap/>
            <w:vAlign w:val="center"/>
            <w:hideMark/>
          </w:tcPr>
          <w:p w14:paraId="1380893E"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single" w:sz="4" w:space="0" w:color="auto"/>
            </w:tcBorders>
            <w:shd w:val="clear" w:color="auto" w:fill="auto"/>
            <w:noWrap/>
            <w:vAlign w:val="center"/>
            <w:hideMark/>
          </w:tcPr>
          <w:p w14:paraId="451DDAE7"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single" w:sz="4" w:space="0" w:color="auto"/>
              <w:bottom w:val="nil"/>
              <w:right w:val="nil"/>
            </w:tcBorders>
            <w:shd w:val="clear" w:color="auto" w:fill="auto"/>
            <w:noWrap/>
            <w:vAlign w:val="center"/>
            <w:hideMark/>
          </w:tcPr>
          <w:p w14:paraId="25639F6B"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79E79AFE"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4531FB48" w14:textId="77777777" w:rsidR="00184B6B" w:rsidRPr="00184B6B" w:rsidRDefault="00184B6B" w:rsidP="00184B6B">
            <w:pPr>
              <w:spacing w:line="240" w:lineRule="auto"/>
              <w:ind w:firstLine="0"/>
              <w:rPr>
                <w:sz w:val="14"/>
                <w:szCs w:val="20"/>
              </w:rPr>
            </w:pPr>
            <w:r w:rsidRPr="00184B6B">
              <w:rPr>
                <w:sz w:val="14"/>
                <w:szCs w:val="20"/>
              </w:rPr>
              <w:t>(0.046)</w:t>
            </w:r>
          </w:p>
        </w:tc>
        <w:tc>
          <w:tcPr>
            <w:tcW w:w="466" w:type="pct"/>
            <w:tcBorders>
              <w:top w:val="nil"/>
              <w:left w:val="nil"/>
              <w:bottom w:val="nil"/>
              <w:right w:val="single" w:sz="4" w:space="0" w:color="auto"/>
            </w:tcBorders>
            <w:shd w:val="clear" w:color="auto" w:fill="auto"/>
            <w:noWrap/>
            <w:vAlign w:val="center"/>
            <w:hideMark/>
          </w:tcPr>
          <w:p w14:paraId="2981E07C" w14:textId="77777777" w:rsidR="00184B6B" w:rsidRPr="00184B6B" w:rsidRDefault="00184B6B" w:rsidP="00184B6B">
            <w:pPr>
              <w:spacing w:line="240" w:lineRule="auto"/>
              <w:ind w:firstLine="0"/>
              <w:rPr>
                <w:sz w:val="14"/>
                <w:szCs w:val="20"/>
              </w:rPr>
            </w:pPr>
            <w:r w:rsidRPr="00184B6B">
              <w:rPr>
                <w:sz w:val="14"/>
                <w:szCs w:val="20"/>
              </w:rPr>
              <w:t>(0.046)</w:t>
            </w:r>
          </w:p>
        </w:tc>
      </w:tr>
      <w:tr w:rsidR="00184B6B" w:rsidRPr="00184B6B" w14:paraId="382C621D"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64CEE69" w14:textId="77777777" w:rsidR="00184B6B" w:rsidRPr="00184B6B" w:rsidRDefault="00184B6B" w:rsidP="00184B6B">
            <w:pPr>
              <w:spacing w:line="240" w:lineRule="auto"/>
              <w:ind w:firstLine="0"/>
              <w:jc w:val="left"/>
              <w:rPr>
                <w:sz w:val="14"/>
                <w:szCs w:val="20"/>
              </w:rPr>
            </w:pPr>
            <w:r w:rsidRPr="00184B6B">
              <w:rPr>
                <w:sz w:val="14"/>
                <w:szCs w:val="20"/>
              </w:rPr>
              <w:t>5th income quintile</w:t>
            </w:r>
          </w:p>
        </w:tc>
        <w:tc>
          <w:tcPr>
            <w:tcW w:w="469" w:type="pct"/>
            <w:tcBorders>
              <w:top w:val="nil"/>
              <w:left w:val="single" w:sz="4" w:space="0" w:color="auto"/>
              <w:bottom w:val="nil"/>
              <w:right w:val="nil"/>
            </w:tcBorders>
            <w:shd w:val="clear" w:color="auto" w:fill="auto"/>
            <w:noWrap/>
            <w:vAlign w:val="center"/>
            <w:hideMark/>
          </w:tcPr>
          <w:p w14:paraId="4062F727" w14:textId="77777777" w:rsidR="00184B6B" w:rsidRPr="00184B6B" w:rsidRDefault="00184B6B" w:rsidP="00184B6B">
            <w:pPr>
              <w:spacing w:line="240" w:lineRule="auto"/>
              <w:ind w:firstLine="0"/>
              <w:rPr>
                <w:sz w:val="14"/>
                <w:szCs w:val="20"/>
              </w:rPr>
            </w:pPr>
            <w:r w:rsidRPr="00184B6B">
              <w:rPr>
                <w:sz w:val="14"/>
                <w:szCs w:val="20"/>
              </w:rPr>
              <w:t>-0.080</w:t>
            </w:r>
          </w:p>
        </w:tc>
        <w:tc>
          <w:tcPr>
            <w:tcW w:w="469" w:type="pct"/>
            <w:tcBorders>
              <w:top w:val="nil"/>
              <w:left w:val="nil"/>
              <w:bottom w:val="nil"/>
              <w:right w:val="nil"/>
            </w:tcBorders>
            <w:shd w:val="clear" w:color="auto" w:fill="auto"/>
            <w:noWrap/>
            <w:vAlign w:val="center"/>
            <w:hideMark/>
          </w:tcPr>
          <w:p w14:paraId="2FB0782C" w14:textId="77777777" w:rsidR="00184B6B" w:rsidRPr="00184B6B" w:rsidRDefault="00184B6B" w:rsidP="00184B6B">
            <w:pPr>
              <w:spacing w:line="240" w:lineRule="auto"/>
              <w:ind w:firstLine="0"/>
              <w:rPr>
                <w:sz w:val="14"/>
                <w:szCs w:val="20"/>
              </w:rPr>
            </w:pPr>
            <w:r w:rsidRPr="00184B6B">
              <w:rPr>
                <w:sz w:val="14"/>
                <w:szCs w:val="20"/>
              </w:rPr>
              <w:t>-0.090</w:t>
            </w:r>
          </w:p>
        </w:tc>
        <w:tc>
          <w:tcPr>
            <w:tcW w:w="469" w:type="pct"/>
            <w:tcBorders>
              <w:top w:val="nil"/>
              <w:left w:val="nil"/>
              <w:bottom w:val="nil"/>
              <w:right w:val="nil"/>
            </w:tcBorders>
            <w:shd w:val="clear" w:color="auto" w:fill="auto"/>
            <w:noWrap/>
            <w:vAlign w:val="center"/>
            <w:hideMark/>
          </w:tcPr>
          <w:p w14:paraId="1FFF0422" w14:textId="77777777" w:rsidR="00184B6B" w:rsidRPr="00184B6B" w:rsidRDefault="00184B6B" w:rsidP="00184B6B">
            <w:pPr>
              <w:spacing w:line="240" w:lineRule="auto"/>
              <w:ind w:firstLine="0"/>
              <w:rPr>
                <w:sz w:val="14"/>
                <w:szCs w:val="20"/>
              </w:rPr>
            </w:pPr>
            <w:r w:rsidRPr="00184B6B">
              <w:rPr>
                <w:sz w:val="14"/>
                <w:szCs w:val="20"/>
              </w:rPr>
              <w:t>-0.089</w:t>
            </w:r>
          </w:p>
        </w:tc>
        <w:tc>
          <w:tcPr>
            <w:tcW w:w="469" w:type="pct"/>
            <w:tcBorders>
              <w:top w:val="nil"/>
              <w:left w:val="nil"/>
              <w:bottom w:val="nil"/>
              <w:right w:val="single" w:sz="4" w:space="0" w:color="auto"/>
            </w:tcBorders>
            <w:shd w:val="clear" w:color="auto" w:fill="auto"/>
            <w:noWrap/>
            <w:vAlign w:val="center"/>
            <w:hideMark/>
          </w:tcPr>
          <w:p w14:paraId="154E3F28" w14:textId="77777777" w:rsidR="00184B6B" w:rsidRPr="00184B6B" w:rsidRDefault="00184B6B" w:rsidP="00184B6B">
            <w:pPr>
              <w:spacing w:line="240" w:lineRule="auto"/>
              <w:ind w:firstLine="0"/>
              <w:rPr>
                <w:sz w:val="14"/>
                <w:szCs w:val="20"/>
              </w:rPr>
            </w:pPr>
            <w:r w:rsidRPr="00184B6B">
              <w:rPr>
                <w:sz w:val="14"/>
                <w:szCs w:val="20"/>
              </w:rPr>
              <w:t>-0.088</w:t>
            </w:r>
          </w:p>
        </w:tc>
        <w:tc>
          <w:tcPr>
            <w:tcW w:w="469" w:type="pct"/>
            <w:tcBorders>
              <w:top w:val="nil"/>
              <w:left w:val="single" w:sz="4" w:space="0" w:color="auto"/>
              <w:bottom w:val="nil"/>
              <w:right w:val="nil"/>
            </w:tcBorders>
            <w:shd w:val="clear" w:color="auto" w:fill="auto"/>
            <w:noWrap/>
            <w:vAlign w:val="center"/>
            <w:hideMark/>
          </w:tcPr>
          <w:p w14:paraId="75D99AD9" w14:textId="77777777" w:rsidR="00184B6B" w:rsidRPr="00184B6B" w:rsidRDefault="00184B6B" w:rsidP="00184B6B">
            <w:pPr>
              <w:spacing w:line="240" w:lineRule="auto"/>
              <w:ind w:firstLine="0"/>
              <w:rPr>
                <w:sz w:val="14"/>
                <w:szCs w:val="20"/>
              </w:rPr>
            </w:pPr>
            <w:r w:rsidRPr="00184B6B">
              <w:rPr>
                <w:sz w:val="14"/>
                <w:szCs w:val="20"/>
              </w:rPr>
              <w:t>0.004</w:t>
            </w:r>
          </w:p>
        </w:tc>
        <w:tc>
          <w:tcPr>
            <w:tcW w:w="469" w:type="pct"/>
            <w:tcBorders>
              <w:top w:val="nil"/>
              <w:left w:val="nil"/>
              <w:bottom w:val="nil"/>
              <w:right w:val="nil"/>
            </w:tcBorders>
            <w:shd w:val="clear" w:color="auto" w:fill="auto"/>
            <w:noWrap/>
            <w:vAlign w:val="center"/>
            <w:hideMark/>
          </w:tcPr>
          <w:p w14:paraId="38167550" w14:textId="77777777" w:rsidR="00184B6B" w:rsidRPr="00184B6B" w:rsidRDefault="00184B6B" w:rsidP="00184B6B">
            <w:pPr>
              <w:spacing w:line="240" w:lineRule="auto"/>
              <w:ind w:firstLine="0"/>
              <w:rPr>
                <w:sz w:val="14"/>
                <w:szCs w:val="20"/>
              </w:rPr>
            </w:pPr>
            <w:r w:rsidRPr="00184B6B">
              <w:rPr>
                <w:sz w:val="14"/>
                <w:szCs w:val="20"/>
              </w:rPr>
              <w:t>-0.003</w:t>
            </w:r>
          </w:p>
        </w:tc>
        <w:tc>
          <w:tcPr>
            <w:tcW w:w="469" w:type="pct"/>
            <w:tcBorders>
              <w:top w:val="nil"/>
              <w:left w:val="nil"/>
              <w:bottom w:val="nil"/>
              <w:right w:val="nil"/>
            </w:tcBorders>
            <w:shd w:val="clear" w:color="auto" w:fill="auto"/>
            <w:noWrap/>
            <w:vAlign w:val="center"/>
            <w:hideMark/>
          </w:tcPr>
          <w:p w14:paraId="509F48EA" w14:textId="77777777" w:rsidR="00184B6B" w:rsidRPr="00184B6B" w:rsidRDefault="00184B6B" w:rsidP="00184B6B">
            <w:pPr>
              <w:spacing w:line="240" w:lineRule="auto"/>
              <w:ind w:firstLine="0"/>
              <w:rPr>
                <w:sz w:val="14"/>
                <w:szCs w:val="20"/>
              </w:rPr>
            </w:pPr>
            <w:r w:rsidRPr="00184B6B">
              <w:rPr>
                <w:sz w:val="14"/>
                <w:szCs w:val="20"/>
              </w:rPr>
              <w:t>-0.000</w:t>
            </w:r>
          </w:p>
        </w:tc>
        <w:tc>
          <w:tcPr>
            <w:tcW w:w="466" w:type="pct"/>
            <w:tcBorders>
              <w:top w:val="nil"/>
              <w:left w:val="nil"/>
              <w:bottom w:val="nil"/>
              <w:right w:val="single" w:sz="4" w:space="0" w:color="auto"/>
            </w:tcBorders>
            <w:shd w:val="clear" w:color="auto" w:fill="auto"/>
            <w:noWrap/>
            <w:vAlign w:val="center"/>
            <w:hideMark/>
          </w:tcPr>
          <w:p w14:paraId="09BD2475" w14:textId="77777777" w:rsidR="00184B6B" w:rsidRPr="00184B6B" w:rsidRDefault="00184B6B" w:rsidP="00184B6B">
            <w:pPr>
              <w:spacing w:line="240" w:lineRule="auto"/>
              <w:ind w:firstLine="0"/>
              <w:rPr>
                <w:sz w:val="14"/>
                <w:szCs w:val="20"/>
              </w:rPr>
            </w:pPr>
            <w:r w:rsidRPr="00184B6B">
              <w:rPr>
                <w:sz w:val="14"/>
                <w:szCs w:val="20"/>
              </w:rPr>
              <w:t>-0.002</w:t>
            </w:r>
          </w:p>
        </w:tc>
      </w:tr>
      <w:tr w:rsidR="00184B6B" w:rsidRPr="00184B6B" w14:paraId="5709B7A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9BCC290"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980C17C" w14:textId="77777777" w:rsidR="00184B6B" w:rsidRPr="00184B6B" w:rsidRDefault="00184B6B" w:rsidP="00184B6B">
            <w:pPr>
              <w:spacing w:line="240" w:lineRule="auto"/>
              <w:ind w:firstLine="0"/>
              <w:rPr>
                <w:sz w:val="14"/>
                <w:szCs w:val="20"/>
              </w:rPr>
            </w:pPr>
            <w:r w:rsidRPr="00184B6B">
              <w:rPr>
                <w:sz w:val="14"/>
                <w:szCs w:val="20"/>
              </w:rPr>
              <w:t>(0.062)</w:t>
            </w:r>
          </w:p>
        </w:tc>
        <w:tc>
          <w:tcPr>
            <w:tcW w:w="469" w:type="pct"/>
            <w:tcBorders>
              <w:top w:val="nil"/>
              <w:left w:val="nil"/>
              <w:bottom w:val="nil"/>
              <w:right w:val="nil"/>
            </w:tcBorders>
            <w:shd w:val="clear" w:color="auto" w:fill="auto"/>
            <w:noWrap/>
            <w:vAlign w:val="center"/>
            <w:hideMark/>
          </w:tcPr>
          <w:p w14:paraId="5B8BB492" w14:textId="77777777" w:rsidR="00184B6B" w:rsidRPr="00184B6B" w:rsidRDefault="00184B6B" w:rsidP="00184B6B">
            <w:pPr>
              <w:spacing w:line="240" w:lineRule="auto"/>
              <w:ind w:firstLine="0"/>
              <w:rPr>
                <w:sz w:val="14"/>
                <w:szCs w:val="20"/>
              </w:rPr>
            </w:pPr>
            <w:r w:rsidRPr="00184B6B">
              <w:rPr>
                <w:sz w:val="14"/>
                <w:szCs w:val="20"/>
              </w:rPr>
              <w:t>(0.062)</w:t>
            </w:r>
          </w:p>
        </w:tc>
        <w:tc>
          <w:tcPr>
            <w:tcW w:w="469" w:type="pct"/>
            <w:tcBorders>
              <w:top w:val="nil"/>
              <w:left w:val="nil"/>
              <w:bottom w:val="nil"/>
              <w:right w:val="nil"/>
            </w:tcBorders>
            <w:shd w:val="clear" w:color="auto" w:fill="auto"/>
            <w:noWrap/>
            <w:vAlign w:val="center"/>
            <w:hideMark/>
          </w:tcPr>
          <w:p w14:paraId="199B2F11" w14:textId="77777777" w:rsidR="00184B6B" w:rsidRPr="00184B6B" w:rsidRDefault="00184B6B" w:rsidP="00184B6B">
            <w:pPr>
              <w:spacing w:line="240" w:lineRule="auto"/>
              <w:ind w:firstLine="0"/>
              <w:rPr>
                <w:sz w:val="14"/>
                <w:szCs w:val="20"/>
              </w:rPr>
            </w:pPr>
            <w:r w:rsidRPr="00184B6B">
              <w:rPr>
                <w:sz w:val="14"/>
                <w:szCs w:val="20"/>
              </w:rPr>
              <w:t>(0.062)</w:t>
            </w:r>
          </w:p>
        </w:tc>
        <w:tc>
          <w:tcPr>
            <w:tcW w:w="469" w:type="pct"/>
            <w:tcBorders>
              <w:top w:val="nil"/>
              <w:left w:val="nil"/>
              <w:bottom w:val="nil"/>
              <w:right w:val="single" w:sz="4" w:space="0" w:color="auto"/>
            </w:tcBorders>
            <w:shd w:val="clear" w:color="auto" w:fill="auto"/>
            <w:noWrap/>
            <w:vAlign w:val="center"/>
            <w:hideMark/>
          </w:tcPr>
          <w:p w14:paraId="71695379" w14:textId="77777777" w:rsidR="00184B6B" w:rsidRPr="00184B6B" w:rsidRDefault="00184B6B" w:rsidP="00184B6B">
            <w:pPr>
              <w:spacing w:line="240" w:lineRule="auto"/>
              <w:ind w:firstLine="0"/>
              <w:rPr>
                <w:sz w:val="14"/>
                <w:szCs w:val="20"/>
              </w:rPr>
            </w:pPr>
            <w:r w:rsidRPr="00184B6B">
              <w:rPr>
                <w:sz w:val="14"/>
                <w:szCs w:val="20"/>
              </w:rPr>
              <w:t>(0.062)</w:t>
            </w:r>
          </w:p>
        </w:tc>
        <w:tc>
          <w:tcPr>
            <w:tcW w:w="469" w:type="pct"/>
            <w:tcBorders>
              <w:top w:val="nil"/>
              <w:left w:val="single" w:sz="4" w:space="0" w:color="auto"/>
              <w:bottom w:val="nil"/>
              <w:right w:val="nil"/>
            </w:tcBorders>
            <w:shd w:val="clear" w:color="auto" w:fill="auto"/>
            <w:noWrap/>
            <w:vAlign w:val="center"/>
            <w:hideMark/>
          </w:tcPr>
          <w:p w14:paraId="70B440EA" w14:textId="77777777" w:rsidR="00184B6B" w:rsidRPr="00184B6B" w:rsidRDefault="00184B6B" w:rsidP="00184B6B">
            <w:pPr>
              <w:spacing w:line="240" w:lineRule="auto"/>
              <w:ind w:firstLine="0"/>
              <w:rPr>
                <w:sz w:val="14"/>
                <w:szCs w:val="20"/>
              </w:rPr>
            </w:pPr>
            <w:r w:rsidRPr="00184B6B">
              <w:rPr>
                <w:sz w:val="14"/>
                <w:szCs w:val="20"/>
              </w:rPr>
              <w:t>(0.049)</w:t>
            </w:r>
          </w:p>
        </w:tc>
        <w:tc>
          <w:tcPr>
            <w:tcW w:w="469" w:type="pct"/>
            <w:tcBorders>
              <w:top w:val="nil"/>
              <w:left w:val="nil"/>
              <w:bottom w:val="nil"/>
              <w:right w:val="nil"/>
            </w:tcBorders>
            <w:shd w:val="clear" w:color="auto" w:fill="auto"/>
            <w:noWrap/>
            <w:vAlign w:val="center"/>
            <w:hideMark/>
          </w:tcPr>
          <w:p w14:paraId="4E2B49DE" w14:textId="77777777" w:rsidR="00184B6B" w:rsidRPr="00184B6B" w:rsidRDefault="00184B6B" w:rsidP="00184B6B">
            <w:pPr>
              <w:spacing w:line="240" w:lineRule="auto"/>
              <w:ind w:firstLine="0"/>
              <w:rPr>
                <w:sz w:val="14"/>
                <w:szCs w:val="20"/>
              </w:rPr>
            </w:pPr>
            <w:r w:rsidRPr="00184B6B">
              <w:rPr>
                <w:sz w:val="14"/>
                <w:szCs w:val="20"/>
              </w:rPr>
              <w:t>(0.049)</w:t>
            </w:r>
          </w:p>
        </w:tc>
        <w:tc>
          <w:tcPr>
            <w:tcW w:w="469" w:type="pct"/>
            <w:tcBorders>
              <w:top w:val="nil"/>
              <w:left w:val="nil"/>
              <w:bottom w:val="nil"/>
              <w:right w:val="nil"/>
            </w:tcBorders>
            <w:shd w:val="clear" w:color="auto" w:fill="auto"/>
            <w:noWrap/>
            <w:vAlign w:val="center"/>
            <w:hideMark/>
          </w:tcPr>
          <w:p w14:paraId="6DBDA309" w14:textId="77777777" w:rsidR="00184B6B" w:rsidRPr="00184B6B" w:rsidRDefault="00184B6B" w:rsidP="00184B6B">
            <w:pPr>
              <w:spacing w:line="240" w:lineRule="auto"/>
              <w:ind w:firstLine="0"/>
              <w:rPr>
                <w:sz w:val="14"/>
                <w:szCs w:val="20"/>
              </w:rPr>
            </w:pPr>
            <w:r w:rsidRPr="00184B6B">
              <w:rPr>
                <w:sz w:val="14"/>
                <w:szCs w:val="20"/>
              </w:rPr>
              <w:t>(0.049)</w:t>
            </w:r>
          </w:p>
        </w:tc>
        <w:tc>
          <w:tcPr>
            <w:tcW w:w="466" w:type="pct"/>
            <w:tcBorders>
              <w:top w:val="nil"/>
              <w:left w:val="nil"/>
              <w:bottom w:val="nil"/>
              <w:right w:val="single" w:sz="4" w:space="0" w:color="auto"/>
            </w:tcBorders>
            <w:shd w:val="clear" w:color="auto" w:fill="auto"/>
            <w:noWrap/>
            <w:vAlign w:val="center"/>
            <w:hideMark/>
          </w:tcPr>
          <w:p w14:paraId="1F2484DC" w14:textId="77777777" w:rsidR="00184B6B" w:rsidRPr="00184B6B" w:rsidRDefault="00184B6B" w:rsidP="00184B6B">
            <w:pPr>
              <w:spacing w:line="240" w:lineRule="auto"/>
              <w:ind w:firstLine="0"/>
              <w:rPr>
                <w:sz w:val="14"/>
                <w:szCs w:val="20"/>
              </w:rPr>
            </w:pPr>
            <w:r w:rsidRPr="00184B6B">
              <w:rPr>
                <w:sz w:val="14"/>
                <w:szCs w:val="20"/>
              </w:rPr>
              <w:t>(0.049)</w:t>
            </w:r>
          </w:p>
        </w:tc>
      </w:tr>
      <w:tr w:rsidR="00184B6B" w:rsidRPr="00184B6B" w14:paraId="5D730388"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AD833D4" w14:textId="77777777" w:rsidR="00184B6B" w:rsidRPr="00184B6B" w:rsidRDefault="00184B6B" w:rsidP="00184B6B">
            <w:pPr>
              <w:spacing w:line="240" w:lineRule="auto"/>
              <w:ind w:firstLine="0"/>
              <w:jc w:val="left"/>
              <w:rPr>
                <w:sz w:val="14"/>
                <w:szCs w:val="20"/>
              </w:rPr>
            </w:pPr>
            <w:r w:rsidRPr="00184B6B">
              <w:rPr>
                <w:sz w:val="14"/>
                <w:szCs w:val="20"/>
              </w:rPr>
              <w:t>Income: no answer</w:t>
            </w:r>
          </w:p>
        </w:tc>
        <w:tc>
          <w:tcPr>
            <w:tcW w:w="469" w:type="pct"/>
            <w:tcBorders>
              <w:top w:val="nil"/>
              <w:left w:val="single" w:sz="4" w:space="0" w:color="auto"/>
              <w:bottom w:val="nil"/>
              <w:right w:val="nil"/>
            </w:tcBorders>
            <w:shd w:val="clear" w:color="auto" w:fill="auto"/>
            <w:noWrap/>
            <w:vAlign w:val="center"/>
            <w:hideMark/>
          </w:tcPr>
          <w:p w14:paraId="43490689" w14:textId="77777777" w:rsidR="00184B6B" w:rsidRPr="00184B6B" w:rsidRDefault="00184B6B" w:rsidP="00184B6B">
            <w:pPr>
              <w:spacing w:line="240" w:lineRule="auto"/>
              <w:ind w:firstLine="0"/>
              <w:rPr>
                <w:sz w:val="14"/>
                <w:szCs w:val="20"/>
              </w:rPr>
            </w:pPr>
            <w:r w:rsidRPr="00184B6B">
              <w:rPr>
                <w:sz w:val="14"/>
                <w:szCs w:val="20"/>
              </w:rPr>
              <w:t>-0.109*</w:t>
            </w:r>
          </w:p>
        </w:tc>
        <w:tc>
          <w:tcPr>
            <w:tcW w:w="469" w:type="pct"/>
            <w:tcBorders>
              <w:top w:val="nil"/>
              <w:left w:val="nil"/>
              <w:bottom w:val="nil"/>
              <w:right w:val="nil"/>
            </w:tcBorders>
            <w:shd w:val="clear" w:color="auto" w:fill="auto"/>
            <w:noWrap/>
            <w:vAlign w:val="center"/>
            <w:hideMark/>
          </w:tcPr>
          <w:p w14:paraId="638C8A49" w14:textId="77777777" w:rsidR="00184B6B" w:rsidRPr="00184B6B" w:rsidRDefault="00184B6B" w:rsidP="00184B6B">
            <w:pPr>
              <w:spacing w:line="240" w:lineRule="auto"/>
              <w:ind w:firstLine="0"/>
              <w:rPr>
                <w:sz w:val="14"/>
                <w:szCs w:val="20"/>
              </w:rPr>
            </w:pPr>
            <w:r w:rsidRPr="00184B6B">
              <w:rPr>
                <w:sz w:val="14"/>
                <w:szCs w:val="20"/>
              </w:rPr>
              <w:t>-0.113**</w:t>
            </w:r>
          </w:p>
        </w:tc>
        <w:tc>
          <w:tcPr>
            <w:tcW w:w="469" w:type="pct"/>
            <w:tcBorders>
              <w:top w:val="nil"/>
              <w:left w:val="nil"/>
              <w:bottom w:val="nil"/>
              <w:right w:val="nil"/>
            </w:tcBorders>
            <w:shd w:val="clear" w:color="auto" w:fill="auto"/>
            <w:noWrap/>
            <w:vAlign w:val="center"/>
            <w:hideMark/>
          </w:tcPr>
          <w:p w14:paraId="21A20E87" w14:textId="77777777" w:rsidR="00184B6B" w:rsidRPr="00184B6B" w:rsidRDefault="00184B6B" w:rsidP="00184B6B">
            <w:pPr>
              <w:spacing w:line="240" w:lineRule="auto"/>
              <w:ind w:firstLine="0"/>
              <w:rPr>
                <w:sz w:val="14"/>
                <w:szCs w:val="20"/>
              </w:rPr>
            </w:pPr>
            <w:r w:rsidRPr="00184B6B">
              <w:rPr>
                <w:sz w:val="14"/>
                <w:szCs w:val="20"/>
              </w:rPr>
              <w:t>-0.117**</w:t>
            </w:r>
          </w:p>
        </w:tc>
        <w:tc>
          <w:tcPr>
            <w:tcW w:w="469" w:type="pct"/>
            <w:tcBorders>
              <w:top w:val="nil"/>
              <w:left w:val="nil"/>
              <w:bottom w:val="nil"/>
              <w:right w:val="single" w:sz="4" w:space="0" w:color="auto"/>
            </w:tcBorders>
            <w:shd w:val="clear" w:color="auto" w:fill="auto"/>
            <w:noWrap/>
            <w:vAlign w:val="center"/>
            <w:hideMark/>
          </w:tcPr>
          <w:p w14:paraId="61141C1F" w14:textId="77777777" w:rsidR="00184B6B" w:rsidRPr="00184B6B" w:rsidRDefault="00184B6B" w:rsidP="00184B6B">
            <w:pPr>
              <w:spacing w:line="240" w:lineRule="auto"/>
              <w:ind w:firstLine="0"/>
              <w:rPr>
                <w:sz w:val="14"/>
                <w:szCs w:val="20"/>
              </w:rPr>
            </w:pPr>
            <w:r w:rsidRPr="00184B6B">
              <w:rPr>
                <w:sz w:val="14"/>
                <w:szCs w:val="20"/>
              </w:rPr>
              <w:t>-0.110*</w:t>
            </w:r>
          </w:p>
        </w:tc>
        <w:tc>
          <w:tcPr>
            <w:tcW w:w="469" w:type="pct"/>
            <w:tcBorders>
              <w:top w:val="nil"/>
              <w:left w:val="single" w:sz="4" w:space="0" w:color="auto"/>
              <w:bottom w:val="nil"/>
              <w:right w:val="nil"/>
            </w:tcBorders>
            <w:shd w:val="clear" w:color="auto" w:fill="auto"/>
            <w:noWrap/>
            <w:vAlign w:val="center"/>
            <w:hideMark/>
          </w:tcPr>
          <w:p w14:paraId="5B87AB40" w14:textId="77777777" w:rsidR="00184B6B" w:rsidRPr="00184B6B" w:rsidRDefault="00184B6B" w:rsidP="00184B6B">
            <w:pPr>
              <w:spacing w:line="240" w:lineRule="auto"/>
              <w:ind w:firstLine="0"/>
              <w:rPr>
                <w:sz w:val="14"/>
                <w:szCs w:val="20"/>
              </w:rPr>
            </w:pPr>
            <w:r w:rsidRPr="00184B6B">
              <w:rPr>
                <w:sz w:val="14"/>
                <w:szCs w:val="20"/>
              </w:rPr>
              <w:t>-0.130***</w:t>
            </w:r>
          </w:p>
        </w:tc>
        <w:tc>
          <w:tcPr>
            <w:tcW w:w="469" w:type="pct"/>
            <w:tcBorders>
              <w:top w:val="nil"/>
              <w:left w:val="nil"/>
              <w:bottom w:val="nil"/>
              <w:right w:val="nil"/>
            </w:tcBorders>
            <w:shd w:val="clear" w:color="auto" w:fill="auto"/>
            <w:noWrap/>
            <w:vAlign w:val="center"/>
            <w:hideMark/>
          </w:tcPr>
          <w:p w14:paraId="7EC195DB" w14:textId="77777777" w:rsidR="00184B6B" w:rsidRPr="00184B6B" w:rsidRDefault="00184B6B" w:rsidP="00184B6B">
            <w:pPr>
              <w:spacing w:line="240" w:lineRule="auto"/>
              <w:ind w:firstLine="0"/>
              <w:rPr>
                <w:sz w:val="14"/>
                <w:szCs w:val="20"/>
              </w:rPr>
            </w:pPr>
            <w:r w:rsidRPr="00184B6B">
              <w:rPr>
                <w:sz w:val="14"/>
                <w:szCs w:val="20"/>
              </w:rPr>
              <w:t>-0.131***</w:t>
            </w:r>
          </w:p>
        </w:tc>
        <w:tc>
          <w:tcPr>
            <w:tcW w:w="469" w:type="pct"/>
            <w:tcBorders>
              <w:top w:val="nil"/>
              <w:left w:val="nil"/>
              <w:bottom w:val="nil"/>
              <w:right w:val="nil"/>
            </w:tcBorders>
            <w:shd w:val="clear" w:color="auto" w:fill="auto"/>
            <w:noWrap/>
            <w:vAlign w:val="center"/>
            <w:hideMark/>
          </w:tcPr>
          <w:p w14:paraId="639EEA11" w14:textId="77777777" w:rsidR="00184B6B" w:rsidRPr="00184B6B" w:rsidRDefault="00184B6B" w:rsidP="00184B6B">
            <w:pPr>
              <w:spacing w:line="240" w:lineRule="auto"/>
              <w:ind w:firstLine="0"/>
              <w:rPr>
                <w:sz w:val="14"/>
                <w:szCs w:val="20"/>
              </w:rPr>
            </w:pPr>
            <w:r w:rsidRPr="00184B6B">
              <w:rPr>
                <w:sz w:val="14"/>
                <w:szCs w:val="20"/>
              </w:rPr>
              <w:t>-0.133***</w:t>
            </w:r>
          </w:p>
        </w:tc>
        <w:tc>
          <w:tcPr>
            <w:tcW w:w="466" w:type="pct"/>
            <w:tcBorders>
              <w:top w:val="nil"/>
              <w:left w:val="nil"/>
              <w:bottom w:val="nil"/>
              <w:right w:val="single" w:sz="4" w:space="0" w:color="auto"/>
            </w:tcBorders>
            <w:shd w:val="clear" w:color="auto" w:fill="auto"/>
            <w:noWrap/>
            <w:vAlign w:val="center"/>
            <w:hideMark/>
          </w:tcPr>
          <w:p w14:paraId="62868396" w14:textId="77777777" w:rsidR="00184B6B" w:rsidRPr="00184B6B" w:rsidRDefault="00184B6B" w:rsidP="00184B6B">
            <w:pPr>
              <w:spacing w:line="240" w:lineRule="auto"/>
              <w:ind w:firstLine="0"/>
              <w:rPr>
                <w:sz w:val="14"/>
                <w:szCs w:val="20"/>
              </w:rPr>
            </w:pPr>
            <w:r w:rsidRPr="00184B6B">
              <w:rPr>
                <w:sz w:val="14"/>
                <w:szCs w:val="20"/>
              </w:rPr>
              <w:t>-0.131***</w:t>
            </w:r>
          </w:p>
        </w:tc>
      </w:tr>
      <w:tr w:rsidR="00184B6B" w:rsidRPr="00184B6B" w14:paraId="34806CB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05B63C8"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D0FAE4B"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nil"/>
              <w:bottom w:val="nil"/>
              <w:right w:val="nil"/>
            </w:tcBorders>
            <w:shd w:val="clear" w:color="auto" w:fill="auto"/>
            <w:noWrap/>
            <w:vAlign w:val="center"/>
            <w:hideMark/>
          </w:tcPr>
          <w:p w14:paraId="0D9E6DC2"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nil"/>
              <w:bottom w:val="nil"/>
              <w:right w:val="nil"/>
            </w:tcBorders>
            <w:shd w:val="clear" w:color="auto" w:fill="auto"/>
            <w:noWrap/>
            <w:vAlign w:val="center"/>
            <w:hideMark/>
          </w:tcPr>
          <w:p w14:paraId="11E55E5B"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nil"/>
              <w:bottom w:val="nil"/>
              <w:right w:val="single" w:sz="4" w:space="0" w:color="auto"/>
            </w:tcBorders>
            <w:shd w:val="clear" w:color="auto" w:fill="auto"/>
            <w:noWrap/>
            <w:vAlign w:val="center"/>
            <w:hideMark/>
          </w:tcPr>
          <w:p w14:paraId="27618959" w14:textId="77777777" w:rsidR="00184B6B" w:rsidRPr="00184B6B" w:rsidRDefault="00184B6B" w:rsidP="00184B6B">
            <w:pPr>
              <w:spacing w:line="240" w:lineRule="auto"/>
              <w:ind w:firstLine="0"/>
              <w:rPr>
                <w:sz w:val="14"/>
                <w:szCs w:val="20"/>
              </w:rPr>
            </w:pPr>
            <w:r w:rsidRPr="00184B6B">
              <w:rPr>
                <w:sz w:val="14"/>
                <w:szCs w:val="20"/>
              </w:rPr>
              <w:t>(0.056)</w:t>
            </w:r>
          </w:p>
        </w:tc>
        <w:tc>
          <w:tcPr>
            <w:tcW w:w="469" w:type="pct"/>
            <w:tcBorders>
              <w:top w:val="nil"/>
              <w:left w:val="single" w:sz="4" w:space="0" w:color="auto"/>
              <w:bottom w:val="nil"/>
              <w:right w:val="nil"/>
            </w:tcBorders>
            <w:shd w:val="clear" w:color="auto" w:fill="auto"/>
            <w:noWrap/>
            <w:vAlign w:val="center"/>
            <w:hideMark/>
          </w:tcPr>
          <w:p w14:paraId="63DEEF53" w14:textId="77777777" w:rsidR="00184B6B" w:rsidRPr="00184B6B" w:rsidRDefault="00184B6B" w:rsidP="00184B6B">
            <w:pPr>
              <w:spacing w:line="240" w:lineRule="auto"/>
              <w:ind w:firstLine="0"/>
              <w:rPr>
                <w:sz w:val="14"/>
                <w:szCs w:val="20"/>
              </w:rPr>
            </w:pPr>
            <w:r w:rsidRPr="00184B6B">
              <w:rPr>
                <w:sz w:val="14"/>
                <w:szCs w:val="20"/>
              </w:rPr>
              <w:t>(0.045)</w:t>
            </w:r>
          </w:p>
        </w:tc>
        <w:tc>
          <w:tcPr>
            <w:tcW w:w="469" w:type="pct"/>
            <w:tcBorders>
              <w:top w:val="nil"/>
              <w:left w:val="nil"/>
              <w:bottom w:val="nil"/>
              <w:right w:val="nil"/>
            </w:tcBorders>
            <w:shd w:val="clear" w:color="auto" w:fill="auto"/>
            <w:noWrap/>
            <w:vAlign w:val="center"/>
            <w:hideMark/>
          </w:tcPr>
          <w:p w14:paraId="7A9034BE" w14:textId="77777777" w:rsidR="00184B6B" w:rsidRPr="00184B6B" w:rsidRDefault="00184B6B" w:rsidP="00184B6B">
            <w:pPr>
              <w:spacing w:line="240" w:lineRule="auto"/>
              <w:ind w:firstLine="0"/>
              <w:rPr>
                <w:sz w:val="14"/>
                <w:szCs w:val="20"/>
              </w:rPr>
            </w:pPr>
            <w:r w:rsidRPr="00184B6B">
              <w:rPr>
                <w:sz w:val="14"/>
                <w:szCs w:val="20"/>
              </w:rPr>
              <w:t>(0.045)</w:t>
            </w:r>
          </w:p>
        </w:tc>
        <w:tc>
          <w:tcPr>
            <w:tcW w:w="469" w:type="pct"/>
            <w:tcBorders>
              <w:top w:val="nil"/>
              <w:left w:val="nil"/>
              <w:bottom w:val="nil"/>
              <w:right w:val="nil"/>
            </w:tcBorders>
            <w:shd w:val="clear" w:color="auto" w:fill="auto"/>
            <w:noWrap/>
            <w:vAlign w:val="center"/>
            <w:hideMark/>
          </w:tcPr>
          <w:p w14:paraId="094444F4" w14:textId="77777777" w:rsidR="00184B6B" w:rsidRPr="00184B6B" w:rsidRDefault="00184B6B" w:rsidP="00184B6B">
            <w:pPr>
              <w:spacing w:line="240" w:lineRule="auto"/>
              <w:ind w:firstLine="0"/>
              <w:rPr>
                <w:sz w:val="14"/>
                <w:szCs w:val="20"/>
              </w:rPr>
            </w:pPr>
            <w:r w:rsidRPr="00184B6B">
              <w:rPr>
                <w:sz w:val="14"/>
                <w:szCs w:val="20"/>
              </w:rPr>
              <w:t>(0.045)</w:t>
            </w:r>
          </w:p>
        </w:tc>
        <w:tc>
          <w:tcPr>
            <w:tcW w:w="466" w:type="pct"/>
            <w:tcBorders>
              <w:top w:val="nil"/>
              <w:left w:val="nil"/>
              <w:bottom w:val="nil"/>
              <w:right w:val="single" w:sz="4" w:space="0" w:color="auto"/>
            </w:tcBorders>
            <w:shd w:val="clear" w:color="auto" w:fill="auto"/>
            <w:noWrap/>
            <w:vAlign w:val="center"/>
            <w:hideMark/>
          </w:tcPr>
          <w:p w14:paraId="1B15F5B9" w14:textId="77777777" w:rsidR="00184B6B" w:rsidRPr="00184B6B" w:rsidRDefault="00184B6B" w:rsidP="00184B6B">
            <w:pPr>
              <w:spacing w:line="240" w:lineRule="auto"/>
              <w:ind w:firstLine="0"/>
              <w:rPr>
                <w:sz w:val="14"/>
                <w:szCs w:val="20"/>
              </w:rPr>
            </w:pPr>
            <w:r w:rsidRPr="00184B6B">
              <w:rPr>
                <w:sz w:val="14"/>
                <w:szCs w:val="20"/>
              </w:rPr>
              <w:t>(0.045)</w:t>
            </w:r>
          </w:p>
        </w:tc>
      </w:tr>
      <w:tr w:rsidR="00184B6B" w:rsidRPr="00184B6B" w14:paraId="08B9DF8A"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DD745EE" w14:textId="77777777" w:rsidR="00184B6B" w:rsidRPr="00184B6B" w:rsidRDefault="00184B6B" w:rsidP="00184B6B">
            <w:pPr>
              <w:spacing w:line="240" w:lineRule="auto"/>
              <w:ind w:firstLine="0"/>
              <w:jc w:val="left"/>
              <w:rPr>
                <w:sz w:val="14"/>
                <w:szCs w:val="20"/>
              </w:rPr>
            </w:pPr>
            <w:r w:rsidRPr="00184B6B">
              <w:rPr>
                <w:sz w:val="14"/>
                <w:szCs w:val="20"/>
              </w:rPr>
              <w:t>Standard of living worse</w:t>
            </w:r>
          </w:p>
        </w:tc>
        <w:tc>
          <w:tcPr>
            <w:tcW w:w="469" w:type="pct"/>
            <w:tcBorders>
              <w:top w:val="nil"/>
              <w:left w:val="single" w:sz="4" w:space="0" w:color="auto"/>
              <w:bottom w:val="nil"/>
              <w:right w:val="nil"/>
            </w:tcBorders>
            <w:shd w:val="clear" w:color="auto" w:fill="auto"/>
            <w:noWrap/>
            <w:vAlign w:val="center"/>
            <w:hideMark/>
          </w:tcPr>
          <w:p w14:paraId="06A27DB4" w14:textId="77777777" w:rsidR="00184B6B" w:rsidRPr="00184B6B" w:rsidRDefault="00184B6B" w:rsidP="00184B6B">
            <w:pPr>
              <w:spacing w:line="240" w:lineRule="auto"/>
              <w:ind w:firstLine="0"/>
              <w:rPr>
                <w:sz w:val="14"/>
                <w:szCs w:val="20"/>
              </w:rPr>
            </w:pPr>
            <w:r w:rsidRPr="00184B6B">
              <w:rPr>
                <w:sz w:val="14"/>
                <w:szCs w:val="20"/>
              </w:rPr>
              <w:t>-0.115***</w:t>
            </w:r>
          </w:p>
        </w:tc>
        <w:tc>
          <w:tcPr>
            <w:tcW w:w="469" w:type="pct"/>
            <w:tcBorders>
              <w:top w:val="nil"/>
              <w:left w:val="nil"/>
              <w:bottom w:val="nil"/>
              <w:right w:val="nil"/>
            </w:tcBorders>
            <w:shd w:val="clear" w:color="auto" w:fill="auto"/>
            <w:noWrap/>
            <w:vAlign w:val="center"/>
            <w:hideMark/>
          </w:tcPr>
          <w:p w14:paraId="22BD0562" w14:textId="77777777" w:rsidR="00184B6B" w:rsidRPr="00184B6B" w:rsidRDefault="00184B6B" w:rsidP="00184B6B">
            <w:pPr>
              <w:spacing w:line="240" w:lineRule="auto"/>
              <w:ind w:firstLine="0"/>
              <w:rPr>
                <w:sz w:val="14"/>
                <w:szCs w:val="20"/>
              </w:rPr>
            </w:pPr>
            <w:r w:rsidRPr="00184B6B">
              <w:rPr>
                <w:sz w:val="14"/>
                <w:szCs w:val="20"/>
              </w:rPr>
              <w:t>-0.108***</w:t>
            </w:r>
          </w:p>
        </w:tc>
        <w:tc>
          <w:tcPr>
            <w:tcW w:w="469" w:type="pct"/>
            <w:tcBorders>
              <w:top w:val="nil"/>
              <w:left w:val="nil"/>
              <w:bottom w:val="nil"/>
              <w:right w:val="nil"/>
            </w:tcBorders>
            <w:shd w:val="clear" w:color="auto" w:fill="auto"/>
            <w:noWrap/>
            <w:vAlign w:val="center"/>
            <w:hideMark/>
          </w:tcPr>
          <w:p w14:paraId="488453C6" w14:textId="77777777" w:rsidR="00184B6B" w:rsidRPr="00184B6B" w:rsidRDefault="00184B6B" w:rsidP="00184B6B">
            <w:pPr>
              <w:spacing w:line="240" w:lineRule="auto"/>
              <w:ind w:firstLine="0"/>
              <w:rPr>
                <w:sz w:val="14"/>
                <w:szCs w:val="20"/>
              </w:rPr>
            </w:pPr>
            <w:r w:rsidRPr="00184B6B">
              <w:rPr>
                <w:sz w:val="14"/>
                <w:szCs w:val="20"/>
              </w:rPr>
              <w:t>-0.110***</w:t>
            </w:r>
          </w:p>
        </w:tc>
        <w:tc>
          <w:tcPr>
            <w:tcW w:w="469" w:type="pct"/>
            <w:tcBorders>
              <w:top w:val="nil"/>
              <w:left w:val="nil"/>
              <w:bottom w:val="nil"/>
              <w:right w:val="single" w:sz="4" w:space="0" w:color="auto"/>
            </w:tcBorders>
            <w:shd w:val="clear" w:color="auto" w:fill="auto"/>
            <w:noWrap/>
            <w:vAlign w:val="center"/>
            <w:hideMark/>
          </w:tcPr>
          <w:p w14:paraId="178E9E3C" w14:textId="77777777" w:rsidR="00184B6B" w:rsidRPr="00184B6B" w:rsidRDefault="00184B6B" w:rsidP="00184B6B">
            <w:pPr>
              <w:spacing w:line="240" w:lineRule="auto"/>
              <w:ind w:firstLine="0"/>
              <w:rPr>
                <w:sz w:val="14"/>
                <w:szCs w:val="20"/>
              </w:rPr>
            </w:pPr>
            <w:r w:rsidRPr="00184B6B">
              <w:rPr>
                <w:sz w:val="14"/>
                <w:szCs w:val="20"/>
              </w:rPr>
              <w:t>-0.112***</w:t>
            </w:r>
          </w:p>
        </w:tc>
        <w:tc>
          <w:tcPr>
            <w:tcW w:w="469" w:type="pct"/>
            <w:tcBorders>
              <w:top w:val="nil"/>
              <w:left w:val="single" w:sz="4" w:space="0" w:color="auto"/>
              <w:bottom w:val="nil"/>
              <w:right w:val="nil"/>
            </w:tcBorders>
            <w:shd w:val="clear" w:color="auto" w:fill="auto"/>
            <w:noWrap/>
            <w:vAlign w:val="center"/>
            <w:hideMark/>
          </w:tcPr>
          <w:p w14:paraId="55592C54" w14:textId="77777777" w:rsidR="00184B6B" w:rsidRPr="00184B6B" w:rsidRDefault="00184B6B" w:rsidP="00184B6B">
            <w:pPr>
              <w:spacing w:line="240" w:lineRule="auto"/>
              <w:ind w:firstLine="0"/>
              <w:rPr>
                <w:sz w:val="14"/>
                <w:szCs w:val="20"/>
              </w:rPr>
            </w:pPr>
            <w:r w:rsidRPr="00184B6B">
              <w:rPr>
                <w:sz w:val="14"/>
                <w:szCs w:val="20"/>
              </w:rPr>
              <w:t>-0.086***</w:t>
            </w:r>
          </w:p>
        </w:tc>
        <w:tc>
          <w:tcPr>
            <w:tcW w:w="469" w:type="pct"/>
            <w:tcBorders>
              <w:top w:val="nil"/>
              <w:left w:val="nil"/>
              <w:bottom w:val="nil"/>
              <w:right w:val="nil"/>
            </w:tcBorders>
            <w:shd w:val="clear" w:color="auto" w:fill="auto"/>
            <w:noWrap/>
            <w:vAlign w:val="center"/>
            <w:hideMark/>
          </w:tcPr>
          <w:p w14:paraId="590665C2" w14:textId="77777777" w:rsidR="00184B6B" w:rsidRPr="00184B6B" w:rsidRDefault="00184B6B" w:rsidP="00184B6B">
            <w:pPr>
              <w:spacing w:line="240" w:lineRule="auto"/>
              <w:ind w:firstLine="0"/>
              <w:rPr>
                <w:sz w:val="14"/>
                <w:szCs w:val="20"/>
              </w:rPr>
            </w:pPr>
            <w:r w:rsidRPr="00184B6B">
              <w:rPr>
                <w:sz w:val="14"/>
                <w:szCs w:val="20"/>
              </w:rPr>
              <w:t>-0.082***</w:t>
            </w:r>
          </w:p>
        </w:tc>
        <w:tc>
          <w:tcPr>
            <w:tcW w:w="469" w:type="pct"/>
            <w:tcBorders>
              <w:top w:val="nil"/>
              <w:left w:val="nil"/>
              <w:bottom w:val="nil"/>
              <w:right w:val="nil"/>
            </w:tcBorders>
            <w:shd w:val="clear" w:color="auto" w:fill="auto"/>
            <w:noWrap/>
            <w:vAlign w:val="center"/>
            <w:hideMark/>
          </w:tcPr>
          <w:p w14:paraId="657ABC1C" w14:textId="77777777" w:rsidR="00184B6B" w:rsidRPr="00184B6B" w:rsidRDefault="00184B6B" w:rsidP="00184B6B">
            <w:pPr>
              <w:spacing w:line="240" w:lineRule="auto"/>
              <w:ind w:firstLine="0"/>
              <w:rPr>
                <w:sz w:val="14"/>
                <w:szCs w:val="20"/>
              </w:rPr>
            </w:pPr>
            <w:r w:rsidRPr="00184B6B">
              <w:rPr>
                <w:sz w:val="14"/>
                <w:szCs w:val="20"/>
              </w:rPr>
              <w:t>-0.084***</w:t>
            </w:r>
          </w:p>
        </w:tc>
        <w:tc>
          <w:tcPr>
            <w:tcW w:w="466" w:type="pct"/>
            <w:tcBorders>
              <w:top w:val="nil"/>
              <w:left w:val="nil"/>
              <w:bottom w:val="nil"/>
              <w:right w:val="single" w:sz="4" w:space="0" w:color="auto"/>
            </w:tcBorders>
            <w:shd w:val="clear" w:color="auto" w:fill="auto"/>
            <w:noWrap/>
            <w:vAlign w:val="center"/>
            <w:hideMark/>
          </w:tcPr>
          <w:p w14:paraId="308F68F2" w14:textId="77777777" w:rsidR="00184B6B" w:rsidRPr="00184B6B" w:rsidRDefault="00184B6B" w:rsidP="00184B6B">
            <w:pPr>
              <w:spacing w:line="240" w:lineRule="auto"/>
              <w:ind w:firstLine="0"/>
              <w:rPr>
                <w:sz w:val="14"/>
                <w:szCs w:val="20"/>
              </w:rPr>
            </w:pPr>
            <w:r w:rsidRPr="00184B6B">
              <w:rPr>
                <w:sz w:val="14"/>
                <w:szCs w:val="20"/>
              </w:rPr>
              <w:t>-0.084***</w:t>
            </w:r>
          </w:p>
        </w:tc>
      </w:tr>
      <w:tr w:rsidR="00184B6B" w:rsidRPr="00184B6B" w14:paraId="11EADE7D"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DC15985"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D94197C"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nil"/>
            </w:tcBorders>
            <w:shd w:val="clear" w:color="auto" w:fill="auto"/>
            <w:noWrap/>
            <w:vAlign w:val="center"/>
            <w:hideMark/>
          </w:tcPr>
          <w:p w14:paraId="15A27F8B"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nil"/>
            </w:tcBorders>
            <w:shd w:val="clear" w:color="auto" w:fill="auto"/>
            <w:noWrap/>
            <w:vAlign w:val="center"/>
            <w:hideMark/>
          </w:tcPr>
          <w:p w14:paraId="1603B4A4"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single" w:sz="4" w:space="0" w:color="auto"/>
            </w:tcBorders>
            <w:shd w:val="clear" w:color="auto" w:fill="auto"/>
            <w:noWrap/>
            <w:vAlign w:val="center"/>
            <w:hideMark/>
          </w:tcPr>
          <w:p w14:paraId="2735B373"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single" w:sz="4" w:space="0" w:color="auto"/>
              <w:bottom w:val="nil"/>
              <w:right w:val="nil"/>
            </w:tcBorders>
            <w:shd w:val="clear" w:color="auto" w:fill="auto"/>
            <w:noWrap/>
            <w:vAlign w:val="center"/>
            <w:hideMark/>
          </w:tcPr>
          <w:p w14:paraId="5231FB46" w14:textId="77777777" w:rsidR="00184B6B" w:rsidRPr="00184B6B" w:rsidRDefault="00184B6B" w:rsidP="00184B6B">
            <w:pPr>
              <w:spacing w:line="240" w:lineRule="auto"/>
              <w:ind w:firstLine="0"/>
              <w:rPr>
                <w:sz w:val="14"/>
                <w:szCs w:val="20"/>
              </w:rPr>
            </w:pPr>
            <w:r w:rsidRPr="00184B6B">
              <w:rPr>
                <w:sz w:val="14"/>
                <w:szCs w:val="20"/>
              </w:rPr>
              <w:t>(0.018)</w:t>
            </w:r>
          </w:p>
        </w:tc>
        <w:tc>
          <w:tcPr>
            <w:tcW w:w="469" w:type="pct"/>
            <w:tcBorders>
              <w:top w:val="nil"/>
              <w:left w:val="nil"/>
              <w:bottom w:val="nil"/>
              <w:right w:val="nil"/>
            </w:tcBorders>
            <w:shd w:val="clear" w:color="auto" w:fill="auto"/>
            <w:noWrap/>
            <w:vAlign w:val="center"/>
            <w:hideMark/>
          </w:tcPr>
          <w:p w14:paraId="6281849E" w14:textId="77777777" w:rsidR="00184B6B" w:rsidRPr="00184B6B" w:rsidRDefault="00184B6B" w:rsidP="00184B6B">
            <w:pPr>
              <w:spacing w:line="240" w:lineRule="auto"/>
              <w:ind w:firstLine="0"/>
              <w:rPr>
                <w:sz w:val="14"/>
                <w:szCs w:val="20"/>
              </w:rPr>
            </w:pPr>
            <w:r w:rsidRPr="00184B6B">
              <w:rPr>
                <w:sz w:val="14"/>
                <w:szCs w:val="20"/>
              </w:rPr>
              <w:t>(0.018)</w:t>
            </w:r>
          </w:p>
        </w:tc>
        <w:tc>
          <w:tcPr>
            <w:tcW w:w="469" w:type="pct"/>
            <w:tcBorders>
              <w:top w:val="nil"/>
              <w:left w:val="nil"/>
              <w:bottom w:val="nil"/>
              <w:right w:val="nil"/>
            </w:tcBorders>
            <w:shd w:val="clear" w:color="auto" w:fill="auto"/>
            <w:noWrap/>
            <w:vAlign w:val="center"/>
            <w:hideMark/>
          </w:tcPr>
          <w:p w14:paraId="1DC99996" w14:textId="77777777" w:rsidR="00184B6B" w:rsidRPr="00184B6B" w:rsidRDefault="00184B6B" w:rsidP="00184B6B">
            <w:pPr>
              <w:spacing w:line="240" w:lineRule="auto"/>
              <w:ind w:firstLine="0"/>
              <w:rPr>
                <w:sz w:val="14"/>
                <w:szCs w:val="20"/>
              </w:rPr>
            </w:pPr>
            <w:r w:rsidRPr="00184B6B">
              <w:rPr>
                <w:sz w:val="14"/>
                <w:szCs w:val="20"/>
              </w:rPr>
              <w:t>(0.018)</w:t>
            </w:r>
          </w:p>
        </w:tc>
        <w:tc>
          <w:tcPr>
            <w:tcW w:w="466" w:type="pct"/>
            <w:tcBorders>
              <w:top w:val="nil"/>
              <w:left w:val="nil"/>
              <w:bottom w:val="nil"/>
              <w:right w:val="single" w:sz="4" w:space="0" w:color="auto"/>
            </w:tcBorders>
            <w:shd w:val="clear" w:color="auto" w:fill="auto"/>
            <w:noWrap/>
            <w:vAlign w:val="center"/>
            <w:hideMark/>
          </w:tcPr>
          <w:p w14:paraId="5A15D074" w14:textId="77777777" w:rsidR="00184B6B" w:rsidRPr="00184B6B" w:rsidRDefault="00184B6B" w:rsidP="00184B6B">
            <w:pPr>
              <w:spacing w:line="240" w:lineRule="auto"/>
              <w:ind w:firstLine="0"/>
              <w:rPr>
                <w:sz w:val="14"/>
                <w:szCs w:val="20"/>
              </w:rPr>
            </w:pPr>
            <w:r w:rsidRPr="00184B6B">
              <w:rPr>
                <w:sz w:val="14"/>
                <w:szCs w:val="20"/>
              </w:rPr>
              <w:t>(0.018)</w:t>
            </w:r>
          </w:p>
        </w:tc>
      </w:tr>
      <w:tr w:rsidR="00184B6B" w:rsidRPr="00184B6B" w14:paraId="60698031"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A662DE9" w14:textId="77777777" w:rsidR="00184B6B" w:rsidRPr="00184B6B" w:rsidRDefault="00184B6B" w:rsidP="00184B6B">
            <w:pPr>
              <w:spacing w:line="240" w:lineRule="auto"/>
              <w:ind w:firstLine="0"/>
              <w:jc w:val="left"/>
              <w:rPr>
                <w:sz w:val="14"/>
                <w:szCs w:val="20"/>
              </w:rPr>
            </w:pPr>
            <w:r w:rsidRPr="00184B6B">
              <w:rPr>
                <w:sz w:val="14"/>
                <w:szCs w:val="20"/>
              </w:rPr>
              <w:t>Unemployed</w:t>
            </w:r>
          </w:p>
        </w:tc>
        <w:tc>
          <w:tcPr>
            <w:tcW w:w="469" w:type="pct"/>
            <w:tcBorders>
              <w:top w:val="nil"/>
              <w:left w:val="single" w:sz="4" w:space="0" w:color="auto"/>
              <w:bottom w:val="nil"/>
              <w:right w:val="nil"/>
            </w:tcBorders>
            <w:shd w:val="clear" w:color="auto" w:fill="auto"/>
            <w:noWrap/>
            <w:vAlign w:val="center"/>
            <w:hideMark/>
          </w:tcPr>
          <w:p w14:paraId="3CFC2EF1"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31A1B196" w14:textId="77777777" w:rsidR="00184B6B" w:rsidRPr="00184B6B" w:rsidRDefault="00184B6B" w:rsidP="00184B6B">
            <w:pPr>
              <w:spacing w:line="240" w:lineRule="auto"/>
              <w:ind w:firstLine="0"/>
              <w:rPr>
                <w:sz w:val="14"/>
                <w:szCs w:val="20"/>
              </w:rPr>
            </w:pPr>
            <w:r w:rsidRPr="00184B6B">
              <w:rPr>
                <w:sz w:val="14"/>
                <w:szCs w:val="20"/>
              </w:rPr>
              <w:t>-0.045</w:t>
            </w:r>
          </w:p>
        </w:tc>
        <w:tc>
          <w:tcPr>
            <w:tcW w:w="469" w:type="pct"/>
            <w:tcBorders>
              <w:top w:val="nil"/>
              <w:left w:val="nil"/>
              <w:bottom w:val="nil"/>
              <w:right w:val="nil"/>
            </w:tcBorders>
            <w:shd w:val="clear" w:color="auto" w:fill="auto"/>
            <w:noWrap/>
            <w:vAlign w:val="center"/>
            <w:hideMark/>
          </w:tcPr>
          <w:p w14:paraId="23269FC3"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single" w:sz="4" w:space="0" w:color="auto"/>
            </w:tcBorders>
            <w:shd w:val="clear" w:color="auto" w:fill="auto"/>
            <w:noWrap/>
            <w:vAlign w:val="center"/>
            <w:hideMark/>
          </w:tcPr>
          <w:p w14:paraId="1BCBAE45" w14:textId="77777777" w:rsidR="00184B6B" w:rsidRPr="00184B6B" w:rsidRDefault="00184B6B" w:rsidP="00184B6B">
            <w:pPr>
              <w:spacing w:line="240" w:lineRule="auto"/>
              <w:ind w:firstLine="0"/>
              <w:rPr>
                <w:sz w:val="14"/>
                <w:szCs w:val="20"/>
              </w:rPr>
            </w:pPr>
            <w:r w:rsidRPr="00184B6B">
              <w:rPr>
                <w:sz w:val="14"/>
                <w:szCs w:val="20"/>
              </w:rPr>
              <w:t>-0.045</w:t>
            </w:r>
          </w:p>
        </w:tc>
        <w:tc>
          <w:tcPr>
            <w:tcW w:w="469" w:type="pct"/>
            <w:tcBorders>
              <w:top w:val="nil"/>
              <w:left w:val="single" w:sz="4" w:space="0" w:color="auto"/>
              <w:bottom w:val="nil"/>
              <w:right w:val="nil"/>
            </w:tcBorders>
            <w:shd w:val="clear" w:color="auto" w:fill="auto"/>
            <w:noWrap/>
            <w:vAlign w:val="center"/>
            <w:hideMark/>
          </w:tcPr>
          <w:p w14:paraId="6FE949E8" w14:textId="77777777" w:rsidR="00184B6B" w:rsidRPr="00184B6B" w:rsidRDefault="00184B6B" w:rsidP="00184B6B">
            <w:pPr>
              <w:spacing w:line="240" w:lineRule="auto"/>
              <w:ind w:firstLine="0"/>
              <w:rPr>
                <w:sz w:val="14"/>
                <w:szCs w:val="20"/>
              </w:rPr>
            </w:pPr>
            <w:r w:rsidRPr="00184B6B">
              <w:rPr>
                <w:sz w:val="14"/>
                <w:szCs w:val="20"/>
              </w:rPr>
              <w:t>0.013</w:t>
            </w:r>
          </w:p>
        </w:tc>
        <w:tc>
          <w:tcPr>
            <w:tcW w:w="469" w:type="pct"/>
            <w:tcBorders>
              <w:top w:val="nil"/>
              <w:left w:val="nil"/>
              <w:bottom w:val="nil"/>
              <w:right w:val="nil"/>
            </w:tcBorders>
            <w:shd w:val="clear" w:color="auto" w:fill="auto"/>
            <w:noWrap/>
            <w:vAlign w:val="center"/>
            <w:hideMark/>
          </w:tcPr>
          <w:p w14:paraId="63C53600" w14:textId="77777777" w:rsidR="00184B6B" w:rsidRPr="00184B6B" w:rsidRDefault="00184B6B" w:rsidP="00184B6B">
            <w:pPr>
              <w:spacing w:line="240" w:lineRule="auto"/>
              <w:ind w:firstLine="0"/>
              <w:rPr>
                <w:sz w:val="14"/>
                <w:szCs w:val="20"/>
              </w:rPr>
            </w:pPr>
            <w:r w:rsidRPr="00184B6B">
              <w:rPr>
                <w:sz w:val="14"/>
                <w:szCs w:val="20"/>
              </w:rPr>
              <w:t>0.013</w:t>
            </w:r>
          </w:p>
        </w:tc>
        <w:tc>
          <w:tcPr>
            <w:tcW w:w="469" w:type="pct"/>
            <w:tcBorders>
              <w:top w:val="nil"/>
              <w:left w:val="nil"/>
              <w:bottom w:val="nil"/>
              <w:right w:val="nil"/>
            </w:tcBorders>
            <w:shd w:val="clear" w:color="auto" w:fill="auto"/>
            <w:noWrap/>
            <w:vAlign w:val="center"/>
            <w:hideMark/>
          </w:tcPr>
          <w:p w14:paraId="1FB58D6C" w14:textId="77777777" w:rsidR="00184B6B" w:rsidRPr="00184B6B" w:rsidRDefault="00184B6B" w:rsidP="00184B6B">
            <w:pPr>
              <w:spacing w:line="240" w:lineRule="auto"/>
              <w:ind w:firstLine="0"/>
              <w:rPr>
                <w:sz w:val="14"/>
                <w:szCs w:val="20"/>
              </w:rPr>
            </w:pPr>
            <w:r w:rsidRPr="00184B6B">
              <w:rPr>
                <w:sz w:val="14"/>
                <w:szCs w:val="20"/>
              </w:rPr>
              <w:t>0.012</w:t>
            </w:r>
          </w:p>
        </w:tc>
        <w:tc>
          <w:tcPr>
            <w:tcW w:w="466" w:type="pct"/>
            <w:tcBorders>
              <w:top w:val="nil"/>
              <w:left w:val="nil"/>
              <w:bottom w:val="nil"/>
              <w:right w:val="single" w:sz="4" w:space="0" w:color="auto"/>
            </w:tcBorders>
            <w:shd w:val="clear" w:color="auto" w:fill="auto"/>
            <w:noWrap/>
            <w:vAlign w:val="center"/>
            <w:hideMark/>
          </w:tcPr>
          <w:p w14:paraId="12FF1F89" w14:textId="77777777" w:rsidR="00184B6B" w:rsidRPr="00184B6B" w:rsidRDefault="00184B6B" w:rsidP="00184B6B">
            <w:pPr>
              <w:spacing w:line="240" w:lineRule="auto"/>
              <w:ind w:firstLine="0"/>
              <w:rPr>
                <w:sz w:val="14"/>
                <w:szCs w:val="20"/>
              </w:rPr>
            </w:pPr>
            <w:r w:rsidRPr="00184B6B">
              <w:rPr>
                <w:sz w:val="14"/>
                <w:szCs w:val="20"/>
              </w:rPr>
              <w:t>0.013</w:t>
            </w:r>
          </w:p>
        </w:tc>
      </w:tr>
      <w:tr w:rsidR="00184B6B" w:rsidRPr="00184B6B" w14:paraId="4CC32CBE"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4A67C532"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0A04F080" w14:textId="77777777" w:rsidR="00184B6B" w:rsidRPr="00184B6B" w:rsidRDefault="00184B6B" w:rsidP="00184B6B">
            <w:pPr>
              <w:spacing w:line="240" w:lineRule="auto"/>
              <w:ind w:firstLine="0"/>
              <w:rPr>
                <w:sz w:val="14"/>
                <w:szCs w:val="20"/>
              </w:rPr>
            </w:pPr>
            <w:r w:rsidRPr="00184B6B">
              <w:rPr>
                <w:sz w:val="14"/>
                <w:szCs w:val="20"/>
              </w:rPr>
              <w:t>(0.054)</w:t>
            </w:r>
          </w:p>
        </w:tc>
        <w:tc>
          <w:tcPr>
            <w:tcW w:w="469" w:type="pct"/>
            <w:tcBorders>
              <w:top w:val="nil"/>
              <w:left w:val="nil"/>
              <w:bottom w:val="nil"/>
              <w:right w:val="nil"/>
            </w:tcBorders>
            <w:shd w:val="clear" w:color="auto" w:fill="auto"/>
            <w:noWrap/>
            <w:vAlign w:val="center"/>
            <w:hideMark/>
          </w:tcPr>
          <w:p w14:paraId="7A8B1019" w14:textId="77777777" w:rsidR="00184B6B" w:rsidRPr="00184B6B" w:rsidRDefault="00184B6B" w:rsidP="00184B6B">
            <w:pPr>
              <w:spacing w:line="240" w:lineRule="auto"/>
              <w:ind w:firstLine="0"/>
              <w:rPr>
                <w:sz w:val="14"/>
                <w:szCs w:val="20"/>
              </w:rPr>
            </w:pPr>
            <w:r w:rsidRPr="00184B6B">
              <w:rPr>
                <w:sz w:val="14"/>
                <w:szCs w:val="20"/>
              </w:rPr>
              <w:t>(0.054)</w:t>
            </w:r>
          </w:p>
        </w:tc>
        <w:tc>
          <w:tcPr>
            <w:tcW w:w="469" w:type="pct"/>
            <w:tcBorders>
              <w:top w:val="nil"/>
              <w:left w:val="nil"/>
              <w:bottom w:val="nil"/>
              <w:right w:val="nil"/>
            </w:tcBorders>
            <w:shd w:val="clear" w:color="auto" w:fill="auto"/>
            <w:noWrap/>
            <w:vAlign w:val="center"/>
            <w:hideMark/>
          </w:tcPr>
          <w:p w14:paraId="43F598BA" w14:textId="77777777" w:rsidR="00184B6B" w:rsidRPr="00184B6B" w:rsidRDefault="00184B6B" w:rsidP="00184B6B">
            <w:pPr>
              <w:spacing w:line="240" w:lineRule="auto"/>
              <w:ind w:firstLine="0"/>
              <w:rPr>
                <w:sz w:val="14"/>
                <w:szCs w:val="20"/>
              </w:rPr>
            </w:pPr>
            <w:r w:rsidRPr="00184B6B">
              <w:rPr>
                <w:sz w:val="14"/>
                <w:szCs w:val="20"/>
              </w:rPr>
              <w:t>(0.054)</w:t>
            </w:r>
          </w:p>
        </w:tc>
        <w:tc>
          <w:tcPr>
            <w:tcW w:w="469" w:type="pct"/>
            <w:tcBorders>
              <w:top w:val="nil"/>
              <w:left w:val="nil"/>
              <w:bottom w:val="nil"/>
              <w:right w:val="single" w:sz="4" w:space="0" w:color="auto"/>
            </w:tcBorders>
            <w:shd w:val="clear" w:color="auto" w:fill="auto"/>
            <w:noWrap/>
            <w:vAlign w:val="center"/>
            <w:hideMark/>
          </w:tcPr>
          <w:p w14:paraId="3FF0E4F9" w14:textId="77777777" w:rsidR="00184B6B" w:rsidRPr="00184B6B" w:rsidRDefault="00184B6B" w:rsidP="00184B6B">
            <w:pPr>
              <w:spacing w:line="240" w:lineRule="auto"/>
              <w:ind w:firstLine="0"/>
              <w:rPr>
                <w:sz w:val="14"/>
                <w:szCs w:val="20"/>
              </w:rPr>
            </w:pPr>
            <w:r w:rsidRPr="00184B6B">
              <w:rPr>
                <w:sz w:val="14"/>
                <w:szCs w:val="20"/>
              </w:rPr>
              <w:t>(0.053)</w:t>
            </w:r>
          </w:p>
        </w:tc>
        <w:tc>
          <w:tcPr>
            <w:tcW w:w="469" w:type="pct"/>
            <w:tcBorders>
              <w:top w:val="nil"/>
              <w:left w:val="single" w:sz="4" w:space="0" w:color="auto"/>
              <w:bottom w:val="nil"/>
              <w:right w:val="nil"/>
            </w:tcBorders>
            <w:shd w:val="clear" w:color="auto" w:fill="auto"/>
            <w:noWrap/>
            <w:vAlign w:val="center"/>
            <w:hideMark/>
          </w:tcPr>
          <w:p w14:paraId="178CF04A" w14:textId="77777777" w:rsidR="00184B6B" w:rsidRPr="00184B6B" w:rsidRDefault="00184B6B" w:rsidP="00184B6B">
            <w:pPr>
              <w:spacing w:line="240" w:lineRule="auto"/>
              <w:ind w:firstLine="0"/>
              <w:rPr>
                <w:sz w:val="14"/>
                <w:szCs w:val="20"/>
              </w:rPr>
            </w:pPr>
            <w:r w:rsidRPr="00184B6B">
              <w:rPr>
                <w:sz w:val="14"/>
                <w:szCs w:val="20"/>
              </w:rPr>
              <w:t>(0.041)</w:t>
            </w:r>
          </w:p>
        </w:tc>
        <w:tc>
          <w:tcPr>
            <w:tcW w:w="469" w:type="pct"/>
            <w:tcBorders>
              <w:top w:val="nil"/>
              <w:left w:val="nil"/>
              <w:bottom w:val="nil"/>
              <w:right w:val="nil"/>
            </w:tcBorders>
            <w:shd w:val="clear" w:color="auto" w:fill="auto"/>
            <w:noWrap/>
            <w:vAlign w:val="center"/>
            <w:hideMark/>
          </w:tcPr>
          <w:p w14:paraId="14EAF378" w14:textId="77777777" w:rsidR="00184B6B" w:rsidRPr="00184B6B" w:rsidRDefault="00184B6B" w:rsidP="00184B6B">
            <w:pPr>
              <w:spacing w:line="240" w:lineRule="auto"/>
              <w:ind w:firstLine="0"/>
              <w:rPr>
                <w:sz w:val="14"/>
                <w:szCs w:val="20"/>
              </w:rPr>
            </w:pPr>
            <w:r w:rsidRPr="00184B6B">
              <w:rPr>
                <w:sz w:val="14"/>
                <w:szCs w:val="20"/>
              </w:rPr>
              <w:t>(0.041)</w:t>
            </w:r>
          </w:p>
        </w:tc>
        <w:tc>
          <w:tcPr>
            <w:tcW w:w="469" w:type="pct"/>
            <w:tcBorders>
              <w:top w:val="nil"/>
              <w:left w:val="nil"/>
              <w:bottom w:val="nil"/>
              <w:right w:val="nil"/>
            </w:tcBorders>
            <w:shd w:val="clear" w:color="auto" w:fill="auto"/>
            <w:noWrap/>
            <w:vAlign w:val="center"/>
            <w:hideMark/>
          </w:tcPr>
          <w:p w14:paraId="148AF8FF" w14:textId="77777777" w:rsidR="00184B6B" w:rsidRPr="00184B6B" w:rsidRDefault="00184B6B" w:rsidP="00184B6B">
            <w:pPr>
              <w:spacing w:line="240" w:lineRule="auto"/>
              <w:ind w:firstLine="0"/>
              <w:rPr>
                <w:sz w:val="14"/>
                <w:szCs w:val="20"/>
              </w:rPr>
            </w:pPr>
            <w:r w:rsidRPr="00184B6B">
              <w:rPr>
                <w:sz w:val="14"/>
                <w:szCs w:val="20"/>
              </w:rPr>
              <w:t>(0.041)</w:t>
            </w:r>
          </w:p>
        </w:tc>
        <w:tc>
          <w:tcPr>
            <w:tcW w:w="466" w:type="pct"/>
            <w:tcBorders>
              <w:top w:val="nil"/>
              <w:left w:val="nil"/>
              <w:bottom w:val="nil"/>
              <w:right w:val="single" w:sz="4" w:space="0" w:color="auto"/>
            </w:tcBorders>
            <w:shd w:val="clear" w:color="auto" w:fill="auto"/>
            <w:noWrap/>
            <w:vAlign w:val="center"/>
            <w:hideMark/>
          </w:tcPr>
          <w:p w14:paraId="327EFD2B" w14:textId="77777777" w:rsidR="00184B6B" w:rsidRPr="00184B6B" w:rsidRDefault="00184B6B" w:rsidP="00184B6B">
            <w:pPr>
              <w:spacing w:line="240" w:lineRule="auto"/>
              <w:ind w:firstLine="0"/>
              <w:rPr>
                <w:sz w:val="14"/>
                <w:szCs w:val="20"/>
              </w:rPr>
            </w:pPr>
            <w:r w:rsidRPr="00184B6B">
              <w:rPr>
                <w:sz w:val="14"/>
                <w:szCs w:val="20"/>
              </w:rPr>
              <w:t>(0.041)</w:t>
            </w:r>
          </w:p>
        </w:tc>
      </w:tr>
      <w:tr w:rsidR="00184B6B" w:rsidRPr="00184B6B" w14:paraId="74065B72"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69851DB" w14:textId="77777777" w:rsidR="00184B6B" w:rsidRPr="00184B6B" w:rsidRDefault="00184B6B" w:rsidP="00184B6B">
            <w:pPr>
              <w:spacing w:line="240" w:lineRule="auto"/>
              <w:ind w:firstLine="0"/>
              <w:jc w:val="left"/>
              <w:rPr>
                <w:sz w:val="14"/>
                <w:szCs w:val="20"/>
              </w:rPr>
            </w:pPr>
            <w:r w:rsidRPr="00184B6B">
              <w:rPr>
                <w:sz w:val="14"/>
                <w:szCs w:val="20"/>
              </w:rPr>
              <w:t>Catholic</w:t>
            </w:r>
          </w:p>
        </w:tc>
        <w:tc>
          <w:tcPr>
            <w:tcW w:w="469" w:type="pct"/>
            <w:tcBorders>
              <w:top w:val="nil"/>
              <w:left w:val="single" w:sz="4" w:space="0" w:color="auto"/>
              <w:bottom w:val="nil"/>
              <w:right w:val="nil"/>
            </w:tcBorders>
            <w:shd w:val="clear" w:color="auto" w:fill="auto"/>
            <w:noWrap/>
            <w:vAlign w:val="center"/>
            <w:hideMark/>
          </w:tcPr>
          <w:p w14:paraId="4C8940C9" w14:textId="77777777" w:rsidR="00184B6B" w:rsidRPr="00184B6B" w:rsidRDefault="00184B6B" w:rsidP="00184B6B">
            <w:pPr>
              <w:spacing w:line="240" w:lineRule="auto"/>
              <w:ind w:firstLine="0"/>
              <w:rPr>
                <w:sz w:val="14"/>
                <w:szCs w:val="20"/>
              </w:rPr>
            </w:pPr>
            <w:r w:rsidRPr="00184B6B">
              <w:rPr>
                <w:sz w:val="14"/>
                <w:szCs w:val="20"/>
              </w:rPr>
              <w:t>0.051</w:t>
            </w:r>
          </w:p>
        </w:tc>
        <w:tc>
          <w:tcPr>
            <w:tcW w:w="469" w:type="pct"/>
            <w:tcBorders>
              <w:top w:val="nil"/>
              <w:left w:val="nil"/>
              <w:bottom w:val="nil"/>
              <w:right w:val="nil"/>
            </w:tcBorders>
            <w:shd w:val="clear" w:color="auto" w:fill="auto"/>
            <w:noWrap/>
            <w:vAlign w:val="center"/>
            <w:hideMark/>
          </w:tcPr>
          <w:p w14:paraId="48872D2B" w14:textId="77777777" w:rsidR="00184B6B" w:rsidRPr="00184B6B" w:rsidRDefault="00184B6B" w:rsidP="00184B6B">
            <w:pPr>
              <w:spacing w:line="240" w:lineRule="auto"/>
              <w:ind w:firstLine="0"/>
              <w:rPr>
                <w:sz w:val="14"/>
                <w:szCs w:val="20"/>
              </w:rPr>
            </w:pPr>
            <w:r w:rsidRPr="00184B6B">
              <w:rPr>
                <w:sz w:val="14"/>
                <w:szCs w:val="20"/>
              </w:rPr>
              <w:t>0.048</w:t>
            </w:r>
          </w:p>
        </w:tc>
        <w:tc>
          <w:tcPr>
            <w:tcW w:w="469" w:type="pct"/>
            <w:tcBorders>
              <w:top w:val="nil"/>
              <w:left w:val="nil"/>
              <w:bottom w:val="nil"/>
              <w:right w:val="nil"/>
            </w:tcBorders>
            <w:shd w:val="clear" w:color="auto" w:fill="auto"/>
            <w:noWrap/>
            <w:vAlign w:val="center"/>
            <w:hideMark/>
          </w:tcPr>
          <w:p w14:paraId="04DCB5C6" w14:textId="77777777" w:rsidR="00184B6B" w:rsidRPr="00184B6B" w:rsidRDefault="00184B6B" w:rsidP="00184B6B">
            <w:pPr>
              <w:spacing w:line="240" w:lineRule="auto"/>
              <w:ind w:firstLine="0"/>
              <w:rPr>
                <w:sz w:val="14"/>
                <w:szCs w:val="20"/>
              </w:rPr>
            </w:pPr>
            <w:r w:rsidRPr="00184B6B">
              <w:rPr>
                <w:sz w:val="14"/>
                <w:szCs w:val="20"/>
              </w:rPr>
              <w:t>0.049</w:t>
            </w:r>
          </w:p>
        </w:tc>
        <w:tc>
          <w:tcPr>
            <w:tcW w:w="469" w:type="pct"/>
            <w:tcBorders>
              <w:top w:val="nil"/>
              <w:left w:val="nil"/>
              <w:bottom w:val="nil"/>
              <w:right w:val="single" w:sz="4" w:space="0" w:color="auto"/>
            </w:tcBorders>
            <w:shd w:val="clear" w:color="auto" w:fill="auto"/>
            <w:noWrap/>
            <w:vAlign w:val="center"/>
            <w:hideMark/>
          </w:tcPr>
          <w:p w14:paraId="223616AB" w14:textId="77777777" w:rsidR="00184B6B" w:rsidRPr="00184B6B" w:rsidRDefault="00184B6B" w:rsidP="00184B6B">
            <w:pPr>
              <w:spacing w:line="240" w:lineRule="auto"/>
              <w:ind w:firstLine="0"/>
              <w:rPr>
                <w:sz w:val="14"/>
                <w:szCs w:val="20"/>
              </w:rPr>
            </w:pPr>
            <w:r w:rsidRPr="00184B6B">
              <w:rPr>
                <w:sz w:val="14"/>
                <w:szCs w:val="20"/>
              </w:rPr>
              <w:t>0.049</w:t>
            </w:r>
          </w:p>
        </w:tc>
        <w:tc>
          <w:tcPr>
            <w:tcW w:w="469" w:type="pct"/>
            <w:tcBorders>
              <w:top w:val="nil"/>
              <w:left w:val="single" w:sz="4" w:space="0" w:color="auto"/>
              <w:bottom w:val="nil"/>
              <w:right w:val="nil"/>
            </w:tcBorders>
            <w:shd w:val="clear" w:color="auto" w:fill="auto"/>
            <w:noWrap/>
            <w:vAlign w:val="center"/>
            <w:hideMark/>
          </w:tcPr>
          <w:p w14:paraId="10105845" w14:textId="77777777" w:rsidR="00184B6B" w:rsidRPr="00184B6B" w:rsidRDefault="00184B6B" w:rsidP="00184B6B">
            <w:pPr>
              <w:spacing w:line="240" w:lineRule="auto"/>
              <w:ind w:firstLine="0"/>
              <w:rPr>
                <w:sz w:val="14"/>
                <w:szCs w:val="20"/>
              </w:rPr>
            </w:pPr>
            <w:r w:rsidRPr="00184B6B">
              <w:rPr>
                <w:sz w:val="14"/>
                <w:szCs w:val="20"/>
              </w:rPr>
              <w:t>0.102**</w:t>
            </w:r>
          </w:p>
        </w:tc>
        <w:tc>
          <w:tcPr>
            <w:tcW w:w="469" w:type="pct"/>
            <w:tcBorders>
              <w:top w:val="nil"/>
              <w:left w:val="nil"/>
              <w:bottom w:val="nil"/>
              <w:right w:val="nil"/>
            </w:tcBorders>
            <w:shd w:val="clear" w:color="auto" w:fill="auto"/>
            <w:noWrap/>
            <w:vAlign w:val="center"/>
            <w:hideMark/>
          </w:tcPr>
          <w:p w14:paraId="5E1700BE" w14:textId="77777777" w:rsidR="00184B6B" w:rsidRPr="00184B6B" w:rsidRDefault="00184B6B" w:rsidP="00184B6B">
            <w:pPr>
              <w:spacing w:line="240" w:lineRule="auto"/>
              <w:ind w:firstLine="0"/>
              <w:rPr>
                <w:sz w:val="14"/>
                <w:szCs w:val="20"/>
              </w:rPr>
            </w:pPr>
            <w:r w:rsidRPr="00184B6B">
              <w:rPr>
                <w:sz w:val="14"/>
                <w:szCs w:val="20"/>
              </w:rPr>
              <w:t>0.100**</w:t>
            </w:r>
          </w:p>
        </w:tc>
        <w:tc>
          <w:tcPr>
            <w:tcW w:w="469" w:type="pct"/>
            <w:tcBorders>
              <w:top w:val="nil"/>
              <w:left w:val="nil"/>
              <w:bottom w:val="nil"/>
              <w:right w:val="nil"/>
            </w:tcBorders>
            <w:shd w:val="clear" w:color="auto" w:fill="auto"/>
            <w:noWrap/>
            <w:vAlign w:val="center"/>
            <w:hideMark/>
          </w:tcPr>
          <w:p w14:paraId="33846346" w14:textId="77777777" w:rsidR="00184B6B" w:rsidRPr="00184B6B" w:rsidRDefault="00184B6B" w:rsidP="00184B6B">
            <w:pPr>
              <w:spacing w:line="240" w:lineRule="auto"/>
              <w:ind w:firstLine="0"/>
              <w:rPr>
                <w:sz w:val="14"/>
                <w:szCs w:val="20"/>
              </w:rPr>
            </w:pPr>
            <w:r w:rsidRPr="00184B6B">
              <w:rPr>
                <w:sz w:val="14"/>
                <w:szCs w:val="20"/>
              </w:rPr>
              <w:t>0.101**</w:t>
            </w:r>
          </w:p>
        </w:tc>
        <w:tc>
          <w:tcPr>
            <w:tcW w:w="466" w:type="pct"/>
            <w:tcBorders>
              <w:top w:val="nil"/>
              <w:left w:val="nil"/>
              <w:bottom w:val="nil"/>
              <w:right w:val="single" w:sz="4" w:space="0" w:color="auto"/>
            </w:tcBorders>
            <w:shd w:val="clear" w:color="auto" w:fill="auto"/>
            <w:noWrap/>
            <w:vAlign w:val="center"/>
            <w:hideMark/>
          </w:tcPr>
          <w:p w14:paraId="78E13DA2" w14:textId="77777777" w:rsidR="00184B6B" w:rsidRPr="00184B6B" w:rsidRDefault="00184B6B" w:rsidP="00184B6B">
            <w:pPr>
              <w:spacing w:line="240" w:lineRule="auto"/>
              <w:ind w:firstLine="0"/>
              <w:rPr>
                <w:sz w:val="14"/>
                <w:szCs w:val="20"/>
              </w:rPr>
            </w:pPr>
            <w:r w:rsidRPr="00184B6B">
              <w:rPr>
                <w:sz w:val="14"/>
                <w:szCs w:val="20"/>
              </w:rPr>
              <w:t>0.098**</w:t>
            </w:r>
          </w:p>
        </w:tc>
      </w:tr>
      <w:tr w:rsidR="00184B6B" w:rsidRPr="00184B6B" w14:paraId="197523E5"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2EF1E53"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1A6B1E03"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nil"/>
              <w:bottom w:val="nil"/>
              <w:right w:val="nil"/>
            </w:tcBorders>
            <w:shd w:val="clear" w:color="auto" w:fill="auto"/>
            <w:noWrap/>
            <w:vAlign w:val="center"/>
            <w:hideMark/>
          </w:tcPr>
          <w:p w14:paraId="1A6B13FC"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nil"/>
              <w:bottom w:val="nil"/>
              <w:right w:val="nil"/>
            </w:tcBorders>
            <w:shd w:val="clear" w:color="auto" w:fill="auto"/>
            <w:noWrap/>
            <w:vAlign w:val="center"/>
            <w:hideMark/>
          </w:tcPr>
          <w:p w14:paraId="18EA7B8C"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nil"/>
              <w:bottom w:val="nil"/>
              <w:right w:val="single" w:sz="4" w:space="0" w:color="auto"/>
            </w:tcBorders>
            <w:shd w:val="clear" w:color="auto" w:fill="auto"/>
            <w:noWrap/>
            <w:vAlign w:val="center"/>
            <w:hideMark/>
          </w:tcPr>
          <w:p w14:paraId="76926AE5"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single" w:sz="4" w:space="0" w:color="auto"/>
              <w:bottom w:val="nil"/>
              <w:right w:val="nil"/>
            </w:tcBorders>
            <w:shd w:val="clear" w:color="auto" w:fill="auto"/>
            <w:noWrap/>
            <w:vAlign w:val="center"/>
            <w:hideMark/>
          </w:tcPr>
          <w:p w14:paraId="6A1BC681" w14:textId="77777777" w:rsidR="00184B6B" w:rsidRPr="00184B6B" w:rsidRDefault="00184B6B" w:rsidP="00184B6B">
            <w:pPr>
              <w:spacing w:line="240" w:lineRule="auto"/>
              <w:ind w:firstLine="0"/>
              <w:rPr>
                <w:sz w:val="14"/>
                <w:szCs w:val="20"/>
              </w:rPr>
            </w:pPr>
            <w:r w:rsidRPr="00184B6B">
              <w:rPr>
                <w:sz w:val="14"/>
                <w:szCs w:val="20"/>
              </w:rPr>
              <w:t>(0.048)</w:t>
            </w:r>
          </w:p>
        </w:tc>
        <w:tc>
          <w:tcPr>
            <w:tcW w:w="469" w:type="pct"/>
            <w:tcBorders>
              <w:top w:val="nil"/>
              <w:left w:val="nil"/>
              <w:bottom w:val="nil"/>
              <w:right w:val="nil"/>
            </w:tcBorders>
            <w:shd w:val="clear" w:color="auto" w:fill="auto"/>
            <w:noWrap/>
            <w:vAlign w:val="center"/>
            <w:hideMark/>
          </w:tcPr>
          <w:p w14:paraId="469B31AF" w14:textId="77777777" w:rsidR="00184B6B" w:rsidRPr="00184B6B" w:rsidRDefault="00184B6B" w:rsidP="00184B6B">
            <w:pPr>
              <w:spacing w:line="240" w:lineRule="auto"/>
              <w:ind w:firstLine="0"/>
              <w:rPr>
                <w:sz w:val="14"/>
                <w:szCs w:val="20"/>
              </w:rPr>
            </w:pPr>
            <w:r w:rsidRPr="00184B6B">
              <w:rPr>
                <w:sz w:val="14"/>
                <w:szCs w:val="20"/>
              </w:rPr>
              <w:t>(0.048)</w:t>
            </w:r>
          </w:p>
        </w:tc>
        <w:tc>
          <w:tcPr>
            <w:tcW w:w="469" w:type="pct"/>
            <w:tcBorders>
              <w:top w:val="nil"/>
              <w:left w:val="nil"/>
              <w:bottom w:val="nil"/>
              <w:right w:val="nil"/>
            </w:tcBorders>
            <w:shd w:val="clear" w:color="auto" w:fill="auto"/>
            <w:noWrap/>
            <w:vAlign w:val="center"/>
            <w:hideMark/>
          </w:tcPr>
          <w:p w14:paraId="4ACDD2DA" w14:textId="77777777" w:rsidR="00184B6B" w:rsidRPr="00184B6B" w:rsidRDefault="00184B6B" w:rsidP="00184B6B">
            <w:pPr>
              <w:spacing w:line="240" w:lineRule="auto"/>
              <w:ind w:firstLine="0"/>
              <w:rPr>
                <w:sz w:val="14"/>
                <w:szCs w:val="20"/>
              </w:rPr>
            </w:pPr>
            <w:r w:rsidRPr="00184B6B">
              <w:rPr>
                <w:sz w:val="14"/>
                <w:szCs w:val="20"/>
              </w:rPr>
              <w:t>(0.048)</w:t>
            </w:r>
          </w:p>
        </w:tc>
        <w:tc>
          <w:tcPr>
            <w:tcW w:w="466" w:type="pct"/>
            <w:tcBorders>
              <w:top w:val="nil"/>
              <w:left w:val="nil"/>
              <w:bottom w:val="nil"/>
              <w:right w:val="single" w:sz="4" w:space="0" w:color="auto"/>
            </w:tcBorders>
            <w:shd w:val="clear" w:color="auto" w:fill="auto"/>
            <w:noWrap/>
            <w:vAlign w:val="center"/>
            <w:hideMark/>
          </w:tcPr>
          <w:p w14:paraId="551ECB96" w14:textId="77777777" w:rsidR="00184B6B" w:rsidRPr="00184B6B" w:rsidRDefault="00184B6B" w:rsidP="00184B6B">
            <w:pPr>
              <w:spacing w:line="240" w:lineRule="auto"/>
              <w:ind w:firstLine="0"/>
              <w:rPr>
                <w:sz w:val="14"/>
                <w:szCs w:val="20"/>
              </w:rPr>
            </w:pPr>
            <w:r w:rsidRPr="00184B6B">
              <w:rPr>
                <w:sz w:val="14"/>
                <w:szCs w:val="20"/>
              </w:rPr>
              <w:t>(0.048)</w:t>
            </w:r>
          </w:p>
        </w:tc>
      </w:tr>
      <w:tr w:rsidR="00184B6B" w:rsidRPr="00184B6B" w14:paraId="03CDBE10"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DEEB8F8" w14:textId="77777777" w:rsidR="00184B6B" w:rsidRPr="00184B6B" w:rsidRDefault="00184B6B" w:rsidP="00184B6B">
            <w:pPr>
              <w:spacing w:line="240" w:lineRule="auto"/>
              <w:ind w:firstLine="0"/>
              <w:jc w:val="left"/>
              <w:rPr>
                <w:sz w:val="14"/>
                <w:szCs w:val="20"/>
              </w:rPr>
            </w:pPr>
            <w:r w:rsidRPr="00184B6B">
              <w:rPr>
                <w:sz w:val="14"/>
                <w:szCs w:val="20"/>
              </w:rPr>
              <w:t>Muslim</w:t>
            </w:r>
          </w:p>
        </w:tc>
        <w:tc>
          <w:tcPr>
            <w:tcW w:w="469" w:type="pct"/>
            <w:tcBorders>
              <w:top w:val="nil"/>
              <w:left w:val="single" w:sz="4" w:space="0" w:color="auto"/>
              <w:bottom w:val="nil"/>
              <w:right w:val="nil"/>
            </w:tcBorders>
            <w:shd w:val="clear" w:color="auto" w:fill="auto"/>
            <w:noWrap/>
            <w:vAlign w:val="center"/>
            <w:hideMark/>
          </w:tcPr>
          <w:p w14:paraId="0A3AE574" w14:textId="77777777" w:rsidR="00184B6B" w:rsidRPr="00184B6B" w:rsidRDefault="00184B6B" w:rsidP="00184B6B">
            <w:pPr>
              <w:spacing w:line="240" w:lineRule="auto"/>
              <w:ind w:firstLine="0"/>
              <w:rPr>
                <w:sz w:val="14"/>
                <w:szCs w:val="20"/>
              </w:rPr>
            </w:pPr>
            <w:r w:rsidRPr="00184B6B">
              <w:rPr>
                <w:sz w:val="14"/>
                <w:szCs w:val="20"/>
              </w:rPr>
              <w:t>0.469***</w:t>
            </w:r>
          </w:p>
        </w:tc>
        <w:tc>
          <w:tcPr>
            <w:tcW w:w="469" w:type="pct"/>
            <w:tcBorders>
              <w:top w:val="nil"/>
              <w:left w:val="nil"/>
              <w:bottom w:val="nil"/>
              <w:right w:val="nil"/>
            </w:tcBorders>
            <w:shd w:val="clear" w:color="auto" w:fill="auto"/>
            <w:noWrap/>
            <w:vAlign w:val="center"/>
            <w:hideMark/>
          </w:tcPr>
          <w:p w14:paraId="10814113" w14:textId="77777777" w:rsidR="00184B6B" w:rsidRPr="00184B6B" w:rsidRDefault="00184B6B" w:rsidP="00184B6B">
            <w:pPr>
              <w:spacing w:line="240" w:lineRule="auto"/>
              <w:ind w:firstLine="0"/>
              <w:rPr>
                <w:sz w:val="14"/>
                <w:szCs w:val="20"/>
              </w:rPr>
            </w:pPr>
            <w:r w:rsidRPr="00184B6B">
              <w:rPr>
                <w:sz w:val="14"/>
                <w:szCs w:val="20"/>
              </w:rPr>
              <w:t>0.462***</w:t>
            </w:r>
          </w:p>
        </w:tc>
        <w:tc>
          <w:tcPr>
            <w:tcW w:w="469" w:type="pct"/>
            <w:tcBorders>
              <w:top w:val="nil"/>
              <w:left w:val="nil"/>
              <w:bottom w:val="nil"/>
              <w:right w:val="nil"/>
            </w:tcBorders>
            <w:shd w:val="clear" w:color="auto" w:fill="auto"/>
            <w:noWrap/>
            <w:vAlign w:val="center"/>
            <w:hideMark/>
          </w:tcPr>
          <w:p w14:paraId="49AA36A4" w14:textId="77777777" w:rsidR="00184B6B" w:rsidRPr="00184B6B" w:rsidRDefault="00184B6B" w:rsidP="00184B6B">
            <w:pPr>
              <w:spacing w:line="240" w:lineRule="auto"/>
              <w:ind w:firstLine="0"/>
              <w:rPr>
                <w:sz w:val="14"/>
                <w:szCs w:val="20"/>
              </w:rPr>
            </w:pPr>
            <w:r w:rsidRPr="00184B6B">
              <w:rPr>
                <w:sz w:val="14"/>
                <w:szCs w:val="20"/>
              </w:rPr>
              <w:t>0.472***</w:t>
            </w:r>
          </w:p>
        </w:tc>
        <w:tc>
          <w:tcPr>
            <w:tcW w:w="469" w:type="pct"/>
            <w:tcBorders>
              <w:top w:val="nil"/>
              <w:left w:val="nil"/>
              <w:bottom w:val="nil"/>
              <w:right w:val="single" w:sz="4" w:space="0" w:color="auto"/>
            </w:tcBorders>
            <w:shd w:val="clear" w:color="auto" w:fill="auto"/>
            <w:noWrap/>
            <w:vAlign w:val="center"/>
            <w:hideMark/>
          </w:tcPr>
          <w:p w14:paraId="21FF0906" w14:textId="77777777" w:rsidR="00184B6B" w:rsidRPr="00184B6B" w:rsidRDefault="00184B6B" w:rsidP="00184B6B">
            <w:pPr>
              <w:spacing w:line="240" w:lineRule="auto"/>
              <w:ind w:firstLine="0"/>
              <w:rPr>
                <w:sz w:val="14"/>
                <w:szCs w:val="20"/>
              </w:rPr>
            </w:pPr>
            <w:r w:rsidRPr="00184B6B">
              <w:rPr>
                <w:sz w:val="14"/>
                <w:szCs w:val="20"/>
              </w:rPr>
              <w:t>0.458***</w:t>
            </w:r>
          </w:p>
        </w:tc>
        <w:tc>
          <w:tcPr>
            <w:tcW w:w="469" w:type="pct"/>
            <w:tcBorders>
              <w:top w:val="nil"/>
              <w:left w:val="single" w:sz="4" w:space="0" w:color="auto"/>
              <w:bottom w:val="nil"/>
              <w:right w:val="nil"/>
            </w:tcBorders>
            <w:shd w:val="clear" w:color="auto" w:fill="auto"/>
            <w:noWrap/>
            <w:vAlign w:val="center"/>
            <w:hideMark/>
          </w:tcPr>
          <w:p w14:paraId="5009DDAE" w14:textId="77777777" w:rsidR="00184B6B" w:rsidRPr="00184B6B" w:rsidRDefault="00184B6B" w:rsidP="00184B6B">
            <w:pPr>
              <w:spacing w:line="240" w:lineRule="auto"/>
              <w:ind w:firstLine="0"/>
              <w:rPr>
                <w:sz w:val="14"/>
                <w:szCs w:val="20"/>
              </w:rPr>
            </w:pPr>
            <w:r w:rsidRPr="00184B6B">
              <w:rPr>
                <w:sz w:val="14"/>
                <w:szCs w:val="20"/>
              </w:rPr>
              <w:t>0.481***</w:t>
            </w:r>
          </w:p>
        </w:tc>
        <w:tc>
          <w:tcPr>
            <w:tcW w:w="469" w:type="pct"/>
            <w:tcBorders>
              <w:top w:val="nil"/>
              <w:left w:val="nil"/>
              <w:bottom w:val="nil"/>
              <w:right w:val="nil"/>
            </w:tcBorders>
            <w:shd w:val="clear" w:color="auto" w:fill="auto"/>
            <w:noWrap/>
            <w:vAlign w:val="center"/>
            <w:hideMark/>
          </w:tcPr>
          <w:p w14:paraId="258A4663" w14:textId="77777777" w:rsidR="00184B6B" w:rsidRPr="00184B6B" w:rsidRDefault="00184B6B" w:rsidP="00184B6B">
            <w:pPr>
              <w:spacing w:line="240" w:lineRule="auto"/>
              <w:ind w:firstLine="0"/>
              <w:rPr>
                <w:sz w:val="14"/>
                <w:szCs w:val="20"/>
              </w:rPr>
            </w:pPr>
            <w:r w:rsidRPr="00184B6B">
              <w:rPr>
                <w:sz w:val="14"/>
                <w:szCs w:val="20"/>
              </w:rPr>
              <w:t>0.476***</w:t>
            </w:r>
          </w:p>
        </w:tc>
        <w:tc>
          <w:tcPr>
            <w:tcW w:w="469" w:type="pct"/>
            <w:tcBorders>
              <w:top w:val="nil"/>
              <w:left w:val="nil"/>
              <w:bottom w:val="nil"/>
              <w:right w:val="nil"/>
            </w:tcBorders>
            <w:shd w:val="clear" w:color="auto" w:fill="auto"/>
            <w:noWrap/>
            <w:vAlign w:val="center"/>
            <w:hideMark/>
          </w:tcPr>
          <w:p w14:paraId="44BB0634" w14:textId="77777777" w:rsidR="00184B6B" w:rsidRPr="00184B6B" w:rsidRDefault="00184B6B" w:rsidP="00184B6B">
            <w:pPr>
              <w:spacing w:line="240" w:lineRule="auto"/>
              <w:ind w:firstLine="0"/>
              <w:rPr>
                <w:sz w:val="14"/>
                <w:szCs w:val="20"/>
              </w:rPr>
            </w:pPr>
            <w:r w:rsidRPr="00184B6B">
              <w:rPr>
                <w:sz w:val="14"/>
                <w:szCs w:val="20"/>
              </w:rPr>
              <w:t>0.481***</w:t>
            </w:r>
          </w:p>
        </w:tc>
        <w:tc>
          <w:tcPr>
            <w:tcW w:w="466" w:type="pct"/>
            <w:tcBorders>
              <w:top w:val="nil"/>
              <w:left w:val="nil"/>
              <w:bottom w:val="nil"/>
              <w:right w:val="single" w:sz="4" w:space="0" w:color="auto"/>
            </w:tcBorders>
            <w:shd w:val="clear" w:color="auto" w:fill="auto"/>
            <w:noWrap/>
            <w:vAlign w:val="center"/>
            <w:hideMark/>
          </w:tcPr>
          <w:p w14:paraId="55E9C23F" w14:textId="77777777" w:rsidR="00184B6B" w:rsidRPr="00184B6B" w:rsidRDefault="00184B6B" w:rsidP="00184B6B">
            <w:pPr>
              <w:spacing w:line="240" w:lineRule="auto"/>
              <w:ind w:firstLine="0"/>
              <w:rPr>
                <w:sz w:val="14"/>
                <w:szCs w:val="20"/>
              </w:rPr>
            </w:pPr>
            <w:r w:rsidRPr="00184B6B">
              <w:rPr>
                <w:sz w:val="14"/>
                <w:szCs w:val="20"/>
              </w:rPr>
              <w:t>0.475***</w:t>
            </w:r>
          </w:p>
        </w:tc>
      </w:tr>
      <w:tr w:rsidR="00184B6B" w:rsidRPr="00184B6B" w14:paraId="615B9794"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070110C2"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4EEC84A5"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62A9812F"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nil"/>
            </w:tcBorders>
            <w:shd w:val="clear" w:color="auto" w:fill="auto"/>
            <w:noWrap/>
            <w:vAlign w:val="center"/>
            <w:hideMark/>
          </w:tcPr>
          <w:p w14:paraId="1BCDE0B6"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single" w:sz="4" w:space="0" w:color="auto"/>
            </w:tcBorders>
            <w:shd w:val="clear" w:color="auto" w:fill="auto"/>
            <w:noWrap/>
            <w:vAlign w:val="center"/>
            <w:hideMark/>
          </w:tcPr>
          <w:p w14:paraId="44326A87"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single" w:sz="4" w:space="0" w:color="auto"/>
              <w:bottom w:val="nil"/>
              <w:right w:val="nil"/>
            </w:tcBorders>
            <w:shd w:val="clear" w:color="auto" w:fill="auto"/>
            <w:noWrap/>
            <w:vAlign w:val="center"/>
            <w:hideMark/>
          </w:tcPr>
          <w:p w14:paraId="5D2D90A9" w14:textId="77777777" w:rsidR="00184B6B" w:rsidRPr="00184B6B" w:rsidRDefault="00184B6B" w:rsidP="00184B6B">
            <w:pPr>
              <w:spacing w:line="240" w:lineRule="auto"/>
              <w:ind w:firstLine="0"/>
              <w:rPr>
                <w:sz w:val="14"/>
                <w:szCs w:val="20"/>
              </w:rPr>
            </w:pPr>
            <w:r w:rsidRPr="00184B6B">
              <w:rPr>
                <w:sz w:val="14"/>
                <w:szCs w:val="20"/>
              </w:rPr>
              <w:t>(0.043)</w:t>
            </w:r>
          </w:p>
        </w:tc>
        <w:tc>
          <w:tcPr>
            <w:tcW w:w="469" w:type="pct"/>
            <w:tcBorders>
              <w:top w:val="nil"/>
              <w:left w:val="nil"/>
              <w:bottom w:val="nil"/>
              <w:right w:val="nil"/>
            </w:tcBorders>
            <w:shd w:val="clear" w:color="auto" w:fill="auto"/>
            <w:noWrap/>
            <w:vAlign w:val="center"/>
            <w:hideMark/>
          </w:tcPr>
          <w:p w14:paraId="38139882" w14:textId="77777777" w:rsidR="00184B6B" w:rsidRPr="00184B6B" w:rsidRDefault="00184B6B" w:rsidP="00184B6B">
            <w:pPr>
              <w:spacing w:line="240" w:lineRule="auto"/>
              <w:ind w:firstLine="0"/>
              <w:rPr>
                <w:sz w:val="14"/>
                <w:szCs w:val="20"/>
              </w:rPr>
            </w:pPr>
            <w:r w:rsidRPr="00184B6B">
              <w:rPr>
                <w:sz w:val="14"/>
                <w:szCs w:val="20"/>
              </w:rPr>
              <w:t>(0.043)</w:t>
            </w:r>
          </w:p>
        </w:tc>
        <w:tc>
          <w:tcPr>
            <w:tcW w:w="469" w:type="pct"/>
            <w:tcBorders>
              <w:top w:val="nil"/>
              <w:left w:val="nil"/>
              <w:bottom w:val="nil"/>
              <w:right w:val="nil"/>
            </w:tcBorders>
            <w:shd w:val="clear" w:color="auto" w:fill="auto"/>
            <w:noWrap/>
            <w:vAlign w:val="center"/>
            <w:hideMark/>
          </w:tcPr>
          <w:p w14:paraId="62CE8964" w14:textId="77777777" w:rsidR="00184B6B" w:rsidRPr="00184B6B" w:rsidRDefault="00184B6B" w:rsidP="00184B6B">
            <w:pPr>
              <w:spacing w:line="240" w:lineRule="auto"/>
              <w:ind w:firstLine="0"/>
              <w:rPr>
                <w:sz w:val="14"/>
                <w:szCs w:val="20"/>
              </w:rPr>
            </w:pPr>
            <w:r w:rsidRPr="00184B6B">
              <w:rPr>
                <w:sz w:val="14"/>
                <w:szCs w:val="20"/>
              </w:rPr>
              <w:t>(0.043)</w:t>
            </w:r>
          </w:p>
        </w:tc>
        <w:tc>
          <w:tcPr>
            <w:tcW w:w="466" w:type="pct"/>
            <w:tcBorders>
              <w:top w:val="nil"/>
              <w:left w:val="nil"/>
              <w:bottom w:val="nil"/>
              <w:right w:val="single" w:sz="4" w:space="0" w:color="auto"/>
            </w:tcBorders>
            <w:shd w:val="clear" w:color="auto" w:fill="auto"/>
            <w:noWrap/>
            <w:vAlign w:val="center"/>
            <w:hideMark/>
          </w:tcPr>
          <w:p w14:paraId="2879BD30" w14:textId="77777777" w:rsidR="00184B6B" w:rsidRPr="00184B6B" w:rsidRDefault="00184B6B" w:rsidP="00184B6B">
            <w:pPr>
              <w:spacing w:line="240" w:lineRule="auto"/>
              <w:ind w:firstLine="0"/>
              <w:rPr>
                <w:sz w:val="14"/>
                <w:szCs w:val="20"/>
              </w:rPr>
            </w:pPr>
            <w:r w:rsidRPr="00184B6B">
              <w:rPr>
                <w:sz w:val="14"/>
                <w:szCs w:val="20"/>
              </w:rPr>
              <w:t>(0.043)</w:t>
            </w:r>
          </w:p>
        </w:tc>
      </w:tr>
      <w:tr w:rsidR="00184B6B" w:rsidRPr="00184B6B" w14:paraId="03564EFA"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1D2EB00" w14:textId="77777777" w:rsidR="00184B6B" w:rsidRPr="00184B6B" w:rsidRDefault="00184B6B" w:rsidP="00184B6B">
            <w:pPr>
              <w:spacing w:line="240" w:lineRule="auto"/>
              <w:ind w:firstLine="0"/>
              <w:jc w:val="left"/>
              <w:rPr>
                <w:sz w:val="14"/>
                <w:szCs w:val="20"/>
              </w:rPr>
            </w:pPr>
            <w:r w:rsidRPr="00184B6B">
              <w:rPr>
                <w:sz w:val="14"/>
                <w:szCs w:val="20"/>
              </w:rPr>
              <w:t>Religion: other</w:t>
            </w:r>
          </w:p>
        </w:tc>
        <w:tc>
          <w:tcPr>
            <w:tcW w:w="469" w:type="pct"/>
            <w:tcBorders>
              <w:top w:val="nil"/>
              <w:left w:val="single" w:sz="4" w:space="0" w:color="auto"/>
              <w:bottom w:val="nil"/>
              <w:right w:val="nil"/>
            </w:tcBorders>
            <w:shd w:val="clear" w:color="auto" w:fill="auto"/>
            <w:noWrap/>
            <w:vAlign w:val="center"/>
            <w:hideMark/>
          </w:tcPr>
          <w:p w14:paraId="638E177E" w14:textId="77777777" w:rsidR="00184B6B" w:rsidRPr="00184B6B" w:rsidRDefault="00184B6B" w:rsidP="00184B6B">
            <w:pPr>
              <w:spacing w:line="240" w:lineRule="auto"/>
              <w:ind w:firstLine="0"/>
              <w:rPr>
                <w:sz w:val="14"/>
                <w:szCs w:val="20"/>
              </w:rPr>
            </w:pPr>
            <w:r w:rsidRPr="00184B6B">
              <w:rPr>
                <w:sz w:val="14"/>
                <w:szCs w:val="20"/>
              </w:rPr>
              <w:t>0.248***</w:t>
            </w:r>
          </w:p>
        </w:tc>
        <w:tc>
          <w:tcPr>
            <w:tcW w:w="469" w:type="pct"/>
            <w:tcBorders>
              <w:top w:val="nil"/>
              <w:left w:val="nil"/>
              <w:bottom w:val="nil"/>
              <w:right w:val="nil"/>
            </w:tcBorders>
            <w:shd w:val="clear" w:color="auto" w:fill="auto"/>
            <w:noWrap/>
            <w:vAlign w:val="center"/>
            <w:hideMark/>
          </w:tcPr>
          <w:p w14:paraId="5D283B53" w14:textId="77777777" w:rsidR="00184B6B" w:rsidRPr="00184B6B" w:rsidRDefault="00184B6B" w:rsidP="00184B6B">
            <w:pPr>
              <w:spacing w:line="240" w:lineRule="auto"/>
              <w:ind w:firstLine="0"/>
              <w:rPr>
                <w:sz w:val="14"/>
                <w:szCs w:val="20"/>
              </w:rPr>
            </w:pPr>
            <w:r w:rsidRPr="00184B6B">
              <w:rPr>
                <w:sz w:val="14"/>
                <w:szCs w:val="20"/>
              </w:rPr>
              <w:t>0.249***</w:t>
            </w:r>
          </w:p>
        </w:tc>
        <w:tc>
          <w:tcPr>
            <w:tcW w:w="469" w:type="pct"/>
            <w:tcBorders>
              <w:top w:val="nil"/>
              <w:left w:val="nil"/>
              <w:bottom w:val="nil"/>
              <w:right w:val="nil"/>
            </w:tcBorders>
            <w:shd w:val="clear" w:color="auto" w:fill="auto"/>
            <w:noWrap/>
            <w:vAlign w:val="center"/>
            <w:hideMark/>
          </w:tcPr>
          <w:p w14:paraId="6B78D756" w14:textId="77777777" w:rsidR="00184B6B" w:rsidRPr="00184B6B" w:rsidRDefault="00184B6B" w:rsidP="00184B6B">
            <w:pPr>
              <w:spacing w:line="240" w:lineRule="auto"/>
              <w:ind w:firstLine="0"/>
              <w:rPr>
                <w:sz w:val="14"/>
                <w:szCs w:val="20"/>
              </w:rPr>
            </w:pPr>
            <w:r w:rsidRPr="00184B6B">
              <w:rPr>
                <w:sz w:val="14"/>
                <w:szCs w:val="20"/>
              </w:rPr>
              <w:t>0.245***</w:t>
            </w:r>
          </w:p>
        </w:tc>
        <w:tc>
          <w:tcPr>
            <w:tcW w:w="469" w:type="pct"/>
            <w:tcBorders>
              <w:top w:val="nil"/>
              <w:left w:val="nil"/>
              <w:bottom w:val="nil"/>
              <w:right w:val="single" w:sz="4" w:space="0" w:color="auto"/>
            </w:tcBorders>
            <w:shd w:val="clear" w:color="auto" w:fill="auto"/>
            <w:noWrap/>
            <w:vAlign w:val="center"/>
            <w:hideMark/>
          </w:tcPr>
          <w:p w14:paraId="15E9E592" w14:textId="77777777" w:rsidR="00184B6B" w:rsidRPr="00184B6B" w:rsidRDefault="00184B6B" w:rsidP="00184B6B">
            <w:pPr>
              <w:spacing w:line="240" w:lineRule="auto"/>
              <w:ind w:firstLine="0"/>
              <w:rPr>
                <w:sz w:val="14"/>
                <w:szCs w:val="20"/>
              </w:rPr>
            </w:pPr>
            <w:r w:rsidRPr="00184B6B">
              <w:rPr>
                <w:sz w:val="14"/>
                <w:szCs w:val="20"/>
              </w:rPr>
              <w:t>0.244***</w:t>
            </w:r>
          </w:p>
        </w:tc>
        <w:tc>
          <w:tcPr>
            <w:tcW w:w="469" w:type="pct"/>
            <w:tcBorders>
              <w:top w:val="nil"/>
              <w:left w:val="single" w:sz="4" w:space="0" w:color="auto"/>
              <w:bottom w:val="nil"/>
              <w:right w:val="nil"/>
            </w:tcBorders>
            <w:shd w:val="clear" w:color="auto" w:fill="auto"/>
            <w:noWrap/>
            <w:vAlign w:val="center"/>
            <w:hideMark/>
          </w:tcPr>
          <w:p w14:paraId="4918D819" w14:textId="77777777" w:rsidR="00184B6B" w:rsidRPr="00184B6B" w:rsidRDefault="00184B6B" w:rsidP="00184B6B">
            <w:pPr>
              <w:spacing w:line="240" w:lineRule="auto"/>
              <w:ind w:firstLine="0"/>
              <w:rPr>
                <w:sz w:val="14"/>
                <w:szCs w:val="20"/>
              </w:rPr>
            </w:pPr>
            <w:r w:rsidRPr="00184B6B">
              <w:rPr>
                <w:sz w:val="14"/>
                <w:szCs w:val="20"/>
              </w:rPr>
              <w:t>0.115**</w:t>
            </w:r>
          </w:p>
        </w:tc>
        <w:tc>
          <w:tcPr>
            <w:tcW w:w="469" w:type="pct"/>
            <w:tcBorders>
              <w:top w:val="nil"/>
              <w:left w:val="nil"/>
              <w:bottom w:val="nil"/>
              <w:right w:val="nil"/>
            </w:tcBorders>
            <w:shd w:val="clear" w:color="auto" w:fill="auto"/>
            <w:noWrap/>
            <w:vAlign w:val="center"/>
            <w:hideMark/>
          </w:tcPr>
          <w:p w14:paraId="59270A8D" w14:textId="77777777" w:rsidR="00184B6B" w:rsidRPr="00184B6B" w:rsidRDefault="00184B6B" w:rsidP="00184B6B">
            <w:pPr>
              <w:spacing w:line="240" w:lineRule="auto"/>
              <w:ind w:firstLine="0"/>
              <w:rPr>
                <w:sz w:val="14"/>
                <w:szCs w:val="20"/>
              </w:rPr>
            </w:pPr>
            <w:r w:rsidRPr="00184B6B">
              <w:rPr>
                <w:sz w:val="14"/>
                <w:szCs w:val="20"/>
              </w:rPr>
              <w:t>0.113**</w:t>
            </w:r>
          </w:p>
        </w:tc>
        <w:tc>
          <w:tcPr>
            <w:tcW w:w="469" w:type="pct"/>
            <w:tcBorders>
              <w:top w:val="nil"/>
              <w:left w:val="nil"/>
              <w:bottom w:val="nil"/>
              <w:right w:val="nil"/>
            </w:tcBorders>
            <w:shd w:val="clear" w:color="auto" w:fill="auto"/>
            <w:noWrap/>
            <w:vAlign w:val="center"/>
            <w:hideMark/>
          </w:tcPr>
          <w:p w14:paraId="49CCAA66" w14:textId="77777777" w:rsidR="00184B6B" w:rsidRPr="00184B6B" w:rsidRDefault="00184B6B" w:rsidP="00184B6B">
            <w:pPr>
              <w:spacing w:line="240" w:lineRule="auto"/>
              <w:ind w:firstLine="0"/>
              <w:rPr>
                <w:sz w:val="14"/>
                <w:szCs w:val="20"/>
              </w:rPr>
            </w:pPr>
            <w:r w:rsidRPr="00184B6B">
              <w:rPr>
                <w:sz w:val="14"/>
                <w:szCs w:val="20"/>
              </w:rPr>
              <w:t>0.113**</w:t>
            </w:r>
          </w:p>
        </w:tc>
        <w:tc>
          <w:tcPr>
            <w:tcW w:w="466" w:type="pct"/>
            <w:tcBorders>
              <w:top w:val="nil"/>
              <w:left w:val="nil"/>
              <w:bottom w:val="nil"/>
              <w:right w:val="single" w:sz="4" w:space="0" w:color="auto"/>
            </w:tcBorders>
            <w:shd w:val="clear" w:color="auto" w:fill="auto"/>
            <w:noWrap/>
            <w:vAlign w:val="center"/>
            <w:hideMark/>
          </w:tcPr>
          <w:p w14:paraId="4BB1E977" w14:textId="77777777" w:rsidR="00184B6B" w:rsidRPr="00184B6B" w:rsidRDefault="00184B6B" w:rsidP="00184B6B">
            <w:pPr>
              <w:spacing w:line="240" w:lineRule="auto"/>
              <w:ind w:firstLine="0"/>
              <w:rPr>
                <w:sz w:val="14"/>
                <w:szCs w:val="20"/>
              </w:rPr>
            </w:pPr>
            <w:r w:rsidRPr="00184B6B">
              <w:rPr>
                <w:sz w:val="14"/>
                <w:szCs w:val="20"/>
              </w:rPr>
              <w:t>0.112**</w:t>
            </w:r>
          </w:p>
        </w:tc>
      </w:tr>
      <w:tr w:rsidR="00184B6B" w:rsidRPr="00184B6B" w14:paraId="0BE537CE"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1209102"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967B870" w14:textId="77777777" w:rsidR="00184B6B" w:rsidRPr="00184B6B" w:rsidRDefault="00184B6B" w:rsidP="00184B6B">
            <w:pPr>
              <w:spacing w:line="240" w:lineRule="auto"/>
              <w:ind w:firstLine="0"/>
              <w:rPr>
                <w:sz w:val="14"/>
                <w:szCs w:val="20"/>
              </w:rPr>
            </w:pPr>
            <w:r w:rsidRPr="00184B6B">
              <w:rPr>
                <w:sz w:val="14"/>
                <w:szCs w:val="20"/>
              </w:rPr>
              <w:t>(0.077)</w:t>
            </w:r>
          </w:p>
        </w:tc>
        <w:tc>
          <w:tcPr>
            <w:tcW w:w="469" w:type="pct"/>
            <w:tcBorders>
              <w:top w:val="nil"/>
              <w:left w:val="nil"/>
              <w:bottom w:val="nil"/>
              <w:right w:val="nil"/>
            </w:tcBorders>
            <w:shd w:val="clear" w:color="auto" w:fill="auto"/>
            <w:noWrap/>
            <w:vAlign w:val="center"/>
            <w:hideMark/>
          </w:tcPr>
          <w:p w14:paraId="1B1BA22B" w14:textId="77777777" w:rsidR="00184B6B" w:rsidRPr="00184B6B" w:rsidRDefault="00184B6B" w:rsidP="00184B6B">
            <w:pPr>
              <w:spacing w:line="240" w:lineRule="auto"/>
              <w:ind w:firstLine="0"/>
              <w:rPr>
                <w:sz w:val="14"/>
                <w:szCs w:val="20"/>
              </w:rPr>
            </w:pPr>
            <w:r w:rsidRPr="00184B6B">
              <w:rPr>
                <w:sz w:val="14"/>
                <w:szCs w:val="20"/>
              </w:rPr>
              <w:t>(0.077)</w:t>
            </w:r>
          </w:p>
        </w:tc>
        <w:tc>
          <w:tcPr>
            <w:tcW w:w="469" w:type="pct"/>
            <w:tcBorders>
              <w:top w:val="nil"/>
              <w:left w:val="nil"/>
              <w:bottom w:val="nil"/>
              <w:right w:val="nil"/>
            </w:tcBorders>
            <w:shd w:val="clear" w:color="auto" w:fill="auto"/>
            <w:noWrap/>
            <w:vAlign w:val="center"/>
            <w:hideMark/>
          </w:tcPr>
          <w:p w14:paraId="0E28FA4E" w14:textId="77777777" w:rsidR="00184B6B" w:rsidRPr="00184B6B" w:rsidRDefault="00184B6B" w:rsidP="00184B6B">
            <w:pPr>
              <w:spacing w:line="240" w:lineRule="auto"/>
              <w:ind w:firstLine="0"/>
              <w:rPr>
                <w:sz w:val="14"/>
                <w:szCs w:val="20"/>
              </w:rPr>
            </w:pPr>
            <w:r w:rsidRPr="00184B6B">
              <w:rPr>
                <w:sz w:val="14"/>
                <w:szCs w:val="20"/>
              </w:rPr>
              <w:t>(0.077)</w:t>
            </w:r>
          </w:p>
        </w:tc>
        <w:tc>
          <w:tcPr>
            <w:tcW w:w="469" w:type="pct"/>
            <w:tcBorders>
              <w:top w:val="nil"/>
              <w:left w:val="nil"/>
              <w:bottom w:val="nil"/>
              <w:right w:val="single" w:sz="4" w:space="0" w:color="auto"/>
            </w:tcBorders>
            <w:shd w:val="clear" w:color="auto" w:fill="auto"/>
            <w:noWrap/>
            <w:vAlign w:val="center"/>
            <w:hideMark/>
          </w:tcPr>
          <w:p w14:paraId="55173C08" w14:textId="77777777" w:rsidR="00184B6B" w:rsidRPr="00184B6B" w:rsidRDefault="00184B6B" w:rsidP="00184B6B">
            <w:pPr>
              <w:spacing w:line="240" w:lineRule="auto"/>
              <w:ind w:firstLine="0"/>
              <w:rPr>
                <w:sz w:val="14"/>
                <w:szCs w:val="20"/>
              </w:rPr>
            </w:pPr>
            <w:r w:rsidRPr="00184B6B">
              <w:rPr>
                <w:sz w:val="14"/>
                <w:szCs w:val="20"/>
              </w:rPr>
              <w:t>(0.077)</w:t>
            </w:r>
          </w:p>
        </w:tc>
        <w:tc>
          <w:tcPr>
            <w:tcW w:w="469" w:type="pct"/>
            <w:tcBorders>
              <w:top w:val="nil"/>
              <w:left w:val="single" w:sz="4" w:space="0" w:color="auto"/>
              <w:bottom w:val="nil"/>
              <w:right w:val="nil"/>
            </w:tcBorders>
            <w:shd w:val="clear" w:color="auto" w:fill="auto"/>
            <w:noWrap/>
            <w:vAlign w:val="center"/>
            <w:hideMark/>
          </w:tcPr>
          <w:p w14:paraId="7766D37F" w14:textId="77777777" w:rsidR="00184B6B" w:rsidRPr="00184B6B" w:rsidRDefault="00184B6B" w:rsidP="00184B6B">
            <w:pPr>
              <w:spacing w:line="240" w:lineRule="auto"/>
              <w:ind w:firstLine="0"/>
              <w:rPr>
                <w:sz w:val="14"/>
                <w:szCs w:val="20"/>
              </w:rPr>
            </w:pPr>
            <w:r w:rsidRPr="00184B6B">
              <w:rPr>
                <w:sz w:val="14"/>
                <w:szCs w:val="20"/>
              </w:rPr>
              <w:t>(0.052)</w:t>
            </w:r>
          </w:p>
        </w:tc>
        <w:tc>
          <w:tcPr>
            <w:tcW w:w="469" w:type="pct"/>
            <w:tcBorders>
              <w:top w:val="nil"/>
              <w:left w:val="nil"/>
              <w:bottom w:val="nil"/>
              <w:right w:val="nil"/>
            </w:tcBorders>
            <w:shd w:val="clear" w:color="auto" w:fill="auto"/>
            <w:noWrap/>
            <w:vAlign w:val="center"/>
            <w:hideMark/>
          </w:tcPr>
          <w:p w14:paraId="3ECCB21D" w14:textId="77777777" w:rsidR="00184B6B" w:rsidRPr="00184B6B" w:rsidRDefault="00184B6B" w:rsidP="00184B6B">
            <w:pPr>
              <w:spacing w:line="240" w:lineRule="auto"/>
              <w:ind w:firstLine="0"/>
              <w:rPr>
                <w:sz w:val="14"/>
                <w:szCs w:val="20"/>
              </w:rPr>
            </w:pPr>
            <w:r w:rsidRPr="00184B6B">
              <w:rPr>
                <w:sz w:val="14"/>
                <w:szCs w:val="20"/>
              </w:rPr>
              <w:t>(0.052)</w:t>
            </w:r>
          </w:p>
        </w:tc>
        <w:tc>
          <w:tcPr>
            <w:tcW w:w="469" w:type="pct"/>
            <w:tcBorders>
              <w:top w:val="nil"/>
              <w:left w:val="nil"/>
              <w:bottom w:val="nil"/>
              <w:right w:val="nil"/>
            </w:tcBorders>
            <w:shd w:val="clear" w:color="auto" w:fill="auto"/>
            <w:noWrap/>
            <w:vAlign w:val="center"/>
            <w:hideMark/>
          </w:tcPr>
          <w:p w14:paraId="4DD9C97E" w14:textId="77777777" w:rsidR="00184B6B" w:rsidRPr="00184B6B" w:rsidRDefault="00184B6B" w:rsidP="00184B6B">
            <w:pPr>
              <w:spacing w:line="240" w:lineRule="auto"/>
              <w:ind w:firstLine="0"/>
              <w:rPr>
                <w:sz w:val="14"/>
                <w:szCs w:val="20"/>
              </w:rPr>
            </w:pPr>
            <w:r w:rsidRPr="00184B6B">
              <w:rPr>
                <w:sz w:val="14"/>
                <w:szCs w:val="20"/>
              </w:rPr>
              <w:t>(0.052)</w:t>
            </w:r>
          </w:p>
        </w:tc>
        <w:tc>
          <w:tcPr>
            <w:tcW w:w="466" w:type="pct"/>
            <w:tcBorders>
              <w:top w:val="nil"/>
              <w:left w:val="nil"/>
              <w:bottom w:val="nil"/>
              <w:right w:val="single" w:sz="4" w:space="0" w:color="auto"/>
            </w:tcBorders>
            <w:shd w:val="clear" w:color="auto" w:fill="auto"/>
            <w:noWrap/>
            <w:vAlign w:val="center"/>
            <w:hideMark/>
          </w:tcPr>
          <w:p w14:paraId="3713C123" w14:textId="77777777" w:rsidR="00184B6B" w:rsidRPr="00184B6B" w:rsidRDefault="00184B6B" w:rsidP="00184B6B">
            <w:pPr>
              <w:spacing w:line="240" w:lineRule="auto"/>
              <w:ind w:firstLine="0"/>
              <w:rPr>
                <w:sz w:val="14"/>
                <w:szCs w:val="20"/>
              </w:rPr>
            </w:pPr>
            <w:r w:rsidRPr="00184B6B">
              <w:rPr>
                <w:sz w:val="14"/>
                <w:szCs w:val="20"/>
              </w:rPr>
              <w:t>(0.052)</w:t>
            </w:r>
          </w:p>
        </w:tc>
      </w:tr>
      <w:tr w:rsidR="00184B6B" w:rsidRPr="00184B6B" w14:paraId="6F269113"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39A9660" w14:textId="77777777" w:rsidR="00184B6B" w:rsidRPr="00184B6B" w:rsidRDefault="00184B6B" w:rsidP="00184B6B">
            <w:pPr>
              <w:spacing w:line="240" w:lineRule="auto"/>
              <w:ind w:firstLine="0"/>
              <w:jc w:val="left"/>
              <w:rPr>
                <w:sz w:val="14"/>
                <w:szCs w:val="20"/>
              </w:rPr>
            </w:pPr>
            <w:r w:rsidRPr="00184B6B">
              <w:rPr>
                <w:sz w:val="14"/>
                <w:szCs w:val="20"/>
              </w:rPr>
              <w:t>Support for national government</w:t>
            </w:r>
          </w:p>
        </w:tc>
        <w:tc>
          <w:tcPr>
            <w:tcW w:w="469" w:type="pct"/>
            <w:tcBorders>
              <w:top w:val="nil"/>
              <w:left w:val="single" w:sz="4" w:space="0" w:color="auto"/>
              <w:bottom w:val="nil"/>
              <w:right w:val="nil"/>
            </w:tcBorders>
            <w:shd w:val="clear" w:color="auto" w:fill="auto"/>
            <w:noWrap/>
            <w:vAlign w:val="center"/>
            <w:hideMark/>
          </w:tcPr>
          <w:p w14:paraId="0C87D817" w14:textId="77777777" w:rsidR="00184B6B" w:rsidRPr="00184B6B" w:rsidRDefault="00184B6B" w:rsidP="00184B6B">
            <w:pPr>
              <w:spacing w:line="240" w:lineRule="auto"/>
              <w:ind w:firstLine="0"/>
              <w:rPr>
                <w:sz w:val="14"/>
                <w:szCs w:val="20"/>
              </w:rPr>
            </w:pPr>
            <w:r w:rsidRPr="00184B6B">
              <w:rPr>
                <w:sz w:val="14"/>
                <w:szCs w:val="20"/>
              </w:rPr>
              <w:t>0.096***</w:t>
            </w:r>
          </w:p>
        </w:tc>
        <w:tc>
          <w:tcPr>
            <w:tcW w:w="469" w:type="pct"/>
            <w:tcBorders>
              <w:top w:val="nil"/>
              <w:left w:val="nil"/>
              <w:bottom w:val="nil"/>
              <w:right w:val="nil"/>
            </w:tcBorders>
            <w:shd w:val="clear" w:color="auto" w:fill="auto"/>
            <w:noWrap/>
            <w:vAlign w:val="center"/>
            <w:hideMark/>
          </w:tcPr>
          <w:p w14:paraId="52799D88" w14:textId="77777777" w:rsidR="00184B6B" w:rsidRPr="00184B6B" w:rsidRDefault="00184B6B" w:rsidP="00184B6B">
            <w:pPr>
              <w:spacing w:line="240" w:lineRule="auto"/>
              <w:ind w:firstLine="0"/>
              <w:rPr>
                <w:sz w:val="14"/>
                <w:szCs w:val="20"/>
              </w:rPr>
            </w:pPr>
            <w:r w:rsidRPr="00184B6B">
              <w:rPr>
                <w:sz w:val="14"/>
                <w:szCs w:val="20"/>
              </w:rPr>
              <w:t>0.094***</w:t>
            </w:r>
          </w:p>
        </w:tc>
        <w:tc>
          <w:tcPr>
            <w:tcW w:w="469" w:type="pct"/>
            <w:tcBorders>
              <w:top w:val="nil"/>
              <w:left w:val="nil"/>
              <w:bottom w:val="nil"/>
              <w:right w:val="nil"/>
            </w:tcBorders>
            <w:shd w:val="clear" w:color="auto" w:fill="auto"/>
            <w:noWrap/>
            <w:vAlign w:val="center"/>
            <w:hideMark/>
          </w:tcPr>
          <w:p w14:paraId="1E9D4692" w14:textId="77777777" w:rsidR="00184B6B" w:rsidRPr="00184B6B" w:rsidRDefault="00184B6B" w:rsidP="00184B6B">
            <w:pPr>
              <w:spacing w:line="240" w:lineRule="auto"/>
              <w:ind w:firstLine="0"/>
              <w:rPr>
                <w:sz w:val="14"/>
                <w:szCs w:val="20"/>
              </w:rPr>
            </w:pPr>
            <w:r w:rsidRPr="00184B6B">
              <w:rPr>
                <w:sz w:val="14"/>
                <w:szCs w:val="20"/>
              </w:rPr>
              <w:t>0.094***</w:t>
            </w:r>
          </w:p>
        </w:tc>
        <w:tc>
          <w:tcPr>
            <w:tcW w:w="469" w:type="pct"/>
            <w:tcBorders>
              <w:top w:val="nil"/>
              <w:left w:val="nil"/>
              <w:bottom w:val="nil"/>
              <w:right w:val="single" w:sz="4" w:space="0" w:color="auto"/>
            </w:tcBorders>
            <w:shd w:val="clear" w:color="auto" w:fill="auto"/>
            <w:noWrap/>
            <w:vAlign w:val="center"/>
            <w:hideMark/>
          </w:tcPr>
          <w:p w14:paraId="12A9128D" w14:textId="77777777" w:rsidR="00184B6B" w:rsidRPr="00184B6B" w:rsidRDefault="00184B6B" w:rsidP="00184B6B">
            <w:pPr>
              <w:spacing w:line="240" w:lineRule="auto"/>
              <w:ind w:firstLine="0"/>
              <w:rPr>
                <w:sz w:val="14"/>
                <w:szCs w:val="20"/>
              </w:rPr>
            </w:pPr>
            <w:r w:rsidRPr="00184B6B">
              <w:rPr>
                <w:sz w:val="14"/>
                <w:szCs w:val="20"/>
              </w:rPr>
              <w:t>0.095***</w:t>
            </w:r>
          </w:p>
        </w:tc>
        <w:tc>
          <w:tcPr>
            <w:tcW w:w="469" w:type="pct"/>
            <w:tcBorders>
              <w:top w:val="nil"/>
              <w:left w:val="single" w:sz="4" w:space="0" w:color="auto"/>
              <w:bottom w:val="nil"/>
              <w:right w:val="nil"/>
            </w:tcBorders>
            <w:shd w:val="clear" w:color="auto" w:fill="auto"/>
            <w:noWrap/>
            <w:vAlign w:val="center"/>
            <w:hideMark/>
          </w:tcPr>
          <w:p w14:paraId="7B3977F2" w14:textId="77777777" w:rsidR="00184B6B" w:rsidRPr="00184B6B" w:rsidRDefault="00184B6B" w:rsidP="00184B6B">
            <w:pPr>
              <w:spacing w:line="240" w:lineRule="auto"/>
              <w:ind w:firstLine="0"/>
              <w:rPr>
                <w:sz w:val="14"/>
                <w:szCs w:val="20"/>
              </w:rPr>
            </w:pPr>
            <w:r w:rsidRPr="00184B6B">
              <w:rPr>
                <w:sz w:val="14"/>
                <w:szCs w:val="20"/>
              </w:rPr>
              <w:t>0.100***</w:t>
            </w:r>
          </w:p>
        </w:tc>
        <w:tc>
          <w:tcPr>
            <w:tcW w:w="469" w:type="pct"/>
            <w:tcBorders>
              <w:top w:val="nil"/>
              <w:left w:val="nil"/>
              <w:bottom w:val="nil"/>
              <w:right w:val="nil"/>
            </w:tcBorders>
            <w:shd w:val="clear" w:color="auto" w:fill="auto"/>
            <w:noWrap/>
            <w:vAlign w:val="center"/>
            <w:hideMark/>
          </w:tcPr>
          <w:p w14:paraId="66BB7F1D" w14:textId="77777777" w:rsidR="00184B6B" w:rsidRPr="00184B6B" w:rsidRDefault="00184B6B" w:rsidP="00184B6B">
            <w:pPr>
              <w:spacing w:line="240" w:lineRule="auto"/>
              <w:ind w:firstLine="0"/>
              <w:rPr>
                <w:sz w:val="14"/>
                <w:szCs w:val="20"/>
              </w:rPr>
            </w:pPr>
            <w:r w:rsidRPr="00184B6B">
              <w:rPr>
                <w:sz w:val="14"/>
                <w:szCs w:val="20"/>
              </w:rPr>
              <w:t>0.099***</w:t>
            </w:r>
          </w:p>
        </w:tc>
        <w:tc>
          <w:tcPr>
            <w:tcW w:w="469" w:type="pct"/>
            <w:tcBorders>
              <w:top w:val="nil"/>
              <w:left w:val="nil"/>
              <w:bottom w:val="nil"/>
              <w:right w:val="nil"/>
            </w:tcBorders>
            <w:shd w:val="clear" w:color="auto" w:fill="auto"/>
            <w:noWrap/>
            <w:vAlign w:val="center"/>
            <w:hideMark/>
          </w:tcPr>
          <w:p w14:paraId="420873A5" w14:textId="77777777" w:rsidR="00184B6B" w:rsidRPr="00184B6B" w:rsidRDefault="00184B6B" w:rsidP="00184B6B">
            <w:pPr>
              <w:spacing w:line="240" w:lineRule="auto"/>
              <w:ind w:firstLine="0"/>
              <w:rPr>
                <w:sz w:val="14"/>
                <w:szCs w:val="20"/>
              </w:rPr>
            </w:pPr>
            <w:r w:rsidRPr="00184B6B">
              <w:rPr>
                <w:sz w:val="14"/>
                <w:szCs w:val="20"/>
              </w:rPr>
              <w:t>0.098***</w:t>
            </w:r>
          </w:p>
        </w:tc>
        <w:tc>
          <w:tcPr>
            <w:tcW w:w="466" w:type="pct"/>
            <w:tcBorders>
              <w:top w:val="nil"/>
              <w:left w:val="nil"/>
              <w:bottom w:val="nil"/>
              <w:right w:val="single" w:sz="4" w:space="0" w:color="auto"/>
            </w:tcBorders>
            <w:shd w:val="clear" w:color="auto" w:fill="auto"/>
            <w:noWrap/>
            <w:vAlign w:val="center"/>
            <w:hideMark/>
          </w:tcPr>
          <w:p w14:paraId="5949614C" w14:textId="77777777" w:rsidR="00184B6B" w:rsidRPr="00184B6B" w:rsidRDefault="00184B6B" w:rsidP="00184B6B">
            <w:pPr>
              <w:spacing w:line="240" w:lineRule="auto"/>
              <w:ind w:firstLine="0"/>
              <w:rPr>
                <w:sz w:val="14"/>
                <w:szCs w:val="20"/>
              </w:rPr>
            </w:pPr>
            <w:r w:rsidRPr="00184B6B">
              <w:rPr>
                <w:sz w:val="14"/>
                <w:szCs w:val="20"/>
              </w:rPr>
              <w:t>0.099***</w:t>
            </w:r>
          </w:p>
        </w:tc>
      </w:tr>
      <w:tr w:rsidR="00184B6B" w:rsidRPr="00184B6B" w14:paraId="2181ACDD"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5987865"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354F8326" w14:textId="77777777" w:rsidR="00184B6B" w:rsidRPr="00184B6B" w:rsidRDefault="00184B6B" w:rsidP="00184B6B">
            <w:pPr>
              <w:spacing w:line="240" w:lineRule="auto"/>
              <w:ind w:firstLine="0"/>
              <w:rPr>
                <w:sz w:val="14"/>
                <w:szCs w:val="20"/>
              </w:rPr>
            </w:pPr>
            <w:r w:rsidRPr="00184B6B">
              <w:rPr>
                <w:sz w:val="14"/>
                <w:szCs w:val="20"/>
              </w:rPr>
              <w:t>(0.022)</w:t>
            </w:r>
          </w:p>
        </w:tc>
        <w:tc>
          <w:tcPr>
            <w:tcW w:w="469" w:type="pct"/>
            <w:tcBorders>
              <w:top w:val="nil"/>
              <w:left w:val="nil"/>
              <w:bottom w:val="nil"/>
              <w:right w:val="nil"/>
            </w:tcBorders>
            <w:shd w:val="clear" w:color="auto" w:fill="auto"/>
            <w:noWrap/>
            <w:vAlign w:val="center"/>
            <w:hideMark/>
          </w:tcPr>
          <w:p w14:paraId="46671515" w14:textId="77777777" w:rsidR="00184B6B" w:rsidRPr="00184B6B" w:rsidRDefault="00184B6B" w:rsidP="00184B6B">
            <w:pPr>
              <w:spacing w:line="240" w:lineRule="auto"/>
              <w:ind w:firstLine="0"/>
              <w:rPr>
                <w:sz w:val="14"/>
                <w:szCs w:val="20"/>
              </w:rPr>
            </w:pPr>
            <w:r w:rsidRPr="00184B6B">
              <w:rPr>
                <w:sz w:val="14"/>
                <w:szCs w:val="20"/>
              </w:rPr>
              <w:t>(0.022)</w:t>
            </w:r>
          </w:p>
        </w:tc>
        <w:tc>
          <w:tcPr>
            <w:tcW w:w="469" w:type="pct"/>
            <w:tcBorders>
              <w:top w:val="nil"/>
              <w:left w:val="nil"/>
              <w:bottom w:val="nil"/>
              <w:right w:val="nil"/>
            </w:tcBorders>
            <w:shd w:val="clear" w:color="auto" w:fill="auto"/>
            <w:noWrap/>
            <w:vAlign w:val="center"/>
            <w:hideMark/>
          </w:tcPr>
          <w:p w14:paraId="7BA09D05" w14:textId="77777777" w:rsidR="00184B6B" w:rsidRPr="00184B6B" w:rsidRDefault="00184B6B" w:rsidP="00184B6B">
            <w:pPr>
              <w:spacing w:line="240" w:lineRule="auto"/>
              <w:ind w:firstLine="0"/>
              <w:rPr>
                <w:sz w:val="14"/>
                <w:szCs w:val="20"/>
              </w:rPr>
            </w:pPr>
            <w:r w:rsidRPr="00184B6B">
              <w:rPr>
                <w:sz w:val="14"/>
                <w:szCs w:val="20"/>
              </w:rPr>
              <w:t>(0.022)</w:t>
            </w:r>
          </w:p>
        </w:tc>
        <w:tc>
          <w:tcPr>
            <w:tcW w:w="469" w:type="pct"/>
            <w:tcBorders>
              <w:top w:val="nil"/>
              <w:left w:val="nil"/>
              <w:bottom w:val="nil"/>
              <w:right w:val="single" w:sz="4" w:space="0" w:color="auto"/>
            </w:tcBorders>
            <w:shd w:val="clear" w:color="auto" w:fill="auto"/>
            <w:noWrap/>
            <w:vAlign w:val="center"/>
            <w:hideMark/>
          </w:tcPr>
          <w:p w14:paraId="5BB4B337" w14:textId="77777777" w:rsidR="00184B6B" w:rsidRPr="00184B6B" w:rsidRDefault="00184B6B" w:rsidP="00184B6B">
            <w:pPr>
              <w:spacing w:line="240" w:lineRule="auto"/>
              <w:ind w:firstLine="0"/>
              <w:rPr>
                <w:sz w:val="14"/>
                <w:szCs w:val="20"/>
              </w:rPr>
            </w:pPr>
            <w:r w:rsidRPr="00184B6B">
              <w:rPr>
                <w:sz w:val="14"/>
                <w:szCs w:val="20"/>
              </w:rPr>
              <w:t>(0.022)</w:t>
            </w:r>
          </w:p>
        </w:tc>
        <w:tc>
          <w:tcPr>
            <w:tcW w:w="469" w:type="pct"/>
            <w:tcBorders>
              <w:top w:val="nil"/>
              <w:left w:val="single" w:sz="4" w:space="0" w:color="auto"/>
              <w:bottom w:val="nil"/>
              <w:right w:val="nil"/>
            </w:tcBorders>
            <w:shd w:val="clear" w:color="auto" w:fill="auto"/>
            <w:noWrap/>
            <w:vAlign w:val="center"/>
            <w:hideMark/>
          </w:tcPr>
          <w:p w14:paraId="3E4C1C1F" w14:textId="77777777" w:rsidR="00184B6B" w:rsidRPr="00184B6B" w:rsidRDefault="00184B6B" w:rsidP="00184B6B">
            <w:pPr>
              <w:spacing w:line="240" w:lineRule="auto"/>
              <w:ind w:firstLine="0"/>
              <w:rPr>
                <w:sz w:val="14"/>
                <w:szCs w:val="20"/>
              </w:rPr>
            </w:pPr>
            <w:r w:rsidRPr="00184B6B">
              <w:rPr>
                <w:sz w:val="14"/>
                <w:szCs w:val="20"/>
              </w:rPr>
              <w:t>(0.018)</w:t>
            </w:r>
          </w:p>
        </w:tc>
        <w:tc>
          <w:tcPr>
            <w:tcW w:w="469" w:type="pct"/>
            <w:tcBorders>
              <w:top w:val="nil"/>
              <w:left w:val="nil"/>
              <w:bottom w:val="nil"/>
              <w:right w:val="nil"/>
            </w:tcBorders>
            <w:shd w:val="clear" w:color="auto" w:fill="auto"/>
            <w:noWrap/>
            <w:vAlign w:val="center"/>
            <w:hideMark/>
          </w:tcPr>
          <w:p w14:paraId="08DFB49F" w14:textId="77777777" w:rsidR="00184B6B" w:rsidRPr="00184B6B" w:rsidRDefault="00184B6B" w:rsidP="00184B6B">
            <w:pPr>
              <w:spacing w:line="240" w:lineRule="auto"/>
              <w:ind w:firstLine="0"/>
              <w:rPr>
                <w:sz w:val="14"/>
                <w:szCs w:val="20"/>
              </w:rPr>
            </w:pPr>
            <w:r w:rsidRPr="00184B6B">
              <w:rPr>
                <w:sz w:val="14"/>
                <w:szCs w:val="20"/>
              </w:rPr>
              <w:t>(0.018)</w:t>
            </w:r>
          </w:p>
        </w:tc>
        <w:tc>
          <w:tcPr>
            <w:tcW w:w="469" w:type="pct"/>
            <w:tcBorders>
              <w:top w:val="nil"/>
              <w:left w:val="nil"/>
              <w:bottom w:val="nil"/>
              <w:right w:val="nil"/>
            </w:tcBorders>
            <w:shd w:val="clear" w:color="auto" w:fill="auto"/>
            <w:noWrap/>
            <w:vAlign w:val="center"/>
            <w:hideMark/>
          </w:tcPr>
          <w:p w14:paraId="0920E5B2" w14:textId="77777777" w:rsidR="00184B6B" w:rsidRPr="00184B6B" w:rsidRDefault="00184B6B" w:rsidP="00184B6B">
            <w:pPr>
              <w:spacing w:line="240" w:lineRule="auto"/>
              <w:ind w:firstLine="0"/>
              <w:rPr>
                <w:sz w:val="14"/>
                <w:szCs w:val="20"/>
              </w:rPr>
            </w:pPr>
            <w:r w:rsidRPr="00184B6B">
              <w:rPr>
                <w:sz w:val="14"/>
                <w:szCs w:val="20"/>
              </w:rPr>
              <w:t>(0.018)</w:t>
            </w:r>
          </w:p>
        </w:tc>
        <w:tc>
          <w:tcPr>
            <w:tcW w:w="466" w:type="pct"/>
            <w:tcBorders>
              <w:top w:val="nil"/>
              <w:left w:val="nil"/>
              <w:bottom w:val="nil"/>
              <w:right w:val="single" w:sz="4" w:space="0" w:color="auto"/>
            </w:tcBorders>
            <w:shd w:val="clear" w:color="auto" w:fill="auto"/>
            <w:noWrap/>
            <w:vAlign w:val="center"/>
            <w:hideMark/>
          </w:tcPr>
          <w:p w14:paraId="4E189E67" w14:textId="77777777" w:rsidR="00184B6B" w:rsidRPr="00184B6B" w:rsidRDefault="00184B6B" w:rsidP="00184B6B">
            <w:pPr>
              <w:spacing w:line="240" w:lineRule="auto"/>
              <w:ind w:firstLine="0"/>
              <w:rPr>
                <w:sz w:val="14"/>
                <w:szCs w:val="20"/>
              </w:rPr>
            </w:pPr>
            <w:r w:rsidRPr="00184B6B">
              <w:rPr>
                <w:sz w:val="14"/>
                <w:szCs w:val="20"/>
              </w:rPr>
              <w:t>(0.018)</w:t>
            </w:r>
          </w:p>
        </w:tc>
      </w:tr>
      <w:tr w:rsidR="00184B6B" w:rsidRPr="00184B6B" w14:paraId="59F39605"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06D14CCA" w14:textId="77777777" w:rsidR="00184B6B" w:rsidRPr="00184B6B" w:rsidRDefault="00184B6B" w:rsidP="00184B6B">
            <w:pPr>
              <w:spacing w:line="240" w:lineRule="auto"/>
              <w:ind w:firstLine="0"/>
              <w:jc w:val="left"/>
              <w:rPr>
                <w:sz w:val="14"/>
                <w:szCs w:val="20"/>
              </w:rPr>
            </w:pPr>
            <w:r w:rsidRPr="00184B6B">
              <w:rPr>
                <w:sz w:val="14"/>
                <w:szCs w:val="20"/>
              </w:rPr>
              <w:t>Well informed about the EU</w:t>
            </w:r>
          </w:p>
        </w:tc>
        <w:tc>
          <w:tcPr>
            <w:tcW w:w="469" w:type="pct"/>
            <w:tcBorders>
              <w:top w:val="nil"/>
              <w:left w:val="single" w:sz="4" w:space="0" w:color="auto"/>
              <w:bottom w:val="nil"/>
              <w:right w:val="nil"/>
            </w:tcBorders>
            <w:shd w:val="clear" w:color="auto" w:fill="auto"/>
            <w:noWrap/>
            <w:vAlign w:val="center"/>
            <w:hideMark/>
          </w:tcPr>
          <w:p w14:paraId="267BA532" w14:textId="77777777" w:rsidR="00184B6B" w:rsidRPr="00184B6B" w:rsidRDefault="00184B6B" w:rsidP="00184B6B">
            <w:pPr>
              <w:spacing w:line="240" w:lineRule="auto"/>
              <w:ind w:firstLine="0"/>
              <w:rPr>
                <w:sz w:val="14"/>
                <w:szCs w:val="20"/>
              </w:rPr>
            </w:pPr>
            <w:r w:rsidRPr="00184B6B">
              <w:rPr>
                <w:sz w:val="14"/>
                <w:szCs w:val="20"/>
              </w:rPr>
              <w:t>0.078***</w:t>
            </w:r>
          </w:p>
        </w:tc>
        <w:tc>
          <w:tcPr>
            <w:tcW w:w="469" w:type="pct"/>
            <w:tcBorders>
              <w:top w:val="nil"/>
              <w:left w:val="nil"/>
              <w:bottom w:val="nil"/>
              <w:right w:val="nil"/>
            </w:tcBorders>
            <w:shd w:val="clear" w:color="auto" w:fill="auto"/>
            <w:noWrap/>
            <w:vAlign w:val="center"/>
            <w:hideMark/>
          </w:tcPr>
          <w:p w14:paraId="707D3166" w14:textId="77777777" w:rsidR="00184B6B" w:rsidRPr="00184B6B" w:rsidRDefault="00184B6B" w:rsidP="00184B6B">
            <w:pPr>
              <w:spacing w:line="240" w:lineRule="auto"/>
              <w:ind w:firstLine="0"/>
              <w:rPr>
                <w:sz w:val="14"/>
                <w:szCs w:val="20"/>
              </w:rPr>
            </w:pPr>
            <w:r w:rsidRPr="00184B6B">
              <w:rPr>
                <w:sz w:val="14"/>
                <w:szCs w:val="20"/>
              </w:rPr>
              <w:t>0.077***</w:t>
            </w:r>
          </w:p>
        </w:tc>
        <w:tc>
          <w:tcPr>
            <w:tcW w:w="469" w:type="pct"/>
            <w:tcBorders>
              <w:top w:val="nil"/>
              <w:left w:val="nil"/>
              <w:bottom w:val="nil"/>
              <w:right w:val="nil"/>
            </w:tcBorders>
            <w:shd w:val="clear" w:color="auto" w:fill="auto"/>
            <w:noWrap/>
            <w:vAlign w:val="center"/>
            <w:hideMark/>
          </w:tcPr>
          <w:p w14:paraId="0DDD05C7" w14:textId="77777777" w:rsidR="00184B6B" w:rsidRPr="00184B6B" w:rsidRDefault="00184B6B" w:rsidP="00184B6B">
            <w:pPr>
              <w:spacing w:line="240" w:lineRule="auto"/>
              <w:ind w:firstLine="0"/>
              <w:rPr>
                <w:sz w:val="14"/>
                <w:szCs w:val="20"/>
              </w:rPr>
            </w:pPr>
            <w:r w:rsidRPr="00184B6B">
              <w:rPr>
                <w:sz w:val="14"/>
                <w:szCs w:val="20"/>
              </w:rPr>
              <w:t>0.075***</w:t>
            </w:r>
          </w:p>
        </w:tc>
        <w:tc>
          <w:tcPr>
            <w:tcW w:w="469" w:type="pct"/>
            <w:tcBorders>
              <w:top w:val="nil"/>
              <w:left w:val="nil"/>
              <w:bottom w:val="nil"/>
              <w:right w:val="single" w:sz="4" w:space="0" w:color="auto"/>
            </w:tcBorders>
            <w:shd w:val="clear" w:color="auto" w:fill="auto"/>
            <w:noWrap/>
            <w:vAlign w:val="center"/>
            <w:hideMark/>
          </w:tcPr>
          <w:p w14:paraId="7333502C" w14:textId="77777777" w:rsidR="00184B6B" w:rsidRPr="00184B6B" w:rsidRDefault="00184B6B" w:rsidP="00184B6B">
            <w:pPr>
              <w:spacing w:line="240" w:lineRule="auto"/>
              <w:ind w:firstLine="0"/>
              <w:rPr>
                <w:sz w:val="14"/>
                <w:szCs w:val="20"/>
              </w:rPr>
            </w:pPr>
            <w:r w:rsidRPr="00184B6B">
              <w:rPr>
                <w:sz w:val="14"/>
                <w:szCs w:val="20"/>
              </w:rPr>
              <w:t>0.075***</w:t>
            </w:r>
          </w:p>
        </w:tc>
        <w:tc>
          <w:tcPr>
            <w:tcW w:w="469" w:type="pct"/>
            <w:tcBorders>
              <w:top w:val="nil"/>
              <w:left w:val="single" w:sz="4" w:space="0" w:color="auto"/>
              <w:bottom w:val="nil"/>
              <w:right w:val="nil"/>
            </w:tcBorders>
            <w:shd w:val="clear" w:color="auto" w:fill="auto"/>
            <w:noWrap/>
            <w:vAlign w:val="center"/>
            <w:hideMark/>
          </w:tcPr>
          <w:p w14:paraId="1297A09F" w14:textId="77777777" w:rsidR="00184B6B" w:rsidRPr="00184B6B" w:rsidRDefault="00184B6B" w:rsidP="00184B6B">
            <w:pPr>
              <w:spacing w:line="240" w:lineRule="auto"/>
              <w:ind w:firstLine="0"/>
              <w:rPr>
                <w:sz w:val="14"/>
                <w:szCs w:val="20"/>
              </w:rPr>
            </w:pPr>
            <w:r w:rsidRPr="00184B6B">
              <w:rPr>
                <w:sz w:val="14"/>
                <w:szCs w:val="20"/>
              </w:rPr>
              <w:t>0.210***</w:t>
            </w:r>
          </w:p>
        </w:tc>
        <w:tc>
          <w:tcPr>
            <w:tcW w:w="469" w:type="pct"/>
            <w:tcBorders>
              <w:top w:val="nil"/>
              <w:left w:val="nil"/>
              <w:bottom w:val="nil"/>
              <w:right w:val="nil"/>
            </w:tcBorders>
            <w:shd w:val="clear" w:color="auto" w:fill="auto"/>
            <w:noWrap/>
            <w:vAlign w:val="center"/>
            <w:hideMark/>
          </w:tcPr>
          <w:p w14:paraId="5DF9B852" w14:textId="77777777" w:rsidR="00184B6B" w:rsidRPr="00184B6B" w:rsidRDefault="00184B6B" w:rsidP="00184B6B">
            <w:pPr>
              <w:spacing w:line="240" w:lineRule="auto"/>
              <w:ind w:firstLine="0"/>
              <w:rPr>
                <w:sz w:val="14"/>
                <w:szCs w:val="20"/>
              </w:rPr>
            </w:pPr>
            <w:r w:rsidRPr="00184B6B">
              <w:rPr>
                <w:sz w:val="14"/>
                <w:szCs w:val="20"/>
              </w:rPr>
              <w:t>0.209***</w:t>
            </w:r>
          </w:p>
        </w:tc>
        <w:tc>
          <w:tcPr>
            <w:tcW w:w="469" w:type="pct"/>
            <w:tcBorders>
              <w:top w:val="nil"/>
              <w:left w:val="nil"/>
              <w:bottom w:val="nil"/>
              <w:right w:val="nil"/>
            </w:tcBorders>
            <w:shd w:val="clear" w:color="auto" w:fill="auto"/>
            <w:noWrap/>
            <w:vAlign w:val="center"/>
            <w:hideMark/>
          </w:tcPr>
          <w:p w14:paraId="50210358" w14:textId="77777777" w:rsidR="00184B6B" w:rsidRPr="00184B6B" w:rsidRDefault="00184B6B" w:rsidP="00184B6B">
            <w:pPr>
              <w:spacing w:line="240" w:lineRule="auto"/>
              <w:ind w:firstLine="0"/>
              <w:rPr>
                <w:sz w:val="14"/>
                <w:szCs w:val="20"/>
              </w:rPr>
            </w:pPr>
            <w:r w:rsidRPr="00184B6B">
              <w:rPr>
                <w:sz w:val="14"/>
                <w:szCs w:val="20"/>
              </w:rPr>
              <w:t>0.208***</w:t>
            </w:r>
          </w:p>
        </w:tc>
        <w:tc>
          <w:tcPr>
            <w:tcW w:w="466" w:type="pct"/>
            <w:tcBorders>
              <w:top w:val="nil"/>
              <w:left w:val="nil"/>
              <w:bottom w:val="nil"/>
              <w:right w:val="single" w:sz="4" w:space="0" w:color="auto"/>
            </w:tcBorders>
            <w:shd w:val="clear" w:color="auto" w:fill="auto"/>
            <w:noWrap/>
            <w:vAlign w:val="center"/>
            <w:hideMark/>
          </w:tcPr>
          <w:p w14:paraId="1D8A33D8" w14:textId="77777777" w:rsidR="00184B6B" w:rsidRPr="00184B6B" w:rsidRDefault="00184B6B" w:rsidP="00184B6B">
            <w:pPr>
              <w:spacing w:line="240" w:lineRule="auto"/>
              <w:ind w:firstLine="0"/>
              <w:rPr>
                <w:sz w:val="14"/>
                <w:szCs w:val="20"/>
              </w:rPr>
            </w:pPr>
            <w:r w:rsidRPr="00184B6B">
              <w:rPr>
                <w:sz w:val="14"/>
                <w:szCs w:val="20"/>
              </w:rPr>
              <w:t>0.207***</w:t>
            </w:r>
          </w:p>
        </w:tc>
      </w:tr>
      <w:tr w:rsidR="00184B6B" w:rsidRPr="00184B6B" w14:paraId="54FDF097"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0CF32A1"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7D62B25"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nil"/>
            </w:tcBorders>
            <w:shd w:val="clear" w:color="auto" w:fill="auto"/>
            <w:noWrap/>
            <w:vAlign w:val="center"/>
            <w:hideMark/>
          </w:tcPr>
          <w:p w14:paraId="4E421091"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nil"/>
            </w:tcBorders>
            <w:shd w:val="clear" w:color="auto" w:fill="auto"/>
            <w:noWrap/>
            <w:vAlign w:val="center"/>
            <w:hideMark/>
          </w:tcPr>
          <w:p w14:paraId="57827A9E"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nil"/>
              <w:bottom w:val="nil"/>
              <w:right w:val="single" w:sz="4" w:space="0" w:color="auto"/>
            </w:tcBorders>
            <w:shd w:val="clear" w:color="auto" w:fill="auto"/>
            <w:noWrap/>
            <w:vAlign w:val="center"/>
            <w:hideMark/>
          </w:tcPr>
          <w:p w14:paraId="43A6E779" w14:textId="77777777" w:rsidR="00184B6B" w:rsidRPr="00184B6B" w:rsidRDefault="00184B6B" w:rsidP="00184B6B">
            <w:pPr>
              <w:spacing w:line="240" w:lineRule="auto"/>
              <w:ind w:firstLine="0"/>
              <w:rPr>
                <w:sz w:val="14"/>
                <w:szCs w:val="20"/>
              </w:rPr>
            </w:pPr>
            <w:r w:rsidRPr="00184B6B">
              <w:rPr>
                <w:sz w:val="14"/>
                <w:szCs w:val="20"/>
              </w:rPr>
              <w:t>(0.023)</w:t>
            </w:r>
          </w:p>
        </w:tc>
        <w:tc>
          <w:tcPr>
            <w:tcW w:w="469" w:type="pct"/>
            <w:tcBorders>
              <w:top w:val="nil"/>
              <w:left w:val="single" w:sz="4" w:space="0" w:color="auto"/>
              <w:bottom w:val="nil"/>
              <w:right w:val="nil"/>
            </w:tcBorders>
            <w:shd w:val="clear" w:color="auto" w:fill="auto"/>
            <w:noWrap/>
            <w:vAlign w:val="center"/>
            <w:hideMark/>
          </w:tcPr>
          <w:p w14:paraId="750AF242"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nil"/>
            </w:tcBorders>
            <w:shd w:val="clear" w:color="auto" w:fill="auto"/>
            <w:noWrap/>
            <w:vAlign w:val="center"/>
            <w:hideMark/>
          </w:tcPr>
          <w:p w14:paraId="3FFCBDFF"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nil"/>
            </w:tcBorders>
            <w:shd w:val="clear" w:color="auto" w:fill="auto"/>
            <w:noWrap/>
            <w:vAlign w:val="center"/>
            <w:hideMark/>
          </w:tcPr>
          <w:p w14:paraId="5E11A864" w14:textId="77777777" w:rsidR="00184B6B" w:rsidRPr="00184B6B" w:rsidRDefault="00184B6B" w:rsidP="00184B6B">
            <w:pPr>
              <w:spacing w:line="240" w:lineRule="auto"/>
              <w:ind w:firstLine="0"/>
              <w:rPr>
                <w:sz w:val="14"/>
                <w:szCs w:val="20"/>
              </w:rPr>
            </w:pPr>
            <w:r w:rsidRPr="00184B6B">
              <w:rPr>
                <w:sz w:val="14"/>
                <w:szCs w:val="20"/>
              </w:rPr>
              <w:t>(0.019)</w:t>
            </w:r>
          </w:p>
        </w:tc>
        <w:tc>
          <w:tcPr>
            <w:tcW w:w="466" w:type="pct"/>
            <w:tcBorders>
              <w:top w:val="nil"/>
              <w:left w:val="nil"/>
              <w:bottom w:val="nil"/>
              <w:right w:val="single" w:sz="4" w:space="0" w:color="auto"/>
            </w:tcBorders>
            <w:shd w:val="clear" w:color="auto" w:fill="auto"/>
            <w:noWrap/>
            <w:vAlign w:val="center"/>
            <w:hideMark/>
          </w:tcPr>
          <w:p w14:paraId="6675EC7A" w14:textId="77777777" w:rsidR="00184B6B" w:rsidRPr="00184B6B" w:rsidRDefault="00184B6B" w:rsidP="00184B6B">
            <w:pPr>
              <w:spacing w:line="240" w:lineRule="auto"/>
              <w:ind w:firstLine="0"/>
              <w:rPr>
                <w:sz w:val="14"/>
                <w:szCs w:val="20"/>
              </w:rPr>
            </w:pPr>
            <w:r w:rsidRPr="00184B6B">
              <w:rPr>
                <w:sz w:val="14"/>
                <w:szCs w:val="20"/>
              </w:rPr>
              <w:t>(0.019)</w:t>
            </w:r>
          </w:p>
        </w:tc>
      </w:tr>
      <w:tr w:rsidR="00184B6B" w:rsidRPr="00184B6B" w14:paraId="18A5EC1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D03BCC1" w14:textId="77777777" w:rsidR="00184B6B" w:rsidRPr="00184B6B" w:rsidRDefault="00184B6B" w:rsidP="00184B6B">
            <w:pPr>
              <w:spacing w:line="240" w:lineRule="auto"/>
              <w:ind w:firstLine="0"/>
              <w:jc w:val="left"/>
              <w:rPr>
                <w:sz w:val="14"/>
                <w:szCs w:val="20"/>
              </w:rPr>
            </w:pPr>
            <w:r w:rsidRPr="00184B6B">
              <w:rPr>
                <w:sz w:val="14"/>
                <w:szCs w:val="20"/>
              </w:rPr>
              <w:t>Strong European identity</w:t>
            </w:r>
          </w:p>
        </w:tc>
        <w:tc>
          <w:tcPr>
            <w:tcW w:w="469" w:type="pct"/>
            <w:tcBorders>
              <w:top w:val="nil"/>
              <w:left w:val="single" w:sz="4" w:space="0" w:color="auto"/>
              <w:bottom w:val="nil"/>
              <w:right w:val="nil"/>
            </w:tcBorders>
            <w:shd w:val="clear" w:color="auto" w:fill="auto"/>
            <w:noWrap/>
            <w:vAlign w:val="center"/>
            <w:hideMark/>
          </w:tcPr>
          <w:p w14:paraId="036D012C" w14:textId="77777777" w:rsidR="00184B6B" w:rsidRPr="00184B6B" w:rsidRDefault="00184B6B" w:rsidP="00184B6B">
            <w:pPr>
              <w:spacing w:line="240" w:lineRule="auto"/>
              <w:ind w:firstLine="0"/>
              <w:rPr>
                <w:sz w:val="14"/>
                <w:szCs w:val="20"/>
              </w:rPr>
            </w:pPr>
            <w:r w:rsidRPr="00184B6B">
              <w:rPr>
                <w:sz w:val="14"/>
                <w:szCs w:val="20"/>
              </w:rPr>
              <w:t>0.193***</w:t>
            </w:r>
          </w:p>
        </w:tc>
        <w:tc>
          <w:tcPr>
            <w:tcW w:w="469" w:type="pct"/>
            <w:tcBorders>
              <w:top w:val="nil"/>
              <w:left w:val="nil"/>
              <w:bottom w:val="nil"/>
              <w:right w:val="nil"/>
            </w:tcBorders>
            <w:shd w:val="clear" w:color="auto" w:fill="auto"/>
            <w:noWrap/>
            <w:vAlign w:val="center"/>
            <w:hideMark/>
          </w:tcPr>
          <w:p w14:paraId="07D2AC49" w14:textId="77777777" w:rsidR="00184B6B" w:rsidRPr="00184B6B" w:rsidRDefault="00184B6B" w:rsidP="00184B6B">
            <w:pPr>
              <w:spacing w:line="240" w:lineRule="auto"/>
              <w:ind w:firstLine="0"/>
              <w:rPr>
                <w:sz w:val="14"/>
                <w:szCs w:val="20"/>
              </w:rPr>
            </w:pPr>
            <w:r w:rsidRPr="00184B6B">
              <w:rPr>
                <w:sz w:val="14"/>
                <w:szCs w:val="20"/>
              </w:rPr>
              <w:t>0.192***</w:t>
            </w:r>
          </w:p>
        </w:tc>
        <w:tc>
          <w:tcPr>
            <w:tcW w:w="469" w:type="pct"/>
            <w:tcBorders>
              <w:top w:val="nil"/>
              <w:left w:val="nil"/>
              <w:bottom w:val="nil"/>
              <w:right w:val="nil"/>
            </w:tcBorders>
            <w:shd w:val="clear" w:color="auto" w:fill="auto"/>
            <w:noWrap/>
            <w:vAlign w:val="center"/>
            <w:hideMark/>
          </w:tcPr>
          <w:p w14:paraId="382821F2" w14:textId="77777777" w:rsidR="00184B6B" w:rsidRPr="00184B6B" w:rsidRDefault="00184B6B" w:rsidP="00184B6B">
            <w:pPr>
              <w:spacing w:line="240" w:lineRule="auto"/>
              <w:ind w:firstLine="0"/>
              <w:rPr>
                <w:sz w:val="14"/>
                <w:szCs w:val="20"/>
              </w:rPr>
            </w:pPr>
            <w:r w:rsidRPr="00184B6B">
              <w:rPr>
                <w:sz w:val="14"/>
                <w:szCs w:val="20"/>
              </w:rPr>
              <w:t>0.192***</w:t>
            </w:r>
          </w:p>
        </w:tc>
        <w:tc>
          <w:tcPr>
            <w:tcW w:w="469" w:type="pct"/>
            <w:tcBorders>
              <w:top w:val="nil"/>
              <w:left w:val="nil"/>
              <w:bottom w:val="nil"/>
              <w:right w:val="single" w:sz="4" w:space="0" w:color="auto"/>
            </w:tcBorders>
            <w:shd w:val="clear" w:color="auto" w:fill="auto"/>
            <w:noWrap/>
            <w:vAlign w:val="center"/>
            <w:hideMark/>
          </w:tcPr>
          <w:p w14:paraId="76AB07F1" w14:textId="77777777" w:rsidR="00184B6B" w:rsidRPr="00184B6B" w:rsidRDefault="00184B6B" w:rsidP="00184B6B">
            <w:pPr>
              <w:spacing w:line="240" w:lineRule="auto"/>
              <w:ind w:firstLine="0"/>
              <w:rPr>
                <w:sz w:val="14"/>
                <w:szCs w:val="20"/>
              </w:rPr>
            </w:pPr>
            <w:r w:rsidRPr="00184B6B">
              <w:rPr>
                <w:sz w:val="14"/>
                <w:szCs w:val="20"/>
              </w:rPr>
              <w:t>0.192***</w:t>
            </w:r>
          </w:p>
        </w:tc>
        <w:tc>
          <w:tcPr>
            <w:tcW w:w="469" w:type="pct"/>
            <w:tcBorders>
              <w:top w:val="nil"/>
              <w:left w:val="single" w:sz="4" w:space="0" w:color="auto"/>
              <w:bottom w:val="nil"/>
              <w:right w:val="nil"/>
            </w:tcBorders>
            <w:shd w:val="clear" w:color="auto" w:fill="auto"/>
            <w:noWrap/>
            <w:vAlign w:val="center"/>
            <w:hideMark/>
          </w:tcPr>
          <w:p w14:paraId="1A5CB040" w14:textId="77777777" w:rsidR="00184B6B" w:rsidRPr="00184B6B" w:rsidRDefault="00184B6B" w:rsidP="00184B6B">
            <w:pPr>
              <w:spacing w:line="240" w:lineRule="auto"/>
              <w:ind w:firstLine="0"/>
              <w:rPr>
                <w:sz w:val="14"/>
                <w:szCs w:val="20"/>
              </w:rPr>
            </w:pPr>
            <w:r w:rsidRPr="00184B6B">
              <w:rPr>
                <w:sz w:val="14"/>
                <w:szCs w:val="20"/>
              </w:rPr>
              <w:t>0.148***</w:t>
            </w:r>
          </w:p>
        </w:tc>
        <w:tc>
          <w:tcPr>
            <w:tcW w:w="469" w:type="pct"/>
            <w:tcBorders>
              <w:top w:val="nil"/>
              <w:left w:val="nil"/>
              <w:bottom w:val="nil"/>
              <w:right w:val="nil"/>
            </w:tcBorders>
            <w:shd w:val="clear" w:color="auto" w:fill="auto"/>
            <w:noWrap/>
            <w:vAlign w:val="center"/>
            <w:hideMark/>
          </w:tcPr>
          <w:p w14:paraId="70E238ED" w14:textId="77777777" w:rsidR="00184B6B" w:rsidRPr="00184B6B" w:rsidRDefault="00184B6B" w:rsidP="00184B6B">
            <w:pPr>
              <w:spacing w:line="240" w:lineRule="auto"/>
              <w:ind w:firstLine="0"/>
              <w:rPr>
                <w:sz w:val="14"/>
                <w:szCs w:val="20"/>
              </w:rPr>
            </w:pPr>
            <w:r w:rsidRPr="00184B6B">
              <w:rPr>
                <w:sz w:val="14"/>
                <w:szCs w:val="20"/>
              </w:rPr>
              <w:t>0.147***</w:t>
            </w:r>
          </w:p>
        </w:tc>
        <w:tc>
          <w:tcPr>
            <w:tcW w:w="469" w:type="pct"/>
            <w:tcBorders>
              <w:top w:val="nil"/>
              <w:left w:val="nil"/>
              <w:bottom w:val="nil"/>
              <w:right w:val="nil"/>
            </w:tcBorders>
            <w:shd w:val="clear" w:color="auto" w:fill="auto"/>
            <w:noWrap/>
            <w:vAlign w:val="center"/>
            <w:hideMark/>
          </w:tcPr>
          <w:p w14:paraId="31AEC659" w14:textId="77777777" w:rsidR="00184B6B" w:rsidRPr="00184B6B" w:rsidRDefault="00184B6B" w:rsidP="00184B6B">
            <w:pPr>
              <w:spacing w:line="240" w:lineRule="auto"/>
              <w:ind w:firstLine="0"/>
              <w:rPr>
                <w:sz w:val="14"/>
                <w:szCs w:val="20"/>
              </w:rPr>
            </w:pPr>
            <w:r w:rsidRPr="00184B6B">
              <w:rPr>
                <w:sz w:val="14"/>
                <w:szCs w:val="20"/>
              </w:rPr>
              <w:t>0.147***</w:t>
            </w:r>
          </w:p>
        </w:tc>
        <w:tc>
          <w:tcPr>
            <w:tcW w:w="466" w:type="pct"/>
            <w:tcBorders>
              <w:top w:val="nil"/>
              <w:left w:val="nil"/>
              <w:bottom w:val="nil"/>
              <w:right w:val="single" w:sz="4" w:space="0" w:color="auto"/>
            </w:tcBorders>
            <w:shd w:val="clear" w:color="auto" w:fill="auto"/>
            <w:noWrap/>
            <w:vAlign w:val="center"/>
            <w:hideMark/>
          </w:tcPr>
          <w:p w14:paraId="18FC0DB1" w14:textId="77777777" w:rsidR="00184B6B" w:rsidRPr="00184B6B" w:rsidRDefault="00184B6B" w:rsidP="00184B6B">
            <w:pPr>
              <w:spacing w:line="240" w:lineRule="auto"/>
              <w:ind w:firstLine="0"/>
              <w:rPr>
                <w:sz w:val="14"/>
                <w:szCs w:val="20"/>
              </w:rPr>
            </w:pPr>
            <w:r w:rsidRPr="00184B6B">
              <w:rPr>
                <w:sz w:val="14"/>
                <w:szCs w:val="20"/>
              </w:rPr>
              <w:t>0.147***</w:t>
            </w:r>
          </w:p>
        </w:tc>
      </w:tr>
      <w:tr w:rsidR="00184B6B" w:rsidRPr="00184B6B" w14:paraId="4474D1F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05FB97A"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35B45D9"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nil"/>
            </w:tcBorders>
            <w:shd w:val="clear" w:color="auto" w:fill="auto"/>
            <w:noWrap/>
            <w:vAlign w:val="center"/>
            <w:hideMark/>
          </w:tcPr>
          <w:p w14:paraId="3F938F71"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nil"/>
            </w:tcBorders>
            <w:shd w:val="clear" w:color="auto" w:fill="auto"/>
            <w:noWrap/>
            <w:vAlign w:val="center"/>
            <w:hideMark/>
          </w:tcPr>
          <w:p w14:paraId="1AF2B453"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single" w:sz="4" w:space="0" w:color="auto"/>
            </w:tcBorders>
            <w:shd w:val="clear" w:color="auto" w:fill="auto"/>
            <w:noWrap/>
            <w:vAlign w:val="center"/>
            <w:hideMark/>
          </w:tcPr>
          <w:p w14:paraId="6BFC988F"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single" w:sz="4" w:space="0" w:color="auto"/>
              <w:bottom w:val="nil"/>
              <w:right w:val="nil"/>
            </w:tcBorders>
            <w:shd w:val="clear" w:color="auto" w:fill="auto"/>
            <w:noWrap/>
            <w:vAlign w:val="center"/>
            <w:hideMark/>
          </w:tcPr>
          <w:p w14:paraId="54759FEE" w14:textId="77777777" w:rsidR="00184B6B" w:rsidRPr="00184B6B" w:rsidRDefault="00184B6B" w:rsidP="00184B6B">
            <w:pPr>
              <w:spacing w:line="240" w:lineRule="auto"/>
              <w:ind w:firstLine="0"/>
              <w:rPr>
                <w:sz w:val="14"/>
                <w:szCs w:val="20"/>
              </w:rPr>
            </w:pPr>
            <w:r w:rsidRPr="00184B6B">
              <w:rPr>
                <w:sz w:val="14"/>
                <w:szCs w:val="20"/>
              </w:rPr>
              <w:t>(0.011)</w:t>
            </w:r>
          </w:p>
        </w:tc>
        <w:tc>
          <w:tcPr>
            <w:tcW w:w="469" w:type="pct"/>
            <w:tcBorders>
              <w:top w:val="nil"/>
              <w:left w:val="nil"/>
              <w:bottom w:val="nil"/>
              <w:right w:val="nil"/>
            </w:tcBorders>
            <w:shd w:val="clear" w:color="auto" w:fill="auto"/>
            <w:noWrap/>
            <w:vAlign w:val="center"/>
            <w:hideMark/>
          </w:tcPr>
          <w:p w14:paraId="3F856293" w14:textId="77777777" w:rsidR="00184B6B" w:rsidRPr="00184B6B" w:rsidRDefault="00184B6B" w:rsidP="00184B6B">
            <w:pPr>
              <w:spacing w:line="240" w:lineRule="auto"/>
              <w:ind w:firstLine="0"/>
              <w:rPr>
                <w:sz w:val="14"/>
                <w:szCs w:val="20"/>
              </w:rPr>
            </w:pPr>
            <w:r w:rsidRPr="00184B6B">
              <w:rPr>
                <w:sz w:val="14"/>
                <w:szCs w:val="20"/>
              </w:rPr>
              <w:t>(0.011)</w:t>
            </w:r>
          </w:p>
        </w:tc>
        <w:tc>
          <w:tcPr>
            <w:tcW w:w="469" w:type="pct"/>
            <w:tcBorders>
              <w:top w:val="nil"/>
              <w:left w:val="nil"/>
              <w:bottom w:val="nil"/>
              <w:right w:val="nil"/>
            </w:tcBorders>
            <w:shd w:val="clear" w:color="auto" w:fill="auto"/>
            <w:noWrap/>
            <w:vAlign w:val="center"/>
            <w:hideMark/>
          </w:tcPr>
          <w:p w14:paraId="7B237791" w14:textId="77777777" w:rsidR="00184B6B" w:rsidRPr="00184B6B" w:rsidRDefault="00184B6B" w:rsidP="00184B6B">
            <w:pPr>
              <w:spacing w:line="240" w:lineRule="auto"/>
              <w:ind w:firstLine="0"/>
              <w:rPr>
                <w:sz w:val="14"/>
                <w:szCs w:val="20"/>
              </w:rPr>
            </w:pPr>
            <w:r w:rsidRPr="00184B6B">
              <w:rPr>
                <w:sz w:val="14"/>
                <w:szCs w:val="20"/>
              </w:rPr>
              <w:t>(0.011)</w:t>
            </w:r>
          </w:p>
        </w:tc>
        <w:tc>
          <w:tcPr>
            <w:tcW w:w="466" w:type="pct"/>
            <w:tcBorders>
              <w:top w:val="nil"/>
              <w:left w:val="nil"/>
              <w:bottom w:val="nil"/>
              <w:right w:val="single" w:sz="4" w:space="0" w:color="auto"/>
            </w:tcBorders>
            <w:shd w:val="clear" w:color="auto" w:fill="auto"/>
            <w:noWrap/>
            <w:vAlign w:val="center"/>
            <w:hideMark/>
          </w:tcPr>
          <w:p w14:paraId="1AAEF189" w14:textId="77777777" w:rsidR="00184B6B" w:rsidRPr="00184B6B" w:rsidRDefault="00184B6B" w:rsidP="00184B6B">
            <w:pPr>
              <w:spacing w:line="240" w:lineRule="auto"/>
              <w:ind w:firstLine="0"/>
              <w:rPr>
                <w:sz w:val="14"/>
                <w:szCs w:val="20"/>
              </w:rPr>
            </w:pPr>
            <w:r w:rsidRPr="00184B6B">
              <w:rPr>
                <w:sz w:val="14"/>
                <w:szCs w:val="20"/>
              </w:rPr>
              <w:t>(0.011)</w:t>
            </w:r>
          </w:p>
        </w:tc>
      </w:tr>
      <w:tr w:rsidR="00184B6B" w:rsidRPr="00184B6B" w14:paraId="24839B8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0A899BF" w14:textId="77777777" w:rsidR="00184B6B" w:rsidRPr="00184B6B" w:rsidRDefault="00184B6B" w:rsidP="00184B6B">
            <w:pPr>
              <w:spacing w:line="240" w:lineRule="auto"/>
              <w:ind w:firstLine="0"/>
              <w:jc w:val="left"/>
              <w:rPr>
                <w:sz w:val="14"/>
                <w:szCs w:val="20"/>
              </w:rPr>
            </w:pPr>
            <w:r w:rsidRPr="00184B6B">
              <w:rPr>
                <w:sz w:val="14"/>
                <w:szCs w:val="20"/>
              </w:rPr>
              <w:t>Helpful international community</w:t>
            </w:r>
          </w:p>
        </w:tc>
        <w:tc>
          <w:tcPr>
            <w:tcW w:w="469" w:type="pct"/>
            <w:tcBorders>
              <w:top w:val="nil"/>
              <w:left w:val="single" w:sz="4" w:space="0" w:color="auto"/>
              <w:bottom w:val="nil"/>
              <w:right w:val="nil"/>
            </w:tcBorders>
            <w:shd w:val="clear" w:color="auto" w:fill="auto"/>
            <w:noWrap/>
            <w:vAlign w:val="center"/>
            <w:hideMark/>
          </w:tcPr>
          <w:p w14:paraId="6F1F0F1F" w14:textId="77777777" w:rsidR="00184B6B" w:rsidRPr="00184B6B" w:rsidRDefault="00184B6B" w:rsidP="00184B6B">
            <w:pPr>
              <w:spacing w:line="240" w:lineRule="auto"/>
              <w:ind w:firstLine="0"/>
              <w:rPr>
                <w:sz w:val="14"/>
                <w:szCs w:val="20"/>
              </w:rPr>
            </w:pPr>
            <w:r w:rsidRPr="00184B6B">
              <w:rPr>
                <w:sz w:val="14"/>
                <w:szCs w:val="20"/>
              </w:rPr>
              <w:t>0.301***</w:t>
            </w:r>
          </w:p>
        </w:tc>
        <w:tc>
          <w:tcPr>
            <w:tcW w:w="469" w:type="pct"/>
            <w:tcBorders>
              <w:top w:val="nil"/>
              <w:left w:val="nil"/>
              <w:bottom w:val="nil"/>
              <w:right w:val="nil"/>
            </w:tcBorders>
            <w:shd w:val="clear" w:color="auto" w:fill="auto"/>
            <w:noWrap/>
            <w:vAlign w:val="center"/>
            <w:hideMark/>
          </w:tcPr>
          <w:p w14:paraId="15941731" w14:textId="77777777" w:rsidR="00184B6B" w:rsidRPr="00184B6B" w:rsidRDefault="00184B6B" w:rsidP="00184B6B">
            <w:pPr>
              <w:spacing w:line="240" w:lineRule="auto"/>
              <w:ind w:firstLine="0"/>
              <w:rPr>
                <w:sz w:val="14"/>
                <w:szCs w:val="20"/>
              </w:rPr>
            </w:pPr>
            <w:r w:rsidRPr="00184B6B">
              <w:rPr>
                <w:sz w:val="14"/>
                <w:szCs w:val="20"/>
              </w:rPr>
              <w:t>0.299***</w:t>
            </w:r>
          </w:p>
        </w:tc>
        <w:tc>
          <w:tcPr>
            <w:tcW w:w="469" w:type="pct"/>
            <w:tcBorders>
              <w:top w:val="nil"/>
              <w:left w:val="nil"/>
              <w:bottom w:val="nil"/>
              <w:right w:val="nil"/>
            </w:tcBorders>
            <w:shd w:val="clear" w:color="auto" w:fill="auto"/>
            <w:noWrap/>
            <w:vAlign w:val="center"/>
            <w:hideMark/>
          </w:tcPr>
          <w:p w14:paraId="6D4A8140" w14:textId="77777777" w:rsidR="00184B6B" w:rsidRPr="00184B6B" w:rsidRDefault="00184B6B" w:rsidP="00184B6B">
            <w:pPr>
              <w:spacing w:line="240" w:lineRule="auto"/>
              <w:ind w:firstLine="0"/>
              <w:rPr>
                <w:sz w:val="14"/>
                <w:szCs w:val="20"/>
              </w:rPr>
            </w:pPr>
            <w:r w:rsidRPr="00184B6B">
              <w:rPr>
                <w:sz w:val="14"/>
                <w:szCs w:val="20"/>
              </w:rPr>
              <w:t>0.300***</w:t>
            </w:r>
          </w:p>
        </w:tc>
        <w:tc>
          <w:tcPr>
            <w:tcW w:w="469" w:type="pct"/>
            <w:tcBorders>
              <w:top w:val="nil"/>
              <w:left w:val="nil"/>
              <w:bottom w:val="nil"/>
              <w:right w:val="single" w:sz="4" w:space="0" w:color="auto"/>
            </w:tcBorders>
            <w:shd w:val="clear" w:color="auto" w:fill="auto"/>
            <w:noWrap/>
            <w:vAlign w:val="center"/>
            <w:hideMark/>
          </w:tcPr>
          <w:p w14:paraId="5E4D54E8" w14:textId="77777777" w:rsidR="00184B6B" w:rsidRPr="00184B6B" w:rsidRDefault="00184B6B" w:rsidP="00184B6B">
            <w:pPr>
              <w:spacing w:line="240" w:lineRule="auto"/>
              <w:ind w:firstLine="0"/>
              <w:rPr>
                <w:sz w:val="14"/>
                <w:szCs w:val="20"/>
              </w:rPr>
            </w:pPr>
            <w:r w:rsidRPr="00184B6B">
              <w:rPr>
                <w:sz w:val="14"/>
                <w:szCs w:val="20"/>
              </w:rPr>
              <w:t>0.302***</w:t>
            </w:r>
          </w:p>
        </w:tc>
        <w:tc>
          <w:tcPr>
            <w:tcW w:w="469" w:type="pct"/>
            <w:tcBorders>
              <w:top w:val="nil"/>
              <w:left w:val="single" w:sz="4" w:space="0" w:color="auto"/>
              <w:bottom w:val="nil"/>
              <w:right w:val="nil"/>
            </w:tcBorders>
            <w:shd w:val="clear" w:color="auto" w:fill="auto"/>
            <w:noWrap/>
            <w:vAlign w:val="center"/>
            <w:hideMark/>
          </w:tcPr>
          <w:p w14:paraId="57BF2E68" w14:textId="77777777" w:rsidR="00184B6B" w:rsidRPr="00184B6B" w:rsidRDefault="00184B6B" w:rsidP="00184B6B">
            <w:pPr>
              <w:spacing w:line="240" w:lineRule="auto"/>
              <w:ind w:firstLine="0"/>
              <w:rPr>
                <w:sz w:val="14"/>
                <w:szCs w:val="20"/>
              </w:rPr>
            </w:pPr>
            <w:r w:rsidRPr="00184B6B">
              <w:rPr>
                <w:sz w:val="14"/>
                <w:szCs w:val="20"/>
              </w:rPr>
              <w:t>0.269***</w:t>
            </w:r>
          </w:p>
        </w:tc>
        <w:tc>
          <w:tcPr>
            <w:tcW w:w="469" w:type="pct"/>
            <w:tcBorders>
              <w:top w:val="nil"/>
              <w:left w:val="nil"/>
              <w:bottom w:val="nil"/>
              <w:right w:val="nil"/>
            </w:tcBorders>
            <w:shd w:val="clear" w:color="auto" w:fill="auto"/>
            <w:noWrap/>
            <w:vAlign w:val="center"/>
            <w:hideMark/>
          </w:tcPr>
          <w:p w14:paraId="5C643BB9" w14:textId="77777777" w:rsidR="00184B6B" w:rsidRPr="00184B6B" w:rsidRDefault="00184B6B" w:rsidP="00184B6B">
            <w:pPr>
              <w:spacing w:line="240" w:lineRule="auto"/>
              <w:ind w:firstLine="0"/>
              <w:rPr>
                <w:sz w:val="14"/>
                <w:szCs w:val="20"/>
              </w:rPr>
            </w:pPr>
            <w:r w:rsidRPr="00184B6B">
              <w:rPr>
                <w:sz w:val="14"/>
                <w:szCs w:val="20"/>
              </w:rPr>
              <w:t>0.268***</w:t>
            </w:r>
          </w:p>
        </w:tc>
        <w:tc>
          <w:tcPr>
            <w:tcW w:w="469" w:type="pct"/>
            <w:tcBorders>
              <w:top w:val="nil"/>
              <w:left w:val="nil"/>
              <w:bottom w:val="nil"/>
              <w:right w:val="nil"/>
            </w:tcBorders>
            <w:shd w:val="clear" w:color="auto" w:fill="auto"/>
            <w:noWrap/>
            <w:vAlign w:val="center"/>
            <w:hideMark/>
          </w:tcPr>
          <w:p w14:paraId="0C541049" w14:textId="77777777" w:rsidR="00184B6B" w:rsidRPr="00184B6B" w:rsidRDefault="00184B6B" w:rsidP="00184B6B">
            <w:pPr>
              <w:spacing w:line="240" w:lineRule="auto"/>
              <w:ind w:firstLine="0"/>
              <w:rPr>
                <w:sz w:val="14"/>
                <w:szCs w:val="20"/>
              </w:rPr>
            </w:pPr>
            <w:r w:rsidRPr="00184B6B">
              <w:rPr>
                <w:sz w:val="14"/>
                <w:szCs w:val="20"/>
              </w:rPr>
              <w:t>0.269***</w:t>
            </w:r>
          </w:p>
        </w:tc>
        <w:tc>
          <w:tcPr>
            <w:tcW w:w="466" w:type="pct"/>
            <w:tcBorders>
              <w:top w:val="nil"/>
              <w:left w:val="nil"/>
              <w:bottom w:val="nil"/>
              <w:right w:val="single" w:sz="4" w:space="0" w:color="auto"/>
            </w:tcBorders>
            <w:shd w:val="clear" w:color="auto" w:fill="auto"/>
            <w:noWrap/>
            <w:vAlign w:val="center"/>
            <w:hideMark/>
          </w:tcPr>
          <w:p w14:paraId="10017F76" w14:textId="77777777" w:rsidR="00184B6B" w:rsidRPr="00184B6B" w:rsidRDefault="00184B6B" w:rsidP="00184B6B">
            <w:pPr>
              <w:spacing w:line="240" w:lineRule="auto"/>
              <w:ind w:firstLine="0"/>
              <w:rPr>
                <w:sz w:val="14"/>
                <w:szCs w:val="20"/>
              </w:rPr>
            </w:pPr>
            <w:r w:rsidRPr="00184B6B">
              <w:rPr>
                <w:sz w:val="14"/>
                <w:szCs w:val="20"/>
              </w:rPr>
              <w:t>0.269***</w:t>
            </w:r>
          </w:p>
        </w:tc>
      </w:tr>
      <w:tr w:rsidR="00184B6B" w:rsidRPr="00184B6B" w14:paraId="1912BDF4"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7F22C5C"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09CA69A"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nil"/>
            </w:tcBorders>
            <w:shd w:val="clear" w:color="auto" w:fill="auto"/>
            <w:noWrap/>
            <w:vAlign w:val="center"/>
            <w:hideMark/>
          </w:tcPr>
          <w:p w14:paraId="24B05257"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nil"/>
            </w:tcBorders>
            <w:shd w:val="clear" w:color="auto" w:fill="auto"/>
            <w:noWrap/>
            <w:vAlign w:val="center"/>
            <w:hideMark/>
          </w:tcPr>
          <w:p w14:paraId="1B5398C4"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single" w:sz="4" w:space="0" w:color="auto"/>
            </w:tcBorders>
            <w:shd w:val="clear" w:color="auto" w:fill="auto"/>
            <w:noWrap/>
            <w:vAlign w:val="center"/>
            <w:hideMark/>
          </w:tcPr>
          <w:p w14:paraId="711863C7"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single" w:sz="4" w:space="0" w:color="auto"/>
              <w:bottom w:val="nil"/>
              <w:right w:val="nil"/>
            </w:tcBorders>
            <w:shd w:val="clear" w:color="auto" w:fill="auto"/>
            <w:noWrap/>
            <w:vAlign w:val="center"/>
            <w:hideMark/>
          </w:tcPr>
          <w:p w14:paraId="4FB8BB8F"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nil"/>
            </w:tcBorders>
            <w:shd w:val="clear" w:color="auto" w:fill="auto"/>
            <w:noWrap/>
            <w:vAlign w:val="center"/>
            <w:hideMark/>
          </w:tcPr>
          <w:p w14:paraId="7D0036EF" w14:textId="77777777" w:rsidR="00184B6B" w:rsidRPr="00184B6B" w:rsidRDefault="00184B6B" w:rsidP="00184B6B">
            <w:pPr>
              <w:spacing w:line="240" w:lineRule="auto"/>
              <w:ind w:firstLine="0"/>
              <w:rPr>
                <w:sz w:val="14"/>
                <w:szCs w:val="20"/>
              </w:rPr>
            </w:pPr>
            <w:r w:rsidRPr="00184B6B">
              <w:rPr>
                <w:sz w:val="14"/>
                <w:szCs w:val="20"/>
              </w:rPr>
              <w:t>(0.015)</w:t>
            </w:r>
          </w:p>
        </w:tc>
        <w:tc>
          <w:tcPr>
            <w:tcW w:w="469" w:type="pct"/>
            <w:tcBorders>
              <w:top w:val="nil"/>
              <w:left w:val="nil"/>
              <w:bottom w:val="nil"/>
              <w:right w:val="nil"/>
            </w:tcBorders>
            <w:shd w:val="clear" w:color="auto" w:fill="auto"/>
            <w:noWrap/>
            <w:vAlign w:val="center"/>
            <w:hideMark/>
          </w:tcPr>
          <w:p w14:paraId="0C4874CD" w14:textId="77777777" w:rsidR="00184B6B" w:rsidRPr="00184B6B" w:rsidRDefault="00184B6B" w:rsidP="00184B6B">
            <w:pPr>
              <w:spacing w:line="240" w:lineRule="auto"/>
              <w:ind w:firstLine="0"/>
              <w:rPr>
                <w:sz w:val="14"/>
                <w:szCs w:val="20"/>
              </w:rPr>
            </w:pPr>
            <w:r w:rsidRPr="00184B6B">
              <w:rPr>
                <w:sz w:val="14"/>
                <w:szCs w:val="20"/>
              </w:rPr>
              <w:t>(0.015)</w:t>
            </w:r>
          </w:p>
        </w:tc>
        <w:tc>
          <w:tcPr>
            <w:tcW w:w="466" w:type="pct"/>
            <w:tcBorders>
              <w:top w:val="nil"/>
              <w:left w:val="nil"/>
              <w:bottom w:val="nil"/>
              <w:right w:val="single" w:sz="4" w:space="0" w:color="auto"/>
            </w:tcBorders>
            <w:shd w:val="clear" w:color="auto" w:fill="auto"/>
            <w:noWrap/>
            <w:vAlign w:val="center"/>
            <w:hideMark/>
          </w:tcPr>
          <w:p w14:paraId="52B58742" w14:textId="77777777" w:rsidR="00184B6B" w:rsidRPr="00184B6B" w:rsidRDefault="00184B6B" w:rsidP="00184B6B">
            <w:pPr>
              <w:spacing w:line="240" w:lineRule="auto"/>
              <w:ind w:firstLine="0"/>
              <w:rPr>
                <w:sz w:val="14"/>
                <w:szCs w:val="20"/>
              </w:rPr>
            </w:pPr>
            <w:r w:rsidRPr="00184B6B">
              <w:rPr>
                <w:sz w:val="14"/>
                <w:szCs w:val="20"/>
              </w:rPr>
              <w:t>(0.015)</w:t>
            </w:r>
          </w:p>
        </w:tc>
      </w:tr>
      <w:tr w:rsidR="00184B6B" w:rsidRPr="00184B6B" w14:paraId="75B32672"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F0DFE59" w14:textId="77777777" w:rsidR="00184B6B" w:rsidRPr="00184B6B" w:rsidRDefault="00184B6B" w:rsidP="00184B6B">
            <w:pPr>
              <w:spacing w:line="240" w:lineRule="auto"/>
              <w:ind w:firstLine="0"/>
              <w:jc w:val="left"/>
              <w:rPr>
                <w:sz w:val="14"/>
                <w:szCs w:val="20"/>
              </w:rPr>
            </w:pPr>
            <w:r w:rsidRPr="00184B6B">
              <w:rPr>
                <w:sz w:val="14"/>
                <w:szCs w:val="20"/>
              </w:rPr>
              <w:t>Albania</w:t>
            </w:r>
          </w:p>
        </w:tc>
        <w:tc>
          <w:tcPr>
            <w:tcW w:w="469" w:type="pct"/>
            <w:tcBorders>
              <w:top w:val="nil"/>
              <w:left w:val="single" w:sz="4" w:space="0" w:color="auto"/>
              <w:bottom w:val="nil"/>
              <w:right w:val="nil"/>
            </w:tcBorders>
            <w:shd w:val="clear" w:color="auto" w:fill="auto"/>
            <w:noWrap/>
            <w:vAlign w:val="center"/>
            <w:hideMark/>
          </w:tcPr>
          <w:p w14:paraId="56E38BD3" w14:textId="77777777" w:rsidR="00184B6B" w:rsidRPr="00184B6B" w:rsidRDefault="00184B6B" w:rsidP="00184B6B">
            <w:pPr>
              <w:spacing w:line="240" w:lineRule="auto"/>
              <w:ind w:firstLine="0"/>
              <w:rPr>
                <w:sz w:val="14"/>
                <w:szCs w:val="20"/>
              </w:rPr>
            </w:pPr>
            <w:r w:rsidRPr="00184B6B">
              <w:rPr>
                <w:sz w:val="14"/>
                <w:szCs w:val="20"/>
              </w:rPr>
              <w:t>0.414***</w:t>
            </w:r>
          </w:p>
        </w:tc>
        <w:tc>
          <w:tcPr>
            <w:tcW w:w="469" w:type="pct"/>
            <w:tcBorders>
              <w:top w:val="nil"/>
              <w:left w:val="nil"/>
              <w:bottom w:val="nil"/>
              <w:right w:val="nil"/>
            </w:tcBorders>
            <w:shd w:val="clear" w:color="auto" w:fill="auto"/>
            <w:noWrap/>
            <w:vAlign w:val="center"/>
            <w:hideMark/>
          </w:tcPr>
          <w:p w14:paraId="72780247" w14:textId="77777777" w:rsidR="00184B6B" w:rsidRPr="00184B6B" w:rsidRDefault="00184B6B" w:rsidP="00184B6B">
            <w:pPr>
              <w:spacing w:line="240" w:lineRule="auto"/>
              <w:ind w:firstLine="0"/>
              <w:rPr>
                <w:sz w:val="14"/>
                <w:szCs w:val="20"/>
              </w:rPr>
            </w:pPr>
            <w:r w:rsidRPr="00184B6B">
              <w:rPr>
                <w:sz w:val="14"/>
                <w:szCs w:val="20"/>
              </w:rPr>
              <w:t>0.415***</w:t>
            </w:r>
          </w:p>
        </w:tc>
        <w:tc>
          <w:tcPr>
            <w:tcW w:w="469" w:type="pct"/>
            <w:tcBorders>
              <w:top w:val="nil"/>
              <w:left w:val="nil"/>
              <w:bottom w:val="nil"/>
              <w:right w:val="nil"/>
            </w:tcBorders>
            <w:shd w:val="clear" w:color="auto" w:fill="auto"/>
            <w:noWrap/>
            <w:vAlign w:val="center"/>
            <w:hideMark/>
          </w:tcPr>
          <w:p w14:paraId="00FC5BD4" w14:textId="77777777" w:rsidR="00184B6B" w:rsidRPr="00184B6B" w:rsidRDefault="00184B6B" w:rsidP="00184B6B">
            <w:pPr>
              <w:spacing w:line="240" w:lineRule="auto"/>
              <w:ind w:firstLine="0"/>
              <w:rPr>
                <w:sz w:val="14"/>
                <w:szCs w:val="20"/>
              </w:rPr>
            </w:pPr>
            <w:r w:rsidRPr="00184B6B">
              <w:rPr>
                <w:sz w:val="14"/>
                <w:szCs w:val="20"/>
              </w:rPr>
              <w:t>0.420***</w:t>
            </w:r>
          </w:p>
        </w:tc>
        <w:tc>
          <w:tcPr>
            <w:tcW w:w="469" w:type="pct"/>
            <w:tcBorders>
              <w:top w:val="nil"/>
              <w:left w:val="nil"/>
              <w:bottom w:val="nil"/>
              <w:right w:val="single" w:sz="4" w:space="0" w:color="auto"/>
            </w:tcBorders>
            <w:shd w:val="clear" w:color="auto" w:fill="auto"/>
            <w:noWrap/>
            <w:vAlign w:val="center"/>
            <w:hideMark/>
          </w:tcPr>
          <w:p w14:paraId="6C5B7535" w14:textId="77777777" w:rsidR="00184B6B" w:rsidRPr="00184B6B" w:rsidRDefault="00184B6B" w:rsidP="00184B6B">
            <w:pPr>
              <w:spacing w:line="240" w:lineRule="auto"/>
              <w:ind w:firstLine="0"/>
              <w:rPr>
                <w:sz w:val="14"/>
                <w:szCs w:val="20"/>
              </w:rPr>
            </w:pPr>
            <w:r w:rsidRPr="00184B6B">
              <w:rPr>
                <w:sz w:val="14"/>
                <w:szCs w:val="20"/>
              </w:rPr>
              <w:t>0.388***</w:t>
            </w:r>
          </w:p>
        </w:tc>
        <w:tc>
          <w:tcPr>
            <w:tcW w:w="469" w:type="pct"/>
            <w:tcBorders>
              <w:top w:val="nil"/>
              <w:left w:val="single" w:sz="4" w:space="0" w:color="auto"/>
              <w:bottom w:val="nil"/>
              <w:right w:val="nil"/>
            </w:tcBorders>
            <w:shd w:val="clear" w:color="auto" w:fill="auto"/>
            <w:noWrap/>
            <w:vAlign w:val="center"/>
            <w:hideMark/>
          </w:tcPr>
          <w:p w14:paraId="0BAC5E01" w14:textId="77777777" w:rsidR="00184B6B" w:rsidRPr="00184B6B" w:rsidRDefault="00184B6B" w:rsidP="00184B6B">
            <w:pPr>
              <w:spacing w:line="240" w:lineRule="auto"/>
              <w:ind w:firstLine="0"/>
              <w:rPr>
                <w:sz w:val="14"/>
                <w:szCs w:val="20"/>
              </w:rPr>
            </w:pPr>
            <w:r w:rsidRPr="00184B6B">
              <w:rPr>
                <w:sz w:val="14"/>
                <w:szCs w:val="20"/>
              </w:rPr>
              <w:t>0.476***</w:t>
            </w:r>
          </w:p>
        </w:tc>
        <w:tc>
          <w:tcPr>
            <w:tcW w:w="469" w:type="pct"/>
            <w:tcBorders>
              <w:top w:val="nil"/>
              <w:left w:val="nil"/>
              <w:bottom w:val="nil"/>
              <w:right w:val="nil"/>
            </w:tcBorders>
            <w:shd w:val="clear" w:color="auto" w:fill="auto"/>
            <w:noWrap/>
            <w:vAlign w:val="center"/>
            <w:hideMark/>
          </w:tcPr>
          <w:p w14:paraId="6E9F1305" w14:textId="77777777" w:rsidR="00184B6B" w:rsidRPr="00184B6B" w:rsidRDefault="00184B6B" w:rsidP="00184B6B">
            <w:pPr>
              <w:spacing w:line="240" w:lineRule="auto"/>
              <w:ind w:firstLine="0"/>
              <w:rPr>
                <w:sz w:val="14"/>
                <w:szCs w:val="20"/>
              </w:rPr>
            </w:pPr>
            <w:r w:rsidRPr="00184B6B">
              <w:rPr>
                <w:sz w:val="14"/>
                <w:szCs w:val="20"/>
              </w:rPr>
              <w:t>0.474***</w:t>
            </w:r>
          </w:p>
        </w:tc>
        <w:tc>
          <w:tcPr>
            <w:tcW w:w="469" w:type="pct"/>
            <w:tcBorders>
              <w:top w:val="nil"/>
              <w:left w:val="nil"/>
              <w:bottom w:val="nil"/>
              <w:right w:val="nil"/>
            </w:tcBorders>
            <w:shd w:val="clear" w:color="auto" w:fill="auto"/>
            <w:noWrap/>
            <w:vAlign w:val="center"/>
            <w:hideMark/>
          </w:tcPr>
          <w:p w14:paraId="67A98BAB" w14:textId="77777777" w:rsidR="00184B6B" w:rsidRPr="00184B6B" w:rsidRDefault="00184B6B" w:rsidP="00184B6B">
            <w:pPr>
              <w:spacing w:line="240" w:lineRule="auto"/>
              <w:ind w:firstLine="0"/>
              <w:rPr>
                <w:sz w:val="14"/>
                <w:szCs w:val="20"/>
              </w:rPr>
            </w:pPr>
            <w:r w:rsidRPr="00184B6B">
              <w:rPr>
                <w:sz w:val="14"/>
                <w:szCs w:val="20"/>
              </w:rPr>
              <w:t>0.479***</w:t>
            </w:r>
          </w:p>
        </w:tc>
        <w:tc>
          <w:tcPr>
            <w:tcW w:w="466" w:type="pct"/>
            <w:tcBorders>
              <w:top w:val="nil"/>
              <w:left w:val="nil"/>
              <w:bottom w:val="nil"/>
              <w:right w:val="single" w:sz="4" w:space="0" w:color="auto"/>
            </w:tcBorders>
            <w:shd w:val="clear" w:color="auto" w:fill="auto"/>
            <w:noWrap/>
            <w:vAlign w:val="center"/>
            <w:hideMark/>
          </w:tcPr>
          <w:p w14:paraId="6E600BD7" w14:textId="77777777" w:rsidR="00184B6B" w:rsidRPr="00184B6B" w:rsidRDefault="00184B6B" w:rsidP="00184B6B">
            <w:pPr>
              <w:spacing w:line="240" w:lineRule="auto"/>
              <w:ind w:firstLine="0"/>
              <w:rPr>
                <w:sz w:val="14"/>
                <w:szCs w:val="20"/>
              </w:rPr>
            </w:pPr>
            <w:r w:rsidRPr="00184B6B">
              <w:rPr>
                <w:sz w:val="14"/>
                <w:szCs w:val="20"/>
              </w:rPr>
              <w:t>0.460***</w:t>
            </w:r>
          </w:p>
        </w:tc>
      </w:tr>
      <w:tr w:rsidR="00184B6B" w:rsidRPr="00184B6B" w14:paraId="5338675D"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4D6E09E"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273FB51" w14:textId="77777777" w:rsidR="00184B6B" w:rsidRPr="00184B6B" w:rsidRDefault="00184B6B" w:rsidP="00184B6B">
            <w:pPr>
              <w:spacing w:line="240" w:lineRule="auto"/>
              <w:ind w:firstLine="0"/>
              <w:rPr>
                <w:sz w:val="14"/>
                <w:szCs w:val="20"/>
              </w:rPr>
            </w:pPr>
            <w:r w:rsidRPr="00184B6B">
              <w:rPr>
                <w:sz w:val="14"/>
                <w:szCs w:val="20"/>
              </w:rPr>
              <w:t>(0.082)</w:t>
            </w:r>
          </w:p>
        </w:tc>
        <w:tc>
          <w:tcPr>
            <w:tcW w:w="469" w:type="pct"/>
            <w:tcBorders>
              <w:top w:val="nil"/>
              <w:left w:val="nil"/>
              <w:bottom w:val="nil"/>
              <w:right w:val="nil"/>
            </w:tcBorders>
            <w:shd w:val="clear" w:color="auto" w:fill="auto"/>
            <w:noWrap/>
            <w:vAlign w:val="center"/>
            <w:hideMark/>
          </w:tcPr>
          <w:p w14:paraId="667D3E3F" w14:textId="77777777" w:rsidR="00184B6B" w:rsidRPr="00184B6B" w:rsidRDefault="00184B6B" w:rsidP="00184B6B">
            <w:pPr>
              <w:spacing w:line="240" w:lineRule="auto"/>
              <w:ind w:firstLine="0"/>
              <w:rPr>
                <w:sz w:val="14"/>
                <w:szCs w:val="20"/>
              </w:rPr>
            </w:pPr>
            <w:r w:rsidRPr="00184B6B">
              <w:rPr>
                <w:sz w:val="14"/>
                <w:szCs w:val="20"/>
              </w:rPr>
              <w:t>(0.082)</w:t>
            </w:r>
          </w:p>
        </w:tc>
        <w:tc>
          <w:tcPr>
            <w:tcW w:w="469" w:type="pct"/>
            <w:tcBorders>
              <w:top w:val="nil"/>
              <w:left w:val="nil"/>
              <w:bottom w:val="nil"/>
              <w:right w:val="nil"/>
            </w:tcBorders>
            <w:shd w:val="clear" w:color="auto" w:fill="auto"/>
            <w:noWrap/>
            <w:vAlign w:val="center"/>
            <w:hideMark/>
          </w:tcPr>
          <w:p w14:paraId="6DC9DF69" w14:textId="77777777" w:rsidR="00184B6B" w:rsidRPr="00184B6B" w:rsidRDefault="00184B6B" w:rsidP="00184B6B">
            <w:pPr>
              <w:spacing w:line="240" w:lineRule="auto"/>
              <w:ind w:firstLine="0"/>
              <w:rPr>
                <w:sz w:val="14"/>
                <w:szCs w:val="20"/>
              </w:rPr>
            </w:pPr>
            <w:r w:rsidRPr="00184B6B">
              <w:rPr>
                <w:sz w:val="14"/>
                <w:szCs w:val="20"/>
              </w:rPr>
              <w:t>(0.081)</w:t>
            </w:r>
          </w:p>
        </w:tc>
        <w:tc>
          <w:tcPr>
            <w:tcW w:w="469" w:type="pct"/>
            <w:tcBorders>
              <w:top w:val="nil"/>
              <w:left w:val="nil"/>
              <w:bottom w:val="nil"/>
              <w:right w:val="single" w:sz="4" w:space="0" w:color="auto"/>
            </w:tcBorders>
            <w:shd w:val="clear" w:color="auto" w:fill="auto"/>
            <w:noWrap/>
            <w:vAlign w:val="center"/>
            <w:hideMark/>
          </w:tcPr>
          <w:p w14:paraId="748CA7E4" w14:textId="77777777" w:rsidR="00184B6B" w:rsidRPr="00184B6B" w:rsidRDefault="00184B6B" w:rsidP="00184B6B">
            <w:pPr>
              <w:spacing w:line="240" w:lineRule="auto"/>
              <w:ind w:firstLine="0"/>
              <w:rPr>
                <w:sz w:val="14"/>
                <w:szCs w:val="20"/>
              </w:rPr>
            </w:pPr>
            <w:r w:rsidRPr="00184B6B">
              <w:rPr>
                <w:sz w:val="14"/>
                <w:szCs w:val="20"/>
              </w:rPr>
              <w:t>(0.083)</w:t>
            </w:r>
          </w:p>
        </w:tc>
        <w:tc>
          <w:tcPr>
            <w:tcW w:w="469" w:type="pct"/>
            <w:tcBorders>
              <w:top w:val="nil"/>
              <w:left w:val="single" w:sz="4" w:space="0" w:color="auto"/>
              <w:bottom w:val="nil"/>
              <w:right w:val="nil"/>
            </w:tcBorders>
            <w:shd w:val="clear" w:color="auto" w:fill="auto"/>
            <w:noWrap/>
            <w:vAlign w:val="center"/>
            <w:hideMark/>
          </w:tcPr>
          <w:p w14:paraId="5311D3A2"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6DF0C6CA"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49072486" w14:textId="77777777" w:rsidR="00184B6B" w:rsidRPr="00184B6B" w:rsidRDefault="00184B6B" w:rsidP="00184B6B">
            <w:pPr>
              <w:spacing w:line="240" w:lineRule="auto"/>
              <w:ind w:firstLine="0"/>
              <w:rPr>
                <w:sz w:val="14"/>
                <w:szCs w:val="20"/>
              </w:rPr>
            </w:pPr>
            <w:r w:rsidRPr="00184B6B">
              <w:rPr>
                <w:sz w:val="14"/>
                <w:szCs w:val="20"/>
              </w:rPr>
              <w:t>(0.058)</w:t>
            </w:r>
          </w:p>
        </w:tc>
        <w:tc>
          <w:tcPr>
            <w:tcW w:w="466" w:type="pct"/>
            <w:tcBorders>
              <w:top w:val="nil"/>
              <w:left w:val="nil"/>
              <w:bottom w:val="nil"/>
              <w:right w:val="single" w:sz="4" w:space="0" w:color="auto"/>
            </w:tcBorders>
            <w:shd w:val="clear" w:color="auto" w:fill="auto"/>
            <w:noWrap/>
            <w:vAlign w:val="center"/>
            <w:hideMark/>
          </w:tcPr>
          <w:p w14:paraId="32110D4F" w14:textId="77777777" w:rsidR="00184B6B" w:rsidRPr="00184B6B" w:rsidRDefault="00184B6B" w:rsidP="00184B6B">
            <w:pPr>
              <w:spacing w:line="240" w:lineRule="auto"/>
              <w:ind w:firstLine="0"/>
              <w:rPr>
                <w:sz w:val="14"/>
                <w:szCs w:val="20"/>
              </w:rPr>
            </w:pPr>
            <w:r w:rsidRPr="00184B6B">
              <w:rPr>
                <w:sz w:val="14"/>
                <w:szCs w:val="20"/>
              </w:rPr>
              <w:t>(0.059)</w:t>
            </w:r>
          </w:p>
        </w:tc>
      </w:tr>
      <w:tr w:rsidR="00184B6B" w:rsidRPr="00184B6B" w14:paraId="585CC70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5E2488E" w14:textId="77777777" w:rsidR="00184B6B" w:rsidRPr="00184B6B" w:rsidRDefault="00184B6B" w:rsidP="00184B6B">
            <w:pPr>
              <w:spacing w:line="240" w:lineRule="auto"/>
              <w:ind w:firstLine="0"/>
              <w:jc w:val="left"/>
              <w:rPr>
                <w:sz w:val="14"/>
                <w:szCs w:val="20"/>
              </w:rPr>
            </w:pPr>
            <w:r w:rsidRPr="00184B6B">
              <w:rPr>
                <w:sz w:val="14"/>
                <w:szCs w:val="20"/>
              </w:rPr>
              <w:t>Bosnia and Herzegovina</w:t>
            </w:r>
          </w:p>
        </w:tc>
        <w:tc>
          <w:tcPr>
            <w:tcW w:w="469" w:type="pct"/>
            <w:tcBorders>
              <w:top w:val="nil"/>
              <w:left w:val="single" w:sz="4" w:space="0" w:color="auto"/>
              <w:bottom w:val="nil"/>
              <w:right w:val="nil"/>
            </w:tcBorders>
            <w:shd w:val="clear" w:color="auto" w:fill="auto"/>
            <w:noWrap/>
            <w:vAlign w:val="center"/>
            <w:hideMark/>
          </w:tcPr>
          <w:p w14:paraId="45064D65" w14:textId="77777777" w:rsidR="00184B6B" w:rsidRPr="00184B6B" w:rsidRDefault="00184B6B" w:rsidP="00184B6B">
            <w:pPr>
              <w:spacing w:line="240" w:lineRule="auto"/>
              <w:ind w:firstLine="0"/>
              <w:rPr>
                <w:sz w:val="14"/>
                <w:szCs w:val="20"/>
              </w:rPr>
            </w:pPr>
            <w:r w:rsidRPr="00184B6B">
              <w:rPr>
                <w:sz w:val="14"/>
                <w:szCs w:val="20"/>
              </w:rPr>
              <w:t>0.145**</w:t>
            </w:r>
          </w:p>
        </w:tc>
        <w:tc>
          <w:tcPr>
            <w:tcW w:w="469" w:type="pct"/>
            <w:tcBorders>
              <w:top w:val="nil"/>
              <w:left w:val="nil"/>
              <w:bottom w:val="nil"/>
              <w:right w:val="nil"/>
            </w:tcBorders>
            <w:shd w:val="clear" w:color="auto" w:fill="auto"/>
            <w:noWrap/>
            <w:vAlign w:val="center"/>
            <w:hideMark/>
          </w:tcPr>
          <w:p w14:paraId="1DD4056B" w14:textId="77777777" w:rsidR="00184B6B" w:rsidRPr="00184B6B" w:rsidRDefault="00184B6B" w:rsidP="00184B6B">
            <w:pPr>
              <w:spacing w:line="240" w:lineRule="auto"/>
              <w:ind w:firstLine="0"/>
              <w:rPr>
                <w:sz w:val="14"/>
                <w:szCs w:val="20"/>
              </w:rPr>
            </w:pPr>
            <w:r w:rsidRPr="00184B6B">
              <w:rPr>
                <w:sz w:val="14"/>
                <w:szCs w:val="20"/>
              </w:rPr>
              <w:t>0.145**</w:t>
            </w:r>
          </w:p>
        </w:tc>
        <w:tc>
          <w:tcPr>
            <w:tcW w:w="469" w:type="pct"/>
            <w:tcBorders>
              <w:top w:val="nil"/>
              <w:left w:val="nil"/>
              <w:bottom w:val="nil"/>
              <w:right w:val="nil"/>
            </w:tcBorders>
            <w:shd w:val="clear" w:color="auto" w:fill="auto"/>
            <w:noWrap/>
            <w:vAlign w:val="center"/>
            <w:hideMark/>
          </w:tcPr>
          <w:p w14:paraId="69E098A9" w14:textId="77777777" w:rsidR="00184B6B" w:rsidRPr="00184B6B" w:rsidRDefault="00184B6B" w:rsidP="00184B6B">
            <w:pPr>
              <w:spacing w:line="240" w:lineRule="auto"/>
              <w:ind w:firstLine="0"/>
              <w:rPr>
                <w:sz w:val="14"/>
                <w:szCs w:val="20"/>
              </w:rPr>
            </w:pPr>
            <w:r w:rsidRPr="00184B6B">
              <w:rPr>
                <w:sz w:val="14"/>
                <w:szCs w:val="20"/>
              </w:rPr>
              <w:t>0.148**</w:t>
            </w:r>
          </w:p>
        </w:tc>
        <w:tc>
          <w:tcPr>
            <w:tcW w:w="469" w:type="pct"/>
            <w:tcBorders>
              <w:top w:val="nil"/>
              <w:left w:val="nil"/>
              <w:bottom w:val="nil"/>
              <w:right w:val="single" w:sz="4" w:space="0" w:color="auto"/>
            </w:tcBorders>
            <w:shd w:val="clear" w:color="auto" w:fill="auto"/>
            <w:noWrap/>
            <w:vAlign w:val="center"/>
            <w:hideMark/>
          </w:tcPr>
          <w:p w14:paraId="684D6D79" w14:textId="77777777" w:rsidR="00184B6B" w:rsidRPr="00184B6B" w:rsidRDefault="00184B6B" w:rsidP="00184B6B">
            <w:pPr>
              <w:spacing w:line="240" w:lineRule="auto"/>
              <w:ind w:firstLine="0"/>
              <w:rPr>
                <w:sz w:val="14"/>
                <w:szCs w:val="20"/>
              </w:rPr>
            </w:pPr>
            <w:r w:rsidRPr="00184B6B">
              <w:rPr>
                <w:sz w:val="14"/>
                <w:szCs w:val="20"/>
              </w:rPr>
              <w:t>0.145**</w:t>
            </w:r>
          </w:p>
        </w:tc>
        <w:tc>
          <w:tcPr>
            <w:tcW w:w="469" w:type="pct"/>
            <w:tcBorders>
              <w:top w:val="nil"/>
              <w:left w:val="single" w:sz="4" w:space="0" w:color="auto"/>
              <w:bottom w:val="nil"/>
              <w:right w:val="nil"/>
            </w:tcBorders>
            <w:shd w:val="clear" w:color="auto" w:fill="auto"/>
            <w:noWrap/>
            <w:vAlign w:val="center"/>
            <w:hideMark/>
          </w:tcPr>
          <w:p w14:paraId="7D6DB23D" w14:textId="77777777" w:rsidR="00184B6B" w:rsidRPr="00184B6B" w:rsidRDefault="00184B6B" w:rsidP="00184B6B">
            <w:pPr>
              <w:spacing w:line="240" w:lineRule="auto"/>
              <w:ind w:firstLine="0"/>
              <w:rPr>
                <w:sz w:val="14"/>
                <w:szCs w:val="20"/>
              </w:rPr>
            </w:pPr>
            <w:r w:rsidRPr="00184B6B">
              <w:rPr>
                <w:sz w:val="14"/>
                <w:szCs w:val="20"/>
              </w:rPr>
              <w:t>0.133***</w:t>
            </w:r>
          </w:p>
        </w:tc>
        <w:tc>
          <w:tcPr>
            <w:tcW w:w="469" w:type="pct"/>
            <w:tcBorders>
              <w:top w:val="nil"/>
              <w:left w:val="nil"/>
              <w:bottom w:val="nil"/>
              <w:right w:val="nil"/>
            </w:tcBorders>
            <w:shd w:val="clear" w:color="auto" w:fill="auto"/>
            <w:noWrap/>
            <w:vAlign w:val="center"/>
            <w:hideMark/>
          </w:tcPr>
          <w:p w14:paraId="745BD4F4" w14:textId="77777777" w:rsidR="00184B6B" w:rsidRPr="00184B6B" w:rsidRDefault="00184B6B" w:rsidP="00184B6B">
            <w:pPr>
              <w:spacing w:line="240" w:lineRule="auto"/>
              <w:ind w:firstLine="0"/>
              <w:rPr>
                <w:sz w:val="14"/>
                <w:szCs w:val="20"/>
              </w:rPr>
            </w:pPr>
            <w:r w:rsidRPr="00184B6B">
              <w:rPr>
                <w:sz w:val="14"/>
                <w:szCs w:val="20"/>
              </w:rPr>
              <w:t>0.133***</w:t>
            </w:r>
          </w:p>
        </w:tc>
        <w:tc>
          <w:tcPr>
            <w:tcW w:w="469" w:type="pct"/>
            <w:tcBorders>
              <w:top w:val="nil"/>
              <w:left w:val="nil"/>
              <w:bottom w:val="nil"/>
              <w:right w:val="nil"/>
            </w:tcBorders>
            <w:shd w:val="clear" w:color="auto" w:fill="auto"/>
            <w:noWrap/>
            <w:vAlign w:val="center"/>
            <w:hideMark/>
          </w:tcPr>
          <w:p w14:paraId="02058C28" w14:textId="77777777" w:rsidR="00184B6B" w:rsidRPr="00184B6B" w:rsidRDefault="00184B6B" w:rsidP="00184B6B">
            <w:pPr>
              <w:spacing w:line="240" w:lineRule="auto"/>
              <w:ind w:firstLine="0"/>
              <w:rPr>
                <w:sz w:val="14"/>
                <w:szCs w:val="20"/>
              </w:rPr>
            </w:pPr>
            <w:r w:rsidRPr="00184B6B">
              <w:rPr>
                <w:sz w:val="14"/>
                <w:szCs w:val="20"/>
              </w:rPr>
              <w:t>0.134***</w:t>
            </w:r>
          </w:p>
        </w:tc>
        <w:tc>
          <w:tcPr>
            <w:tcW w:w="466" w:type="pct"/>
            <w:tcBorders>
              <w:top w:val="nil"/>
              <w:left w:val="nil"/>
              <w:bottom w:val="nil"/>
              <w:right w:val="single" w:sz="4" w:space="0" w:color="auto"/>
            </w:tcBorders>
            <w:shd w:val="clear" w:color="auto" w:fill="auto"/>
            <w:noWrap/>
            <w:vAlign w:val="center"/>
            <w:hideMark/>
          </w:tcPr>
          <w:p w14:paraId="29DE8338" w14:textId="77777777" w:rsidR="00184B6B" w:rsidRPr="00184B6B" w:rsidRDefault="00184B6B" w:rsidP="00184B6B">
            <w:pPr>
              <w:spacing w:line="240" w:lineRule="auto"/>
              <w:ind w:firstLine="0"/>
              <w:rPr>
                <w:sz w:val="14"/>
                <w:szCs w:val="20"/>
              </w:rPr>
            </w:pPr>
            <w:r w:rsidRPr="00184B6B">
              <w:rPr>
                <w:sz w:val="14"/>
                <w:szCs w:val="20"/>
              </w:rPr>
              <w:t>0.133***</w:t>
            </w:r>
          </w:p>
        </w:tc>
      </w:tr>
      <w:tr w:rsidR="00184B6B" w:rsidRPr="00184B6B" w14:paraId="40B784E7"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A4C0D30"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2A2ECBD"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4F60E3B4"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530C5073"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single" w:sz="4" w:space="0" w:color="auto"/>
            </w:tcBorders>
            <w:shd w:val="clear" w:color="auto" w:fill="auto"/>
            <w:noWrap/>
            <w:vAlign w:val="center"/>
            <w:hideMark/>
          </w:tcPr>
          <w:p w14:paraId="1A772060"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single" w:sz="4" w:space="0" w:color="auto"/>
              <w:bottom w:val="nil"/>
              <w:right w:val="nil"/>
            </w:tcBorders>
            <w:shd w:val="clear" w:color="auto" w:fill="auto"/>
            <w:noWrap/>
            <w:vAlign w:val="center"/>
            <w:hideMark/>
          </w:tcPr>
          <w:p w14:paraId="6721B91F"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13C7C796"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7240797D" w14:textId="77777777" w:rsidR="00184B6B" w:rsidRPr="00184B6B" w:rsidRDefault="00184B6B" w:rsidP="00184B6B">
            <w:pPr>
              <w:spacing w:line="240" w:lineRule="auto"/>
              <w:ind w:firstLine="0"/>
              <w:rPr>
                <w:sz w:val="14"/>
                <w:szCs w:val="20"/>
              </w:rPr>
            </w:pPr>
            <w:r w:rsidRPr="00184B6B">
              <w:rPr>
                <w:sz w:val="14"/>
                <w:szCs w:val="20"/>
              </w:rPr>
              <w:t>(0.046)</w:t>
            </w:r>
          </w:p>
        </w:tc>
        <w:tc>
          <w:tcPr>
            <w:tcW w:w="466" w:type="pct"/>
            <w:tcBorders>
              <w:top w:val="nil"/>
              <w:left w:val="nil"/>
              <w:bottom w:val="nil"/>
              <w:right w:val="single" w:sz="4" w:space="0" w:color="auto"/>
            </w:tcBorders>
            <w:shd w:val="clear" w:color="auto" w:fill="auto"/>
            <w:noWrap/>
            <w:vAlign w:val="center"/>
            <w:hideMark/>
          </w:tcPr>
          <w:p w14:paraId="2E81B2DD" w14:textId="77777777" w:rsidR="00184B6B" w:rsidRPr="00184B6B" w:rsidRDefault="00184B6B" w:rsidP="00184B6B">
            <w:pPr>
              <w:spacing w:line="240" w:lineRule="auto"/>
              <w:ind w:firstLine="0"/>
              <w:rPr>
                <w:sz w:val="14"/>
                <w:szCs w:val="20"/>
              </w:rPr>
            </w:pPr>
            <w:r w:rsidRPr="00184B6B">
              <w:rPr>
                <w:sz w:val="14"/>
                <w:szCs w:val="20"/>
              </w:rPr>
              <w:t>(0.046)</w:t>
            </w:r>
          </w:p>
        </w:tc>
      </w:tr>
      <w:tr w:rsidR="00184B6B" w:rsidRPr="00184B6B" w14:paraId="219F9192"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B7269BC" w14:textId="77777777" w:rsidR="00184B6B" w:rsidRPr="00184B6B" w:rsidRDefault="00184B6B" w:rsidP="00184B6B">
            <w:pPr>
              <w:spacing w:line="240" w:lineRule="auto"/>
              <w:ind w:firstLine="0"/>
              <w:jc w:val="left"/>
              <w:rPr>
                <w:sz w:val="14"/>
                <w:szCs w:val="20"/>
              </w:rPr>
            </w:pPr>
            <w:r w:rsidRPr="00184B6B">
              <w:rPr>
                <w:sz w:val="14"/>
                <w:szCs w:val="20"/>
              </w:rPr>
              <w:t>Croatia</w:t>
            </w:r>
          </w:p>
        </w:tc>
        <w:tc>
          <w:tcPr>
            <w:tcW w:w="469" w:type="pct"/>
            <w:tcBorders>
              <w:top w:val="nil"/>
              <w:left w:val="single" w:sz="4" w:space="0" w:color="auto"/>
              <w:bottom w:val="nil"/>
              <w:right w:val="nil"/>
            </w:tcBorders>
            <w:shd w:val="clear" w:color="auto" w:fill="auto"/>
            <w:noWrap/>
            <w:vAlign w:val="center"/>
            <w:hideMark/>
          </w:tcPr>
          <w:p w14:paraId="4F4F26A4" w14:textId="77777777" w:rsidR="00184B6B" w:rsidRPr="00184B6B" w:rsidRDefault="00184B6B" w:rsidP="00184B6B">
            <w:pPr>
              <w:spacing w:line="240" w:lineRule="auto"/>
              <w:ind w:firstLine="0"/>
              <w:rPr>
                <w:sz w:val="14"/>
                <w:szCs w:val="20"/>
              </w:rPr>
            </w:pPr>
            <w:r w:rsidRPr="00184B6B">
              <w:rPr>
                <w:sz w:val="14"/>
                <w:szCs w:val="20"/>
              </w:rPr>
              <w:t>-0.861***</w:t>
            </w:r>
          </w:p>
        </w:tc>
        <w:tc>
          <w:tcPr>
            <w:tcW w:w="469" w:type="pct"/>
            <w:tcBorders>
              <w:top w:val="nil"/>
              <w:left w:val="nil"/>
              <w:bottom w:val="nil"/>
              <w:right w:val="nil"/>
            </w:tcBorders>
            <w:shd w:val="clear" w:color="auto" w:fill="auto"/>
            <w:noWrap/>
            <w:vAlign w:val="center"/>
            <w:hideMark/>
          </w:tcPr>
          <w:p w14:paraId="2A8A3726" w14:textId="77777777" w:rsidR="00184B6B" w:rsidRPr="00184B6B" w:rsidRDefault="00184B6B" w:rsidP="00184B6B">
            <w:pPr>
              <w:spacing w:line="240" w:lineRule="auto"/>
              <w:ind w:firstLine="0"/>
              <w:rPr>
                <w:sz w:val="14"/>
                <w:szCs w:val="20"/>
              </w:rPr>
            </w:pPr>
            <w:r w:rsidRPr="00184B6B">
              <w:rPr>
                <w:sz w:val="14"/>
                <w:szCs w:val="20"/>
              </w:rPr>
              <w:t>-0.865***</w:t>
            </w:r>
          </w:p>
        </w:tc>
        <w:tc>
          <w:tcPr>
            <w:tcW w:w="469" w:type="pct"/>
            <w:tcBorders>
              <w:top w:val="nil"/>
              <w:left w:val="nil"/>
              <w:bottom w:val="nil"/>
              <w:right w:val="nil"/>
            </w:tcBorders>
            <w:shd w:val="clear" w:color="auto" w:fill="auto"/>
            <w:noWrap/>
            <w:vAlign w:val="center"/>
            <w:hideMark/>
          </w:tcPr>
          <w:p w14:paraId="137270EB" w14:textId="77777777" w:rsidR="00184B6B" w:rsidRPr="00184B6B" w:rsidRDefault="00184B6B" w:rsidP="00184B6B">
            <w:pPr>
              <w:spacing w:line="240" w:lineRule="auto"/>
              <w:ind w:firstLine="0"/>
              <w:rPr>
                <w:sz w:val="14"/>
                <w:szCs w:val="20"/>
              </w:rPr>
            </w:pPr>
            <w:r w:rsidRPr="00184B6B">
              <w:rPr>
                <w:sz w:val="14"/>
                <w:szCs w:val="20"/>
              </w:rPr>
              <w:t>-0.868***</w:t>
            </w:r>
          </w:p>
        </w:tc>
        <w:tc>
          <w:tcPr>
            <w:tcW w:w="469" w:type="pct"/>
            <w:tcBorders>
              <w:top w:val="nil"/>
              <w:left w:val="nil"/>
              <w:bottom w:val="nil"/>
              <w:right w:val="single" w:sz="4" w:space="0" w:color="auto"/>
            </w:tcBorders>
            <w:shd w:val="clear" w:color="auto" w:fill="auto"/>
            <w:noWrap/>
            <w:vAlign w:val="center"/>
            <w:hideMark/>
          </w:tcPr>
          <w:p w14:paraId="28629F1F" w14:textId="77777777" w:rsidR="00184B6B" w:rsidRPr="00184B6B" w:rsidRDefault="00184B6B" w:rsidP="00184B6B">
            <w:pPr>
              <w:spacing w:line="240" w:lineRule="auto"/>
              <w:ind w:firstLine="0"/>
              <w:rPr>
                <w:sz w:val="14"/>
                <w:szCs w:val="20"/>
              </w:rPr>
            </w:pPr>
            <w:r w:rsidRPr="00184B6B">
              <w:rPr>
                <w:sz w:val="14"/>
                <w:szCs w:val="20"/>
              </w:rPr>
              <w:t>-0.864***</w:t>
            </w:r>
          </w:p>
        </w:tc>
        <w:tc>
          <w:tcPr>
            <w:tcW w:w="469" w:type="pct"/>
            <w:tcBorders>
              <w:top w:val="nil"/>
              <w:left w:val="single" w:sz="4" w:space="0" w:color="auto"/>
              <w:bottom w:val="nil"/>
              <w:right w:val="nil"/>
            </w:tcBorders>
            <w:shd w:val="clear" w:color="auto" w:fill="auto"/>
            <w:noWrap/>
            <w:vAlign w:val="center"/>
            <w:hideMark/>
          </w:tcPr>
          <w:p w14:paraId="6A7F2121" w14:textId="77777777" w:rsidR="00184B6B" w:rsidRPr="00184B6B" w:rsidRDefault="00184B6B" w:rsidP="00184B6B">
            <w:pPr>
              <w:spacing w:line="240" w:lineRule="auto"/>
              <w:ind w:firstLine="0"/>
              <w:rPr>
                <w:sz w:val="14"/>
                <w:szCs w:val="20"/>
              </w:rPr>
            </w:pPr>
            <w:r w:rsidRPr="00184B6B">
              <w:rPr>
                <w:sz w:val="14"/>
                <w:szCs w:val="20"/>
              </w:rPr>
              <w:t>-0.636***</w:t>
            </w:r>
          </w:p>
        </w:tc>
        <w:tc>
          <w:tcPr>
            <w:tcW w:w="469" w:type="pct"/>
            <w:tcBorders>
              <w:top w:val="nil"/>
              <w:left w:val="nil"/>
              <w:bottom w:val="nil"/>
              <w:right w:val="nil"/>
            </w:tcBorders>
            <w:shd w:val="clear" w:color="auto" w:fill="auto"/>
            <w:noWrap/>
            <w:vAlign w:val="center"/>
            <w:hideMark/>
          </w:tcPr>
          <w:p w14:paraId="2A26EA06" w14:textId="77777777" w:rsidR="00184B6B" w:rsidRPr="00184B6B" w:rsidRDefault="00184B6B" w:rsidP="00184B6B">
            <w:pPr>
              <w:spacing w:line="240" w:lineRule="auto"/>
              <w:ind w:firstLine="0"/>
              <w:rPr>
                <w:sz w:val="14"/>
                <w:szCs w:val="20"/>
              </w:rPr>
            </w:pPr>
            <w:r w:rsidRPr="00184B6B">
              <w:rPr>
                <w:sz w:val="14"/>
                <w:szCs w:val="20"/>
              </w:rPr>
              <w:t>-0.637***</w:t>
            </w:r>
          </w:p>
        </w:tc>
        <w:tc>
          <w:tcPr>
            <w:tcW w:w="469" w:type="pct"/>
            <w:tcBorders>
              <w:top w:val="nil"/>
              <w:left w:val="nil"/>
              <w:bottom w:val="nil"/>
              <w:right w:val="nil"/>
            </w:tcBorders>
            <w:shd w:val="clear" w:color="auto" w:fill="auto"/>
            <w:noWrap/>
            <w:vAlign w:val="center"/>
            <w:hideMark/>
          </w:tcPr>
          <w:p w14:paraId="31ECA566" w14:textId="77777777" w:rsidR="00184B6B" w:rsidRPr="00184B6B" w:rsidRDefault="00184B6B" w:rsidP="00184B6B">
            <w:pPr>
              <w:spacing w:line="240" w:lineRule="auto"/>
              <w:ind w:firstLine="0"/>
              <w:rPr>
                <w:sz w:val="14"/>
                <w:szCs w:val="20"/>
              </w:rPr>
            </w:pPr>
            <w:r w:rsidRPr="00184B6B">
              <w:rPr>
                <w:sz w:val="14"/>
                <w:szCs w:val="20"/>
              </w:rPr>
              <w:t>-0.640***</w:t>
            </w:r>
          </w:p>
        </w:tc>
        <w:tc>
          <w:tcPr>
            <w:tcW w:w="466" w:type="pct"/>
            <w:tcBorders>
              <w:top w:val="nil"/>
              <w:left w:val="nil"/>
              <w:bottom w:val="nil"/>
              <w:right w:val="single" w:sz="4" w:space="0" w:color="auto"/>
            </w:tcBorders>
            <w:shd w:val="clear" w:color="auto" w:fill="auto"/>
            <w:noWrap/>
            <w:vAlign w:val="center"/>
            <w:hideMark/>
          </w:tcPr>
          <w:p w14:paraId="5E91FCE4" w14:textId="77777777" w:rsidR="00184B6B" w:rsidRPr="00184B6B" w:rsidRDefault="00184B6B" w:rsidP="00184B6B">
            <w:pPr>
              <w:spacing w:line="240" w:lineRule="auto"/>
              <w:ind w:firstLine="0"/>
              <w:rPr>
                <w:sz w:val="14"/>
                <w:szCs w:val="20"/>
              </w:rPr>
            </w:pPr>
            <w:r w:rsidRPr="00184B6B">
              <w:rPr>
                <w:sz w:val="14"/>
                <w:szCs w:val="20"/>
              </w:rPr>
              <w:t>-0.635***</w:t>
            </w:r>
          </w:p>
        </w:tc>
      </w:tr>
      <w:tr w:rsidR="00184B6B" w:rsidRPr="00184B6B" w14:paraId="20D3B5D6"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01A0403F"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7BCD58D2"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nil"/>
              <w:bottom w:val="nil"/>
              <w:right w:val="nil"/>
            </w:tcBorders>
            <w:shd w:val="clear" w:color="auto" w:fill="auto"/>
            <w:noWrap/>
            <w:vAlign w:val="center"/>
            <w:hideMark/>
          </w:tcPr>
          <w:p w14:paraId="0FD56961"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nil"/>
              <w:bottom w:val="nil"/>
              <w:right w:val="nil"/>
            </w:tcBorders>
            <w:shd w:val="clear" w:color="auto" w:fill="auto"/>
            <w:noWrap/>
            <w:vAlign w:val="center"/>
            <w:hideMark/>
          </w:tcPr>
          <w:p w14:paraId="09385B46"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nil"/>
              <w:bottom w:val="nil"/>
              <w:right w:val="single" w:sz="4" w:space="0" w:color="auto"/>
            </w:tcBorders>
            <w:shd w:val="clear" w:color="auto" w:fill="auto"/>
            <w:noWrap/>
            <w:vAlign w:val="center"/>
            <w:hideMark/>
          </w:tcPr>
          <w:p w14:paraId="52124646"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single" w:sz="4" w:space="0" w:color="auto"/>
              <w:bottom w:val="nil"/>
              <w:right w:val="nil"/>
            </w:tcBorders>
            <w:shd w:val="clear" w:color="auto" w:fill="auto"/>
            <w:noWrap/>
            <w:vAlign w:val="center"/>
            <w:hideMark/>
          </w:tcPr>
          <w:p w14:paraId="221ECDF6" w14:textId="77777777" w:rsidR="00184B6B" w:rsidRPr="00184B6B" w:rsidRDefault="00184B6B" w:rsidP="00184B6B">
            <w:pPr>
              <w:spacing w:line="240" w:lineRule="auto"/>
              <w:ind w:firstLine="0"/>
              <w:rPr>
                <w:sz w:val="14"/>
                <w:szCs w:val="20"/>
              </w:rPr>
            </w:pPr>
            <w:r w:rsidRPr="00184B6B">
              <w:rPr>
                <w:sz w:val="14"/>
                <w:szCs w:val="20"/>
              </w:rPr>
              <w:t>(0.051)</w:t>
            </w:r>
          </w:p>
        </w:tc>
        <w:tc>
          <w:tcPr>
            <w:tcW w:w="469" w:type="pct"/>
            <w:tcBorders>
              <w:top w:val="nil"/>
              <w:left w:val="nil"/>
              <w:bottom w:val="nil"/>
              <w:right w:val="nil"/>
            </w:tcBorders>
            <w:shd w:val="clear" w:color="auto" w:fill="auto"/>
            <w:noWrap/>
            <w:vAlign w:val="center"/>
            <w:hideMark/>
          </w:tcPr>
          <w:p w14:paraId="12D02ABD" w14:textId="77777777" w:rsidR="00184B6B" w:rsidRPr="00184B6B" w:rsidRDefault="00184B6B" w:rsidP="00184B6B">
            <w:pPr>
              <w:spacing w:line="240" w:lineRule="auto"/>
              <w:ind w:firstLine="0"/>
              <w:rPr>
                <w:sz w:val="14"/>
                <w:szCs w:val="20"/>
              </w:rPr>
            </w:pPr>
            <w:r w:rsidRPr="00184B6B">
              <w:rPr>
                <w:sz w:val="14"/>
                <w:szCs w:val="20"/>
              </w:rPr>
              <w:t>(0.051)</w:t>
            </w:r>
          </w:p>
        </w:tc>
        <w:tc>
          <w:tcPr>
            <w:tcW w:w="469" w:type="pct"/>
            <w:tcBorders>
              <w:top w:val="nil"/>
              <w:left w:val="nil"/>
              <w:bottom w:val="nil"/>
              <w:right w:val="nil"/>
            </w:tcBorders>
            <w:shd w:val="clear" w:color="auto" w:fill="auto"/>
            <w:noWrap/>
            <w:vAlign w:val="center"/>
            <w:hideMark/>
          </w:tcPr>
          <w:p w14:paraId="57045C5E" w14:textId="77777777" w:rsidR="00184B6B" w:rsidRPr="00184B6B" w:rsidRDefault="00184B6B" w:rsidP="00184B6B">
            <w:pPr>
              <w:spacing w:line="240" w:lineRule="auto"/>
              <w:ind w:firstLine="0"/>
              <w:rPr>
                <w:sz w:val="14"/>
                <w:szCs w:val="20"/>
              </w:rPr>
            </w:pPr>
            <w:r w:rsidRPr="00184B6B">
              <w:rPr>
                <w:sz w:val="14"/>
                <w:szCs w:val="20"/>
              </w:rPr>
              <w:t>(0.051)</w:t>
            </w:r>
          </w:p>
        </w:tc>
        <w:tc>
          <w:tcPr>
            <w:tcW w:w="466" w:type="pct"/>
            <w:tcBorders>
              <w:top w:val="nil"/>
              <w:left w:val="nil"/>
              <w:bottom w:val="nil"/>
              <w:right w:val="single" w:sz="4" w:space="0" w:color="auto"/>
            </w:tcBorders>
            <w:shd w:val="clear" w:color="auto" w:fill="auto"/>
            <w:noWrap/>
            <w:vAlign w:val="center"/>
            <w:hideMark/>
          </w:tcPr>
          <w:p w14:paraId="5D585578" w14:textId="77777777" w:rsidR="00184B6B" w:rsidRPr="00184B6B" w:rsidRDefault="00184B6B" w:rsidP="00184B6B">
            <w:pPr>
              <w:spacing w:line="240" w:lineRule="auto"/>
              <w:ind w:firstLine="0"/>
              <w:rPr>
                <w:sz w:val="14"/>
                <w:szCs w:val="20"/>
              </w:rPr>
            </w:pPr>
            <w:r w:rsidRPr="00184B6B">
              <w:rPr>
                <w:sz w:val="14"/>
                <w:szCs w:val="20"/>
              </w:rPr>
              <w:t>(0.051)</w:t>
            </w:r>
          </w:p>
        </w:tc>
      </w:tr>
      <w:tr w:rsidR="00184B6B" w:rsidRPr="00184B6B" w14:paraId="0601603E"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4F39307" w14:textId="77777777" w:rsidR="00184B6B" w:rsidRPr="00184B6B" w:rsidRDefault="00184B6B" w:rsidP="00184B6B">
            <w:pPr>
              <w:spacing w:line="240" w:lineRule="auto"/>
              <w:ind w:firstLine="0"/>
              <w:jc w:val="left"/>
              <w:rPr>
                <w:sz w:val="14"/>
                <w:szCs w:val="20"/>
              </w:rPr>
            </w:pPr>
            <w:r w:rsidRPr="00184B6B">
              <w:rPr>
                <w:sz w:val="14"/>
                <w:szCs w:val="20"/>
              </w:rPr>
              <w:t>FYR Macedonia</w:t>
            </w:r>
          </w:p>
        </w:tc>
        <w:tc>
          <w:tcPr>
            <w:tcW w:w="469" w:type="pct"/>
            <w:tcBorders>
              <w:top w:val="nil"/>
              <w:left w:val="single" w:sz="4" w:space="0" w:color="auto"/>
              <w:bottom w:val="nil"/>
              <w:right w:val="nil"/>
            </w:tcBorders>
            <w:shd w:val="clear" w:color="auto" w:fill="auto"/>
            <w:noWrap/>
            <w:vAlign w:val="center"/>
            <w:hideMark/>
          </w:tcPr>
          <w:p w14:paraId="3F5C6DE7" w14:textId="77777777" w:rsidR="00184B6B" w:rsidRPr="00184B6B" w:rsidRDefault="00184B6B" w:rsidP="00184B6B">
            <w:pPr>
              <w:spacing w:line="240" w:lineRule="auto"/>
              <w:ind w:firstLine="0"/>
              <w:rPr>
                <w:sz w:val="14"/>
                <w:szCs w:val="20"/>
              </w:rPr>
            </w:pPr>
            <w:r w:rsidRPr="00184B6B">
              <w:rPr>
                <w:sz w:val="14"/>
                <w:szCs w:val="20"/>
              </w:rPr>
              <w:t>0.006</w:t>
            </w:r>
          </w:p>
        </w:tc>
        <w:tc>
          <w:tcPr>
            <w:tcW w:w="469" w:type="pct"/>
            <w:tcBorders>
              <w:top w:val="nil"/>
              <w:left w:val="nil"/>
              <w:bottom w:val="nil"/>
              <w:right w:val="nil"/>
            </w:tcBorders>
            <w:shd w:val="clear" w:color="auto" w:fill="auto"/>
            <w:noWrap/>
            <w:vAlign w:val="center"/>
            <w:hideMark/>
          </w:tcPr>
          <w:p w14:paraId="57F10238" w14:textId="77777777" w:rsidR="00184B6B" w:rsidRPr="00184B6B" w:rsidRDefault="00184B6B" w:rsidP="00184B6B">
            <w:pPr>
              <w:spacing w:line="240" w:lineRule="auto"/>
              <w:ind w:firstLine="0"/>
              <w:rPr>
                <w:sz w:val="14"/>
                <w:szCs w:val="20"/>
              </w:rPr>
            </w:pPr>
            <w:r w:rsidRPr="00184B6B">
              <w:rPr>
                <w:sz w:val="14"/>
                <w:szCs w:val="20"/>
              </w:rPr>
              <w:t>0.019</w:t>
            </w:r>
          </w:p>
        </w:tc>
        <w:tc>
          <w:tcPr>
            <w:tcW w:w="469" w:type="pct"/>
            <w:tcBorders>
              <w:top w:val="nil"/>
              <w:left w:val="nil"/>
              <w:bottom w:val="nil"/>
              <w:right w:val="nil"/>
            </w:tcBorders>
            <w:shd w:val="clear" w:color="auto" w:fill="auto"/>
            <w:noWrap/>
            <w:vAlign w:val="center"/>
            <w:hideMark/>
          </w:tcPr>
          <w:p w14:paraId="53EF0D3D" w14:textId="77777777" w:rsidR="00184B6B" w:rsidRPr="00184B6B" w:rsidRDefault="00184B6B" w:rsidP="00184B6B">
            <w:pPr>
              <w:spacing w:line="240" w:lineRule="auto"/>
              <w:ind w:firstLine="0"/>
              <w:rPr>
                <w:sz w:val="14"/>
                <w:szCs w:val="20"/>
              </w:rPr>
            </w:pPr>
            <w:r w:rsidRPr="00184B6B">
              <w:rPr>
                <w:sz w:val="14"/>
                <w:szCs w:val="20"/>
              </w:rPr>
              <w:t>0.013</w:t>
            </w:r>
          </w:p>
        </w:tc>
        <w:tc>
          <w:tcPr>
            <w:tcW w:w="469" w:type="pct"/>
            <w:tcBorders>
              <w:top w:val="nil"/>
              <w:left w:val="nil"/>
              <w:bottom w:val="nil"/>
              <w:right w:val="single" w:sz="4" w:space="0" w:color="auto"/>
            </w:tcBorders>
            <w:shd w:val="clear" w:color="auto" w:fill="auto"/>
            <w:noWrap/>
            <w:vAlign w:val="center"/>
            <w:hideMark/>
          </w:tcPr>
          <w:p w14:paraId="14DBB069" w14:textId="77777777" w:rsidR="00184B6B" w:rsidRPr="00184B6B" w:rsidRDefault="00184B6B" w:rsidP="00184B6B">
            <w:pPr>
              <w:spacing w:line="240" w:lineRule="auto"/>
              <w:ind w:firstLine="0"/>
              <w:rPr>
                <w:sz w:val="14"/>
                <w:szCs w:val="20"/>
              </w:rPr>
            </w:pPr>
            <w:r w:rsidRPr="00184B6B">
              <w:rPr>
                <w:sz w:val="14"/>
                <w:szCs w:val="20"/>
              </w:rPr>
              <w:t>0.009</w:t>
            </w:r>
          </w:p>
        </w:tc>
        <w:tc>
          <w:tcPr>
            <w:tcW w:w="469" w:type="pct"/>
            <w:tcBorders>
              <w:top w:val="nil"/>
              <w:left w:val="single" w:sz="4" w:space="0" w:color="auto"/>
              <w:bottom w:val="nil"/>
              <w:right w:val="nil"/>
            </w:tcBorders>
            <w:shd w:val="clear" w:color="auto" w:fill="auto"/>
            <w:noWrap/>
            <w:vAlign w:val="center"/>
            <w:hideMark/>
          </w:tcPr>
          <w:p w14:paraId="4B0B580D" w14:textId="77777777" w:rsidR="00184B6B" w:rsidRPr="00184B6B" w:rsidRDefault="00184B6B" w:rsidP="00184B6B">
            <w:pPr>
              <w:spacing w:line="240" w:lineRule="auto"/>
              <w:ind w:firstLine="0"/>
              <w:rPr>
                <w:sz w:val="14"/>
                <w:szCs w:val="20"/>
              </w:rPr>
            </w:pPr>
            <w:r w:rsidRPr="00184B6B">
              <w:rPr>
                <w:sz w:val="14"/>
                <w:szCs w:val="20"/>
              </w:rPr>
              <w:t>-0.038</w:t>
            </w:r>
          </w:p>
        </w:tc>
        <w:tc>
          <w:tcPr>
            <w:tcW w:w="469" w:type="pct"/>
            <w:tcBorders>
              <w:top w:val="nil"/>
              <w:left w:val="nil"/>
              <w:bottom w:val="nil"/>
              <w:right w:val="nil"/>
            </w:tcBorders>
            <w:shd w:val="clear" w:color="auto" w:fill="auto"/>
            <w:noWrap/>
            <w:vAlign w:val="center"/>
            <w:hideMark/>
          </w:tcPr>
          <w:p w14:paraId="0D3DD580" w14:textId="77777777" w:rsidR="00184B6B" w:rsidRPr="00184B6B" w:rsidRDefault="00184B6B" w:rsidP="00184B6B">
            <w:pPr>
              <w:spacing w:line="240" w:lineRule="auto"/>
              <w:ind w:firstLine="0"/>
              <w:rPr>
                <w:sz w:val="14"/>
                <w:szCs w:val="20"/>
              </w:rPr>
            </w:pPr>
            <w:r w:rsidRPr="00184B6B">
              <w:rPr>
                <w:sz w:val="14"/>
                <w:szCs w:val="20"/>
              </w:rPr>
              <w:t>-0.032</w:t>
            </w:r>
          </w:p>
        </w:tc>
        <w:tc>
          <w:tcPr>
            <w:tcW w:w="469" w:type="pct"/>
            <w:tcBorders>
              <w:top w:val="nil"/>
              <w:left w:val="nil"/>
              <w:bottom w:val="nil"/>
              <w:right w:val="nil"/>
            </w:tcBorders>
            <w:shd w:val="clear" w:color="auto" w:fill="auto"/>
            <w:noWrap/>
            <w:vAlign w:val="center"/>
            <w:hideMark/>
          </w:tcPr>
          <w:p w14:paraId="18343CC2" w14:textId="77777777" w:rsidR="00184B6B" w:rsidRPr="00184B6B" w:rsidRDefault="00184B6B" w:rsidP="00184B6B">
            <w:pPr>
              <w:spacing w:line="240" w:lineRule="auto"/>
              <w:ind w:firstLine="0"/>
              <w:rPr>
                <w:sz w:val="14"/>
                <w:szCs w:val="20"/>
              </w:rPr>
            </w:pPr>
            <w:r w:rsidRPr="00184B6B">
              <w:rPr>
                <w:sz w:val="14"/>
                <w:szCs w:val="20"/>
              </w:rPr>
              <w:t>-0.034</w:t>
            </w:r>
          </w:p>
        </w:tc>
        <w:tc>
          <w:tcPr>
            <w:tcW w:w="466" w:type="pct"/>
            <w:tcBorders>
              <w:top w:val="nil"/>
              <w:left w:val="nil"/>
              <w:bottom w:val="nil"/>
              <w:right w:val="single" w:sz="4" w:space="0" w:color="auto"/>
            </w:tcBorders>
            <w:shd w:val="clear" w:color="auto" w:fill="auto"/>
            <w:noWrap/>
            <w:vAlign w:val="center"/>
            <w:hideMark/>
          </w:tcPr>
          <w:p w14:paraId="270BAD3A" w14:textId="77777777" w:rsidR="00184B6B" w:rsidRPr="00184B6B" w:rsidRDefault="00184B6B" w:rsidP="00184B6B">
            <w:pPr>
              <w:spacing w:line="240" w:lineRule="auto"/>
              <w:ind w:firstLine="0"/>
              <w:rPr>
                <w:sz w:val="14"/>
                <w:szCs w:val="20"/>
              </w:rPr>
            </w:pPr>
            <w:r w:rsidRPr="00184B6B">
              <w:rPr>
                <w:sz w:val="14"/>
                <w:szCs w:val="20"/>
              </w:rPr>
              <w:t>-0.035</w:t>
            </w:r>
          </w:p>
        </w:tc>
      </w:tr>
      <w:tr w:rsidR="00184B6B" w:rsidRPr="00184B6B" w14:paraId="058F671B"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7DD5D9A6"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100BBF2D"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2DB1DD38"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nil"/>
              <w:bottom w:val="nil"/>
              <w:right w:val="nil"/>
            </w:tcBorders>
            <w:shd w:val="clear" w:color="auto" w:fill="auto"/>
            <w:noWrap/>
            <w:vAlign w:val="center"/>
            <w:hideMark/>
          </w:tcPr>
          <w:p w14:paraId="1B8065D8"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single" w:sz="4" w:space="0" w:color="auto"/>
            </w:tcBorders>
            <w:shd w:val="clear" w:color="auto" w:fill="auto"/>
            <w:noWrap/>
            <w:vAlign w:val="center"/>
            <w:hideMark/>
          </w:tcPr>
          <w:p w14:paraId="27CFC14C" w14:textId="77777777" w:rsidR="00184B6B" w:rsidRPr="00184B6B" w:rsidRDefault="00184B6B" w:rsidP="00184B6B">
            <w:pPr>
              <w:spacing w:line="240" w:lineRule="auto"/>
              <w:ind w:firstLine="0"/>
              <w:rPr>
                <w:sz w:val="14"/>
                <w:szCs w:val="20"/>
              </w:rPr>
            </w:pPr>
            <w:r w:rsidRPr="00184B6B">
              <w:rPr>
                <w:sz w:val="14"/>
                <w:szCs w:val="20"/>
              </w:rPr>
              <w:t>(0.059)</w:t>
            </w:r>
          </w:p>
        </w:tc>
        <w:tc>
          <w:tcPr>
            <w:tcW w:w="469" w:type="pct"/>
            <w:tcBorders>
              <w:top w:val="nil"/>
              <w:left w:val="single" w:sz="4" w:space="0" w:color="auto"/>
              <w:bottom w:val="nil"/>
              <w:right w:val="nil"/>
            </w:tcBorders>
            <w:shd w:val="clear" w:color="auto" w:fill="auto"/>
            <w:noWrap/>
            <w:vAlign w:val="center"/>
            <w:hideMark/>
          </w:tcPr>
          <w:p w14:paraId="6837526E" w14:textId="77777777" w:rsidR="00184B6B" w:rsidRPr="00184B6B" w:rsidRDefault="00184B6B" w:rsidP="00184B6B">
            <w:pPr>
              <w:spacing w:line="240" w:lineRule="auto"/>
              <w:ind w:firstLine="0"/>
              <w:rPr>
                <w:sz w:val="14"/>
                <w:szCs w:val="20"/>
              </w:rPr>
            </w:pPr>
            <w:r w:rsidRPr="00184B6B">
              <w:rPr>
                <w:sz w:val="14"/>
                <w:szCs w:val="20"/>
              </w:rPr>
              <w:t>(0.043)</w:t>
            </w:r>
          </w:p>
        </w:tc>
        <w:tc>
          <w:tcPr>
            <w:tcW w:w="469" w:type="pct"/>
            <w:tcBorders>
              <w:top w:val="nil"/>
              <w:left w:val="nil"/>
              <w:bottom w:val="nil"/>
              <w:right w:val="nil"/>
            </w:tcBorders>
            <w:shd w:val="clear" w:color="auto" w:fill="auto"/>
            <w:noWrap/>
            <w:vAlign w:val="center"/>
            <w:hideMark/>
          </w:tcPr>
          <w:p w14:paraId="2D622D4A" w14:textId="77777777" w:rsidR="00184B6B" w:rsidRPr="00184B6B" w:rsidRDefault="00184B6B" w:rsidP="00184B6B">
            <w:pPr>
              <w:spacing w:line="240" w:lineRule="auto"/>
              <w:ind w:firstLine="0"/>
              <w:rPr>
                <w:sz w:val="14"/>
                <w:szCs w:val="20"/>
              </w:rPr>
            </w:pPr>
            <w:r w:rsidRPr="00184B6B">
              <w:rPr>
                <w:sz w:val="14"/>
                <w:szCs w:val="20"/>
              </w:rPr>
              <w:t>(0.043)</w:t>
            </w:r>
          </w:p>
        </w:tc>
        <w:tc>
          <w:tcPr>
            <w:tcW w:w="469" w:type="pct"/>
            <w:tcBorders>
              <w:top w:val="nil"/>
              <w:left w:val="nil"/>
              <w:bottom w:val="nil"/>
              <w:right w:val="nil"/>
            </w:tcBorders>
            <w:shd w:val="clear" w:color="auto" w:fill="auto"/>
            <w:noWrap/>
            <w:vAlign w:val="center"/>
            <w:hideMark/>
          </w:tcPr>
          <w:p w14:paraId="2A7035DE" w14:textId="77777777" w:rsidR="00184B6B" w:rsidRPr="00184B6B" w:rsidRDefault="00184B6B" w:rsidP="00184B6B">
            <w:pPr>
              <w:spacing w:line="240" w:lineRule="auto"/>
              <w:ind w:firstLine="0"/>
              <w:rPr>
                <w:sz w:val="14"/>
                <w:szCs w:val="20"/>
              </w:rPr>
            </w:pPr>
            <w:r w:rsidRPr="00184B6B">
              <w:rPr>
                <w:sz w:val="14"/>
                <w:szCs w:val="20"/>
              </w:rPr>
              <w:t>(0.043)</w:t>
            </w:r>
          </w:p>
        </w:tc>
        <w:tc>
          <w:tcPr>
            <w:tcW w:w="466" w:type="pct"/>
            <w:tcBorders>
              <w:top w:val="nil"/>
              <w:left w:val="nil"/>
              <w:bottom w:val="nil"/>
              <w:right w:val="single" w:sz="4" w:space="0" w:color="auto"/>
            </w:tcBorders>
            <w:shd w:val="clear" w:color="auto" w:fill="auto"/>
            <w:noWrap/>
            <w:vAlign w:val="center"/>
            <w:hideMark/>
          </w:tcPr>
          <w:p w14:paraId="2DCF5227" w14:textId="77777777" w:rsidR="00184B6B" w:rsidRPr="00184B6B" w:rsidRDefault="00184B6B" w:rsidP="00184B6B">
            <w:pPr>
              <w:spacing w:line="240" w:lineRule="auto"/>
              <w:ind w:firstLine="0"/>
              <w:rPr>
                <w:sz w:val="14"/>
                <w:szCs w:val="20"/>
              </w:rPr>
            </w:pPr>
            <w:r w:rsidRPr="00184B6B">
              <w:rPr>
                <w:sz w:val="14"/>
                <w:szCs w:val="20"/>
              </w:rPr>
              <w:t>(0.043)</w:t>
            </w:r>
          </w:p>
        </w:tc>
      </w:tr>
      <w:tr w:rsidR="00184B6B" w:rsidRPr="00184B6B" w14:paraId="000F493A"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9732E7A" w14:textId="77777777" w:rsidR="00184B6B" w:rsidRPr="00184B6B" w:rsidRDefault="00184B6B" w:rsidP="00184B6B">
            <w:pPr>
              <w:spacing w:line="240" w:lineRule="auto"/>
              <w:ind w:firstLine="0"/>
              <w:jc w:val="left"/>
              <w:rPr>
                <w:sz w:val="14"/>
                <w:szCs w:val="20"/>
              </w:rPr>
            </w:pPr>
            <w:r w:rsidRPr="00184B6B">
              <w:rPr>
                <w:sz w:val="14"/>
                <w:szCs w:val="20"/>
              </w:rPr>
              <w:t>Montenegro</w:t>
            </w:r>
          </w:p>
        </w:tc>
        <w:tc>
          <w:tcPr>
            <w:tcW w:w="469" w:type="pct"/>
            <w:tcBorders>
              <w:top w:val="nil"/>
              <w:left w:val="single" w:sz="4" w:space="0" w:color="auto"/>
              <w:bottom w:val="nil"/>
              <w:right w:val="nil"/>
            </w:tcBorders>
            <w:shd w:val="clear" w:color="auto" w:fill="auto"/>
            <w:noWrap/>
            <w:vAlign w:val="center"/>
            <w:hideMark/>
          </w:tcPr>
          <w:p w14:paraId="02CAFCF4" w14:textId="77777777" w:rsidR="00184B6B" w:rsidRPr="00184B6B" w:rsidRDefault="00184B6B" w:rsidP="00184B6B">
            <w:pPr>
              <w:spacing w:line="240" w:lineRule="auto"/>
              <w:ind w:firstLine="0"/>
              <w:rPr>
                <w:sz w:val="14"/>
                <w:szCs w:val="20"/>
              </w:rPr>
            </w:pPr>
            <w:r w:rsidRPr="00184B6B">
              <w:rPr>
                <w:sz w:val="14"/>
                <w:szCs w:val="20"/>
              </w:rPr>
              <w:t>0.226***</w:t>
            </w:r>
          </w:p>
        </w:tc>
        <w:tc>
          <w:tcPr>
            <w:tcW w:w="469" w:type="pct"/>
            <w:tcBorders>
              <w:top w:val="nil"/>
              <w:left w:val="nil"/>
              <w:bottom w:val="nil"/>
              <w:right w:val="nil"/>
            </w:tcBorders>
            <w:shd w:val="clear" w:color="auto" w:fill="auto"/>
            <w:noWrap/>
            <w:vAlign w:val="center"/>
            <w:hideMark/>
          </w:tcPr>
          <w:p w14:paraId="4056CF11" w14:textId="77777777" w:rsidR="00184B6B" w:rsidRPr="00184B6B" w:rsidRDefault="00184B6B" w:rsidP="00184B6B">
            <w:pPr>
              <w:spacing w:line="240" w:lineRule="auto"/>
              <w:ind w:firstLine="0"/>
              <w:rPr>
                <w:sz w:val="14"/>
                <w:szCs w:val="20"/>
              </w:rPr>
            </w:pPr>
            <w:r w:rsidRPr="00184B6B">
              <w:rPr>
                <w:sz w:val="14"/>
                <w:szCs w:val="20"/>
              </w:rPr>
              <w:t>0.236***</w:t>
            </w:r>
          </w:p>
        </w:tc>
        <w:tc>
          <w:tcPr>
            <w:tcW w:w="469" w:type="pct"/>
            <w:tcBorders>
              <w:top w:val="nil"/>
              <w:left w:val="nil"/>
              <w:bottom w:val="nil"/>
              <w:right w:val="nil"/>
            </w:tcBorders>
            <w:shd w:val="clear" w:color="auto" w:fill="auto"/>
            <w:noWrap/>
            <w:vAlign w:val="center"/>
            <w:hideMark/>
          </w:tcPr>
          <w:p w14:paraId="5D52A262" w14:textId="77777777" w:rsidR="00184B6B" w:rsidRPr="00184B6B" w:rsidRDefault="00184B6B" w:rsidP="00184B6B">
            <w:pPr>
              <w:spacing w:line="240" w:lineRule="auto"/>
              <w:ind w:firstLine="0"/>
              <w:rPr>
                <w:sz w:val="14"/>
                <w:szCs w:val="20"/>
              </w:rPr>
            </w:pPr>
            <w:r w:rsidRPr="00184B6B">
              <w:rPr>
                <w:sz w:val="14"/>
                <w:szCs w:val="20"/>
              </w:rPr>
              <w:t>0.229***</w:t>
            </w:r>
          </w:p>
        </w:tc>
        <w:tc>
          <w:tcPr>
            <w:tcW w:w="469" w:type="pct"/>
            <w:tcBorders>
              <w:top w:val="nil"/>
              <w:left w:val="nil"/>
              <w:bottom w:val="nil"/>
              <w:right w:val="single" w:sz="4" w:space="0" w:color="auto"/>
            </w:tcBorders>
            <w:shd w:val="clear" w:color="auto" w:fill="auto"/>
            <w:noWrap/>
            <w:vAlign w:val="center"/>
            <w:hideMark/>
          </w:tcPr>
          <w:p w14:paraId="462C66F6" w14:textId="77777777" w:rsidR="00184B6B" w:rsidRPr="00184B6B" w:rsidRDefault="00184B6B" w:rsidP="00184B6B">
            <w:pPr>
              <w:spacing w:line="240" w:lineRule="auto"/>
              <w:ind w:firstLine="0"/>
              <w:rPr>
                <w:sz w:val="14"/>
                <w:szCs w:val="20"/>
              </w:rPr>
            </w:pPr>
            <w:r w:rsidRPr="00184B6B">
              <w:rPr>
                <w:sz w:val="14"/>
                <w:szCs w:val="20"/>
              </w:rPr>
              <w:t>0.236***</w:t>
            </w:r>
          </w:p>
        </w:tc>
        <w:tc>
          <w:tcPr>
            <w:tcW w:w="469" w:type="pct"/>
            <w:tcBorders>
              <w:top w:val="nil"/>
              <w:left w:val="single" w:sz="4" w:space="0" w:color="auto"/>
              <w:bottom w:val="nil"/>
              <w:right w:val="nil"/>
            </w:tcBorders>
            <w:shd w:val="clear" w:color="auto" w:fill="auto"/>
            <w:noWrap/>
            <w:vAlign w:val="center"/>
            <w:hideMark/>
          </w:tcPr>
          <w:p w14:paraId="3076D1A5" w14:textId="77777777" w:rsidR="00184B6B" w:rsidRPr="00184B6B" w:rsidRDefault="00184B6B" w:rsidP="00184B6B">
            <w:pPr>
              <w:spacing w:line="240" w:lineRule="auto"/>
              <w:ind w:firstLine="0"/>
              <w:rPr>
                <w:sz w:val="14"/>
                <w:szCs w:val="20"/>
              </w:rPr>
            </w:pPr>
            <w:r w:rsidRPr="00184B6B">
              <w:rPr>
                <w:sz w:val="14"/>
                <w:szCs w:val="20"/>
              </w:rPr>
              <w:t>0.280***</w:t>
            </w:r>
          </w:p>
        </w:tc>
        <w:tc>
          <w:tcPr>
            <w:tcW w:w="469" w:type="pct"/>
            <w:tcBorders>
              <w:top w:val="nil"/>
              <w:left w:val="nil"/>
              <w:bottom w:val="nil"/>
              <w:right w:val="nil"/>
            </w:tcBorders>
            <w:shd w:val="clear" w:color="auto" w:fill="auto"/>
            <w:noWrap/>
            <w:vAlign w:val="center"/>
            <w:hideMark/>
          </w:tcPr>
          <w:p w14:paraId="59557E75" w14:textId="77777777" w:rsidR="00184B6B" w:rsidRPr="00184B6B" w:rsidRDefault="00184B6B" w:rsidP="00184B6B">
            <w:pPr>
              <w:spacing w:line="240" w:lineRule="auto"/>
              <w:ind w:firstLine="0"/>
              <w:rPr>
                <w:sz w:val="14"/>
                <w:szCs w:val="20"/>
              </w:rPr>
            </w:pPr>
            <w:r w:rsidRPr="00184B6B">
              <w:rPr>
                <w:sz w:val="14"/>
                <w:szCs w:val="20"/>
              </w:rPr>
              <w:t>0.285***</w:t>
            </w:r>
          </w:p>
        </w:tc>
        <w:tc>
          <w:tcPr>
            <w:tcW w:w="469" w:type="pct"/>
            <w:tcBorders>
              <w:top w:val="nil"/>
              <w:left w:val="nil"/>
              <w:bottom w:val="nil"/>
              <w:right w:val="nil"/>
            </w:tcBorders>
            <w:shd w:val="clear" w:color="auto" w:fill="auto"/>
            <w:noWrap/>
            <w:vAlign w:val="center"/>
            <w:hideMark/>
          </w:tcPr>
          <w:p w14:paraId="3FE12E56" w14:textId="77777777" w:rsidR="00184B6B" w:rsidRPr="00184B6B" w:rsidRDefault="00184B6B" w:rsidP="00184B6B">
            <w:pPr>
              <w:spacing w:line="240" w:lineRule="auto"/>
              <w:ind w:firstLine="0"/>
              <w:rPr>
                <w:sz w:val="14"/>
                <w:szCs w:val="20"/>
              </w:rPr>
            </w:pPr>
            <w:r w:rsidRPr="00184B6B">
              <w:rPr>
                <w:sz w:val="14"/>
                <w:szCs w:val="20"/>
              </w:rPr>
              <w:t>0.281***</w:t>
            </w:r>
          </w:p>
        </w:tc>
        <w:tc>
          <w:tcPr>
            <w:tcW w:w="466" w:type="pct"/>
            <w:tcBorders>
              <w:top w:val="nil"/>
              <w:left w:val="nil"/>
              <w:bottom w:val="nil"/>
              <w:right w:val="single" w:sz="4" w:space="0" w:color="auto"/>
            </w:tcBorders>
            <w:shd w:val="clear" w:color="auto" w:fill="auto"/>
            <w:noWrap/>
            <w:vAlign w:val="center"/>
            <w:hideMark/>
          </w:tcPr>
          <w:p w14:paraId="3CBB7F4C" w14:textId="77777777" w:rsidR="00184B6B" w:rsidRPr="00184B6B" w:rsidRDefault="00184B6B" w:rsidP="00184B6B">
            <w:pPr>
              <w:spacing w:line="240" w:lineRule="auto"/>
              <w:ind w:firstLine="0"/>
              <w:rPr>
                <w:sz w:val="14"/>
                <w:szCs w:val="20"/>
              </w:rPr>
            </w:pPr>
            <w:r w:rsidRPr="00184B6B">
              <w:rPr>
                <w:sz w:val="14"/>
                <w:szCs w:val="20"/>
              </w:rPr>
              <w:t>0.286***</w:t>
            </w:r>
          </w:p>
        </w:tc>
      </w:tr>
      <w:tr w:rsidR="00184B6B" w:rsidRPr="00184B6B" w14:paraId="59BE2B1B"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578D58A"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7A4F40F"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nil"/>
              <w:bottom w:val="nil"/>
              <w:right w:val="nil"/>
            </w:tcBorders>
            <w:shd w:val="clear" w:color="auto" w:fill="auto"/>
            <w:noWrap/>
            <w:vAlign w:val="center"/>
            <w:hideMark/>
          </w:tcPr>
          <w:p w14:paraId="3E33E4A0"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nil"/>
              <w:bottom w:val="nil"/>
              <w:right w:val="nil"/>
            </w:tcBorders>
            <w:shd w:val="clear" w:color="auto" w:fill="auto"/>
            <w:noWrap/>
            <w:vAlign w:val="center"/>
            <w:hideMark/>
          </w:tcPr>
          <w:p w14:paraId="67D6ADA8"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nil"/>
              <w:bottom w:val="nil"/>
              <w:right w:val="single" w:sz="4" w:space="0" w:color="auto"/>
            </w:tcBorders>
            <w:shd w:val="clear" w:color="auto" w:fill="auto"/>
            <w:noWrap/>
            <w:vAlign w:val="center"/>
            <w:hideMark/>
          </w:tcPr>
          <w:p w14:paraId="31D0F693" w14:textId="77777777" w:rsidR="00184B6B" w:rsidRPr="00184B6B" w:rsidRDefault="00184B6B" w:rsidP="00184B6B">
            <w:pPr>
              <w:spacing w:line="240" w:lineRule="auto"/>
              <w:ind w:firstLine="0"/>
              <w:rPr>
                <w:sz w:val="14"/>
                <w:szCs w:val="20"/>
              </w:rPr>
            </w:pPr>
            <w:r w:rsidRPr="00184B6B">
              <w:rPr>
                <w:sz w:val="14"/>
                <w:szCs w:val="20"/>
              </w:rPr>
              <w:t>(0.065)</w:t>
            </w:r>
          </w:p>
        </w:tc>
        <w:tc>
          <w:tcPr>
            <w:tcW w:w="469" w:type="pct"/>
            <w:tcBorders>
              <w:top w:val="nil"/>
              <w:left w:val="single" w:sz="4" w:space="0" w:color="auto"/>
              <w:bottom w:val="nil"/>
              <w:right w:val="nil"/>
            </w:tcBorders>
            <w:shd w:val="clear" w:color="auto" w:fill="auto"/>
            <w:noWrap/>
            <w:vAlign w:val="center"/>
            <w:hideMark/>
          </w:tcPr>
          <w:p w14:paraId="38903880"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0FD44AD6" w14:textId="77777777" w:rsidR="00184B6B" w:rsidRPr="00184B6B" w:rsidRDefault="00184B6B" w:rsidP="00184B6B">
            <w:pPr>
              <w:spacing w:line="240" w:lineRule="auto"/>
              <w:ind w:firstLine="0"/>
              <w:rPr>
                <w:sz w:val="14"/>
                <w:szCs w:val="20"/>
              </w:rPr>
            </w:pPr>
            <w:r w:rsidRPr="00184B6B">
              <w:rPr>
                <w:sz w:val="14"/>
                <w:szCs w:val="20"/>
              </w:rPr>
              <w:t>(0.046)</w:t>
            </w:r>
          </w:p>
        </w:tc>
        <w:tc>
          <w:tcPr>
            <w:tcW w:w="469" w:type="pct"/>
            <w:tcBorders>
              <w:top w:val="nil"/>
              <w:left w:val="nil"/>
              <w:bottom w:val="nil"/>
              <w:right w:val="nil"/>
            </w:tcBorders>
            <w:shd w:val="clear" w:color="auto" w:fill="auto"/>
            <w:noWrap/>
            <w:vAlign w:val="center"/>
            <w:hideMark/>
          </w:tcPr>
          <w:p w14:paraId="5E47C064" w14:textId="77777777" w:rsidR="00184B6B" w:rsidRPr="00184B6B" w:rsidRDefault="00184B6B" w:rsidP="00184B6B">
            <w:pPr>
              <w:spacing w:line="240" w:lineRule="auto"/>
              <w:ind w:firstLine="0"/>
              <w:rPr>
                <w:sz w:val="14"/>
                <w:szCs w:val="20"/>
              </w:rPr>
            </w:pPr>
            <w:r w:rsidRPr="00184B6B">
              <w:rPr>
                <w:sz w:val="14"/>
                <w:szCs w:val="20"/>
              </w:rPr>
              <w:t>(0.046)</w:t>
            </w:r>
          </w:p>
        </w:tc>
        <w:tc>
          <w:tcPr>
            <w:tcW w:w="466" w:type="pct"/>
            <w:tcBorders>
              <w:top w:val="nil"/>
              <w:left w:val="nil"/>
              <w:bottom w:val="nil"/>
              <w:right w:val="single" w:sz="4" w:space="0" w:color="auto"/>
            </w:tcBorders>
            <w:shd w:val="clear" w:color="auto" w:fill="auto"/>
            <w:noWrap/>
            <w:vAlign w:val="center"/>
            <w:hideMark/>
          </w:tcPr>
          <w:p w14:paraId="01ACB591" w14:textId="77777777" w:rsidR="00184B6B" w:rsidRPr="00184B6B" w:rsidRDefault="00184B6B" w:rsidP="00184B6B">
            <w:pPr>
              <w:spacing w:line="240" w:lineRule="auto"/>
              <w:ind w:firstLine="0"/>
              <w:rPr>
                <w:sz w:val="14"/>
                <w:szCs w:val="20"/>
              </w:rPr>
            </w:pPr>
            <w:r w:rsidRPr="00184B6B">
              <w:rPr>
                <w:sz w:val="14"/>
                <w:szCs w:val="20"/>
              </w:rPr>
              <w:t>(0.046)</w:t>
            </w:r>
          </w:p>
        </w:tc>
      </w:tr>
      <w:tr w:rsidR="00184B6B" w:rsidRPr="00184B6B" w14:paraId="1B40CE5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F8883D3" w14:textId="77777777" w:rsidR="00184B6B" w:rsidRPr="00184B6B" w:rsidRDefault="00184B6B" w:rsidP="00184B6B">
            <w:pPr>
              <w:spacing w:line="240" w:lineRule="auto"/>
              <w:ind w:firstLine="0"/>
              <w:jc w:val="left"/>
              <w:rPr>
                <w:sz w:val="14"/>
                <w:szCs w:val="20"/>
              </w:rPr>
            </w:pPr>
            <w:r w:rsidRPr="00184B6B">
              <w:rPr>
                <w:sz w:val="14"/>
                <w:szCs w:val="20"/>
              </w:rPr>
              <w:t>Kosovo</w:t>
            </w:r>
          </w:p>
        </w:tc>
        <w:tc>
          <w:tcPr>
            <w:tcW w:w="469" w:type="pct"/>
            <w:tcBorders>
              <w:top w:val="nil"/>
              <w:left w:val="single" w:sz="4" w:space="0" w:color="auto"/>
              <w:bottom w:val="nil"/>
              <w:right w:val="nil"/>
            </w:tcBorders>
            <w:shd w:val="clear" w:color="auto" w:fill="auto"/>
            <w:noWrap/>
            <w:vAlign w:val="center"/>
            <w:hideMark/>
          </w:tcPr>
          <w:p w14:paraId="63361E66" w14:textId="77777777" w:rsidR="00184B6B" w:rsidRPr="00184B6B" w:rsidRDefault="00184B6B" w:rsidP="00184B6B">
            <w:pPr>
              <w:spacing w:line="240" w:lineRule="auto"/>
              <w:ind w:firstLine="0"/>
              <w:rPr>
                <w:sz w:val="14"/>
                <w:szCs w:val="20"/>
              </w:rPr>
            </w:pPr>
            <w:r w:rsidRPr="00184B6B">
              <w:rPr>
                <w:sz w:val="14"/>
                <w:szCs w:val="20"/>
              </w:rPr>
              <w:t>0.050</w:t>
            </w:r>
          </w:p>
        </w:tc>
        <w:tc>
          <w:tcPr>
            <w:tcW w:w="469" w:type="pct"/>
            <w:tcBorders>
              <w:top w:val="nil"/>
              <w:left w:val="nil"/>
              <w:bottom w:val="nil"/>
              <w:right w:val="nil"/>
            </w:tcBorders>
            <w:shd w:val="clear" w:color="auto" w:fill="auto"/>
            <w:noWrap/>
            <w:vAlign w:val="center"/>
            <w:hideMark/>
          </w:tcPr>
          <w:p w14:paraId="2E392CDC" w14:textId="77777777" w:rsidR="00184B6B" w:rsidRPr="00184B6B" w:rsidRDefault="00184B6B" w:rsidP="00184B6B">
            <w:pPr>
              <w:spacing w:line="240" w:lineRule="auto"/>
              <w:ind w:firstLine="0"/>
              <w:rPr>
                <w:sz w:val="14"/>
                <w:szCs w:val="20"/>
              </w:rPr>
            </w:pPr>
            <w:r w:rsidRPr="00184B6B">
              <w:rPr>
                <w:sz w:val="14"/>
                <w:szCs w:val="20"/>
              </w:rPr>
              <w:t>0.061</w:t>
            </w:r>
          </w:p>
        </w:tc>
        <w:tc>
          <w:tcPr>
            <w:tcW w:w="469" w:type="pct"/>
            <w:tcBorders>
              <w:top w:val="nil"/>
              <w:left w:val="nil"/>
              <w:bottom w:val="nil"/>
              <w:right w:val="nil"/>
            </w:tcBorders>
            <w:shd w:val="clear" w:color="auto" w:fill="auto"/>
            <w:noWrap/>
            <w:vAlign w:val="center"/>
            <w:hideMark/>
          </w:tcPr>
          <w:p w14:paraId="627ACCC9" w14:textId="77777777" w:rsidR="00184B6B" w:rsidRPr="00184B6B" w:rsidRDefault="00184B6B" w:rsidP="00184B6B">
            <w:pPr>
              <w:spacing w:line="240" w:lineRule="auto"/>
              <w:ind w:firstLine="0"/>
              <w:rPr>
                <w:sz w:val="14"/>
                <w:szCs w:val="20"/>
              </w:rPr>
            </w:pPr>
            <w:r w:rsidRPr="00184B6B">
              <w:rPr>
                <w:sz w:val="14"/>
                <w:szCs w:val="20"/>
              </w:rPr>
              <w:t>0.060</w:t>
            </w:r>
          </w:p>
        </w:tc>
        <w:tc>
          <w:tcPr>
            <w:tcW w:w="469" w:type="pct"/>
            <w:tcBorders>
              <w:top w:val="nil"/>
              <w:left w:val="nil"/>
              <w:bottom w:val="nil"/>
              <w:right w:val="single" w:sz="4" w:space="0" w:color="auto"/>
            </w:tcBorders>
            <w:shd w:val="clear" w:color="auto" w:fill="auto"/>
            <w:noWrap/>
            <w:vAlign w:val="center"/>
            <w:hideMark/>
          </w:tcPr>
          <w:p w14:paraId="1C0F2532" w14:textId="77777777" w:rsidR="00184B6B" w:rsidRPr="00184B6B" w:rsidRDefault="00184B6B" w:rsidP="00184B6B">
            <w:pPr>
              <w:spacing w:line="240" w:lineRule="auto"/>
              <w:ind w:firstLine="0"/>
              <w:rPr>
                <w:sz w:val="14"/>
                <w:szCs w:val="20"/>
              </w:rPr>
            </w:pPr>
            <w:r w:rsidRPr="00184B6B">
              <w:rPr>
                <w:sz w:val="14"/>
                <w:szCs w:val="20"/>
              </w:rPr>
              <w:t>0.054</w:t>
            </w:r>
          </w:p>
        </w:tc>
        <w:tc>
          <w:tcPr>
            <w:tcW w:w="469" w:type="pct"/>
            <w:tcBorders>
              <w:top w:val="nil"/>
              <w:left w:val="single" w:sz="4" w:space="0" w:color="auto"/>
              <w:bottom w:val="nil"/>
              <w:right w:val="nil"/>
            </w:tcBorders>
            <w:shd w:val="clear" w:color="auto" w:fill="auto"/>
            <w:noWrap/>
            <w:vAlign w:val="center"/>
            <w:hideMark/>
          </w:tcPr>
          <w:p w14:paraId="0C12B167" w14:textId="77777777" w:rsidR="00184B6B" w:rsidRPr="00184B6B" w:rsidRDefault="00184B6B" w:rsidP="00184B6B">
            <w:pPr>
              <w:spacing w:line="240" w:lineRule="auto"/>
              <w:ind w:firstLine="0"/>
              <w:rPr>
                <w:sz w:val="14"/>
                <w:szCs w:val="20"/>
              </w:rPr>
            </w:pPr>
            <w:r w:rsidRPr="00184B6B">
              <w:rPr>
                <w:sz w:val="14"/>
                <w:szCs w:val="20"/>
              </w:rPr>
              <w:t>0.445***</w:t>
            </w:r>
          </w:p>
        </w:tc>
        <w:tc>
          <w:tcPr>
            <w:tcW w:w="469" w:type="pct"/>
            <w:tcBorders>
              <w:top w:val="nil"/>
              <w:left w:val="nil"/>
              <w:bottom w:val="nil"/>
              <w:right w:val="nil"/>
            </w:tcBorders>
            <w:shd w:val="clear" w:color="auto" w:fill="auto"/>
            <w:noWrap/>
            <w:vAlign w:val="center"/>
            <w:hideMark/>
          </w:tcPr>
          <w:p w14:paraId="442C85C6" w14:textId="77777777" w:rsidR="00184B6B" w:rsidRPr="00184B6B" w:rsidRDefault="00184B6B" w:rsidP="00184B6B">
            <w:pPr>
              <w:spacing w:line="240" w:lineRule="auto"/>
              <w:ind w:firstLine="0"/>
              <w:rPr>
                <w:sz w:val="14"/>
                <w:szCs w:val="20"/>
              </w:rPr>
            </w:pPr>
            <w:r w:rsidRPr="00184B6B">
              <w:rPr>
                <w:sz w:val="14"/>
                <w:szCs w:val="20"/>
              </w:rPr>
              <w:t>0.449***</w:t>
            </w:r>
          </w:p>
        </w:tc>
        <w:tc>
          <w:tcPr>
            <w:tcW w:w="469" w:type="pct"/>
            <w:tcBorders>
              <w:top w:val="nil"/>
              <w:left w:val="nil"/>
              <w:bottom w:val="nil"/>
              <w:right w:val="nil"/>
            </w:tcBorders>
            <w:shd w:val="clear" w:color="auto" w:fill="auto"/>
            <w:noWrap/>
            <w:vAlign w:val="center"/>
            <w:hideMark/>
          </w:tcPr>
          <w:p w14:paraId="7B14D019" w14:textId="77777777" w:rsidR="00184B6B" w:rsidRPr="00184B6B" w:rsidRDefault="00184B6B" w:rsidP="00184B6B">
            <w:pPr>
              <w:spacing w:line="240" w:lineRule="auto"/>
              <w:ind w:firstLine="0"/>
              <w:rPr>
                <w:sz w:val="14"/>
                <w:szCs w:val="20"/>
              </w:rPr>
            </w:pPr>
            <w:r w:rsidRPr="00184B6B">
              <w:rPr>
                <w:sz w:val="14"/>
                <w:szCs w:val="20"/>
              </w:rPr>
              <w:t>0.450***</w:t>
            </w:r>
          </w:p>
        </w:tc>
        <w:tc>
          <w:tcPr>
            <w:tcW w:w="466" w:type="pct"/>
            <w:tcBorders>
              <w:top w:val="nil"/>
              <w:left w:val="nil"/>
              <w:bottom w:val="nil"/>
              <w:right w:val="single" w:sz="4" w:space="0" w:color="auto"/>
            </w:tcBorders>
            <w:shd w:val="clear" w:color="auto" w:fill="auto"/>
            <w:noWrap/>
            <w:vAlign w:val="center"/>
            <w:hideMark/>
          </w:tcPr>
          <w:p w14:paraId="688040BF" w14:textId="77777777" w:rsidR="00184B6B" w:rsidRPr="00184B6B" w:rsidRDefault="00184B6B" w:rsidP="00184B6B">
            <w:pPr>
              <w:spacing w:line="240" w:lineRule="auto"/>
              <w:ind w:firstLine="0"/>
              <w:rPr>
                <w:sz w:val="14"/>
                <w:szCs w:val="20"/>
              </w:rPr>
            </w:pPr>
            <w:r w:rsidRPr="00184B6B">
              <w:rPr>
                <w:sz w:val="14"/>
                <w:szCs w:val="20"/>
              </w:rPr>
              <w:t>0.446***</w:t>
            </w:r>
          </w:p>
        </w:tc>
      </w:tr>
      <w:tr w:rsidR="00184B6B" w:rsidRPr="00184B6B" w14:paraId="1CD7E2A5"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0395346"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523C7294" w14:textId="77777777" w:rsidR="00184B6B" w:rsidRPr="00184B6B" w:rsidRDefault="00184B6B" w:rsidP="00184B6B">
            <w:pPr>
              <w:spacing w:line="240" w:lineRule="auto"/>
              <w:ind w:firstLine="0"/>
              <w:rPr>
                <w:sz w:val="14"/>
                <w:szCs w:val="20"/>
              </w:rPr>
            </w:pPr>
            <w:r w:rsidRPr="00184B6B">
              <w:rPr>
                <w:sz w:val="14"/>
                <w:szCs w:val="20"/>
              </w:rPr>
              <w:t>(0.071)</w:t>
            </w:r>
          </w:p>
        </w:tc>
        <w:tc>
          <w:tcPr>
            <w:tcW w:w="469" w:type="pct"/>
            <w:tcBorders>
              <w:top w:val="nil"/>
              <w:left w:val="nil"/>
              <w:bottom w:val="nil"/>
              <w:right w:val="nil"/>
            </w:tcBorders>
            <w:shd w:val="clear" w:color="auto" w:fill="auto"/>
            <w:noWrap/>
            <w:vAlign w:val="center"/>
            <w:hideMark/>
          </w:tcPr>
          <w:p w14:paraId="740482E9" w14:textId="77777777" w:rsidR="00184B6B" w:rsidRPr="00184B6B" w:rsidRDefault="00184B6B" w:rsidP="00184B6B">
            <w:pPr>
              <w:spacing w:line="240" w:lineRule="auto"/>
              <w:ind w:firstLine="0"/>
              <w:rPr>
                <w:sz w:val="14"/>
                <w:szCs w:val="20"/>
              </w:rPr>
            </w:pPr>
            <w:r w:rsidRPr="00184B6B">
              <w:rPr>
                <w:sz w:val="14"/>
                <w:szCs w:val="20"/>
              </w:rPr>
              <w:t>(0.071)</w:t>
            </w:r>
          </w:p>
        </w:tc>
        <w:tc>
          <w:tcPr>
            <w:tcW w:w="469" w:type="pct"/>
            <w:tcBorders>
              <w:top w:val="nil"/>
              <w:left w:val="nil"/>
              <w:bottom w:val="nil"/>
              <w:right w:val="nil"/>
            </w:tcBorders>
            <w:shd w:val="clear" w:color="auto" w:fill="auto"/>
            <w:noWrap/>
            <w:vAlign w:val="center"/>
            <w:hideMark/>
          </w:tcPr>
          <w:p w14:paraId="6C1F1B1B" w14:textId="77777777" w:rsidR="00184B6B" w:rsidRPr="00184B6B" w:rsidRDefault="00184B6B" w:rsidP="00184B6B">
            <w:pPr>
              <w:spacing w:line="240" w:lineRule="auto"/>
              <w:ind w:firstLine="0"/>
              <w:rPr>
                <w:sz w:val="14"/>
                <w:szCs w:val="20"/>
              </w:rPr>
            </w:pPr>
            <w:r w:rsidRPr="00184B6B">
              <w:rPr>
                <w:sz w:val="14"/>
                <w:szCs w:val="20"/>
              </w:rPr>
              <w:t>(0.071)</w:t>
            </w:r>
          </w:p>
        </w:tc>
        <w:tc>
          <w:tcPr>
            <w:tcW w:w="469" w:type="pct"/>
            <w:tcBorders>
              <w:top w:val="nil"/>
              <w:left w:val="nil"/>
              <w:bottom w:val="nil"/>
              <w:right w:val="single" w:sz="4" w:space="0" w:color="auto"/>
            </w:tcBorders>
            <w:shd w:val="clear" w:color="auto" w:fill="auto"/>
            <w:noWrap/>
            <w:vAlign w:val="center"/>
            <w:hideMark/>
          </w:tcPr>
          <w:p w14:paraId="005FBB65" w14:textId="77777777" w:rsidR="00184B6B" w:rsidRPr="00184B6B" w:rsidRDefault="00184B6B" w:rsidP="00184B6B">
            <w:pPr>
              <w:spacing w:line="240" w:lineRule="auto"/>
              <w:ind w:firstLine="0"/>
              <w:rPr>
                <w:sz w:val="14"/>
                <w:szCs w:val="20"/>
              </w:rPr>
            </w:pPr>
            <w:r w:rsidRPr="00184B6B">
              <w:rPr>
                <w:sz w:val="14"/>
                <w:szCs w:val="20"/>
              </w:rPr>
              <w:t>(0.071)</w:t>
            </w:r>
          </w:p>
        </w:tc>
        <w:tc>
          <w:tcPr>
            <w:tcW w:w="469" w:type="pct"/>
            <w:tcBorders>
              <w:top w:val="nil"/>
              <w:left w:val="single" w:sz="4" w:space="0" w:color="auto"/>
              <w:bottom w:val="nil"/>
              <w:right w:val="nil"/>
            </w:tcBorders>
            <w:shd w:val="clear" w:color="auto" w:fill="auto"/>
            <w:noWrap/>
            <w:vAlign w:val="center"/>
            <w:hideMark/>
          </w:tcPr>
          <w:p w14:paraId="73A4CA69"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nil"/>
            </w:tcBorders>
            <w:shd w:val="clear" w:color="auto" w:fill="auto"/>
            <w:noWrap/>
            <w:vAlign w:val="center"/>
            <w:hideMark/>
          </w:tcPr>
          <w:p w14:paraId="13F60B3F" w14:textId="77777777" w:rsidR="00184B6B" w:rsidRPr="00184B6B" w:rsidRDefault="00184B6B" w:rsidP="00184B6B">
            <w:pPr>
              <w:spacing w:line="240" w:lineRule="auto"/>
              <w:ind w:firstLine="0"/>
              <w:rPr>
                <w:sz w:val="14"/>
                <w:szCs w:val="20"/>
              </w:rPr>
            </w:pPr>
            <w:r w:rsidRPr="00184B6B">
              <w:rPr>
                <w:sz w:val="14"/>
                <w:szCs w:val="20"/>
              </w:rPr>
              <w:t>(0.058)</w:t>
            </w:r>
          </w:p>
        </w:tc>
        <w:tc>
          <w:tcPr>
            <w:tcW w:w="469" w:type="pct"/>
            <w:tcBorders>
              <w:top w:val="nil"/>
              <w:left w:val="nil"/>
              <w:bottom w:val="nil"/>
              <w:right w:val="nil"/>
            </w:tcBorders>
            <w:shd w:val="clear" w:color="auto" w:fill="auto"/>
            <w:noWrap/>
            <w:vAlign w:val="center"/>
            <w:hideMark/>
          </w:tcPr>
          <w:p w14:paraId="611A1D5E" w14:textId="77777777" w:rsidR="00184B6B" w:rsidRPr="00184B6B" w:rsidRDefault="00184B6B" w:rsidP="00184B6B">
            <w:pPr>
              <w:spacing w:line="240" w:lineRule="auto"/>
              <w:ind w:firstLine="0"/>
              <w:rPr>
                <w:sz w:val="14"/>
                <w:szCs w:val="20"/>
              </w:rPr>
            </w:pPr>
            <w:r w:rsidRPr="00184B6B">
              <w:rPr>
                <w:sz w:val="14"/>
                <w:szCs w:val="20"/>
              </w:rPr>
              <w:t>(0.058)</w:t>
            </w:r>
          </w:p>
        </w:tc>
        <w:tc>
          <w:tcPr>
            <w:tcW w:w="466" w:type="pct"/>
            <w:tcBorders>
              <w:top w:val="nil"/>
              <w:left w:val="nil"/>
              <w:bottom w:val="nil"/>
              <w:right w:val="single" w:sz="4" w:space="0" w:color="auto"/>
            </w:tcBorders>
            <w:shd w:val="clear" w:color="auto" w:fill="auto"/>
            <w:noWrap/>
            <w:vAlign w:val="center"/>
            <w:hideMark/>
          </w:tcPr>
          <w:p w14:paraId="41E582CE" w14:textId="77777777" w:rsidR="00184B6B" w:rsidRPr="00184B6B" w:rsidRDefault="00184B6B" w:rsidP="00184B6B">
            <w:pPr>
              <w:spacing w:line="240" w:lineRule="auto"/>
              <w:ind w:firstLine="0"/>
              <w:rPr>
                <w:sz w:val="14"/>
                <w:szCs w:val="20"/>
              </w:rPr>
            </w:pPr>
            <w:r w:rsidRPr="00184B6B">
              <w:rPr>
                <w:sz w:val="14"/>
                <w:szCs w:val="20"/>
              </w:rPr>
              <w:t>(0.058)</w:t>
            </w:r>
          </w:p>
        </w:tc>
      </w:tr>
      <w:tr w:rsidR="00184B6B" w:rsidRPr="00184B6B" w14:paraId="36640370"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11E8433" w14:textId="77777777" w:rsidR="00184B6B" w:rsidRPr="00184B6B" w:rsidRDefault="00184B6B" w:rsidP="00184B6B">
            <w:pPr>
              <w:spacing w:line="240" w:lineRule="auto"/>
              <w:ind w:firstLine="0"/>
              <w:jc w:val="left"/>
              <w:rPr>
                <w:sz w:val="14"/>
                <w:szCs w:val="20"/>
              </w:rPr>
            </w:pPr>
            <w:r w:rsidRPr="00184B6B">
              <w:rPr>
                <w:sz w:val="14"/>
                <w:szCs w:val="20"/>
              </w:rPr>
              <w:t>Year 2010</w:t>
            </w:r>
          </w:p>
        </w:tc>
        <w:tc>
          <w:tcPr>
            <w:tcW w:w="469" w:type="pct"/>
            <w:tcBorders>
              <w:top w:val="nil"/>
              <w:left w:val="single" w:sz="4" w:space="0" w:color="auto"/>
              <w:bottom w:val="nil"/>
              <w:right w:val="nil"/>
            </w:tcBorders>
            <w:shd w:val="clear" w:color="auto" w:fill="auto"/>
            <w:noWrap/>
            <w:vAlign w:val="center"/>
            <w:hideMark/>
          </w:tcPr>
          <w:p w14:paraId="2AC24B1B" w14:textId="77777777" w:rsidR="00184B6B" w:rsidRPr="00184B6B" w:rsidRDefault="00184B6B" w:rsidP="00184B6B">
            <w:pPr>
              <w:spacing w:line="240" w:lineRule="auto"/>
              <w:ind w:firstLine="0"/>
              <w:rPr>
                <w:sz w:val="14"/>
                <w:szCs w:val="20"/>
              </w:rPr>
            </w:pPr>
            <w:r w:rsidRPr="00184B6B">
              <w:rPr>
                <w:sz w:val="14"/>
                <w:szCs w:val="20"/>
              </w:rPr>
              <w:t>-0.079**</w:t>
            </w:r>
          </w:p>
        </w:tc>
        <w:tc>
          <w:tcPr>
            <w:tcW w:w="469" w:type="pct"/>
            <w:tcBorders>
              <w:top w:val="nil"/>
              <w:left w:val="nil"/>
              <w:bottom w:val="nil"/>
              <w:right w:val="nil"/>
            </w:tcBorders>
            <w:shd w:val="clear" w:color="auto" w:fill="auto"/>
            <w:noWrap/>
            <w:vAlign w:val="center"/>
            <w:hideMark/>
          </w:tcPr>
          <w:p w14:paraId="7AC81595" w14:textId="77777777" w:rsidR="00184B6B" w:rsidRPr="00184B6B" w:rsidRDefault="00184B6B" w:rsidP="00184B6B">
            <w:pPr>
              <w:spacing w:line="240" w:lineRule="auto"/>
              <w:ind w:firstLine="0"/>
              <w:rPr>
                <w:sz w:val="14"/>
                <w:szCs w:val="20"/>
              </w:rPr>
            </w:pPr>
            <w:r w:rsidRPr="00184B6B">
              <w:rPr>
                <w:sz w:val="14"/>
                <w:szCs w:val="20"/>
              </w:rPr>
              <w:t>-0.069*</w:t>
            </w:r>
          </w:p>
        </w:tc>
        <w:tc>
          <w:tcPr>
            <w:tcW w:w="469" w:type="pct"/>
            <w:tcBorders>
              <w:top w:val="nil"/>
              <w:left w:val="nil"/>
              <w:bottom w:val="nil"/>
              <w:right w:val="nil"/>
            </w:tcBorders>
            <w:shd w:val="clear" w:color="auto" w:fill="auto"/>
            <w:noWrap/>
            <w:vAlign w:val="center"/>
            <w:hideMark/>
          </w:tcPr>
          <w:p w14:paraId="68F0FFF8" w14:textId="77777777" w:rsidR="00184B6B" w:rsidRPr="00184B6B" w:rsidRDefault="00184B6B" w:rsidP="00184B6B">
            <w:pPr>
              <w:spacing w:line="240" w:lineRule="auto"/>
              <w:ind w:firstLine="0"/>
              <w:rPr>
                <w:sz w:val="14"/>
                <w:szCs w:val="20"/>
              </w:rPr>
            </w:pPr>
            <w:r w:rsidRPr="00184B6B">
              <w:rPr>
                <w:sz w:val="14"/>
                <w:szCs w:val="20"/>
              </w:rPr>
              <w:t>-0.076**</w:t>
            </w:r>
          </w:p>
        </w:tc>
        <w:tc>
          <w:tcPr>
            <w:tcW w:w="469" w:type="pct"/>
            <w:tcBorders>
              <w:top w:val="nil"/>
              <w:left w:val="nil"/>
              <w:bottom w:val="nil"/>
              <w:right w:val="single" w:sz="4" w:space="0" w:color="auto"/>
            </w:tcBorders>
            <w:shd w:val="clear" w:color="auto" w:fill="auto"/>
            <w:noWrap/>
            <w:vAlign w:val="center"/>
            <w:hideMark/>
          </w:tcPr>
          <w:p w14:paraId="0098BD44" w14:textId="77777777" w:rsidR="00184B6B" w:rsidRPr="00184B6B" w:rsidRDefault="00184B6B" w:rsidP="00184B6B">
            <w:pPr>
              <w:spacing w:line="240" w:lineRule="auto"/>
              <w:ind w:firstLine="0"/>
              <w:rPr>
                <w:sz w:val="14"/>
                <w:szCs w:val="20"/>
              </w:rPr>
            </w:pPr>
            <w:r w:rsidRPr="00184B6B">
              <w:rPr>
                <w:sz w:val="14"/>
                <w:szCs w:val="20"/>
              </w:rPr>
              <w:t>-0.077**</w:t>
            </w:r>
          </w:p>
        </w:tc>
        <w:tc>
          <w:tcPr>
            <w:tcW w:w="469" w:type="pct"/>
            <w:tcBorders>
              <w:top w:val="nil"/>
              <w:left w:val="single" w:sz="4" w:space="0" w:color="auto"/>
              <w:bottom w:val="nil"/>
              <w:right w:val="nil"/>
            </w:tcBorders>
            <w:shd w:val="clear" w:color="auto" w:fill="auto"/>
            <w:noWrap/>
            <w:vAlign w:val="center"/>
            <w:hideMark/>
          </w:tcPr>
          <w:p w14:paraId="7EA189F4" w14:textId="77777777" w:rsidR="00184B6B" w:rsidRPr="00184B6B" w:rsidRDefault="00184B6B" w:rsidP="00184B6B">
            <w:pPr>
              <w:spacing w:line="240" w:lineRule="auto"/>
              <w:ind w:firstLine="0"/>
              <w:rPr>
                <w:sz w:val="14"/>
                <w:szCs w:val="20"/>
              </w:rPr>
            </w:pPr>
            <w:r w:rsidRPr="00184B6B">
              <w:rPr>
                <w:sz w:val="14"/>
                <w:szCs w:val="20"/>
              </w:rPr>
              <w:t>-0.139***</w:t>
            </w:r>
          </w:p>
        </w:tc>
        <w:tc>
          <w:tcPr>
            <w:tcW w:w="469" w:type="pct"/>
            <w:tcBorders>
              <w:top w:val="nil"/>
              <w:left w:val="nil"/>
              <w:bottom w:val="nil"/>
              <w:right w:val="nil"/>
            </w:tcBorders>
            <w:shd w:val="clear" w:color="auto" w:fill="auto"/>
            <w:noWrap/>
            <w:vAlign w:val="center"/>
            <w:hideMark/>
          </w:tcPr>
          <w:p w14:paraId="163654F3" w14:textId="77777777" w:rsidR="00184B6B" w:rsidRPr="00184B6B" w:rsidRDefault="00184B6B" w:rsidP="00184B6B">
            <w:pPr>
              <w:spacing w:line="240" w:lineRule="auto"/>
              <w:ind w:firstLine="0"/>
              <w:rPr>
                <w:sz w:val="14"/>
                <w:szCs w:val="20"/>
              </w:rPr>
            </w:pPr>
            <w:r w:rsidRPr="00184B6B">
              <w:rPr>
                <w:sz w:val="14"/>
                <w:szCs w:val="20"/>
              </w:rPr>
              <w:t>-0.134***</w:t>
            </w:r>
          </w:p>
        </w:tc>
        <w:tc>
          <w:tcPr>
            <w:tcW w:w="469" w:type="pct"/>
            <w:tcBorders>
              <w:top w:val="nil"/>
              <w:left w:val="nil"/>
              <w:bottom w:val="nil"/>
              <w:right w:val="nil"/>
            </w:tcBorders>
            <w:shd w:val="clear" w:color="auto" w:fill="auto"/>
            <w:noWrap/>
            <w:vAlign w:val="center"/>
            <w:hideMark/>
          </w:tcPr>
          <w:p w14:paraId="3D659E4F" w14:textId="77777777" w:rsidR="00184B6B" w:rsidRPr="00184B6B" w:rsidRDefault="00184B6B" w:rsidP="00184B6B">
            <w:pPr>
              <w:spacing w:line="240" w:lineRule="auto"/>
              <w:ind w:firstLine="0"/>
              <w:rPr>
                <w:sz w:val="14"/>
                <w:szCs w:val="20"/>
              </w:rPr>
            </w:pPr>
            <w:r w:rsidRPr="00184B6B">
              <w:rPr>
                <w:sz w:val="14"/>
                <w:szCs w:val="20"/>
              </w:rPr>
              <w:t>-0.137***</w:t>
            </w:r>
          </w:p>
        </w:tc>
        <w:tc>
          <w:tcPr>
            <w:tcW w:w="466" w:type="pct"/>
            <w:tcBorders>
              <w:top w:val="nil"/>
              <w:left w:val="nil"/>
              <w:bottom w:val="nil"/>
              <w:right w:val="single" w:sz="4" w:space="0" w:color="auto"/>
            </w:tcBorders>
            <w:shd w:val="clear" w:color="auto" w:fill="auto"/>
            <w:noWrap/>
            <w:vAlign w:val="center"/>
            <w:hideMark/>
          </w:tcPr>
          <w:p w14:paraId="7E7700BB" w14:textId="77777777" w:rsidR="00184B6B" w:rsidRPr="00184B6B" w:rsidRDefault="00184B6B" w:rsidP="00184B6B">
            <w:pPr>
              <w:spacing w:line="240" w:lineRule="auto"/>
              <w:ind w:firstLine="0"/>
              <w:rPr>
                <w:sz w:val="14"/>
                <w:szCs w:val="20"/>
              </w:rPr>
            </w:pPr>
            <w:r w:rsidRPr="00184B6B">
              <w:rPr>
                <w:sz w:val="14"/>
                <w:szCs w:val="20"/>
              </w:rPr>
              <w:t>-0.138***</w:t>
            </w:r>
          </w:p>
        </w:tc>
      </w:tr>
      <w:tr w:rsidR="00184B6B" w:rsidRPr="00184B6B" w14:paraId="6E8927D0"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35E4C31E"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241E312A" w14:textId="77777777" w:rsidR="00184B6B" w:rsidRPr="00184B6B" w:rsidRDefault="00184B6B" w:rsidP="00184B6B">
            <w:pPr>
              <w:spacing w:line="240" w:lineRule="auto"/>
              <w:ind w:firstLine="0"/>
              <w:rPr>
                <w:sz w:val="14"/>
                <w:szCs w:val="20"/>
              </w:rPr>
            </w:pPr>
            <w:r w:rsidRPr="00184B6B">
              <w:rPr>
                <w:sz w:val="14"/>
                <w:szCs w:val="20"/>
              </w:rPr>
              <w:t>(0.039)</w:t>
            </w:r>
          </w:p>
        </w:tc>
        <w:tc>
          <w:tcPr>
            <w:tcW w:w="469" w:type="pct"/>
            <w:tcBorders>
              <w:top w:val="nil"/>
              <w:left w:val="nil"/>
              <w:bottom w:val="nil"/>
              <w:right w:val="nil"/>
            </w:tcBorders>
            <w:shd w:val="clear" w:color="auto" w:fill="auto"/>
            <w:noWrap/>
            <w:vAlign w:val="center"/>
            <w:hideMark/>
          </w:tcPr>
          <w:p w14:paraId="3550D4E0" w14:textId="77777777" w:rsidR="00184B6B" w:rsidRPr="00184B6B" w:rsidRDefault="00184B6B" w:rsidP="00184B6B">
            <w:pPr>
              <w:spacing w:line="240" w:lineRule="auto"/>
              <w:ind w:firstLine="0"/>
              <w:rPr>
                <w:sz w:val="14"/>
                <w:szCs w:val="20"/>
              </w:rPr>
            </w:pPr>
            <w:r w:rsidRPr="00184B6B">
              <w:rPr>
                <w:sz w:val="14"/>
                <w:szCs w:val="20"/>
              </w:rPr>
              <w:t>(0.039)</w:t>
            </w:r>
          </w:p>
        </w:tc>
        <w:tc>
          <w:tcPr>
            <w:tcW w:w="469" w:type="pct"/>
            <w:tcBorders>
              <w:top w:val="nil"/>
              <w:left w:val="nil"/>
              <w:bottom w:val="nil"/>
              <w:right w:val="nil"/>
            </w:tcBorders>
            <w:shd w:val="clear" w:color="auto" w:fill="auto"/>
            <w:noWrap/>
            <w:vAlign w:val="center"/>
            <w:hideMark/>
          </w:tcPr>
          <w:p w14:paraId="79036D30" w14:textId="77777777" w:rsidR="00184B6B" w:rsidRPr="00184B6B" w:rsidRDefault="00184B6B" w:rsidP="00184B6B">
            <w:pPr>
              <w:spacing w:line="240" w:lineRule="auto"/>
              <w:ind w:firstLine="0"/>
              <w:rPr>
                <w:sz w:val="14"/>
                <w:szCs w:val="20"/>
              </w:rPr>
            </w:pPr>
            <w:r w:rsidRPr="00184B6B">
              <w:rPr>
                <w:sz w:val="14"/>
                <w:szCs w:val="20"/>
              </w:rPr>
              <w:t>(0.039)</w:t>
            </w:r>
          </w:p>
        </w:tc>
        <w:tc>
          <w:tcPr>
            <w:tcW w:w="469" w:type="pct"/>
            <w:tcBorders>
              <w:top w:val="nil"/>
              <w:left w:val="nil"/>
              <w:bottom w:val="nil"/>
              <w:right w:val="single" w:sz="4" w:space="0" w:color="auto"/>
            </w:tcBorders>
            <w:shd w:val="clear" w:color="auto" w:fill="auto"/>
            <w:noWrap/>
            <w:vAlign w:val="center"/>
            <w:hideMark/>
          </w:tcPr>
          <w:p w14:paraId="1380C626" w14:textId="77777777" w:rsidR="00184B6B" w:rsidRPr="00184B6B" w:rsidRDefault="00184B6B" w:rsidP="00184B6B">
            <w:pPr>
              <w:spacing w:line="240" w:lineRule="auto"/>
              <w:ind w:firstLine="0"/>
              <w:rPr>
                <w:sz w:val="14"/>
                <w:szCs w:val="20"/>
              </w:rPr>
            </w:pPr>
            <w:r w:rsidRPr="00184B6B">
              <w:rPr>
                <w:sz w:val="14"/>
                <w:szCs w:val="20"/>
              </w:rPr>
              <w:t>(0.039)</w:t>
            </w:r>
          </w:p>
        </w:tc>
        <w:tc>
          <w:tcPr>
            <w:tcW w:w="469" w:type="pct"/>
            <w:tcBorders>
              <w:top w:val="nil"/>
              <w:left w:val="single" w:sz="4" w:space="0" w:color="auto"/>
              <w:bottom w:val="nil"/>
              <w:right w:val="nil"/>
            </w:tcBorders>
            <w:shd w:val="clear" w:color="auto" w:fill="auto"/>
            <w:noWrap/>
            <w:vAlign w:val="center"/>
            <w:hideMark/>
          </w:tcPr>
          <w:p w14:paraId="4E3E4F15" w14:textId="77777777" w:rsidR="00184B6B" w:rsidRPr="00184B6B" w:rsidRDefault="00184B6B" w:rsidP="00184B6B">
            <w:pPr>
              <w:spacing w:line="240" w:lineRule="auto"/>
              <w:ind w:firstLine="0"/>
              <w:rPr>
                <w:sz w:val="14"/>
                <w:szCs w:val="20"/>
              </w:rPr>
            </w:pPr>
            <w:r w:rsidRPr="00184B6B">
              <w:rPr>
                <w:sz w:val="14"/>
                <w:szCs w:val="20"/>
              </w:rPr>
              <w:t>(0.030)</w:t>
            </w:r>
          </w:p>
        </w:tc>
        <w:tc>
          <w:tcPr>
            <w:tcW w:w="469" w:type="pct"/>
            <w:tcBorders>
              <w:top w:val="nil"/>
              <w:left w:val="nil"/>
              <w:bottom w:val="nil"/>
              <w:right w:val="nil"/>
            </w:tcBorders>
            <w:shd w:val="clear" w:color="auto" w:fill="auto"/>
            <w:noWrap/>
            <w:vAlign w:val="center"/>
            <w:hideMark/>
          </w:tcPr>
          <w:p w14:paraId="476CCA12" w14:textId="77777777" w:rsidR="00184B6B" w:rsidRPr="00184B6B" w:rsidRDefault="00184B6B" w:rsidP="00184B6B">
            <w:pPr>
              <w:spacing w:line="240" w:lineRule="auto"/>
              <w:ind w:firstLine="0"/>
              <w:rPr>
                <w:sz w:val="14"/>
                <w:szCs w:val="20"/>
              </w:rPr>
            </w:pPr>
            <w:r w:rsidRPr="00184B6B">
              <w:rPr>
                <w:sz w:val="14"/>
                <w:szCs w:val="20"/>
              </w:rPr>
              <w:t>(0.030)</w:t>
            </w:r>
          </w:p>
        </w:tc>
        <w:tc>
          <w:tcPr>
            <w:tcW w:w="469" w:type="pct"/>
            <w:tcBorders>
              <w:top w:val="nil"/>
              <w:left w:val="nil"/>
              <w:bottom w:val="nil"/>
              <w:right w:val="nil"/>
            </w:tcBorders>
            <w:shd w:val="clear" w:color="auto" w:fill="auto"/>
            <w:noWrap/>
            <w:vAlign w:val="center"/>
            <w:hideMark/>
          </w:tcPr>
          <w:p w14:paraId="3390EE87" w14:textId="77777777" w:rsidR="00184B6B" w:rsidRPr="00184B6B" w:rsidRDefault="00184B6B" w:rsidP="00184B6B">
            <w:pPr>
              <w:spacing w:line="240" w:lineRule="auto"/>
              <w:ind w:firstLine="0"/>
              <w:rPr>
                <w:sz w:val="14"/>
                <w:szCs w:val="20"/>
              </w:rPr>
            </w:pPr>
            <w:r w:rsidRPr="00184B6B">
              <w:rPr>
                <w:sz w:val="14"/>
                <w:szCs w:val="20"/>
              </w:rPr>
              <w:t>(0.030)</w:t>
            </w:r>
          </w:p>
        </w:tc>
        <w:tc>
          <w:tcPr>
            <w:tcW w:w="466" w:type="pct"/>
            <w:tcBorders>
              <w:top w:val="nil"/>
              <w:left w:val="nil"/>
              <w:bottom w:val="nil"/>
              <w:right w:val="single" w:sz="4" w:space="0" w:color="auto"/>
            </w:tcBorders>
            <w:shd w:val="clear" w:color="auto" w:fill="auto"/>
            <w:noWrap/>
            <w:vAlign w:val="center"/>
            <w:hideMark/>
          </w:tcPr>
          <w:p w14:paraId="5A1B90A6" w14:textId="77777777" w:rsidR="00184B6B" w:rsidRPr="00184B6B" w:rsidRDefault="00184B6B" w:rsidP="00184B6B">
            <w:pPr>
              <w:spacing w:line="240" w:lineRule="auto"/>
              <w:ind w:firstLine="0"/>
              <w:rPr>
                <w:sz w:val="14"/>
                <w:szCs w:val="20"/>
              </w:rPr>
            </w:pPr>
            <w:r w:rsidRPr="00184B6B">
              <w:rPr>
                <w:sz w:val="14"/>
                <w:szCs w:val="20"/>
              </w:rPr>
              <w:t>(0.030)</w:t>
            </w:r>
          </w:p>
        </w:tc>
      </w:tr>
      <w:tr w:rsidR="00184B6B" w:rsidRPr="00184B6B" w14:paraId="180B8557"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1EC94BE7" w14:textId="77777777" w:rsidR="00184B6B" w:rsidRPr="00184B6B" w:rsidRDefault="00184B6B" w:rsidP="00184B6B">
            <w:pPr>
              <w:spacing w:line="240" w:lineRule="auto"/>
              <w:ind w:firstLine="0"/>
              <w:jc w:val="left"/>
              <w:rPr>
                <w:sz w:val="14"/>
                <w:szCs w:val="20"/>
              </w:rPr>
            </w:pPr>
            <w:r w:rsidRPr="00184B6B">
              <w:rPr>
                <w:sz w:val="14"/>
                <w:szCs w:val="20"/>
              </w:rPr>
              <w:t>Year 2011</w:t>
            </w:r>
          </w:p>
        </w:tc>
        <w:tc>
          <w:tcPr>
            <w:tcW w:w="469" w:type="pct"/>
            <w:tcBorders>
              <w:top w:val="nil"/>
              <w:left w:val="single" w:sz="4" w:space="0" w:color="auto"/>
              <w:bottom w:val="nil"/>
              <w:right w:val="nil"/>
            </w:tcBorders>
            <w:shd w:val="clear" w:color="auto" w:fill="auto"/>
            <w:noWrap/>
            <w:vAlign w:val="center"/>
            <w:hideMark/>
          </w:tcPr>
          <w:p w14:paraId="2B71A1C7" w14:textId="77777777" w:rsidR="00184B6B" w:rsidRPr="00184B6B" w:rsidRDefault="00184B6B" w:rsidP="00184B6B">
            <w:pPr>
              <w:spacing w:line="240" w:lineRule="auto"/>
              <w:ind w:firstLine="0"/>
              <w:rPr>
                <w:sz w:val="14"/>
                <w:szCs w:val="20"/>
              </w:rPr>
            </w:pPr>
            <w:r w:rsidRPr="00184B6B">
              <w:rPr>
                <w:sz w:val="14"/>
                <w:szCs w:val="20"/>
              </w:rPr>
              <w:t>-0.238***</w:t>
            </w:r>
          </w:p>
        </w:tc>
        <w:tc>
          <w:tcPr>
            <w:tcW w:w="469" w:type="pct"/>
            <w:tcBorders>
              <w:top w:val="nil"/>
              <w:left w:val="nil"/>
              <w:bottom w:val="nil"/>
              <w:right w:val="nil"/>
            </w:tcBorders>
            <w:shd w:val="clear" w:color="auto" w:fill="auto"/>
            <w:noWrap/>
            <w:vAlign w:val="center"/>
            <w:hideMark/>
          </w:tcPr>
          <w:p w14:paraId="4158265C" w14:textId="77777777" w:rsidR="00184B6B" w:rsidRPr="00184B6B" w:rsidRDefault="00184B6B" w:rsidP="00184B6B">
            <w:pPr>
              <w:spacing w:line="240" w:lineRule="auto"/>
              <w:ind w:firstLine="0"/>
              <w:rPr>
                <w:sz w:val="14"/>
                <w:szCs w:val="20"/>
              </w:rPr>
            </w:pPr>
            <w:r w:rsidRPr="00184B6B">
              <w:rPr>
                <w:sz w:val="14"/>
                <w:szCs w:val="20"/>
              </w:rPr>
              <w:t>-0.224***</w:t>
            </w:r>
          </w:p>
        </w:tc>
        <w:tc>
          <w:tcPr>
            <w:tcW w:w="469" w:type="pct"/>
            <w:tcBorders>
              <w:top w:val="nil"/>
              <w:left w:val="nil"/>
              <w:bottom w:val="nil"/>
              <w:right w:val="nil"/>
            </w:tcBorders>
            <w:shd w:val="clear" w:color="auto" w:fill="auto"/>
            <w:noWrap/>
            <w:vAlign w:val="center"/>
            <w:hideMark/>
          </w:tcPr>
          <w:p w14:paraId="6DC473CE" w14:textId="77777777" w:rsidR="00184B6B" w:rsidRPr="00184B6B" w:rsidRDefault="00184B6B" w:rsidP="00184B6B">
            <w:pPr>
              <w:spacing w:line="240" w:lineRule="auto"/>
              <w:ind w:firstLine="0"/>
              <w:rPr>
                <w:sz w:val="14"/>
                <w:szCs w:val="20"/>
              </w:rPr>
            </w:pPr>
            <w:r w:rsidRPr="00184B6B">
              <w:rPr>
                <w:sz w:val="14"/>
                <w:szCs w:val="20"/>
              </w:rPr>
              <w:t>-0.231***</w:t>
            </w:r>
          </w:p>
        </w:tc>
        <w:tc>
          <w:tcPr>
            <w:tcW w:w="469" w:type="pct"/>
            <w:tcBorders>
              <w:top w:val="nil"/>
              <w:left w:val="nil"/>
              <w:bottom w:val="nil"/>
              <w:right w:val="single" w:sz="4" w:space="0" w:color="auto"/>
            </w:tcBorders>
            <w:shd w:val="clear" w:color="auto" w:fill="auto"/>
            <w:noWrap/>
            <w:vAlign w:val="center"/>
            <w:hideMark/>
          </w:tcPr>
          <w:p w14:paraId="249BA49E" w14:textId="77777777" w:rsidR="00184B6B" w:rsidRPr="00184B6B" w:rsidRDefault="00184B6B" w:rsidP="00184B6B">
            <w:pPr>
              <w:spacing w:line="240" w:lineRule="auto"/>
              <w:ind w:firstLine="0"/>
              <w:rPr>
                <w:sz w:val="14"/>
                <w:szCs w:val="20"/>
              </w:rPr>
            </w:pPr>
            <w:r w:rsidRPr="00184B6B">
              <w:rPr>
                <w:sz w:val="14"/>
                <w:szCs w:val="20"/>
              </w:rPr>
              <w:t>-0.231***</w:t>
            </w:r>
          </w:p>
        </w:tc>
        <w:tc>
          <w:tcPr>
            <w:tcW w:w="469" w:type="pct"/>
            <w:tcBorders>
              <w:top w:val="nil"/>
              <w:left w:val="single" w:sz="4" w:space="0" w:color="auto"/>
              <w:bottom w:val="nil"/>
              <w:right w:val="nil"/>
            </w:tcBorders>
            <w:shd w:val="clear" w:color="auto" w:fill="auto"/>
            <w:noWrap/>
            <w:vAlign w:val="center"/>
            <w:hideMark/>
          </w:tcPr>
          <w:p w14:paraId="020701C4" w14:textId="77777777" w:rsidR="00184B6B" w:rsidRPr="00184B6B" w:rsidRDefault="00184B6B" w:rsidP="00184B6B">
            <w:pPr>
              <w:spacing w:line="240" w:lineRule="auto"/>
              <w:ind w:firstLine="0"/>
              <w:rPr>
                <w:sz w:val="14"/>
                <w:szCs w:val="20"/>
              </w:rPr>
            </w:pPr>
            <w:r w:rsidRPr="00184B6B">
              <w:rPr>
                <w:sz w:val="14"/>
                <w:szCs w:val="20"/>
              </w:rPr>
              <w:t>-0.209***</w:t>
            </w:r>
          </w:p>
        </w:tc>
        <w:tc>
          <w:tcPr>
            <w:tcW w:w="469" w:type="pct"/>
            <w:tcBorders>
              <w:top w:val="nil"/>
              <w:left w:val="nil"/>
              <w:bottom w:val="nil"/>
              <w:right w:val="nil"/>
            </w:tcBorders>
            <w:shd w:val="clear" w:color="auto" w:fill="auto"/>
            <w:noWrap/>
            <w:vAlign w:val="center"/>
            <w:hideMark/>
          </w:tcPr>
          <w:p w14:paraId="61DB70CD" w14:textId="77777777" w:rsidR="00184B6B" w:rsidRPr="00184B6B" w:rsidRDefault="00184B6B" w:rsidP="00184B6B">
            <w:pPr>
              <w:spacing w:line="240" w:lineRule="auto"/>
              <w:ind w:firstLine="0"/>
              <w:rPr>
                <w:sz w:val="14"/>
                <w:szCs w:val="20"/>
              </w:rPr>
            </w:pPr>
            <w:r w:rsidRPr="00184B6B">
              <w:rPr>
                <w:sz w:val="14"/>
                <w:szCs w:val="20"/>
              </w:rPr>
              <w:t>-0.203***</w:t>
            </w:r>
          </w:p>
        </w:tc>
        <w:tc>
          <w:tcPr>
            <w:tcW w:w="469" w:type="pct"/>
            <w:tcBorders>
              <w:top w:val="nil"/>
              <w:left w:val="nil"/>
              <w:bottom w:val="nil"/>
              <w:right w:val="nil"/>
            </w:tcBorders>
            <w:shd w:val="clear" w:color="auto" w:fill="auto"/>
            <w:noWrap/>
            <w:vAlign w:val="center"/>
            <w:hideMark/>
          </w:tcPr>
          <w:p w14:paraId="3A8355F2" w14:textId="77777777" w:rsidR="00184B6B" w:rsidRPr="00184B6B" w:rsidRDefault="00184B6B" w:rsidP="00184B6B">
            <w:pPr>
              <w:spacing w:line="240" w:lineRule="auto"/>
              <w:ind w:firstLine="0"/>
              <w:rPr>
                <w:sz w:val="14"/>
                <w:szCs w:val="20"/>
              </w:rPr>
            </w:pPr>
            <w:r w:rsidRPr="00184B6B">
              <w:rPr>
                <w:sz w:val="14"/>
                <w:szCs w:val="20"/>
              </w:rPr>
              <w:t>-0.207***</w:t>
            </w:r>
          </w:p>
        </w:tc>
        <w:tc>
          <w:tcPr>
            <w:tcW w:w="466" w:type="pct"/>
            <w:tcBorders>
              <w:top w:val="nil"/>
              <w:left w:val="nil"/>
              <w:bottom w:val="nil"/>
              <w:right w:val="single" w:sz="4" w:space="0" w:color="auto"/>
            </w:tcBorders>
            <w:shd w:val="clear" w:color="auto" w:fill="auto"/>
            <w:noWrap/>
            <w:vAlign w:val="center"/>
            <w:hideMark/>
          </w:tcPr>
          <w:p w14:paraId="5B84FDDA" w14:textId="77777777" w:rsidR="00184B6B" w:rsidRPr="00184B6B" w:rsidRDefault="00184B6B" w:rsidP="00184B6B">
            <w:pPr>
              <w:spacing w:line="240" w:lineRule="auto"/>
              <w:ind w:firstLine="0"/>
              <w:rPr>
                <w:sz w:val="14"/>
                <w:szCs w:val="20"/>
              </w:rPr>
            </w:pPr>
            <w:r w:rsidRPr="00184B6B">
              <w:rPr>
                <w:sz w:val="14"/>
                <w:szCs w:val="20"/>
              </w:rPr>
              <w:t>-0.205***</w:t>
            </w:r>
          </w:p>
        </w:tc>
      </w:tr>
      <w:tr w:rsidR="00184B6B" w:rsidRPr="00184B6B" w14:paraId="7684D82D"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0D0718B9"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44C3AEF" w14:textId="77777777" w:rsidR="00184B6B" w:rsidRPr="00184B6B" w:rsidRDefault="00184B6B" w:rsidP="00184B6B">
            <w:pPr>
              <w:spacing w:line="240" w:lineRule="auto"/>
              <w:ind w:firstLine="0"/>
              <w:rPr>
                <w:sz w:val="14"/>
                <w:szCs w:val="20"/>
              </w:rPr>
            </w:pPr>
            <w:r w:rsidRPr="00184B6B">
              <w:rPr>
                <w:sz w:val="14"/>
                <w:szCs w:val="20"/>
              </w:rPr>
              <w:t>(0.040)</w:t>
            </w:r>
          </w:p>
        </w:tc>
        <w:tc>
          <w:tcPr>
            <w:tcW w:w="469" w:type="pct"/>
            <w:tcBorders>
              <w:top w:val="nil"/>
              <w:left w:val="nil"/>
              <w:bottom w:val="nil"/>
              <w:right w:val="nil"/>
            </w:tcBorders>
            <w:shd w:val="clear" w:color="auto" w:fill="auto"/>
            <w:noWrap/>
            <w:vAlign w:val="center"/>
            <w:hideMark/>
          </w:tcPr>
          <w:p w14:paraId="5B7DD8D6" w14:textId="77777777" w:rsidR="00184B6B" w:rsidRPr="00184B6B" w:rsidRDefault="00184B6B" w:rsidP="00184B6B">
            <w:pPr>
              <w:spacing w:line="240" w:lineRule="auto"/>
              <w:ind w:firstLine="0"/>
              <w:rPr>
                <w:sz w:val="14"/>
                <w:szCs w:val="20"/>
              </w:rPr>
            </w:pPr>
            <w:r w:rsidRPr="00184B6B">
              <w:rPr>
                <w:sz w:val="14"/>
                <w:szCs w:val="20"/>
              </w:rPr>
              <w:t>(0.040)</w:t>
            </w:r>
          </w:p>
        </w:tc>
        <w:tc>
          <w:tcPr>
            <w:tcW w:w="469" w:type="pct"/>
            <w:tcBorders>
              <w:top w:val="nil"/>
              <w:left w:val="nil"/>
              <w:bottom w:val="nil"/>
              <w:right w:val="nil"/>
            </w:tcBorders>
            <w:shd w:val="clear" w:color="auto" w:fill="auto"/>
            <w:noWrap/>
            <w:vAlign w:val="center"/>
            <w:hideMark/>
          </w:tcPr>
          <w:p w14:paraId="05F466CF" w14:textId="77777777" w:rsidR="00184B6B" w:rsidRPr="00184B6B" w:rsidRDefault="00184B6B" w:rsidP="00184B6B">
            <w:pPr>
              <w:spacing w:line="240" w:lineRule="auto"/>
              <w:ind w:firstLine="0"/>
              <w:rPr>
                <w:sz w:val="14"/>
                <w:szCs w:val="20"/>
              </w:rPr>
            </w:pPr>
            <w:r w:rsidRPr="00184B6B">
              <w:rPr>
                <w:sz w:val="14"/>
                <w:szCs w:val="20"/>
              </w:rPr>
              <w:t>(0.040)</w:t>
            </w:r>
          </w:p>
        </w:tc>
        <w:tc>
          <w:tcPr>
            <w:tcW w:w="469" w:type="pct"/>
            <w:tcBorders>
              <w:top w:val="nil"/>
              <w:left w:val="nil"/>
              <w:bottom w:val="nil"/>
              <w:right w:val="single" w:sz="4" w:space="0" w:color="auto"/>
            </w:tcBorders>
            <w:shd w:val="clear" w:color="auto" w:fill="auto"/>
            <w:noWrap/>
            <w:vAlign w:val="center"/>
            <w:hideMark/>
          </w:tcPr>
          <w:p w14:paraId="0C18B73E" w14:textId="77777777" w:rsidR="00184B6B" w:rsidRPr="00184B6B" w:rsidRDefault="00184B6B" w:rsidP="00184B6B">
            <w:pPr>
              <w:spacing w:line="240" w:lineRule="auto"/>
              <w:ind w:firstLine="0"/>
              <w:rPr>
                <w:sz w:val="14"/>
                <w:szCs w:val="20"/>
              </w:rPr>
            </w:pPr>
            <w:r w:rsidRPr="00184B6B">
              <w:rPr>
                <w:sz w:val="14"/>
                <w:szCs w:val="20"/>
              </w:rPr>
              <w:t>(0.040)</w:t>
            </w:r>
          </w:p>
        </w:tc>
        <w:tc>
          <w:tcPr>
            <w:tcW w:w="469" w:type="pct"/>
            <w:tcBorders>
              <w:top w:val="nil"/>
              <w:left w:val="single" w:sz="4" w:space="0" w:color="auto"/>
              <w:bottom w:val="nil"/>
              <w:right w:val="nil"/>
            </w:tcBorders>
            <w:shd w:val="clear" w:color="auto" w:fill="auto"/>
            <w:noWrap/>
            <w:vAlign w:val="center"/>
            <w:hideMark/>
          </w:tcPr>
          <w:p w14:paraId="2B3A872A" w14:textId="77777777" w:rsidR="00184B6B" w:rsidRPr="00184B6B" w:rsidRDefault="00184B6B" w:rsidP="00184B6B">
            <w:pPr>
              <w:spacing w:line="240" w:lineRule="auto"/>
              <w:ind w:firstLine="0"/>
              <w:rPr>
                <w:sz w:val="14"/>
                <w:szCs w:val="20"/>
              </w:rPr>
            </w:pPr>
            <w:r w:rsidRPr="00184B6B">
              <w:rPr>
                <w:sz w:val="14"/>
                <w:szCs w:val="20"/>
              </w:rPr>
              <w:t>(0.030)</w:t>
            </w:r>
          </w:p>
        </w:tc>
        <w:tc>
          <w:tcPr>
            <w:tcW w:w="469" w:type="pct"/>
            <w:tcBorders>
              <w:top w:val="nil"/>
              <w:left w:val="nil"/>
              <w:bottom w:val="nil"/>
              <w:right w:val="nil"/>
            </w:tcBorders>
            <w:shd w:val="clear" w:color="auto" w:fill="auto"/>
            <w:noWrap/>
            <w:vAlign w:val="center"/>
            <w:hideMark/>
          </w:tcPr>
          <w:p w14:paraId="7F600E3A" w14:textId="77777777" w:rsidR="00184B6B" w:rsidRPr="00184B6B" w:rsidRDefault="00184B6B" w:rsidP="00184B6B">
            <w:pPr>
              <w:spacing w:line="240" w:lineRule="auto"/>
              <w:ind w:firstLine="0"/>
              <w:rPr>
                <w:sz w:val="14"/>
                <w:szCs w:val="20"/>
              </w:rPr>
            </w:pPr>
            <w:r w:rsidRPr="00184B6B">
              <w:rPr>
                <w:sz w:val="14"/>
                <w:szCs w:val="20"/>
              </w:rPr>
              <w:t>(0.031)</w:t>
            </w:r>
          </w:p>
        </w:tc>
        <w:tc>
          <w:tcPr>
            <w:tcW w:w="469" w:type="pct"/>
            <w:tcBorders>
              <w:top w:val="nil"/>
              <w:left w:val="nil"/>
              <w:bottom w:val="nil"/>
              <w:right w:val="nil"/>
            </w:tcBorders>
            <w:shd w:val="clear" w:color="auto" w:fill="auto"/>
            <w:noWrap/>
            <w:vAlign w:val="center"/>
            <w:hideMark/>
          </w:tcPr>
          <w:p w14:paraId="230EBB36" w14:textId="77777777" w:rsidR="00184B6B" w:rsidRPr="00184B6B" w:rsidRDefault="00184B6B" w:rsidP="00184B6B">
            <w:pPr>
              <w:spacing w:line="240" w:lineRule="auto"/>
              <w:ind w:firstLine="0"/>
              <w:rPr>
                <w:sz w:val="14"/>
                <w:szCs w:val="20"/>
              </w:rPr>
            </w:pPr>
            <w:r w:rsidRPr="00184B6B">
              <w:rPr>
                <w:sz w:val="14"/>
                <w:szCs w:val="20"/>
              </w:rPr>
              <w:t>(0.030)</w:t>
            </w:r>
          </w:p>
        </w:tc>
        <w:tc>
          <w:tcPr>
            <w:tcW w:w="466" w:type="pct"/>
            <w:tcBorders>
              <w:top w:val="nil"/>
              <w:left w:val="nil"/>
              <w:bottom w:val="nil"/>
              <w:right w:val="single" w:sz="4" w:space="0" w:color="auto"/>
            </w:tcBorders>
            <w:shd w:val="clear" w:color="auto" w:fill="auto"/>
            <w:noWrap/>
            <w:vAlign w:val="center"/>
            <w:hideMark/>
          </w:tcPr>
          <w:p w14:paraId="0730CF14" w14:textId="77777777" w:rsidR="00184B6B" w:rsidRPr="00184B6B" w:rsidRDefault="00184B6B" w:rsidP="00184B6B">
            <w:pPr>
              <w:spacing w:line="240" w:lineRule="auto"/>
              <w:ind w:firstLine="0"/>
              <w:rPr>
                <w:sz w:val="14"/>
                <w:szCs w:val="20"/>
              </w:rPr>
            </w:pPr>
            <w:r w:rsidRPr="00184B6B">
              <w:rPr>
                <w:sz w:val="14"/>
                <w:szCs w:val="20"/>
              </w:rPr>
              <w:t>(0.031)</w:t>
            </w:r>
          </w:p>
        </w:tc>
      </w:tr>
      <w:tr w:rsidR="00184B6B" w:rsidRPr="00184B6B" w14:paraId="21FA305E"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166331A" w14:textId="77777777" w:rsidR="00184B6B" w:rsidRPr="00184B6B" w:rsidRDefault="00184B6B" w:rsidP="00184B6B">
            <w:pPr>
              <w:spacing w:line="240" w:lineRule="auto"/>
              <w:ind w:firstLine="0"/>
              <w:jc w:val="left"/>
              <w:rPr>
                <w:sz w:val="14"/>
                <w:szCs w:val="20"/>
              </w:rPr>
            </w:pPr>
            <w:r w:rsidRPr="00184B6B">
              <w:rPr>
                <w:sz w:val="14"/>
                <w:szCs w:val="20"/>
              </w:rPr>
              <w:t>Constant</w:t>
            </w:r>
          </w:p>
        </w:tc>
        <w:tc>
          <w:tcPr>
            <w:tcW w:w="469" w:type="pct"/>
            <w:tcBorders>
              <w:top w:val="nil"/>
              <w:left w:val="single" w:sz="4" w:space="0" w:color="auto"/>
              <w:bottom w:val="nil"/>
              <w:right w:val="nil"/>
            </w:tcBorders>
            <w:shd w:val="clear" w:color="auto" w:fill="auto"/>
            <w:noWrap/>
            <w:vAlign w:val="center"/>
            <w:hideMark/>
          </w:tcPr>
          <w:p w14:paraId="28C356EC" w14:textId="77777777" w:rsidR="00184B6B" w:rsidRPr="00184B6B" w:rsidRDefault="00184B6B" w:rsidP="00184B6B">
            <w:pPr>
              <w:spacing w:line="240" w:lineRule="auto"/>
              <w:ind w:firstLine="0"/>
              <w:rPr>
                <w:sz w:val="14"/>
                <w:szCs w:val="20"/>
              </w:rPr>
            </w:pPr>
            <w:r w:rsidRPr="00184B6B">
              <w:rPr>
                <w:sz w:val="14"/>
                <w:szCs w:val="20"/>
              </w:rPr>
              <w:t>-0.285*</w:t>
            </w:r>
          </w:p>
        </w:tc>
        <w:tc>
          <w:tcPr>
            <w:tcW w:w="469" w:type="pct"/>
            <w:tcBorders>
              <w:top w:val="nil"/>
              <w:left w:val="nil"/>
              <w:bottom w:val="nil"/>
              <w:right w:val="nil"/>
            </w:tcBorders>
            <w:shd w:val="clear" w:color="auto" w:fill="auto"/>
            <w:noWrap/>
            <w:vAlign w:val="center"/>
            <w:hideMark/>
          </w:tcPr>
          <w:p w14:paraId="68EA537B" w14:textId="77777777" w:rsidR="00184B6B" w:rsidRPr="00184B6B" w:rsidRDefault="00184B6B" w:rsidP="00184B6B">
            <w:pPr>
              <w:spacing w:line="240" w:lineRule="auto"/>
              <w:ind w:firstLine="0"/>
              <w:rPr>
                <w:sz w:val="14"/>
                <w:szCs w:val="20"/>
              </w:rPr>
            </w:pPr>
            <w:r w:rsidRPr="00184B6B">
              <w:rPr>
                <w:sz w:val="14"/>
                <w:szCs w:val="20"/>
              </w:rPr>
              <w:t>-0.274</w:t>
            </w:r>
          </w:p>
        </w:tc>
        <w:tc>
          <w:tcPr>
            <w:tcW w:w="469" w:type="pct"/>
            <w:tcBorders>
              <w:top w:val="nil"/>
              <w:left w:val="nil"/>
              <w:bottom w:val="nil"/>
              <w:right w:val="nil"/>
            </w:tcBorders>
            <w:shd w:val="clear" w:color="auto" w:fill="auto"/>
            <w:noWrap/>
            <w:vAlign w:val="center"/>
            <w:hideMark/>
          </w:tcPr>
          <w:p w14:paraId="009174EC" w14:textId="77777777" w:rsidR="00184B6B" w:rsidRPr="00184B6B" w:rsidRDefault="00184B6B" w:rsidP="00184B6B">
            <w:pPr>
              <w:spacing w:line="240" w:lineRule="auto"/>
              <w:ind w:firstLine="0"/>
              <w:rPr>
                <w:sz w:val="14"/>
                <w:szCs w:val="20"/>
              </w:rPr>
            </w:pPr>
            <w:r w:rsidRPr="00184B6B">
              <w:rPr>
                <w:sz w:val="14"/>
                <w:szCs w:val="20"/>
              </w:rPr>
              <w:t>-0.234</w:t>
            </w:r>
          </w:p>
        </w:tc>
        <w:tc>
          <w:tcPr>
            <w:tcW w:w="469" w:type="pct"/>
            <w:tcBorders>
              <w:top w:val="nil"/>
              <w:left w:val="nil"/>
              <w:bottom w:val="nil"/>
              <w:right w:val="single" w:sz="4" w:space="0" w:color="auto"/>
            </w:tcBorders>
            <w:shd w:val="clear" w:color="auto" w:fill="auto"/>
            <w:noWrap/>
            <w:vAlign w:val="center"/>
            <w:hideMark/>
          </w:tcPr>
          <w:p w14:paraId="673F300A" w14:textId="77777777" w:rsidR="00184B6B" w:rsidRPr="00184B6B" w:rsidRDefault="00184B6B" w:rsidP="00184B6B">
            <w:pPr>
              <w:spacing w:line="240" w:lineRule="auto"/>
              <w:ind w:firstLine="0"/>
              <w:rPr>
                <w:sz w:val="14"/>
                <w:szCs w:val="20"/>
              </w:rPr>
            </w:pPr>
            <w:r w:rsidRPr="00184B6B">
              <w:rPr>
                <w:sz w:val="14"/>
                <w:szCs w:val="20"/>
              </w:rPr>
              <w:t>-0.295*</w:t>
            </w:r>
          </w:p>
        </w:tc>
        <w:tc>
          <w:tcPr>
            <w:tcW w:w="469" w:type="pct"/>
            <w:tcBorders>
              <w:top w:val="nil"/>
              <w:left w:val="single" w:sz="4" w:space="0" w:color="auto"/>
              <w:bottom w:val="nil"/>
              <w:right w:val="nil"/>
            </w:tcBorders>
            <w:shd w:val="clear" w:color="auto" w:fill="auto"/>
            <w:noWrap/>
            <w:vAlign w:val="center"/>
            <w:hideMark/>
          </w:tcPr>
          <w:p w14:paraId="7E22D336"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190DB349"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3DA3A3F4" w14:textId="77777777" w:rsidR="00184B6B" w:rsidRPr="00184B6B" w:rsidRDefault="00184B6B" w:rsidP="00184B6B">
            <w:pPr>
              <w:spacing w:line="240" w:lineRule="auto"/>
              <w:ind w:firstLine="0"/>
              <w:rPr>
                <w:sz w:val="14"/>
                <w:szCs w:val="20"/>
              </w:rPr>
            </w:pPr>
            <w:r w:rsidRPr="00184B6B">
              <w:rPr>
                <w:sz w:val="14"/>
                <w:szCs w:val="20"/>
              </w:rPr>
              <w:t>-</w:t>
            </w:r>
          </w:p>
        </w:tc>
        <w:tc>
          <w:tcPr>
            <w:tcW w:w="466" w:type="pct"/>
            <w:tcBorders>
              <w:top w:val="nil"/>
              <w:left w:val="nil"/>
              <w:bottom w:val="nil"/>
              <w:right w:val="single" w:sz="4" w:space="0" w:color="auto"/>
            </w:tcBorders>
            <w:shd w:val="clear" w:color="auto" w:fill="auto"/>
            <w:noWrap/>
            <w:vAlign w:val="center"/>
            <w:hideMark/>
          </w:tcPr>
          <w:p w14:paraId="49D59677" w14:textId="77777777" w:rsidR="00184B6B" w:rsidRPr="00184B6B" w:rsidRDefault="00184B6B" w:rsidP="00184B6B">
            <w:pPr>
              <w:spacing w:line="240" w:lineRule="auto"/>
              <w:ind w:firstLine="0"/>
              <w:rPr>
                <w:sz w:val="14"/>
                <w:szCs w:val="20"/>
              </w:rPr>
            </w:pPr>
            <w:r w:rsidRPr="00184B6B">
              <w:rPr>
                <w:sz w:val="14"/>
                <w:szCs w:val="20"/>
              </w:rPr>
              <w:t>-</w:t>
            </w:r>
          </w:p>
        </w:tc>
      </w:tr>
      <w:tr w:rsidR="00184B6B" w:rsidRPr="00184B6B" w14:paraId="0502DEE1" w14:textId="77777777" w:rsidTr="00B617ED">
        <w:trPr>
          <w:trHeight w:hRule="exact" w:val="227"/>
        </w:trPr>
        <w:tc>
          <w:tcPr>
            <w:tcW w:w="1251" w:type="pct"/>
            <w:tcBorders>
              <w:top w:val="nil"/>
              <w:left w:val="single" w:sz="4" w:space="0" w:color="auto"/>
              <w:bottom w:val="single" w:sz="4" w:space="0" w:color="auto"/>
              <w:right w:val="single" w:sz="4" w:space="0" w:color="auto"/>
            </w:tcBorders>
            <w:shd w:val="clear" w:color="auto" w:fill="auto"/>
            <w:noWrap/>
            <w:vAlign w:val="center"/>
            <w:hideMark/>
          </w:tcPr>
          <w:p w14:paraId="161E5786"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single" w:sz="4" w:space="0" w:color="auto"/>
              <w:right w:val="nil"/>
            </w:tcBorders>
            <w:shd w:val="clear" w:color="auto" w:fill="auto"/>
            <w:noWrap/>
            <w:vAlign w:val="center"/>
            <w:hideMark/>
          </w:tcPr>
          <w:p w14:paraId="25106D33" w14:textId="77777777" w:rsidR="00184B6B" w:rsidRPr="00184B6B" w:rsidRDefault="00184B6B" w:rsidP="00184B6B">
            <w:pPr>
              <w:spacing w:line="240" w:lineRule="auto"/>
              <w:ind w:firstLine="0"/>
              <w:rPr>
                <w:sz w:val="14"/>
                <w:szCs w:val="20"/>
              </w:rPr>
            </w:pPr>
            <w:r w:rsidRPr="00184B6B">
              <w:rPr>
                <w:sz w:val="14"/>
                <w:szCs w:val="20"/>
              </w:rPr>
              <w:t>(0.172)</w:t>
            </w:r>
          </w:p>
        </w:tc>
        <w:tc>
          <w:tcPr>
            <w:tcW w:w="469" w:type="pct"/>
            <w:tcBorders>
              <w:top w:val="nil"/>
              <w:left w:val="nil"/>
              <w:bottom w:val="single" w:sz="4" w:space="0" w:color="auto"/>
              <w:right w:val="nil"/>
            </w:tcBorders>
            <w:shd w:val="clear" w:color="auto" w:fill="auto"/>
            <w:noWrap/>
            <w:vAlign w:val="center"/>
            <w:hideMark/>
          </w:tcPr>
          <w:p w14:paraId="0239F5E1" w14:textId="77777777" w:rsidR="00184B6B" w:rsidRPr="00184B6B" w:rsidRDefault="00184B6B" w:rsidP="00184B6B">
            <w:pPr>
              <w:spacing w:line="240" w:lineRule="auto"/>
              <w:ind w:firstLine="0"/>
              <w:rPr>
                <w:sz w:val="14"/>
                <w:szCs w:val="20"/>
              </w:rPr>
            </w:pPr>
            <w:r w:rsidRPr="00184B6B">
              <w:rPr>
                <w:sz w:val="14"/>
                <w:szCs w:val="20"/>
              </w:rPr>
              <w:t>(0.171)</w:t>
            </w:r>
          </w:p>
        </w:tc>
        <w:tc>
          <w:tcPr>
            <w:tcW w:w="469" w:type="pct"/>
            <w:tcBorders>
              <w:top w:val="nil"/>
              <w:left w:val="nil"/>
              <w:bottom w:val="single" w:sz="4" w:space="0" w:color="auto"/>
              <w:right w:val="nil"/>
            </w:tcBorders>
            <w:shd w:val="clear" w:color="auto" w:fill="auto"/>
            <w:noWrap/>
            <w:vAlign w:val="center"/>
            <w:hideMark/>
          </w:tcPr>
          <w:p w14:paraId="049A5CA2" w14:textId="77777777" w:rsidR="00184B6B" w:rsidRPr="00184B6B" w:rsidRDefault="00184B6B" w:rsidP="00184B6B">
            <w:pPr>
              <w:spacing w:line="240" w:lineRule="auto"/>
              <w:ind w:firstLine="0"/>
              <w:rPr>
                <w:sz w:val="14"/>
                <w:szCs w:val="20"/>
              </w:rPr>
            </w:pPr>
            <w:r w:rsidRPr="00184B6B">
              <w:rPr>
                <w:sz w:val="14"/>
                <w:szCs w:val="20"/>
              </w:rPr>
              <w:t>(0.171)</w:t>
            </w:r>
          </w:p>
        </w:tc>
        <w:tc>
          <w:tcPr>
            <w:tcW w:w="469" w:type="pct"/>
            <w:tcBorders>
              <w:top w:val="nil"/>
              <w:left w:val="nil"/>
              <w:bottom w:val="single" w:sz="4" w:space="0" w:color="auto"/>
              <w:right w:val="single" w:sz="4" w:space="0" w:color="auto"/>
            </w:tcBorders>
            <w:shd w:val="clear" w:color="auto" w:fill="auto"/>
            <w:noWrap/>
            <w:vAlign w:val="center"/>
            <w:hideMark/>
          </w:tcPr>
          <w:p w14:paraId="30E0668E" w14:textId="77777777" w:rsidR="00184B6B" w:rsidRPr="00184B6B" w:rsidRDefault="00184B6B" w:rsidP="00184B6B">
            <w:pPr>
              <w:spacing w:line="240" w:lineRule="auto"/>
              <w:ind w:firstLine="0"/>
              <w:rPr>
                <w:sz w:val="14"/>
                <w:szCs w:val="20"/>
              </w:rPr>
            </w:pPr>
            <w:r w:rsidRPr="00184B6B">
              <w:rPr>
                <w:sz w:val="14"/>
                <w:szCs w:val="20"/>
              </w:rPr>
              <w:t>(0.171)</w:t>
            </w:r>
          </w:p>
        </w:tc>
        <w:tc>
          <w:tcPr>
            <w:tcW w:w="469" w:type="pct"/>
            <w:tcBorders>
              <w:top w:val="nil"/>
              <w:left w:val="single" w:sz="4" w:space="0" w:color="auto"/>
              <w:bottom w:val="single" w:sz="4" w:space="0" w:color="auto"/>
              <w:right w:val="nil"/>
            </w:tcBorders>
            <w:shd w:val="clear" w:color="auto" w:fill="auto"/>
            <w:noWrap/>
            <w:vAlign w:val="center"/>
            <w:hideMark/>
          </w:tcPr>
          <w:p w14:paraId="2BCB2CCB"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single" w:sz="4" w:space="0" w:color="auto"/>
              <w:right w:val="nil"/>
            </w:tcBorders>
            <w:shd w:val="clear" w:color="auto" w:fill="auto"/>
            <w:noWrap/>
            <w:vAlign w:val="center"/>
            <w:hideMark/>
          </w:tcPr>
          <w:p w14:paraId="2C8242D3"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single" w:sz="4" w:space="0" w:color="auto"/>
              <w:right w:val="nil"/>
            </w:tcBorders>
            <w:shd w:val="clear" w:color="auto" w:fill="auto"/>
            <w:noWrap/>
            <w:vAlign w:val="center"/>
            <w:hideMark/>
          </w:tcPr>
          <w:p w14:paraId="1C4A5708" w14:textId="77777777" w:rsidR="00184B6B" w:rsidRPr="00184B6B" w:rsidRDefault="00184B6B" w:rsidP="00184B6B">
            <w:pPr>
              <w:spacing w:line="240" w:lineRule="auto"/>
              <w:ind w:firstLine="0"/>
              <w:rPr>
                <w:sz w:val="14"/>
                <w:szCs w:val="20"/>
              </w:rPr>
            </w:pPr>
            <w:r w:rsidRPr="00184B6B">
              <w:rPr>
                <w:sz w:val="14"/>
                <w:szCs w:val="20"/>
              </w:rPr>
              <w:t>-</w:t>
            </w:r>
          </w:p>
        </w:tc>
        <w:tc>
          <w:tcPr>
            <w:tcW w:w="466" w:type="pct"/>
            <w:tcBorders>
              <w:top w:val="nil"/>
              <w:left w:val="nil"/>
              <w:bottom w:val="single" w:sz="4" w:space="0" w:color="auto"/>
              <w:right w:val="single" w:sz="4" w:space="0" w:color="auto"/>
            </w:tcBorders>
            <w:shd w:val="clear" w:color="auto" w:fill="auto"/>
            <w:noWrap/>
            <w:vAlign w:val="center"/>
            <w:hideMark/>
          </w:tcPr>
          <w:p w14:paraId="6AF99CD7" w14:textId="77777777" w:rsidR="00184B6B" w:rsidRPr="00184B6B" w:rsidRDefault="00184B6B" w:rsidP="00184B6B">
            <w:pPr>
              <w:spacing w:line="240" w:lineRule="auto"/>
              <w:ind w:firstLine="0"/>
              <w:rPr>
                <w:sz w:val="14"/>
                <w:szCs w:val="20"/>
              </w:rPr>
            </w:pPr>
            <w:r w:rsidRPr="00184B6B">
              <w:rPr>
                <w:sz w:val="14"/>
                <w:szCs w:val="20"/>
              </w:rPr>
              <w:t>-</w:t>
            </w:r>
          </w:p>
        </w:tc>
      </w:tr>
      <w:tr w:rsidR="00184B6B" w:rsidRPr="00184B6B" w14:paraId="0D30EA03" w14:textId="77777777" w:rsidTr="00B617ED">
        <w:trPr>
          <w:trHeight w:hRule="exact" w:val="227"/>
        </w:trPr>
        <w:tc>
          <w:tcPr>
            <w:tcW w:w="1251" w:type="pct"/>
            <w:tcBorders>
              <w:top w:val="single" w:sz="4" w:space="0" w:color="auto"/>
              <w:left w:val="single" w:sz="4" w:space="0" w:color="auto"/>
              <w:bottom w:val="nil"/>
              <w:right w:val="single" w:sz="4" w:space="0" w:color="auto"/>
            </w:tcBorders>
            <w:shd w:val="clear" w:color="auto" w:fill="auto"/>
            <w:noWrap/>
            <w:vAlign w:val="center"/>
            <w:hideMark/>
          </w:tcPr>
          <w:p w14:paraId="5A2D15DC" w14:textId="77777777" w:rsidR="00184B6B" w:rsidRPr="00184B6B" w:rsidRDefault="00184B6B" w:rsidP="00184B6B">
            <w:pPr>
              <w:spacing w:line="240" w:lineRule="auto"/>
              <w:ind w:firstLine="0"/>
              <w:jc w:val="left"/>
              <w:rPr>
                <w:sz w:val="14"/>
                <w:szCs w:val="20"/>
              </w:rPr>
            </w:pPr>
            <w:r w:rsidRPr="00184B6B">
              <w:rPr>
                <w:sz w:val="14"/>
                <w:szCs w:val="20"/>
              </w:rPr>
              <w:t>cut1</w:t>
            </w:r>
          </w:p>
        </w:tc>
        <w:tc>
          <w:tcPr>
            <w:tcW w:w="469" w:type="pct"/>
            <w:tcBorders>
              <w:top w:val="single" w:sz="4" w:space="0" w:color="auto"/>
              <w:left w:val="single" w:sz="4" w:space="0" w:color="auto"/>
              <w:bottom w:val="nil"/>
              <w:right w:val="nil"/>
            </w:tcBorders>
            <w:shd w:val="clear" w:color="auto" w:fill="auto"/>
            <w:noWrap/>
            <w:vAlign w:val="center"/>
            <w:hideMark/>
          </w:tcPr>
          <w:p w14:paraId="0EAC74A3"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nil"/>
              <w:bottom w:val="nil"/>
              <w:right w:val="nil"/>
            </w:tcBorders>
            <w:shd w:val="clear" w:color="auto" w:fill="auto"/>
            <w:noWrap/>
            <w:vAlign w:val="center"/>
            <w:hideMark/>
          </w:tcPr>
          <w:p w14:paraId="09035148"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nil"/>
              <w:bottom w:val="nil"/>
              <w:right w:val="nil"/>
            </w:tcBorders>
            <w:shd w:val="clear" w:color="auto" w:fill="auto"/>
            <w:noWrap/>
            <w:vAlign w:val="center"/>
            <w:hideMark/>
          </w:tcPr>
          <w:p w14:paraId="5F51F63F"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nil"/>
              <w:bottom w:val="nil"/>
              <w:right w:val="single" w:sz="4" w:space="0" w:color="auto"/>
            </w:tcBorders>
            <w:shd w:val="clear" w:color="auto" w:fill="auto"/>
            <w:noWrap/>
            <w:vAlign w:val="center"/>
            <w:hideMark/>
          </w:tcPr>
          <w:p w14:paraId="6660A67A"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single" w:sz="4" w:space="0" w:color="auto"/>
              <w:left w:val="single" w:sz="4" w:space="0" w:color="auto"/>
              <w:bottom w:val="nil"/>
              <w:right w:val="nil"/>
            </w:tcBorders>
            <w:shd w:val="clear" w:color="auto" w:fill="auto"/>
            <w:noWrap/>
            <w:vAlign w:val="center"/>
            <w:hideMark/>
          </w:tcPr>
          <w:p w14:paraId="24DF7D20" w14:textId="77777777" w:rsidR="00184B6B" w:rsidRPr="00184B6B" w:rsidRDefault="00184B6B" w:rsidP="00184B6B">
            <w:pPr>
              <w:spacing w:line="240" w:lineRule="auto"/>
              <w:ind w:firstLine="0"/>
              <w:rPr>
                <w:sz w:val="14"/>
                <w:szCs w:val="20"/>
              </w:rPr>
            </w:pPr>
            <w:r w:rsidRPr="00184B6B">
              <w:rPr>
                <w:sz w:val="14"/>
                <w:szCs w:val="20"/>
              </w:rPr>
              <w:t>0.234*</w:t>
            </w:r>
          </w:p>
        </w:tc>
        <w:tc>
          <w:tcPr>
            <w:tcW w:w="469" w:type="pct"/>
            <w:tcBorders>
              <w:top w:val="single" w:sz="4" w:space="0" w:color="auto"/>
              <w:left w:val="nil"/>
              <w:bottom w:val="nil"/>
              <w:right w:val="nil"/>
            </w:tcBorders>
            <w:shd w:val="clear" w:color="auto" w:fill="auto"/>
            <w:noWrap/>
            <w:vAlign w:val="center"/>
            <w:hideMark/>
          </w:tcPr>
          <w:p w14:paraId="2CCFF032" w14:textId="77777777" w:rsidR="00184B6B" w:rsidRPr="00184B6B" w:rsidRDefault="00184B6B" w:rsidP="00184B6B">
            <w:pPr>
              <w:spacing w:line="240" w:lineRule="auto"/>
              <w:ind w:firstLine="0"/>
              <w:rPr>
                <w:sz w:val="14"/>
                <w:szCs w:val="20"/>
              </w:rPr>
            </w:pPr>
            <w:r w:rsidRPr="00184B6B">
              <w:rPr>
                <w:sz w:val="14"/>
                <w:szCs w:val="20"/>
              </w:rPr>
              <w:t>0.231*</w:t>
            </w:r>
          </w:p>
        </w:tc>
        <w:tc>
          <w:tcPr>
            <w:tcW w:w="469" w:type="pct"/>
            <w:tcBorders>
              <w:top w:val="single" w:sz="4" w:space="0" w:color="auto"/>
              <w:left w:val="nil"/>
              <w:bottom w:val="nil"/>
              <w:right w:val="nil"/>
            </w:tcBorders>
            <w:shd w:val="clear" w:color="auto" w:fill="auto"/>
            <w:noWrap/>
            <w:vAlign w:val="center"/>
            <w:hideMark/>
          </w:tcPr>
          <w:p w14:paraId="403E7126" w14:textId="77777777" w:rsidR="00184B6B" w:rsidRPr="00184B6B" w:rsidRDefault="00184B6B" w:rsidP="00184B6B">
            <w:pPr>
              <w:spacing w:line="240" w:lineRule="auto"/>
              <w:ind w:firstLine="0"/>
              <w:rPr>
                <w:sz w:val="14"/>
                <w:szCs w:val="20"/>
              </w:rPr>
            </w:pPr>
            <w:r w:rsidRPr="00184B6B">
              <w:rPr>
                <w:sz w:val="14"/>
                <w:szCs w:val="20"/>
              </w:rPr>
              <w:t>0.210</w:t>
            </w:r>
          </w:p>
        </w:tc>
        <w:tc>
          <w:tcPr>
            <w:tcW w:w="466" w:type="pct"/>
            <w:tcBorders>
              <w:top w:val="single" w:sz="4" w:space="0" w:color="auto"/>
              <w:left w:val="nil"/>
              <w:bottom w:val="nil"/>
              <w:right w:val="single" w:sz="4" w:space="0" w:color="auto"/>
            </w:tcBorders>
            <w:shd w:val="clear" w:color="auto" w:fill="auto"/>
            <w:noWrap/>
            <w:vAlign w:val="center"/>
            <w:hideMark/>
          </w:tcPr>
          <w:p w14:paraId="3687A77B" w14:textId="77777777" w:rsidR="00184B6B" w:rsidRPr="00184B6B" w:rsidRDefault="00184B6B" w:rsidP="00184B6B">
            <w:pPr>
              <w:spacing w:line="240" w:lineRule="auto"/>
              <w:ind w:firstLine="0"/>
              <w:rPr>
                <w:sz w:val="14"/>
                <w:szCs w:val="20"/>
              </w:rPr>
            </w:pPr>
            <w:r w:rsidRPr="00184B6B">
              <w:rPr>
                <w:sz w:val="14"/>
                <w:szCs w:val="20"/>
              </w:rPr>
              <w:t>0.236*</w:t>
            </w:r>
          </w:p>
        </w:tc>
      </w:tr>
      <w:tr w:rsidR="00184B6B" w:rsidRPr="00184B6B" w14:paraId="270AF72C"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88E1DC7"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nil"/>
              <w:right w:val="nil"/>
            </w:tcBorders>
            <w:shd w:val="clear" w:color="auto" w:fill="auto"/>
            <w:noWrap/>
            <w:vAlign w:val="center"/>
            <w:hideMark/>
          </w:tcPr>
          <w:p w14:paraId="6F1926F8"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32F8E378"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113B3150"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single" w:sz="4" w:space="0" w:color="auto"/>
            </w:tcBorders>
            <w:shd w:val="clear" w:color="auto" w:fill="auto"/>
            <w:noWrap/>
            <w:vAlign w:val="center"/>
            <w:hideMark/>
          </w:tcPr>
          <w:p w14:paraId="26DF7ED0"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single" w:sz="4" w:space="0" w:color="auto"/>
              <w:bottom w:val="nil"/>
              <w:right w:val="nil"/>
            </w:tcBorders>
            <w:shd w:val="clear" w:color="auto" w:fill="auto"/>
            <w:noWrap/>
            <w:vAlign w:val="center"/>
            <w:hideMark/>
          </w:tcPr>
          <w:p w14:paraId="6710C69B" w14:textId="77777777" w:rsidR="00184B6B" w:rsidRPr="00184B6B" w:rsidRDefault="00184B6B" w:rsidP="00184B6B">
            <w:pPr>
              <w:spacing w:line="240" w:lineRule="auto"/>
              <w:ind w:firstLine="0"/>
              <w:rPr>
                <w:sz w:val="14"/>
                <w:szCs w:val="20"/>
              </w:rPr>
            </w:pPr>
            <w:r w:rsidRPr="00184B6B">
              <w:rPr>
                <w:sz w:val="14"/>
                <w:szCs w:val="20"/>
              </w:rPr>
              <w:t>(0.131)</w:t>
            </w:r>
          </w:p>
        </w:tc>
        <w:tc>
          <w:tcPr>
            <w:tcW w:w="469" w:type="pct"/>
            <w:tcBorders>
              <w:top w:val="nil"/>
              <w:left w:val="nil"/>
              <w:bottom w:val="nil"/>
              <w:right w:val="nil"/>
            </w:tcBorders>
            <w:shd w:val="clear" w:color="auto" w:fill="auto"/>
            <w:noWrap/>
            <w:vAlign w:val="center"/>
            <w:hideMark/>
          </w:tcPr>
          <w:p w14:paraId="09A0085F" w14:textId="77777777" w:rsidR="00184B6B" w:rsidRPr="00184B6B" w:rsidRDefault="00184B6B" w:rsidP="00184B6B">
            <w:pPr>
              <w:spacing w:line="240" w:lineRule="auto"/>
              <w:ind w:firstLine="0"/>
              <w:rPr>
                <w:sz w:val="14"/>
                <w:szCs w:val="20"/>
              </w:rPr>
            </w:pPr>
            <w:r w:rsidRPr="00184B6B">
              <w:rPr>
                <w:sz w:val="14"/>
                <w:szCs w:val="20"/>
              </w:rPr>
              <w:t>(0.130)</w:t>
            </w:r>
          </w:p>
        </w:tc>
        <w:tc>
          <w:tcPr>
            <w:tcW w:w="469" w:type="pct"/>
            <w:tcBorders>
              <w:top w:val="nil"/>
              <w:left w:val="nil"/>
              <w:bottom w:val="nil"/>
              <w:right w:val="nil"/>
            </w:tcBorders>
            <w:shd w:val="clear" w:color="auto" w:fill="auto"/>
            <w:noWrap/>
            <w:vAlign w:val="center"/>
            <w:hideMark/>
          </w:tcPr>
          <w:p w14:paraId="5B6DD2BE" w14:textId="77777777" w:rsidR="00184B6B" w:rsidRPr="00184B6B" w:rsidRDefault="00184B6B" w:rsidP="00184B6B">
            <w:pPr>
              <w:spacing w:line="240" w:lineRule="auto"/>
              <w:ind w:firstLine="0"/>
              <w:rPr>
                <w:sz w:val="14"/>
                <w:szCs w:val="20"/>
              </w:rPr>
            </w:pPr>
            <w:r w:rsidRPr="00184B6B">
              <w:rPr>
                <w:sz w:val="14"/>
                <w:szCs w:val="20"/>
              </w:rPr>
              <w:t>(0.130)</w:t>
            </w:r>
          </w:p>
        </w:tc>
        <w:tc>
          <w:tcPr>
            <w:tcW w:w="466" w:type="pct"/>
            <w:tcBorders>
              <w:top w:val="nil"/>
              <w:left w:val="nil"/>
              <w:bottom w:val="nil"/>
              <w:right w:val="single" w:sz="4" w:space="0" w:color="auto"/>
            </w:tcBorders>
            <w:shd w:val="clear" w:color="auto" w:fill="auto"/>
            <w:noWrap/>
            <w:vAlign w:val="center"/>
            <w:hideMark/>
          </w:tcPr>
          <w:p w14:paraId="1F3A9FA3" w14:textId="77777777" w:rsidR="00184B6B" w:rsidRPr="00184B6B" w:rsidRDefault="00184B6B" w:rsidP="00184B6B">
            <w:pPr>
              <w:spacing w:line="240" w:lineRule="auto"/>
              <w:ind w:firstLine="0"/>
              <w:rPr>
                <w:sz w:val="14"/>
                <w:szCs w:val="20"/>
              </w:rPr>
            </w:pPr>
            <w:r w:rsidRPr="00184B6B">
              <w:rPr>
                <w:sz w:val="14"/>
                <w:szCs w:val="20"/>
              </w:rPr>
              <w:t>(0.131)</w:t>
            </w:r>
          </w:p>
        </w:tc>
      </w:tr>
      <w:tr w:rsidR="00184B6B" w:rsidRPr="00184B6B" w14:paraId="06E059F1"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6AB92D58" w14:textId="77777777" w:rsidR="00184B6B" w:rsidRPr="00184B6B" w:rsidRDefault="00184B6B" w:rsidP="00184B6B">
            <w:pPr>
              <w:spacing w:line="240" w:lineRule="auto"/>
              <w:ind w:firstLine="0"/>
              <w:jc w:val="left"/>
              <w:rPr>
                <w:sz w:val="14"/>
                <w:szCs w:val="20"/>
              </w:rPr>
            </w:pPr>
            <w:r w:rsidRPr="00184B6B">
              <w:rPr>
                <w:sz w:val="14"/>
                <w:szCs w:val="20"/>
              </w:rPr>
              <w:t>cut2</w:t>
            </w:r>
          </w:p>
        </w:tc>
        <w:tc>
          <w:tcPr>
            <w:tcW w:w="469" w:type="pct"/>
            <w:tcBorders>
              <w:top w:val="nil"/>
              <w:left w:val="single" w:sz="4" w:space="0" w:color="auto"/>
              <w:bottom w:val="nil"/>
              <w:right w:val="nil"/>
            </w:tcBorders>
            <w:shd w:val="clear" w:color="auto" w:fill="auto"/>
            <w:noWrap/>
            <w:vAlign w:val="center"/>
            <w:hideMark/>
          </w:tcPr>
          <w:p w14:paraId="5D0D8B6B"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6BAA6AC6"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nil"/>
            </w:tcBorders>
            <w:shd w:val="clear" w:color="auto" w:fill="auto"/>
            <w:noWrap/>
            <w:vAlign w:val="center"/>
            <w:hideMark/>
          </w:tcPr>
          <w:p w14:paraId="03CF2525"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nil"/>
              <w:right w:val="single" w:sz="4" w:space="0" w:color="auto"/>
            </w:tcBorders>
            <w:shd w:val="clear" w:color="auto" w:fill="auto"/>
            <w:noWrap/>
            <w:vAlign w:val="center"/>
            <w:hideMark/>
          </w:tcPr>
          <w:p w14:paraId="3CD0AF9E"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single" w:sz="4" w:space="0" w:color="auto"/>
              <w:bottom w:val="nil"/>
              <w:right w:val="nil"/>
            </w:tcBorders>
            <w:shd w:val="clear" w:color="auto" w:fill="auto"/>
            <w:noWrap/>
            <w:vAlign w:val="center"/>
            <w:hideMark/>
          </w:tcPr>
          <w:p w14:paraId="2CEE1C90" w14:textId="77777777" w:rsidR="00184B6B" w:rsidRPr="00184B6B" w:rsidRDefault="00184B6B" w:rsidP="00184B6B">
            <w:pPr>
              <w:spacing w:line="240" w:lineRule="auto"/>
              <w:ind w:firstLine="0"/>
              <w:rPr>
                <w:sz w:val="14"/>
                <w:szCs w:val="20"/>
              </w:rPr>
            </w:pPr>
            <w:r w:rsidRPr="00184B6B">
              <w:rPr>
                <w:sz w:val="14"/>
                <w:szCs w:val="20"/>
              </w:rPr>
              <w:t>1.232***</w:t>
            </w:r>
          </w:p>
        </w:tc>
        <w:tc>
          <w:tcPr>
            <w:tcW w:w="469" w:type="pct"/>
            <w:tcBorders>
              <w:top w:val="nil"/>
              <w:left w:val="nil"/>
              <w:bottom w:val="nil"/>
              <w:right w:val="nil"/>
            </w:tcBorders>
            <w:shd w:val="clear" w:color="auto" w:fill="auto"/>
            <w:noWrap/>
            <w:vAlign w:val="center"/>
            <w:hideMark/>
          </w:tcPr>
          <w:p w14:paraId="45CA83D3" w14:textId="77777777" w:rsidR="00184B6B" w:rsidRPr="00184B6B" w:rsidRDefault="00184B6B" w:rsidP="00184B6B">
            <w:pPr>
              <w:spacing w:line="240" w:lineRule="auto"/>
              <w:ind w:firstLine="0"/>
              <w:rPr>
                <w:sz w:val="14"/>
                <w:szCs w:val="20"/>
              </w:rPr>
            </w:pPr>
            <w:r w:rsidRPr="00184B6B">
              <w:rPr>
                <w:sz w:val="14"/>
                <w:szCs w:val="20"/>
              </w:rPr>
              <w:t>1.230***</w:t>
            </w:r>
          </w:p>
        </w:tc>
        <w:tc>
          <w:tcPr>
            <w:tcW w:w="469" w:type="pct"/>
            <w:tcBorders>
              <w:top w:val="nil"/>
              <w:left w:val="nil"/>
              <w:bottom w:val="nil"/>
              <w:right w:val="nil"/>
            </w:tcBorders>
            <w:shd w:val="clear" w:color="auto" w:fill="auto"/>
            <w:noWrap/>
            <w:vAlign w:val="center"/>
            <w:hideMark/>
          </w:tcPr>
          <w:p w14:paraId="05300262" w14:textId="77777777" w:rsidR="00184B6B" w:rsidRPr="00184B6B" w:rsidRDefault="00184B6B" w:rsidP="00184B6B">
            <w:pPr>
              <w:spacing w:line="240" w:lineRule="auto"/>
              <w:ind w:firstLine="0"/>
              <w:rPr>
                <w:sz w:val="14"/>
                <w:szCs w:val="20"/>
              </w:rPr>
            </w:pPr>
            <w:r w:rsidRPr="00184B6B">
              <w:rPr>
                <w:sz w:val="14"/>
                <w:szCs w:val="20"/>
              </w:rPr>
              <w:t>1.208***</w:t>
            </w:r>
          </w:p>
        </w:tc>
        <w:tc>
          <w:tcPr>
            <w:tcW w:w="466" w:type="pct"/>
            <w:tcBorders>
              <w:top w:val="nil"/>
              <w:left w:val="nil"/>
              <w:bottom w:val="nil"/>
              <w:right w:val="single" w:sz="4" w:space="0" w:color="auto"/>
            </w:tcBorders>
            <w:shd w:val="clear" w:color="auto" w:fill="auto"/>
            <w:noWrap/>
            <w:vAlign w:val="center"/>
            <w:hideMark/>
          </w:tcPr>
          <w:p w14:paraId="1DD81D14" w14:textId="77777777" w:rsidR="00184B6B" w:rsidRPr="00184B6B" w:rsidRDefault="00184B6B" w:rsidP="00184B6B">
            <w:pPr>
              <w:spacing w:line="240" w:lineRule="auto"/>
              <w:ind w:firstLine="0"/>
              <w:rPr>
                <w:sz w:val="14"/>
                <w:szCs w:val="20"/>
              </w:rPr>
            </w:pPr>
            <w:r w:rsidRPr="00184B6B">
              <w:rPr>
                <w:sz w:val="14"/>
                <w:szCs w:val="20"/>
              </w:rPr>
              <w:t>1.235***</w:t>
            </w:r>
          </w:p>
        </w:tc>
      </w:tr>
      <w:tr w:rsidR="00184B6B" w:rsidRPr="00184B6B" w14:paraId="18C2C90F" w14:textId="77777777" w:rsidTr="00B617ED">
        <w:trPr>
          <w:trHeight w:hRule="exact" w:val="227"/>
        </w:trPr>
        <w:tc>
          <w:tcPr>
            <w:tcW w:w="1251" w:type="pct"/>
            <w:tcBorders>
              <w:top w:val="nil"/>
              <w:left w:val="single" w:sz="4" w:space="0" w:color="auto"/>
              <w:bottom w:val="single" w:sz="4" w:space="0" w:color="auto"/>
              <w:right w:val="single" w:sz="4" w:space="0" w:color="auto"/>
            </w:tcBorders>
            <w:shd w:val="clear" w:color="auto" w:fill="auto"/>
            <w:noWrap/>
            <w:vAlign w:val="center"/>
            <w:hideMark/>
          </w:tcPr>
          <w:p w14:paraId="67E72593" w14:textId="77777777" w:rsidR="00184B6B" w:rsidRPr="00184B6B" w:rsidRDefault="00184B6B" w:rsidP="00184B6B">
            <w:pPr>
              <w:spacing w:line="240" w:lineRule="auto"/>
              <w:ind w:firstLine="0"/>
              <w:jc w:val="left"/>
              <w:rPr>
                <w:sz w:val="14"/>
                <w:szCs w:val="20"/>
              </w:rPr>
            </w:pPr>
          </w:p>
        </w:tc>
        <w:tc>
          <w:tcPr>
            <w:tcW w:w="469" w:type="pct"/>
            <w:tcBorders>
              <w:top w:val="nil"/>
              <w:left w:val="single" w:sz="4" w:space="0" w:color="auto"/>
              <w:bottom w:val="single" w:sz="4" w:space="0" w:color="auto"/>
              <w:right w:val="nil"/>
            </w:tcBorders>
            <w:shd w:val="clear" w:color="auto" w:fill="auto"/>
            <w:noWrap/>
            <w:vAlign w:val="center"/>
            <w:hideMark/>
          </w:tcPr>
          <w:p w14:paraId="29996CFE"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single" w:sz="4" w:space="0" w:color="auto"/>
              <w:right w:val="nil"/>
            </w:tcBorders>
            <w:shd w:val="clear" w:color="auto" w:fill="auto"/>
            <w:noWrap/>
            <w:vAlign w:val="center"/>
            <w:hideMark/>
          </w:tcPr>
          <w:p w14:paraId="7DF71806"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single" w:sz="4" w:space="0" w:color="auto"/>
              <w:right w:val="nil"/>
            </w:tcBorders>
            <w:shd w:val="clear" w:color="auto" w:fill="auto"/>
            <w:noWrap/>
            <w:vAlign w:val="center"/>
            <w:hideMark/>
          </w:tcPr>
          <w:p w14:paraId="0B619086"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nil"/>
              <w:bottom w:val="single" w:sz="4" w:space="0" w:color="auto"/>
              <w:right w:val="single" w:sz="4" w:space="0" w:color="auto"/>
            </w:tcBorders>
            <w:shd w:val="clear" w:color="auto" w:fill="auto"/>
            <w:noWrap/>
            <w:vAlign w:val="center"/>
            <w:hideMark/>
          </w:tcPr>
          <w:p w14:paraId="38F21F59" w14:textId="77777777" w:rsidR="00184B6B" w:rsidRPr="00184B6B" w:rsidRDefault="00184B6B" w:rsidP="00184B6B">
            <w:pPr>
              <w:spacing w:line="240" w:lineRule="auto"/>
              <w:ind w:firstLine="0"/>
              <w:rPr>
                <w:sz w:val="14"/>
                <w:szCs w:val="20"/>
              </w:rPr>
            </w:pPr>
            <w:r w:rsidRPr="00184B6B">
              <w:rPr>
                <w:sz w:val="14"/>
                <w:szCs w:val="20"/>
              </w:rPr>
              <w:t>-</w:t>
            </w:r>
          </w:p>
        </w:tc>
        <w:tc>
          <w:tcPr>
            <w:tcW w:w="469" w:type="pct"/>
            <w:tcBorders>
              <w:top w:val="nil"/>
              <w:left w:val="single" w:sz="4" w:space="0" w:color="auto"/>
              <w:bottom w:val="single" w:sz="4" w:space="0" w:color="auto"/>
              <w:right w:val="nil"/>
            </w:tcBorders>
            <w:shd w:val="clear" w:color="auto" w:fill="auto"/>
            <w:noWrap/>
            <w:vAlign w:val="center"/>
            <w:hideMark/>
          </w:tcPr>
          <w:p w14:paraId="3BA97BCA" w14:textId="77777777" w:rsidR="00184B6B" w:rsidRPr="00184B6B" w:rsidRDefault="00184B6B" w:rsidP="00184B6B">
            <w:pPr>
              <w:spacing w:line="240" w:lineRule="auto"/>
              <w:ind w:firstLine="0"/>
              <w:rPr>
                <w:sz w:val="14"/>
                <w:szCs w:val="20"/>
              </w:rPr>
            </w:pPr>
            <w:r w:rsidRPr="00184B6B">
              <w:rPr>
                <w:sz w:val="14"/>
                <w:szCs w:val="20"/>
              </w:rPr>
              <w:t>(0.134)</w:t>
            </w:r>
          </w:p>
        </w:tc>
        <w:tc>
          <w:tcPr>
            <w:tcW w:w="469" w:type="pct"/>
            <w:tcBorders>
              <w:top w:val="nil"/>
              <w:left w:val="nil"/>
              <w:bottom w:val="single" w:sz="4" w:space="0" w:color="auto"/>
              <w:right w:val="nil"/>
            </w:tcBorders>
            <w:shd w:val="clear" w:color="auto" w:fill="auto"/>
            <w:noWrap/>
            <w:vAlign w:val="center"/>
            <w:hideMark/>
          </w:tcPr>
          <w:p w14:paraId="6FFEC1C8" w14:textId="77777777" w:rsidR="00184B6B" w:rsidRPr="00184B6B" w:rsidRDefault="00184B6B" w:rsidP="00184B6B">
            <w:pPr>
              <w:spacing w:line="240" w:lineRule="auto"/>
              <w:ind w:firstLine="0"/>
              <w:rPr>
                <w:sz w:val="14"/>
                <w:szCs w:val="20"/>
              </w:rPr>
            </w:pPr>
            <w:r w:rsidRPr="00184B6B">
              <w:rPr>
                <w:sz w:val="14"/>
                <w:szCs w:val="20"/>
              </w:rPr>
              <w:t>(0.134)</w:t>
            </w:r>
          </w:p>
        </w:tc>
        <w:tc>
          <w:tcPr>
            <w:tcW w:w="469" w:type="pct"/>
            <w:tcBorders>
              <w:top w:val="nil"/>
              <w:left w:val="nil"/>
              <w:bottom w:val="single" w:sz="4" w:space="0" w:color="auto"/>
              <w:right w:val="nil"/>
            </w:tcBorders>
            <w:shd w:val="clear" w:color="auto" w:fill="auto"/>
            <w:noWrap/>
            <w:vAlign w:val="center"/>
            <w:hideMark/>
          </w:tcPr>
          <w:p w14:paraId="1B5D07D9" w14:textId="77777777" w:rsidR="00184B6B" w:rsidRPr="00184B6B" w:rsidRDefault="00184B6B" w:rsidP="00184B6B">
            <w:pPr>
              <w:spacing w:line="240" w:lineRule="auto"/>
              <w:ind w:firstLine="0"/>
              <w:rPr>
                <w:sz w:val="14"/>
                <w:szCs w:val="20"/>
              </w:rPr>
            </w:pPr>
            <w:r w:rsidRPr="00184B6B">
              <w:rPr>
                <w:sz w:val="14"/>
                <w:szCs w:val="20"/>
              </w:rPr>
              <w:t>(0.134)</w:t>
            </w:r>
          </w:p>
        </w:tc>
        <w:tc>
          <w:tcPr>
            <w:tcW w:w="466" w:type="pct"/>
            <w:tcBorders>
              <w:top w:val="nil"/>
              <w:left w:val="nil"/>
              <w:bottom w:val="single" w:sz="4" w:space="0" w:color="auto"/>
              <w:right w:val="single" w:sz="4" w:space="0" w:color="auto"/>
            </w:tcBorders>
            <w:shd w:val="clear" w:color="auto" w:fill="auto"/>
            <w:noWrap/>
            <w:vAlign w:val="center"/>
            <w:hideMark/>
          </w:tcPr>
          <w:p w14:paraId="5B02E2C7" w14:textId="77777777" w:rsidR="00184B6B" w:rsidRPr="00184B6B" w:rsidRDefault="00184B6B" w:rsidP="00184B6B">
            <w:pPr>
              <w:spacing w:line="240" w:lineRule="auto"/>
              <w:ind w:firstLine="0"/>
              <w:rPr>
                <w:sz w:val="14"/>
                <w:szCs w:val="20"/>
              </w:rPr>
            </w:pPr>
            <w:r w:rsidRPr="00184B6B">
              <w:rPr>
                <w:sz w:val="14"/>
                <w:szCs w:val="20"/>
              </w:rPr>
              <w:t>(0.135)</w:t>
            </w:r>
          </w:p>
        </w:tc>
      </w:tr>
      <w:tr w:rsidR="00184B6B" w:rsidRPr="00184B6B" w14:paraId="51A123C3" w14:textId="77777777" w:rsidTr="00B617ED">
        <w:trPr>
          <w:trHeight w:hRule="exact" w:val="227"/>
        </w:trPr>
        <w:tc>
          <w:tcPr>
            <w:tcW w:w="1251" w:type="pct"/>
            <w:tcBorders>
              <w:top w:val="single" w:sz="4" w:space="0" w:color="auto"/>
              <w:left w:val="single" w:sz="4" w:space="0" w:color="auto"/>
              <w:bottom w:val="nil"/>
              <w:right w:val="single" w:sz="4" w:space="0" w:color="auto"/>
            </w:tcBorders>
            <w:shd w:val="clear" w:color="auto" w:fill="auto"/>
            <w:noWrap/>
            <w:vAlign w:val="center"/>
            <w:hideMark/>
          </w:tcPr>
          <w:p w14:paraId="03A7F2FC" w14:textId="77777777" w:rsidR="00184B6B" w:rsidRPr="00184B6B" w:rsidRDefault="00184B6B" w:rsidP="00184B6B">
            <w:pPr>
              <w:spacing w:line="240" w:lineRule="auto"/>
              <w:ind w:firstLine="0"/>
              <w:jc w:val="left"/>
              <w:rPr>
                <w:sz w:val="14"/>
                <w:szCs w:val="20"/>
              </w:rPr>
            </w:pPr>
            <w:r w:rsidRPr="00184B6B">
              <w:rPr>
                <w:sz w:val="14"/>
                <w:szCs w:val="20"/>
              </w:rPr>
              <w:t>Observations</w:t>
            </w:r>
          </w:p>
        </w:tc>
        <w:tc>
          <w:tcPr>
            <w:tcW w:w="469" w:type="pct"/>
            <w:tcBorders>
              <w:top w:val="single" w:sz="4" w:space="0" w:color="auto"/>
              <w:left w:val="single" w:sz="4" w:space="0" w:color="auto"/>
              <w:bottom w:val="nil"/>
              <w:right w:val="nil"/>
            </w:tcBorders>
            <w:shd w:val="clear" w:color="auto" w:fill="auto"/>
            <w:noWrap/>
            <w:vAlign w:val="center"/>
            <w:hideMark/>
          </w:tcPr>
          <w:p w14:paraId="5D21594E" w14:textId="77777777" w:rsidR="00184B6B" w:rsidRPr="00184B6B" w:rsidRDefault="00184B6B" w:rsidP="00184B6B">
            <w:pPr>
              <w:spacing w:line="240" w:lineRule="auto"/>
              <w:ind w:firstLine="0"/>
              <w:rPr>
                <w:sz w:val="14"/>
                <w:szCs w:val="20"/>
              </w:rPr>
            </w:pPr>
            <w:r w:rsidRPr="00184B6B">
              <w:rPr>
                <w:sz w:val="14"/>
                <w:szCs w:val="20"/>
              </w:rPr>
              <w:t>16858</w:t>
            </w:r>
          </w:p>
        </w:tc>
        <w:tc>
          <w:tcPr>
            <w:tcW w:w="469" w:type="pct"/>
            <w:tcBorders>
              <w:top w:val="single" w:sz="4" w:space="0" w:color="auto"/>
              <w:left w:val="nil"/>
              <w:bottom w:val="nil"/>
              <w:right w:val="nil"/>
            </w:tcBorders>
            <w:shd w:val="clear" w:color="auto" w:fill="auto"/>
            <w:noWrap/>
            <w:vAlign w:val="center"/>
            <w:hideMark/>
          </w:tcPr>
          <w:p w14:paraId="636BE22C" w14:textId="77777777" w:rsidR="00184B6B" w:rsidRPr="00184B6B" w:rsidRDefault="00184B6B" w:rsidP="00184B6B">
            <w:pPr>
              <w:spacing w:line="240" w:lineRule="auto"/>
              <w:ind w:firstLine="0"/>
              <w:rPr>
                <w:sz w:val="14"/>
                <w:szCs w:val="20"/>
              </w:rPr>
            </w:pPr>
            <w:r w:rsidRPr="00184B6B">
              <w:rPr>
                <w:sz w:val="14"/>
                <w:szCs w:val="20"/>
              </w:rPr>
              <w:t>16858</w:t>
            </w:r>
          </w:p>
        </w:tc>
        <w:tc>
          <w:tcPr>
            <w:tcW w:w="469" w:type="pct"/>
            <w:tcBorders>
              <w:top w:val="single" w:sz="4" w:space="0" w:color="auto"/>
              <w:left w:val="nil"/>
              <w:bottom w:val="nil"/>
              <w:right w:val="nil"/>
            </w:tcBorders>
            <w:shd w:val="clear" w:color="auto" w:fill="auto"/>
            <w:noWrap/>
            <w:vAlign w:val="center"/>
            <w:hideMark/>
          </w:tcPr>
          <w:p w14:paraId="3CD08DD9" w14:textId="77777777" w:rsidR="00184B6B" w:rsidRPr="00184B6B" w:rsidRDefault="00184B6B" w:rsidP="00184B6B">
            <w:pPr>
              <w:spacing w:line="240" w:lineRule="auto"/>
              <w:ind w:firstLine="0"/>
              <w:rPr>
                <w:sz w:val="14"/>
                <w:szCs w:val="20"/>
              </w:rPr>
            </w:pPr>
            <w:r w:rsidRPr="00184B6B">
              <w:rPr>
                <w:sz w:val="14"/>
                <w:szCs w:val="20"/>
              </w:rPr>
              <w:t>16858</w:t>
            </w:r>
          </w:p>
        </w:tc>
        <w:tc>
          <w:tcPr>
            <w:tcW w:w="469" w:type="pct"/>
            <w:tcBorders>
              <w:top w:val="single" w:sz="4" w:space="0" w:color="auto"/>
              <w:left w:val="nil"/>
              <w:bottom w:val="nil"/>
              <w:right w:val="single" w:sz="4" w:space="0" w:color="auto"/>
            </w:tcBorders>
            <w:shd w:val="clear" w:color="auto" w:fill="auto"/>
            <w:noWrap/>
            <w:vAlign w:val="center"/>
            <w:hideMark/>
          </w:tcPr>
          <w:p w14:paraId="27DE8BD6" w14:textId="77777777" w:rsidR="00184B6B" w:rsidRPr="00184B6B" w:rsidRDefault="00184B6B" w:rsidP="00184B6B">
            <w:pPr>
              <w:spacing w:line="240" w:lineRule="auto"/>
              <w:ind w:firstLine="0"/>
              <w:rPr>
                <w:sz w:val="14"/>
                <w:szCs w:val="20"/>
              </w:rPr>
            </w:pPr>
            <w:r w:rsidRPr="00184B6B">
              <w:rPr>
                <w:sz w:val="14"/>
                <w:szCs w:val="20"/>
              </w:rPr>
              <w:t>16858</w:t>
            </w:r>
          </w:p>
        </w:tc>
        <w:tc>
          <w:tcPr>
            <w:tcW w:w="469" w:type="pct"/>
            <w:tcBorders>
              <w:top w:val="single" w:sz="4" w:space="0" w:color="auto"/>
              <w:left w:val="single" w:sz="4" w:space="0" w:color="auto"/>
              <w:bottom w:val="nil"/>
              <w:right w:val="nil"/>
            </w:tcBorders>
            <w:shd w:val="clear" w:color="auto" w:fill="auto"/>
            <w:noWrap/>
            <w:vAlign w:val="center"/>
            <w:hideMark/>
          </w:tcPr>
          <w:p w14:paraId="1FA74798" w14:textId="77777777" w:rsidR="00184B6B" w:rsidRPr="00184B6B" w:rsidRDefault="00184B6B" w:rsidP="00184B6B">
            <w:pPr>
              <w:spacing w:line="240" w:lineRule="auto"/>
              <w:ind w:firstLine="0"/>
              <w:rPr>
                <w:sz w:val="14"/>
                <w:szCs w:val="20"/>
              </w:rPr>
            </w:pPr>
            <w:r w:rsidRPr="00184B6B">
              <w:rPr>
                <w:sz w:val="14"/>
                <w:szCs w:val="20"/>
              </w:rPr>
              <w:t>17871</w:t>
            </w:r>
          </w:p>
        </w:tc>
        <w:tc>
          <w:tcPr>
            <w:tcW w:w="469" w:type="pct"/>
            <w:tcBorders>
              <w:top w:val="single" w:sz="4" w:space="0" w:color="auto"/>
              <w:left w:val="nil"/>
              <w:bottom w:val="nil"/>
              <w:right w:val="nil"/>
            </w:tcBorders>
            <w:shd w:val="clear" w:color="auto" w:fill="auto"/>
            <w:noWrap/>
            <w:vAlign w:val="center"/>
            <w:hideMark/>
          </w:tcPr>
          <w:p w14:paraId="6F724431" w14:textId="77777777" w:rsidR="00184B6B" w:rsidRPr="00184B6B" w:rsidRDefault="00184B6B" w:rsidP="00184B6B">
            <w:pPr>
              <w:spacing w:line="240" w:lineRule="auto"/>
              <w:ind w:firstLine="0"/>
              <w:rPr>
                <w:sz w:val="14"/>
                <w:szCs w:val="20"/>
              </w:rPr>
            </w:pPr>
            <w:r w:rsidRPr="00184B6B">
              <w:rPr>
                <w:sz w:val="14"/>
                <w:szCs w:val="20"/>
              </w:rPr>
              <w:t>17871</w:t>
            </w:r>
          </w:p>
        </w:tc>
        <w:tc>
          <w:tcPr>
            <w:tcW w:w="469" w:type="pct"/>
            <w:tcBorders>
              <w:top w:val="single" w:sz="4" w:space="0" w:color="auto"/>
              <w:left w:val="nil"/>
              <w:bottom w:val="nil"/>
              <w:right w:val="nil"/>
            </w:tcBorders>
            <w:shd w:val="clear" w:color="auto" w:fill="auto"/>
            <w:noWrap/>
            <w:vAlign w:val="center"/>
            <w:hideMark/>
          </w:tcPr>
          <w:p w14:paraId="0DAF11ED" w14:textId="77777777" w:rsidR="00184B6B" w:rsidRPr="00184B6B" w:rsidRDefault="00184B6B" w:rsidP="00184B6B">
            <w:pPr>
              <w:spacing w:line="240" w:lineRule="auto"/>
              <w:ind w:firstLine="0"/>
              <w:rPr>
                <w:sz w:val="14"/>
                <w:szCs w:val="20"/>
              </w:rPr>
            </w:pPr>
            <w:r w:rsidRPr="00184B6B">
              <w:rPr>
                <w:sz w:val="14"/>
                <w:szCs w:val="20"/>
              </w:rPr>
              <w:t>17871</w:t>
            </w:r>
          </w:p>
        </w:tc>
        <w:tc>
          <w:tcPr>
            <w:tcW w:w="466" w:type="pct"/>
            <w:tcBorders>
              <w:top w:val="single" w:sz="4" w:space="0" w:color="auto"/>
              <w:left w:val="nil"/>
              <w:bottom w:val="nil"/>
              <w:right w:val="single" w:sz="4" w:space="0" w:color="auto"/>
            </w:tcBorders>
            <w:shd w:val="clear" w:color="auto" w:fill="auto"/>
            <w:noWrap/>
            <w:vAlign w:val="center"/>
            <w:hideMark/>
          </w:tcPr>
          <w:p w14:paraId="104F69F9" w14:textId="77777777" w:rsidR="00184B6B" w:rsidRPr="00184B6B" w:rsidRDefault="00184B6B" w:rsidP="00184B6B">
            <w:pPr>
              <w:spacing w:line="240" w:lineRule="auto"/>
              <w:ind w:firstLine="0"/>
              <w:rPr>
                <w:sz w:val="14"/>
                <w:szCs w:val="20"/>
              </w:rPr>
            </w:pPr>
            <w:r w:rsidRPr="00184B6B">
              <w:rPr>
                <w:sz w:val="14"/>
                <w:szCs w:val="20"/>
              </w:rPr>
              <w:t>17871</w:t>
            </w:r>
          </w:p>
        </w:tc>
      </w:tr>
      <w:tr w:rsidR="00184B6B" w:rsidRPr="00184B6B" w14:paraId="67A8F470"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2DE5D36C" w14:textId="77777777" w:rsidR="00184B6B" w:rsidRPr="00184B6B" w:rsidRDefault="00184B6B" w:rsidP="00184B6B">
            <w:pPr>
              <w:spacing w:line="240" w:lineRule="auto"/>
              <w:ind w:firstLine="0"/>
              <w:jc w:val="left"/>
              <w:rPr>
                <w:sz w:val="14"/>
                <w:szCs w:val="20"/>
                <w:vertAlign w:val="superscript"/>
              </w:rPr>
            </w:pPr>
            <w:r w:rsidRPr="00184B6B">
              <w:rPr>
                <w:sz w:val="14"/>
                <w:szCs w:val="20"/>
              </w:rPr>
              <w:t>Pseudo R</w:t>
            </w:r>
            <w:r w:rsidRPr="00184B6B">
              <w:rPr>
                <w:sz w:val="14"/>
                <w:szCs w:val="20"/>
                <w:vertAlign w:val="superscript"/>
              </w:rPr>
              <w:t>2</w:t>
            </w:r>
          </w:p>
        </w:tc>
        <w:tc>
          <w:tcPr>
            <w:tcW w:w="469" w:type="pct"/>
            <w:tcBorders>
              <w:top w:val="nil"/>
              <w:left w:val="single" w:sz="4" w:space="0" w:color="auto"/>
              <w:bottom w:val="nil"/>
              <w:right w:val="nil"/>
            </w:tcBorders>
            <w:shd w:val="clear" w:color="auto" w:fill="auto"/>
            <w:noWrap/>
            <w:vAlign w:val="center"/>
            <w:hideMark/>
          </w:tcPr>
          <w:p w14:paraId="64EC9912" w14:textId="77777777" w:rsidR="00184B6B" w:rsidRPr="00184B6B" w:rsidRDefault="00184B6B" w:rsidP="00184B6B">
            <w:pPr>
              <w:spacing w:line="240" w:lineRule="auto"/>
              <w:ind w:firstLine="0"/>
              <w:rPr>
                <w:sz w:val="14"/>
                <w:szCs w:val="20"/>
              </w:rPr>
            </w:pPr>
            <w:r w:rsidRPr="00184B6B">
              <w:rPr>
                <w:sz w:val="14"/>
                <w:szCs w:val="20"/>
              </w:rPr>
              <w:t>0.257</w:t>
            </w:r>
          </w:p>
        </w:tc>
        <w:tc>
          <w:tcPr>
            <w:tcW w:w="469" w:type="pct"/>
            <w:tcBorders>
              <w:top w:val="nil"/>
              <w:left w:val="nil"/>
              <w:bottom w:val="nil"/>
              <w:right w:val="nil"/>
            </w:tcBorders>
            <w:shd w:val="clear" w:color="auto" w:fill="auto"/>
            <w:noWrap/>
            <w:vAlign w:val="center"/>
            <w:hideMark/>
          </w:tcPr>
          <w:p w14:paraId="63B92246" w14:textId="77777777" w:rsidR="00184B6B" w:rsidRPr="00184B6B" w:rsidRDefault="00184B6B" w:rsidP="00184B6B">
            <w:pPr>
              <w:spacing w:line="240" w:lineRule="auto"/>
              <w:ind w:firstLine="0"/>
              <w:rPr>
                <w:sz w:val="14"/>
                <w:szCs w:val="20"/>
              </w:rPr>
            </w:pPr>
            <w:r w:rsidRPr="00184B6B">
              <w:rPr>
                <w:sz w:val="14"/>
                <w:szCs w:val="20"/>
              </w:rPr>
              <w:t>0.257</w:t>
            </w:r>
          </w:p>
        </w:tc>
        <w:tc>
          <w:tcPr>
            <w:tcW w:w="469" w:type="pct"/>
            <w:tcBorders>
              <w:top w:val="nil"/>
              <w:left w:val="nil"/>
              <w:bottom w:val="nil"/>
              <w:right w:val="nil"/>
            </w:tcBorders>
            <w:shd w:val="clear" w:color="auto" w:fill="auto"/>
            <w:noWrap/>
            <w:vAlign w:val="center"/>
            <w:hideMark/>
          </w:tcPr>
          <w:p w14:paraId="5064D65C" w14:textId="77777777" w:rsidR="00184B6B" w:rsidRPr="00184B6B" w:rsidRDefault="00184B6B" w:rsidP="00184B6B">
            <w:pPr>
              <w:spacing w:line="240" w:lineRule="auto"/>
              <w:ind w:firstLine="0"/>
              <w:rPr>
                <w:sz w:val="14"/>
                <w:szCs w:val="20"/>
              </w:rPr>
            </w:pPr>
            <w:r w:rsidRPr="00184B6B">
              <w:rPr>
                <w:sz w:val="14"/>
                <w:szCs w:val="20"/>
              </w:rPr>
              <w:t>0.257</w:t>
            </w:r>
          </w:p>
        </w:tc>
        <w:tc>
          <w:tcPr>
            <w:tcW w:w="469" w:type="pct"/>
            <w:tcBorders>
              <w:top w:val="nil"/>
              <w:left w:val="nil"/>
              <w:bottom w:val="nil"/>
              <w:right w:val="single" w:sz="4" w:space="0" w:color="auto"/>
            </w:tcBorders>
            <w:shd w:val="clear" w:color="auto" w:fill="auto"/>
            <w:noWrap/>
            <w:vAlign w:val="center"/>
            <w:hideMark/>
          </w:tcPr>
          <w:p w14:paraId="478055B9" w14:textId="77777777" w:rsidR="00184B6B" w:rsidRPr="00184B6B" w:rsidRDefault="00184B6B" w:rsidP="00184B6B">
            <w:pPr>
              <w:spacing w:line="240" w:lineRule="auto"/>
              <w:ind w:firstLine="0"/>
              <w:rPr>
                <w:sz w:val="14"/>
                <w:szCs w:val="20"/>
              </w:rPr>
            </w:pPr>
            <w:r w:rsidRPr="00184B6B">
              <w:rPr>
                <w:sz w:val="14"/>
                <w:szCs w:val="20"/>
              </w:rPr>
              <w:t>0.258</w:t>
            </w:r>
          </w:p>
        </w:tc>
        <w:tc>
          <w:tcPr>
            <w:tcW w:w="469" w:type="pct"/>
            <w:tcBorders>
              <w:top w:val="nil"/>
              <w:left w:val="single" w:sz="4" w:space="0" w:color="auto"/>
              <w:bottom w:val="nil"/>
              <w:right w:val="nil"/>
            </w:tcBorders>
            <w:shd w:val="clear" w:color="auto" w:fill="auto"/>
            <w:noWrap/>
            <w:vAlign w:val="center"/>
            <w:hideMark/>
          </w:tcPr>
          <w:p w14:paraId="21656CEE" w14:textId="77777777" w:rsidR="00184B6B" w:rsidRPr="00184B6B" w:rsidRDefault="00184B6B" w:rsidP="00184B6B">
            <w:pPr>
              <w:spacing w:line="240" w:lineRule="auto"/>
              <w:ind w:firstLine="0"/>
              <w:rPr>
                <w:sz w:val="14"/>
                <w:szCs w:val="20"/>
              </w:rPr>
            </w:pPr>
            <w:r w:rsidRPr="00184B6B">
              <w:rPr>
                <w:sz w:val="14"/>
                <w:szCs w:val="20"/>
              </w:rPr>
              <w:t>0.191</w:t>
            </w:r>
          </w:p>
        </w:tc>
        <w:tc>
          <w:tcPr>
            <w:tcW w:w="469" w:type="pct"/>
            <w:tcBorders>
              <w:top w:val="nil"/>
              <w:left w:val="nil"/>
              <w:bottom w:val="nil"/>
              <w:right w:val="nil"/>
            </w:tcBorders>
            <w:shd w:val="clear" w:color="auto" w:fill="auto"/>
            <w:noWrap/>
            <w:vAlign w:val="center"/>
            <w:hideMark/>
          </w:tcPr>
          <w:p w14:paraId="4B10AE51" w14:textId="77777777" w:rsidR="00184B6B" w:rsidRPr="00184B6B" w:rsidRDefault="00184B6B" w:rsidP="00184B6B">
            <w:pPr>
              <w:spacing w:line="240" w:lineRule="auto"/>
              <w:ind w:firstLine="0"/>
              <w:rPr>
                <w:sz w:val="14"/>
                <w:szCs w:val="20"/>
              </w:rPr>
            </w:pPr>
            <w:r w:rsidRPr="00184B6B">
              <w:rPr>
                <w:sz w:val="14"/>
                <w:szCs w:val="20"/>
              </w:rPr>
              <w:t>0.191</w:t>
            </w:r>
          </w:p>
        </w:tc>
        <w:tc>
          <w:tcPr>
            <w:tcW w:w="469" w:type="pct"/>
            <w:tcBorders>
              <w:top w:val="nil"/>
              <w:left w:val="nil"/>
              <w:bottom w:val="nil"/>
              <w:right w:val="nil"/>
            </w:tcBorders>
            <w:shd w:val="clear" w:color="auto" w:fill="auto"/>
            <w:noWrap/>
            <w:vAlign w:val="center"/>
            <w:hideMark/>
          </w:tcPr>
          <w:p w14:paraId="59FC3AAE" w14:textId="77777777" w:rsidR="00184B6B" w:rsidRPr="00184B6B" w:rsidRDefault="00184B6B" w:rsidP="00184B6B">
            <w:pPr>
              <w:spacing w:line="240" w:lineRule="auto"/>
              <w:ind w:firstLine="0"/>
              <w:rPr>
                <w:sz w:val="14"/>
                <w:szCs w:val="20"/>
              </w:rPr>
            </w:pPr>
            <w:r w:rsidRPr="00184B6B">
              <w:rPr>
                <w:sz w:val="14"/>
                <w:szCs w:val="20"/>
              </w:rPr>
              <w:t>0.191</w:t>
            </w:r>
          </w:p>
        </w:tc>
        <w:tc>
          <w:tcPr>
            <w:tcW w:w="466" w:type="pct"/>
            <w:tcBorders>
              <w:top w:val="nil"/>
              <w:left w:val="nil"/>
              <w:bottom w:val="nil"/>
              <w:right w:val="single" w:sz="4" w:space="0" w:color="auto"/>
            </w:tcBorders>
            <w:shd w:val="clear" w:color="auto" w:fill="auto"/>
            <w:noWrap/>
            <w:vAlign w:val="center"/>
            <w:hideMark/>
          </w:tcPr>
          <w:p w14:paraId="3C641C92" w14:textId="77777777" w:rsidR="00184B6B" w:rsidRPr="00184B6B" w:rsidRDefault="00184B6B" w:rsidP="00184B6B">
            <w:pPr>
              <w:spacing w:line="240" w:lineRule="auto"/>
              <w:ind w:firstLine="0"/>
              <w:rPr>
                <w:sz w:val="14"/>
                <w:szCs w:val="20"/>
              </w:rPr>
            </w:pPr>
            <w:r w:rsidRPr="00184B6B">
              <w:rPr>
                <w:sz w:val="14"/>
                <w:szCs w:val="20"/>
              </w:rPr>
              <w:t>0.191</w:t>
            </w:r>
          </w:p>
        </w:tc>
      </w:tr>
      <w:tr w:rsidR="00184B6B" w:rsidRPr="00184B6B" w14:paraId="57F77E3B" w14:textId="77777777" w:rsidTr="00B617ED">
        <w:trPr>
          <w:trHeight w:hRule="exact" w:val="227"/>
        </w:trPr>
        <w:tc>
          <w:tcPr>
            <w:tcW w:w="1251" w:type="pct"/>
            <w:tcBorders>
              <w:top w:val="nil"/>
              <w:left w:val="single" w:sz="4" w:space="0" w:color="auto"/>
              <w:bottom w:val="nil"/>
              <w:right w:val="single" w:sz="4" w:space="0" w:color="auto"/>
            </w:tcBorders>
            <w:shd w:val="clear" w:color="auto" w:fill="auto"/>
            <w:noWrap/>
            <w:vAlign w:val="center"/>
            <w:hideMark/>
          </w:tcPr>
          <w:p w14:paraId="57B66000" w14:textId="77777777" w:rsidR="00184B6B" w:rsidRPr="00184B6B" w:rsidRDefault="00184B6B" w:rsidP="00184B6B">
            <w:pPr>
              <w:spacing w:line="240" w:lineRule="auto"/>
              <w:ind w:firstLine="0"/>
              <w:jc w:val="left"/>
              <w:rPr>
                <w:sz w:val="14"/>
                <w:szCs w:val="20"/>
                <w:vertAlign w:val="superscript"/>
              </w:rPr>
            </w:pPr>
            <w:r w:rsidRPr="00184B6B">
              <w:rPr>
                <w:sz w:val="14"/>
                <w:szCs w:val="20"/>
              </w:rPr>
              <w:t>Chi</w:t>
            </w:r>
            <w:r w:rsidRPr="00184B6B">
              <w:rPr>
                <w:sz w:val="14"/>
                <w:szCs w:val="20"/>
                <w:vertAlign w:val="superscript"/>
              </w:rPr>
              <w:t>2</w:t>
            </w:r>
          </w:p>
        </w:tc>
        <w:tc>
          <w:tcPr>
            <w:tcW w:w="469" w:type="pct"/>
            <w:tcBorders>
              <w:top w:val="nil"/>
              <w:left w:val="single" w:sz="4" w:space="0" w:color="auto"/>
              <w:bottom w:val="nil"/>
              <w:right w:val="nil"/>
            </w:tcBorders>
            <w:shd w:val="clear" w:color="auto" w:fill="auto"/>
            <w:noWrap/>
            <w:vAlign w:val="center"/>
            <w:hideMark/>
          </w:tcPr>
          <w:p w14:paraId="0A8DCEBF" w14:textId="77777777" w:rsidR="00184B6B" w:rsidRPr="00184B6B" w:rsidRDefault="00184B6B" w:rsidP="00184B6B">
            <w:pPr>
              <w:spacing w:line="240" w:lineRule="auto"/>
              <w:ind w:firstLine="0"/>
              <w:rPr>
                <w:sz w:val="14"/>
                <w:szCs w:val="20"/>
              </w:rPr>
            </w:pPr>
            <w:r w:rsidRPr="00184B6B">
              <w:rPr>
                <w:sz w:val="14"/>
                <w:szCs w:val="20"/>
              </w:rPr>
              <w:t>2084.307</w:t>
            </w:r>
          </w:p>
        </w:tc>
        <w:tc>
          <w:tcPr>
            <w:tcW w:w="469" w:type="pct"/>
            <w:tcBorders>
              <w:top w:val="nil"/>
              <w:left w:val="nil"/>
              <w:bottom w:val="nil"/>
              <w:right w:val="nil"/>
            </w:tcBorders>
            <w:shd w:val="clear" w:color="auto" w:fill="auto"/>
            <w:noWrap/>
            <w:vAlign w:val="center"/>
            <w:hideMark/>
          </w:tcPr>
          <w:p w14:paraId="7D413AB1" w14:textId="77777777" w:rsidR="00184B6B" w:rsidRPr="00184B6B" w:rsidRDefault="00184B6B" w:rsidP="00184B6B">
            <w:pPr>
              <w:spacing w:line="240" w:lineRule="auto"/>
              <w:ind w:firstLine="0"/>
              <w:rPr>
                <w:sz w:val="14"/>
                <w:szCs w:val="20"/>
              </w:rPr>
            </w:pPr>
            <w:r w:rsidRPr="00184B6B">
              <w:rPr>
                <w:sz w:val="14"/>
                <w:szCs w:val="20"/>
              </w:rPr>
              <w:t>2084.613</w:t>
            </w:r>
          </w:p>
        </w:tc>
        <w:tc>
          <w:tcPr>
            <w:tcW w:w="469" w:type="pct"/>
            <w:tcBorders>
              <w:top w:val="nil"/>
              <w:left w:val="nil"/>
              <w:bottom w:val="nil"/>
              <w:right w:val="nil"/>
            </w:tcBorders>
            <w:shd w:val="clear" w:color="auto" w:fill="auto"/>
            <w:noWrap/>
            <w:vAlign w:val="center"/>
            <w:hideMark/>
          </w:tcPr>
          <w:p w14:paraId="4A75992D" w14:textId="77777777" w:rsidR="00184B6B" w:rsidRPr="00184B6B" w:rsidRDefault="00184B6B" w:rsidP="00184B6B">
            <w:pPr>
              <w:spacing w:line="240" w:lineRule="auto"/>
              <w:ind w:firstLine="0"/>
              <w:rPr>
                <w:sz w:val="14"/>
                <w:szCs w:val="20"/>
              </w:rPr>
            </w:pPr>
            <w:r w:rsidRPr="00184B6B">
              <w:rPr>
                <w:sz w:val="14"/>
                <w:szCs w:val="20"/>
              </w:rPr>
              <w:t>2081.838</w:t>
            </w:r>
          </w:p>
        </w:tc>
        <w:tc>
          <w:tcPr>
            <w:tcW w:w="469" w:type="pct"/>
            <w:tcBorders>
              <w:top w:val="nil"/>
              <w:left w:val="nil"/>
              <w:bottom w:val="nil"/>
              <w:right w:val="single" w:sz="4" w:space="0" w:color="auto"/>
            </w:tcBorders>
            <w:shd w:val="clear" w:color="auto" w:fill="auto"/>
            <w:noWrap/>
            <w:vAlign w:val="center"/>
            <w:hideMark/>
          </w:tcPr>
          <w:p w14:paraId="1C823D60" w14:textId="77777777" w:rsidR="00184B6B" w:rsidRPr="00184B6B" w:rsidRDefault="00184B6B" w:rsidP="00184B6B">
            <w:pPr>
              <w:spacing w:line="240" w:lineRule="auto"/>
              <w:ind w:firstLine="0"/>
              <w:rPr>
                <w:sz w:val="14"/>
                <w:szCs w:val="20"/>
              </w:rPr>
            </w:pPr>
            <w:r w:rsidRPr="00184B6B">
              <w:rPr>
                <w:sz w:val="14"/>
                <w:szCs w:val="20"/>
              </w:rPr>
              <w:t>2124.587</w:t>
            </w:r>
          </w:p>
        </w:tc>
        <w:tc>
          <w:tcPr>
            <w:tcW w:w="469" w:type="pct"/>
            <w:tcBorders>
              <w:top w:val="nil"/>
              <w:left w:val="single" w:sz="4" w:space="0" w:color="auto"/>
              <w:bottom w:val="nil"/>
              <w:right w:val="nil"/>
            </w:tcBorders>
            <w:shd w:val="clear" w:color="auto" w:fill="auto"/>
            <w:noWrap/>
            <w:vAlign w:val="center"/>
            <w:hideMark/>
          </w:tcPr>
          <w:p w14:paraId="4B79402D" w14:textId="77777777" w:rsidR="00184B6B" w:rsidRPr="00184B6B" w:rsidRDefault="00184B6B" w:rsidP="00184B6B">
            <w:pPr>
              <w:spacing w:line="240" w:lineRule="auto"/>
              <w:ind w:firstLine="0"/>
              <w:rPr>
                <w:sz w:val="14"/>
                <w:szCs w:val="20"/>
              </w:rPr>
            </w:pPr>
            <w:r w:rsidRPr="00184B6B">
              <w:rPr>
                <w:sz w:val="14"/>
                <w:szCs w:val="20"/>
              </w:rPr>
              <w:t>2761.454</w:t>
            </w:r>
          </w:p>
        </w:tc>
        <w:tc>
          <w:tcPr>
            <w:tcW w:w="469" w:type="pct"/>
            <w:tcBorders>
              <w:top w:val="nil"/>
              <w:left w:val="nil"/>
              <w:bottom w:val="nil"/>
              <w:right w:val="nil"/>
            </w:tcBorders>
            <w:shd w:val="clear" w:color="auto" w:fill="auto"/>
            <w:noWrap/>
            <w:vAlign w:val="center"/>
            <w:hideMark/>
          </w:tcPr>
          <w:p w14:paraId="059FCFF3" w14:textId="77777777" w:rsidR="00184B6B" w:rsidRPr="00184B6B" w:rsidRDefault="00184B6B" w:rsidP="00184B6B">
            <w:pPr>
              <w:spacing w:line="240" w:lineRule="auto"/>
              <w:ind w:firstLine="0"/>
              <w:rPr>
                <w:sz w:val="14"/>
                <w:szCs w:val="20"/>
              </w:rPr>
            </w:pPr>
            <w:r w:rsidRPr="00184B6B">
              <w:rPr>
                <w:sz w:val="14"/>
                <w:szCs w:val="20"/>
              </w:rPr>
              <w:t>2760.594</w:t>
            </w:r>
          </w:p>
        </w:tc>
        <w:tc>
          <w:tcPr>
            <w:tcW w:w="469" w:type="pct"/>
            <w:tcBorders>
              <w:top w:val="nil"/>
              <w:left w:val="nil"/>
              <w:bottom w:val="nil"/>
              <w:right w:val="nil"/>
            </w:tcBorders>
            <w:shd w:val="clear" w:color="auto" w:fill="auto"/>
            <w:noWrap/>
            <w:vAlign w:val="center"/>
            <w:hideMark/>
          </w:tcPr>
          <w:p w14:paraId="5EF94955" w14:textId="77777777" w:rsidR="00184B6B" w:rsidRPr="00184B6B" w:rsidRDefault="00184B6B" w:rsidP="00184B6B">
            <w:pPr>
              <w:spacing w:line="240" w:lineRule="auto"/>
              <w:ind w:firstLine="0"/>
              <w:rPr>
                <w:sz w:val="14"/>
                <w:szCs w:val="20"/>
              </w:rPr>
            </w:pPr>
            <w:r w:rsidRPr="00184B6B">
              <w:rPr>
                <w:sz w:val="14"/>
                <w:szCs w:val="20"/>
              </w:rPr>
              <w:t>2760.812</w:t>
            </w:r>
          </w:p>
        </w:tc>
        <w:tc>
          <w:tcPr>
            <w:tcW w:w="466" w:type="pct"/>
            <w:tcBorders>
              <w:top w:val="nil"/>
              <w:left w:val="nil"/>
              <w:bottom w:val="nil"/>
              <w:right w:val="single" w:sz="4" w:space="0" w:color="auto"/>
            </w:tcBorders>
            <w:shd w:val="clear" w:color="auto" w:fill="auto"/>
            <w:noWrap/>
            <w:vAlign w:val="center"/>
            <w:hideMark/>
          </w:tcPr>
          <w:p w14:paraId="1C7F3A97" w14:textId="77777777" w:rsidR="00184B6B" w:rsidRPr="00184B6B" w:rsidRDefault="00184B6B" w:rsidP="00184B6B">
            <w:pPr>
              <w:spacing w:line="240" w:lineRule="auto"/>
              <w:ind w:firstLine="0"/>
              <w:rPr>
                <w:sz w:val="14"/>
                <w:szCs w:val="20"/>
              </w:rPr>
            </w:pPr>
            <w:r w:rsidRPr="00184B6B">
              <w:rPr>
                <w:sz w:val="14"/>
                <w:szCs w:val="20"/>
              </w:rPr>
              <w:t>2762.248</w:t>
            </w:r>
          </w:p>
        </w:tc>
      </w:tr>
      <w:tr w:rsidR="00184B6B" w:rsidRPr="00184B6B" w14:paraId="20C79BD1" w14:textId="77777777" w:rsidTr="00B617ED">
        <w:trPr>
          <w:trHeight w:hRule="exact" w:val="227"/>
        </w:trPr>
        <w:tc>
          <w:tcPr>
            <w:tcW w:w="1251" w:type="pct"/>
            <w:tcBorders>
              <w:top w:val="nil"/>
              <w:left w:val="single" w:sz="4" w:space="0" w:color="auto"/>
              <w:bottom w:val="single" w:sz="4" w:space="0" w:color="auto"/>
              <w:right w:val="single" w:sz="4" w:space="0" w:color="auto"/>
            </w:tcBorders>
            <w:shd w:val="clear" w:color="auto" w:fill="auto"/>
            <w:noWrap/>
            <w:vAlign w:val="center"/>
            <w:hideMark/>
          </w:tcPr>
          <w:p w14:paraId="4CB2934C" w14:textId="77777777" w:rsidR="00184B6B" w:rsidRPr="00184B6B" w:rsidRDefault="00184B6B" w:rsidP="00184B6B">
            <w:pPr>
              <w:spacing w:line="240" w:lineRule="auto"/>
              <w:ind w:firstLine="0"/>
              <w:jc w:val="left"/>
              <w:rPr>
                <w:sz w:val="14"/>
                <w:szCs w:val="20"/>
              </w:rPr>
            </w:pPr>
            <w:r w:rsidRPr="00184B6B">
              <w:rPr>
                <w:sz w:val="14"/>
                <w:szCs w:val="20"/>
              </w:rPr>
              <w:t>p &gt; Chi</w:t>
            </w:r>
            <w:r w:rsidRPr="00184B6B">
              <w:rPr>
                <w:sz w:val="14"/>
                <w:szCs w:val="20"/>
                <w:vertAlign w:val="superscript"/>
              </w:rPr>
              <w:t>2</w:t>
            </w:r>
          </w:p>
        </w:tc>
        <w:tc>
          <w:tcPr>
            <w:tcW w:w="469" w:type="pct"/>
            <w:tcBorders>
              <w:top w:val="nil"/>
              <w:left w:val="single" w:sz="4" w:space="0" w:color="auto"/>
              <w:bottom w:val="single" w:sz="4" w:space="0" w:color="auto"/>
              <w:right w:val="nil"/>
            </w:tcBorders>
            <w:shd w:val="clear" w:color="auto" w:fill="auto"/>
            <w:noWrap/>
            <w:vAlign w:val="center"/>
            <w:hideMark/>
          </w:tcPr>
          <w:p w14:paraId="79C999BB" w14:textId="77777777" w:rsidR="00184B6B" w:rsidRPr="00184B6B" w:rsidRDefault="00184B6B" w:rsidP="00184B6B">
            <w:pPr>
              <w:spacing w:line="240" w:lineRule="auto"/>
              <w:ind w:firstLine="0"/>
              <w:rPr>
                <w:sz w:val="14"/>
                <w:szCs w:val="20"/>
              </w:rPr>
            </w:pPr>
            <w:r w:rsidRPr="00184B6B">
              <w:rPr>
                <w:sz w:val="14"/>
                <w:szCs w:val="20"/>
              </w:rPr>
              <w:t>0.000</w:t>
            </w:r>
          </w:p>
        </w:tc>
        <w:tc>
          <w:tcPr>
            <w:tcW w:w="469" w:type="pct"/>
            <w:tcBorders>
              <w:top w:val="nil"/>
              <w:left w:val="nil"/>
              <w:bottom w:val="single" w:sz="4" w:space="0" w:color="auto"/>
              <w:right w:val="nil"/>
            </w:tcBorders>
            <w:shd w:val="clear" w:color="auto" w:fill="auto"/>
            <w:noWrap/>
            <w:vAlign w:val="center"/>
            <w:hideMark/>
          </w:tcPr>
          <w:p w14:paraId="461B93F1" w14:textId="77777777" w:rsidR="00184B6B" w:rsidRPr="00184B6B" w:rsidRDefault="00184B6B" w:rsidP="00184B6B">
            <w:pPr>
              <w:spacing w:line="240" w:lineRule="auto"/>
              <w:ind w:firstLine="0"/>
              <w:rPr>
                <w:sz w:val="14"/>
                <w:szCs w:val="20"/>
              </w:rPr>
            </w:pPr>
            <w:r w:rsidRPr="00184B6B">
              <w:rPr>
                <w:sz w:val="14"/>
                <w:szCs w:val="20"/>
              </w:rPr>
              <w:t>0.000</w:t>
            </w:r>
          </w:p>
        </w:tc>
        <w:tc>
          <w:tcPr>
            <w:tcW w:w="469" w:type="pct"/>
            <w:tcBorders>
              <w:top w:val="nil"/>
              <w:left w:val="nil"/>
              <w:bottom w:val="single" w:sz="4" w:space="0" w:color="auto"/>
              <w:right w:val="nil"/>
            </w:tcBorders>
            <w:shd w:val="clear" w:color="auto" w:fill="auto"/>
            <w:noWrap/>
            <w:vAlign w:val="center"/>
            <w:hideMark/>
          </w:tcPr>
          <w:p w14:paraId="2B076BE1" w14:textId="77777777" w:rsidR="00184B6B" w:rsidRPr="00184B6B" w:rsidRDefault="00184B6B" w:rsidP="00184B6B">
            <w:pPr>
              <w:spacing w:line="240" w:lineRule="auto"/>
              <w:ind w:firstLine="0"/>
              <w:rPr>
                <w:sz w:val="14"/>
                <w:szCs w:val="20"/>
              </w:rPr>
            </w:pPr>
            <w:r w:rsidRPr="00184B6B">
              <w:rPr>
                <w:sz w:val="14"/>
                <w:szCs w:val="20"/>
              </w:rPr>
              <w:t>0.000</w:t>
            </w:r>
          </w:p>
        </w:tc>
        <w:tc>
          <w:tcPr>
            <w:tcW w:w="469" w:type="pct"/>
            <w:tcBorders>
              <w:top w:val="nil"/>
              <w:left w:val="nil"/>
              <w:bottom w:val="single" w:sz="4" w:space="0" w:color="auto"/>
              <w:right w:val="single" w:sz="4" w:space="0" w:color="auto"/>
            </w:tcBorders>
            <w:shd w:val="clear" w:color="auto" w:fill="auto"/>
            <w:noWrap/>
            <w:vAlign w:val="center"/>
            <w:hideMark/>
          </w:tcPr>
          <w:p w14:paraId="56C25CB8" w14:textId="77777777" w:rsidR="00184B6B" w:rsidRPr="00184B6B" w:rsidRDefault="00184B6B" w:rsidP="00184B6B">
            <w:pPr>
              <w:spacing w:line="240" w:lineRule="auto"/>
              <w:ind w:firstLine="0"/>
              <w:rPr>
                <w:sz w:val="14"/>
                <w:szCs w:val="20"/>
              </w:rPr>
            </w:pPr>
            <w:r w:rsidRPr="00184B6B">
              <w:rPr>
                <w:sz w:val="14"/>
                <w:szCs w:val="20"/>
              </w:rPr>
              <w:t>0.000</w:t>
            </w:r>
          </w:p>
        </w:tc>
        <w:tc>
          <w:tcPr>
            <w:tcW w:w="469" w:type="pct"/>
            <w:tcBorders>
              <w:top w:val="nil"/>
              <w:left w:val="single" w:sz="4" w:space="0" w:color="auto"/>
              <w:bottom w:val="single" w:sz="4" w:space="0" w:color="auto"/>
              <w:right w:val="nil"/>
            </w:tcBorders>
            <w:shd w:val="clear" w:color="auto" w:fill="auto"/>
            <w:noWrap/>
            <w:vAlign w:val="center"/>
            <w:hideMark/>
          </w:tcPr>
          <w:p w14:paraId="796BF1B5" w14:textId="77777777" w:rsidR="00184B6B" w:rsidRPr="00184B6B" w:rsidRDefault="00184B6B" w:rsidP="00184B6B">
            <w:pPr>
              <w:spacing w:line="240" w:lineRule="auto"/>
              <w:ind w:firstLine="0"/>
              <w:rPr>
                <w:sz w:val="14"/>
                <w:szCs w:val="20"/>
              </w:rPr>
            </w:pPr>
            <w:r w:rsidRPr="00184B6B">
              <w:rPr>
                <w:sz w:val="14"/>
                <w:szCs w:val="20"/>
              </w:rPr>
              <w:t>0.000</w:t>
            </w:r>
          </w:p>
        </w:tc>
        <w:tc>
          <w:tcPr>
            <w:tcW w:w="469" w:type="pct"/>
            <w:tcBorders>
              <w:top w:val="nil"/>
              <w:left w:val="nil"/>
              <w:bottom w:val="single" w:sz="4" w:space="0" w:color="auto"/>
              <w:right w:val="nil"/>
            </w:tcBorders>
            <w:shd w:val="clear" w:color="auto" w:fill="auto"/>
            <w:noWrap/>
            <w:vAlign w:val="center"/>
            <w:hideMark/>
          </w:tcPr>
          <w:p w14:paraId="3D24980D" w14:textId="77777777" w:rsidR="00184B6B" w:rsidRPr="00184B6B" w:rsidRDefault="00184B6B" w:rsidP="00184B6B">
            <w:pPr>
              <w:spacing w:line="240" w:lineRule="auto"/>
              <w:ind w:firstLine="0"/>
              <w:rPr>
                <w:sz w:val="14"/>
                <w:szCs w:val="20"/>
              </w:rPr>
            </w:pPr>
            <w:r w:rsidRPr="00184B6B">
              <w:rPr>
                <w:sz w:val="14"/>
                <w:szCs w:val="20"/>
              </w:rPr>
              <w:t>0.000</w:t>
            </w:r>
          </w:p>
        </w:tc>
        <w:tc>
          <w:tcPr>
            <w:tcW w:w="469" w:type="pct"/>
            <w:tcBorders>
              <w:top w:val="nil"/>
              <w:left w:val="nil"/>
              <w:bottom w:val="single" w:sz="4" w:space="0" w:color="auto"/>
              <w:right w:val="nil"/>
            </w:tcBorders>
            <w:shd w:val="clear" w:color="auto" w:fill="auto"/>
            <w:noWrap/>
            <w:vAlign w:val="center"/>
            <w:hideMark/>
          </w:tcPr>
          <w:p w14:paraId="3FEA08C2" w14:textId="77777777" w:rsidR="00184B6B" w:rsidRPr="00184B6B" w:rsidRDefault="00184B6B" w:rsidP="00184B6B">
            <w:pPr>
              <w:spacing w:line="240" w:lineRule="auto"/>
              <w:ind w:firstLine="0"/>
              <w:rPr>
                <w:sz w:val="14"/>
                <w:szCs w:val="20"/>
              </w:rPr>
            </w:pPr>
            <w:r w:rsidRPr="00184B6B">
              <w:rPr>
                <w:sz w:val="14"/>
                <w:szCs w:val="20"/>
              </w:rPr>
              <w:t>0.000</w:t>
            </w:r>
          </w:p>
        </w:tc>
        <w:tc>
          <w:tcPr>
            <w:tcW w:w="466" w:type="pct"/>
            <w:tcBorders>
              <w:top w:val="nil"/>
              <w:left w:val="nil"/>
              <w:bottom w:val="single" w:sz="4" w:space="0" w:color="auto"/>
              <w:right w:val="single" w:sz="4" w:space="0" w:color="auto"/>
            </w:tcBorders>
            <w:shd w:val="clear" w:color="auto" w:fill="auto"/>
            <w:noWrap/>
            <w:vAlign w:val="center"/>
            <w:hideMark/>
          </w:tcPr>
          <w:p w14:paraId="105ED2BF" w14:textId="77777777" w:rsidR="00184B6B" w:rsidRPr="00184B6B" w:rsidRDefault="00184B6B" w:rsidP="00184B6B">
            <w:pPr>
              <w:spacing w:line="240" w:lineRule="auto"/>
              <w:ind w:firstLine="0"/>
              <w:rPr>
                <w:sz w:val="14"/>
                <w:szCs w:val="20"/>
              </w:rPr>
            </w:pPr>
            <w:r w:rsidRPr="00184B6B">
              <w:rPr>
                <w:sz w:val="14"/>
                <w:szCs w:val="20"/>
              </w:rPr>
              <w:t>0.000</w:t>
            </w:r>
          </w:p>
        </w:tc>
      </w:tr>
    </w:tbl>
    <w:p w14:paraId="24B15DC5" w14:textId="77777777" w:rsidR="00184B6B" w:rsidRPr="00184B6B" w:rsidRDefault="00184B6B" w:rsidP="00184B6B">
      <w:pPr>
        <w:spacing w:after="200" w:line="276" w:lineRule="auto"/>
        <w:ind w:firstLine="0"/>
        <w:jc w:val="left"/>
        <w:rPr>
          <w:rFonts w:eastAsiaTheme="minorHAnsi"/>
          <w:sz w:val="20"/>
          <w:szCs w:val="18"/>
          <w:lang w:eastAsia="en-US"/>
        </w:rPr>
      </w:pPr>
    </w:p>
    <w:p w14:paraId="436714ED" w14:textId="77777777" w:rsidR="00184B6B" w:rsidRPr="00184B6B" w:rsidRDefault="00184B6B" w:rsidP="00184B6B">
      <w:pPr>
        <w:spacing w:after="200" w:line="276" w:lineRule="auto"/>
        <w:ind w:firstLine="0"/>
        <w:jc w:val="left"/>
        <w:rPr>
          <w:rFonts w:eastAsiaTheme="minorHAnsi"/>
          <w:sz w:val="18"/>
          <w:szCs w:val="18"/>
          <w:lang w:eastAsia="en-US"/>
        </w:rPr>
      </w:pPr>
      <w:r w:rsidRPr="00184B6B">
        <w:rPr>
          <w:rFonts w:eastAsiaTheme="minorHAnsi"/>
          <w:sz w:val="18"/>
          <w:szCs w:val="18"/>
          <w:lang w:eastAsia="en-US"/>
        </w:rPr>
        <w:t xml:space="preserve">Notes: *** p&lt;0.01, ** p&lt;0.05, * p&lt;0.1, robust standard errors in parentheses. </w:t>
      </w:r>
      <w:r w:rsidRPr="00184B6B">
        <w:rPr>
          <w:rFonts w:eastAsiaTheme="minorHAnsi"/>
          <w:color w:val="auto"/>
          <w:sz w:val="18"/>
          <w:szCs w:val="18"/>
          <w:lang w:eastAsia="en-US"/>
        </w:rPr>
        <w:t>Reference groups: secondary education, 1</w:t>
      </w:r>
      <w:r w:rsidRPr="00184B6B">
        <w:rPr>
          <w:rFonts w:eastAsiaTheme="minorHAnsi"/>
          <w:color w:val="auto"/>
          <w:sz w:val="18"/>
          <w:szCs w:val="18"/>
          <w:vertAlign w:val="superscript"/>
          <w:lang w:eastAsia="en-US"/>
        </w:rPr>
        <w:t>st</w:t>
      </w:r>
      <w:r w:rsidRPr="00184B6B">
        <w:rPr>
          <w:rFonts w:eastAsiaTheme="minorHAnsi"/>
          <w:color w:val="auto"/>
          <w:sz w:val="18"/>
          <w:szCs w:val="18"/>
          <w:lang w:eastAsia="en-US"/>
        </w:rPr>
        <w:t xml:space="preserve"> income quintile, Orthodox, living in Serbia, interviewed in year 2009. </w:t>
      </w:r>
    </w:p>
    <w:p w14:paraId="649A9113" w14:textId="77777777" w:rsidR="00184B6B" w:rsidRPr="00184B6B" w:rsidRDefault="00184B6B" w:rsidP="00184B6B">
      <w:pPr>
        <w:spacing w:after="200" w:line="276" w:lineRule="auto"/>
        <w:ind w:firstLine="0"/>
        <w:jc w:val="left"/>
        <w:rPr>
          <w:rFonts w:eastAsiaTheme="minorHAnsi"/>
          <w:color w:val="auto"/>
          <w:sz w:val="22"/>
          <w:szCs w:val="22"/>
          <w:lang w:eastAsia="en-US"/>
        </w:rPr>
      </w:pPr>
    </w:p>
    <w:p w14:paraId="18BC82F6"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br w:type="page"/>
      </w:r>
    </w:p>
    <w:p w14:paraId="12F8D0EA"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lastRenderedPageBreak/>
        <w:t>Table A3: Complete econometric output for Table 2 (this table reports probit coefficients and not the marginal effects)</w:t>
      </w:r>
    </w:p>
    <w:tbl>
      <w:tblPr>
        <w:tblW w:w="4125" w:type="pct"/>
        <w:tblLook w:val="04A0" w:firstRow="1" w:lastRow="0" w:firstColumn="1" w:lastColumn="0" w:noHBand="0" w:noVBand="1"/>
      </w:tblPr>
      <w:tblGrid>
        <w:gridCol w:w="3092"/>
        <w:gridCol w:w="1089"/>
        <w:gridCol w:w="1089"/>
        <w:gridCol w:w="1089"/>
        <w:gridCol w:w="1087"/>
      </w:tblGrid>
      <w:tr w:rsidR="00184B6B" w:rsidRPr="00184B6B" w14:paraId="1E5E5E54" w14:textId="77777777" w:rsidTr="00B617ED">
        <w:trPr>
          <w:trHeight w:val="300"/>
        </w:trPr>
        <w:tc>
          <w:tcPr>
            <w:tcW w:w="2077" w:type="pct"/>
            <w:tcBorders>
              <w:top w:val="single" w:sz="4" w:space="0" w:color="auto"/>
              <w:left w:val="nil"/>
              <w:bottom w:val="single" w:sz="4" w:space="0" w:color="auto"/>
              <w:right w:val="nil"/>
            </w:tcBorders>
            <w:shd w:val="clear" w:color="auto" w:fill="auto"/>
            <w:noWrap/>
            <w:vAlign w:val="bottom"/>
            <w:hideMark/>
          </w:tcPr>
          <w:p w14:paraId="6E7367AA" w14:textId="77777777" w:rsidR="00184B6B" w:rsidRPr="00184B6B" w:rsidRDefault="00184B6B" w:rsidP="00184B6B">
            <w:pPr>
              <w:spacing w:line="240" w:lineRule="auto"/>
              <w:ind w:firstLine="0"/>
              <w:jc w:val="left"/>
              <w:rPr>
                <w:sz w:val="20"/>
                <w:szCs w:val="22"/>
              </w:rPr>
            </w:pPr>
          </w:p>
        </w:tc>
        <w:tc>
          <w:tcPr>
            <w:tcW w:w="2923" w:type="pct"/>
            <w:gridSpan w:val="4"/>
            <w:tcBorders>
              <w:top w:val="single" w:sz="4" w:space="0" w:color="auto"/>
              <w:left w:val="nil"/>
              <w:bottom w:val="single" w:sz="4" w:space="0" w:color="auto"/>
              <w:right w:val="nil"/>
            </w:tcBorders>
            <w:shd w:val="clear" w:color="auto" w:fill="auto"/>
            <w:noWrap/>
            <w:vAlign w:val="bottom"/>
            <w:hideMark/>
          </w:tcPr>
          <w:p w14:paraId="5C5CC99C" w14:textId="77777777" w:rsidR="00184B6B" w:rsidRPr="00184B6B" w:rsidRDefault="00184B6B" w:rsidP="00184B6B">
            <w:pPr>
              <w:spacing w:line="240" w:lineRule="auto"/>
              <w:ind w:firstLine="0"/>
              <w:rPr>
                <w:color w:val="auto"/>
                <w:sz w:val="32"/>
              </w:rPr>
            </w:pPr>
            <w:r w:rsidRPr="00184B6B">
              <w:rPr>
                <w:sz w:val="22"/>
                <w:szCs w:val="18"/>
              </w:rPr>
              <w:t xml:space="preserve">Dependent variable: </w:t>
            </w:r>
          </w:p>
          <w:p w14:paraId="6EAF5264" w14:textId="77777777" w:rsidR="00184B6B" w:rsidRPr="00184B6B" w:rsidRDefault="00184B6B" w:rsidP="00184B6B">
            <w:pPr>
              <w:spacing w:line="240" w:lineRule="auto"/>
              <w:ind w:firstLine="0"/>
              <w:rPr>
                <w:color w:val="auto"/>
                <w:sz w:val="32"/>
              </w:rPr>
            </w:pPr>
            <w:r w:rsidRPr="00184B6B">
              <w:rPr>
                <w:sz w:val="22"/>
                <w:szCs w:val="18"/>
              </w:rPr>
              <w:t xml:space="preserve">Well informed about the EU; </w:t>
            </w:r>
          </w:p>
          <w:p w14:paraId="56F8B5AC" w14:textId="77777777" w:rsidR="00184B6B" w:rsidRPr="00184B6B" w:rsidRDefault="00184B6B" w:rsidP="00184B6B">
            <w:pPr>
              <w:spacing w:line="240" w:lineRule="auto"/>
              <w:ind w:firstLine="0"/>
              <w:rPr>
                <w:sz w:val="20"/>
                <w:szCs w:val="22"/>
              </w:rPr>
            </w:pPr>
            <w:r w:rsidRPr="00184B6B">
              <w:rPr>
                <w:sz w:val="22"/>
                <w:szCs w:val="18"/>
              </w:rPr>
              <w:t>ordered probit coefficients</w:t>
            </w:r>
          </w:p>
        </w:tc>
      </w:tr>
      <w:tr w:rsidR="00184B6B" w:rsidRPr="00184B6B" w14:paraId="4AFEF352" w14:textId="77777777" w:rsidTr="00B617ED">
        <w:trPr>
          <w:trHeight w:val="300"/>
        </w:trPr>
        <w:tc>
          <w:tcPr>
            <w:tcW w:w="2077" w:type="pct"/>
            <w:tcBorders>
              <w:top w:val="single" w:sz="4" w:space="0" w:color="auto"/>
              <w:left w:val="nil"/>
              <w:bottom w:val="single" w:sz="4" w:space="0" w:color="auto"/>
              <w:right w:val="nil"/>
            </w:tcBorders>
            <w:shd w:val="clear" w:color="auto" w:fill="auto"/>
            <w:noWrap/>
            <w:vAlign w:val="bottom"/>
            <w:hideMark/>
          </w:tcPr>
          <w:p w14:paraId="25558400" w14:textId="77777777" w:rsidR="00184B6B" w:rsidRPr="00184B6B" w:rsidRDefault="00184B6B" w:rsidP="00184B6B">
            <w:pPr>
              <w:spacing w:line="240" w:lineRule="auto"/>
              <w:ind w:firstLine="0"/>
              <w:jc w:val="left"/>
              <w:rPr>
                <w:sz w:val="20"/>
                <w:szCs w:val="22"/>
              </w:rPr>
            </w:pPr>
          </w:p>
        </w:tc>
        <w:tc>
          <w:tcPr>
            <w:tcW w:w="731" w:type="pct"/>
            <w:tcBorders>
              <w:top w:val="single" w:sz="4" w:space="0" w:color="auto"/>
              <w:left w:val="nil"/>
              <w:bottom w:val="single" w:sz="4" w:space="0" w:color="auto"/>
              <w:right w:val="nil"/>
            </w:tcBorders>
            <w:shd w:val="clear" w:color="auto" w:fill="auto"/>
            <w:noWrap/>
            <w:vAlign w:val="bottom"/>
            <w:hideMark/>
          </w:tcPr>
          <w:p w14:paraId="5CB5B26A" w14:textId="77777777" w:rsidR="00184B6B" w:rsidRPr="00184B6B" w:rsidRDefault="00184B6B" w:rsidP="00184B6B">
            <w:pPr>
              <w:spacing w:line="240" w:lineRule="auto"/>
              <w:ind w:firstLine="0"/>
              <w:rPr>
                <w:sz w:val="20"/>
                <w:szCs w:val="22"/>
              </w:rPr>
            </w:pPr>
            <w:r w:rsidRPr="00184B6B">
              <w:rPr>
                <w:sz w:val="20"/>
                <w:szCs w:val="22"/>
              </w:rPr>
              <w:t>(1)</w:t>
            </w:r>
          </w:p>
        </w:tc>
        <w:tc>
          <w:tcPr>
            <w:tcW w:w="731" w:type="pct"/>
            <w:tcBorders>
              <w:top w:val="single" w:sz="4" w:space="0" w:color="auto"/>
              <w:left w:val="nil"/>
              <w:bottom w:val="single" w:sz="4" w:space="0" w:color="auto"/>
              <w:right w:val="nil"/>
            </w:tcBorders>
            <w:shd w:val="clear" w:color="auto" w:fill="auto"/>
            <w:noWrap/>
            <w:vAlign w:val="bottom"/>
            <w:hideMark/>
          </w:tcPr>
          <w:p w14:paraId="418A721C" w14:textId="77777777" w:rsidR="00184B6B" w:rsidRPr="00184B6B" w:rsidRDefault="00184B6B" w:rsidP="00184B6B">
            <w:pPr>
              <w:spacing w:line="240" w:lineRule="auto"/>
              <w:ind w:firstLine="0"/>
              <w:rPr>
                <w:sz w:val="20"/>
                <w:szCs w:val="22"/>
              </w:rPr>
            </w:pPr>
            <w:r w:rsidRPr="00184B6B">
              <w:rPr>
                <w:sz w:val="20"/>
                <w:szCs w:val="22"/>
              </w:rPr>
              <w:t>(2)</w:t>
            </w:r>
          </w:p>
        </w:tc>
        <w:tc>
          <w:tcPr>
            <w:tcW w:w="731" w:type="pct"/>
            <w:tcBorders>
              <w:top w:val="single" w:sz="4" w:space="0" w:color="auto"/>
              <w:left w:val="nil"/>
              <w:bottom w:val="single" w:sz="4" w:space="0" w:color="auto"/>
              <w:right w:val="nil"/>
            </w:tcBorders>
            <w:shd w:val="clear" w:color="auto" w:fill="auto"/>
            <w:noWrap/>
            <w:vAlign w:val="bottom"/>
            <w:hideMark/>
          </w:tcPr>
          <w:p w14:paraId="774881B2" w14:textId="77777777" w:rsidR="00184B6B" w:rsidRPr="00184B6B" w:rsidRDefault="00184B6B" w:rsidP="00184B6B">
            <w:pPr>
              <w:spacing w:line="240" w:lineRule="auto"/>
              <w:ind w:firstLine="0"/>
              <w:rPr>
                <w:sz w:val="20"/>
                <w:szCs w:val="22"/>
              </w:rPr>
            </w:pPr>
            <w:r w:rsidRPr="00184B6B">
              <w:rPr>
                <w:sz w:val="20"/>
                <w:szCs w:val="22"/>
              </w:rPr>
              <w:t>(3)</w:t>
            </w:r>
          </w:p>
        </w:tc>
        <w:tc>
          <w:tcPr>
            <w:tcW w:w="730" w:type="pct"/>
            <w:tcBorders>
              <w:top w:val="single" w:sz="4" w:space="0" w:color="auto"/>
              <w:left w:val="nil"/>
              <w:bottom w:val="single" w:sz="4" w:space="0" w:color="auto"/>
              <w:right w:val="nil"/>
            </w:tcBorders>
            <w:shd w:val="clear" w:color="auto" w:fill="auto"/>
            <w:noWrap/>
            <w:vAlign w:val="bottom"/>
            <w:hideMark/>
          </w:tcPr>
          <w:p w14:paraId="33A48E97" w14:textId="77777777" w:rsidR="00184B6B" w:rsidRPr="00184B6B" w:rsidRDefault="00184B6B" w:rsidP="00184B6B">
            <w:pPr>
              <w:spacing w:line="240" w:lineRule="auto"/>
              <w:ind w:firstLine="0"/>
              <w:rPr>
                <w:sz w:val="20"/>
                <w:szCs w:val="22"/>
              </w:rPr>
            </w:pPr>
            <w:r w:rsidRPr="00184B6B">
              <w:rPr>
                <w:sz w:val="20"/>
                <w:szCs w:val="22"/>
              </w:rPr>
              <w:t>(4)</w:t>
            </w:r>
          </w:p>
        </w:tc>
      </w:tr>
      <w:tr w:rsidR="00184B6B" w:rsidRPr="00184B6B" w14:paraId="49000D3B" w14:textId="77777777" w:rsidTr="00B617ED">
        <w:trPr>
          <w:trHeight w:val="300"/>
        </w:trPr>
        <w:tc>
          <w:tcPr>
            <w:tcW w:w="2077" w:type="pct"/>
            <w:tcBorders>
              <w:top w:val="single" w:sz="4" w:space="0" w:color="auto"/>
              <w:left w:val="nil"/>
              <w:bottom w:val="nil"/>
              <w:right w:val="nil"/>
            </w:tcBorders>
            <w:shd w:val="clear" w:color="auto" w:fill="auto"/>
            <w:noWrap/>
            <w:vAlign w:val="bottom"/>
            <w:hideMark/>
          </w:tcPr>
          <w:p w14:paraId="31C98108" w14:textId="77777777" w:rsidR="00184B6B" w:rsidRPr="00184B6B" w:rsidRDefault="00184B6B" w:rsidP="00184B6B">
            <w:pPr>
              <w:spacing w:line="240" w:lineRule="auto"/>
              <w:ind w:firstLine="0"/>
              <w:jc w:val="left"/>
              <w:rPr>
                <w:sz w:val="20"/>
                <w:szCs w:val="22"/>
              </w:rPr>
            </w:pPr>
            <w:r w:rsidRPr="00184B6B">
              <w:rPr>
                <w:sz w:val="20"/>
                <w:szCs w:val="22"/>
              </w:rPr>
              <w:t>Intentions to move to the EU</w:t>
            </w:r>
          </w:p>
        </w:tc>
        <w:tc>
          <w:tcPr>
            <w:tcW w:w="731" w:type="pct"/>
            <w:tcBorders>
              <w:top w:val="single" w:sz="4" w:space="0" w:color="auto"/>
              <w:left w:val="nil"/>
              <w:bottom w:val="nil"/>
              <w:right w:val="nil"/>
            </w:tcBorders>
            <w:shd w:val="clear" w:color="auto" w:fill="auto"/>
            <w:noWrap/>
            <w:vAlign w:val="bottom"/>
            <w:hideMark/>
          </w:tcPr>
          <w:p w14:paraId="1A67ED7F" w14:textId="77777777" w:rsidR="00184B6B" w:rsidRPr="00184B6B" w:rsidRDefault="00184B6B" w:rsidP="00184B6B">
            <w:pPr>
              <w:spacing w:line="240" w:lineRule="auto"/>
              <w:ind w:firstLine="0"/>
              <w:rPr>
                <w:sz w:val="20"/>
                <w:szCs w:val="22"/>
              </w:rPr>
            </w:pPr>
            <w:r w:rsidRPr="00184B6B">
              <w:rPr>
                <w:sz w:val="20"/>
                <w:szCs w:val="22"/>
              </w:rPr>
              <w:t>-0.031</w:t>
            </w:r>
          </w:p>
        </w:tc>
        <w:tc>
          <w:tcPr>
            <w:tcW w:w="731" w:type="pct"/>
            <w:tcBorders>
              <w:top w:val="single" w:sz="4" w:space="0" w:color="auto"/>
              <w:left w:val="nil"/>
              <w:bottom w:val="nil"/>
              <w:right w:val="nil"/>
            </w:tcBorders>
            <w:shd w:val="clear" w:color="auto" w:fill="auto"/>
            <w:noWrap/>
            <w:vAlign w:val="bottom"/>
            <w:hideMark/>
          </w:tcPr>
          <w:p w14:paraId="200ECF98"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single" w:sz="4" w:space="0" w:color="auto"/>
              <w:left w:val="nil"/>
              <w:bottom w:val="nil"/>
              <w:right w:val="nil"/>
            </w:tcBorders>
            <w:shd w:val="clear" w:color="auto" w:fill="auto"/>
            <w:noWrap/>
            <w:vAlign w:val="bottom"/>
            <w:hideMark/>
          </w:tcPr>
          <w:p w14:paraId="733EC55E" w14:textId="77777777" w:rsidR="00184B6B" w:rsidRPr="00184B6B" w:rsidRDefault="00184B6B" w:rsidP="00184B6B">
            <w:pPr>
              <w:spacing w:line="240" w:lineRule="auto"/>
              <w:ind w:firstLine="0"/>
              <w:rPr>
                <w:sz w:val="20"/>
                <w:szCs w:val="22"/>
              </w:rPr>
            </w:pPr>
            <w:r w:rsidRPr="00184B6B">
              <w:rPr>
                <w:sz w:val="20"/>
                <w:szCs w:val="22"/>
              </w:rPr>
              <w:t>-</w:t>
            </w:r>
          </w:p>
        </w:tc>
        <w:tc>
          <w:tcPr>
            <w:tcW w:w="730" w:type="pct"/>
            <w:tcBorders>
              <w:top w:val="single" w:sz="4" w:space="0" w:color="auto"/>
              <w:left w:val="nil"/>
              <w:bottom w:val="nil"/>
              <w:right w:val="nil"/>
            </w:tcBorders>
            <w:shd w:val="clear" w:color="auto" w:fill="auto"/>
            <w:noWrap/>
            <w:vAlign w:val="bottom"/>
            <w:hideMark/>
          </w:tcPr>
          <w:p w14:paraId="4A26AE78" w14:textId="77777777" w:rsidR="00184B6B" w:rsidRPr="00184B6B" w:rsidRDefault="00184B6B" w:rsidP="00184B6B">
            <w:pPr>
              <w:spacing w:line="240" w:lineRule="auto"/>
              <w:ind w:firstLine="0"/>
              <w:rPr>
                <w:sz w:val="20"/>
                <w:szCs w:val="22"/>
              </w:rPr>
            </w:pPr>
            <w:r w:rsidRPr="00184B6B">
              <w:rPr>
                <w:sz w:val="20"/>
                <w:szCs w:val="22"/>
              </w:rPr>
              <w:t>-0.056*</w:t>
            </w:r>
          </w:p>
        </w:tc>
      </w:tr>
      <w:tr w:rsidR="00184B6B" w:rsidRPr="00184B6B" w14:paraId="44BB59CB" w14:textId="77777777" w:rsidTr="00B617ED">
        <w:trPr>
          <w:trHeight w:val="300"/>
        </w:trPr>
        <w:tc>
          <w:tcPr>
            <w:tcW w:w="2077" w:type="pct"/>
            <w:tcBorders>
              <w:top w:val="nil"/>
              <w:left w:val="nil"/>
              <w:bottom w:val="nil"/>
              <w:right w:val="nil"/>
            </w:tcBorders>
            <w:shd w:val="clear" w:color="auto" w:fill="auto"/>
            <w:noWrap/>
            <w:vAlign w:val="bottom"/>
            <w:hideMark/>
          </w:tcPr>
          <w:p w14:paraId="22086FE5"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38B96767" w14:textId="77777777" w:rsidR="00184B6B" w:rsidRPr="00184B6B" w:rsidRDefault="00184B6B" w:rsidP="00184B6B">
            <w:pPr>
              <w:spacing w:line="240" w:lineRule="auto"/>
              <w:ind w:firstLine="0"/>
              <w:rPr>
                <w:sz w:val="20"/>
                <w:szCs w:val="22"/>
              </w:rPr>
            </w:pPr>
            <w:r w:rsidRPr="00184B6B">
              <w:rPr>
                <w:sz w:val="20"/>
                <w:szCs w:val="22"/>
              </w:rPr>
              <w:t>(0.032)</w:t>
            </w:r>
          </w:p>
        </w:tc>
        <w:tc>
          <w:tcPr>
            <w:tcW w:w="731" w:type="pct"/>
            <w:tcBorders>
              <w:top w:val="nil"/>
              <w:left w:val="nil"/>
              <w:bottom w:val="nil"/>
              <w:right w:val="nil"/>
            </w:tcBorders>
            <w:shd w:val="clear" w:color="auto" w:fill="auto"/>
            <w:noWrap/>
            <w:vAlign w:val="bottom"/>
            <w:hideMark/>
          </w:tcPr>
          <w:p w14:paraId="3BC0B1A3"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6A6B7E2C" w14:textId="77777777" w:rsidR="00184B6B" w:rsidRPr="00184B6B" w:rsidRDefault="00184B6B" w:rsidP="00184B6B">
            <w:pPr>
              <w:spacing w:line="240" w:lineRule="auto"/>
              <w:ind w:firstLine="0"/>
              <w:rPr>
                <w:sz w:val="20"/>
                <w:szCs w:val="22"/>
              </w:rPr>
            </w:pPr>
            <w:r w:rsidRPr="00184B6B">
              <w:rPr>
                <w:sz w:val="20"/>
                <w:szCs w:val="22"/>
              </w:rPr>
              <w:t>-</w:t>
            </w:r>
          </w:p>
        </w:tc>
        <w:tc>
          <w:tcPr>
            <w:tcW w:w="730" w:type="pct"/>
            <w:tcBorders>
              <w:top w:val="nil"/>
              <w:left w:val="nil"/>
              <w:bottom w:val="nil"/>
              <w:right w:val="nil"/>
            </w:tcBorders>
            <w:shd w:val="clear" w:color="auto" w:fill="auto"/>
            <w:noWrap/>
            <w:vAlign w:val="bottom"/>
            <w:hideMark/>
          </w:tcPr>
          <w:p w14:paraId="38D45486" w14:textId="77777777" w:rsidR="00184B6B" w:rsidRPr="00184B6B" w:rsidRDefault="00184B6B" w:rsidP="00184B6B">
            <w:pPr>
              <w:spacing w:line="240" w:lineRule="auto"/>
              <w:ind w:firstLine="0"/>
              <w:rPr>
                <w:sz w:val="20"/>
                <w:szCs w:val="22"/>
              </w:rPr>
            </w:pPr>
            <w:r w:rsidRPr="00184B6B">
              <w:rPr>
                <w:sz w:val="20"/>
                <w:szCs w:val="22"/>
              </w:rPr>
              <w:t>(0.032)</w:t>
            </w:r>
          </w:p>
        </w:tc>
      </w:tr>
      <w:tr w:rsidR="00184B6B" w:rsidRPr="00184B6B" w14:paraId="01897423" w14:textId="77777777" w:rsidTr="00B617ED">
        <w:trPr>
          <w:trHeight w:val="300"/>
        </w:trPr>
        <w:tc>
          <w:tcPr>
            <w:tcW w:w="2077" w:type="pct"/>
            <w:tcBorders>
              <w:top w:val="nil"/>
              <w:left w:val="nil"/>
              <w:bottom w:val="nil"/>
              <w:right w:val="nil"/>
            </w:tcBorders>
            <w:shd w:val="clear" w:color="auto" w:fill="auto"/>
            <w:noWrap/>
            <w:vAlign w:val="bottom"/>
            <w:hideMark/>
          </w:tcPr>
          <w:p w14:paraId="627094AA" w14:textId="77777777" w:rsidR="00184B6B" w:rsidRPr="00184B6B" w:rsidRDefault="00184B6B" w:rsidP="00184B6B">
            <w:pPr>
              <w:spacing w:line="240" w:lineRule="auto"/>
              <w:ind w:firstLine="0"/>
              <w:jc w:val="left"/>
              <w:rPr>
                <w:sz w:val="20"/>
                <w:szCs w:val="22"/>
              </w:rPr>
            </w:pPr>
            <w:r w:rsidRPr="00184B6B">
              <w:rPr>
                <w:sz w:val="20"/>
                <w:szCs w:val="22"/>
              </w:rPr>
              <w:t>Relatives in the EU</w:t>
            </w:r>
          </w:p>
        </w:tc>
        <w:tc>
          <w:tcPr>
            <w:tcW w:w="731" w:type="pct"/>
            <w:tcBorders>
              <w:top w:val="nil"/>
              <w:left w:val="nil"/>
              <w:bottom w:val="nil"/>
              <w:right w:val="nil"/>
            </w:tcBorders>
            <w:shd w:val="clear" w:color="auto" w:fill="auto"/>
            <w:noWrap/>
            <w:vAlign w:val="bottom"/>
            <w:hideMark/>
          </w:tcPr>
          <w:p w14:paraId="14042862"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7E8DFD48" w14:textId="77777777" w:rsidR="00184B6B" w:rsidRPr="00184B6B" w:rsidRDefault="00184B6B" w:rsidP="00184B6B">
            <w:pPr>
              <w:spacing w:line="240" w:lineRule="auto"/>
              <w:ind w:firstLine="0"/>
              <w:rPr>
                <w:sz w:val="20"/>
                <w:szCs w:val="22"/>
              </w:rPr>
            </w:pPr>
            <w:r w:rsidRPr="00184B6B">
              <w:rPr>
                <w:sz w:val="20"/>
                <w:szCs w:val="22"/>
              </w:rPr>
              <w:t>0.029</w:t>
            </w:r>
          </w:p>
        </w:tc>
        <w:tc>
          <w:tcPr>
            <w:tcW w:w="731" w:type="pct"/>
            <w:tcBorders>
              <w:top w:val="nil"/>
              <w:left w:val="nil"/>
              <w:bottom w:val="nil"/>
              <w:right w:val="nil"/>
            </w:tcBorders>
            <w:shd w:val="clear" w:color="auto" w:fill="auto"/>
            <w:noWrap/>
            <w:vAlign w:val="bottom"/>
            <w:hideMark/>
          </w:tcPr>
          <w:p w14:paraId="283AB083" w14:textId="77777777" w:rsidR="00184B6B" w:rsidRPr="00184B6B" w:rsidRDefault="00184B6B" w:rsidP="00184B6B">
            <w:pPr>
              <w:spacing w:line="240" w:lineRule="auto"/>
              <w:ind w:firstLine="0"/>
              <w:rPr>
                <w:sz w:val="20"/>
                <w:szCs w:val="22"/>
              </w:rPr>
            </w:pPr>
            <w:r w:rsidRPr="00184B6B">
              <w:rPr>
                <w:sz w:val="20"/>
                <w:szCs w:val="22"/>
              </w:rPr>
              <w:t>-</w:t>
            </w:r>
          </w:p>
        </w:tc>
        <w:tc>
          <w:tcPr>
            <w:tcW w:w="730" w:type="pct"/>
            <w:tcBorders>
              <w:top w:val="nil"/>
              <w:left w:val="nil"/>
              <w:bottom w:val="nil"/>
              <w:right w:val="nil"/>
            </w:tcBorders>
            <w:shd w:val="clear" w:color="auto" w:fill="auto"/>
            <w:noWrap/>
            <w:vAlign w:val="bottom"/>
            <w:hideMark/>
          </w:tcPr>
          <w:p w14:paraId="6E926715" w14:textId="77777777" w:rsidR="00184B6B" w:rsidRPr="00184B6B" w:rsidRDefault="00184B6B" w:rsidP="00184B6B">
            <w:pPr>
              <w:spacing w:line="240" w:lineRule="auto"/>
              <w:ind w:firstLine="0"/>
              <w:rPr>
                <w:sz w:val="20"/>
                <w:szCs w:val="22"/>
              </w:rPr>
            </w:pPr>
            <w:r w:rsidRPr="00184B6B">
              <w:rPr>
                <w:sz w:val="20"/>
                <w:szCs w:val="22"/>
              </w:rPr>
              <w:t>0.019</w:t>
            </w:r>
          </w:p>
        </w:tc>
      </w:tr>
      <w:tr w:rsidR="00184B6B" w:rsidRPr="00184B6B" w14:paraId="5FF20DF5" w14:textId="77777777" w:rsidTr="00B617ED">
        <w:trPr>
          <w:trHeight w:val="300"/>
        </w:trPr>
        <w:tc>
          <w:tcPr>
            <w:tcW w:w="2077" w:type="pct"/>
            <w:tcBorders>
              <w:top w:val="nil"/>
              <w:left w:val="nil"/>
              <w:bottom w:val="nil"/>
              <w:right w:val="nil"/>
            </w:tcBorders>
            <w:shd w:val="clear" w:color="auto" w:fill="auto"/>
            <w:noWrap/>
            <w:vAlign w:val="bottom"/>
            <w:hideMark/>
          </w:tcPr>
          <w:p w14:paraId="11391E96"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575718FD"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4366859A" w14:textId="77777777" w:rsidR="00184B6B" w:rsidRPr="00184B6B" w:rsidRDefault="00184B6B" w:rsidP="00184B6B">
            <w:pPr>
              <w:spacing w:line="240" w:lineRule="auto"/>
              <w:ind w:firstLine="0"/>
              <w:rPr>
                <w:sz w:val="20"/>
                <w:szCs w:val="22"/>
              </w:rPr>
            </w:pPr>
            <w:r w:rsidRPr="00184B6B">
              <w:rPr>
                <w:sz w:val="20"/>
                <w:szCs w:val="22"/>
              </w:rPr>
              <w:t>(0.024)</w:t>
            </w:r>
          </w:p>
        </w:tc>
        <w:tc>
          <w:tcPr>
            <w:tcW w:w="731" w:type="pct"/>
            <w:tcBorders>
              <w:top w:val="nil"/>
              <w:left w:val="nil"/>
              <w:bottom w:val="nil"/>
              <w:right w:val="nil"/>
            </w:tcBorders>
            <w:shd w:val="clear" w:color="auto" w:fill="auto"/>
            <w:noWrap/>
            <w:vAlign w:val="bottom"/>
            <w:hideMark/>
          </w:tcPr>
          <w:p w14:paraId="4F204574" w14:textId="77777777" w:rsidR="00184B6B" w:rsidRPr="00184B6B" w:rsidRDefault="00184B6B" w:rsidP="00184B6B">
            <w:pPr>
              <w:spacing w:line="240" w:lineRule="auto"/>
              <w:ind w:firstLine="0"/>
              <w:rPr>
                <w:sz w:val="20"/>
                <w:szCs w:val="22"/>
              </w:rPr>
            </w:pPr>
            <w:r w:rsidRPr="00184B6B">
              <w:rPr>
                <w:sz w:val="20"/>
                <w:szCs w:val="22"/>
              </w:rPr>
              <w:t>-</w:t>
            </w:r>
          </w:p>
        </w:tc>
        <w:tc>
          <w:tcPr>
            <w:tcW w:w="730" w:type="pct"/>
            <w:tcBorders>
              <w:top w:val="nil"/>
              <w:left w:val="nil"/>
              <w:bottom w:val="nil"/>
              <w:right w:val="nil"/>
            </w:tcBorders>
            <w:shd w:val="clear" w:color="auto" w:fill="auto"/>
            <w:noWrap/>
            <w:vAlign w:val="bottom"/>
            <w:hideMark/>
          </w:tcPr>
          <w:p w14:paraId="24154B2F" w14:textId="77777777" w:rsidR="00184B6B" w:rsidRPr="00184B6B" w:rsidRDefault="00184B6B" w:rsidP="00184B6B">
            <w:pPr>
              <w:spacing w:line="240" w:lineRule="auto"/>
              <w:ind w:firstLine="0"/>
              <w:rPr>
                <w:sz w:val="20"/>
                <w:szCs w:val="22"/>
              </w:rPr>
            </w:pPr>
            <w:r w:rsidRPr="00184B6B">
              <w:rPr>
                <w:sz w:val="20"/>
                <w:szCs w:val="22"/>
              </w:rPr>
              <w:t>(0.025)</w:t>
            </w:r>
          </w:p>
        </w:tc>
      </w:tr>
      <w:tr w:rsidR="00184B6B" w:rsidRPr="00184B6B" w14:paraId="0978BCD8" w14:textId="77777777" w:rsidTr="00B617ED">
        <w:trPr>
          <w:trHeight w:val="300"/>
        </w:trPr>
        <w:tc>
          <w:tcPr>
            <w:tcW w:w="2077" w:type="pct"/>
            <w:tcBorders>
              <w:top w:val="nil"/>
              <w:left w:val="nil"/>
              <w:bottom w:val="nil"/>
              <w:right w:val="nil"/>
            </w:tcBorders>
            <w:shd w:val="clear" w:color="auto" w:fill="auto"/>
            <w:noWrap/>
            <w:vAlign w:val="bottom"/>
            <w:hideMark/>
          </w:tcPr>
          <w:p w14:paraId="640E5F92" w14:textId="77777777" w:rsidR="00184B6B" w:rsidRPr="00184B6B" w:rsidRDefault="00184B6B" w:rsidP="00184B6B">
            <w:pPr>
              <w:spacing w:line="240" w:lineRule="auto"/>
              <w:ind w:firstLine="0"/>
              <w:jc w:val="left"/>
              <w:rPr>
                <w:sz w:val="20"/>
                <w:szCs w:val="22"/>
              </w:rPr>
            </w:pPr>
            <w:r w:rsidRPr="00184B6B">
              <w:rPr>
                <w:sz w:val="20"/>
                <w:szCs w:val="22"/>
              </w:rPr>
              <w:t>EU return migrant</w:t>
            </w:r>
          </w:p>
        </w:tc>
        <w:tc>
          <w:tcPr>
            <w:tcW w:w="731" w:type="pct"/>
            <w:tcBorders>
              <w:top w:val="nil"/>
              <w:left w:val="nil"/>
              <w:bottom w:val="nil"/>
              <w:right w:val="nil"/>
            </w:tcBorders>
            <w:shd w:val="clear" w:color="auto" w:fill="auto"/>
            <w:noWrap/>
            <w:vAlign w:val="bottom"/>
            <w:hideMark/>
          </w:tcPr>
          <w:p w14:paraId="16754FA4"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2D7CF3C3"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2DA0479F" w14:textId="77777777" w:rsidR="00184B6B" w:rsidRPr="00184B6B" w:rsidRDefault="00184B6B" w:rsidP="00184B6B">
            <w:pPr>
              <w:spacing w:line="240" w:lineRule="auto"/>
              <w:ind w:firstLine="0"/>
              <w:rPr>
                <w:sz w:val="20"/>
                <w:szCs w:val="22"/>
              </w:rPr>
            </w:pPr>
            <w:r w:rsidRPr="00184B6B">
              <w:rPr>
                <w:sz w:val="20"/>
                <w:szCs w:val="22"/>
              </w:rPr>
              <w:t>0.226***</w:t>
            </w:r>
          </w:p>
        </w:tc>
        <w:tc>
          <w:tcPr>
            <w:tcW w:w="730" w:type="pct"/>
            <w:tcBorders>
              <w:top w:val="nil"/>
              <w:left w:val="nil"/>
              <w:bottom w:val="nil"/>
              <w:right w:val="nil"/>
            </w:tcBorders>
            <w:shd w:val="clear" w:color="auto" w:fill="auto"/>
            <w:noWrap/>
            <w:vAlign w:val="bottom"/>
            <w:hideMark/>
          </w:tcPr>
          <w:p w14:paraId="78E8790C" w14:textId="77777777" w:rsidR="00184B6B" w:rsidRPr="00184B6B" w:rsidRDefault="00184B6B" w:rsidP="00184B6B">
            <w:pPr>
              <w:spacing w:line="240" w:lineRule="auto"/>
              <w:ind w:firstLine="0"/>
              <w:rPr>
                <w:sz w:val="20"/>
                <w:szCs w:val="22"/>
              </w:rPr>
            </w:pPr>
            <w:r w:rsidRPr="00184B6B">
              <w:rPr>
                <w:sz w:val="20"/>
                <w:szCs w:val="22"/>
              </w:rPr>
              <w:t>0.233***</w:t>
            </w:r>
          </w:p>
        </w:tc>
      </w:tr>
      <w:tr w:rsidR="00184B6B" w:rsidRPr="00184B6B" w14:paraId="423045FC" w14:textId="77777777" w:rsidTr="00B617ED">
        <w:trPr>
          <w:trHeight w:val="300"/>
        </w:trPr>
        <w:tc>
          <w:tcPr>
            <w:tcW w:w="2077" w:type="pct"/>
            <w:tcBorders>
              <w:top w:val="nil"/>
              <w:left w:val="nil"/>
              <w:bottom w:val="nil"/>
              <w:right w:val="nil"/>
            </w:tcBorders>
            <w:shd w:val="clear" w:color="auto" w:fill="auto"/>
            <w:noWrap/>
            <w:vAlign w:val="bottom"/>
            <w:hideMark/>
          </w:tcPr>
          <w:p w14:paraId="77F16B21"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03A7C7D4"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56A9C6CA" w14:textId="77777777" w:rsidR="00184B6B" w:rsidRPr="00184B6B" w:rsidRDefault="00184B6B" w:rsidP="00184B6B">
            <w:pPr>
              <w:spacing w:line="240" w:lineRule="auto"/>
              <w:ind w:firstLine="0"/>
              <w:rPr>
                <w:sz w:val="20"/>
                <w:szCs w:val="22"/>
              </w:rPr>
            </w:pPr>
            <w:r w:rsidRPr="00184B6B">
              <w:rPr>
                <w:sz w:val="20"/>
                <w:szCs w:val="22"/>
              </w:rPr>
              <w:t>-</w:t>
            </w:r>
          </w:p>
        </w:tc>
        <w:tc>
          <w:tcPr>
            <w:tcW w:w="731" w:type="pct"/>
            <w:tcBorders>
              <w:top w:val="nil"/>
              <w:left w:val="nil"/>
              <w:bottom w:val="nil"/>
              <w:right w:val="nil"/>
            </w:tcBorders>
            <w:shd w:val="clear" w:color="auto" w:fill="auto"/>
            <w:noWrap/>
            <w:vAlign w:val="bottom"/>
            <w:hideMark/>
          </w:tcPr>
          <w:p w14:paraId="4A3C04C1" w14:textId="77777777" w:rsidR="00184B6B" w:rsidRPr="00184B6B" w:rsidRDefault="00184B6B" w:rsidP="00184B6B">
            <w:pPr>
              <w:spacing w:line="240" w:lineRule="auto"/>
              <w:ind w:firstLine="0"/>
              <w:rPr>
                <w:sz w:val="20"/>
                <w:szCs w:val="22"/>
              </w:rPr>
            </w:pPr>
            <w:r w:rsidRPr="00184B6B">
              <w:rPr>
                <w:sz w:val="20"/>
                <w:szCs w:val="22"/>
              </w:rPr>
              <w:t>(0.043)</w:t>
            </w:r>
          </w:p>
        </w:tc>
        <w:tc>
          <w:tcPr>
            <w:tcW w:w="730" w:type="pct"/>
            <w:tcBorders>
              <w:top w:val="nil"/>
              <w:left w:val="nil"/>
              <w:bottom w:val="nil"/>
              <w:right w:val="nil"/>
            </w:tcBorders>
            <w:shd w:val="clear" w:color="auto" w:fill="auto"/>
            <w:noWrap/>
            <w:vAlign w:val="bottom"/>
            <w:hideMark/>
          </w:tcPr>
          <w:p w14:paraId="7B8F43FD" w14:textId="77777777" w:rsidR="00184B6B" w:rsidRPr="00184B6B" w:rsidRDefault="00184B6B" w:rsidP="00184B6B">
            <w:pPr>
              <w:spacing w:line="240" w:lineRule="auto"/>
              <w:ind w:firstLine="0"/>
              <w:rPr>
                <w:sz w:val="20"/>
                <w:szCs w:val="22"/>
              </w:rPr>
            </w:pPr>
            <w:r w:rsidRPr="00184B6B">
              <w:rPr>
                <w:sz w:val="20"/>
                <w:szCs w:val="22"/>
              </w:rPr>
              <w:t>(0.043)</w:t>
            </w:r>
          </w:p>
        </w:tc>
      </w:tr>
      <w:tr w:rsidR="00184B6B" w:rsidRPr="00184B6B" w14:paraId="07C6BE1F" w14:textId="77777777" w:rsidTr="00B617ED">
        <w:trPr>
          <w:trHeight w:val="300"/>
        </w:trPr>
        <w:tc>
          <w:tcPr>
            <w:tcW w:w="2077" w:type="pct"/>
            <w:tcBorders>
              <w:top w:val="nil"/>
              <w:left w:val="nil"/>
              <w:bottom w:val="nil"/>
              <w:right w:val="nil"/>
            </w:tcBorders>
            <w:shd w:val="clear" w:color="auto" w:fill="auto"/>
            <w:noWrap/>
            <w:vAlign w:val="bottom"/>
            <w:hideMark/>
          </w:tcPr>
          <w:p w14:paraId="50F99ECD" w14:textId="77777777" w:rsidR="00184B6B" w:rsidRPr="00184B6B" w:rsidRDefault="00184B6B" w:rsidP="00184B6B">
            <w:pPr>
              <w:spacing w:line="240" w:lineRule="auto"/>
              <w:ind w:firstLine="0"/>
              <w:jc w:val="left"/>
              <w:rPr>
                <w:sz w:val="20"/>
                <w:szCs w:val="22"/>
              </w:rPr>
            </w:pPr>
            <w:r w:rsidRPr="00184B6B">
              <w:rPr>
                <w:sz w:val="20"/>
                <w:szCs w:val="22"/>
              </w:rPr>
              <w:t>Age</w:t>
            </w:r>
          </w:p>
        </w:tc>
        <w:tc>
          <w:tcPr>
            <w:tcW w:w="731" w:type="pct"/>
            <w:tcBorders>
              <w:top w:val="nil"/>
              <w:left w:val="nil"/>
              <w:bottom w:val="nil"/>
              <w:right w:val="nil"/>
            </w:tcBorders>
            <w:shd w:val="clear" w:color="auto" w:fill="auto"/>
            <w:noWrap/>
            <w:vAlign w:val="bottom"/>
            <w:hideMark/>
          </w:tcPr>
          <w:p w14:paraId="134DF88A" w14:textId="77777777" w:rsidR="00184B6B" w:rsidRPr="00184B6B" w:rsidRDefault="00184B6B" w:rsidP="00184B6B">
            <w:pPr>
              <w:spacing w:line="240" w:lineRule="auto"/>
              <w:ind w:firstLine="0"/>
              <w:rPr>
                <w:sz w:val="20"/>
                <w:szCs w:val="22"/>
              </w:rPr>
            </w:pPr>
            <w:r w:rsidRPr="00184B6B">
              <w:rPr>
                <w:sz w:val="20"/>
                <w:szCs w:val="22"/>
              </w:rPr>
              <w:t>0.012***</w:t>
            </w:r>
          </w:p>
        </w:tc>
        <w:tc>
          <w:tcPr>
            <w:tcW w:w="731" w:type="pct"/>
            <w:tcBorders>
              <w:top w:val="nil"/>
              <w:left w:val="nil"/>
              <w:bottom w:val="nil"/>
              <w:right w:val="nil"/>
            </w:tcBorders>
            <w:shd w:val="clear" w:color="auto" w:fill="auto"/>
            <w:noWrap/>
            <w:vAlign w:val="bottom"/>
            <w:hideMark/>
          </w:tcPr>
          <w:p w14:paraId="31448659" w14:textId="77777777" w:rsidR="00184B6B" w:rsidRPr="00184B6B" w:rsidRDefault="00184B6B" w:rsidP="00184B6B">
            <w:pPr>
              <w:spacing w:line="240" w:lineRule="auto"/>
              <w:ind w:firstLine="0"/>
              <w:rPr>
                <w:sz w:val="20"/>
                <w:szCs w:val="22"/>
              </w:rPr>
            </w:pPr>
            <w:r w:rsidRPr="00184B6B">
              <w:rPr>
                <w:sz w:val="20"/>
                <w:szCs w:val="22"/>
              </w:rPr>
              <w:t>0.012***</w:t>
            </w:r>
          </w:p>
        </w:tc>
        <w:tc>
          <w:tcPr>
            <w:tcW w:w="731" w:type="pct"/>
            <w:tcBorders>
              <w:top w:val="nil"/>
              <w:left w:val="nil"/>
              <w:bottom w:val="nil"/>
              <w:right w:val="nil"/>
            </w:tcBorders>
            <w:shd w:val="clear" w:color="auto" w:fill="auto"/>
            <w:noWrap/>
            <w:vAlign w:val="bottom"/>
            <w:hideMark/>
          </w:tcPr>
          <w:p w14:paraId="2CE2D15C" w14:textId="77777777" w:rsidR="00184B6B" w:rsidRPr="00184B6B" w:rsidRDefault="00184B6B" w:rsidP="00184B6B">
            <w:pPr>
              <w:spacing w:line="240" w:lineRule="auto"/>
              <w:ind w:firstLine="0"/>
              <w:rPr>
                <w:sz w:val="20"/>
                <w:szCs w:val="22"/>
              </w:rPr>
            </w:pPr>
            <w:r w:rsidRPr="00184B6B">
              <w:rPr>
                <w:sz w:val="20"/>
                <w:szCs w:val="22"/>
              </w:rPr>
              <w:t>0.011***</w:t>
            </w:r>
          </w:p>
        </w:tc>
        <w:tc>
          <w:tcPr>
            <w:tcW w:w="730" w:type="pct"/>
            <w:tcBorders>
              <w:top w:val="nil"/>
              <w:left w:val="nil"/>
              <w:bottom w:val="nil"/>
              <w:right w:val="nil"/>
            </w:tcBorders>
            <w:shd w:val="clear" w:color="auto" w:fill="auto"/>
            <w:noWrap/>
            <w:vAlign w:val="bottom"/>
            <w:hideMark/>
          </w:tcPr>
          <w:p w14:paraId="148685C6" w14:textId="77777777" w:rsidR="00184B6B" w:rsidRPr="00184B6B" w:rsidRDefault="00184B6B" w:rsidP="00184B6B">
            <w:pPr>
              <w:spacing w:line="240" w:lineRule="auto"/>
              <w:ind w:firstLine="0"/>
              <w:rPr>
                <w:sz w:val="20"/>
                <w:szCs w:val="22"/>
              </w:rPr>
            </w:pPr>
            <w:r w:rsidRPr="00184B6B">
              <w:rPr>
                <w:sz w:val="20"/>
                <w:szCs w:val="22"/>
              </w:rPr>
              <w:t>0.011***</w:t>
            </w:r>
          </w:p>
        </w:tc>
      </w:tr>
      <w:tr w:rsidR="00184B6B" w:rsidRPr="00184B6B" w14:paraId="5F6C1EAA" w14:textId="77777777" w:rsidTr="00B617ED">
        <w:trPr>
          <w:trHeight w:val="300"/>
        </w:trPr>
        <w:tc>
          <w:tcPr>
            <w:tcW w:w="2077" w:type="pct"/>
            <w:tcBorders>
              <w:top w:val="nil"/>
              <w:left w:val="nil"/>
              <w:bottom w:val="nil"/>
              <w:right w:val="nil"/>
            </w:tcBorders>
            <w:shd w:val="clear" w:color="auto" w:fill="auto"/>
            <w:noWrap/>
            <w:vAlign w:val="bottom"/>
            <w:hideMark/>
          </w:tcPr>
          <w:p w14:paraId="6E785FC9"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AFF8886" w14:textId="77777777" w:rsidR="00184B6B" w:rsidRPr="00184B6B" w:rsidRDefault="00184B6B" w:rsidP="00184B6B">
            <w:pPr>
              <w:spacing w:line="240" w:lineRule="auto"/>
              <w:ind w:firstLine="0"/>
              <w:rPr>
                <w:sz w:val="20"/>
                <w:szCs w:val="22"/>
              </w:rPr>
            </w:pPr>
            <w:r w:rsidRPr="00184B6B">
              <w:rPr>
                <w:sz w:val="20"/>
                <w:szCs w:val="22"/>
              </w:rPr>
              <w:t>(0.003)</w:t>
            </w:r>
          </w:p>
        </w:tc>
        <w:tc>
          <w:tcPr>
            <w:tcW w:w="731" w:type="pct"/>
            <w:tcBorders>
              <w:top w:val="nil"/>
              <w:left w:val="nil"/>
              <w:bottom w:val="nil"/>
              <w:right w:val="nil"/>
            </w:tcBorders>
            <w:shd w:val="clear" w:color="auto" w:fill="auto"/>
            <w:noWrap/>
            <w:vAlign w:val="bottom"/>
            <w:hideMark/>
          </w:tcPr>
          <w:p w14:paraId="582542BD" w14:textId="77777777" w:rsidR="00184B6B" w:rsidRPr="00184B6B" w:rsidRDefault="00184B6B" w:rsidP="00184B6B">
            <w:pPr>
              <w:spacing w:line="240" w:lineRule="auto"/>
              <w:ind w:firstLine="0"/>
              <w:rPr>
                <w:sz w:val="20"/>
                <w:szCs w:val="22"/>
              </w:rPr>
            </w:pPr>
            <w:r w:rsidRPr="00184B6B">
              <w:rPr>
                <w:sz w:val="20"/>
                <w:szCs w:val="22"/>
              </w:rPr>
              <w:t>(0.003)</w:t>
            </w:r>
          </w:p>
        </w:tc>
        <w:tc>
          <w:tcPr>
            <w:tcW w:w="731" w:type="pct"/>
            <w:tcBorders>
              <w:top w:val="nil"/>
              <w:left w:val="nil"/>
              <w:bottom w:val="nil"/>
              <w:right w:val="nil"/>
            </w:tcBorders>
            <w:shd w:val="clear" w:color="auto" w:fill="auto"/>
            <w:noWrap/>
            <w:vAlign w:val="bottom"/>
            <w:hideMark/>
          </w:tcPr>
          <w:p w14:paraId="287E2022" w14:textId="77777777" w:rsidR="00184B6B" w:rsidRPr="00184B6B" w:rsidRDefault="00184B6B" w:rsidP="00184B6B">
            <w:pPr>
              <w:spacing w:line="240" w:lineRule="auto"/>
              <w:ind w:firstLine="0"/>
              <w:rPr>
                <w:sz w:val="20"/>
                <w:szCs w:val="22"/>
              </w:rPr>
            </w:pPr>
            <w:r w:rsidRPr="00184B6B">
              <w:rPr>
                <w:sz w:val="20"/>
                <w:szCs w:val="22"/>
              </w:rPr>
              <w:t>(0.003)</w:t>
            </w:r>
          </w:p>
        </w:tc>
        <w:tc>
          <w:tcPr>
            <w:tcW w:w="730" w:type="pct"/>
            <w:tcBorders>
              <w:top w:val="nil"/>
              <w:left w:val="nil"/>
              <w:bottom w:val="nil"/>
              <w:right w:val="nil"/>
            </w:tcBorders>
            <w:shd w:val="clear" w:color="auto" w:fill="auto"/>
            <w:noWrap/>
            <w:vAlign w:val="bottom"/>
            <w:hideMark/>
          </w:tcPr>
          <w:p w14:paraId="09A3792B" w14:textId="77777777" w:rsidR="00184B6B" w:rsidRPr="00184B6B" w:rsidRDefault="00184B6B" w:rsidP="00184B6B">
            <w:pPr>
              <w:spacing w:line="240" w:lineRule="auto"/>
              <w:ind w:firstLine="0"/>
              <w:rPr>
                <w:sz w:val="20"/>
                <w:szCs w:val="22"/>
              </w:rPr>
            </w:pPr>
            <w:r w:rsidRPr="00184B6B">
              <w:rPr>
                <w:sz w:val="20"/>
                <w:szCs w:val="22"/>
              </w:rPr>
              <w:t>(0.003)</w:t>
            </w:r>
          </w:p>
        </w:tc>
      </w:tr>
      <w:tr w:rsidR="00184B6B" w:rsidRPr="00184B6B" w14:paraId="2184AE1C" w14:textId="77777777" w:rsidTr="00B617ED">
        <w:trPr>
          <w:trHeight w:val="300"/>
        </w:trPr>
        <w:tc>
          <w:tcPr>
            <w:tcW w:w="2077" w:type="pct"/>
            <w:tcBorders>
              <w:top w:val="nil"/>
              <w:left w:val="nil"/>
              <w:bottom w:val="nil"/>
              <w:right w:val="nil"/>
            </w:tcBorders>
            <w:shd w:val="clear" w:color="auto" w:fill="auto"/>
            <w:noWrap/>
            <w:vAlign w:val="bottom"/>
            <w:hideMark/>
          </w:tcPr>
          <w:p w14:paraId="51E15ADD" w14:textId="77777777" w:rsidR="00184B6B" w:rsidRPr="00184B6B" w:rsidRDefault="00184B6B" w:rsidP="00184B6B">
            <w:pPr>
              <w:spacing w:line="240" w:lineRule="auto"/>
              <w:ind w:firstLine="0"/>
              <w:jc w:val="left"/>
              <w:rPr>
                <w:sz w:val="20"/>
                <w:szCs w:val="22"/>
              </w:rPr>
            </w:pPr>
            <w:r w:rsidRPr="00184B6B">
              <w:rPr>
                <w:sz w:val="20"/>
                <w:szCs w:val="22"/>
              </w:rPr>
              <w:t>Age squared/100</w:t>
            </w:r>
          </w:p>
        </w:tc>
        <w:tc>
          <w:tcPr>
            <w:tcW w:w="731" w:type="pct"/>
            <w:tcBorders>
              <w:top w:val="nil"/>
              <w:left w:val="nil"/>
              <w:bottom w:val="nil"/>
              <w:right w:val="nil"/>
            </w:tcBorders>
            <w:shd w:val="clear" w:color="auto" w:fill="auto"/>
            <w:noWrap/>
            <w:vAlign w:val="bottom"/>
            <w:hideMark/>
          </w:tcPr>
          <w:p w14:paraId="4D67BAD5" w14:textId="77777777" w:rsidR="00184B6B" w:rsidRPr="00184B6B" w:rsidRDefault="00184B6B" w:rsidP="00184B6B">
            <w:pPr>
              <w:spacing w:line="240" w:lineRule="auto"/>
              <w:ind w:firstLine="0"/>
              <w:rPr>
                <w:sz w:val="20"/>
                <w:szCs w:val="22"/>
              </w:rPr>
            </w:pPr>
            <w:r w:rsidRPr="00184B6B">
              <w:rPr>
                <w:sz w:val="20"/>
                <w:szCs w:val="22"/>
              </w:rPr>
              <w:t>-0.014***</w:t>
            </w:r>
          </w:p>
        </w:tc>
        <w:tc>
          <w:tcPr>
            <w:tcW w:w="731" w:type="pct"/>
            <w:tcBorders>
              <w:top w:val="nil"/>
              <w:left w:val="nil"/>
              <w:bottom w:val="nil"/>
              <w:right w:val="nil"/>
            </w:tcBorders>
            <w:shd w:val="clear" w:color="auto" w:fill="auto"/>
            <w:noWrap/>
            <w:vAlign w:val="bottom"/>
            <w:hideMark/>
          </w:tcPr>
          <w:p w14:paraId="1F776276" w14:textId="77777777" w:rsidR="00184B6B" w:rsidRPr="00184B6B" w:rsidRDefault="00184B6B" w:rsidP="00184B6B">
            <w:pPr>
              <w:spacing w:line="240" w:lineRule="auto"/>
              <w:ind w:firstLine="0"/>
              <w:rPr>
                <w:sz w:val="20"/>
                <w:szCs w:val="22"/>
              </w:rPr>
            </w:pPr>
            <w:r w:rsidRPr="00184B6B">
              <w:rPr>
                <w:sz w:val="20"/>
                <w:szCs w:val="22"/>
              </w:rPr>
              <w:t>-0.014***</w:t>
            </w:r>
          </w:p>
        </w:tc>
        <w:tc>
          <w:tcPr>
            <w:tcW w:w="731" w:type="pct"/>
            <w:tcBorders>
              <w:top w:val="nil"/>
              <w:left w:val="nil"/>
              <w:bottom w:val="nil"/>
              <w:right w:val="nil"/>
            </w:tcBorders>
            <w:shd w:val="clear" w:color="auto" w:fill="auto"/>
            <w:noWrap/>
            <w:vAlign w:val="bottom"/>
            <w:hideMark/>
          </w:tcPr>
          <w:p w14:paraId="4208FD9E" w14:textId="77777777" w:rsidR="00184B6B" w:rsidRPr="00184B6B" w:rsidRDefault="00184B6B" w:rsidP="00184B6B">
            <w:pPr>
              <w:spacing w:line="240" w:lineRule="auto"/>
              <w:ind w:firstLine="0"/>
              <w:rPr>
                <w:sz w:val="20"/>
                <w:szCs w:val="22"/>
              </w:rPr>
            </w:pPr>
            <w:r w:rsidRPr="00184B6B">
              <w:rPr>
                <w:sz w:val="20"/>
                <w:szCs w:val="22"/>
              </w:rPr>
              <w:t>-0.013***</w:t>
            </w:r>
          </w:p>
        </w:tc>
        <w:tc>
          <w:tcPr>
            <w:tcW w:w="730" w:type="pct"/>
            <w:tcBorders>
              <w:top w:val="nil"/>
              <w:left w:val="nil"/>
              <w:bottom w:val="nil"/>
              <w:right w:val="nil"/>
            </w:tcBorders>
            <w:shd w:val="clear" w:color="auto" w:fill="auto"/>
            <w:noWrap/>
            <w:vAlign w:val="bottom"/>
            <w:hideMark/>
          </w:tcPr>
          <w:p w14:paraId="6DF66B71" w14:textId="77777777" w:rsidR="00184B6B" w:rsidRPr="00184B6B" w:rsidRDefault="00184B6B" w:rsidP="00184B6B">
            <w:pPr>
              <w:spacing w:line="240" w:lineRule="auto"/>
              <w:ind w:firstLine="0"/>
              <w:rPr>
                <w:sz w:val="20"/>
                <w:szCs w:val="22"/>
              </w:rPr>
            </w:pPr>
            <w:r w:rsidRPr="00184B6B">
              <w:rPr>
                <w:sz w:val="20"/>
                <w:szCs w:val="22"/>
              </w:rPr>
              <w:t>-0.013***</w:t>
            </w:r>
          </w:p>
        </w:tc>
      </w:tr>
      <w:tr w:rsidR="00184B6B" w:rsidRPr="00184B6B" w14:paraId="22C4208D" w14:textId="77777777" w:rsidTr="00B617ED">
        <w:trPr>
          <w:trHeight w:val="300"/>
        </w:trPr>
        <w:tc>
          <w:tcPr>
            <w:tcW w:w="2077" w:type="pct"/>
            <w:tcBorders>
              <w:top w:val="nil"/>
              <w:left w:val="nil"/>
              <w:bottom w:val="nil"/>
              <w:right w:val="nil"/>
            </w:tcBorders>
            <w:shd w:val="clear" w:color="auto" w:fill="auto"/>
            <w:noWrap/>
            <w:vAlign w:val="bottom"/>
            <w:hideMark/>
          </w:tcPr>
          <w:p w14:paraId="7A183CEA"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0EE5C78F" w14:textId="77777777" w:rsidR="00184B6B" w:rsidRPr="00184B6B" w:rsidRDefault="00184B6B" w:rsidP="00184B6B">
            <w:pPr>
              <w:spacing w:line="240" w:lineRule="auto"/>
              <w:ind w:firstLine="0"/>
              <w:rPr>
                <w:sz w:val="20"/>
                <w:szCs w:val="22"/>
              </w:rPr>
            </w:pPr>
            <w:r w:rsidRPr="00184B6B">
              <w:rPr>
                <w:sz w:val="20"/>
                <w:szCs w:val="22"/>
              </w:rPr>
              <w:t>(0.004)</w:t>
            </w:r>
          </w:p>
        </w:tc>
        <w:tc>
          <w:tcPr>
            <w:tcW w:w="731" w:type="pct"/>
            <w:tcBorders>
              <w:top w:val="nil"/>
              <w:left w:val="nil"/>
              <w:bottom w:val="nil"/>
              <w:right w:val="nil"/>
            </w:tcBorders>
            <w:shd w:val="clear" w:color="auto" w:fill="auto"/>
            <w:noWrap/>
            <w:vAlign w:val="bottom"/>
            <w:hideMark/>
          </w:tcPr>
          <w:p w14:paraId="202577D1" w14:textId="77777777" w:rsidR="00184B6B" w:rsidRPr="00184B6B" w:rsidRDefault="00184B6B" w:rsidP="00184B6B">
            <w:pPr>
              <w:spacing w:line="240" w:lineRule="auto"/>
              <w:ind w:firstLine="0"/>
              <w:rPr>
                <w:sz w:val="20"/>
                <w:szCs w:val="22"/>
              </w:rPr>
            </w:pPr>
            <w:r w:rsidRPr="00184B6B">
              <w:rPr>
                <w:sz w:val="20"/>
                <w:szCs w:val="22"/>
              </w:rPr>
              <w:t>(0.004)</w:t>
            </w:r>
          </w:p>
        </w:tc>
        <w:tc>
          <w:tcPr>
            <w:tcW w:w="731" w:type="pct"/>
            <w:tcBorders>
              <w:top w:val="nil"/>
              <w:left w:val="nil"/>
              <w:bottom w:val="nil"/>
              <w:right w:val="nil"/>
            </w:tcBorders>
            <w:shd w:val="clear" w:color="auto" w:fill="auto"/>
            <w:noWrap/>
            <w:vAlign w:val="bottom"/>
            <w:hideMark/>
          </w:tcPr>
          <w:p w14:paraId="58724F9C" w14:textId="77777777" w:rsidR="00184B6B" w:rsidRPr="00184B6B" w:rsidRDefault="00184B6B" w:rsidP="00184B6B">
            <w:pPr>
              <w:spacing w:line="240" w:lineRule="auto"/>
              <w:ind w:firstLine="0"/>
              <w:rPr>
                <w:sz w:val="20"/>
                <w:szCs w:val="22"/>
              </w:rPr>
            </w:pPr>
            <w:r w:rsidRPr="00184B6B">
              <w:rPr>
                <w:sz w:val="20"/>
                <w:szCs w:val="22"/>
              </w:rPr>
              <w:t>(0.004)</w:t>
            </w:r>
          </w:p>
        </w:tc>
        <w:tc>
          <w:tcPr>
            <w:tcW w:w="730" w:type="pct"/>
            <w:tcBorders>
              <w:top w:val="nil"/>
              <w:left w:val="nil"/>
              <w:bottom w:val="nil"/>
              <w:right w:val="nil"/>
            </w:tcBorders>
            <w:shd w:val="clear" w:color="auto" w:fill="auto"/>
            <w:noWrap/>
            <w:vAlign w:val="bottom"/>
            <w:hideMark/>
          </w:tcPr>
          <w:p w14:paraId="346506D6" w14:textId="77777777" w:rsidR="00184B6B" w:rsidRPr="00184B6B" w:rsidRDefault="00184B6B" w:rsidP="00184B6B">
            <w:pPr>
              <w:spacing w:line="240" w:lineRule="auto"/>
              <w:ind w:firstLine="0"/>
              <w:rPr>
                <w:sz w:val="20"/>
                <w:szCs w:val="22"/>
              </w:rPr>
            </w:pPr>
            <w:r w:rsidRPr="00184B6B">
              <w:rPr>
                <w:sz w:val="20"/>
                <w:szCs w:val="22"/>
              </w:rPr>
              <w:t>(0.004)</w:t>
            </w:r>
          </w:p>
        </w:tc>
      </w:tr>
      <w:tr w:rsidR="00184B6B" w:rsidRPr="00184B6B" w14:paraId="10FEAFED" w14:textId="77777777" w:rsidTr="00B617ED">
        <w:trPr>
          <w:trHeight w:val="300"/>
        </w:trPr>
        <w:tc>
          <w:tcPr>
            <w:tcW w:w="2077" w:type="pct"/>
            <w:tcBorders>
              <w:top w:val="nil"/>
              <w:left w:val="nil"/>
              <w:bottom w:val="nil"/>
              <w:right w:val="nil"/>
            </w:tcBorders>
            <w:shd w:val="clear" w:color="auto" w:fill="auto"/>
            <w:noWrap/>
            <w:vAlign w:val="bottom"/>
            <w:hideMark/>
          </w:tcPr>
          <w:p w14:paraId="59218EC6" w14:textId="77777777" w:rsidR="00184B6B" w:rsidRPr="00184B6B" w:rsidRDefault="00184B6B" w:rsidP="00184B6B">
            <w:pPr>
              <w:spacing w:line="240" w:lineRule="auto"/>
              <w:ind w:firstLine="0"/>
              <w:jc w:val="left"/>
              <w:rPr>
                <w:sz w:val="20"/>
                <w:szCs w:val="22"/>
              </w:rPr>
            </w:pPr>
            <w:r w:rsidRPr="00184B6B">
              <w:rPr>
                <w:sz w:val="20"/>
                <w:szCs w:val="22"/>
              </w:rPr>
              <w:t>Female</w:t>
            </w:r>
          </w:p>
        </w:tc>
        <w:tc>
          <w:tcPr>
            <w:tcW w:w="731" w:type="pct"/>
            <w:tcBorders>
              <w:top w:val="nil"/>
              <w:left w:val="nil"/>
              <w:bottom w:val="nil"/>
              <w:right w:val="nil"/>
            </w:tcBorders>
            <w:shd w:val="clear" w:color="auto" w:fill="auto"/>
            <w:noWrap/>
            <w:vAlign w:val="bottom"/>
            <w:hideMark/>
          </w:tcPr>
          <w:p w14:paraId="776F1BB1" w14:textId="77777777" w:rsidR="00184B6B" w:rsidRPr="00184B6B" w:rsidRDefault="00184B6B" w:rsidP="00184B6B">
            <w:pPr>
              <w:spacing w:line="240" w:lineRule="auto"/>
              <w:ind w:firstLine="0"/>
              <w:rPr>
                <w:sz w:val="20"/>
                <w:szCs w:val="22"/>
              </w:rPr>
            </w:pPr>
            <w:r w:rsidRPr="00184B6B">
              <w:rPr>
                <w:sz w:val="20"/>
                <w:szCs w:val="22"/>
              </w:rPr>
              <w:t>-0.329***</w:t>
            </w:r>
          </w:p>
        </w:tc>
        <w:tc>
          <w:tcPr>
            <w:tcW w:w="731" w:type="pct"/>
            <w:tcBorders>
              <w:top w:val="nil"/>
              <w:left w:val="nil"/>
              <w:bottom w:val="nil"/>
              <w:right w:val="nil"/>
            </w:tcBorders>
            <w:shd w:val="clear" w:color="auto" w:fill="auto"/>
            <w:noWrap/>
            <w:vAlign w:val="bottom"/>
            <w:hideMark/>
          </w:tcPr>
          <w:p w14:paraId="7C86465D" w14:textId="77777777" w:rsidR="00184B6B" w:rsidRPr="00184B6B" w:rsidRDefault="00184B6B" w:rsidP="00184B6B">
            <w:pPr>
              <w:spacing w:line="240" w:lineRule="auto"/>
              <w:ind w:firstLine="0"/>
              <w:rPr>
                <w:sz w:val="20"/>
                <w:szCs w:val="22"/>
              </w:rPr>
            </w:pPr>
            <w:r w:rsidRPr="00184B6B">
              <w:rPr>
                <w:sz w:val="20"/>
                <w:szCs w:val="22"/>
              </w:rPr>
              <w:t>-0.329***</w:t>
            </w:r>
          </w:p>
        </w:tc>
        <w:tc>
          <w:tcPr>
            <w:tcW w:w="731" w:type="pct"/>
            <w:tcBorders>
              <w:top w:val="nil"/>
              <w:left w:val="nil"/>
              <w:bottom w:val="nil"/>
              <w:right w:val="nil"/>
            </w:tcBorders>
            <w:shd w:val="clear" w:color="auto" w:fill="auto"/>
            <w:noWrap/>
            <w:vAlign w:val="bottom"/>
            <w:hideMark/>
          </w:tcPr>
          <w:p w14:paraId="464661BC" w14:textId="77777777" w:rsidR="00184B6B" w:rsidRPr="00184B6B" w:rsidRDefault="00184B6B" w:rsidP="00184B6B">
            <w:pPr>
              <w:spacing w:line="240" w:lineRule="auto"/>
              <w:ind w:firstLine="0"/>
              <w:rPr>
                <w:sz w:val="20"/>
                <w:szCs w:val="22"/>
              </w:rPr>
            </w:pPr>
            <w:r w:rsidRPr="00184B6B">
              <w:rPr>
                <w:sz w:val="20"/>
                <w:szCs w:val="22"/>
              </w:rPr>
              <w:t>-0.318***</w:t>
            </w:r>
          </w:p>
        </w:tc>
        <w:tc>
          <w:tcPr>
            <w:tcW w:w="730" w:type="pct"/>
            <w:tcBorders>
              <w:top w:val="nil"/>
              <w:left w:val="nil"/>
              <w:bottom w:val="nil"/>
              <w:right w:val="nil"/>
            </w:tcBorders>
            <w:shd w:val="clear" w:color="auto" w:fill="auto"/>
            <w:noWrap/>
            <w:vAlign w:val="bottom"/>
            <w:hideMark/>
          </w:tcPr>
          <w:p w14:paraId="15203E32" w14:textId="77777777" w:rsidR="00184B6B" w:rsidRPr="00184B6B" w:rsidRDefault="00184B6B" w:rsidP="00184B6B">
            <w:pPr>
              <w:spacing w:line="240" w:lineRule="auto"/>
              <w:ind w:firstLine="0"/>
              <w:rPr>
                <w:sz w:val="20"/>
                <w:szCs w:val="22"/>
              </w:rPr>
            </w:pPr>
            <w:r w:rsidRPr="00184B6B">
              <w:rPr>
                <w:sz w:val="20"/>
                <w:szCs w:val="22"/>
              </w:rPr>
              <w:t>-0.319***</w:t>
            </w:r>
          </w:p>
        </w:tc>
      </w:tr>
      <w:tr w:rsidR="00184B6B" w:rsidRPr="00184B6B" w14:paraId="5CC2E76D" w14:textId="77777777" w:rsidTr="00B617ED">
        <w:trPr>
          <w:trHeight w:val="300"/>
        </w:trPr>
        <w:tc>
          <w:tcPr>
            <w:tcW w:w="2077" w:type="pct"/>
            <w:tcBorders>
              <w:top w:val="nil"/>
              <w:left w:val="nil"/>
              <w:bottom w:val="nil"/>
              <w:right w:val="nil"/>
            </w:tcBorders>
            <w:shd w:val="clear" w:color="auto" w:fill="auto"/>
            <w:noWrap/>
            <w:vAlign w:val="bottom"/>
            <w:hideMark/>
          </w:tcPr>
          <w:p w14:paraId="15AFCD93"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46E35E7" w14:textId="77777777" w:rsidR="00184B6B" w:rsidRPr="00184B6B" w:rsidRDefault="00184B6B" w:rsidP="00184B6B">
            <w:pPr>
              <w:spacing w:line="240" w:lineRule="auto"/>
              <w:ind w:firstLine="0"/>
              <w:rPr>
                <w:sz w:val="20"/>
                <w:szCs w:val="22"/>
              </w:rPr>
            </w:pPr>
            <w:r w:rsidRPr="00184B6B">
              <w:rPr>
                <w:sz w:val="20"/>
                <w:szCs w:val="22"/>
              </w:rPr>
              <w:t>(0.021)</w:t>
            </w:r>
          </w:p>
        </w:tc>
        <w:tc>
          <w:tcPr>
            <w:tcW w:w="731" w:type="pct"/>
            <w:tcBorders>
              <w:top w:val="nil"/>
              <w:left w:val="nil"/>
              <w:bottom w:val="nil"/>
              <w:right w:val="nil"/>
            </w:tcBorders>
            <w:shd w:val="clear" w:color="auto" w:fill="auto"/>
            <w:noWrap/>
            <w:vAlign w:val="bottom"/>
            <w:hideMark/>
          </w:tcPr>
          <w:p w14:paraId="6316ACEB" w14:textId="77777777" w:rsidR="00184B6B" w:rsidRPr="00184B6B" w:rsidRDefault="00184B6B" w:rsidP="00184B6B">
            <w:pPr>
              <w:spacing w:line="240" w:lineRule="auto"/>
              <w:ind w:firstLine="0"/>
              <w:rPr>
                <w:sz w:val="20"/>
                <w:szCs w:val="22"/>
              </w:rPr>
            </w:pPr>
            <w:r w:rsidRPr="00184B6B">
              <w:rPr>
                <w:sz w:val="20"/>
                <w:szCs w:val="22"/>
              </w:rPr>
              <w:t>(0.021)</w:t>
            </w:r>
          </w:p>
        </w:tc>
        <w:tc>
          <w:tcPr>
            <w:tcW w:w="731" w:type="pct"/>
            <w:tcBorders>
              <w:top w:val="nil"/>
              <w:left w:val="nil"/>
              <w:bottom w:val="nil"/>
              <w:right w:val="nil"/>
            </w:tcBorders>
            <w:shd w:val="clear" w:color="auto" w:fill="auto"/>
            <w:noWrap/>
            <w:vAlign w:val="bottom"/>
            <w:hideMark/>
          </w:tcPr>
          <w:p w14:paraId="77F49094" w14:textId="77777777" w:rsidR="00184B6B" w:rsidRPr="00184B6B" w:rsidRDefault="00184B6B" w:rsidP="00184B6B">
            <w:pPr>
              <w:spacing w:line="240" w:lineRule="auto"/>
              <w:ind w:firstLine="0"/>
              <w:rPr>
                <w:sz w:val="20"/>
                <w:szCs w:val="22"/>
              </w:rPr>
            </w:pPr>
            <w:r w:rsidRPr="00184B6B">
              <w:rPr>
                <w:sz w:val="20"/>
                <w:szCs w:val="22"/>
              </w:rPr>
              <w:t>(0.021)</w:t>
            </w:r>
          </w:p>
        </w:tc>
        <w:tc>
          <w:tcPr>
            <w:tcW w:w="730" w:type="pct"/>
            <w:tcBorders>
              <w:top w:val="nil"/>
              <w:left w:val="nil"/>
              <w:bottom w:val="nil"/>
              <w:right w:val="nil"/>
            </w:tcBorders>
            <w:shd w:val="clear" w:color="auto" w:fill="auto"/>
            <w:noWrap/>
            <w:vAlign w:val="bottom"/>
            <w:hideMark/>
          </w:tcPr>
          <w:p w14:paraId="7C5B7C77" w14:textId="77777777" w:rsidR="00184B6B" w:rsidRPr="00184B6B" w:rsidRDefault="00184B6B" w:rsidP="00184B6B">
            <w:pPr>
              <w:spacing w:line="240" w:lineRule="auto"/>
              <w:ind w:firstLine="0"/>
              <w:rPr>
                <w:sz w:val="20"/>
                <w:szCs w:val="22"/>
              </w:rPr>
            </w:pPr>
            <w:r w:rsidRPr="00184B6B">
              <w:rPr>
                <w:sz w:val="20"/>
                <w:szCs w:val="22"/>
              </w:rPr>
              <w:t>(0.021)</w:t>
            </w:r>
          </w:p>
        </w:tc>
      </w:tr>
      <w:tr w:rsidR="00184B6B" w:rsidRPr="00184B6B" w14:paraId="63928B59" w14:textId="77777777" w:rsidTr="00B617ED">
        <w:trPr>
          <w:trHeight w:val="300"/>
        </w:trPr>
        <w:tc>
          <w:tcPr>
            <w:tcW w:w="2077" w:type="pct"/>
            <w:tcBorders>
              <w:top w:val="nil"/>
              <w:left w:val="nil"/>
              <w:bottom w:val="nil"/>
              <w:right w:val="nil"/>
            </w:tcBorders>
            <w:shd w:val="clear" w:color="auto" w:fill="auto"/>
            <w:noWrap/>
            <w:vAlign w:val="bottom"/>
            <w:hideMark/>
          </w:tcPr>
          <w:p w14:paraId="3C3526BA" w14:textId="77777777" w:rsidR="00184B6B" w:rsidRPr="00184B6B" w:rsidRDefault="00184B6B" w:rsidP="00184B6B">
            <w:pPr>
              <w:spacing w:line="240" w:lineRule="auto"/>
              <w:ind w:firstLine="0"/>
              <w:jc w:val="left"/>
              <w:rPr>
                <w:sz w:val="20"/>
                <w:szCs w:val="22"/>
              </w:rPr>
            </w:pPr>
            <w:r w:rsidRPr="00184B6B">
              <w:rPr>
                <w:sz w:val="20"/>
                <w:szCs w:val="22"/>
              </w:rPr>
              <w:t>Primary education</w:t>
            </w:r>
          </w:p>
        </w:tc>
        <w:tc>
          <w:tcPr>
            <w:tcW w:w="731" w:type="pct"/>
            <w:tcBorders>
              <w:top w:val="nil"/>
              <w:left w:val="nil"/>
              <w:bottom w:val="nil"/>
              <w:right w:val="nil"/>
            </w:tcBorders>
            <w:shd w:val="clear" w:color="auto" w:fill="auto"/>
            <w:noWrap/>
            <w:vAlign w:val="bottom"/>
            <w:hideMark/>
          </w:tcPr>
          <w:p w14:paraId="5E1B7726" w14:textId="77777777" w:rsidR="00184B6B" w:rsidRPr="00184B6B" w:rsidRDefault="00184B6B" w:rsidP="00184B6B">
            <w:pPr>
              <w:spacing w:line="240" w:lineRule="auto"/>
              <w:ind w:firstLine="0"/>
              <w:rPr>
                <w:sz w:val="20"/>
                <w:szCs w:val="22"/>
              </w:rPr>
            </w:pPr>
            <w:r w:rsidRPr="00184B6B">
              <w:rPr>
                <w:sz w:val="20"/>
                <w:szCs w:val="22"/>
              </w:rPr>
              <w:t>-0.345***</w:t>
            </w:r>
          </w:p>
        </w:tc>
        <w:tc>
          <w:tcPr>
            <w:tcW w:w="731" w:type="pct"/>
            <w:tcBorders>
              <w:top w:val="nil"/>
              <w:left w:val="nil"/>
              <w:bottom w:val="nil"/>
              <w:right w:val="nil"/>
            </w:tcBorders>
            <w:shd w:val="clear" w:color="auto" w:fill="auto"/>
            <w:noWrap/>
            <w:vAlign w:val="bottom"/>
            <w:hideMark/>
          </w:tcPr>
          <w:p w14:paraId="5EB6D4E1" w14:textId="77777777" w:rsidR="00184B6B" w:rsidRPr="00184B6B" w:rsidRDefault="00184B6B" w:rsidP="00184B6B">
            <w:pPr>
              <w:spacing w:line="240" w:lineRule="auto"/>
              <w:ind w:firstLine="0"/>
              <w:rPr>
                <w:sz w:val="20"/>
                <w:szCs w:val="22"/>
              </w:rPr>
            </w:pPr>
            <w:r w:rsidRPr="00184B6B">
              <w:rPr>
                <w:sz w:val="20"/>
                <w:szCs w:val="22"/>
              </w:rPr>
              <w:t>-0.345***</w:t>
            </w:r>
          </w:p>
        </w:tc>
        <w:tc>
          <w:tcPr>
            <w:tcW w:w="731" w:type="pct"/>
            <w:tcBorders>
              <w:top w:val="nil"/>
              <w:left w:val="nil"/>
              <w:bottom w:val="nil"/>
              <w:right w:val="nil"/>
            </w:tcBorders>
            <w:shd w:val="clear" w:color="auto" w:fill="auto"/>
            <w:noWrap/>
            <w:vAlign w:val="bottom"/>
            <w:hideMark/>
          </w:tcPr>
          <w:p w14:paraId="2711A10B" w14:textId="77777777" w:rsidR="00184B6B" w:rsidRPr="00184B6B" w:rsidRDefault="00184B6B" w:rsidP="00184B6B">
            <w:pPr>
              <w:spacing w:line="240" w:lineRule="auto"/>
              <w:ind w:firstLine="0"/>
              <w:rPr>
                <w:sz w:val="20"/>
                <w:szCs w:val="22"/>
              </w:rPr>
            </w:pPr>
            <w:r w:rsidRPr="00184B6B">
              <w:rPr>
                <w:sz w:val="20"/>
                <w:szCs w:val="22"/>
              </w:rPr>
              <w:t>-0.345***</w:t>
            </w:r>
          </w:p>
        </w:tc>
        <w:tc>
          <w:tcPr>
            <w:tcW w:w="730" w:type="pct"/>
            <w:tcBorders>
              <w:top w:val="nil"/>
              <w:left w:val="nil"/>
              <w:bottom w:val="nil"/>
              <w:right w:val="nil"/>
            </w:tcBorders>
            <w:shd w:val="clear" w:color="auto" w:fill="auto"/>
            <w:noWrap/>
            <w:vAlign w:val="bottom"/>
            <w:hideMark/>
          </w:tcPr>
          <w:p w14:paraId="6A5BECA6" w14:textId="77777777" w:rsidR="00184B6B" w:rsidRPr="00184B6B" w:rsidRDefault="00184B6B" w:rsidP="00184B6B">
            <w:pPr>
              <w:spacing w:line="240" w:lineRule="auto"/>
              <w:ind w:firstLine="0"/>
              <w:rPr>
                <w:sz w:val="20"/>
                <w:szCs w:val="22"/>
              </w:rPr>
            </w:pPr>
            <w:r w:rsidRPr="00184B6B">
              <w:rPr>
                <w:sz w:val="20"/>
                <w:szCs w:val="22"/>
              </w:rPr>
              <w:t>-0.346***</w:t>
            </w:r>
          </w:p>
        </w:tc>
      </w:tr>
      <w:tr w:rsidR="00184B6B" w:rsidRPr="00184B6B" w14:paraId="40915768" w14:textId="77777777" w:rsidTr="00B617ED">
        <w:trPr>
          <w:trHeight w:val="300"/>
        </w:trPr>
        <w:tc>
          <w:tcPr>
            <w:tcW w:w="2077" w:type="pct"/>
            <w:tcBorders>
              <w:top w:val="nil"/>
              <w:left w:val="nil"/>
              <w:bottom w:val="nil"/>
              <w:right w:val="nil"/>
            </w:tcBorders>
            <w:shd w:val="clear" w:color="auto" w:fill="auto"/>
            <w:noWrap/>
            <w:vAlign w:val="bottom"/>
            <w:hideMark/>
          </w:tcPr>
          <w:p w14:paraId="07F8B685"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6B7EAFFB" w14:textId="77777777" w:rsidR="00184B6B" w:rsidRPr="00184B6B" w:rsidRDefault="00184B6B" w:rsidP="00184B6B">
            <w:pPr>
              <w:spacing w:line="240" w:lineRule="auto"/>
              <w:ind w:firstLine="0"/>
              <w:rPr>
                <w:sz w:val="20"/>
                <w:szCs w:val="22"/>
              </w:rPr>
            </w:pPr>
            <w:r w:rsidRPr="00184B6B">
              <w:rPr>
                <w:sz w:val="20"/>
                <w:szCs w:val="22"/>
              </w:rPr>
              <w:t>(0.028)</w:t>
            </w:r>
          </w:p>
        </w:tc>
        <w:tc>
          <w:tcPr>
            <w:tcW w:w="731" w:type="pct"/>
            <w:tcBorders>
              <w:top w:val="nil"/>
              <w:left w:val="nil"/>
              <w:bottom w:val="nil"/>
              <w:right w:val="nil"/>
            </w:tcBorders>
            <w:shd w:val="clear" w:color="auto" w:fill="auto"/>
            <w:noWrap/>
            <w:vAlign w:val="bottom"/>
            <w:hideMark/>
          </w:tcPr>
          <w:p w14:paraId="76321BB4" w14:textId="77777777" w:rsidR="00184B6B" w:rsidRPr="00184B6B" w:rsidRDefault="00184B6B" w:rsidP="00184B6B">
            <w:pPr>
              <w:spacing w:line="240" w:lineRule="auto"/>
              <w:ind w:firstLine="0"/>
              <w:rPr>
                <w:sz w:val="20"/>
                <w:szCs w:val="22"/>
              </w:rPr>
            </w:pPr>
            <w:r w:rsidRPr="00184B6B">
              <w:rPr>
                <w:sz w:val="20"/>
                <w:szCs w:val="22"/>
              </w:rPr>
              <w:t>(0.028)</w:t>
            </w:r>
          </w:p>
        </w:tc>
        <w:tc>
          <w:tcPr>
            <w:tcW w:w="731" w:type="pct"/>
            <w:tcBorders>
              <w:top w:val="nil"/>
              <w:left w:val="nil"/>
              <w:bottom w:val="nil"/>
              <w:right w:val="nil"/>
            </w:tcBorders>
            <w:shd w:val="clear" w:color="auto" w:fill="auto"/>
            <w:noWrap/>
            <w:vAlign w:val="bottom"/>
            <w:hideMark/>
          </w:tcPr>
          <w:p w14:paraId="7B5DBB67" w14:textId="77777777" w:rsidR="00184B6B" w:rsidRPr="00184B6B" w:rsidRDefault="00184B6B" w:rsidP="00184B6B">
            <w:pPr>
              <w:spacing w:line="240" w:lineRule="auto"/>
              <w:ind w:firstLine="0"/>
              <w:rPr>
                <w:sz w:val="20"/>
                <w:szCs w:val="22"/>
              </w:rPr>
            </w:pPr>
            <w:r w:rsidRPr="00184B6B">
              <w:rPr>
                <w:sz w:val="20"/>
                <w:szCs w:val="22"/>
              </w:rPr>
              <w:t>(0.028)</w:t>
            </w:r>
          </w:p>
        </w:tc>
        <w:tc>
          <w:tcPr>
            <w:tcW w:w="730" w:type="pct"/>
            <w:tcBorders>
              <w:top w:val="nil"/>
              <w:left w:val="nil"/>
              <w:bottom w:val="nil"/>
              <w:right w:val="nil"/>
            </w:tcBorders>
            <w:shd w:val="clear" w:color="auto" w:fill="auto"/>
            <w:noWrap/>
            <w:vAlign w:val="bottom"/>
            <w:hideMark/>
          </w:tcPr>
          <w:p w14:paraId="55EB57BA" w14:textId="77777777" w:rsidR="00184B6B" w:rsidRPr="00184B6B" w:rsidRDefault="00184B6B" w:rsidP="00184B6B">
            <w:pPr>
              <w:spacing w:line="240" w:lineRule="auto"/>
              <w:ind w:firstLine="0"/>
              <w:rPr>
                <w:sz w:val="20"/>
                <w:szCs w:val="22"/>
              </w:rPr>
            </w:pPr>
            <w:r w:rsidRPr="00184B6B">
              <w:rPr>
                <w:sz w:val="20"/>
                <w:szCs w:val="22"/>
              </w:rPr>
              <w:t>(0.028)</w:t>
            </w:r>
          </w:p>
        </w:tc>
      </w:tr>
      <w:tr w:rsidR="00184B6B" w:rsidRPr="00184B6B" w14:paraId="50649CD4" w14:textId="77777777" w:rsidTr="00B617ED">
        <w:trPr>
          <w:trHeight w:val="300"/>
        </w:trPr>
        <w:tc>
          <w:tcPr>
            <w:tcW w:w="2077" w:type="pct"/>
            <w:tcBorders>
              <w:top w:val="nil"/>
              <w:left w:val="nil"/>
              <w:bottom w:val="nil"/>
              <w:right w:val="nil"/>
            </w:tcBorders>
            <w:shd w:val="clear" w:color="auto" w:fill="auto"/>
            <w:noWrap/>
            <w:vAlign w:val="bottom"/>
            <w:hideMark/>
          </w:tcPr>
          <w:p w14:paraId="22D30CA5" w14:textId="77777777" w:rsidR="00184B6B" w:rsidRPr="00184B6B" w:rsidRDefault="00184B6B" w:rsidP="00184B6B">
            <w:pPr>
              <w:spacing w:line="240" w:lineRule="auto"/>
              <w:ind w:firstLine="0"/>
              <w:jc w:val="left"/>
              <w:rPr>
                <w:sz w:val="20"/>
                <w:szCs w:val="22"/>
              </w:rPr>
            </w:pPr>
            <w:r w:rsidRPr="00184B6B">
              <w:rPr>
                <w:sz w:val="20"/>
                <w:szCs w:val="22"/>
              </w:rPr>
              <w:t>Tertiary education</w:t>
            </w:r>
          </w:p>
        </w:tc>
        <w:tc>
          <w:tcPr>
            <w:tcW w:w="731" w:type="pct"/>
            <w:tcBorders>
              <w:top w:val="nil"/>
              <w:left w:val="nil"/>
              <w:bottom w:val="nil"/>
              <w:right w:val="nil"/>
            </w:tcBorders>
            <w:shd w:val="clear" w:color="auto" w:fill="auto"/>
            <w:noWrap/>
            <w:vAlign w:val="bottom"/>
            <w:hideMark/>
          </w:tcPr>
          <w:p w14:paraId="1598E3F2" w14:textId="77777777" w:rsidR="00184B6B" w:rsidRPr="00184B6B" w:rsidRDefault="00184B6B" w:rsidP="00184B6B">
            <w:pPr>
              <w:spacing w:line="240" w:lineRule="auto"/>
              <w:ind w:firstLine="0"/>
              <w:rPr>
                <w:sz w:val="20"/>
                <w:szCs w:val="22"/>
              </w:rPr>
            </w:pPr>
            <w:r w:rsidRPr="00184B6B">
              <w:rPr>
                <w:sz w:val="20"/>
                <w:szCs w:val="22"/>
              </w:rPr>
              <w:t>0.288***</w:t>
            </w:r>
          </w:p>
        </w:tc>
        <w:tc>
          <w:tcPr>
            <w:tcW w:w="731" w:type="pct"/>
            <w:tcBorders>
              <w:top w:val="nil"/>
              <w:left w:val="nil"/>
              <w:bottom w:val="nil"/>
              <w:right w:val="nil"/>
            </w:tcBorders>
            <w:shd w:val="clear" w:color="auto" w:fill="auto"/>
            <w:noWrap/>
            <w:vAlign w:val="bottom"/>
            <w:hideMark/>
          </w:tcPr>
          <w:p w14:paraId="256D71C3" w14:textId="77777777" w:rsidR="00184B6B" w:rsidRPr="00184B6B" w:rsidRDefault="00184B6B" w:rsidP="00184B6B">
            <w:pPr>
              <w:spacing w:line="240" w:lineRule="auto"/>
              <w:ind w:firstLine="0"/>
              <w:rPr>
                <w:sz w:val="20"/>
                <w:szCs w:val="22"/>
              </w:rPr>
            </w:pPr>
            <w:r w:rsidRPr="00184B6B">
              <w:rPr>
                <w:sz w:val="20"/>
                <w:szCs w:val="22"/>
              </w:rPr>
              <w:t>0.288***</w:t>
            </w:r>
          </w:p>
        </w:tc>
        <w:tc>
          <w:tcPr>
            <w:tcW w:w="731" w:type="pct"/>
            <w:tcBorders>
              <w:top w:val="nil"/>
              <w:left w:val="nil"/>
              <w:bottom w:val="nil"/>
              <w:right w:val="nil"/>
            </w:tcBorders>
            <w:shd w:val="clear" w:color="auto" w:fill="auto"/>
            <w:noWrap/>
            <w:vAlign w:val="bottom"/>
            <w:hideMark/>
          </w:tcPr>
          <w:p w14:paraId="72B21E2D" w14:textId="77777777" w:rsidR="00184B6B" w:rsidRPr="00184B6B" w:rsidRDefault="00184B6B" w:rsidP="00184B6B">
            <w:pPr>
              <w:spacing w:line="240" w:lineRule="auto"/>
              <w:ind w:firstLine="0"/>
              <w:rPr>
                <w:sz w:val="20"/>
                <w:szCs w:val="22"/>
              </w:rPr>
            </w:pPr>
            <w:r w:rsidRPr="00184B6B">
              <w:rPr>
                <w:sz w:val="20"/>
                <w:szCs w:val="22"/>
              </w:rPr>
              <w:t>0.291***</w:t>
            </w:r>
          </w:p>
        </w:tc>
        <w:tc>
          <w:tcPr>
            <w:tcW w:w="730" w:type="pct"/>
            <w:tcBorders>
              <w:top w:val="nil"/>
              <w:left w:val="nil"/>
              <w:bottom w:val="nil"/>
              <w:right w:val="nil"/>
            </w:tcBorders>
            <w:shd w:val="clear" w:color="auto" w:fill="auto"/>
            <w:noWrap/>
            <w:vAlign w:val="bottom"/>
            <w:hideMark/>
          </w:tcPr>
          <w:p w14:paraId="363CAA78" w14:textId="77777777" w:rsidR="00184B6B" w:rsidRPr="00184B6B" w:rsidRDefault="00184B6B" w:rsidP="00184B6B">
            <w:pPr>
              <w:spacing w:line="240" w:lineRule="auto"/>
              <w:ind w:firstLine="0"/>
              <w:rPr>
                <w:sz w:val="20"/>
                <w:szCs w:val="22"/>
              </w:rPr>
            </w:pPr>
            <w:r w:rsidRPr="00184B6B">
              <w:rPr>
                <w:sz w:val="20"/>
                <w:szCs w:val="22"/>
              </w:rPr>
              <w:t>0.291***</w:t>
            </w:r>
          </w:p>
        </w:tc>
      </w:tr>
      <w:tr w:rsidR="00184B6B" w:rsidRPr="00184B6B" w14:paraId="7F33ED13" w14:textId="77777777" w:rsidTr="00B617ED">
        <w:trPr>
          <w:trHeight w:val="300"/>
        </w:trPr>
        <w:tc>
          <w:tcPr>
            <w:tcW w:w="2077" w:type="pct"/>
            <w:tcBorders>
              <w:top w:val="nil"/>
              <w:left w:val="nil"/>
              <w:bottom w:val="nil"/>
              <w:right w:val="nil"/>
            </w:tcBorders>
            <w:shd w:val="clear" w:color="auto" w:fill="auto"/>
            <w:noWrap/>
            <w:vAlign w:val="bottom"/>
            <w:hideMark/>
          </w:tcPr>
          <w:p w14:paraId="3EE145AF"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633B2E27" w14:textId="77777777" w:rsidR="00184B6B" w:rsidRPr="00184B6B" w:rsidRDefault="00184B6B" w:rsidP="00184B6B">
            <w:pPr>
              <w:spacing w:line="240" w:lineRule="auto"/>
              <w:ind w:firstLine="0"/>
              <w:rPr>
                <w:sz w:val="20"/>
                <w:szCs w:val="22"/>
              </w:rPr>
            </w:pPr>
            <w:r w:rsidRPr="00184B6B">
              <w:rPr>
                <w:sz w:val="20"/>
                <w:szCs w:val="22"/>
              </w:rPr>
              <w:t>(0.025)</w:t>
            </w:r>
          </w:p>
        </w:tc>
        <w:tc>
          <w:tcPr>
            <w:tcW w:w="731" w:type="pct"/>
            <w:tcBorders>
              <w:top w:val="nil"/>
              <w:left w:val="nil"/>
              <w:bottom w:val="nil"/>
              <w:right w:val="nil"/>
            </w:tcBorders>
            <w:shd w:val="clear" w:color="auto" w:fill="auto"/>
            <w:noWrap/>
            <w:vAlign w:val="bottom"/>
            <w:hideMark/>
          </w:tcPr>
          <w:p w14:paraId="7066775D" w14:textId="77777777" w:rsidR="00184B6B" w:rsidRPr="00184B6B" w:rsidRDefault="00184B6B" w:rsidP="00184B6B">
            <w:pPr>
              <w:spacing w:line="240" w:lineRule="auto"/>
              <w:ind w:firstLine="0"/>
              <w:rPr>
                <w:sz w:val="20"/>
                <w:szCs w:val="22"/>
              </w:rPr>
            </w:pPr>
            <w:r w:rsidRPr="00184B6B">
              <w:rPr>
                <w:sz w:val="20"/>
                <w:szCs w:val="22"/>
              </w:rPr>
              <w:t>(0.025)</w:t>
            </w:r>
          </w:p>
        </w:tc>
        <w:tc>
          <w:tcPr>
            <w:tcW w:w="731" w:type="pct"/>
            <w:tcBorders>
              <w:top w:val="nil"/>
              <w:left w:val="nil"/>
              <w:bottom w:val="nil"/>
              <w:right w:val="nil"/>
            </w:tcBorders>
            <w:shd w:val="clear" w:color="auto" w:fill="auto"/>
            <w:noWrap/>
            <w:vAlign w:val="bottom"/>
            <w:hideMark/>
          </w:tcPr>
          <w:p w14:paraId="25FE2BE3" w14:textId="77777777" w:rsidR="00184B6B" w:rsidRPr="00184B6B" w:rsidRDefault="00184B6B" w:rsidP="00184B6B">
            <w:pPr>
              <w:spacing w:line="240" w:lineRule="auto"/>
              <w:ind w:firstLine="0"/>
              <w:rPr>
                <w:sz w:val="20"/>
                <w:szCs w:val="22"/>
              </w:rPr>
            </w:pPr>
            <w:r w:rsidRPr="00184B6B">
              <w:rPr>
                <w:sz w:val="20"/>
                <w:szCs w:val="22"/>
              </w:rPr>
              <w:t>(0.025)</w:t>
            </w:r>
          </w:p>
        </w:tc>
        <w:tc>
          <w:tcPr>
            <w:tcW w:w="730" w:type="pct"/>
            <w:tcBorders>
              <w:top w:val="nil"/>
              <w:left w:val="nil"/>
              <w:bottom w:val="nil"/>
              <w:right w:val="nil"/>
            </w:tcBorders>
            <w:shd w:val="clear" w:color="auto" w:fill="auto"/>
            <w:noWrap/>
            <w:vAlign w:val="bottom"/>
            <w:hideMark/>
          </w:tcPr>
          <w:p w14:paraId="22E67C1B" w14:textId="77777777" w:rsidR="00184B6B" w:rsidRPr="00184B6B" w:rsidRDefault="00184B6B" w:rsidP="00184B6B">
            <w:pPr>
              <w:spacing w:line="240" w:lineRule="auto"/>
              <w:ind w:firstLine="0"/>
              <w:rPr>
                <w:sz w:val="20"/>
                <w:szCs w:val="22"/>
              </w:rPr>
            </w:pPr>
            <w:r w:rsidRPr="00184B6B">
              <w:rPr>
                <w:sz w:val="20"/>
                <w:szCs w:val="22"/>
              </w:rPr>
              <w:t>(0.025)</w:t>
            </w:r>
          </w:p>
        </w:tc>
      </w:tr>
      <w:tr w:rsidR="00184B6B" w:rsidRPr="00184B6B" w14:paraId="52298F67" w14:textId="77777777" w:rsidTr="00B617ED">
        <w:trPr>
          <w:trHeight w:val="300"/>
        </w:trPr>
        <w:tc>
          <w:tcPr>
            <w:tcW w:w="2077" w:type="pct"/>
            <w:tcBorders>
              <w:top w:val="nil"/>
              <w:left w:val="nil"/>
              <w:bottom w:val="nil"/>
              <w:right w:val="nil"/>
            </w:tcBorders>
            <w:shd w:val="clear" w:color="auto" w:fill="auto"/>
            <w:noWrap/>
            <w:vAlign w:val="bottom"/>
            <w:hideMark/>
          </w:tcPr>
          <w:p w14:paraId="061AE6DF" w14:textId="77777777" w:rsidR="00184B6B" w:rsidRPr="00184B6B" w:rsidRDefault="00184B6B" w:rsidP="00184B6B">
            <w:pPr>
              <w:spacing w:line="240" w:lineRule="auto"/>
              <w:ind w:firstLine="0"/>
              <w:jc w:val="left"/>
              <w:rPr>
                <w:sz w:val="20"/>
                <w:szCs w:val="22"/>
              </w:rPr>
            </w:pPr>
            <w:r w:rsidRPr="00184B6B">
              <w:rPr>
                <w:sz w:val="20"/>
                <w:szCs w:val="22"/>
              </w:rPr>
              <w:t>2nd income quintile</w:t>
            </w:r>
          </w:p>
        </w:tc>
        <w:tc>
          <w:tcPr>
            <w:tcW w:w="731" w:type="pct"/>
            <w:tcBorders>
              <w:top w:val="nil"/>
              <w:left w:val="nil"/>
              <w:bottom w:val="nil"/>
              <w:right w:val="nil"/>
            </w:tcBorders>
            <w:shd w:val="clear" w:color="auto" w:fill="auto"/>
            <w:noWrap/>
            <w:vAlign w:val="bottom"/>
            <w:hideMark/>
          </w:tcPr>
          <w:p w14:paraId="51179AF4" w14:textId="77777777" w:rsidR="00184B6B" w:rsidRPr="00184B6B" w:rsidRDefault="00184B6B" w:rsidP="00184B6B">
            <w:pPr>
              <w:spacing w:line="240" w:lineRule="auto"/>
              <w:ind w:firstLine="0"/>
              <w:rPr>
                <w:sz w:val="20"/>
                <w:szCs w:val="22"/>
              </w:rPr>
            </w:pPr>
            <w:r w:rsidRPr="00184B6B">
              <w:rPr>
                <w:sz w:val="20"/>
                <w:szCs w:val="22"/>
              </w:rPr>
              <w:t>0.008</w:t>
            </w:r>
          </w:p>
        </w:tc>
        <w:tc>
          <w:tcPr>
            <w:tcW w:w="731" w:type="pct"/>
            <w:tcBorders>
              <w:top w:val="nil"/>
              <w:left w:val="nil"/>
              <w:bottom w:val="nil"/>
              <w:right w:val="nil"/>
            </w:tcBorders>
            <w:shd w:val="clear" w:color="auto" w:fill="auto"/>
            <w:noWrap/>
            <w:vAlign w:val="bottom"/>
            <w:hideMark/>
          </w:tcPr>
          <w:p w14:paraId="11A06759" w14:textId="77777777" w:rsidR="00184B6B" w:rsidRPr="00184B6B" w:rsidRDefault="00184B6B" w:rsidP="00184B6B">
            <w:pPr>
              <w:spacing w:line="240" w:lineRule="auto"/>
              <w:ind w:firstLine="0"/>
              <w:rPr>
                <w:sz w:val="20"/>
                <w:szCs w:val="22"/>
              </w:rPr>
            </w:pPr>
            <w:r w:rsidRPr="00184B6B">
              <w:rPr>
                <w:sz w:val="20"/>
                <w:szCs w:val="22"/>
              </w:rPr>
              <w:t>0.007</w:t>
            </w:r>
          </w:p>
        </w:tc>
        <w:tc>
          <w:tcPr>
            <w:tcW w:w="731" w:type="pct"/>
            <w:tcBorders>
              <w:top w:val="nil"/>
              <w:left w:val="nil"/>
              <w:bottom w:val="nil"/>
              <w:right w:val="nil"/>
            </w:tcBorders>
            <w:shd w:val="clear" w:color="auto" w:fill="auto"/>
            <w:noWrap/>
            <w:vAlign w:val="bottom"/>
            <w:hideMark/>
          </w:tcPr>
          <w:p w14:paraId="51A9799A" w14:textId="77777777" w:rsidR="00184B6B" w:rsidRPr="00184B6B" w:rsidRDefault="00184B6B" w:rsidP="00184B6B">
            <w:pPr>
              <w:spacing w:line="240" w:lineRule="auto"/>
              <w:ind w:firstLine="0"/>
              <w:rPr>
                <w:sz w:val="20"/>
                <w:szCs w:val="22"/>
              </w:rPr>
            </w:pPr>
            <w:r w:rsidRPr="00184B6B">
              <w:rPr>
                <w:sz w:val="20"/>
                <w:szCs w:val="22"/>
              </w:rPr>
              <w:t>0.008</w:t>
            </w:r>
          </w:p>
        </w:tc>
        <w:tc>
          <w:tcPr>
            <w:tcW w:w="730" w:type="pct"/>
            <w:tcBorders>
              <w:top w:val="nil"/>
              <w:left w:val="nil"/>
              <w:bottom w:val="nil"/>
              <w:right w:val="nil"/>
            </w:tcBorders>
            <w:shd w:val="clear" w:color="auto" w:fill="auto"/>
            <w:noWrap/>
            <w:vAlign w:val="bottom"/>
            <w:hideMark/>
          </w:tcPr>
          <w:p w14:paraId="6DAAF297" w14:textId="77777777" w:rsidR="00184B6B" w:rsidRPr="00184B6B" w:rsidRDefault="00184B6B" w:rsidP="00184B6B">
            <w:pPr>
              <w:spacing w:line="240" w:lineRule="auto"/>
              <w:ind w:firstLine="0"/>
              <w:rPr>
                <w:sz w:val="20"/>
                <w:szCs w:val="22"/>
              </w:rPr>
            </w:pPr>
            <w:r w:rsidRPr="00184B6B">
              <w:rPr>
                <w:sz w:val="20"/>
                <w:szCs w:val="22"/>
              </w:rPr>
              <w:t>0.007</w:t>
            </w:r>
          </w:p>
        </w:tc>
      </w:tr>
      <w:tr w:rsidR="00184B6B" w:rsidRPr="00184B6B" w14:paraId="50C29893" w14:textId="77777777" w:rsidTr="00B617ED">
        <w:trPr>
          <w:trHeight w:val="300"/>
        </w:trPr>
        <w:tc>
          <w:tcPr>
            <w:tcW w:w="2077" w:type="pct"/>
            <w:tcBorders>
              <w:top w:val="nil"/>
              <w:left w:val="nil"/>
              <w:bottom w:val="nil"/>
              <w:right w:val="nil"/>
            </w:tcBorders>
            <w:shd w:val="clear" w:color="auto" w:fill="auto"/>
            <w:noWrap/>
            <w:vAlign w:val="bottom"/>
            <w:hideMark/>
          </w:tcPr>
          <w:p w14:paraId="1F6F48B3"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0B44AC2F"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648E408B"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404EFA8C" w14:textId="77777777" w:rsidR="00184B6B" w:rsidRPr="00184B6B" w:rsidRDefault="00184B6B" w:rsidP="00184B6B">
            <w:pPr>
              <w:spacing w:line="240" w:lineRule="auto"/>
              <w:ind w:firstLine="0"/>
              <w:rPr>
                <w:sz w:val="20"/>
                <w:szCs w:val="22"/>
              </w:rPr>
            </w:pPr>
            <w:r w:rsidRPr="00184B6B">
              <w:rPr>
                <w:sz w:val="20"/>
                <w:szCs w:val="22"/>
              </w:rPr>
              <w:t>(0.037)</w:t>
            </w:r>
          </w:p>
        </w:tc>
        <w:tc>
          <w:tcPr>
            <w:tcW w:w="730" w:type="pct"/>
            <w:tcBorders>
              <w:top w:val="nil"/>
              <w:left w:val="nil"/>
              <w:bottom w:val="nil"/>
              <w:right w:val="nil"/>
            </w:tcBorders>
            <w:shd w:val="clear" w:color="auto" w:fill="auto"/>
            <w:noWrap/>
            <w:vAlign w:val="bottom"/>
            <w:hideMark/>
          </w:tcPr>
          <w:p w14:paraId="30EEB5D6" w14:textId="77777777" w:rsidR="00184B6B" w:rsidRPr="00184B6B" w:rsidRDefault="00184B6B" w:rsidP="00184B6B">
            <w:pPr>
              <w:spacing w:line="240" w:lineRule="auto"/>
              <w:ind w:firstLine="0"/>
              <w:rPr>
                <w:sz w:val="20"/>
                <w:szCs w:val="22"/>
              </w:rPr>
            </w:pPr>
            <w:r w:rsidRPr="00184B6B">
              <w:rPr>
                <w:sz w:val="20"/>
                <w:szCs w:val="22"/>
              </w:rPr>
              <w:t>(0.037)</w:t>
            </w:r>
          </w:p>
        </w:tc>
      </w:tr>
      <w:tr w:rsidR="00184B6B" w:rsidRPr="00184B6B" w14:paraId="41D3898E" w14:textId="77777777" w:rsidTr="00B617ED">
        <w:trPr>
          <w:trHeight w:val="300"/>
        </w:trPr>
        <w:tc>
          <w:tcPr>
            <w:tcW w:w="2077" w:type="pct"/>
            <w:tcBorders>
              <w:top w:val="nil"/>
              <w:left w:val="nil"/>
              <w:bottom w:val="nil"/>
              <w:right w:val="nil"/>
            </w:tcBorders>
            <w:shd w:val="clear" w:color="auto" w:fill="auto"/>
            <w:noWrap/>
            <w:vAlign w:val="bottom"/>
            <w:hideMark/>
          </w:tcPr>
          <w:p w14:paraId="54642454" w14:textId="77777777" w:rsidR="00184B6B" w:rsidRPr="00184B6B" w:rsidRDefault="00184B6B" w:rsidP="00184B6B">
            <w:pPr>
              <w:spacing w:line="240" w:lineRule="auto"/>
              <w:ind w:firstLine="0"/>
              <w:jc w:val="left"/>
              <w:rPr>
                <w:sz w:val="20"/>
                <w:szCs w:val="22"/>
              </w:rPr>
            </w:pPr>
            <w:r w:rsidRPr="00184B6B">
              <w:rPr>
                <w:sz w:val="20"/>
                <w:szCs w:val="22"/>
              </w:rPr>
              <w:t>3rd income quintile</w:t>
            </w:r>
          </w:p>
        </w:tc>
        <w:tc>
          <w:tcPr>
            <w:tcW w:w="731" w:type="pct"/>
            <w:tcBorders>
              <w:top w:val="nil"/>
              <w:left w:val="nil"/>
              <w:bottom w:val="nil"/>
              <w:right w:val="nil"/>
            </w:tcBorders>
            <w:shd w:val="clear" w:color="auto" w:fill="auto"/>
            <w:noWrap/>
            <w:vAlign w:val="bottom"/>
            <w:hideMark/>
          </w:tcPr>
          <w:p w14:paraId="20D29E0F" w14:textId="77777777" w:rsidR="00184B6B" w:rsidRPr="00184B6B" w:rsidRDefault="00184B6B" w:rsidP="00184B6B">
            <w:pPr>
              <w:spacing w:line="240" w:lineRule="auto"/>
              <w:ind w:firstLine="0"/>
              <w:rPr>
                <w:sz w:val="20"/>
                <w:szCs w:val="22"/>
              </w:rPr>
            </w:pPr>
            <w:r w:rsidRPr="00184B6B">
              <w:rPr>
                <w:sz w:val="20"/>
                <w:szCs w:val="22"/>
              </w:rPr>
              <w:t>0.020</w:t>
            </w:r>
          </w:p>
        </w:tc>
        <w:tc>
          <w:tcPr>
            <w:tcW w:w="731" w:type="pct"/>
            <w:tcBorders>
              <w:top w:val="nil"/>
              <w:left w:val="nil"/>
              <w:bottom w:val="nil"/>
              <w:right w:val="nil"/>
            </w:tcBorders>
            <w:shd w:val="clear" w:color="auto" w:fill="auto"/>
            <w:noWrap/>
            <w:vAlign w:val="bottom"/>
            <w:hideMark/>
          </w:tcPr>
          <w:p w14:paraId="4B065C5F" w14:textId="77777777" w:rsidR="00184B6B" w:rsidRPr="00184B6B" w:rsidRDefault="00184B6B" w:rsidP="00184B6B">
            <w:pPr>
              <w:spacing w:line="240" w:lineRule="auto"/>
              <w:ind w:firstLine="0"/>
              <w:rPr>
                <w:sz w:val="20"/>
                <w:szCs w:val="22"/>
              </w:rPr>
            </w:pPr>
            <w:r w:rsidRPr="00184B6B">
              <w:rPr>
                <w:sz w:val="20"/>
                <w:szCs w:val="22"/>
              </w:rPr>
              <w:t>0.019</w:t>
            </w:r>
          </w:p>
        </w:tc>
        <w:tc>
          <w:tcPr>
            <w:tcW w:w="731" w:type="pct"/>
            <w:tcBorders>
              <w:top w:val="nil"/>
              <w:left w:val="nil"/>
              <w:bottom w:val="nil"/>
              <w:right w:val="nil"/>
            </w:tcBorders>
            <w:shd w:val="clear" w:color="auto" w:fill="auto"/>
            <w:noWrap/>
            <w:vAlign w:val="bottom"/>
            <w:hideMark/>
          </w:tcPr>
          <w:p w14:paraId="4E1287D2" w14:textId="77777777" w:rsidR="00184B6B" w:rsidRPr="00184B6B" w:rsidRDefault="00184B6B" w:rsidP="00184B6B">
            <w:pPr>
              <w:spacing w:line="240" w:lineRule="auto"/>
              <w:ind w:firstLine="0"/>
              <w:rPr>
                <w:sz w:val="20"/>
                <w:szCs w:val="22"/>
              </w:rPr>
            </w:pPr>
            <w:r w:rsidRPr="00184B6B">
              <w:rPr>
                <w:sz w:val="20"/>
                <w:szCs w:val="22"/>
              </w:rPr>
              <w:t>0.020</w:t>
            </w:r>
          </w:p>
        </w:tc>
        <w:tc>
          <w:tcPr>
            <w:tcW w:w="730" w:type="pct"/>
            <w:tcBorders>
              <w:top w:val="nil"/>
              <w:left w:val="nil"/>
              <w:bottom w:val="nil"/>
              <w:right w:val="nil"/>
            </w:tcBorders>
            <w:shd w:val="clear" w:color="auto" w:fill="auto"/>
            <w:noWrap/>
            <w:vAlign w:val="bottom"/>
            <w:hideMark/>
          </w:tcPr>
          <w:p w14:paraId="37F15EED" w14:textId="77777777" w:rsidR="00184B6B" w:rsidRPr="00184B6B" w:rsidRDefault="00184B6B" w:rsidP="00184B6B">
            <w:pPr>
              <w:spacing w:line="240" w:lineRule="auto"/>
              <w:ind w:firstLine="0"/>
              <w:rPr>
                <w:sz w:val="20"/>
                <w:szCs w:val="22"/>
              </w:rPr>
            </w:pPr>
            <w:r w:rsidRPr="00184B6B">
              <w:rPr>
                <w:sz w:val="20"/>
                <w:szCs w:val="22"/>
              </w:rPr>
              <w:t>0.019</w:t>
            </w:r>
          </w:p>
        </w:tc>
      </w:tr>
      <w:tr w:rsidR="00184B6B" w:rsidRPr="00184B6B" w14:paraId="4F723644" w14:textId="77777777" w:rsidTr="00B617ED">
        <w:trPr>
          <w:trHeight w:val="300"/>
        </w:trPr>
        <w:tc>
          <w:tcPr>
            <w:tcW w:w="2077" w:type="pct"/>
            <w:tcBorders>
              <w:top w:val="nil"/>
              <w:left w:val="nil"/>
              <w:bottom w:val="nil"/>
              <w:right w:val="nil"/>
            </w:tcBorders>
            <w:shd w:val="clear" w:color="auto" w:fill="auto"/>
            <w:noWrap/>
            <w:vAlign w:val="bottom"/>
            <w:hideMark/>
          </w:tcPr>
          <w:p w14:paraId="6B50F628"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C005A1D" w14:textId="77777777" w:rsidR="00184B6B" w:rsidRPr="00184B6B" w:rsidRDefault="00184B6B" w:rsidP="00184B6B">
            <w:pPr>
              <w:spacing w:line="240" w:lineRule="auto"/>
              <w:ind w:firstLine="0"/>
              <w:rPr>
                <w:sz w:val="20"/>
                <w:szCs w:val="22"/>
              </w:rPr>
            </w:pPr>
            <w:r w:rsidRPr="00184B6B">
              <w:rPr>
                <w:sz w:val="20"/>
                <w:szCs w:val="22"/>
              </w:rPr>
              <w:t>(0.036)</w:t>
            </w:r>
          </w:p>
        </w:tc>
        <w:tc>
          <w:tcPr>
            <w:tcW w:w="731" w:type="pct"/>
            <w:tcBorders>
              <w:top w:val="nil"/>
              <w:left w:val="nil"/>
              <w:bottom w:val="nil"/>
              <w:right w:val="nil"/>
            </w:tcBorders>
            <w:shd w:val="clear" w:color="auto" w:fill="auto"/>
            <w:noWrap/>
            <w:vAlign w:val="bottom"/>
            <w:hideMark/>
          </w:tcPr>
          <w:p w14:paraId="548DCE7F" w14:textId="77777777" w:rsidR="00184B6B" w:rsidRPr="00184B6B" w:rsidRDefault="00184B6B" w:rsidP="00184B6B">
            <w:pPr>
              <w:spacing w:line="240" w:lineRule="auto"/>
              <w:ind w:firstLine="0"/>
              <w:rPr>
                <w:sz w:val="20"/>
                <w:szCs w:val="22"/>
              </w:rPr>
            </w:pPr>
            <w:r w:rsidRPr="00184B6B">
              <w:rPr>
                <w:sz w:val="20"/>
                <w:szCs w:val="22"/>
              </w:rPr>
              <w:t>(0.036)</w:t>
            </w:r>
          </w:p>
        </w:tc>
        <w:tc>
          <w:tcPr>
            <w:tcW w:w="731" w:type="pct"/>
            <w:tcBorders>
              <w:top w:val="nil"/>
              <w:left w:val="nil"/>
              <w:bottom w:val="nil"/>
              <w:right w:val="nil"/>
            </w:tcBorders>
            <w:shd w:val="clear" w:color="auto" w:fill="auto"/>
            <w:noWrap/>
            <w:vAlign w:val="bottom"/>
            <w:hideMark/>
          </w:tcPr>
          <w:p w14:paraId="5F37AE4F" w14:textId="77777777" w:rsidR="00184B6B" w:rsidRPr="00184B6B" w:rsidRDefault="00184B6B" w:rsidP="00184B6B">
            <w:pPr>
              <w:spacing w:line="240" w:lineRule="auto"/>
              <w:ind w:firstLine="0"/>
              <w:rPr>
                <w:sz w:val="20"/>
                <w:szCs w:val="22"/>
              </w:rPr>
            </w:pPr>
            <w:r w:rsidRPr="00184B6B">
              <w:rPr>
                <w:sz w:val="20"/>
                <w:szCs w:val="22"/>
              </w:rPr>
              <w:t>(0.036)</w:t>
            </w:r>
          </w:p>
        </w:tc>
        <w:tc>
          <w:tcPr>
            <w:tcW w:w="730" w:type="pct"/>
            <w:tcBorders>
              <w:top w:val="nil"/>
              <w:left w:val="nil"/>
              <w:bottom w:val="nil"/>
              <w:right w:val="nil"/>
            </w:tcBorders>
            <w:shd w:val="clear" w:color="auto" w:fill="auto"/>
            <w:noWrap/>
            <w:vAlign w:val="bottom"/>
            <w:hideMark/>
          </w:tcPr>
          <w:p w14:paraId="7626F42C" w14:textId="77777777" w:rsidR="00184B6B" w:rsidRPr="00184B6B" w:rsidRDefault="00184B6B" w:rsidP="00184B6B">
            <w:pPr>
              <w:spacing w:line="240" w:lineRule="auto"/>
              <w:ind w:firstLine="0"/>
              <w:rPr>
                <w:sz w:val="20"/>
                <w:szCs w:val="22"/>
              </w:rPr>
            </w:pPr>
            <w:r w:rsidRPr="00184B6B">
              <w:rPr>
                <w:sz w:val="20"/>
                <w:szCs w:val="22"/>
              </w:rPr>
              <w:t>(0.036)</w:t>
            </w:r>
          </w:p>
        </w:tc>
      </w:tr>
      <w:tr w:rsidR="00184B6B" w:rsidRPr="00184B6B" w14:paraId="4F08FCE1" w14:textId="77777777" w:rsidTr="00B617ED">
        <w:trPr>
          <w:trHeight w:val="300"/>
        </w:trPr>
        <w:tc>
          <w:tcPr>
            <w:tcW w:w="2077" w:type="pct"/>
            <w:tcBorders>
              <w:top w:val="nil"/>
              <w:left w:val="nil"/>
              <w:bottom w:val="nil"/>
              <w:right w:val="nil"/>
            </w:tcBorders>
            <w:shd w:val="clear" w:color="auto" w:fill="auto"/>
            <w:noWrap/>
            <w:vAlign w:val="bottom"/>
            <w:hideMark/>
          </w:tcPr>
          <w:p w14:paraId="6B98B953" w14:textId="77777777" w:rsidR="00184B6B" w:rsidRPr="00184B6B" w:rsidRDefault="00184B6B" w:rsidP="00184B6B">
            <w:pPr>
              <w:spacing w:line="240" w:lineRule="auto"/>
              <w:ind w:firstLine="0"/>
              <w:jc w:val="left"/>
              <w:rPr>
                <w:sz w:val="20"/>
                <w:szCs w:val="22"/>
              </w:rPr>
            </w:pPr>
            <w:r w:rsidRPr="00184B6B">
              <w:rPr>
                <w:sz w:val="20"/>
                <w:szCs w:val="22"/>
              </w:rPr>
              <w:t>4th income quintile</w:t>
            </w:r>
          </w:p>
        </w:tc>
        <w:tc>
          <w:tcPr>
            <w:tcW w:w="731" w:type="pct"/>
            <w:tcBorders>
              <w:top w:val="nil"/>
              <w:left w:val="nil"/>
              <w:bottom w:val="nil"/>
              <w:right w:val="nil"/>
            </w:tcBorders>
            <w:shd w:val="clear" w:color="auto" w:fill="auto"/>
            <w:noWrap/>
            <w:vAlign w:val="bottom"/>
            <w:hideMark/>
          </w:tcPr>
          <w:p w14:paraId="5D0A9133" w14:textId="77777777" w:rsidR="00184B6B" w:rsidRPr="00184B6B" w:rsidRDefault="00184B6B" w:rsidP="00184B6B">
            <w:pPr>
              <w:spacing w:line="240" w:lineRule="auto"/>
              <w:ind w:firstLine="0"/>
              <w:rPr>
                <w:sz w:val="20"/>
                <w:szCs w:val="22"/>
              </w:rPr>
            </w:pPr>
            <w:r w:rsidRPr="00184B6B">
              <w:rPr>
                <w:sz w:val="20"/>
                <w:szCs w:val="22"/>
              </w:rPr>
              <w:t>0.111***</w:t>
            </w:r>
          </w:p>
        </w:tc>
        <w:tc>
          <w:tcPr>
            <w:tcW w:w="731" w:type="pct"/>
            <w:tcBorders>
              <w:top w:val="nil"/>
              <w:left w:val="nil"/>
              <w:bottom w:val="nil"/>
              <w:right w:val="nil"/>
            </w:tcBorders>
            <w:shd w:val="clear" w:color="auto" w:fill="auto"/>
            <w:noWrap/>
            <w:vAlign w:val="bottom"/>
            <w:hideMark/>
          </w:tcPr>
          <w:p w14:paraId="797128AA" w14:textId="77777777" w:rsidR="00184B6B" w:rsidRPr="00184B6B" w:rsidRDefault="00184B6B" w:rsidP="00184B6B">
            <w:pPr>
              <w:spacing w:line="240" w:lineRule="auto"/>
              <w:ind w:firstLine="0"/>
              <w:rPr>
                <w:sz w:val="20"/>
                <w:szCs w:val="22"/>
              </w:rPr>
            </w:pPr>
            <w:r w:rsidRPr="00184B6B">
              <w:rPr>
                <w:sz w:val="20"/>
                <w:szCs w:val="22"/>
              </w:rPr>
              <w:t>0.110***</w:t>
            </w:r>
          </w:p>
        </w:tc>
        <w:tc>
          <w:tcPr>
            <w:tcW w:w="731" w:type="pct"/>
            <w:tcBorders>
              <w:top w:val="nil"/>
              <w:left w:val="nil"/>
              <w:bottom w:val="nil"/>
              <w:right w:val="nil"/>
            </w:tcBorders>
            <w:shd w:val="clear" w:color="auto" w:fill="auto"/>
            <w:noWrap/>
            <w:vAlign w:val="bottom"/>
            <w:hideMark/>
          </w:tcPr>
          <w:p w14:paraId="05320B7B" w14:textId="77777777" w:rsidR="00184B6B" w:rsidRPr="00184B6B" w:rsidRDefault="00184B6B" w:rsidP="00184B6B">
            <w:pPr>
              <w:spacing w:line="240" w:lineRule="auto"/>
              <w:ind w:firstLine="0"/>
              <w:rPr>
                <w:sz w:val="20"/>
                <w:szCs w:val="22"/>
              </w:rPr>
            </w:pPr>
            <w:r w:rsidRPr="00184B6B">
              <w:rPr>
                <w:sz w:val="20"/>
                <w:szCs w:val="22"/>
              </w:rPr>
              <w:t>0.109***</w:t>
            </w:r>
          </w:p>
        </w:tc>
        <w:tc>
          <w:tcPr>
            <w:tcW w:w="730" w:type="pct"/>
            <w:tcBorders>
              <w:top w:val="nil"/>
              <w:left w:val="nil"/>
              <w:bottom w:val="nil"/>
              <w:right w:val="nil"/>
            </w:tcBorders>
            <w:shd w:val="clear" w:color="auto" w:fill="auto"/>
            <w:noWrap/>
            <w:vAlign w:val="bottom"/>
            <w:hideMark/>
          </w:tcPr>
          <w:p w14:paraId="6BEF1BC3" w14:textId="77777777" w:rsidR="00184B6B" w:rsidRPr="00184B6B" w:rsidRDefault="00184B6B" w:rsidP="00184B6B">
            <w:pPr>
              <w:spacing w:line="240" w:lineRule="auto"/>
              <w:ind w:firstLine="0"/>
              <w:rPr>
                <w:sz w:val="20"/>
                <w:szCs w:val="22"/>
              </w:rPr>
            </w:pPr>
            <w:r w:rsidRPr="00184B6B">
              <w:rPr>
                <w:sz w:val="20"/>
                <w:szCs w:val="22"/>
              </w:rPr>
              <w:t>0.106***</w:t>
            </w:r>
          </w:p>
        </w:tc>
      </w:tr>
      <w:tr w:rsidR="00184B6B" w:rsidRPr="00184B6B" w14:paraId="19AD7020" w14:textId="77777777" w:rsidTr="00B617ED">
        <w:trPr>
          <w:trHeight w:val="300"/>
        </w:trPr>
        <w:tc>
          <w:tcPr>
            <w:tcW w:w="2077" w:type="pct"/>
            <w:tcBorders>
              <w:top w:val="nil"/>
              <w:left w:val="nil"/>
              <w:bottom w:val="nil"/>
              <w:right w:val="nil"/>
            </w:tcBorders>
            <w:shd w:val="clear" w:color="auto" w:fill="auto"/>
            <w:noWrap/>
            <w:vAlign w:val="bottom"/>
            <w:hideMark/>
          </w:tcPr>
          <w:p w14:paraId="26DA1317"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71B1A8C"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05D62163"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02CB931C" w14:textId="77777777" w:rsidR="00184B6B" w:rsidRPr="00184B6B" w:rsidRDefault="00184B6B" w:rsidP="00184B6B">
            <w:pPr>
              <w:spacing w:line="240" w:lineRule="auto"/>
              <w:ind w:firstLine="0"/>
              <w:rPr>
                <w:sz w:val="20"/>
                <w:szCs w:val="22"/>
              </w:rPr>
            </w:pPr>
            <w:r w:rsidRPr="00184B6B">
              <w:rPr>
                <w:sz w:val="20"/>
                <w:szCs w:val="22"/>
              </w:rPr>
              <w:t>(0.036)</w:t>
            </w:r>
          </w:p>
        </w:tc>
        <w:tc>
          <w:tcPr>
            <w:tcW w:w="730" w:type="pct"/>
            <w:tcBorders>
              <w:top w:val="nil"/>
              <w:left w:val="nil"/>
              <w:bottom w:val="nil"/>
              <w:right w:val="nil"/>
            </w:tcBorders>
            <w:shd w:val="clear" w:color="auto" w:fill="auto"/>
            <w:noWrap/>
            <w:vAlign w:val="bottom"/>
            <w:hideMark/>
          </w:tcPr>
          <w:p w14:paraId="56D738DE" w14:textId="77777777" w:rsidR="00184B6B" w:rsidRPr="00184B6B" w:rsidRDefault="00184B6B" w:rsidP="00184B6B">
            <w:pPr>
              <w:spacing w:line="240" w:lineRule="auto"/>
              <w:ind w:firstLine="0"/>
              <w:rPr>
                <w:sz w:val="20"/>
                <w:szCs w:val="22"/>
              </w:rPr>
            </w:pPr>
            <w:r w:rsidRPr="00184B6B">
              <w:rPr>
                <w:sz w:val="20"/>
                <w:szCs w:val="22"/>
              </w:rPr>
              <w:t>(0.036)</w:t>
            </w:r>
          </w:p>
        </w:tc>
      </w:tr>
      <w:tr w:rsidR="00184B6B" w:rsidRPr="00184B6B" w14:paraId="3DB8999A" w14:textId="77777777" w:rsidTr="00B617ED">
        <w:trPr>
          <w:trHeight w:val="300"/>
        </w:trPr>
        <w:tc>
          <w:tcPr>
            <w:tcW w:w="2077" w:type="pct"/>
            <w:tcBorders>
              <w:top w:val="nil"/>
              <w:left w:val="nil"/>
              <w:bottom w:val="nil"/>
              <w:right w:val="nil"/>
            </w:tcBorders>
            <w:shd w:val="clear" w:color="auto" w:fill="auto"/>
            <w:noWrap/>
            <w:vAlign w:val="bottom"/>
            <w:hideMark/>
          </w:tcPr>
          <w:p w14:paraId="2DB32D14" w14:textId="77777777" w:rsidR="00184B6B" w:rsidRPr="00184B6B" w:rsidRDefault="00184B6B" w:rsidP="00184B6B">
            <w:pPr>
              <w:spacing w:line="240" w:lineRule="auto"/>
              <w:ind w:firstLine="0"/>
              <w:jc w:val="left"/>
              <w:rPr>
                <w:sz w:val="20"/>
                <w:szCs w:val="22"/>
              </w:rPr>
            </w:pPr>
            <w:r w:rsidRPr="00184B6B">
              <w:rPr>
                <w:sz w:val="20"/>
                <w:szCs w:val="22"/>
              </w:rPr>
              <w:t>5th income quintile</w:t>
            </w:r>
          </w:p>
        </w:tc>
        <w:tc>
          <w:tcPr>
            <w:tcW w:w="731" w:type="pct"/>
            <w:tcBorders>
              <w:top w:val="nil"/>
              <w:left w:val="nil"/>
              <w:bottom w:val="nil"/>
              <w:right w:val="nil"/>
            </w:tcBorders>
            <w:shd w:val="clear" w:color="auto" w:fill="auto"/>
            <w:noWrap/>
            <w:vAlign w:val="bottom"/>
            <w:hideMark/>
          </w:tcPr>
          <w:p w14:paraId="4DD52D9C" w14:textId="77777777" w:rsidR="00184B6B" w:rsidRPr="00184B6B" w:rsidRDefault="00184B6B" w:rsidP="00184B6B">
            <w:pPr>
              <w:spacing w:line="240" w:lineRule="auto"/>
              <w:ind w:firstLine="0"/>
              <w:rPr>
                <w:sz w:val="20"/>
                <w:szCs w:val="22"/>
              </w:rPr>
            </w:pPr>
            <w:r w:rsidRPr="00184B6B">
              <w:rPr>
                <w:sz w:val="20"/>
                <w:szCs w:val="22"/>
              </w:rPr>
              <w:t>0.165***</w:t>
            </w:r>
          </w:p>
        </w:tc>
        <w:tc>
          <w:tcPr>
            <w:tcW w:w="731" w:type="pct"/>
            <w:tcBorders>
              <w:top w:val="nil"/>
              <w:left w:val="nil"/>
              <w:bottom w:val="nil"/>
              <w:right w:val="nil"/>
            </w:tcBorders>
            <w:shd w:val="clear" w:color="auto" w:fill="auto"/>
            <w:noWrap/>
            <w:vAlign w:val="bottom"/>
            <w:hideMark/>
          </w:tcPr>
          <w:p w14:paraId="06438F3E" w14:textId="77777777" w:rsidR="00184B6B" w:rsidRPr="00184B6B" w:rsidRDefault="00184B6B" w:rsidP="00184B6B">
            <w:pPr>
              <w:spacing w:line="240" w:lineRule="auto"/>
              <w:ind w:firstLine="0"/>
              <w:rPr>
                <w:sz w:val="20"/>
                <w:szCs w:val="22"/>
              </w:rPr>
            </w:pPr>
            <w:r w:rsidRPr="00184B6B">
              <w:rPr>
                <w:sz w:val="20"/>
                <w:szCs w:val="22"/>
              </w:rPr>
              <w:t>0.163***</w:t>
            </w:r>
          </w:p>
        </w:tc>
        <w:tc>
          <w:tcPr>
            <w:tcW w:w="731" w:type="pct"/>
            <w:tcBorders>
              <w:top w:val="nil"/>
              <w:left w:val="nil"/>
              <w:bottom w:val="nil"/>
              <w:right w:val="nil"/>
            </w:tcBorders>
            <w:shd w:val="clear" w:color="auto" w:fill="auto"/>
            <w:noWrap/>
            <w:vAlign w:val="bottom"/>
            <w:hideMark/>
          </w:tcPr>
          <w:p w14:paraId="68DB01A2" w14:textId="77777777" w:rsidR="00184B6B" w:rsidRPr="00184B6B" w:rsidRDefault="00184B6B" w:rsidP="00184B6B">
            <w:pPr>
              <w:spacing w:line="240" w:lineRule="auto"/>
              <w:ind w:firstLine="0"/>
              <w:rPr>
                <w:sz w:val="20"/>
                <w:szCs w:val="22"/>
              </w:rPr>
            </w:pPr>
            <w:r w:rsidRPr="00184B6B">
              <w:rPr>
                <w:sz w:val="20"/>
                <w:szCs w:val="22"/>
              </w:rPr>
              <w:t>0.158***</w:t>
            </w:r>
          </w:p>
        </w:tc>
        <w:tc>
          <w:tcPr>
            <w:tcW w:w="730" w:type="pct"/>
            <w:tcBorders>
              <w:top w:val="nil"/>
              <w:left w:val="nil"/>
              <w:bottom w:val="nil"/>
              <w:right w:val="nil"/>
            </w:tcBorders>
            <w:shd w:val="clear" w:color="auto" w:fill="auto"/>
            <w:noWrap/>
            <w:vAlign w:val="bottom"/>
            <w:hideMark/>
          </w:tcPr>
          <w:p w14:paraId="34DA81F6" w14:textId="77777777" w:rsidR="00184B6B" w:rsidRPr="00184B6B" w:rsidRDefault="00184B6B" w:rsidP="00184B6B">
            <w:pPr>
              <w:spacing w:line="240" w:lineRule="auto"/>
              <w:ind w:firstLine="0"/>
              <w:rPr>
                <w:sz w:val="20"/>
                <w:szCs w:val="22"/>
              </w:rPr>
            </w:pPr>
            <w:r w:rsidRPr="00184B6B">
              <w:rPr>
                <w:sz w:val="20"/>
                <w:szCs w:val="22"/>
              </w:rPr>
              <w:t>0.155***</w:t>
            </w:r>
          </w:p>
        </w:tc>
      </w:tr>
      <w:tr w:rsidR="00184B6B" w:rsidRPr="00184B6B" w14:paraId="07EFECC0" w14:textId="77777777" w:rsidTr="00B617ED">
        <w:trPr>
          <w:trHeight w:val="300"/>
        </w:trPr>
        <w:tc>
          <w:tcPr>
            <w:tcW w:w="2077" w:type="pct"/>
            <w:tcBorders>
              <w:top w:val="nil"/>
              <w:left w:val="nil"/>
              <w:bottom w:val="nil"/>
              <w:right w:val="nil"/>
            </w:tcBorders>
            <w:shd w:val="clear" w:color="auto" w:fill="auto"/>
            <w:noWrap/>
            <w:vAlign w:val="bottom"/>
            <w:hideMark/>
          </w:tcPr>
          <w:p w14:paraId="6DE97D9D"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3184D39E" w14:textId="77777777" w:rsidR="00184B6B" w:rsidRPr="00184B6B" w:rsidRDefault="00184B6B" w:rsidP="00184B6B">
            <w:pPr>
              <w:spacing w:line="240" w:lineRule="auto"/>
              <w:ind w:firstLine="0"/>
              <w:rPr>
                <w:sz w:val="20"/>
                <w:szCs w:val="22"/>
              </w:rPr>
            </w:pPr>
            <w:r w:rsidRPr="00184B6B">
              <w:rPr>
                <w:sz w:val="20"/>
                <w:szCs w:val="22"/>
              </w:rPr>
              <w:t>(0.040)</w:t>
            </w:r>
          </w:p>
        </w:tc>
        <w:tc>
          <w:tcPr>
            <w:tcW w:w="731" w:type="pct"/>
            <w:tcBorders>
              <w:top w:val="nil"/>
              <w:left w:val="nil"/>
              <w:bottom w:val="nil"/>
              <w:right w:val="nil"/>
            </w:tcBorders>
            <w:shd w:val="clear" w:color="auto" w:fill="auto"/>
            <w:noWrap/>
            <w:vAlign w:val="bottom"/>
            <w:hideMark/>
          </w:tcPr>
          <w:p w14:paraId="4FB7174F" w14:textId="77777777" w:rsidR="00184B6B" w:rsidRPr="00184B6B" w:rsidRDefault="00184B6B" w:rsidP="00184B6B">
            <w:pPr>
              <w:spacing w:line="240" w:lineRule="auto"/>
              <w:ind w:firstLine="0"/>
              <w:rPr>
                <w:sz w:val="20"/>
                <w:szCs w:val="22"/>
              </w:rPr>
            </w:pPr>
            <w:r w:rsidRPr="00184B6B">
              <w:rPr>
                <w:sz w:val="20"/>
                <w:szCs w:val="22"/>
              </w:rPr>
              <w:t>(0.039)</w:t>
            </w:r>
          </w:p>
        </w:tc>
        <w:tc>
          <w:tcPr>
            <w:tcW w:w="731" w:type="pct"/>
            <w:tcBorders>
              <w:top w:val="nil"/>
              <w:left w:val="nil"/>
              <w:bottom w:val="nil"/>
              <w:right w:val="nil"/>
            </w:tcBorders>
            <w:shd w:val="clear" w:color="auto" w:fill="auto"/>
            <w:noWrap/>
            <w:vAlign w:val="bottom"/>
            <w:hideMark/>
          </w:tcPr>
          <w:p w14:paraId="3E061368" w14:textId="77777777" w:rsidR="00184B6B" w:rsidRPr="00184B6B" w:rsidRDefault="00184B6B" w:rsidP="00184B6B">
            <w:pPr>
              <w:spacing w:line="240" w:lineRule="auto"/>
              <w:ind w:firstLine="0"/>
              <w:rPr>
                <w:sz w:val="20"/>
                <w:szCs w:val="22"/>
              </w:rPr>
            </w:pPr>
            <w:r w:rsidRPr="00184B6B">
              <w:rPr>
                <w:sz w:val="20"/>
                <w:szCs w:val="22"/>
              </w:rPr>
              <w:t>(0.040)</w:t>
            </w:r>
          </w:p>
        </w:tc>
        <w:tc>
          <w:tcPr>
            <w:tcW w:w="730" w:type="pct"/>
            <w:tcBorders>
              <w:top w:val="nil"/>
              <w:left w:val="nil"/>
              <w:bottom w:val="nil"/>
              <w:right w:val="nil"/>
            </w:tcBorders>
            <w:shd w:val="clear" w:color="auto" w:fill="auto"/>
            <w:noWrap/>
            <w:vAlign w:val="bottom"/>
            <w:hideMark/>
          </w:tcPr>
          <w:p w14:paraId="0A23513B" w14:textId="77777777" w:rsidR="00184B6B" w:rsidRPr="00184B6B" w:rsidRDefault="00184B6B" w:rsidP="00184B6B">
            <w:pPr>
              <w:spacing w:line="240" w:lineRule="auto"/>
              <w:ind w:firstLine="0"/>
              <w:rPr>
                <w:sz w:val="20"/>
                <w:szCs w:val="22"/>
              </w:rPr>
            </w:pPr>
            <w:r w:rsidRPr="00184B6B">
              <w:rPr>
                <w:sz w:val="20"/>
                <w:szCs w:val="22"/>
              </w:rPr>
              <w:t>(0.040)</w:t>
            </w:r>
          </w:p>
        </w:tc>
      </w:tr>
      <w:tr w:rsidR="00184B6B" w:rsidRPr="00184B6B" w14:paraId="40A8B6FC" w14:textId="77777777" w:rsidTr="00B617ED">
        <w:trPr>
          <w:trHeight w:val="300"/>
        </w:trPr>
        <w:tc>
          <w:tcPr>
            <w:tcW w:w="2077" w:type="pct"/>
            <w:tcBorders>
              <w:top w:val="nil"/>
              <w:left w:val="nil"/>
              <w:bottom w:val="nil"/>
              <w:right w:val="nil"/>
            </w:tcBorders>
            <w:shd w:val="clear" w:color="auto" w:fill="auto"/>
            <w:noWrap/>
            <w:vAlign w:val="bottom"/>
            <w:hideMark/>
          </w:tcPr>
          <w:p w14:paraId="1A5A2A97" w14:textId="77777777" w:rsidR="00184B6B" w:rsidRPr="00184B6B" w:rsidRDefault="00184B6B" w:rsidP="00184B6B">
            <w:pPr>
              <w:spacing w:line="240" w:lineRule="auto"/>
              <w:ind w:firstLine="0"/>
              <w:jc w:val="left"/>
              <w:rPr>
                <w:sz w:val="20"/>
                <w:szCs w:val="22"/>
              </w:rPr>
            </w:pPr>
            <w:r w:rsidRPr="00184B6B">
              <w:rPr>
                <w:sz w:val="20"/>
                <w:szCs w:val="22"/>
              </w:rPr>
              <w:t>Income: no answer</w:t>
            </w:r>
          </w:p>
        </w:tc>
        <w:tc>
          <w:tcPr>
            <w:tcW w:w="731" w:type="pct"/>
            <w:tcBorders>
              <w:top w:val="nil"/>
              <w:left w:val="nil"/>
              <w:bottom w:val="nil"/>
              <w:right w:val="nil"/>
            </w:tcBorders>
            <w:shd w:val="clear" w:color="auto" w:fill="auto"/>
            <w:noWrap/>
            <w:vAlign w:val="bottom"/>
            <w:hideMark/>
          </w:tcPr>
          <w:p w14:paraId="1020961C" w14:textId="77777777" w:rsidR="00184B6B" w:rsidRPr="00184B6B" w:rsidRDefault="00184B6B" w:rsidP="00184B6B">
            <w:pPr>
              <w:spacing w:line="240" w:lineRule="auto"/>
              <w:ind w:firstLine="0"/>
              <w:rPr>
                <w:sz w:val="20"/>
                <w:szCs w:val="22"/>
              </w:rPr>
            </w:pPr>
            <w:r w:rsidRPr="00184B6B">
              <w:rPr>
                <w:sz w:val="20"/>
                <w:szCs w:val="22"/>
              </w:rPr>
              <w:t>0.034</w:t>
            </w:r>
          </w:p>
        </w:tc>
        <w:tc>
          <w:tcPr>
            <w:tcW w:w="731" w:type="pct"/>
            <w:tcBorders>
              <w:top w:val="nil"/>
              <w:left w:val="nil"/>
              <w:bottom w:val="nil"/>
              <w:right w:val="nil"/>
            </w:tcBorders>
            <w:shd w:val="clear" w:color="auto" w:fill="auto"/>
            <w:noWrap/>
            <w:vAlign w:val="bottom"/>
            <w:hideMark/>
          </w:tcPr>
          <w:p w14:paraId="4D2B6CF0" w14:textId="77777777" w:rsidR="00184B6B" w:rsidRPr="00184B6B" w:rsidRDefault="00184B6B" w:rsidP="00184B6B">
            <w:pPr>
              <w:spacing w:line="240" w:lineRule="auto"/>
              <w:ind w:firstLine="0"/>
              <w:rPr>
                <w:sz w:val="20"/>
                <w:szCs w:val="22"/>
              </w:rPr>
            </w:pPr>
            <w:r w:rsidRPr="00184B6B">
              <w:rPr>
                <w:sz w:val="20"/>
                <w:szCs w:val="22"/>
              </w:rPr>
              <w:t>0.035</w:t>
            </w:r>
          </w:p>
        </w:tc>
        <w:tc>
          <w:tcPr>
            <w:tcW w:w="731" w:type="pct"/>
            <w:tcBorders>
              <w:top w:val="nil"/>
              <w:left w:val="nil"/>
              <w:bottom w:val="nil"/>
              <w:right w:val="nil"/>
            </w:tcBorders>
            <w:shd w:val="clear" w:color="auto" w:fill="auto"/>
            <w:noWrap/>
            <w:vAlign w:val="bottom"/>
            <w:hideMark/>
          </w:tcPr>
          <w:p w14:paraId="15FF18F1" w14:textId="77777777" w:rsidR="00184B6B" w:rsidRPr="00184B6B" w:rsidRDefault="00184B6B" w:rsidP="00184B6B">
            <w:pPr>
              <w:spacing w:line="240" w:lineRule="auto"/>
              <w:ind w:firstLine="0"/>
              <w:rPr>
                <w:sz w:val="20"/>
                <w:szCs w:val="22"/>
              </w:rPr>
            </w:pPr>
            <w:r w:rsidRPr="00184B6B">
              <w:rPr>
                <w:sz w:val="20"/>
                <w:szCs w:val="22"/>
              </w:rPr>
              <w:t>0.032</w:t>
            </w:r>
          </w:p>
        </w:tc>
        <w:tc>
          <w:tcPr>
            <w:tcW w:w="730" w:type="pct"/>
            <w:tcBorders>
              <w:top w:val="nil"/>
              <w:left w:val="nil"/>
              <w:bottom w:val="nil"/>
              <w:right w:val="nil"/>
            </w:tcBorders>
            <w:shd w:val="clear" w:color="auto" w:fill="auto"/>
            <w:noWrap/>
            <w:vAlign w:val="bottom"/>
            <w:hideMark/>
          </w:tcPr>
          <w:p w14:paraId="766CA2A6" w14:textId="77777777" w:rsidR="00184B6B" w:rsidRPr="00184B6B" w:rsidRDefault="00184B6B" w:rsidP="00184B6B">
            <w:pPr>
              <w:spacing w:line="240" w:lineRule="auto"/>
              <w:ind w:firstLine="0"/>
              <w:rPr>
                <w:sz w:val="20"/>
                <w:szCs w:val="22"/>
              </w:rPr>
            </w:pPr>
            <w:r w:rsidRPr="00184B6B">
              <w:rPr>
                <w:sz w:val="20"/>
                <w:szCs w:val="22"/>
              </w:rPr>
              <w:t>0.030</w:t>
            </w:r>
          </w:p>
        </w:tc>
      </w:tr>
      <w:tr w:rsidR="00184B6B" w:rsidRPr="00184B6B" w14:paraId="789197AE" w14:textId="77777777" w:rsidTr="00B617ED">
        <w:trPr>
          <w:trHeight w:val="300"/>
        </w:trPr>
        <w:tc>
          <w:tcPr>
            <w:tcW w:w="2077" w:type="pct"/>
            <w:tcBorders>
              <w:top w:val="nil"/>
              <w:left w:val="nil"/>
              <w:bottom w:val="nil"/>
              <w:right w:val="nil"/>
            </w:tcBorders>
            <w:shd w:val="clear" w:color="auto" w:fill="auto"/>
            <w:noWrap/>
            <w:vAlign w:val="bottom"/>
            <w:hideMark/>
          </w:tcPr>
          <w:p w14:paraId="2380C4FB"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E118616"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2151B69D"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56D7567D" w14:textId="77777777" w:rsidR="00184B6B" w:rsidRPr="00184B6B" w:rsidRDefault="00184B6B" w:rsidP="00184B6B">
            <w:pPr>
              <w:spacing w:line="240" w:lineRule="auto"/>
              <w:ind w:firstLine="0"/>
              <w:rPr>
                <w:sz w:val="20"/>
                <w:szCs w:val="22"/>
              </w:rPr>
            </w:pPr>
            <w:r w:rsidRPr="00184B6B">
              <w:rPr>
                <w:sz w:val="20"/>
                <w:szCs w:val="22"/>
              </w:rPr>
              <w:t>(0.037)</w:t>
            </w:r>
          </w:p>
        </w:tc>
        <w:tc>
          <w:tcPr>
            <w:tcW w:w="730" w:type="pct"/>
            <w:tcBorders>
              <w:top w:val="nil"/>
              <w:left w:val="nil"/>
              <w:bottom w:val="nil"/>
              <w:right w:val="nil"/>
            </w:tcBorders>
            <w:shd w:val="clear" w:color="auto" w:fill="auto"/>
            <w:noWrap/>
            <w:vAlign w:val="bottom"/>
            <w:hideMark/>
          </w:tcPr>
          <w:p w14:paraId="1E1DCEC2" w14:textId="77777777" w:rsidR="00184B6B" w:rsidRPr="00184B6B" w:rsidRDefault="00184B6B" w:rsidP="00184B6B">
            <w:pPr>
              <w:spacing w:line="240" w:lineRule="auto"/>
              <w:ind w:firstLine="0"/>
              <w:rPr>
                <w:sz w:val="20"/>
                <w:szCs w:val="22"/>
              </w:rPr>
            </w:pPr>
            <w:r w:rsidRPr="00184B6B">
              <w:rPr>
                <w:sz w:val="20"/>
                <w:szCs w:val="22"/>
              </w:rPr>
              <w:t>(0.037)</w:t>
            </w:r>
          </w:p>
        </w:tc>
      </w:tr>
      <w:tr w:rsidR="00184B6B" w:rsidRPr="00184B6B" w14:paraId="558791CA" w14:textId="77777777" w:rsidTr="00B617ED">
        <w:trPr>
          <w:trHeight w:val="300"/>
        </w:trPr>
        <w:tc>
          <w:tcPr>
            <w:tcW w:w="2077" w:type="pct"/>
            <w:tcBorders>
              <w:top w:val="nil"/>
              <w:left w:val="nil"/>
              <w:bottom w:val="nil"/>
              <w:right w:val="nil"/>
            </w:tcBorders>
            <w:shd w:val="clear" w:color="auto" w:fill="auto"/>
            <w:noWrap/>
            <w:vAlign w:val="bottom"/>
            <w:hideMark/>
          </w:tcPr>
          <w:p w14:paraId="0474D8B0" w14:textId="77777777" w:rsidR="00184B6B" w:rsidRPr="00184B6B" w:rsidRDefault="00184B6B" w:rsidP="00184B6B">
            <w:pPr>
              <w:spacing w:line="240" w:lineRule="auto"/>
              <w:ind w:firstLine="0"/>
              <w:jc w:val="left"/>
              <w:rPr>
                <w:sz w:val="20"/>
                <w:szCs w:val="22"/>
              </w:rPr>
            </w:pPr>
            <w:r w:rsidRPr="00184B6B">
              <w:rPr>
                <w:sz w:val="20"/>
                <w:szCs w:val="22"/>
              </w:rPr>
              <w:t>Standard of living worse</w:t>
            </w:r>
          </w:p>
        </w:tc>
        <w:tc>
          <w:tcPr>
            <w:tcW w:w="731" w:type="pct"/>
            <w:tcBorders>
              <w:top w:val="nil"/>
              <w:left w:val="nil"/>
              <w:bottom w:val="nil"/>
              <w:right w:val="nil"/>
            </w:tcBorders>
            <w:shd w:val="clear" w:color="auto" w:fill="auto"/>
            <w:noWrap/>
            <w:vAlign w:val="bottom"/>
            <w:hideMark/>
          </w:tcPr>
          <w:p w14:paraId="11A98FC3" w14:textId="77777777" w:rsidR="00184B6B" w:rsidRPr="00184B6B" w:rsidRDefault="00184B6B" w:rsidP="00184B6B">
            <w:pPr>
              <w:spacing w:line="240" w:lineRule="auto"/>
              <w:ind w:firstLine="0"/>
              <w:rPr>
                <w:sz w:val="20"/>
                <w:szCs w:val="22"/>
              </w:rPr>
            </w:pPr>
            <w:r w:rsidRPr="00184B6B">
              <w:rPr>
                <w:sz w:val="20"/>
                <w:szCs w:val="22"/>
              </w:rPr>
              <w:t>-0.063***</w:t>
            </w:r>
          </w:p>
        </w:tc>
        <w:tc>
          <w:tcPr>
            <w:tcW w:w="731" w:type="pct"/>
            <w:tcBorders>
              <w:top w:val="nil"/>
              <w:left w:val="nil"/>
              <w:bottom w:val="nil"/>
              <w:right w:val="nil"/>
            </w:tcBorders>
            <w:shd w:val="clear" w:color="auto" w:fill="auto"/>
            <w:noWrap/>
            <w:vAlign w:val="bottom"/>
            <w:hideMark/>
          </w:tcPr>
          <w:p w14:paraId="30FCEBAE" w14:textId="77777777" w:rsidR="00184B6B" w:rsidRPr="00184B6B" w:rsidRDefault="00184B6B" w:rsidP="00184B6B">
            <w:pPr>
              <w:spacing w:line="240" w:lineRule="auto"/>
              <w:ind w:firstLine="0"/>
              <w:rPr>
                <w:sz w:val="20"/>
                <w:szCs w:val="22"/>
              </w:rPr>
            </w:pPr>
            <w:r w:rsidRPr="00184B6B">
              <w:rPr>
                <w:sz w:val="20"/>
                <w:szCs w:val="22"/>
              </w:rPr>
              <w:t>-0.064***</w:t>
            </w:r>
          </w:p>
        </w:tc>
        <w:tc>
          <w:tcPr>
            <w:tcW w:w="731" w:type="pct"/>
            <w:tcBorders>
              <w:top w:val="nil"/>
              <w:left w:val="nil"/>
              <w:bottom w:val="nil"/>
              <w:right w:val="nil"/>
            </w:tcBorders>
            <w:shd w:val="clear" w:color="auto" w:fill="auto"/>
            <w:noWrap/>
            <w:vAlign w:val="bottom"/>
            <w:hideMark/>
          </w:tcPr>
          <w:p w14:paraId="71EA42C2" w14:textId="77777777" w:rsidR="00184B6B" w:rsidRPr="00184B6B" w:rsidRDefault="00184B6B" w:rsidP="00184B6B">
            <w:pPr>
              <w:spacing w:line="240" w:lineRule="auto"/>
              <w:ind w:firstLine="0"/>
              <w:rPr>
                <w:sz w:val="20"/>
                <w:szCs w:val="22"/>
              </w:rPr>
            </w:pPr>
            <w:r w:rsidRPr="00184B6B">
              <w:rPr>
                <w:sz w:val="20"/>
                <w:szCs w:val="22"/>
              </w:rPr>
              <w:t>-0.064***</w:t>
            </w:r>
          </w:p>
        </w:tc>
        <w:tc>
          <w:tcPr>
            <w:tcW w:w="730" w:type="pct"/>
            <w:tcBorders>
              <w:top w:val="nil"/>
              <w:left w:val="nil"/>
              <w:bottom w:val="nil"/>
              <w:right w:val="nil"/>
            </w:tcBorders>
            <w:shd w:val="clear" w:color="auto" w:fill="auto"/>
            <w:noWrap/>
            <w:vAlign w:val="bottom"/>
            <w:hideMark/>
          </w:tcPr>
          <w:p w14:paraId="430FF06E" w14:textId="77777777" w:rsidR="00184B6B" w:rsidRPr="00184B6B" w:rsidRDefault="00184B6B" w:rsidP="00184B6B">
            <w:pPr>
              <w:spacing w:line="240" w:lineRule="auto"/>
              <w:ind w:firstLine="0"/>
              <w:rPr>
                <w:sz w:val="20"/>
                <w:szCs w:val="22"/>
              </w:rPr>
            </w:pPr>
            <w:r w:rsidRPr="00184B6B">
              <w:rPr>
                <w:sz w:val="20"/>
                <w:szCs w:val="22"/>
              </w:rPr>
              <w:t>-0.062***</w:t>
            </w:r>
          </w:p>
        </w:tc>
      </w:tr>
      <w:tr w:rsidR="00184B6B" w:rsidRPr="00184B6B" w14:paraId="6F3EC220" w14:textId="77777777" w:rsidTr="00B617ED">
        <w:trPr>
          <w:trHeight w:val="300"/>
        </w:trPr>
        <w:tc>
          <w:tcPr>
            <w:tcW w:w="2077" w:type="pct"/>
            <w:tcBorders>
              <w:top w:val="nil"/>
              <w:left w:val="nil"/>
              <w:bottom w:val="nil"/>
              <w:right w:val="nil"/>
            </w:tcBorders>
            <w:shd w:val="clear" w:color="auto" w:fill="auto"/>
            <w:noWrap/>
            <w:vAlign w:val="bottom"/>
            <w:hideMark/>
          </w:tcPr>
          <w:p w14:paraId="4CF0C674"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4BFA2256" w14:textId="77777777" w:rsidR="00184B6B" w:rsidRPr="00184B6B" w:rsidRDefault="00184B6B" w:rsidP="00184B6B">
            <w:pPr>
              <w:spacing w:line="240" w:lineRule="auto"/>
              <w:ind w:firstLine="0"/>
              <w:rPr>
                <w:sz w:val="20"/>
                <w:szCs w:val="22"/>
              </w:rPr>
            </w:pPr>
            <w:r w:rsidRPr="00184B6B">
              <w:rPr>
                <w:sz w:val="20"/>
                <w:szCs w:val="22"/>
              </w:rPr>
              <w:t>(0.014)</w:t>
            </w:r>
          </w:p>
        </w:tc>
        <w:tc>
          <w:tcPr>
            <w:tcW w:w="731" w:type="pct"/>
            <w:tcBorders>
              <w:top w:val="nil"/>
              <w:left w:val="nil"/>
              <w:bottom w:val="nil"/>
              <w:right w:val="nil"/>
            </w:tcBorders>
            <w:shd w:val="clear" w:color="auto" w:fill="auto"/>
            <w:noWrap/>
            <w:vAlign w:val="bottom"/>
            <w:hideMark/>
          </w:tcPr>
          <w:p w14:paraId="5604210C" w14:textId="77777777" w:rsidR="00184B6B" w:rsidRPr="00184B6B" w:rsidRDefault="00184B6B" w:rsidP="00184B6B">
            <w:pPr>
              <w:spacing w:line="240" w:lineRule="auto"/>
              <w:ind w:firstLine="0"/>
              <w:rPr>
                <w:sz w:val="20"/>
                <w:szCs w:val="22"/>
              </w:rPr>
            </w:pPr>
            <w:r w:rsidRPr="00184B6B">
              <w:rPr>
                <w:sz w:val="20"/>
                <w:szCs w:val="22"/>
              </w:rPr>
              <w:t>(0.014)</w:t>
            </w:r>
          </w:p>
        </w:tc>
        <w:tc>
          <w:tcPr>
            <w:tcW w:w="731" w:type="pct"/>
            <w:tcBorders>
              <w:top w:val="nil"/>
              <w:left w:val="nil"/>
              <w:bottom w:val="nil"/>
              <w:right w:val="nil"/>
            </w:tcBorders>
            <w:shd w:val="clear" w:color="auto" w:fill="auto"/>
            <w:noWrap/>
            <w:vAlign w:val="bottom"/>
            <w:hideMark/>
          </w:tcPr>
          <w:p w14:paraId="7774A119" w14:textId="77777777" w:rsidR="00184B6B" w:rsidRPr="00184B6B" w:rsidRDefault="00184B6B" w:rsidP="00184B6B">
            <w:pPr>
              <w:spacing w:line="240" w:lineRule="auto"/>
              <w:ind w:firstLine="0"/>
              <w:rPr>
                <w:sz w:val="20"/>
                <w:szCs w:val="22"/>
              </w:rPr>
            </w:pPr>
            <w:r w:rsidRPr="00184B6B">
              <w:rPr>
                <w:sz w:val="20"/>
                <w:szCs w:val="22"/>
              </w:rPr>
              <w:t>(0.014)</w:t>
            </w:r>
          </w:p>
        </w:tc>
        <w:tc>
          <w:tcPr>
            <w:tcW w:w="730" w:type="pct"/>
            <w:tcBorders>
              <w:top w:val="nil"/>
              <w:left w:val="nil"/>
              <w:bottom w:val="nil"/>
              <w:right w:val="nil"/>
            </w:tcBorders>
            <w:shd w:val="clear" w:color="auto" w:fill="auto"/>
            <w:noWrap/>
            <w:vAlign w:val="bottom"/>
            <w:hideMark/>
          </w:tcPr>
          <w:p w14:paraId="505530D2" w14:textId="77777777" w:rsidR="00184B6B" w:rsidRPr="00184B6B" w:rsidRDefault="00184B6B" w:rsidP="00184B6B">
            <w:pPr>
              <w:spacing w:line="240" w:lineRule="auto"/>
              <w:ind w:firstLine="0"/>
              <w:rPr>
                <w:sz w:val="20"/>
                <w:szCs w:val="22"/>
              </w:rPr>
            </w:pPr>
            <w:r w:rsidRPr="00184B6B">
              <w:rPr>
                <w:sz w:val="20"/>
                <w:szCs w:val="22"/>
              </w:rPr>
              <w:t>(0.014)</w:t>
            </w:r>
          </w:p>
        </w:tc>
      </w:tr>
      <w:tr w:rsidR="00184B6B" w:rsidRPr="00184B6B" w14:paraId="17A25024" w14:textId="77777777" w:rsidTr="00B617ED">
        <w:trPr>
          <w:trHeight w:val="300"/>
        </w:trPr>
        <w:tc>
          <w:tcPr>
            <w:tcW w:w="2077" w:type="pct"/>
            <w:tcBorders>
              <w:top w:val="nil"/>
              <w:left w:val="nil"/>
              <w:bottom w:val="nil"/>
              <w:right w:val="nil"/>
            </w:tcBorders>
            <w:shd w:val="clear" w:color="auto" w:fill="auto"/>
            <w:noWrap/>
            <w:vAlign w:val="bottom"/>
            <w:hideMark/>
          </w:tcPr>
          <w:p w14:paraId="55AA3DA9" w14:textId="77777777" w:rsidR="00184B6B" w:rsidRPr="00184B6B" w:rsidRDefault="00184B6B" w:rsidP="00184B6B">
            <w:pPr>
              <w:spacing w:line="240" w:lineRule="auto"/>
              <w:ind w:firstLine="0"/>
              <w:jc w:val="left"/>
              <w:rPr>
                <w:sz w:val="20"/>
                <w:szCs w:val="22"/>
              </w:rPr>
            </w:pPr>
            <w:r w:rsidRPr="00184B6B">
              <w:rPr>
                <w:sz w:val="20"/>
                <w:szCs w:val="22"/>
              </w:rPr>
              <w:t>Unemployed</w:t>
            </w:r>
          </w:p>
        </w:tc>
        <w:tc>
          <w:tcPr>
            <w:tcW w:w="731" w:type="pct"/>
            <w:tcBorders>
              <w:top w:val="nil"/>
              <w:left w:val="nil"/>
              <w:bottom w:val="nil"/>
              <w:right w:val="nil"/>
            </w:tcBorders>
            <w:shd w:val="clear" w:color="auto" w:fill="auto"/>
            <w:noWrap/>
            <w:vAlign w:val="bottom"/>
            <w:hideMark/>
          </w:tcPr>
          <w:p w14:paraId="7F0C55EE" w14:textId="77777777" w:rsidR="00184B6B" w:rsidRPr="00184B6B" w:rsidRDefault="00184B6B" w:rsidP="00184B6B">
            <w:pPr>
              <w:spacing w:line="240" w:lineRule="auto"/>
              <w:ind w:firstLine="0"/>
              <w:rPr>
                <w:sz w:val="20"/>
                <w:szCs w:val="22"/>
              </w:rPr>
            </w:pPr>
            <w:r w:rsidRPr="00184B6B">
              <w:rPr>
                <w:sz w:val="20"/>
                <w:szCs w:val="22"/>
              </w:rPr>
              <w:t>-0.008</w:t>
            </w:r>
          </w:p>
        </w:tc>
        <w:tc>
          <w:tcPr>
            <w:tcW w:w="731" w:type="pct"/>
            <w:tcBorders>
              <w:top w:val="nil"/>
              <w:left w:val="nil"/>
              <w:bottom w:val="nil"/>
              <w:right w:val="nil"/>
            </w:tcBorders>
            <w:shd w:val="clear" w:color="auto" w:fill="auto"/>
            <w:noWrap/>
            <w:vAlign w:val="bottom"/>
            <w:hideMark/>
          </w:tcPr>
          <w:p w14:paraId="17498DFD" w14:textId="77777777" w:rsidR="00184B6B" w:rsidRPr="00184B6B" w:rsidRDefault="00184B6B" w:rsidP="00184B6B">
            <w:pPr>
              <w:spacing w:line="240" w:lineRule="auto"/>
              <w:ind w:firstLine="0"/>
              <w:rPr>
                <w:sz w:val="20"/>
                <w:szCs w:val="22"/>
              </w:rPr>
            </w:pPr>
            <w:r w:rsidRPr="00184B6B">
              <w:rPr>
                <w:sz w:val="20"/>
                <w:szCs w:val="22"/>
              </w:rPr>
              <w:t>-0.008</w:t>
            </w:r>
          </w:p>
        </w:tc>
        <w:tc>
          <w:tcPr>
            <w:tcW w:w="731" w:type="pct"/>
            <w:tcBorders>
              <w:top w:val="nil"/>
              <w:left w:val="nil"/>
              <w:bottom w:val="nil"/>
              <w:right w:val="nil"/>
            </w:tcBorders>
            <w:shd w:val="clear" w:color="auto" w:fill="auto"/>
            <w:noWrap/>
            <w:vAlign w:val="bottom"/>
            <w:hideMark/>
          </w:tcPr>
          <w:p w14:paraId="7BD8E691" w14:textId="77777777" w:rsidR="00184B6B" w:rsidRPr="00184B6B" w:rsidRDefault="00184B6B" w:rsidP="00184B6B">
            <w:pPr>
              <w:spacing w:line="240" w:lineRule="auto"/>
              <w:ind w:firstLine="0"/>
              <w:rPr>
                <w:sz w:val="20"/>
                <w:szCs w:val="22"/>
              </w:rPr>
            </w:pPr>
            <w:r w:rsidRPr="00184B6B">
              <w:rPr>
                <w:sz w:val="20"/>
                <w:szCs w:val="22"/>
              </w:rPr>
              <w:t>-0.009</w:t>
            </w:r>
          </w:p>
        </w:tc>
        <w:tc>
          <w:tcPr>
            <w:tcW w:w="730" w:type="pct"/>
            <w:tcBorders>
              <w:top w:val="nil"/>
              <w:left w:val="nil"/>
              <w:bottom w:val="nil"/>
              <w:right w:val="nil"/>
            </w:tcBorders>
            <w:shd w:val="clear" w:color="auto" w:fill="auto"/>
            <w:noWrap/>
            <w:vAlign w:val="bottom"/>
            <w:hideMark/>
          </w:tcPr>
          <w:p w14:paraId="4B1249B4" w14:textId="77777777" w:rsidR="00184B6B" w:rsidRPr="00184B6B" w:rsidRDefault="00184B6B" w:rsidP="00184B6B">
            <w:pPr>
              <w:spacing w:line="240" w:lineRule="auto"/>
              <w:ind w:firstLine="0"/>
              <w:rPr>
                <w:sz w:val="20"/>
                <w:szCs w:val="22"/>
              </w:rPr>
            </w:pPr>
            <w:r w:rsidRPr="00184B6B">
              <w:rPr>
                <w:sz w:val="20"/>
                <w:szCs w:val="22"/>
              </w:rPr>
              <w:t>-0.009</w:t>
            </w:r>
          </w:p>
        </w:tc>
      </w:tr>
      <w:tr w:rsidR="00184B6B" w:rsidRPr="00184B6B" w14:paraId="50438553" w14:textId="77777777" w:rsidTr="00B617ED">
        <w:trPr>
          <w:trHeight w:val="300"/>
        </w:trPr>
        <w:tc>
          <w:tcPr>
            <w:tcW w:w="2077" w:type="pct"/>
            <w:tcBorders>
              <w:top w:val="nil"/>
              <w:left w:val="nil"/>
              <w:bottom w:val="nil"/>
              <w:right w:val="nil"/>
            </w:tcBorders>
            <w:shd w:val="clear" w:color="auto" w:fill="auto"/>
            <w:noWrap/>
            <w:vAlign w:val="bottom"/>
            <w:hideMark/>
          </w:tcPr>
          <w:p w14:paraId="48E92F13"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34BFB602" w14:textId="77777777" w:rsidR="00184B6B" w:rsidRPr="00184B6B" w:rsidRDefault="00184B6B" w:rsidP="00184B6B">
            <w:pPr>
              <w:spacing w:line="240" w:lineRule="auto"/>
              <w:ind w:firstLine="0"/>
              <w:rPr>
                <w:sz w:val="20"/>
                <w:szCs w:val="22"/>
              </w:rPr>
            </w:pPr>
            <w:r w:rsidRPr="00184B6B">
              <w:rPr>
                <w:sz w:val="20"/>
                <w:szCs w:val="22"/>
              </w:rPr>
              <w:t>(0.034)</w:t>
            </w:r>
          </w:p>
        </w:tc>
        <w:tc>
          <w:tcPr>
            <w:tcW w:w="731" w:type="pct"/>
            <w:tcBorders>
              <w:top w:val="nil"/>
              <w:left w:val="nil"/>
              <w:bottom w:val="nil"/>
              <w:right w:val="nil"/>
            </w:tcBorders>
            <w:shd w:val="clear" w:color="auto" w:fill="auto"/>
            <w:noWrap/>
            <w:vAlign w:val="bottom"/>
            <w:hideMark/>
          </w:tcPr>
          <w:p w14:paraId="39B636DB" w14:textId="77777777" w:rsidR="00184B6B" w:rsidRPr="00184B6B" w:rsidRDefault="00184B6B" w:rsidP="00184B6B">
            <w:pPr>
              <w:spacing w:line="240" w:lineRule="auto"/>
              <w:ind w:firstLine="0"/>
              <w:rPr>
                <w:sz w:val="20"/>
                <w:szCs w:val="22"/>
              </w:rPr>
            </w:pPr>
            <w:r w:rsidRPr="00184B6B">
              <w:rPr>
                <w:sz w:val="20"/>
                <w:szCs w:val="22"/>
              </w:rPr>
              <w:t>(0.034)</w:t>
            </w:r>
          </w:p>
        </w:tc>
        <w:tc>
          <w:tcPr>
            <w:tcW w:w="731" w:type="pct"/>
            <w:tcBorders>
              <w:top w:val="nil"/>
              <w:left w:val="nil"/>
              <w:bottom w:val="nil"/>
              <w:right w:val="nil"/>
            </w:tcBorders>
            <w:shd w:val="clear" w:color="auto" w:fill="auto"/>
            <w:noWrap/>
            <w:vAlign w:val="bottom"/>
            <w:hideMark/>
          </w:tcPr>
          <w:p w14:paraId="1E633804" w14:textId="77777777" w:rsidR="00184B6B" w:rsidRPr="00184B6B" w:rsidRDefault="00184B6B" w:rsidP="00184B6B">
            <w:pPr>
              <w:spacing w:line="240" w:lineRule="auto"/>
              <w:ind w:firstLine="0"/>
              <w:rPr>
                <w:sz w:val="20"/>
                <w:szCs w:val="22"/>
              </w:rPr>
            </w:pPr>
            <w:r w:rsidRPr="00184B6B">
              <w:rPr>
                <w:sz w:val="20"/>
                <w:szCs w:val="22"/>
              </w:rPr>
              <w:t>(0.034)</w:t>
            </w:r>
          </w:p>
        </w:tc>
        <w:tc>
          <w:tcPr>
            <w:tcW w:w="730" w:type="pct"/>
            <w:tcBorders>
              <w:top w:val="nil"/>
              <w:left w:val="nil"/>
              <w:bottom w:val="nil"/>
              <w:right w:val="nil"/>
            </w:tcBorders>
            <w:shd w:val="clear" w:color="auto" w:fill="auto"/>
            <w:noWrap/>
            <w:vAlign w:val="bottom"/>
            <w:hideMark/>
          </w:tcPr>
          <w:p w14:paraId="5F68BDBB" w14:textId="77777777" w:rsidR="00184B6B" w:rsidRPr="00184B6B" w:rsidRDefault="00184B6B" w:rsidP="00184B6B">
            <w:pPr>
              <w:spacing w:line="240" w:lineRule="auto"/>
              <w:ind w:firstLine="0"/>
              <w:rPr>
                <w:sz w:val="20"/>
                <w:szCs w:val="22"/>
              </w:rPr>
            </w:pPr>
            <w:r w:rsidRPr="00184B6B">
              <w:rPr>
                <w:sz w:val="20"/>
                <w:szCs w:val="22"/>
              </w:rPr>
              <w:t>(0.034)</w:t>
            </w:r>
          </w:p>
        </w:tc>
      </w:tr>
      <w:tr w:rsidR="00184B6B" w:rsidRPr="00184B6B" w14:paraId="1AAFBC7B" w14:textId="77777777" w:rsidTr="00B617ED">
        <w:trPr>
          <w:trHeight w:val="300"/>
        </w:trPr>
        <w:tc>
          <w:tcPr>
            <w:tcW w:w="2077" w:type="pct"/>
            <w:tcBorders>
              <w:top w:val="nil"/>
              <w:left w:val="nil"/>
              <w:bottom w:val="nil"/>
              <w:right w:val="nil"/>
            </w:tcBorders>
            <w:shd w:val="clear" w:color="auto" w:fill="auto"/>
            <w:noWrap/>
            <w:vAlign w:val="bottom"/>
            <w:hideMark/>
          </w:tcPr>
          <w:p w14:paraId="495EAB8D" w14:textId="77777777" w:rsidR="00184B6B" w:rsidRPr="00184B6B" w:rsidRDefault="00184B6B" w:rsidP="00184B6B">
            <w:pPr>
              <w:spacing w:line="240" w:lineRule="auto"/>
              <w:ind w:firstLine="0"/>
              <w:jc w:val="left"/>
              <w:rPr>
                <w:sz w:val="20"/>
                <w:szCs w:val="22"/>
              </w:rPr>
            </w:pPr>
            <w:r w:rsidRPr="00184B6B">
              <w:rPr>
                <w:sz w:val="20"/>
                <w:szCs w:val="22"/>
              </w:rPr>
              <w:t>Catholic</w:t>
            </w:r>
          </w:p>
        </w:tc>
        <w:tc>
          <w:tcPr>
            <w:tcW w:w="731" w:type="pct"/>
            <w:tcBorders>
              <w:top w:val="nil"/>
              <w:left w:val="nil"/>
              <w:bottom w:val="nil"/>
              <w:right w:val="nil"/>
            </w:tcBorders>
            <w:shd w:val="clear" w:color="auto" w:fill="auto"/>
            <w:noWrap/>
            <w:vAlign w:val="bottom"/>
            <w:hideMark/>
          </w:tcPr>
          <w:p w14:paraId="4FE8175D" w14:textId="77777777" w:rsidR="00184B6B" w:rsidRPr="00184B6B" w:rsidRDefault="00184B6B" w:rsidP="00184B6B">
            <w:pPr>
              <w:spacing w:line="240" w:lineRule="auto"/>
              <w:ind w:firstLine="0"/>
              <w:rPr>
                <w:sz w:val="20"/>
                <w:szCs w:val="22"/>
              </w:rPr>
            </w:pPr>
            <w:r w:rsidRPr="00184B6B">
              <w:rPr>
                <w:sz w:val="20"/>
                <w:szCs w:val="22"/>
              </w:rPr>
              <w:t>0.147***</w:t>
            </w:r>
          </w:p>
        </w:tc>
        <w:tc>
          <w:tcPr>
            <w:tcW w:w="731" w:type="pct"/>
            <w:tcBorders>
              <w:top w:val="nil"/>
              <w:left w:val="nil"/>
              <w:bottom w:val="nil"/>
              <w:right w:val="nil"/>
            </w:tcBorders>
            <w:shd w:val="clear" w:color="auto" w:fill="auto"/>
            <w:noWrap/>
            <w:vAlign w:val="bottom"/>
            <w:hideMark/>
          </w:tcPr>
          <w:p w14:paraId="15D52E25" w14:textId="77777777" w:rsidR="00184B6B" w:rsidRPr="00184B6B" w:rsidRDefault="00184B6B" w:rsidP="00184B6B">
            <w:pPr>
              <w:spacing w:line="240" w:lineRule="auto"/>
              <w:ind w:firstLine="0"/>
              <w:rPr>
                <w:sz w:val="20"/>
                <w:szCs w:val="22"/>
              </w:rPr>
            </w:pPr>
            <w:r w:rsidRPr="00184B6B">
              <w:rPr>
                <w:sz w:val="20"/>
                <w:szCs w:val="22"/>
              </w:rPr>
              <w:t>0.145***</w:t>
            </w:r>
          </w:p>
        </w:tc>
        <w:tc>
          <w:tcPr>
            <w:tcW w:w="731" w:type="pct"/>
            <w:tcBorders>
              <w:top w:val="nil"/>
              <w:left w:val="nil"/>
              <w:bottom w:val="nil"/>
              <w:right w:val="nil"/>
            </w:tcBorders>
            <w:shd w:val="clear" w:color="auto" w:fill="auto"/>
            <w:noWrap/>
            <w:vAlign w:val="bottom"/>
            <w:hideMark/>
          </w:tcPr>
          <w:p w14:paraId="2E57EF60" w14:textId="77777777" w:rsidR="00184B6B" w:rsidRPr="00184B6B" w:rsidRDefault="00184B6B" w:rsidP="00184B6B">
            <w:pPr>
              <w:spacing w:line="240" w:lineRule="auto"/>
              <w:ind w:firstLine="0"/>
              <w:rPr>
                <w:sz w:val="20"/>
                <w:szCs w:val="22"/>
              </w:rPr>
            </w:pPr>
            <w:r w:rsidRPr="00184B6B">
              <w:rPr>
                <w:sz w:val="20"/>
                <w:szCs w:val="22"/>
              </w:rPr>
              <w:t>0.144***</w:t>
            </w:r>
          </w:p>
        </w:tc>
        <w:tc>
          <w:tcPr>
            <w:tcW w:w="730" w:type="pct"/>
            <w:tcBorders>
              <w:top w:val="nil"/>
              <w:left w:val="nil"/>
              <w:bottom w:val="nil"/>
              <w:right w:val="nil"/>
            </w:tcBorders>
            <w:shd w:val="clear" w:color="auto" w:fill="auto"/>
            <w:noWrap/>
            <w:vAlign w:val="bottom"/>
            <w:hideMark/>
          </w:tcPr>
          <w:p w14:paraId="7E86F69C" w14:textId="77777777" w:rsidR="00184B6B" w:rsidRPr="00184B6B" w:rsidRDefault="00184B6B" w:rsidP="00184B6B">
            <w:pPr>
              <w:spacing w:line="240" w:lineRule="auto"/>
              <w:ind w:firstLine="0"/>
              <w:rPr>
                <w:sz w:val="20"/>
                <w:szCs w:val="22"/>
              </w:rPr>
            </w:pPr>
            <w:r w:rsidRPr="00184B6B">
              <w:rPr>
                <w:sz w:val="20"/>
                <w:szCs w:val="22"/>
              </w:rPr>
              <w:t>0.143***</w:t>
            </w:r>
          </w:p>
        </w:tc>
      </w:tr>
      <w:tr w:rsidR="00184B6B" w:rsidRPr="00184B6B" w14:paraId="2240F7B9" w14:textId="77777777" w:rsidTr="00B617ED">
        <w:trPr>
          <w:trHeight w:val="300"/>
        </w:trPr>
        <w:tc>
          <w:tcPr>
            <w:tcW w:w="2077" w:type="pct"/>
            <w:tcBorders>
              <w:top w:val="nil"/>
              <w:left w:val="nil"/>
              <w:bottom w:val="nil"/>
              <w:right w:val="nil"/>
            </w:tcBorders>
            <w:shd w:val="clear" w:color="auto" w:fill="auto"/>
            <w:noWrap/>
            <w:vAlign w:val="bottom"/>
            <w:hideMark/>
          </w:tcPr>
          <w:p w14:paraId="62DE6D42"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0A126E1F" w14:textId="77777777" w:rsidR="00184B6B" w:rsidRPr="00184B6B" w:rsidRDefault="00184B6B" w:rsidP="00184B6B">
            <w:pPr>
              <w:spacing w:line="240" w:lineRule="auto"/>
              <w:ind w:firstLine="0"/>
              <w:rPr>
                <w:sz w:val="20"/>
                <w:szCs w:val="22"/>
              </w:rPr>
            </w:pPr>
            <w:r w:rsidRPr="00184B6B">
              <w:rPr>
                <w:sz w:val="20"/>
                <w:szCs w:val="22"/>
              </w:rPr>
              <w:t>(0.041)</w:t>
            </w:r>
          </w:p>
        </w:tc>
        <w:tc>
          <w:tcPr>
            <w:tcW w:w="731" w:type="pct"/>
            <w:tcBorders>
              <w:top w:val="nil"/>
              <w:left w:val="nil"/>
              <w:bottom w:val="nil"/>
              <w:right w:val="nil"/>
            </w:tcBorders>
            <w:shd w:val="clear" w:color="auto" w:fill="auto"/>
            <w:noWrap/>
            <w:vAlign w:val="bottom"/>
            <w:hideMark/>
          </w:tcPr>
          <w:p w14:paraId="00175962" w14:textId="77777777" w:rsidR="00184B6B" w:rsidRPr="00184B6B" w:rsidRDefault="00184B6B" w:rsidP="00184B6B">
            <w:pPr>
              <w:spacing w:line="240" w:lineRule="auto"/>
              <w:ind w:firstLine="0"/>
              <w:rPr>
                <w:sz w:val="20"/>
                <w:szCs w:val="22"/>
              </w:rPr>
            </w:pPr>
            <w:r w:rsidRPr="00184B6B">
              <w:rPr>
                <w:sz w:val="20"/>
                <w:szCs w:val="22"/>
              </w:rPr>
              <w:t>(0.041)</w:t>
            </w:r>
          </w:p>
        </w:tc>
        <w:tc>
          <w:tcPr>
            <w:tcW w:w="731" w:type="pct"/>
            <w:tcBorders>
              <w:top w:val="nil"/>
              <w:left w:val="nil"/>
              <w:bottom w:val="nil"/>
              <w:right w:val="nil"/>
            </w:tcBorders>
            <w:shd w:val="clear" w:color="auto" w:fill="auto"/>
            <w:noWrap/>
            <w:vAlign w:val="bottom"/>
            <w:hideMark/>
          </w:tcPr>
          <w:p w14:paraId="1ACCA7F8" w14:textId="77777777" w:rsidR="00184B6B" w:rsidRPr="00184B6B" w:rsidRDefault="00184B6B" w:rsidP="00184B6B">
            <w:pPr>
              <w:spacing w:line="240" w:lineRule="auto"/>
              <w:ind w:firstLine="0"/>
              <w:rPr>
                <w:sz w:val="20"/>
                <w:szCs w:val="22"/>
              </w:rPr>
            </w:pPr>
            <w:r w:rsidRPr="00184B6B">
              <w:rPr>
                <w:sz w:val="20"/>
                <w:szCs w:val="22"/>
              </w:rPr>
              <w:t>(0.041)</w:t>
            </w:r>
          </w:p>
        </w:tc>
        <w:tc>
          <w:tcPr>
            <w:tcW w:w="730" w:type="pct"/>
            <w:tcBorders>
              <w:top w:val="nil"/>
              <w:left w:val="nil"/>
              <w:bottom w:val="nil"/>
              <w:right w:val="nil"/>
            </w:tcBorders>
            <w:shd w:val="clear" w:color="auto" w:fill="auto"/>
            <w:noWrap/>
            <w:vAlign w:val="bottom"/>
            <w:hideMark/>
          </w:tcPr>
          <w:p w14:paraId="3854A4BF" w14:textId="77777777" w:rsidR="00184B6B" w:rsidRPr="00184B6B" w:rsidRDefault="00184B6B" w:rsidP="00184B6B">
            <w:pPr>
              <w:spacing w:line="240" w:lineRule="auto"/>
              <w:ind w:firstLine="0"/>
              <w:rPr>
                <w:sz w:val="20"/>
                <w:szCs w:val="22"/>
              </w:rPr>
            </w:pPr>
            <w:r w:rsidRPr="00184B6B">
              <w:rPr>
                <w:sz w:val="20"/>
                <w:szCs w:val="22"/>
              </w:rPr>
              <w:t>(0.041)</w:t>
            </w:r>
          </w:p>
        </w:tc>
      </w:tr>
      <w:tr w:rsidR="00184B6B" w:rsidRPr="00184B6B" w14:paraId="79CB0694" w14:textId="77777777" w:rsidTr="00B617ED">
        <w:trPr>
          <w:trHeight w:val="300"/>
        </w:trPr>
        <w:tc>
          <w:tcPr>
            <w:tcW w:w="2077" w:type="pct"/>
            <w:tcBorders>
              <w:top w:val="nil"/>
              <w:left w:val="nil"/>
              <w:bottom w:val="nil"/>
              <w:right w:val="nil"/>
            </w:tcBorders>
            <w:shd w:val="clear" w:color="auto" w:fill="auto"/>
            <w:noWrap/>
            <w:vAlign w:val="bottom"/>
            <w:hideMark/>
          </w:tcPr>
          <w:p w14:paraId="316C40DC" w14:textId="77777777" w:rsidR="00184B6B" w:rsidRPr="00184B6B" w:rsidRDefault="00184B6B" w:rsidP="00184B6B">
            <w:pPr>
              <w:spacing w:line="240" w:lineRule="auto"/>
              <w:ind w:firstLine="0"/>
              <w:jc w:val="left"/>
              <w:rPr>
                <w:sz w:val="20"/>
                <w:szCs w:val="22"/>
              </w:rPr>
            </w:pPr>
            <w:r w:rsidRPr="00184B6B">
              <w:rPr>
                <w:sz w:val="20"/>
                <w:szCs w:val="22"/>
              </w:rPr>
              <w:t>Muslim</w:t>
            </w:r>
          </w:p>
        </w:tc>
        <w:tc>
          <w:tcPr>
            <w:tcW w:w="731" w:type="pct"/>
            <w:tcBorders>
              <w:top w:val="nil"/>
              <w:left w:val="nil"/>
              <w:bottom w:val="nil"/>
              <w:right w:val="nil"/>
            </w:tcBorders>
            <w:shd w:val="clear" w:color="auto" w:fill="auto"/>
            <w:noWrap/>
            <w:vAlign w:val="bottom"/>
            <w:hideMark/>
          </w:tcPr>
          <w:p w14:paraId="21010ACB" w14:textId="77777777" w:rsidR="00184B6B" w:rsidRPr="00184B6B" w:rsidRDefault="00184B6B" w:rsidP="00184B6B">
            <w:pPr>
              <w:spacing w:line="240" w:lineRule="auto"/>
              <w:ind w:firstLine="0"/>
              <w:rPr>
                <w:sz w:val="20"/>
                <w:szCs w:val="22"/>
              </w:rPr>
            </w:pPr>
            <w:r w:rsidRPr="00184B6B">
              <w:rPr>
                <w:sz w:val="20"/>
                <w:szCs w:val="22"/>
              </w:rPr>
              <w:t>0.116***</w:t>
            </w:r>
          </w:p>
        </w:tc>
        <w:tc>
          <w:tcPr>
            <w:tcW w:w="731" w:type="pct"/>
            <w:tcBorders>
              <w:top w:val="nil"/>
              <w:left w:val="nil"/>
              <w:bottom w:val="nil"/>
              <w:right w:val="nil"/>
            </w:tcBorders>
            <w:shd w:val="clear" w:color="auto" w:fill="auto"/>
            <w:noWrap/>
            <w:vAlign w:val="bottom"/>
            <w:hideMark/>
          </w:tcPr>
          <w:p w14:paraId="4007E38A" w14:textId="77777777" w:rsidR="00184B6B" w:rsidRPr="00184B6B" w:rsidRDefault="00184B6B" w:rsidP="00184B6B">
            <w:pPr>
              <w:spacing w:line="240" w:lineRule="auto"/>
              <w:ind w:firstLine="0"/>
              <w:rPr>
                <w:sz w:val="20"/>
                <w:szCs w:val="22"/>
              </w:rPr>
            </w:pPr>
            <w:r w:rsidRPr="00184B6B">
              <w:rPr>
                <w:sz w:val="20"/>
                <w:szCs w:val="22"/>
              </w:rPr>
              <w:t>0.114***</w:t>
            </w:r>
          </w:p>
        </w:tc>
        <w:tc>
          <w:tcPr>
            <w:tcW w:w="731" w:type="pct"/>
            <w:tcBorders>
              <w:top w:val="nil"/>
              <w:left w:val="nil"/>
              <w:bottom w:val="nil"/>
              <w:right w:val="nil"/>
            </w:tcBorders>
            <w:shd w:val="clear" w:color="auto" w:fill="auto"/>
            <w:noWrap/>
            <w:vAlign w:val="bottom"/>
            <w:hideMark/>
          </w:tcPr>
          <w:p w14:paraId="09B0FE27" w14:textId="77777777" w:rsidR="00184B6B" w:rsidRPr="00184B6B" w:rsidRDefault="00184B6B" w:rsidP="00184B6B">
            <w:pPr>
              <w:spacing w:line="240" w:lineRule="auto"/>
              <w:ind w:firstLine="0"/>
              <w:rPr>
                <w:sz w:val="20"/>
                <w:szCs w:val="22"/>
              </w:rPr>
            </w:pPr>
            <w:r w:rsidRPr="00184B6B">
              <w:rPr>
                <w:sz w:val="20"/>
                <w:szCs w:val="22"/>
              </w:rPr>
              <w:t>0.112***</w:t>
            </w:r>
          </w:p>
        </w:tc>
        <w:tc>
          <w:tcPr>
            <w:tcW w:w="730" w:type="pct"/>
            <w:tcBorders>
              <w:top w:val="nil"/>
              <w:left w:val="nil"/>
              <w:bottom w:val="nil"/>
              <w:right w:val="nil"/>
            </w:tcBorders>
            <w:shd w:val="clear" w:color="auto" w:fill="auto"/>
            <w:noWrap/>
            <w:vAlign w:val="bottom"/>
            <w:hideMark/>
          </w:tcPr>
          <w:p w14:paraId="6612C98D" w14:textId="77777777" w:rsidR="00184B6B" w:rsidRPr="00184B6B" w:rsidRDefault="00184B6B" w:rsidP="00184B6B">
            <w:pPr>
              <w:spacing w:line="240" w:lineRule="auto"/>
              <w:ind w:firstLine="0"/>
              <w:rPr>
                <w:sz w:val="20"/>
                <w:szCs w:val="22"/>
              </w:rPr>
            </w:pPr>
            <w:r w:rsidRPr="00184B6B">
              <w:rPr>
                <w:sz w:val="20"/>
                <w:szCs w:val="22"/>
              </w:rPr>
              <w:t>0.111***</w:t>
            </w:r>
          </w:p>
        </w:tc>
      </w:tr>
      <w:tr w:rsidR="00184B6B" w:rsidRPr="00184B6B" w14:paraId="26FD7EE5" w14:textId="77777777" w:rsidTr="00B617ED">
        <w:trPr>
          <w:trHeight w:val="300"/>
        </w:trPr>
        <w:tc>
          <w:tcPr>
            <w:tcW w:w="2077" w:type="pct"/>
            <w:tcBorders>
              <w:top w:val="nil"/>
              <w:left w:val="nil"/>
              <w:bottom w:val="nil"/>
              <w:right w:val="nil"/>
            </w:tcBorders>
            <w:shd w:val="clear" w:color="auto" w:fill="auto"/>
            <w:noWrap/>
            <w:vAlign w:val="bottom"/>
            <w:hideMark/>
          </w:tcPr>
          <w:p w14:paraId="7CC84C3B"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2B216600" w14:textId="77777777" w:rsidR="00184B6B" w:rsidRPr="00184B6B" w:rsidRDefault="00184B6B" w:rsidP="00184B6B">
            <w:pPr>
              <w:spacing w:line="240" w:lineRule="auto"/>
              <w:ind w:firstLine="0"/>
              <w:rPr>
                <w:sz w:val="20"/>
                <w:szCs w:val="22"/>
              </w:rPr>
            </w:pPr>
            <w:r w:rsidRPr="00184B6B">
              <w:rPr>
                <w:sz w:val="20"/>
                <w:szCs w:val="22"/>
              </w:rPr>
              <w:t>(0.031)</w:t>
            </w:r>
          </w:p>
        </w:tc>
        <w:tc>
          <w:tcPr>
            <w:tcW w:w="731" w:type="pct"/>
            <w:tcBorders>
              <w:top w:val="nil"/>
              <w:left w:val="nil"/>
              <w:bottom w:val="nil"/>
              <w:right w:val="nil"/>
            </w:tcBorders>
            <w:shd w:val="clear" w:color="auto" w:fill="auto"/>
            <w:noWrap/>
            <w:vAlign w:val="bottom"/>
            <w:hideMark/>
          </w:tcPr>
          <w:p w14:paraId="3B52DD80" w14:textId="77777777" w:rsidR="00184B6B" w:rsidRPr="00184B6B" w:rsidRDefault="00184B6B" w:rsidP="00184B6B">
            <w:pPr>
              <w:spacing w:line="240" w:lineRule="auto"/>
              <w:ind w:firstLine="0"/>
              <w:rPr>
                <w:sz w:val="20"/>
                <w:szCs w:val="22"/>
              </w:rPr>
            </w:pPr>
            <w:r w:rsidRPr="00184B6B">
              <w:rPr>
                <w:sz w:val="20"/>
                <w:szCs w:val="22"/>
              </w:rPr>
              <w:t>(0.031)</w:t>
            </w:r>
          </w:p>
        </w:tc>
        <w:tc>
          <w:tcPr>
            <w:tcW w:w="731" w:type="pct"/>
            <w:tcBorders>
              <w:top w:val="nil"/>
              <w:left w:val="nil"/>
              <w:bottom w:val="nil"/>
              <w:right w:val="nil"/>
            </w:tcBorders>
            <w:shd w:val="clear" w:color="auto" w:fill="auto"/>
            <w:noWrap/>
            <w:vAlign w:val="bottom"/>
            <w:hideMark/>
          </w:tcPr>
          <w:p w14:paraId="7508469F" w14:textId="77777777" w:rsidR="00184B6B" w:rsidRPr="00184B6B" w:rsidRDefault="00184B6B" w:rsidP="00184B6B">
            <w:pPr>
              <w:spacing w:line="240" w:lineRule="auto"/>
              <w:ind w:firstLine="0"/>
              <w:rPr>
                <w:sz w:val="20"/>
                <w:szCs w:val="22"/>
              </w:rPr>
            </w:pPr>
            <w:r w:rsidRPr="00184B6B">
              <w:rPr>
                <w:sz w:val="20"/>
                <w:szCs w:val="22"/>
              </w:rPr>
              <w:t>(0.031)</w:t>
            </w:r>
          </w:p>
        </w:tc>
        <w:tc>
          <w:tcPr>
            <w:tcW w:w="730" w:type="pct"/>
            <w:tcBorders>
              <w:top w:val="nil"/>
              <w:left w:val="nil"/>
              <w:bottom w:val="nil"/>
              <w:right w:val="nil"/>
            </w:tcBorders>
            <w:shd w:val="clear" w:color="auto" w:fill="auto"/>
            <w:noWrap/>
            <w:vAlign w:val="bottom"/>
            <w:hideMark/>
          </w:tcPr>
          <w:p w14:paraId="598A3AC5" w14:textId="77777777" w:rsidR="00184B6B" w:rsidRPr="00184B6B" w:rsidRDefault="00184B6B" w:rsidP="00184B6B">
            <w:pPr>
              <w:spacing w:line="240" w:lineRule="auto"/>
              <w:ind w:firstLine="0"/>
              <w:rPr>
                <w:sz w:val="20"/>
                <w:szCs w:val="22"/>
              </w:rPr>
            </w:pPr>
            <w:r w:rsidRPr="00184B6B">
              <w:rPr>
                <w:sz w:val="20"/>
                <w:szCs w:val="22"/>
              </w:rPr>
              <w:t>(0.031)</w:t>
            </w:r>
          </w:p>
        </w:tc>
      </w:tr>
      <w:tr w:rsidR="00184B6B" w:rsidRPr="00184B6B" w14:paraId="3C56B734" w14:textId="77777777" w:rsidTr="00B617ED">
        <w:trPr>
          <w:trHeight w:val="300"/>
        </w:trPr>
        <w:tc>
          <w:tcPr>
            <w:tcW w:w="2077" w:type="pct"/>
            <w:tcBorders>
              <w:top w:val="nil"/>
              <w:left w:val="nil"/>
              <w:bottom w:val="nil"/>
              <w:right w:val="nil"/>
            </w:tcBorders>
            <w:shd w:val="clear" w:color="auto" w:fill="auto"/>
            <w:noWrap/>
            <w:vAlign w:val="bottom"/>
            <w:hideMark/>
          </w:tcPr>
          <w:p w14:paraId="65F9DD2C" w14:textId="77777777" w:rsidR="00184B6B" w:rsidRPr="00184B6B" w:rsidRDefault="00184B6B" w:rsidP="00184B6B">
            <w:pPr>
              <w:spacing w:line="240" w:lineRule="auto"/>
              <w:ind w:firstLine="0"/>
              <w:jc w:val="left"/>
              <w:rPr>
                <w:sz w:val="20"/>
                <w:szCs w:val="22"/>
              </w:rPr>
            </w:pPr>
            <w:r w:rsidRPr="00184B6B">
              <w:rPr>
                <w:sz w:val="20"/>
                <w:szCs w:val="22"/>
              </w:rPr>
              <w:t>Religion: other</w:t>
            </w:r>
          </w:p>
        </w:tc>
        <w:tc>
          <w:tcPr>
            <w:tcW w:w="731" w:type="pct"/>
            <w:tcBorders>
              <w:top w:val="nil"/>
              <w:left w:val="nil"/>
              <w:bottom w:val="nil"/>
              <w:right w:val="nil"/>
            </w:tcBorders>
            <w:shd w:val="clear" w:color="auto" w:fill="auto"/>
            <w:noWrap/>
            <w:vAlign w:val="bottom"/>
            <w:hideMark/>
          </w:tcPr>
          <w:p w14:paraId="3DA6D3DA" w14:textId="77777777" w:rsidR="00184B6B" w:rsidRPr="00184B6B" w:rsidRDefault="00184B6B" w:rsidP="00184B6B">
            <w:pPr>
              <w:spacing w:line="240" w:lineRule="auto"/>
              <w:ind w:firstLine="0"/>
              <w:rPr>
                <w:sz w:val="20"/>
                <w:szCs w:val="22"/>
              </w:rPr>
            </w:pPr>
            <w:r w:rsidRPr="00184B6B">
              <w:rPr>
                <w:sz w:val="20"/>
                <w:szCs w:val="22"/>
              </w:rPr>
              <w:t>0.174***</w:t>
            </w:r>
          </w:p>
        </w:tc>
        <w:tc>
          <w:tcPr>
            <w:tcW w:w="731" w:type="pct"/>
            <w:tcBorders>
              <w:top w:val="nil"/>
              <w:left w:val="nil"/>
              <w:bottom w:val="nil"/>
              <w:right w:val="nil"/>
            </w:tcBorders>
            <w:shd w:val="clear" w:color="auto" w:fill="auto"/>
            <w:noWrap/>
            <w:vAlign w:val="bottom"/>
            <w:hideMark/>
          </w:tcPr>
          <w:p w14:paraId="441A1721" w14:textId="77777777" w:rsidR="00184B6B" w:rsidRPr="00184B6B" w:rsidRDefault="00184B6B" w:rsidP="00184B6B">
            <w:pPr>
              <w:spacing w:line="240" w:lineRule="auto"/>
              <w:ind w:firstLine="0"/>
              <w:rPr>
                <w:sz w:val="20"/>
                <w:szCs w:val="22"/>
              </w:rPr>
            </w:pPr>
            <w:r w:rsidRPr="00184B6B">
              <w:rPr>
                <w:sz w:val="20"/>
                <w:szCs w:val="22"/>
              </w:rPr>
              <w:t>0.172***</w:t>
            </w:r>
          </w:p>
        </w:tc>
        <w:tc>
          <w:tcPr>
            <w:tcW w:w="731" w:type="pct"/>
            <w:tcBorders>
              <w:top w:val="nil"/>
              <w:left w:val="nil"/>
              <w:bottom w:val="nil"/>
              <w:right w:val="nil"/>
            </w:tcBorders>
            <w:shd w:val="clear" w:color="auto" w:fill="auto"/>
            <w:noWrap/>
            <w:vAlign w:val="bottom"/>
            <w:hideMark/>
          </w:tcPr>
          <w:p w14:paraId="37F62B06" w14:textId="77777777" w:rsidR="00184B6B" w:rsidRPr="00184B6B" w:rsidRDefault="00184B6B" w:rsidP="00184B6B">
            <w:pPr>
              <w:spacing w:line="240" w:lineRule="auto"/>
              <w:ind w:firstLine="0"/>
              <w:rPr>
                <w:sz w:val="20"/>
                <w:szCs w:val="22"/>
              </w:rPr>
            </w:pPr>
            <w:r w:rsidRPr="00184B6B">
              <w:rPr>
                <w:sz w:val="20"/>
                <w:szCs w:val="22"/>
              </w:rPr>
              <w:t>0.170***</w:t>
            </w:r>
          </w:p>
        </w:tc>
        <w:tc>
          <w:tcPr>
            <w:tcW w:w="730" w:type="pct"/>
            <w:tcBorders>
              <w:top w:val="nil"/>
              <w:left w:val="nil"/>
              <w:bottom w:val="nil"/>
              <w:right w:val="nil"/>
            </w:tcBorders>
            <w:shd w:val="clear" w:color="auto" w:fill="auto"/>
            <w:noWrap/>
            <w:vAlign w:val="bottom"/>
            <w:hideMark/>
          </w:tcPr>
          <w:p w14:paraId="79DD5D71" w14:textId="77777777" w:rsidR="00184B6B" w:rsidRPr="00184B6B" w:rsidRDefault="00184B6B" w:rsidP="00184B6B">
            <w:pPr>
              <w:spacing w:line="240" w:lineRule="auto"/>
              <w:ind w:firstLine="0"/>
              <w:rPr>
                <w:sz w:val="20"/>
                <w:szCs w:val="22"/>
              </w:rPr>
            </w:pPr>
            <w:r w:rsidRPr="00184B6B">
              <w:rPr>
                <w:sz w:val="20"/>
                <w:szCs w:val="22"/>
              </w:rPr>
              <w:t>0.170***</w:t>
            </w:r>
          </w:p>
        </w:tc>
      </w:tr>
      <w:tr w:rsidR="00184B6B" w:rsidRPr="00184B6B" w14:paraId="0751E11A" w14:textId="77777777" w:rsidTr="00B617ED">
        <w:trPr>
          <w:trHeight w:val="300"/>
        </w:trPr>
        <w:tc>
          <w:tcPr>
            <w:tcW w:w="2077" w:type="pct"/>
            <w:tcBorders>
              <w:top w:val="nil"/>
              <w:left w:val="nil"/>
              <w:bottom w:val="nil"/>
              <w:right w:val="nil"/>
            </w:tcBorders>
            <w:shd w:val="clear" w:color="auto" w:fill="auto"/>
            <w:noWrap/>
            <w:vAlign w:val="bottom"/>
            <w:hideMark/>
          </w:tcPr>
          <w:p w14:paraId="65BF292B"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719B4A4F" w14:textId="77777777" w:rsidR="00184B6B" w:rsidRPr="00184B6B" w:rsidRDefault="00184B6B" w:rsidP="00184B6B">
            <w:pPr>
              <w:spacing w:line="240" w:lineRule="auto"/>
              <w:ind w:firstLine="0"/>
              <w:rPr>
                <w:sz w:val="20"/>
                <w:szCs w:val="22"/>
              </w:rPr>
            </w:pPr>
            <w:r w:rsidRPr="00184B6B">
              <w:rPr>
                <w:sz w:val="20"/>
                <w:szCs w:val="22"/>
              </w:rPr>
              <w:t>(0.050)</w:t>
            </w:r>
          </w:p>
        </w:tc>
        <w:tc>
          <w:tcPr>
            <w:tcW w:w="731" w:type="pct"/>
            <w:tcBorders>
              <w:top w:val="nil"/>
              <w:left w:val="nil"/>
              <w:bottom w:val="nil"/>
              <w:right w:val="nil"/>
            </w:tcBorders>
            <w:shd w:val="clear" w:color="auto" w:fill="auto"/>
            <w:noWrap/>
            <w:vAlign w:val="bottom"/>
            <w:hideMark/>
          </w:tcPr>
          <w:p w14:paraId="6D7EA3EB" w14:textId="77777777" w:rsidR="00184B6B" w:rsidRPr="00184B6B" w:rsidRDefault="00184B6B" w:rsidP="00184B6B">
            <w:pPr>
              <w:spacing w:line="240" w:lineRule="auto"/>
              <w:ind w:firstLine="0"/>
              <w:rPr>
                <w:sz w:val="20"/>
                <w:szCs w:val="22"/>
              </w:rPr>
            </w:pPr>
            <w:r w:rsidRPr="00184B6B">
              <w:rPr>
                <w:sz w:val="20"/>
                <w:szCs w:val="22"/>
              </w:rPr>
              <w:t>(0.050)</w:t>
            </w:r>
          </w:p>
        </w:tc>
        <w:tc>
          <w:tcPr>
            <w:tcW w:w="731" w:type="pct"/>
            <w:tcBorders>
              <w:top w:val="nil"/>
              <w:left w:val="nil"/>
              <w:bottom w:val="nil"/>
              <w:right w:val="nil"/>
            </w:tcBorders>
            <w:shd w:val="clear" w:color="auto" w:fill="auto"/>
            <w:noWrap/>
            <w:vAlign w:val="bottom"/>
            <w:hideMark/>
          </w:tcPr>
          <w:p w14:paraId="2E636BE1" w14:textId="77777777" w:rsidR="00184B6B" w:rsidRPr="00184B6B" w:rsidRDefault="00184B6B" w:rsidP="00184B6B">
            <w:pPr>
              <w:spacing w:line="240" w:lineRule="auto"/>
              <w:ind w:firstLine="0"/>
              <w:rPr>
                <w:sz w:val="20"/>
                <w:szCs w:val="22"/>
              </w:rPr>
            </w:pPr>
            <w:r w:rsidRPr="00184B6B">
              <w:rPr>
                <w:sz w:val="20"/>
                <w:szCs w:val="22"/>
              </w:rPr>
              <w:t>(0.050)</w:t>
            </w:r>
          </w:p>
        </w:tc>
        <w:tc>
          <w:tcPr>
            <w:tcW w:w="730" w:type="pct"/>
            <w:tcBorders>
              <w:top w:val="nil"/>
              <w:left w:val="nil"/>
              <w:bottom w:val="nil"/>
              <w:right w:val="nil"/>
            </w:tcBorders>
            <w:shd w:val="clear" w:color="auto" w:fill="auto"/>
            <w:noWrap/>
            <w:vAlign w:val="bottom"/>
            <w:hideMark/>
          </w:tcPr>
          <w:p w14:paraId="372E53CE" w14:textId="77777777" w:rsidR="00184B6B" w:rsidRPr="00184B6B" w:rsidRDefault="00184B6B" w:rsidP="00184B6B">
            <w:pPr>
              <w:spacing w:line="240" w:lineRule="auto"/>
              <w:ind w:firstLine="0"/>
              <w:rPr>
                <w:sz w:val="20"/>
                <w:szCs w:val="22"/>
              </w:rPr>
            </w:pPr>
            <w:r w:rsidRPr="00184B6B">
              <w:rPr>
                <w:sz w:val="20"/>
                <w:szCs w:val="22"/>
              </w:rPr>
              <w:t>(0.050)</w:t>
            </w:r>
          </w:p>
        </w:tc>
      </w:tr>
      <w:tr w:rsidR="00184B6B" w:rsidRPr="00184B6B" w14:paraId="0A401CF8" w14:textId="77777777" w:rsidTr="00B617ED">
        <w:trPr>
          <w:trHeight w:val="300"/>
        </w:trPr>
        <w:tc>
          <w:tcPr>
            <w:tcW w:w="2077" w:type="pct"/>
            <w:tcBorders>
              <w:top w:val="nil"/>
              <w:left w:val="nil"/>
              <w:bottom w:val="nil"/>
              <w:right w:val="nil"/>
            </w:tcBorders>
            <w:shd w:val="clear" w:color="auto" w:fill="auto"/>
            <w:noWrap/>
            <w:vAlign w:val="bottom"/>
            <w:hideMark/>
          </w:tcPr>
          <w:p w14:paraId="6B355F0F" w14:textId="77777777" w:rsidR="00184B6B" w:rsidRPr="00184B6B" w:rsidRDefault="00184B6B" w:rsidP="00184B6B">
            <w:pPr>
              <w:spacing w:line="240" w:lineRule="auto"/>
              <w:ind w:firstLine="0"/>
              <w:jc w:val="left"/>
              <w:rPr>
                <w:sz w:val="20"/>
                <w:szCs w:val="22"/>
              </w:rPr>
            </w:pPr>
            <w:r w:rsidRPr="00184B6B">
              <w:rPr>
                <w:sz w:val="20"/>
                <w:szCs w:val="22"/>
              </w:rPr>
              <w:t>Support for national government</w:t>
            </w:r>
          </w:p>
        </w:tc>
        <w:tc>
          <w:tcPr>
            <w:tcW w:w="731" w:type="pct"/>
            <w:tcBorders>
              <w:top w:val="nil"/>
              <w:left w:val="nil"/>
              <w:bottom w:val="nil"/>
              <w:right w:val="nil"/>
            </w:tcBorders>
            <w:shd w:val="clear" w:color="auto" w:fill="auto"/>
            <w:noWrap/>
            <w:vAlign w:val="bottom"/>
            <w:hideMark/>
          </w:tcPr>
          <w:p w14:paraId="798CC0A0" w14:textId="77777777" w:rsidR="00184B6B" w:rsidRPr="00184B6B" w:rsidRDefault="00184B6B" w:rsidP="00184B6B">
            <w:pPr>
              <w:spacing w:line="240" w:lineRule="auto"/>
              <w:ind w:firstLine="0"/>
              <w:rPr>
                <w:sz w:val="20"/>
                <w:szCs w:val="22"/>
              </w:rPr>
            </w:pPr>
            <w:r w:rsidRPr="00184B6B">
              <w:rPr>
                <w:sz w:val="20"/>
                <w:szCs w:val="22"/>
              </w:rPr>
              <w:t>0.061***</w:t>
            </w:r>
          </w:p>
        </w:tc>
        <w:tc>
          <w:tcPr>
            <w:tcW w:w="731" w:type="pct"/>
            <w:tcBorders>
              <w:top w:val="nil"/>
              <w:left w:val="nil"/>
              <w:bottom w:val="nil"/>
              <w:right w:val="nil"/>
            </w:tcBorders>
            <w:shd w:val="clear" w:color="auto" w:fill="auto"/>
            <w:noWrap/>
            <w:vAlign w:val="bottom"/>
            <w:hideMark/>
          </w:tcPr>
          <w:p w14:paraId="27C6B5D5" w14:textId="77777777" w:rsidR="00184B6B" w:rsidRPr="00184B6B" w:rsidRDefault="00184B6B" w:rsidP="00184B6B">
            <w:pPr>
              <w:spacing w:line="240" w:lineRule="auto"/>
              <w:ind w:firstLine="0"/>
              <w:rPr>
                <w:sz w:val="20"/>
                <w:szCs w:val="22"/>
              </w:rPr>
            </w:pPr>
            <w:r w:rsidRPr="00184B6B">
              <w:rPr>
                <w:sz w:val="20"/>
                <w:szCs w:val="22"/>
              </w:rPr>
              <w:t>0.062***</w:t>
            </w:r>
          </w:p>
        </w:tc>
        <w:tc>
          <w:tcPr>
            <w:tcW w:w="731" w:type="pct"/>
            <w:tcBorders>
              <w:top w:val="nil"/>
              <w:left w:val="nil"/>
              <w:bottom w:val="nil"/>
              <w:right w:val="nil"/>
            </w:tcBorders>
            <w:shd w:val="clear" w:color="auto" w:fill="auto"/>
            <w:noWrap/>
            <w:vAlign w:val="bottom"/>
            <w:hideMark/>
          </w:tcPr>
          <w:p w14:paraId="0D3A8206" w14:textId="77777777" w:rsidR="00184B6B" w:rsidRPr="00184B6B" w:rsidRDefault="00184B6B" w:rsidP="00184B6B">
            <w:pPr>
              <w:spacing w:line="240" w:lineRule="auto"/>
              <w:ind w:firstLine="0"/>
              <w:rPr>
                <w:sz w:val="20"/>
                <w:szCs w:val="22"/>
              </w:rPr>
            </w:pPr>
            <w:r w:rsidRPr="00184B6B">
              <w:rPr>
                <w:sz w:val="20"/>
                <w:szCs w:val="22"/>
              </w:rPr>
              <w:t>0.061***</w:t>
            </w:r>
          </w:p>
        </w:tc>
        <w:tc>
          <w:tcPr>
            <w:tcW w:w="730" w:type="pct"/>
            <w:tcBorders>
              <w:top w:val="nil"/>
              <w:left w:val="nil"/>
              <w:bottom w:val="nil"/>
              <w:right w:val="nil"/>
            </w:tcBorders>
            <w:shd w:val="clear" w:color="auto" w:fill="auto"/>
            <w:noWrap/>
            <w:vAlign w:val="bottom"/>
            <w:hideMark/>
          </w:tcPr>
          <w:p w14:paraId="189AEB43" w14:textId="77777777" w:rsidR="00184B6B" w:rsidRPr="00184B6B" w:rsidRDefault="00184B6B" w:rsidP="00184B6B">
            <w:pPr>
              <w:spacing w:line="240" w:lineRule="auto"/>
              <w:ind w:firstLine="0"/>
              <w:rPr>
                <w:sz w:val="20"/>
                <w:szCs w:val="22"/>
              </w:rPr>
            </w:pPr>
            <w:r w:rsidRPr="00184B6B">
              <w:rPr>
                <w:sz w:val="20"/>
                <w:szCs w:val="22"/>
              </w:rPr>
              <w:t>0.060***</w:t>
            </w:r>
          </w:p>
        </w:tc>
      </w:tr>
      <w:tr w:rsidR="00184B6B" w:rsidRPr="00184B6B" w14:paraId="3E3E28F7" w14:textId="77777777" w:rsidTr="00B617ED">
        <w:trPr>
          <w:trHeight w:val="300"/>
        </w:trPr>
        <w:tc>
          <w:tcPr>
            <w:tcW w:w="2077" w:type="pct"/>
            <w:tcBorders>
              <w:top w:val="nil"/>
              <w:left w:val="nil"/>
              <w:bottom w:val="nil"/>
              <w:right w:val="nil"/>
            </w:tcBorders>
            <w:shd w:val="clear" w:color="auto" w:fill="auto"/>
            <w:noWrap/>
            <w:vAlign w:val="bottom"/>
            <w:hideMark/>
          </w:tcPr>
          <w:p w14:paraId="58A40F56"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28ED4DC1" w14:textId="77777777" w:rsidR="00184B6B" w:rsidRPr="00184B6B" w:rsidRDefault="00184B6B" w:rsidP="00184B6B">
            <w:pPr>
              <w:spacing w:line="240" w:lineRule="auto"/>
              <w:ind w:firstLine="0"/>
              <w:rPr>
                <w:sz w:val="20"/>
                <w:szCs w:val="22"/>
              </w:rPr>
            </w:pPr>
            <w:r w:rsidRPr="00184B6B">
              <w:rPr>
                <w:sz w:val="20"/>
                <w:szCs w:val="22"/>
              </w:rPr>
              <w:t>(0.013)</w:t>
            </w:r>
          </w:p>
        </w:tc>
        <w:tc>
          <w:tcPr>
            <w:tcW w:w="731" w:type="pct"/>
            <w:tcBorders>
              <w:top w:val="nil"/>
              <w:left w:val="nil"/>
              <w:bottom w:val="nil"/>
              <w:right w:val="nil"/>
            </w:tcBorders>
            <w:shd w:val="clear" w:color="auto" w:fill="auto"/>
            <w:noWrap/>
            <w:vAlign w:val="bottom"/>
            <w:hideMark/>
          </w:tcPr>
          <w:p w14:paraId="32CCB417" w14:textId="77777777" w:rsidR="00184B6B" w:rsidRPr="00184B6B" w:rsidRDefault="00184B6B" w:rsidP="00184B6B">
            <w:pPr>
              <w:spacing w:line="240" w:lineRule="auto"/>
              <w:ind w:firstLine="0"/>
              <w:rPr>
                <w:sz w:val="20"/>
                <w:szCs w:val="22"/>
              </w:rPr>
            </w:pPr>
            <w:r w:rsidRPr="00184B6B">
              <w:rPr>
                <w:sz w:val="20"/>
                <w:szCs w:val="22"/>
              </w:rPr>
              <w:t>(0.013)</w:t>
            </w:r>
          </w:p>
        </w:tc>
        <w:tc>
          <w:tcPr>
            <w:tcW w:w="731" w:type="pct"/>
            <w:tcBorders>
              <w:top w:val="nil"/>
              <w:left w:val="nil"/>
              <w:bottom w:val="nil"/>
              <w:right w:val="nil"/>
            </w:tcBorders>
            <w:shd w:val="clear" w:color="auto" w:fill="auto"/>
            <w:noWrap/>
            <w:vAlign w:val="bottom"/>
            <w:hideMark/>
          </w:tcPr>
          <w:p w14:paraId="72259B10" w14:textId="77777777" w:rsidR="00184B6B" w:rsidRPr="00184B6B" w:rsidRDefault="00184B6B" w:rsidP="00184B6B">
            <w:pPr>
              <w:spacing w:line="240" w:lineRule="auto"/>
              <w:ind w:firstLine="0"/>
              <w:rPr>
                <w:sz w:val="20"/>
                <w:szCs w:val="22"/>
              </w:rPr>
            </w:pPr>
            <w:r w:rsidRPr="00184B6B">
              <w:rPr>
                <w:sz w:val="20"/>
                <w:szCs w:val="22"/>
              </w:rPr>
              <w:t>(0.013)</w:t>
            </w:r>
          </w:p>
        </w:tc>
        <w:tc>
          <w:tcPr>
            <w:tcW w:w="730" w:type="pct"/>
            <w:tcBorders>
              <w:top w:val="nil"/>
              <w:left w:val="nil"/>
              <w:bottom w:val="nil"/>
              <w:right w:val="nil"/>
            </w:tcBorders>
            <w:shd w:val="clear" w:color="auto" w:fill="auto"/>
            <w:noWrap/>
            <w:vAlign w:val="bottom"/>
            <w:hideMark/>
          </w:tcPr>
          <w:p w14:paraId="27BAA44F" w14:textId="77777777" w:rsidR="00184B6B" w:rsidRPr="00184B6B" w:rsidRDefault="00184B6B" w:rsidP="00184B6B">
            <w:pPr>
              <w:spacing w:line="240" w:lineRule="auto"/>
              <w:ind w:firstLine="0"/>
              <w:rPr>
                <w:sz w:val="20"/>
                <w:szCs w:val="22"/>
              </w:rPr>
            </w:pPr>
            <w:r w:rsidRPr="00184B6B">
              <w:rPr>
                <w:sz w:val="20"/>
                <w:szCs w:val="22"/>
              </w:rPr>
              <w:t>(0.013)</w:t>
            </w:r>
          </w:p>
        </w:tc>
      </w:tr>
      <w:tr w:rsidR="00184B6B" w:rsidRPr="00184B6B" w14:paraId="6F0B3AD8" w14:textId="77777777" w:rsidTr="00B617ED">
        <w:trPr>
          <w:trHeight w:val="300"/>
        </w:trPr>
        <w:tc>
          <w:tcPr>
            <w:tcW w:w="2077" w:type="pct"/>
            <w:tcBorders>
              <w:top w:val="nil"/>
              <w:left w:val="nil"/>
              <w:bottom w:val="nil"/>
              <w:right w:val="nil"/>
            </w:tcBorders>
            <w:shd w:val="clear" w:color="auto" w:fill="auto"/>
            <w:noWrap/>
            <w:vAlign w:val="bottom"/>
            <w:hideMark/>
          </w:tcPr>
          <w:p w14:paraId="71B66365" w14:textId="77777777" w:rsidR="00184B6B" w:rsidRPr="00184B6B" w:rsidRDefault="00184B6B" w:rsidP="00184B6B">
            <w:pPr>
              <w:spacing w:line="240" w:lineRule="auto"/>
              <w:ind w:firstLine="0"/>
              <w:jc w:val="left"/>
              <w:rPr>
                <w:sz w:val="20"/>
                <w:szCs w:val="22"/>
              </w:rPr>
            </w:pPr>
            <w:r w:rsidRPr="00184B6B">
              <w:rPr>
                <w:sz w:val="20"/>
                <w:szCs w:val="22"/>
              </w:rPr>
              <w:t>Strong European identity</w:t>
            </w:r>
          </w:p>
        </w:tc>
        <w:tc>
          <w:tcPr>
            <w:tcW w:w="731" w:type="pct"/>
            <w:tcBorders>
              <w:top w:val="nil"/>
              <w:left w:val="nil"/>
              <w:bottom w:val="nil"/>
              <w:right w:val="nil"/>
            </w:tcBorders>
            <w:shd w:val="clear" w:color="auto" w:fill="auto"/>
            <w:noWrap/>
            <w:vAlign w:val="bottom"/>
            <w:hideMark/>
          </w:tcPr>
          <w:p w14:paraId="7D100775" w14:textId="77777777" w:rsidR="00184B6B" w:rsidRPr="00184B6B" w:rsidRDefault="00184B6B" w:rsidP="00184B6B">
            <w:pPr>
              <w:spacing w:line="240" w:lineRule="auto"/>
              <w:ind w:firstLine="0"/>
              <w:rPr>
                <w:sz w:val="20"/>
                <w:szCs w:val="22"/>
              </w:rPr>
            </w:pPr>
            <w:r w:rsidRPr="00184B6B">
              <w:rPr>
                <w:sz w:val="20"/>
                <w:szCs w:val="22"/>
              </w:rPr>
              <w:t>0.120***</w:t>
            </w:r>
          </w:p>
        </w:tc>
        <w:tc>
          <w:tcPr>
            <w:tcW w:w="731" w:type="pct"/>
            <w:tcBorders>
              <w:top w:val="nil"/>
              <w:left w:val="nil"/>
              <w:bottom w:val="nil"/>
              <w:right w:val="nil"/>
            </w:tcBorders>
            <w:shd w:val="clear" w:color="auto" w:fill="auto"/>
            <w:noWrap/>
            <w:vAlign w:val="bottom"/>
            <w:hideMark/>
          </w:tcPr>
          <w:p w14:paraId="6AFB17C0" w14:textId="77777777" w:rsidR="00184B6B" w:rsidRPr="00184B6B" w:rsidRDefault="00184B6B" w:rsidP="00184B6B">
            <w:pPr>
              <w:spacing w:line="240" w:lineRule="auto"/>
              <w:ind w:firstLine="0"/>
              <w:rPr>
                <w:sz w:val="20"/>
                <w:szCs w:val="22"/>
              </w:rPr>
            </w:pPr>
            <w:r w:rsidRPr="00184B6B">
              <w:rPr>
                <w:sz w:val="20"/>
                <w:szCs w:val="22"/>
              </w:rPr>
              <w:t>0.120***</w:t>
            </w:r>
          </w:p>
        </w:tc>
        <w:tc>
          <w:tcPr>
            <w:tcW w:w="731" w:type="pct"/>
            <w:tcBorders>
              <w:top w:val="nil"/>
              <w:left w:val="nil"/>
              <w:bottom w:val="nil"/>
              <w:right w:val="nil"/>
            </w:tcBorders>
            <w:shd w:val="clear" w:color="auto" w:fill="auto"/>
            <w:noWrap/>
            <w:vAlign w:val="bottom"/>
            <w:hideMark/>
          </w:tcPr>
          <w:p w14:paraId="3DCB1184" w14:textId="77777777" w:rsidR="00184B6B" w:rsidRPr="00184B6B" w:rsidRDefault="00184B6B" w:rsidP="00184B6B">
            <w:pPr>
              <w:spacing w:line="240" w:lineRule="auto"/>
              <w:ind w:firstLine="0"/>
              <w:rPr>
                <w:sz w:val="20"/>
                <w:szCs w:val="22"/>
              </w:rPr>
            </w:pPr>
            <w:r w:rsidRPr="00184B6B">
              <w:rPr>
                <w:sz w:val="20"/>
                <w:szCs w:val="22"/>
              </w:rPr>
              <w:t>0.119***</w:t>
            </w:r>
          </w:p>
        </w:tc>
        <w:tc>
          <w:tcPr>
            <w:tcW w:w="730" w:type="pct"/>
            <w:tcBorders>
              <w:top w:val="nil"/>
              <w:left w:val="nil"/>
              <w:bottom w:val="nil"/>
              <w:right w:val="nil"/>
            </w:tcBorders>
            <w:shd w:val="clear" w:color="auto" w:fill="auto"/>
            <w:noWrap/>
            <w:vAlign w:val="bottom"/>
            <w:hideMark/>
          </w:tcPr>
          <w:p w14:paraId="326BDD08" w14:textId="77777777" w:rsidR="00184B6B" w:rsidRPr="00184B6B" w:rsidRDefault="00184B6B" w:rsidP="00184B6B">
            <w:pPr>
              <w:spacing w:line="240" w:lineRule="auto"/>
              <w:ind w:firstLine="0"/>
              <w:rPr>
                <w:sz w:val="20"/>
                <w:szCs w:val="22"/>
              </w:rPr>
            </w:pPr>
            <w:r w:rsidRPr="00184B6B">
              <w:rPr>
                <w:sz w:val="20"/>
                <w:szCs w:val="22"/>
              </w:rPr>
              <w:t>0.119***</w:t>
            </w:r>
          </w:p>
        </w:tc>
      </w:tr>
      <w:tr w:rsidR="00184B6B" w:rsidRPr="00184B6B" w14:paraId="42E8CBC0" w14:textId="77777777" w:rsidTr="00B617ED">
        <w:trPr>
          <w:trHeight w:val="300"/>
        </w:trPr>
        <w:tc>
          <w:tcPr>
            <w:tcW w:w="2077" w:type="pct"/>
            <w:tcBorders>
              <w:top w:val="nil"/>
              <w:left w:val="nil"/>
              <w:bottom w:val="nil"/>
              <w:right w:val="nil"/>
            </w:tcBorders>
            <w:shd w:val="clear" w:color="auto" w:fill="auto"/>
            <w:noWrap/>
            <w:vAlign w:val="bottom"/>
            <w:hideMark/>
          </w:tcPr>
          <w:p w14:paraId="1CDD607D"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73CB642A" w14:textId="77777777" w:rsidR="00184B6B" w:rsidRPr="00184B6B" w:rsidRDefault="00184B6B" w:rsidP="00184B6B">
            <w:pPr>
              <w:spacing w:line="240" w:lineRule="auto"/>
              <w:ind w:firstLine="0"/>
              <w:rPr>
                <w:sz w:val="20"/>
                <w:szCs w:val="22"/>
              </w:rPr>
            </w:pPr>
            <w:r w:rsidRPr="00184B6B">
              <w:rPr>
                <w:sz w:val="20"/>
                <w:szCs w:val="22"/>
              </w:rPr>
              <w:t>(0.009)</w:t>
            </w:r>
          </w:p>
        </w:tc>
        <w:tc>
          <w:tcPr>
            <w:tcW w:w="731" w:type="pct"/>
            <w:tcBorders>
              <w:top w:val="nil"/>
              <w:left w:val="nil"/>
              <w:bottom w:val="nil"/>
              <w:right w:val="nil"/>
            </w:tcBorders>
            <w:shd w:val="clear" w:color="auto" w:fill="auto"/>
            <w:noWrap/>
            <w:vAlign w:val="bottom"/>
            <w:hideMark/>
          </w:tcPr>
          <w:p w14:paraId="5CCE8768" w14:textId="77777777" w:rsidR="00184B6B" w:rsidRPr="00184B6B" w:rsidRDefault="00184B6B" w:rsidP="00184B6B">
            <w:pPr>
              <w:spacing w:line="240" w:lineRule="auto"/>
              <w:ind w:firstLine="0"/>
              <w:rPr>
                <w:sz w:val="20"/>
                <w:szCs w:val="22"/>
              </w:rPr>
            </w:pPr>
            <w:r w:rsidRPr="00184B6B">
              <w:rPr>
                <w:sz w:val="20"/>
                <w:szCs w:val="22"/>
              </w:rPr>
              <w:t>(0.009)</w:t>
            </w:r>
          </w:p>
        </w:tc>
        <w:tc>
          <w:tcPr>
            <w:tcW w:w="731" w:type="pct"/>
            <w:tcBorders>
              <w:top w:val="nil"/>
              <w:left w:val="nil"/>
              <w:bottom w:val="nil"/>
              <w:right w:val="nil"/>
            </w:tcBorders>
            <w:shd w:val="clear" w:color="auto" w:fill="auto"/>
            <w:noWrap/>
            <w:vAlign w:val="bottom"/>
            <w:hideMark/>
          </w:tcPr>
          <w:p w14:paraId="7A2D8D33" w14:textId="77777777" w:rsidR="00184B6B" w:rsidRPr="00184B6B" w:rsidRDefault="00184B6B" w:rsidP="00184B6B">
            <w:pPr>
              <w:spacing w:line="240" w:lineRule="auto"/>
              <w:ind w:firstLine="0"/>
              <w:rPr>
                <w:sz w:val="20"/>
                <w:szCs w:val="22"/>
              </w:rPr>
            </w:pPr>
            <w:r w:rsidRPr="00184B6B">
              <w:rPr>
                <w:sz w:val="20"/>
                <w:szCs w:val="22"/>
              </w:rPr>
              <w:t>(0.009)</w:t>
            </w:r>
          </w:p>
        </w:tc>
        <w:tc>
          <w:tcPr>
            <w:tcW w:w="730" w:type="pct"/>
            <w:tcBorders>
              <w:top w:val="nil"/>
              <w:left w:val="nil"/>
              <w:bottom w:val="nil"/>
              <w:right w:val="nil"/>
            </w:tcBorders>
            <w:shd w:val="clear" w:color="auto" w:fill="auto"/>
            <w:noWrap/>
            <w:vAlign w:val="bottom"/>
            <w:hideMark/>
          </w:tcPr>
          <w:p w14:paraId="408ED75C" w14:textId="77777777" w:rsidR="00184B6B" w:rsidRPr="00184B6B" w:rsidRDefault="00184B6B" w:rsidP="00184B6B">
            <w:pPr>
              <w:spacing w:line="240" w:lineRule="auto"/>
              <w:ind w:firstLine="0"/>
              <w:rPr>
                <w:sz w:val="20"/>
                <w:szCs w:val="22"/>
              </w:rPr>
            </w:pPr>
            <w:r w:rsidRPr="00184B6B">
              <w:rPr>
                <w:sz w:val="20"/>
                <w:szCs w:val="22"/>
              </w:rPr>
              <w:t>(0.009)</w:t>
            </w:r>
          </w:p>
        </w:tc>
      </w:tr>
      <w:tr w:rsidR="00184B6B" w:rsidRPr="00184B6B" w14:paraId="081CE2B0" w14:textId="77777777" w:rsidTr="00B617ED">
        <w:trPr>
          <w:trHeight w:val="300"/>
        </w:trPr>
        <w:tc>
          <w:tcPr>
            <w:tcW w:w="2077" w:type="pct"/>
            <w:tcBorders>
              <w:top w:val="nil"/>
              <w:left w:val="nil"/>
              <w:bottom w:val="nil"/>
              <w:right w:val="nil"/>
            </w:tcBorders>
            <w:shd w:val="clear" w:color="auto" w:fill="auto"/>
            <w:noWrap/>
            <w:vAlign w:val="bottom"/>
            <w:hideMark/>
          </w:tcPr>
          <w:p w14:paraId="77DD4ABB" w14:textId="77777777" w:rsidR="00184B6B" w:rsidRPr="00184B6B" w:rsidRDefault="00184B6B" w:rsidP="00184B6B">
            <w:pPr>
              <w:spacing w:line="240" w:lineRule="auto"/>
              <w:ind w:firstLine="0"/>
              <w:jc w:val="left"/>
              <w:rPr>
                <w:sz w:val="20"/>
                <w:szCs w:val="22"/>
              </w:rPr>
            </w:pPr>
            <w:r w:rsidRPr="00184B6B">
              <w:rPr>
                <w:sz w:val="20"/>
                <w:szCs w:val="22"/>
              </w:rPr>
              <w:t>Helpful international community</w:t>
            </w:r>
          </w:p>
        </w:tc>
        <w:tc>
          <w:tcPr>
            <w:tcW w:w="731" w:type="pct"/>
            <w:tcBorders>
              <w:top w:val="nil"/>
              <w:left w:val="nil"/>
              <w:bottom w:val="nil"/>
              <w:right w:val="nil"/>
            </w:tcBorders>
            <w:shd w:val="clear" w:color="auto" w:fill="auto"/>
            <w:noWrap/>
            <w:vAlign w:val="bottom"/>
            <w:hideMark/>
          </w:tcPr>
          <w:p w14:paraId="7F88DACC" w14:textId="77777777" w:rsidR="00184B6B" w:rsidRPr="00184B6B" w:rsidRDefault="00184B6B" w:rsidP="00184B6B">
            <w:pPr>
              <w:spacing w:line="240" w:lineRule="auto"/>
              <w:ind w:firstLine="0"/>
              <w:rPr>
                <w:sz w:val="20"/>
                <w:szCs w:val="22"/>
              </w:rPr>
            </w:pPr>
            <w:r w:rsidRPr="00184B6B">
              <w:rPr>
                <w:sz w:val="20"/>
                <w:szCs w:val="22"/>
              </w:rPr>
              <w:t>0.061***</w:t>
            </w:r>
          </w:p>
        </w:tc>
        <w:tc>
          <w:tcPr>
            <w:tcW w:w="731" w:type="pct"/>
            <w:tcBorders>
              <w:top w:val="nil"/>
              <w:left w:val="nil"/>
              <w:bottom w:val="nil"/>
              <w:right w:val="nil"/>
            </w:tcBorders>
            <w:shd w:val="clear" w:color="auto" w:fill="auto"/>
            <w:noWrap/>
            <w:vAlign w:val="bottom"/>
            <w:hideMark/>
          </w:tcPr>
          <w:p w14:paraId="403EAF7B" w14:textId="77777777" w:rsidR="00184B6B" w:rsidRPr="00184B6B" w:rsidRDefault="00184B6B" w:rsidP="00184B6B">
            <w:pPr>
              <w:spacing w:line="240" w:lineRule="auto"/>
              <w:ind w:firstLine="0"/>
              <w:rPr>
                <w:sz w:val="20"/>
                <w:szCs w:val="22"/>
              </w:rPr>
            </w:pPr>
            <w:r w:rsidRPr="00184B6B">
              <w:rPr>
                <w:sz w:val="20"/>
                <w:szCs w:val="22"/>
              </w:rPr>
              <w:t>0.061***</w:t>
            </w:r>
          </w:p>
        </w:tc>
        <w:tc>
          <w:tcPr>
            <w:tcW w:w="731" w:type="pct"/>
            <w:tcBorders>
              <w:top w:val="nil"/>
              <w:left w:val="nil"/>
              <w:bottom w:val="nil"/>
              <w:right w:val="nil"/>
            </w:tcBorders>
            <w:shd w:val="clear" w:color="auto" w:fill="auto"/>
            <w:noWrap/>
            <w:vAlign w:val="bottom"/>
            <w:hideMark/>
          </w:tcPr>
          <w:p w14:paraId="3FDEE6C3" w14:textId="77777777" w:rsidR="00184B6B" w:rsidRPr="00184B6B" w:rsidRDefault="00184B6B" w:rsidP="00184B6B">
            <w:pPr>
              <w:spacing w:line="240" w:lineRule="auto"/>
              <w:ind w:firstLine="0"/>
              <w:rPr>
                <w:sz w:val="20"/>
                <w:szCs w:val="22"/>
              </w:rPr>
            </w:pPr>
            <w:r w:rsidRPr="00184B6B">
              <w:rPr>
                <w:sz w:val="20"/>
                <w:szCs w:val="22"/>
              </w:rPr>
              <w:t>0.061***</w:t>
            </w:r>
          </w:p>
        </w:tc>
        <w:tc>
          <w:tcPr>
            <w:tcW w:w="730" w:type="pct"/>
            <w:tcBorders>
              <w:top w:val="nil"/>
              <w:left w:val="nil"/>
              <w:bottom w:val="nil"/>
              <w:right w:val="nil"/>
            </w:tcBorders>
            <w:shd w:val="clear" w:color="auto" w:fill="auto"/>
            <w:noWrap/>
            <w:vAlign w:val="bottom"/>
            <w:hideMark/>
          </w:tcPr>
          <w:p w14:paraId="6547A1F3" w14:textId="77777777" w:rsidR="00184B6B" w:rsidRPr="00184B6B" w:rsidRDefault="00184B6B" w:rsidP="00184B6B">
            <w:pPr>
              <w:spacing w:line="240" w:lineRule="auto"/>
              <w:ind w:firstLine="0"/>
              <w:rPr>
                <w:sz w:val="20"/>
                <w:szCs w:val="22"/>
              </w:rPr>
            </w:pPr>
            <w:r w:rsidRPr="00184B6B">
              <w:rPr>
                <w:sz w:val="20"/>
                <w:szCs w:val="22"/>
              </w:rPr>
              <w:t>0.061***</w:t>
            </w:r>
          </w:p>
        </w:tc>
      </w:tr>
      <w:tr w:rsidR="00184B6B" w:rsidRPr="00184B6B" w14:paraId="74708985" w14:textId="77777777" w:rsidTr="00B617ED">
        <w:trPr>
          <w:trHeight w:val="300"/>
        </w:trPr>
        <w:tc>
          <w:tcPr>
            <w:tcW w:w="2077" w:type="pct"/>
            <w:tcBorders>
              <w:top w:val="nil"/>
              <w:left w:val="nil"/>
              <w:bottom w:val="nil"/>
              <w:right w:val="nil"/>
            </w:tcBorders>
            <w:shd w:val="clear" w:color="auto" w:fill="auto"/>
            <w:noWrap/>
            <w:vAlign w:val="bottom"/>
            <w:hideMark/>
          </w:tcPr>
          <w:p w14:paraId="573133A2"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596A273" w14:textId="77777777" w:rsidR="00184B6B" w:rsidRPr="00184B6B" w:rsidRDefault="00184B6B" w:rsidP="00184B6B">
            <w:pPr>
              <w:spacing w:line="240" w:lineRule="auto"/>
              <w:ind w:firstLine="0"/>
              <w:rPr>
                <w:sz w:val="20"/>
                <w:szCs w:val="22"/>
              </w:rPr>
            </w:pPr>
            <w:r w:rsidRPr="00184B6B">
              <w:rPr>
                <w:sz w:val="20"/>
                <w:szCs w:val="22"/>
              </w:rPr>
              <w:t>(0.013)</w:t>
            </w:r>
          </w:p>
        </w:tc>
        <w:tc>
          <w:tcPr>
            <w:tcW w:w="731" w:type="pct"/>
            <w:tcBorders>
              <w:top w:val="nil"/>
              <w:left w:val="nil"/>
              <w:bottom w:val="nil"/>
              <w:right w:val="nil"/>
            </w:tcBorders>
            <w:shd w:val="clear" w:color="auto" w:fill="auto"/>
            <w:noWrap/>
            <w:vAlign w:val="bottom"/>
            <w:hideMark/>
          </w:tcPr>
          <w:p w14:paraId="4EE2CC06" w14:textId="77777777" w:rsidR="00184B6B" w:rsidRPr="00184B6B" w:rsidRDefault="00184B6B" w:rsidP="00184B6B">
            <w:pPr>
              <w:spacing w:line="240" w:lineRule="auto"/>
              <w:ind w:firstLine="0"/>
              <w:rPr>
                <w:sz w:val="20"/>
                <w:szCs w:val="22"/>
              </w:rPr>
            </w:pPr>
            <w:r w:rsidRPr="00184B6B">
              <w:rPr>
                <w:sz w:val="20"/>
                <w:szCs w:val="22"/>
              </w:rPr>
              <w:t>(0.013)</w:t>
            </w:r>
          </w:p>
        </w:tc>
        <w:tc>
          <w:tcPr>
            <w:tcW w:w="731" w:type="pct"/>
            <w:tcBorders>
              <w:top w:val="nil"/>
              <w:left w:val="nil"/>
              <w:bottom w:val="nil"/>
              <w:right w:val="nil"/>
            </w:tcBorders>
            <w:shd w:val="clear" w:color="auto" w:fill="auto"/>
            <w:noWrap/>
            <w:vAlign w:val="bottom"/>
            <w:hideMark/>
          </w:tcPr>
          <w:p w14:paraId="6DB9EF7F" w14:textId="77777777" w:rsidR="00184B6B" w:rsidRPr="00184B6B" w:rsidRDefault="00184B6B" w:rsidP="00184B6B">
            <w:pPr>
              <w:spacing w:line="240" w:lineRule="auto"/>
              <w:ind w:firstLine="0"/>
              <w:rPr>
                <w:sz w:val="20"/>
                <w:szCs w:val="22"/>
              </w:rPr>
            </w:pPr>
            <w:r w:rsidRPr="00184B6B">
              <w:rPr>
                <w:sz w:val="20"/>
                <w:szCs w:val="22"/>
              </w:rPr>
              <w:t>(0.013)</w:t>
            </w:r>
          </w:p>
        </w:tc>
        <w:tc>
          <w:tcPr>
            <w:tcW w:w="730" w:type="pct"/>
            <w:tcBorders>
              <w:top w:val="nil"/>
              <w:left w:val="nil"/>
              <w:bottom w:val="nil"/>
              <w:right w:val="nil"/>
            </w:tcBorders>
            <w:shd w:val="clear" w:color="auto" w:fill="auto"/>
            <w:noWrap/>
            <w:vAlign w:val="bottom"/>
            <w:hideMark/>
          </w:tcPr>
          <w:p w14:paraId="1125DBDE" w14:textId="77777777" w:rsidR="00184B6B" w:rsidRPr="00184B6B" w:rsidRDefault="00184B6B" w:rsidP="00184B6B">
            <w:pPr>
              <w:spacing w:line="240" w:lineRule="auto"/>
              <w:ind w:firstLine="0"/>
              <w:rPr>
                <w:sz w:val="20"/>
                <w:szCs w:val="22"/>
              </w:rPr>
            </w:pPr>
            <w:r w:rsidRPr="00184B6B">
              <w:rPr>
                <w:sz w:val="20"/>
                <w:szCs w:val="22"/>
              </w:rPr>
              <w:t>(0.013)</w:t>
            </w:r>
          </w:p>
        </w:tc>
      </w:tr>
      <w:tr w:rsidR="00184B6B" w:rsidRPr="00184B6B" w14:paraId="1C13EE0E" w14:textId="77777777" w:rsidTr="00B617ED">
        <w:trPr>
          <w:trHeight w:val="300"/>
        </w:trPr>
        <w:tc>
          <w:tcPr>
            <w:tcW w:w="2077" w:type="pct"/>
            <w:tcBorders>
              <w:top w:val="nil"/>
              <w:left w:val="nil"/>
              <w:bottom w:val="nil"/>
              <w:right w:val="nil"/>
            </w:tcBorders>
            <w:shd w:val="clear" w:color="auto" w:fill="auto"/>
            <w:noWrap/>
            <w:vAlign w:val="bottom"/>
            <w:hideMark/>
          </w:tcPr>
          <w:p w14:paraId="1C58A429" w14:textId="77777777" w:rsidR="00184B6B" w:rsidRPr="00184B6B" w:rsidRDefault="00184B6B" w:rsidP="00184B6B">
            <w:pPr>
              <w:spacing w:line="240" w:lineRule="auto"/>
              <w:ind w:firstLine="0"/>
              <w:jc w:val="left"/>
              <w:rPr>
                <w:sz w:val="20"/>
                <w:szCs w:val="22"/>
              </w:rPr>
            </w:pPr>
            <w:r w:rsidRPr="00184B6B">
              <w:rPr>
                <w:sz w:val="20"/>
                <w:szCs w:val="22"/>
              </w:rPr>
              <w:t>Albania</w:t>
            </w:r>
          </w:p>
        </w:tc>
        <w:tc>
          <w:tcPr>
            <w:tcW w:w="731" w:type="pct"/>
            <w:tcBorders>
              <w:top w:val="nil"/>
              <w:left w:val="nil"/>
              <w:bottom w:val="nil"/>
              <w:right w:val="nil"/>
            </w:tcBorders>
            <w:shd w:val="clear" w:color="auto" w:fill="auto"/>
            <w:noWrap/>
            <w:vAlign w:val="bottom"/>
            <w:hideMark/>
          </w:tcPr>
          <w:p w14:paraId="0F9E81A7" w14:textId="77777777" w:rsidR="00184B6B" w:rsidRPr="00184B6B" w:rsidRDefault="00184B6B" w:rsidP="00184B6B">
            <w:pPr>
              <w:spacing w:line="240" w:lineRule="auto"/>
              <w:ind w:firstLine="0"/>
              <w:rPr>
                <w:sz w:val="20"/>
                <w:szCs w:val="22"/>
              </w:rPr>
            </w:pPr>
            <w:r w:rsidRPr="00184B6B">
              <w:rPr>
                <w:sz w:val="20"/>
                <w:szCs w:val="22"/>
              </w:rPr>
              <w:t>-0.135***</w:t>
            </w:r>
          </w:p>
        </w:tc>
        <w:tc>
          <w:tcPr>
            <w:tcW w:w="731" w:type="pct"/>
            <w:tcBorders>
              <w:top w:val="nil"/>
              <w:left w:val="nil"/>
              <w:bottom w:val="nil"/>
              <w:right w:val="nil"/>
            </w:tcBorders>
            <w:shd w:val="clear" w:color="auto" w:fill="auto"/>
            <w:noWrap/>
            <w:vAlign w:val="bottom"/>
            <w:hideMark/>
          </w:tcPr>
          <w:p w14:paraId="4EE0A574" w14:textId="77777777" w:rsidR="00184B6B" w:rsidRPr="00184B6B" w:rsidRDefault="00184B6B" w:rsidP="00184B6B">
            <w:pPr>
              <w:spacing w:line="240" w:lineRule="auto"/>
              <w:ind w:firstLine="0"/>
              <w:rPr>
                <w:sz w:val="20"/>
                <w:szCs w:val="22"/>
              </w:rPr>
            </w:pPr>
            <w:r w:rsidRPr="00184B6B">
              <w:rPr>
                <w:sz w:val="20"/>
                <w:szCs w:val="22"/>
              </w:rPr>
              <w:t>-0.144***</w:t>
            </w:r>
          </w:p>
        </w:tc>
        <w:tc>
          <w:tcPr>
            <w:tcW w:w="731" w:type="pct"/>
            <w:tcBorders>
              <w:top w:val="nil"/>
              <w:left w:val="nil"/>
              <w:bottom w:val="nil"/>
              <w:right w:val="nil"/>
            </w:tcBorders>
            <w:shd w:val="clear" w:color="auto" w:fill="auto"/>
            <w:noWrap/>
            <w:vAlign w:val="bottom"/>
            <w:hideMark/>
          </w:tcPr>
          <w:p w14:paraId="1B383F6A" w14:textId="77777777" w:rsidR="00184B6B" w:rsidRPr="00184B6B" w:rsidRDefault="00184B6B" w:rsidP="00184B6B">
            <w:pPr>
              <w:spacing w:line="240" w:lineRule="auto"/>
              <w:ind w:firstLine="0"/>
              <w:rPr>
                <w:sz w:val="20"/>
                <w:szCs w:val="22"/>
              </w:rPr>
            </w:pPr>
            <w:r w:rsidRPr="00184B6B">
              <w:rPr>
                <w:sz w:val="20"/>
                <w:szCs w:val="22"/>
              </w:rPr>
              <w:t>-0.160***</w:t>
            </w:r>
          </w:p>
        </w:tc>
        <w:tc>
          <w:tcPr>
            <w:tcW w:w="730" w:type="pct"/>
            <w:tcBorders>
              <w:top w:val="nil"/>
              <w:left w:val="nil"/>
              <w:bottom w:val="nil"/>
              <w:right w:val="nil"/>
            </w:tcBorders>
            <w:shd w:val="clear" w:color="auto" w:fill="auto"/>
            <w:noWrap/>
            <w:vAlign w:val="bottom"/>
            <w:hideMark/>
          </w:tcPr>
          <w:p w14:paraId="57E58B0A" w14:textId="77777777" w:rsidR="00184B6B" w:rsidRPr="00184B6B" w:rsidRDefault="00184B6B" w:rsidP="00184B6B">
            <w:pPr>
              <w:spacing w:line="240" w:lineRule="auto"/>
              <w:ind w:firstLine="0"/>
              <w:rPr>
                <w:sz w:val="20"/>
                <w:szCs w:val="22"/>
              </w:rPr>
            </w:pPr>
            <w:r w:rsidRPr="00184B6B">
              <w:rPr>
                <w:sz w:val="20"/>
                <w:szCs w:val="22"/>
              </w:rPr>
              <w:t>-0.154***</w:t>
            </w:r>
          </w:p>
        </w:tc>
      </w:tr>
      <w:tr w:rsidR="00184B6B" w:rsidRPr="00184B6B" w14:paraId="63DAA88B" w14:textId="77777777" w:rsidTr="00B617ED">
        <w:trPr>
          <w:trHeight w:val="300"/>
        </w:trPr>
        <w:tc>
          <w:tcPr>
            <w:tcW w:w="2077" w:type="pct"/>
            <w:tcBorders>
              <w:top w:val="nil"/>
              <w:left w:val="nil"/>
              <w:bottom w:val="nil"/>
              <w:right w:val="nil"/>
            </w:tcBorders>
            <w:shd w:val="clear" w:color="auto" w:fill="auto"/>
            <w:noWrap/>
            <w:vAlign w:val="bottom"/>
            <w:hideMark/>
          </w:tcPr>
          <w:p w14:paraId="43A04662"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76B8F963" w14:textId="77777777" w:rsidR="00184B6B" w:rsidRPr="00184B6B" w:rsidRDefault="00184B6B" w:rsidP="00184B6B">
            <w:pPr>
              <w:spacing w:line="240" w:lineRule="auto"/>
              <w:ind w:firstLine="0"/>
              <w:rPr>
                <w:sz w:val="20"/>
                <w:szCs w:val="22"/>
              </w:rPr>
            </w:pPr>
            <w:r w:rsidRPr="00184B6B">
              <w:rPr>
                <w:sz w:val="20"/>
                <w:szCs w:val="22"/>
              </w:rPr>
              <w:t>(0.041)</w:t>
            </w:r>
          </w:p>
        </w:tc>
        <w:tc>
          <w:tcPr>
            <w:tcW w:w="731" w:type="pct"/>
            <w:tcBorders>
              <w:top w:val="nil"/>
              <w:left w:val="nil"/>
              <w:bottom w:val="nil"/>
              <w:right w:val="nil"/>
            </w:tcBorders>
            <w:shd w:val="clear" w:color="auto" w:fill="auto"/>
            <w:noWrap/>
            <w:vAlign w:val="bottom"/>
            <w:hideMark/>
          </w:tcPr>
          <w:p w14:paraId="3144385D" w14:textId="77777777" w:rsidR="00184B6B" w:rsidRPr="00184B6B" w:rsidRDefault="00184B6B" w:rsidP="00184B6B">
            <w:pPr>
              <w:spacing w:line="240" w:lineRule="auto"/>
              <w:ind w:firstLine="0"/>
              <w:rPr>
                <w:sz w:val="20"/>
                <w:szCs w:val="22"/>
              </w:rPr>
            </w:pPr>
            <w:r w:rsidRPr="00184B6B">
              <w:rPr>
                <w:sz w:val="20"/>
                <w:szCs w:val="22"/>
              </w:rPr>
              <w:t>(0.041)</w:t>
            </w:r>
          </w:p>
        </w:tc>
        <w:tc>
          <w:tcPr>
            <w:tcW w:w="731" w:type="pct"/>
            <w:tcBorders>
              <w:top w:val="nil"/>
              <w:left w:val="nil"/>
              <w:bottom w:val="nil"/>
              <w:right w:val="nil"/>
            </w:tcBorders>
            <w:shd w:val="clear" w:color="auto" w:fill="auto"/>
            <w:noWrap/>
            <w:vAlign w:val="bottom"/>
            <w:hideMark/>
          </w:tcPr>
          <w:p w14:paraId="213302C2" w14:textId="77777777" w:rsidR="00184B6B" w:rsidRPr="00184B6B" w:rsidRDefault="00184B6B" w:rsidP="00184B6B">
            <w:pPr>
              <w:spacing w:line="240" w:lineRule="auto"/>
              <w:ind w:firstLine="0"/>
              <w:rPr>
                <w:sz w:val="20"/>
                <w:szCs w:val="22"/>
              </w:rPr>
            </w:pPr>
            <w:r w:rsidRPr="00184B6B">
              <w:rPr>
                <w:sz w:val="20"/>
                <w:szCs w:val="22"/>
              </w:rPr>
              <w:t>(0.040)</w:t>
            </w:r>
          </w:p>
        </w:tc>
        <w:tc>
          <w:tcPr>
            <w:tcW w:w="730" w:type="pct"/>
            <w:tcBorders>
              <w:top w:val="nil"/>
              <w:left w:val="nil"/>
              <w:bottom w:val="nil"/>
              <w:right w:val="nil"/>
            </w:tcBorders>
            <w:shd w:val="clear" w:color="auto" w:fill="auto"/>
            <w:noWrap/>
            <w:vAlign w:val="bottom"/>
            <w:hideMark/>
          </w:tcPr>
          <w:p w14:paraId="3CFD7E14" w14:textId="77777777" w:rsidR="00184B6B" w:rsidRPr="00184B6B" w:rsidRDefault="00184B6B" w:rsidP="00184B6B">
            <w:pPr>
              <w:spacing w:line="240" w:lineRule="auto"/>
              <w:ind w:firstLine="0"/>
              <w:rPr>
                <w:sz w:val="20"/>
                <w:szCs w:val="22"/>
              </w:rPr>
            </w:pPr>
            <w:r w:rsidRPr="00184B6B">
              <w:rPr>
                <w:sz w:val="20"/>
                <w:szCs w:val="22"/>
              </w:rPr>
              <w:t>(0.041)</w:t>
            </w:r>
          </w:p>
        </w:tc>
      </w:tr>
      <w:tr w:rsidR="00184B6B" w:rsidRPr="00184B6B" w14:paraId="4EB01558" w14:textId="77777777" w:rsidTr="00B617ED">
        <w:trPr>
          <w:trHeight w:val="300"/>
        </w:trPr>
        <w:tc>
          <w:tcPr>
            <w:tcW w:w="2077" w:type="pct"/>
            <w:tcBorders>
              <w:top w:val="nil"/>
              <w:left w:val="nil"/>
              <w:bottom w:val="nil"/>
              <w:right w:val="nil"/>
            </w:tcBorders>
            <w:shd w:val="clear" w:color="auto" w:fill="auto"/>
            <w:noWrap/>
            <w:vAlign w:val="bottom"/>
            <w:hideMark/>
          </w:tcPr>
          <w:p w14:paraId="5680D02F" w14:textId="77777777" w:rsidR="00184B6B" w:rsidRPr="00184B6B" w:rsidRDefault="00184B6B" w:rsidP="00184B6B">
            <w:pPr>
              <w:spacing w:line="240" w:lineRule="auto"/>
              <w:ind w:firstLine="0"/>
              <w:jc w:val="left"/>
              <w:rPr>
                <w:sz w:val="20"/>
                <w:szCs w:val="22"/>
              </w:rPr>
            </w:pPr>
            <w:r w:rsidRPr="00184B6B">
              <w:rPr>
                <w:sz w:val="20"/>
                <w:szCs w:val="22"/>
              </w:rPr>
              <w:t>Bosnia and Herzegovina</w:t>
            </w:r>
          </w:p>
        </w:tc>
        <w:tc>
          <w:tcPr>
            <w:tcW w:w="731" w:type="pct"/>
            <w:tcBorders>
              <w:top w:val="nil"/>
              <w:left w:val="nil"/>
              <w:bottom w:val="nil"/>
              <w:right w:val="nil"/>
            </w:tcBorders>
            <w:shd w:val="clear" w:color="auto" w:fill="auto"/>
            <w:noWrap/>
            <w:vAlign w:val="bottom"/>
            <w:hideMark/>
          </w:tcPr>
          <w:p w14:paraId="26BF864C" w14:textId="77777777" w:rsidR="00184B6B" w:rsidRPr="00184B6B" w:rsidRDefault="00184B6B" w:rsidP="00184B6B">
            <w:pPr>
              <w:spacing w:line="240" w:lineRule="auto"/>
              <w:ind w:firstLine="0"/>
              <w:rPr>
                <w:sz w:val="20"/>
                <w:szCs w:val="22"/>
              </w:rPr>
            </w:pPr>
            <w:r w:rsidRPr="00184B6B">
              <w:rPr>
                <w:sz w:val="20"/>
                <w:szCs w:val="22"/>
              </w:rPr>
              <w:t>0.134***</w:t>
            </w:r>
          </w:p>
        </w:tc>
        <w:tc>
          <w:tcPr>
            <w:tcW w:w="731" w:type="pct"/>
            <w:tcBorders>
              <w:top w:val="nil"/>
              <w:left w:val="nil"/>
              <w:bottom w:val="nil"/>
              <w:right w:val="nil"/>
            </w:tcBorders>
            <w:shd w:val="clear" w:color="auto" w:fill="auto"/>
            <w:noWrap/>
            <w:vAlign w:val="bottom"/>
            <w:hideMark/>
          </w:tcPr>
          <w:p w14:paraId="1C8FE8AE" w14:textId="77777777" w:rsidR="00184B6B" w:rsidRPr="00184B6B" w:rsidRDefault="00184B6B" w:rsidP="00184B6B">
            <w:pPr>
              <w:spacing w:line="240" w:lineRule="auto"/>
              <w:ind w:firstLine="0"/>
              <w:rPr>
                <w:sz w:val="20"/>
                <w:szCs w:val="22"/>
              </w:rPr>
            </w:pPr>
            <w:r w:rsidRPr="00184B6B">
              <w:rPr>
                <w:sz w:val="20"/>
                <w:szCs w:val="22"/>
              </w:rPr>
              <w:t>0.134***</w:t>
            </w:r>
          </w:p>
        </w:tc>
        <w:tc>
          <w:tcPr>
            <w:tcW w:w="731" w:type="pct"/>
            <w:tcBorders>
              <w:top w:val="nil"/>
              <w:left w:val="nil"/>
              <w:bottom w:val="nil"/>
              <w:right w:val="nil"/>
            </w:tcBorders>
            <w:shd w:val="clear" w:color="auto" w:fill="auto"/>
            <w:noWrap/>
            <w:vAlign w:val="bottom"/>
            <w:hideMark/>
          </w:tcPr>
          <w:p w14:paraId="57DE113C" w14:textId="77777777" w:rsidR="00184B6B" w:rsidRPr="00184B6B" w:rsidRDefault="00184B6B" w:rsidP="00184B6B">
            <w:pPr>
              <w:spacing w:line="240" w:lineRule="auto"/>
              <w:ind w:firstLine="0"/>
              <w:rPr>
                <w:sz w:val="20"/>
                <w:szCs w:val="22"/>
              </w:rPr>
            </w:pPr>
            <w:r w:rsidRPr="00184B6B">
              <w:rPr>
                <w:sz w:val="20"/>
                <w:szCs w:val="22"/>
              </w:rPr>
              <w:t>0.135***</w:t>
            </w:r>
          </w:p>
        </w:tc>
        <w:tc>
          <w:tcPr>
            <w:tcW w:w="730" w:type="pct"/>
            <w:tcBorders>
              <w:top w:val="nil"/>
              <w:left w:val="nil"/>
              <w:bottom w:val="nil"/>
              <w:right w:val="nil"/>
            </w:tcBorders>
            <w:shd w:val="clear" w:color="auto" w:fill="auto"/>
            <w:noWrap/>
            <w:vAlign w:val="bottom"/>
            <w:hideMark/>
          </w:tcPr>
          <w:p w14:paraId="7D480335" w14:textId="77777777" w:rsidR="00184B6B" w:rsidRPr="00184B6B" w:rsidRDefault="00184B6B" w:rsidP="00184B6B">
            <w:pPr>
              <w:spacing w:line="240" w:lineRule="auto"/>
              <w:ind w:firstLine="0"/>
              <w:rPr>
                <w:sz w:val="20"/>
                <w:szCs w:val="22"/>
              </w:rPr>
            </w:pPr>
            <w:r w:rsidRPr="00184B6B">
              <w:rPr>
                <w:sz w:val="20"/>
                <w:szCs w:val="22"/>
              </w:rPr>
              <w:t>0.135***</w:t>
            </w:r>
          </w:p>
        </w:tc>
      </w:tr>
      <w:tr w:rsidR="00184B6B" w:rsidRPr="00184B6B" w14:paraId="7D035787" w14:textId="77777777" w:rsidTr="00B617ED">
        <w:trPr>
          <w:trHeight w:val="300"/>
        </w:trPr>
        <w:tc>
          <w:tcPr>
            <w:tcW w:w="2077" w:type="pct"/>
            <w:tcBorders>
              <w:top w:val="nil"/>
              <w:left w:val="nil"/>
              <w:bottom w:val="nil"/>
              <w:right w:val="nil"/>
            </w:tcBorders>
            <w:shd w:val="clear" w:color="auto" w:fill="auto"/>
            <w:noWrap/>
            <w:vAlign w:val="bottom"/>
            <w:hideMark/>
          </w:tcPr>
          <w:p w14:paraId="542FAC01"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43E696CD" w14:textId="77777777" w:rsidR="00184B6B" w:rsidRPr="00184B6B" w:rsidRDefault="00184B6B" w:rsidP="00184B6B">
            <w:pPr>
              <w:spacing w:line="240" w:lineRule="auto"/>
              <w:ind w:firstLine="0"/>
              <w:rPr>
                <w:sz w:val="20"/>
                <w:szCs w:val="22"/>
              </w:rPr>
            </w:pPr>
            <w:r w:rsidRPr="00184B6B">
              <w:rPr>
                <w:sz w:val="20"/>
                <w:szCs w:val="22"/>
              </w:rPr>
              <w:t>(0.038)</w:t>
            </w:r>
          </w:p>
        </w:tc>
        <w:tc>
          <w:tcPr>
            <w:tcW w:w="731" w:type="pct"/>
            <w:tcBorders>
              <w:top w:val="nil"/>
              <w:left w:val="nil"/>
              <w:bottom w:val="nil"/>
              <w:right w:val="nil"/>
            </w:tcBorders>
            <w:shd w:val="clear" w:color="auto" w:fill="auto"/>
            <w:noWrap/>
            <w:vAlign w:val="bottom"/>
            <w:hideMark/>
          </w:tcPr>
          <w:p w14:paraId="00341AA8" w14:textId="77777777" w:rsidR="00184B6B" w:rsidRPr="00184B6B" w:rsidRDefault="00184B6B" w:rsidP="00184B6B">
            <w:pPr>
              <w:spacing w:line="240" w:lineRule="auto"/>
              <w:ind w:firstLine="0"/>
              <w:rPr>
                <w:sz w:val="20"/>
                <w:szCs w:val="22"/>
              </w:rPr>
            </w:pPr>
            <w:r w:rsidRPr="00184B6B">
              <w:rPr>
                <w:sz w:val="20"/>
                <w:szCs w:val="22"/>
              </w:rPr>
              <w:t>(0.038)</w:t>
            </w:r>
          </w:p>
        </w:tc>
        <w:tc>
          <w:tcPr>
            <w:tcW w:w="731" w:type="pct"/>
            <w:tcBorders>
              <w:top w:val="nil"/>
              <w:left w:val="nil"/>
              <w:bottom w:val="nil"/>
              <w:right w:val="nil"/>
            </w:tcBorders>
            <w:shd w:val="clear" w:color="auto" w:fill="auto"/>
            <w:noWrap/>
            <w:vAlign w:val="bottom"/>
            <w:hideMark/>
          </w:tcPr>
          <w:p w14:paraId="69EF4CE3" w14:textId="77777777" w:rsidR="00184B6B" w:rsidRPr="00184B6B" w:rsidRDefault="00184B6B" w:rsidP="00184B6B">
            <w:pPr>
              <w:spacing w:line="240" w:lineRule="auto"/>
              <w:ind w:firstLine="0"/>
              <w:rPr>
                <w:sz w:val="20"/>
                <w:szCs w:val="22"/>
              </w:rPr>
            </w:pPr>
            <w:r w:rsidRPr="00184B6B">
              <w:rPr>
                <w:sz w:val="20"/>
                <w:szCs w:val="22"/>
              </w:rPr>
              <w:t>(0.038)</w:t>
            </w:r>
          </w:p>
        </w:tc>
        <w:tc>
          <w:tcPr>
            <w:tcW w:w="730" w:type="pct"/>
            <w:tcBorders>
              <w:top w:val="nil"/>
              <w:left w:val="nil"/>
              <w:bottom w:val="nil"/>
              <w:right w:val="nil"/>
            </w:tcBorders>
            <w:shd w:val="clear" w:color="auto" w:fill="auto"/>
            <w:noWrap/>
            <w:vAlign w:val="bottom"/>
            <w:hideMark/>
          </w:tcPr>
          <w:p w14:paraId="1C65809A" w14:textId="77777777" w:rsidR="00184B6B" w:rsidRPr="00184B6B" w:rsidRDefault="00184B6B" w:rsidP="00184B6B">
            <w:pPr>
              <w:spacing w:line="240" w:lineRule="auto"/>
              <w:ind w:firstLine="0"/>
              <w:rPr>
                <w:sz w:val="20"/>
                <w:szCs w:val="22"/>
              </w:rPr>
            </w:pPr>
            <w:r w:rsidRPr="00184B6B">
              <w:rPr>
                <w:sz w:val="20"/>
                <w:szCs w:val="22"/>
              </w:rPr>
              <w:t>(0.038)</w:t>
            </w:r>
          </w:p>
        </w:tc>
      </w:tr>
      <w:tr w:rsidR="00184B6B" w:rsidRPr="00184B6B" w14:paraId="1B56FA5F" w14:textId="77777777" w:rsidTr="00B617ED">
        <w:trPr>
          <w:trHeight w:val="300"/>
        </w:trPr>
        <w:tc>
          <w:tcPr>
            <w:tcW w:w="2077" w:type="pct"/>
            <w:tcBorders>
              <w:top w:val="nil"/>
              <w:left w:val="nil"/>
              <w:bottom w:val="nil"/>
              <w:right w:val="nil"/>
            </w:tcBorders>
            <w:shd w:val="clear" w:color="auto" w:fill="auto"/>
            <w:noWrap/>
            <w:vAlign w:val="bottom"/>
            <w:hideMark/>
          </w:tcPr>
          <w:p w14:paraId="0441D01B" w14:textId="77777777" w:rsidR="00184B6B" w:rsidRPr="00184B6B" w:rsidRDefault="00184B6B" w:rsidP="00184B6B">
            <w:pPr>
              <w:spacing w:line="240" w:lineRule="auto"/>
              <w:ind w:firstLine="0"/>
              <w:jc w:val="left"/>
              <w:rPr>
                <w:sz w:val="20"/>
                <w:szCs w:val="22"/>
              </w:rPr>
            </w:pPr>
            <w:r w:rsidRPr="00184B6B">
              <w:rPr>
                <w:sz w:val="20"/>
                <w:szCs w:val="22"/>
              </w:rPr>
              <w:t>Croatia</w:t>
            </w:r>
          </w:p>
        </w:tc>
        <w:tc>
          <w:tcPr>
            <w:tcW w:w="731" w:type="pct"/>
            <w:tcBorders>
              <w:top w:val="nil"/>
              <w:left w:val="nil"/>
              <w:bottom w:val="nil"/>
              <w:right w:val="nil"/>
            </w:tcBorders>
            <w:shd w:val="clear" w:color="auto" w:fill="auto"/>
            <w:noWrap/>
            <w:vAlign w:val="bottom"/>
            <w:hideMark/>
          </w:tcPr>
          <w:p w14:paraId="6BD94B3C" w14:textId="77777777" w:rsidR="00184B6B" w:rsidRPr="00184B6B" w:rsidRDefault="00184B6B" w:rsidP="00184B6B">
            <w:pPr>
              <w:spacing w:line="240" w:lineRule="auto"/>
              <w:ind w:firstLine="0"/>
              <w:rPr>
                <w:sz w:val="20"/>
                <w:szCs w:val="22"/>
              </w:rPr>
            </w:pPr>
            <w:r w:rsidRPr="00184B6B">
              <w:rPr>
                <w:sz w:val="20"/>
                <w:szCs w:val="22"/>
              </w:rPr>
              <w:t>-0.036</w:t>
            </w:r>
          </w:p>
        </w:tc>
        <w:tc>
          <w:tcPr>
            <w:tcW w:w="731" w:type="pct"/>
            <w:tcBorders>
              <w:top w:val="nil"/>
              <w:left w:val="nil"/>
              <w:bottom w:val="nil"/>
              <w:right w:val="nil"/>
            </w:tcBorders>
            <w:shd w:val="clear" w:color="auto" w:fill="auto"/>
            <w:noWrap/>
            <w:vAlign w:val="bottom"/>
            <w:hideMark/>
          </w:tcPr>
          <w:p w14:paraId="0A283C2E" w14:textId="77777777" w:rsidR="00184B6B" w:rsidRPr="00184B6B" w:rsidRDefault="00184B6B" w:rsidP="00184B6B">
            <w:pPr>
              <w:spacing w:line="240" w:lineRule="auto"/>
              <w:ind w:firstLine="0"/>
              <w:rPr>
                <w:sz w:val="20"/>
                <w:szCs w:val="22"/>
              </w:rPr>
            </w:pPr>
            <w:r w:rsidRPr="00184B6B">
              <w:rPr>
                <w:sz w:val="20"/>
                <w:szCs w:val="22"/>
              </w:rPr>
              <w:t>-0.032</w:t>
            </w:r>
          </w:p>
        </w:tc>
        <w:tc>
          <w:tcPr>
            <w:tcW w:w="731" w:type="pct"/>
            <w:tcBorders>
              <w:top w:val="nil"/>
              <w:left w:val="nil"/>
              <w:bottom w:val="nil"/>
              <w:right w:val="nil"/>
            </w:tcBorders>
            <w:shd w:val="clear" w:color="auto" w:fill="auto"/>
            <w:noWrap/>
            <w:vAlign w:val="bottom"/>
            <w:hideMark/>
          </w:tcPr>
          <w:p w14:paraId="44995C18" w14:textId="77777777" w:rsidR="00184B6B" w:rsidRPr="00184B6B" w:rsidRDefault="00184B6B" w:rsidP="00184B6B">
            <w:pPr>
              <w:spacing w:line="240" w:lineRule="auto"/>
              <w:ind w:firstLine="0"/>
              <w:rPr>
                <w:sz w:val="20"/>
                <w:szCs w:val="22"/>
              </w:rPr>
            </w:pPr>
            <w:r w:rsidRPr="00184B6B">
              <w:rPr>
                <w:sz w:val="20"/>
                <w:szCs w:val="22"/>
              </w:rPr>
              <w:t>-0.035</w:t>
            </w:r>
          </w:p>
        </w:tc>
        <w:tc>
          <w:tcPr>
            <w:tcW w:w="730" w:type="pct"/>
            <w:tcBorders>
              <w:top w:val="nil"/>
              <w:left w:val="nil"/>
              <w:bottom w:val="nil"/>
              <w:right w:val="nil"/>
            </w:tcBorders>
            <w:shd w:val="clear" w:color="auto" w:fill="auto"/>
            <w:noWrap/>
            <w:vAlign w:val="bottom"/>
            <w:hideMark/>
          </w:tcPr>
          <w:p w14:paraId="4A6EE514" w14:textId="77777777" w:rsidR="00184B6B" w:rsidRPr="00184B6B" w:rsidRDefault="00184B6B" w:rsidP="00184B6B">
            <w:pPr>
              <w:spacing w:line="240" w:lineRule="auto"/>
              <w:ind w:firstLine="0"/>
              <w:rPr>
                <w:sz w:val="20"/>
                <w:szCs w:val="22"/>
              </w:rPr>
            </w:pPr>
            <w:r w:rsidRPr="00184B6B">
              <w:rPr>
                <w:sz w:val="20"/>
                <w:szCs w:val="22"/>
              </w:rPr>
              <w:t>-0.038</w:t>
            </w:r>
          </w:p>
        </w:tc>
      </w:tr>
      <w:tr w:rsidR="00184B6B" w:rsidRPr="00184B6B" w14:paraId="5FD6A4A6" w14:textId="77777777" w:rsidTr="00B617ED">
        <w:trPr>
          <w:trHeight w:val="300"/>
        </w:trPr>
        <w:tc>
          <w:tcPr>
            <w:tcW w:w="2077" w:type="pct"/>
            <w:tcBorders>
              <w:top w:val="nil"/>
              <w:left w:val="nil"/>
              <w:bottom w:val="nil"/>
              <w:right w:val="nil"/>
            </w:tcBorders>
            <w:shd w:val="clear" w:color="auto" w:fill="auto"/>
            <w:noWrap/>
            <w:vAlign w:val="bottom"/>
            <w:hideMark/>
          </w:tcPr>
          <w:p w14:paraId="72CFDAA3"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2B038E09" w14:textId="77777777" w:rsidR="00184B6B" w:rsidRPr="00184B6B" w:rsidRDefault="00184B6B" w:rsidP="00184B6B">
            <w:pPr>
              <w:spacing w:line="240" w:lineRule="auto"/>
              <w:ind w:firstLine="0"/>
              <w:rPr>
                <w:sz w:val="20"/>
                <w:szCs w:val="22"/>
              </w:rPr>
            </w:pPr>
            <w:r w:rsidRPr="00184B6B">
              <w:rPr>
                <w:sz w:val="20"/>
                <w:szCs w:val="22"/>
              </w:rPr>
              <w:t>(0.046)</w:t>
            </w:r>
          </w:p>
        </w:tc>
        <w:tc>
          <w:tcPr>
            <w:tcW w:w="731" w:type="pct"/>
            <w:tcBorders>
              <w:top w:val="nil"/>
              <w:left w:val="nil"/>
              <w:bottom w:val="nil"/>
              <w:right w:val="nil"/>
            </w:tcBorders>
            <w:shd w:val="clear" w:color="auto" w:fill="auto"/>
            <w:noWrap/>
            <w:vAlign w:val="bottom"/>
            <w:hideMark/>
          </w:tcPr>
          <w:p w14:paraId="426CBB9F" w14:textId="77777777" w:rsidR="00184B6B" w:rsidRPr="00184B6B" w:rsidRDefault="00184B6B" w:rsidP="00184B6B">
            <w:pPr>
              <w:spacing w:line="240" w:lineRule="auto"/>
              <w:ind w:firstLine="0"/>
              <w:rPr>
                <w:sz w:val="20"/>
                <w:szCs w:val="22"/>
              </w:rPr>
            </w:pPr>
            <w:r w:rsidRPr="00184B6B">
              <w:rPr>
                <w:sz w:val="20"/>
                <w:szCs w:val="22"/>
              </w:rPr>
              <w:t>(0.046)</w:t>
            </w:r>
          </w:p>
        </w:tc>
        <w:tc>
          <w:tcPr>
            <w:tcW w:w="731" w:type="pct"/>
            <w:tcBorders>
              <w:top w:val="nil"/>
              <w:left w:val="nil"/>
              <w:bottom w:val="nil"/>
              <w:right w:val="nil"/>
            </w:tcBorders>
            <w:shd w:val="clear" w:color="auto" w:fill="auto"/>
            <w:noWrap/>
            <w:vAlign w:val="bottom"/>
            <w:hideMark/>
          </w:tcPr>
          <w:p w14:paraId="6066A01F" w14:textId="77777777" w:rsidR="00184B6B" w:rsidRPr="00184B6B" w:rsidRDefault="00184B6B" w:rsidP="00184B6B">
            <w:pPr>
              <w:spacing w:line="240" w:lineRule="auto"/>
              <w:ind w:firstLine="0"/>
              <w:rPr>
                <w:sz w:val="20"/>
                <w:szCs w:val="22"/>
              </w:rPr>
            </w:pPr>
            <w:r w:rsidRPr="00184B6B">
              <w:rPr>
                <w:sz w:val="20"/>
                <w:szCs w:val="22"/>
              </w:rPr>
              <w:t>(0.046)</w:t>
            </w:r>
          </w:p>
        </w:tc>
        <w:tc>
          <w:tcPr>
            <w:tcW w:w="730" w:type="pct"/>
            <w:tcBorders>
              <w:top w:val="nil"/>
              <w:left w:val="nil"/>
              <w:bottom w:val="nil"/>
              <w:right w:val="nil"/>
            </w:tcBorders>
            <w:shd w:val="clear" w:color="auto" w:fill="auto"/>
            <w:noWrap/>
            <w:vAlign w:val="bottom"/>
            <w:hideMark/>
          </w:tcPr>
          <w:p w14:paraId="5C19AB8A" w14:textId="77777777" w:rsidR="00184B6B" w:rsidRPr="00184B6B" w:rsidRDefault="00184B6B" w:rsidP="00184B6B">
            <w:pPr>
              <w:spacing w:line="240" w:lineRule="auto"/>
              <w:ind w:firstLine="0"/>
              <w:rPr>
                <w:sz w:val="20"/>
                <w:szCs w:val="22"/>
              </w:rPr>
            </w:pPr>
            <w:r w:rsidRPr="00184B6B">
              <w:rPr>
                <w:sz w:val="20"/>
                <w:szCs w:val="22"/>
              </w:rPr>
              <w:t>(0.046)</w:t>
            </w:r>
          </w:p>
        </w:tc>
      </w:tr>
      <w:tr w:rsidR="00184B6B" w:rsidRPr="00184B6B" w14:paraId="334D61C6" w14:textId="77777777" w:rsidTr="00B617ED">
        <w:trPr>
          <w:trHeight w:val="300"/>
        </w:trPr>
        <w:tc>
          <w:tcPr>
            <w:tcW w:w="2077" w:type="pct"/>
            <w:tcBorders>
              <w:top w:val="nil"/>
              <w:left w:val="nil"/>
              <w:bottom w:val="nil"/>
              <w:right w:val="nil"/>
            </w:tcBorders>
            <w:shd w:val="clear" w:color="auto" w:fill="auto"/>
            <w:noWrap/>
            <w:vAlign w:val="bottom"/>
            <w:hideMark/>
          </w:tcPr>
          <w:p w14:paraId="48775423" w14:textId="77777777" w:rsidR="00184B6B" w:rsidRPr="00184B6B" w:rsidRDefault="00184B6B" w:rsidP="00184B6B">
            <w:pPr>
              <w:spacing w:line="240" w:lineRule="auto"/>
              <w:ind w:firstLine="0"/>
              <w:jc w:val="left"/>
              <w:rPr>
                <w:sz w:val="20"/>
                <w:szCs w:val="22"/>
              </w:rPr>
            </w:pPr>
            <w:r w:rsidRPr="00184B6B">
              <w:rPr>
                <w:sz w:val="20"/>
                <w:szCs w:val="22"/>
              </w:rPr>
              <w:t>FYR Macedonia</w:t>
            </w:r>
          </w:p>
        </w:tc>
        <w:tc>
          <w:tcPr>
            <w:tcW w:w="731" w:type="pct"/>
            <w:tcBorders>
              <w:top w:val="nil"/>
              <w:left w:val="nil"/>
              <w:bottom w:val="nil"/>
              <w:right w:val="nil"/>
            </w:tcBorders>
            <w:shd w:val="clear" w:color="auto" w:fill="auto"/>
            <w:noWrap/>
            <w:vAlign w:val="bottom"/>
            <w:hideMark/>
          </w:tcPr>
          <w:p w14:paraId="24E3A8C5" w14:textId="77777777" w:rsidR="00184B6B" w:rsidRPr="00184B6B" w:rsidRDefault="00184B6B" w:rsidP="00184B6B">
            <w:pPr>
              <w:spacing w:line="240" w:lineRule="auto"/>
              <w:ind w:firstLine="0"/>
              <w:rPr>
                <w:sz w:val="20"/>
                <w:szCs w:val="22"/>
              </w:rPr>
            </w:pPr>
            <w:r w:rsidRPr="00184B6B">
              <w:rPr>
                <w:sz w:val="20"/>
                <w:szCs w:val="22"/>
              </w:rPr>
              <w:t>0.004</w:t>
            </w:r>
          </w:p>
        </w:tc>
        <w:tc>
          <w:tcPr>
            <w:tcW w:w="731" w:type="pct"/>
            <w:tcBorders>
              <w:top w:val="nil"/>
              <w:left w:val="nil"/>
              <w:bottom w:val="nil"/>
              <w:right w:val="nil"/>
            </w:tcBorders>
            <w:shd w:val="clear" w:color="auto" w:fill="auto"/>
            <w:noWrap/>
            <w:vAlign w:val="bottom"/>
            <w:hideMark/>
          </w:tcPr>
          <w:p w14:paraId="4CCE502D" w14:textId="77777777" w:rsidR="00184B6B" w:rsidRPr="00184B6B" w:rsidRDefault="00184B6B" w:rsidP="00184B6B">
            <w:pPr>
              <w:spacing w:line="240" w:lineRule="auto"/>
              <w:ind w:firstLine="0"/>
              <w:rPr>
                <w:sz w:val="20"/>
                <w:szCs w:val="22"/>
              </w:rPr>
            </w:pPr>
            <w:r w:rsidRPr="00184B6B">
              <w:rPr>
                <w:sz w:val="20"/>
                <w:szCs w:val="22"/>
              </w:rPr>
              <w:t>0.004</w:t>
            </w:r>
          </w:p>
        </w:tc>
        <w:tc>
          <w:tcPr>
            <w:tcW w:w="731" w:type="pct"/>
            <w:tcBorders>
              <w:top w:val="nil"/>
              <w:left w:val="nil"/>
              <w:bottom w:val="nil"/>
              <w:right w:val="nil"/>
            </w:tcBorders>
            <w:shd w:val="clear" w:color="auto" w:fill="auto"/>
            <w:noWrap/>
            <w:vAlign w:val="bottom"/>
            <w:hideMark/>
          </w:tcPr>
          <w:p w14:paraId="21E6BA8C" w14:textId="77777777" w:rsidR="00184B6B" w:rsidRPr="00184B6B" w:rsidRDefault="00184B6B" w:rsidP="00184B6B">
            <w:pPr>
              <w:spacing w:line="240" w:lineRule="auto"/>
              <w:ind w:firstLine="0"/>
              <w:rPr>
                <w:sz w:val="20"/>
                <w:szCs w:val="22"/>
              </w:rPr>
            </w:pPr>
            <w:r w:rsidRPr="00184B6B">
              <w:rPr>
                <w:sz w:val="20"/>
                <w:szCs w:val="22"/>
              </w:rPr>
              <w:t>0.002</w:t>
            </w:r>
          </w:p>
        </w:tc>
        <w:tc>
          <w:tcPr>
            <w:tcW w:w="730" w:type="pct"/>
            <w:tcBorders>
              <w:top w:val="nil"/>
              <w:left w:val="nil"/>
              <w:bottom w:val="nil"/>
              <w:right w:val="nil"/>
            </w:tcBorders>
            <w:shd w:val="clear" w:color="auto" w:fill="auto"/>
            <w:noWrap/>
            <w:vAlign w:val="bottom"/>
            <w:hideMark/>
          </w:tcPr>
          <w:p w14:paraId="2B8F4B6D" w14:textId="77777777" w:rsidR="00184B6B" w:rsidRPr="00184B6B" w:rsidRDefault="00184B6B" w:rsidP="00184B6B">
            <w:pPr>
              <w:spacing w:line="240" w:lineRule="auto"/>
              <w:ind w:firstLine="0"/>
              <w:rPr>
                <w:sz w:val="20"/>
                <w:szCs w:val="22"/>
              </w:rPr>
            </w:pPr>
            <w:r w:rsidRPr="00184B6B">
              <w:rPr>
                <w:sz w:val="20"/>
                <w:szCs w:val="22"/>
              </w:rPr>
              <w:t>0.006</w:t>
            </w:r>
          </w:p>
        </w:tc>
      </w:tr>
      <w:tr w:rsidR="00184B6B" w:rsidRPr="00184B6B" w14:paraId="77A0B6D1" w14:textId="77777777" w:rsidTr="00B617ED">
        <w:trPr>
          <w:trHeight w:val="300"/>
        </w:trPr>
        <w:tc>
          <w:tcPr>
            <w:tcW w:w="2077" w:type="pct"/>
            <w:tcBorders>
              <w:top w:val="nil"/>
              <w:left w:val="nil"/>
              <w:bottom w:val="nil"/>
              <w:right w:val="nil"/>
            </w:tcBorders>
            <w:shd w:val="clear" w:color="auto" w:fill="auto"/>
            <w:noWrap/>
            <w:vAlign w:val="bottom"/>
            <w:hideMark/>
          </w:tcPr>
          <w:p w14:paraId="3AACC637"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113D0B4B"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6DE6F185" w14:textId="77777777" w:rsidR="00184B6B" w:rsidRPr="00184B6B" w:rsidRDefault="00184B6B" w:rsidP="00184B6B">
            <w:pPr>
              <w:spacing w:line="240" w:lineRule="auto"/>
              <w:ind w:firstLine="0"/>
              <w:rPr>
                <w:sz w:val="20"/>
                <w:szCs w:val="22"/>
              </w:rPr>
            </w:pPr>
            <w:r w:rsidRPr="00184B6B">
              <w:rPr>
                <w:sz w:val="20"/>
                <w:szCs w:val="22"/>
              </w:rPr>
              <w:t>(0.037)</w:t>
            </w:r>
          </w:p>
        </w:tc>
        <w:tc>
          <w:tcPr>
            <w:tcW w:w="731" w:type="pct"/>
            <w:tcBorders>
              <w:top w:val="nil"/>
              <w:left w:val="nil"/>
              <w:bottom w:val="nil"/>
              <w:right w:val="nil"/>
            </w:tcBorders>
            <w:shd w:val="clear" w:color="auto" w:fill="auto"/>
            <w:noWrap/>
            <w:vAlign w:val="bottom"/>
            <w:hideMark/>
          </w:tcPr>
          <w:p w14:paraId="4FCC5AC6" w14:textId="77777777" w:rsidR="00184B6B" w:rsidRPr="00184B6B" w:rsidRDefault="00184B6B" w:rsidP="00184B6B">
            <w:pPr>
              <w:spacing w:line="240" w:lineRule="auto"/>
              <w:ind w:firstLine="0"/>
              <w:rPr>
                <w:sz w:val="20"/>
                <w:szCs w:val="22"/>
              </w:rPr>
            </w:pPr>
            <w:r w:rsidRPr="00184B6B">
              <w:rPr>
                <w:sz w:val="20"/>
                <w:szCs w:val="22"/>
              </w:rPr>
              <w:t>(0.037)</w:t>
            </w:r>
          </w:p>
        </w:tc>
        <w:tc>
          <w:tcPr>
            <w:tcW w:w="730" w:type="pct"/>
            <w:tcBorders>
              <w:top w:val="nil"/>
              <w:left w:val="nil"/>
              <w:bottom w:val="nil"/>
              <w:right w:val="nil"/>
            </w:tcBorders>
            <w:shd w:val="clear" w:color="auto" w:fill="auto"/>
            <w:noWrap/>
            <w:vAlign w:val="bottom"/>
            <w:hideMark/>
          </w:tcPr>
          <w:p w14:paraId="6DC347A7" w14:textId="77777777" w:rsidR="00184B6B" w:rsidRPr="00184B6B" w:rsidRDefault="00184B6B" w:rsidP="00184B6B">
            <w:pPr>
              <w:spacing w:line="240" w:lineRule="auto"/>
              <w:ind w:firstLine="0"/>
              <w:rPr>
                <w:sz w:val="20"/>
                <w:szCs w:val="22"/>
              </w:rPr>
            </w:pPr>
            <w:r w:rsidRPr="00184B6B">
              <w:rPr>
                <w:sz w:val="20"/>
                <w:szCs w:val="22"/>
              </w:rPr>
              <w:t>(0.037)</w:t>
            </w:r>
          </w:p>
        </w:tc>
      </w:tr>
      <w:tr w:rsidR="00184B6B" w:rsidRPr="00184B6B" w14:paraId="3AA7B669" w14:textId="77777777" w:rsidTr="00B617ED">
        <w:trPr>
          <w:trHeight w:val="300"/>
        </w:trPr>
        <w:tc>
          <w:tcPr>
            <w:tcW w:w="2077" w:type="pct"/>
            <w:tcBorders>
              <w:top w:val="nil"/>
              <w:left w:val="nil"/>
              <w:bottom w:val="nil"/>
              <w:right w:val="nil"/>
            </w:tcBorders>
            <w:shd w:val="clear" w:color="auto" w:fill="auto"/>
            <w:noWrap/>
            <w:vAlign w:val="bottom"/>
            <w:hideMark/>
          </w:tcPr>
          <w:p w14:paraId="6B927885" w14:textId="77777777" w:rsidR="00184B6B" w:rsidRPr="00184B6B" w:rsidRDefault="00184B6B" w:rsidP="00184B6B">
            <w:pPr>
              <w:spacing w:line="240" w:lineRule="auto"/>
              <w:ind w:firstLine="0"/>
              <w:jc w:val="left"/>
              <w:rPr>
                <w:sz w:val="20"/>
                <w:szCs w:val="22"/>
              </w:rPr>
            </w:pPr>
            <w:r w:rsidRPr="00184B6B">
              <w:rPr>
                <w:sz w:val="20"/>
                <w:szCs w:val="22"/>
              </w:rPr>
              <w:t>Montenegro</w:t>
            </w:r>
          </w:p>
        </w:tc>
        <w:tc>
          <w:tcPr>
            <w:tcW w:w="731" w:type="pct"/>
            <w:tcBorders>
              <w:top w:val="nil"/>
              <w:left w:val="nil"/>
              <w:bottom w:val="nil"/>
              <w:right w:val="nil"/>
            </w:tcBorders>
            <w:shd w:val="clear" w:color="auto" w:fill="auto"/>
            <w:noWrap/>
            <w:vAlign w:val="bottom"/>
            <w:hideMark/>
          </w:tcPr>
          <w:p w14:paraId="6D266540" w14:textId="77777777" w:rsidR="00184B6B" w:rsidRPr="00184B6B" w:rsidRDefault="00184B6B" w:rsidP="00184B6B">
            <w:pPr>
              <w:spacing w:line="240" w:lineRule="auto"/>
              <w:ind w:firstLine="0"/>
              <w:rPr>
                <w:sz w:val="20"/>
                <w:szCs w:val="22"/>
              </w:rPr>
            </w:pPr>
            <w:r w:rsidRPr="00184B6B">
              <w:rPr>
                <w:sz w:val="20"/>
                <w:szCs w:val="22"/>
              </w:rPr>
              <w:t>-0.169***</w:t>
            </w:r>
          </w:p>
        </w:tc>
        <w:tc>
          <w:tcPr>
            <w:tcW w:w="731" w:type="pct"/>
            <w:tcBorders>
              <w:top w:val="nil"/>
              <w:left w:val="nil"/>
              <w:bottom w:val="nil"/>
              <w:right w:val="nil"/>
            </w:tcBorders>
            <w:shd w:val="clear" w:color="auto" w:fill="auto"/>
            <w:noWrap/>
            <w:vAlign w:val="bottom"/>
            <w:hideMark/>
          </w:tcPr>
          <w:p w14:paraId="7507277B" w14:textId="77777777" w:rsidR="00184B6B" w:rsidRPr="00184B6B" w:rsidRDefault="00184B6B" w:rsidP="00184B6B">
            <w:pPr>
              <w:spacing w:line="240" w:lineRule="auto"/>
              <w:ind w:firstLine="0"/>
              <w:rPr>
                <w:sz w:val="20"/>
                <w:szCs w:val="22"/>
              </w:rPr>
            </w:pPr>
            <w:r w:rsidRPr="00184B6B">
              <w:rPr>
                <w:sz w:val="20"/>
                <w:szCs w:val="22"/>
              </w:rPr>
              <w:t>-0.167***</w:t>
            </w:r>
          </w:p>
        </w:tc>
        <w:tc>
          <w:tcPr>
            <w:tcW w:w="731" w:type="pct"/>
            <w:tcBorders>
              <w:top w:val="nil"/>
              <w:left w:val="nil"/>
              <w:bottom w:val="nil"/>
              <w:right w:val="nil"/>
            </w:tcBorders>
            <w:shd w:val="clear" w:color="auto" w:fill="auto"/>
            <w:noWrap/>
            <w:vAlign w:val="bottom"/>
            <w:hideMark/>
          </w:tcPr>
          <w:p w14:paraId="2E8294CB" w14:textId="77777777" w:rsidR="00184B6B" w:rsidRPr="00184B6B" w:rsidRDefault="00184B6B" w:rsidP="00184B6B">
            <w:pPr>
              <w:spacing w:line="240" w:lineRule="auto"/>
              <w:ind w:firstLine="0"/>
              <w:rPr>
                <w:sz w:val="20"/>
                <w:szCs w:val="22"/>
              </w:rPr>
            </w:pPr>
            <w:r w:rsidRPr="00184B6B">
              <w:rPr>
                <w:sz w:val="20"/>
                <w:szCs w:val="22"/>
              </w:rPr>
              <w:t>-0.163***</w:t>
            </w:r>
          </w:p>
        </w:tc>
        <w:tc>
          <w:tcPr>
            <w:tcW w:w="730" w:type="pct"/>
            <w:tcBorders>
              <w:top w:val="nil"/>
              <w:left w:val="nil"/>
              <w:bottom w:val="nil"/>
              <w:right w:val="nil"/>
            </w:tcBorders>
            <w:shd w:val="clear" w:color="auto" w:fill="auto"/>
            <w:noWrap/>
            <w:vAlign w:val="bottom"/>
            <w:hideMark/>
          </w:tcPr>
          <w:p w14:paraId="6292F401" w14:textId="77777777" w:rsidR="00184B6B" w:rsidRPr="00184B6B" w:rsidRDefault="00184B6B" w:rsidP="00184B6B">
            <w:pPr>
              <w:spacing w:line="240" w:lineRule="auto"/>
              <w:ind w:firstLine="0"/>
              <w:rPr>
                <w:sz w:val="20"/>
                <w:szCs w:val="22"/>
              </w:rPr>
            </w:pPr>
            <w:r w:rsidRPr="00184B6B">
              <w:rPr>
                <w:sz w:val="20"/>
                <w:szCs w:val="22"/>
              </w:rPr>
              <w:t>-0.163***</w:t>
            </w:r>
          </w:p>
        </w:tc>
      </w:tr>
      <w:tr w:rsidR="00184B6B" w:rsidRPr="00184B6B" w14:paraId="2F52B6DC" w14:textId="77777777" w:rsidTr="00B617ED">
        <w:trPr>
          <w:trHeight w:val="300"/>
        </w:trPr>
        <w:tc>
          <w:tcPr>
            <w:tcW w:w="2077" w:type="pct"/>
            <w:tcBorders>
              <w:top w:val="nil"/>
              <w:left w:val="nil"/>
              <w:bottom w:val="nil"/>
              <w:right w:val="nil"/>
            </w:tcBorders>
            <w:shd w:val="clear" w:color="auto" w:fill="auto"/>
            <w:noWrap/>
            <w:vAlign w:val="bottom"/>
            <w:hideMark/>
          </w:tcPr>
          <w:p w14:paraId="4F0DB123"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5B516122" w14:textId="77777777" w:rsidR="00184B6B" w:rsidRPr="00184B6B" w:rsidRDefault="00184B6B" w:rsidP="00184B6B">
            <w:pPr>
              <w:spacing w:line="240" w:lineRule="auto"/>
              <w:ind w:firstLine="0"/>
              <w:rPr>
                <w:sz w:val="20"/>
                <w:szCs w:val="22"/>
              </w:rPr>
            </w:pPr>
            <w:r w:rsidRPr="00184B6B">
              <w:rPr>
                <w:sz w:val="20"/>
                <w:szCs w:val="22"/>
              </w:rPr>
              <w:t>(0.041)</w:t>
            </w:r>
          </w:p>
        </w:tc>
        <w:tc>
          <w:tcPr>
            <w:tcW w:w="731" w:type="pct"/>
            <w:tcBorders>
              <w:top w:val="nil"/>
              <w:left w:val="nil"/>
              <w:bottom w:val="nil"/>
              <w:right w:val="nil"/>
            </w:tcBorders>
            <w:shd w:val="clear" w:color="auto" w:fill="auto"/>
            <w:noWrap/>
            <w:vAlign w:val="bottom"/>
            <w:hideMark/>
          </w:tcPr>
          <w:p w14:paraId="5C0831E3" w14:textId="77777777" w:rsidR="00184B6B" w:rsidRPr="00184B6B" w:rsidRDefault="00184B6B" w:rsidP="00184B6B">
            <w:pPr>
              <w:spacing w:line="240" w:lineRule="auto"/>
              <w:ind w:firstLine="0"/>
              <w:rPr>
                <w:sz w:val="20"/>
                <w:szCs w:val="22"/>
              </w:rPr>
            </w:pPr>
            <w:r w:rsidRPr="00184B6B">
              <w:rPr>
                <w:sz w:val="20"/>
                <w:szCs w:val="22"/>
              </w:rPr>
              <w:t>(0.041)</w:t>
            </w:r>
          </w:p>
        </w:tc>
        <w:tc>
          <w:tcPr>
            <w:tcW w:w="731" w:type="pct"/>
            <w:tcBorders>
              <w:top w:val="nil"/>
              <w:left w:val="nil"/>
              <w:bottom w:val="nil"/>
              <w:right w:val="nil"/>
            </w:tcBorders>
            <w:shd w:val="clear" w:color="auto" w:fill="auto"/>
            <w:noWrap/>
            <w:vAlign w:val="bottom"/>
            <w:hideMark/>
          </w:tcPr>
          <w:p w14:paraId="416EB7D1" w14:textId="77777777" w:rsidR="00184B6B" w:rsidRPr="00184B6B" w:rsidRDefault="00184B6B" w:rsidP="00184B6B">
            <w:pPr>
              <w:spacing w:line="240" w:lineRule="auto"/>
              <w:ind w:firstLine="0"/>
              <w:rPr>
                <w:sz w:val="20"/>
                <w:szCs w:val="22"/>
              </w:rPr>
            </w:pPr>
            <w:r w:rsidRPr="00184B6B">
              <w:rPr>
                <w:sz w:val="20"/>
                <w:szCs w:val="22"/>
              </w:rPr>
              <w:t>(0.041)</w:t>
            </w:r>
          </w:p>
        </w:tc>
        <w:tc>
          <w:tcPr>
            <w:tcW w:w="730" w:type="pct"/>
            <w:tcBorders>
              <w:top w:val="nil"/>
              <w:left w:val="nil"/>
              <w:bottom w:val="nil"/>
              <w:right w:val="nil"/>
            </w:tcBorders>
            <w:shd w:val="clear" w:color="auto" w:fill="auto"/>
            <w:noWrap/>
            <w:vAlign w:val="bottom"/>
            <w:hideMark/>
          </w:tcPr>
          <w:p w14:paraId="4F8EAB69" w14:textId="77777777" w:rsidR="00184B6B" w:rsidRPr="00184B6B" w:rsidRDefault="00184B6B" w:rsidP="00184B6B">
            <w:pPr>
              <w:spacing w:line="240" w:lineRule="auto"/>
              <w:ind w:firstLine="0"/>
              <w:rPr>
                <w:sz w:val="20"/>
                <w:szCs w:val="22"/>
              </w:rPr>
            </w:pPr>
            <w:r w:rsidRPr="00184B6B">
              <w:rPr>
                <w:sz w:val="20"/>
                <w:szCs w:val="22"/>
              </w:rPr>
              <w:t>(0.041)</w:t>
            </w:r>
          </w:p>
        </w:tc>
      </w:tr>
      <w:tr w:rsidR="00184B6B" w:rsidRPr="00184B6B" w14:paraId="59E638CA" w14:textId="77777777" w:rsidTr="00B617ED">
        <w:trPr>
          <w:trHeight w:val="300"/>
        </w:trPr>
        <w:tc>
          <w:tcPr>
            <w:tcW w:w="2077" w:type="pct"/>
            <w:tcBorders>
              <w:top w:val="nil"/>
              <w:left w:val="nil"/>
              <w:bottom w:val="nil"/>
              <w:right w:val="nil"/>
            </w:tcBorders>
            <w:shd w:val="clear" w:color="auto" w:fill="auto"/>
            <w:noWrap/>
            <w:vAlign w:val="bottom"/>
            <w:hideMark/>
          </w:tcPr>
          <w:p w14:paraId="133DD5FD" w14:textId="77777777" w:rsidR="00184B6B" w:rsidRPr="00184B6B" w:rsidRDefault="00184B6B" w:rsidP="00184B6B">
            <w:pPr>
              <w:spacing w:line="240" w:lineRule="auto"/>
              <w:ind w:firstLine="0"/>
              <w:jc w:val="left"/>
              <w:rPr>
                <w:sz w:val="20"/>
                <w:szCs w:val="22"/>
              </w:rPr>
            </w:pPr>
            <w:r w:rsidRPr="00184B6B">
              <w:rPr>
                <w:sz w:val="20"/>
                <w:szCs w:val="22"/>
              </w:rPr>
              <w:t>Kosovo</w:t>
            </w:r>
          </w:p>
        </w:tc>
        <w:tc>
          <w:tcPr>
            <w:tcW w:w="731" w:type="pct"/>
            <w:tcBorders>
              <w:top w:val="nil"/>
              <w:left w:val="nil"/>
              <w:bottom w:val="nil"/>
              <w:right w:val="nil"/>
            </w:tcBorders>
            <w:shd w:val="clear" w:color="auto" w:fill="auto"/>
            <w:noWrap/>
            <w:vAlign w:val="bottom"/>
            <w:hideMark/>
          </w:tcPr>
          <w:p w14:paraId="46470A00" w14:textId="77777777" w:rsidR="00184B6B" w:rsidRPr="00184B6B" w:rsidRDefault="00184B6B" w:rsidP="00184B6B">
            <w:pPr>
              <w:spacing w:line="240" w:lineRule="auto"/>
              <w:ind w:firstLine="0"/>
              <w:rPr>
                <w:sz w:val="20"/>
                <w:szCs w:val="22"/>
              </w:rPr>
            </w:pPr>
            <w:r w:rsidRPr="00184B6B">
              <w:rPr>
                <w:sz w:val="20"/>
                <w:szCs w:val="22"/>
              </w:rPr>
              <w:t>0.059</w:t>
            </w:r>
          </w:p>
        </w:tc>
        <w:tc>
          <w:tcPr>
            <w:tcW w:w="731" w:type="pct"/>
            <w:tcBorders>
              <w:top w:val="nil"/>
              <w:left w:val="nil"/>
              <w:bottom w:val="nil"/>
              <w:right w:val="nil"/>
            </w:tcBorders>
            <w:shd w:val="clear" w:color="auto" w:fill="auto"/>
            <w:noWrap/>
            <w:vAlign w:val="bottom"/>
            <w:hideMark/>
          </w:tcPr>
          <w:p w14:paraId="2E577998" w14:textId="77777777" w:rsidR="00184B6B" w:rsidRPr="00184B6B" w:rsidRDefault="00184B6B" w:rsidP="00184B6B">
            <w:pPr>
              <w:spacing w:line="240" w:lineRule="auto"/>
              <w:ind w:firstLine="0"/>
              <w:rPr>
                <w:sz w:val="20"/>
                <w:szCs w:val="22"/>
              </w:rPr>
            </w:pPr>
            <w:r w:rsidRPr="00184B6B">
              <w:rPr>
                <w:sz w:val="20"/>
                <w:szCs w:val="22"/>
              </w:rPr>
              <w:t>0.057</w:t>
            </w:r>
          </w:p>
        </w:tc>
        <w:tc>
          <w:tcPr>
            <w:tcW w:w="731" w:type="pct"/>
            <w:tcBorders>
              <w:top w:val="nil"/>
              <w:left w:val="nil"/>
              <w:bottom w:val="nil"/>
              <w:right w:val="nil"/>
            </w:tcBorders>
            <w:shd w:val="clear" w:color="auto" w:fill="auto"/>
            <w:noWrap/>
            <w:vAlign w:val="bottom"/>
            <w:hideMark/>
          </w:tcPr>
          <w:p w14:paraId="6CE07CA8" w14:textId="77777777" w:rsidR="00184B6B" w:rsidRPr="00184B6B" w:rsidRDefault="00184B6B" w:rsidP="00184B6B">
            <w:pPr>
              <w:spacing w:line="240" w:lineRule="auto"/>
              <w:ind w:firstLine="0"/>
              <w:rPr>
                <w:sz w:val="20"/>
                <w:szCs w:val="22"/>
              </w:rPr>
            </w:pPr>
            <w:r w:rsidRPr="00184B6B">
              <w:rPr>
                <w:sz w:val="20"/>
                <w:szCs w:val="22"/>
              </w:rPr>
              <w:t>0.060</w:t>
            </w:r>
          </w:p>
        </w:tc>
        <w:tc>
          <w:tcPr>
            <w:tcW w:w="730" w:type="pct"/>
            <w:tcBorders>
              <w:top w:val="nil"/>
              <w:left w:val="nil"/>
              <w:bottom w:val="nil"/>
              <w:right w:val="nil"/>
            </w:tcBorders>
            <w:shd w:val="clear" w:color="auto" w:fill="auto"/>
            <w:noWrap/>
            <w:vAlign w:val="bottom"/>
            <w:hideMark/>
          </w:tcPr>
          <w:p w14:paraId="7B1B1AF6" w14:textId="77777777" w:rsidR="00184B6B" w:rsidRPr="00184B6B" w:rsidRDefault="00184B6B" w:rsidP="00184B6B">
            <w:pPr>
              <w:spacing w:line="240" w:lineRule="auto"/>
              <w:ind w:firstLine="0"/>
              <w:rPr>
                <w:sz w:val="20"/>
                <w:szCs w:val="22"/>
              </w:rPr>
            </w:pPr>
            <w:r w:rsidRPr="00184B6B">
              <w:rPr>
                <w:sz w:val="20"/>
                <w:szCs w:val="22"/>
              </w:rPr>
              <w:t>0.063</w:t>
            </w:r>
          </w:p>
        </w:tc>
      </w:tr>
      <w:tr w:rsidR="00184B6B" w:rsidRPr="00184B6B" w14:paraId="6931E199" w14:textId="77777777" w:rsidTr="00B617ED">
        <w:trPr>
          <w:trHeight w:val="300"/>
        </w:trPr>
        <w:tc>
          <w:tcPr>
            <w:tcW w:w="2077" w:type="pct"/>
            <w:tcBorders>
              <w:top w:val="nil"/>
              <w:left w:val="nil"/>
              <w:bottom w:val="nil"/>
              <w:right w:val="nil"/>
            </w:tcBorders>
            <w:shd w:val="clear" w:color="auto" w:fill="auto"/>
            <w:noWrap/>
            <w:vAlign w:val="bottom"/>
            <w:hideMark/>
          </w:tcPr>
          <w:p w14:paraId="701D8D19"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38BAF19E" w14:textId="77777777" w:rsidR="00184B6B" w:rsidRPr="00184B6B" w:rsidRDefault="00184B6B" w:rsidP="00184B6B">
            <w:pPr>
              <w:spacing w:line="240" w:lineRule="auto"/>
              <w:ind w:firstLine="0"/>
              <w:rPr>
                <w:sz w:val="20"/>
                <w:szCs w:val="22"/>
              </w:rPr>
            </w:pPr>
            <w:r w:rsidRPr="00184B6B">
              <w:rPr>
                <w:sz w:val="20"/>
                <w:szCs w:val="22"/>
              </w:rPr>
              <w:t>(0.045)</w:t>
            </w:r>
          </w:p>
        </w:tc>
        <w:tc>
          <w:tcPr>
            <w:tcW w:w="731" w:type="pct"/>
            <w:tcBorders>
              <w:top w:val="nil"/>
              <w:left w:val="nil"/>
              <w:bottom w:val="nil"/>
              <w:right w:val="nil"/>
            </w:tcBorders>
            <w:shd w:val="clear" w:color="auto" w:fill="auto"/>
            <w:noWrap/>
            <w:vAlign w:val="bottom"/>
            <w:hideMark/>
          </w:tcPr>
          <w:p w14:paraId="76D405D9" w14:textId="77777777" w:rsidR="00184B6B" w:rsidRPr="00184B6B" w:rsidRDefault="00184B6B" w:rsidP="00184B6B">
            <w:pPr>
              <w:spacing w:line="240" w:lineRule="auto"/>
              <w:ind w:firstLine="0"/>
              <w:rPr>
                <w:sz w:val="20"/>
                <w:szCs w:val="22"/>
              </w:rPr>
            </w:pPr>
            <w:r w:rsidRPr="00184B6B">
              <w:rPr>
                <w:sz w:val="20"/>
                <w:szCs w:val="22"/>
              </w:rPr>
              <w:t>(0.045)</w:t>
            </w:r>
          </w:p>
        </w:tc>
        <w:tc>
          <w:tcPr>
            <w:tcW w:w="731" w:type="pct"/>
            <w:tcBorders>
              <w:top w:val="nil"/>
              <w:left w:val="nil"/>
              <w:bottom w:val="nil"/>
              <w:right w:val="nil"/>
            </w:tcBorders>
            <w:shd w:val="clear" w:color="auto" w:fill="auto"/>
            <w:noWrap/>
            <w:vAlign w:val="bottom"/>
            <w:hideMark/>
          </w:tcPr>
          <w:p w14:paraId="3EF152AA" w14:textId="77777777" w:rsidR="00184B6B" w:rsidRPr="00184B6B" w:rsidRDefault="00184B6B" w:rsidP="00184B6B">
            <w:pPr>
              <w:spacing w:line="240" w:lineRule="auto"/>
              <w:ind w:firstLine="0"/>
              <w:rPr>
                <w:sz w:val="20"/>
                <w:szCs w:val="22"/>
              </w:rPr>
            </w:pPr>
            <w:r w:rsidRPr="00184B6B">
              <w:rPr>
                <w:sz w:val="20"/>
                <w:szCs w:val="22"/>
              </w:rPr>
              <w:t>(0.045)</w:t>
            </w:r>
          </w:p>
        </w:tc>
        <w:tc>
          <w:tcPr>
            <w:tcW w:w="730" w:type="pct"/>
            <w:tcBorders>
              <w:top w:val="nil"/>
              <w:left w:val="nil"/>
              <w:bottom w:val="nil"/>
              <w:right w:val="nil"/>
            </w:tcBorders>
            <w:shd w:val="clear" w:color="auto" w:fill="auto"/>
            <w:noWrap/>
            <w:vAlign w:val="bottom"/>
            <w:hideMark/>
          </w:tcPr>
          <w:p w14:paraId="4AFD0EE9" w14:textId="77777777" w:rsidR="00184B6B" w:rsidRPr="00184B6B" w:rsidRDefault="00184B6B" w:rsidP="00184B6B">
            <w:pPr>
              <w:spacing w:line="240" w:lineRule="auto"/>
              <w:ind w:firstLine="0"/>
              <w:rPr>
                <w:sz w:val="20"/>
                <w:szCs w:val="22"/>
              </w:rPr>
            </w:pPr>
            <w:r w:rsidRPr="00184B6B">
              <w:rPr>
                <w:sz w:val="20"/>
                <w:szCs w:val="22"/>
              </w:rPr>
              <w:t>(0.045)</w:t>
            </w:r>
          </w:p>
        </w:tc>
      </w:tr>
      <w:tr w:rsidR="00184B6B" w:rsidRPr="00184B6B" w14:paraId="725B2CC4" w14:textId="77777777" w:rsidTr="00B617ED">
        <w:trPr>
          <w:trHeight w:val="300"/>
        </w:trPr>
        <w:tc>
          <w:tcPr>
            <w:tcW w:w="2077" w:type="pct"/>
            <w:tcBorders>
              <w:top w:val="nil"/>
              <w:left w:val="nil"/>
              <w:bottom w:val="nil"/>
              <w:right w:val="nil"/>
            </w:tcBorders>
            <w:shd w:val="clear" w:color="auto" w:fill="auto"/>
            <w:noWrap/>
            <w:vAlign w:val="bottom"/>
            <w:hideMark/>
          </w:tcPr>
          <w:p w14:paraId="39A8AC6F" w14:textId="77777777" w:rsidR="00184B6B" w:rsidRPr="00184B6B" w:rsidRDefault="00184B6B" w:rsidP="00184B6B">
            <w:pPr>
              <w:spacing w:line="240" w:lineRule="auto"/>
              <w:ind w:firstLine="0"/>
              <w:jc w:val="left"/>
              <w:rPr>
                <w:sz w:val="20"/>
                <w:szCs w:val="22"/>
              </w:rPr>
            </w:pPr>
            <w:r w:rsidRPr="00184B6B">
              <w:rPr>
                <w:sz w:val="20"/>
                <w:szCs w:val="22"/>
              </w:rPr>
              <w:t>Year 2010</w:t>
            </w:r>
          </w:p>
        </w:tc>
        <w:tc>
          <w:tcPr>
            <w:tcW w:w="731" w:type="pct"/>
            <w:tcBorders>
              <w:top w:val="nil"/>
              <w:left w:val="nil"/>
              <w:bottom w:val="nil"/>
              <w:right w:val="nil"/>
            </w:tcBorders>
            <w:shd w:val="clear" w:color="auto" w:fill="auto"/>
            <w:noWrap/>
            <w:vAlign w:val="bottom"/>
            <w:hideMark/>
          </w:tcPr>
          <w:p w14:paraId="16EBEFD9" w14:textId="77777777" w:rsidR="00184B6B" w:rsidRPr="00184B6B" w:rsidRDefault="00184B6B" w:rsidP="00184B6B">
            <w:pPr>
              <w:spacing w:line="240" w:lineRule="auto"/>
              <w:ind w:firstLine="0"/>
              <w:rPr>
                <w:sz w:val="20"/>
                <w:szCs w:val="22"/>
              </w:rPr>
            </w:pPr>
            <w:r w:rsidRPr="00184B6B">
              <w:rPr>
                <w:sz w:val="20"/>
                <w:szCs w:val="22"/>
              </w:rPr>
              <w:t>0.050**</w:t>
            </w:r>
          </w:p>
        </w:tc>
        <w:tc>
          <w:tcPr>
            <w:tcW w:w="731" w:type="pct"/>
            <w:tcBorders>
              <w:top w:val="nil"/>
              <w:left w:val="nil"/>
              <w:bottom w:val="nil"/>
              <w:right w:val="nil"/>
            </w:tcBorders>
            <w:shd w:val="clear" w:color="auto" w:fill="auto"/>
            <w:noWrap/>
            <w:vAlign w:val="bottom"/>
            <w:hideMark/>
          </w:tcPr>
          <w:p w14:paraId="745D2348" w14:textId="77777777" w:rsidR="00184B6B" w:rsidRPr="00184B6B" w:rsidRDefault="00184B6B" w:rsidP="00184B6B">
            <w:pPr>
              <w:spacing w:line="240" w:lineRule="auto"/>
              <w:ind w:firstLine="0"/>
              <w:rPr>
                <w:sz w:val="20"/>
                <w:szCs w:val="22"/>
              </w:rPr>
            </w:pPr>
            <w:r w:rsidRPr="00184B6B">
              <w:rPr>
                <w:sz w:val="20"/>
                <w:szCs w:val="22"/>
              </w:rPr>
              <w:t>0.049**</w:t>
            </w:r>
          </w:p>
        </w:tc>
        <w:tc>
          <w:tcPr>
            <w:tcW w:w="731" w:type="pct"/>
            <w:tcBorders>
              <w:top w:val="nil"/>
              <w:left w:val="nil"/>
              <w:bottom w:val="nil"/>
              <w:right w:val="nil"/>
            </w:tcBorders>
            <w:shd w:val="clear" w:color="auto" w:fill="auto"/>
            <w:noWrap/>
            <w:vAlign w:val="bottom"/>
            <w:hideMark/>
          </w:tcPr>
          <w:p w14:paraId="341F7DFD" w14:textId="77777777" w:rsidR="00184B6B" w:rsidRPr="00184B6B" w:rsidRDefault="00184B6B" w:rsidP="00184B6B">
            <w:pPr>
              <w:spacing w:line="240" w:lineRule="auto"/>
              <w:ind w:firstLine="0"/>
              <w:rPr>
                <w:sz w:val="20"/>
                <w:szCs w:val="22"/>
              </w:rPr>
            </w:pPr>
            <w:r w:rsidRPr="00184B6B">
              <w:rPr>
                <w:sz w:val="20"/>
                <w:szCs w:val="22"/>
              </w:rPr>
              <w:t>0.046*</w:t>
            </w:r>
          </w:p>
        </w:tc>
        <w:tc>
          <w:tcPr>
            <w:tcW w:w="730" w:type="pct"/>
            <w:tcBorders>
              <w:top w:val="nil"/>
              <w:left w:val="nil"/>
              <w:bottom w:val="nil"/>
              <w:right w:val="nil"/>
            </w:tcBorders>
            <w:shd w:val="clear" w:color="auto" w:fill="auto"/>
            <w:noWrap/>
            <w:vAlign w:val="bottom"/>
            <w:hideMark/>
          </w:tcPr>
          <w:p w14:paraId="37311E10" w14:textId="77777777" w:rsidR="00184B6B" w:rsidRPr="00184B6B" w:rsidRDefault="00184B6B" w:rsidP="00184B6B">
            <w:pPr>
              <w:spacing w:line="240" w:lineRule="auto"/>
              <w:ind w:firstLine="0"/>
              <w:rPr>
                <w:sz w:val="20"/>
                <w:szCs w:val="22"/>
              </w:rPr>
            </w:pPr>
            <w:r w:rsidRPr="00184B6B">
              <w:rPr>
                <w:sz w:val="20"/>
                <w:szCs w:val="22"/>
              </w:rPr>
              <w:t>0.048**</w:t>
            </w:r>
          </w:p>
        </w:tc>
      </w:tr>
      <w:tr w:rsidR="00184B6B" w:rsidRPr="00184B6B" w14:paraId="3C688B99" w14:textId="77777777" w:rsidTr="00B617ED">
        <w:trPr>
          <w:trHeight w:val="300"/>
        </w:trPr>
        <w:tc>
          <w:tcPr>
            <w:tcW w:w="2077" w:type="pct"/>
            <w:tcBorders>
              <w:top w:val="nil"/>
              <w:left w:val="nil"/>
              <w:bottom w:val="nil"/>
              <w:right w:val="nil"/>
            </w:tcBorders>
            <w:shd w:val="clear" w:color="auto" w:fill="auto"/>
            <w:noWrap/>
            <w:vAlign w:val="bottom"/>
            <w:hideMark/>
          </w:tcPr>
          <w:p w14:paraId="2ED15D0E"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30EBB3AF" w14:textId="77777777" w:rsidR="00184B6B" w:rsidRPr="00184B6B" w:rsidRDefault="00184B6B" w:rsidP="00184B6B">
            <w:pPr>
              <w:spacing w:line="240" w:lineRule="auto"/>
              <w:ind w:firstLine="0"/>
              <w:rPr>
                <w:sz w:val="20"/>
                <w:szCs w:val="22"/>
              </w:rPr>
            </w:pPr>
            <w:r w:rsidRPr="00184B6B">
              <w:rPr>
                <w:sz w:val="20"/>
                <w:szCs w:val="22"/>
              </w:rPr>
              <w:t>(0.024)</w:t>
            </w:r>
          </w:p>
        </w:tc>
        <w:tc>
          <w:tcPr>
            <w:tcW w:w="731" w:type="pct"/>
            <w:tcBorders>
              <w:top w:val="nil"/>
              <w:left w:val="nil"/>
              <w:bottom w:val="nil"/>
              <w:right w:val="nil"/>
            </w:tcBorders>
            <w:shd w:val="clear" w:color="auto" w:fill="auto"/>
            <w:noWrap/>
            <w:vAlign w:val="bottom"/>
            <w:hideMark/>
          </w:tcPr>
          <w:p w14:paraId="5D5912FE" w14:textId="77777777" w:rsidR="00184B6B" w:rsidRPr="00184B6B" w:rsidRDefault="00184B6B" w:rsidP="00184B6B">
            <w:pPr>
              <w:spacing w:line="240" w:lineRule="auto"/>
              <w:ind w:firstLine="0"/>
              <w:rPr>
                <w:sz w:val="20"/>
                <w:szCs w:val="22"/>
              </w:rPr>
            </w:pPr>
            <w:r w:rsidRPr="00184B6B">
              <w:rPr>
                <w:sz w:val="20"/>
                <w:szCs w:val="22"/>
              </w:rPr>
              <w:t>(0.024)</w:t>
            </w:r>
          </w:p>
        </w:tc>
        <w:tc>
          <w:tcPr>
            <w:tcW w:w="731" w:type="pct"/>
            <w:tcBorders>
              <w:top w:val="nil"/>
              <w:left w:val="nil"/>
              <w:bottom w:val="nil"/>
              <w:right w:val="nil"/>
            </w:tcBorders>
            <w:shd w:val="clear" w:color="auto" w:fill="auto"/>
            <w:noWrap/>
            <w:vAlign w:val="bottom"/>
            <w:hideMark/>
          </w:tcPr>
          <w:p w14:paraId="3D3A92FC" w14:textId="77777777" w:rsidR="00184B6B" w:rsidRPr="00184B6B" w:rsidRDefault="00184B6B" w:rsidP="00184B6B">
            <w:pPr>
              <w:spacing w:line="240" w:lineRule="auto"/>
              <w:ind w:firstLine="0"/>
              <w:rPr>
                <w:sz w:val="20"/>
                <w:szCs w:val="22"/>
              </w:rPr>
            </w:pPr>
            <w:r w:rsidRPr="00184B6B">
              <w:rPr>
                <w:sz w:val="20"/>
                <w:szCs w:val="22"/>
              </w:rPr>
              <w:t>(0.024)</w:t>
            </w:r>
          </w:p>
        </w:tc>
        <w:tc>
          <w:tcPr>
            <w:tcW w:w="730" w:type="pct"/>
            <w:tcBorders>
              <w:top w:val="nil"/>
              <w:left w:val="nil"/>
              <w:bottom w:val="nil"/>
              <w:right w:val="nil"/>
            </w:tcBorders>
            <w:shd w:val="clear" w:color="auto" w:fill="auto"/>
            <w:noWrap/>
            <w:vAlign w:val="bottom"/>
            <w:hideMark/>
          </w:tcPr>
          <w:p w14:paraId="0B2598EE" w14:textId="77777777" w:rsidR="00184B6B" w:rsidRPr="00184B6B" w:rsidRDefault="00184B6B" w:rsidP="00184B6B">
            <w:pPr>
              <w:spacing w:line="240" w:lineRule="auto"/>
              <w:ind w:firstLine="0"/>
              <w:rPr>
                <w:sz w:val="20"/>
                <w:szCs w:val="22"/>
              </w:rPr>
            </w:pPr>
            <w:r w:rsidRPr="00184B6B">
              <w:rPr>
                <w:sz w:val="20"/>
                <w:szCs w:val="22"/>
              </w:rPr>
              <w:t>(0.024)</w:t>
            </w:r>
          </w:p>
        </w:tc>
      </w:tr>
      <w:tr w:rsidR="00184B6B" w:rsidRPr="00184B6B" w14:paraId="585D175E" w14:textId="77777777" w:rsidTr="00B617ED">
        <w:trPr>
          <w:trHeight w:val="300"/>
        </w:trPr>
        <w:tc>
          <w:tcPr>
            <w:tcW w:w="2077" w:type="pct"/>
            <w:tcBorders>
              <w:top w:val="nil"/>
              <w:left w:val="nil"/>
              <w:bottom w:val="nil"/>
              <w:right w:val="nil"/>
            </w:tcBorders>
            <w:shd w:val="clear" w:color="auto" w:fill="auto"/>
            <w:noWrap/>
            <w:vAlign w:val="bottom"/>
            <w:hideMark/>
          </w:tcPr>
          <w:p w14:paraId="11C03BB6" w14:textId="77777777" w:rsidR="00184B6B" w:rsidRPr="00184B6B" w:rsidRDefault="00184B6B" w:rsidP="00184B6B">
            <w:pPr>
              <w:spacing w:line="240" w:lineRule="auto"/>
              <w:ind w:firstLine="0"/>
              <w:jc w:val="left"/>
              <w:rPr>
                <w:sz w:val="20"/>
                <w:szCs w:val="22"/>
              </w:rPr>
            </w:pPr>
            <w:r w:rsidRPr="00184B6B">
              <w:rPr>
                <w:sz w:val="20"/>
                <w:szCs w:val="22"/>
              </w:rPr>
              <w:t>Year 2011</w:t>
            </w:r>
          </w:p>
        </w:tc>
        <w:tc>
          <w:tcPr>
            <w:tcW w:w="731" w:type="pct"/>
            <w:tcBorders>
              <w:top w:val="nil"/>
              <w:left w:val="nil"/>
              <w:bottom w:val="nil"/>
              <w:right w:val="nil"/>
            </w:tcBorders>
            <w:shd w:val="clear" w:color="auto" w:fill="auto"/>
            <w:noWrap/>
            <w:vAlign w:val="bottom"/>
            <w:hideMark/>
          </w:tcPr>
          <w:p w14:paraId="16BF6167" w14:textId="77777777" w:rsidR="00184B6B" w:rsidRPr="00184B6B" w:rsidRDefault="00184B6B" w:rsidP="00184B6B">
            <w:pPr>
              <w:spacing w:line="240" w:lineRule="auto"/>
              <w:ind w:firstLine="0"/>
              <w:rPr>
                <w:sz w:val="20"/>
                <w:szCs w:val="22"/>
              </w:rPr>
            </w:pPr>
            <w:r w:rsidRPr="00184B6B">
              <w:rPr>
                <w:sz w:val="20"/>
                <w:szCs w:val="22"/>
              </w:rPr>
              <w:t>-0.096***</w:t>
            </w:r>
          </w:p>
        </w:tc>
        <w:tc>
          <w:tcPr>
            <w:tcW w:w="731" w:type="pct"/>
            <w:tcBorders>
              <w:top w:val="nil"/>
              <w:left w:val="nil"/>
              <w:bottom w:val="nil"/>
              <w:right w:val="nil"/>
            </w:tcBorders>
            <w:shd w:val="clear" w:color="auto" w:fill="auto"/>
            <w:noWrap/>
            <w:vAlign w:val="bottom"/>
            <w:hideMark/>
          </w:tcPr>
          <w:p w14:paraId="47086D4E" w14:textId="77777777" w:rsidR="00184B6B" w:rsidRPr="00184B6B" w:rsidRDefault="00184B6B" w:rsidP="00184B6B">
            <w:pPr>
              <w:spacing w:line="240" w:lineRule="auto"/>
              <w:ind w:firstLine="0"/>
              <w:rPr>
                <w:sz w:val="20"/>
                <w:szCs w:val="22"/>
              </w:rPr>
            </w:pPr>
            <w:r w:rsidRPr="00184B6B">
              <w:rPr>
                <w:sz w:val="20"/>
                <w:szCs w:val="22"/>
              </w:rPr>
              <w:t>-0.096***</w:t>
            </w:r>
          </w:p>
        </w:tc>
        <w:tc>
          <w:tcPr>
            <w:tcW w:w="731" w:type="pct"/>
            <w:tcBorders>
              <w:top w:val="nil"/>
              <w:left w:val="nil"/>
              <w:bottom w:val="nil"/>
              <w:right w:val="nil"/>
            </w:tcBorders>
            <w:shd w:val="clear" w:color="auto" w:fill="auto"/>
            <w:noWrap/>
            <w:vAlign w:val="bottom"/>
            <w:hideMark/>
          </w:tcPr>
          <w:p w14:paraId="29562EB7" w14:textId="77777777" w:rsidR="00184B6B" w:rsidRPr="00184B6B" w:rsidRDefault="00184B6B" w:rsidP="00184B6B">
            <w:pPr>
              <w:spacing w:line="240" w:lineRule="auto"/>
              <w:ind w:firstLine="0"/>
              <w:rPr>
                <w:sz w:val="20"/>
                <w:szCs w:val="22"/>
              </w:rPr>
            </w:pPr>
            <w:r w:rsidRPr="00184B6B">
              <w:rPr>
                <w:sz w:val="20"/>
                <w:szCs w:val="22"/>
              </w:rPr>
              <w:t>-0.097***</w:t>
            </w:r>
          </w:p>
        </w:tc>
        <w:tc>
          <w:tcPr>
            <w:tcW w:w="730" w:type="pct"/>
            <w:tcBorders>
              <w:top w:val="nil"/>
              <w:left w:val="nil"/>
              <w:bottom w:val="nil"/>
              <w:right w:val="nil"/>
            </w:tcBorders>
            <w:shd w:val="clear" w:color="auto" w:fill="auto"/>
            <w:noWrap/>
            <w:vAlign w:val="bottom"/>
            <w:hideMark/>
          </w:tcPr>
          <w:p w14:paraId="6A4AF31A" w14:textId="77777777" w:rsidR="00184B6B" w:rsidRPr="00184B6B" w:rsidRDefault="00184B6B" w:rsidP="00184B6B">
            <w:pPr>
              <w:spacing w:line="240" w:lineRule="auto"/>
              <w:ind w:firstLine="0"/>
              <w:rPr>
                <w:sz w:val="20"/>
                <w:szCs w:val="22"/>
              </w:rPr>
            </w:pPr>
            <w:r w:rsidRPr="00184B6B">
              <w:rPr>
                <w:sz w:val="20"/>
                <w:szCs w:val="22"/>
              </w:rPr>
              <w:t>-0.094***</w:t>
            </w:r>
          </w:p>
        </w:tc>
      </w:tr>
      <w:tr w:rsidR="00184B6B" w:rsidRPr="00184B6B" w14:paraId="706C1897" w14:textId="77777777" w:rsidTr="00B617ED">
        <w:trPr>
          <w:trHeight w:val="300"/>
        </w:trPr>
        <w:tc>
          <w:tcPr>
            <w:tcW w:w="2077" w:type="pct"/>
            <w:tcBorders>
              <w:top w:val="nil"/>
              <w:left w:val="nil"/>
              <w:bottom w:val="single" w:sz="4" w:space="0" w:color="auto"/>
              <w:right w:val="nil"/>
            </w:tcBorders>
            <w:shd w:val="clear" w:color="auto" w:fill="auto"/>
            <w:noWrap/>
            <w:vAlign w:val="bottom"/>
            <w:hideMark/>
          </w:tcPr>
          <w:p w14:paraId="065652B5"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single" w:sz="4" w:space="0" w:color="auto"/>
              <w:right w:val="nil"/>
            </w:tcBorders>
            <w:shd w:val="clear" w:color="auto" w:fill="auto"/>
            <w:noWrap/>
            <w:vAlign w:val="bottom"/>
            <w:hideMark/>
          </w:tcPr>
          <w:p w14:paraId="38AFB043" w14:textId="77777777" w:rsidR="00184B6B" w:rsidRPr="00184B6B" w:rsidRDefault="00184B6B" w:rsidP="00184B6B">
            <w:pPr>
              <w:spacing w:line="240" w:lineRule="auto"/>
              <w:ind w:firstLine="0"/>
              <w:rPr>
                <w:sz w:val="20"/>
                <w:szCs w:val="22"/>
              </w:rPr>
            </w:pPr>
            <w:r w:rsidRPr="00184B6B">
              <w:rPr>
                <w:sz w:val="20"/>
                <w:szCs w:val="22"/>
              </w:rPr>
              <w:t>(0.025)</w:t>
            </w:r>
          </w:p>
        </w:tc>
        <w:tc>
          <w:tcPr>
            <w:tcW w:w="731" w:type="pct"/>
            <w:tcBorders>
              <w:top w:val="nil"/>
              <w:left w:val="nil"/>
              <w:bottom w:val="single" w:sz="4" w:space="0" w:color="auto"/>
              <w:right w:val="nil"/>
            </w:tcBorders>
            <w:shd w:val="clear" w:color="auto" w:fill="auto"/>
            <w:noWrap/>
            <w:vAlign w:val="bottom"/>
            <w:hideMark/>
          </w:tcPr>
          <w:p w14:paraId="4709D142" w14:textId="77777777" w:rsidR="00184B6B" w:rsidRPr="00184B6B" w:rsidRDefault="00184B6B" w:rsidP="00184B6B">
            <w:pPr>
              <w:spacing w:line="240" w:lineRule="auto"/>
              <w:ind w:firstLine="0"/>
              <w:rPr>
                <w:sz w:val="20"/>
                <w:szCs w:val="22"/>
              </w:rPr>
            </w:pPr>
            <w:r w:rsidRPr="00184B6B">
              <w:rPr>
                <w:sz w:val="20"/>
                <w:szCs w:val="22"/>
              </w:rPr>
              <w:t>(0.025)</w:t>
            </w:r>
          </w:p>
        </w:tc>
        <w:tc>
          <w:tcPr>
            <w:tcW w:w="731" w:type="pct"/>
            <w:tcBorders>
              <w:top w:val="nil"/>
              <w:left w:val="nil"/>
              <w:bottom w:val="single" w:sz="4" w:space="0" w:color="auto"/>
              <w:right w:val="nil"/>
            </w:tcBorders>
            <w:shd w:val="clear" w:color="auto" w:fill="auto"/>
            <w:noWrap/>
            <w:vAlign w:val="bottom"/>
            <w:hideMark/>
          </w:tcPr>
          <w:p w14:paraId="5EAD9F6D" w14:textId="77777777" w:rsidR="00184B6B" w:rsidRPr="00184B6B" w:rsidRDefault="00184B6B" w:rsidP="00184B6B">
            <w:pPr>
              <w:spacing w:line="240" w:lineRule="auto"/>
              <w:ind w:firstLine="0"/>
              <w:rPr>
                <w:sz w:val="20"/>
                <w:szCs w:val="22"/>
              </w:rPr>
            </w:pPr>
            <w:r w:rsidRPr="00184B6B">
              <w:rPr>
                <w:sz w:val="20"/>
                <w:szCs w:val="22"/>
              </w:rPr>
              <w:t>(0.025)</w:t>
            </w:r>
          </w:p>
        </w:tc>
        <w:tc>
          <w:tcPr>
            <w:tcW w:w="730" w:type="pct"/>
            <w:tcBorders>
              <w:top w:val="nil"/>
              <w:left w:val="nil"/>
              <w:bottom w:val="single" w:sz="4" w:space="0" w:color="auto"/>
              <w:right w:val="nil"/>
            </w:tcBorders>
            <w:shd w:val="clear" w:color="auto" w:fill="auto"/>
            <w:noWrap/>
            <w:vAlign w:val="bottom"/>
            <w:hideMark/>
          </w:tcPr>
          <w:p w14:paraId="45C9F941" w14:textId="77777777" w:rsidR="00184B6B" w:rsidRPr="00184B6B" w:rsidRDefault="00184B6B" w:rsidP="00184B6B">
            <w:pPr>
              <w:spacing w:line="240" w:lineRule="auto"/>
              <w:ind w:firstLine="0"/>
              <w:rPr>
                <w:sz w:val="20"/>
                <w:szCs w:val="22"/>
              </w:rPr>
            </w:pPr>
            <w:r w:rsidRPr="00184B6B">
              <w:rPr>
                <w:sz w:val="20"/>
                <w:szCs w:val="22"/>
              </w:rPr>
              <w:t>(0.025)</w:t>
            </w:r>
          </w:p>
        </w:tc>
      </w:tr>
      <w:tr w:rsidR="00184B6B" w:rsidRPr="00184B6B" w14:paraId="3F3068CD" w14:textId="77777777" w:rsidTr="00B617ED">
        <w:trPr>
          <w:trHeight w:val="300"/>
        </w:trPr>
        <w:tc>
          <w:tcPr>
            <w:tcW w:w="2077" w:type="pct"/>
            <w:tcBorders>
              <w:top w:val="single" w:sz="4" w:space="0" w:color="auto"/>
              <w:left w:val="nil"/>
              <w:bottom w:val="nil"/>
              <w:right w:val="nil"/>
            </w:tcBorders>
            <w:shd w:val="clear" w:color="auto" w:fill="auto"/>
            <w:noWrap/>
            <w:vAlign w:val="bottom"/>
            <w:hideMark/>
          </w:tcPr>
          <w:p w14:paraId="7DF83ADC" w14:textId="77777777" w:rsidR="00184B6B" w:rsidRPr="00184B6B" w:rsidRDefault="00184B6B" w:rsidP="00184B6B">
            <w:pPr>
              <w:spacing w:line="240" w:lineRule="auto"/>
              <w:ind w:firstLine="0"/>
              <w:jc w:val="left"/>
              <w:rPr>
                <w:sz w:val="20"/>
                <w:szCs w:val="22"/>
              </w:rPr>
            </w:pPr>
            <w:r w:rsidRPr="00184B6B">
              <w:rPr>
                <w:sz w:val="20"/>
                <w:szCs w:val="22"/>
              </w:rPr>
              <w:t>cut1</w:t>
            </w:r>
          </w:p>
        </w:tc>
        <w:tc>
          <w:tcPr>
            <w:tcW w:w="731" w:type="pct"/>
            <w:tcBorders>
              <w:top w:val="single" w:sz="4" w:space="0" w:color="auto"/>
              <w:left w:val="nil"/>
              <w:bottom w:val="nil"/>
              <w:right w:val="nil"/>
            </w:tcBorders>
            <w:shd w:val="clear" w:color="auto" w:fill="auto"/>
            <w:noWrap/>
            <w:vAlign w:val="bottom"/>
            <w:hideMark/>
          </w:tcPr>
          <w:p w14:paraId="36F6FA3E" w14:textId="77777777" w:rsidR="00184B6B" w:rsidRPr="00184B6B" w:rsidRDefault="00184B6B" w:rsidP="00184B6B">
            <w:pPr>
              <w:spacing w:line="240" w:lineRule="auto"/>
              <w:ind w:firstLine="0"/>
              <w:rPr>
                <w:sz w:val="20"/>
                <w:szCs w:val="22"/>
              </w:rPr>
            </w:pPr>
            <w:r w:rsidRPr="00184B6B">
              <w:rPr>
                <w:sz w:val="20"/>
                <w:szCs w:val="22"/>
              </w:rPr>
              <w:t>-0.911***</w:t>
            </w:r>
          </w:p>
        </w:tc>
        <w:tc>
          <w:tcPr>
            <w:tcW w:w="731" w:type="pct"/>
            <w:tcBorders>
              <w:top w:val="single" w:sz="4" w:space="0" w:color="auto"/>
              <w:left w:val="nil"/>
              <w:bottom w:val="nil"/>
              <w:right w:val="nil"/>
            </w:tcBorders>
            <w:shd w:val="clear" w:color="auto" w:fill="auto"/>
            <w:noWrap/>
            <w:vAlign w:val="bottom"/>
            <w:hideMark/>
          </w:tcPr>
          <w:p w14:paraId="3BEADACA" w14:textId="77777777" w:rsidR="00184B6B" w:rsidRPr="00184B6B" w:rsidRDefault="00184B6B" w:rsidP="00184B6B">
            <w:pPr>
              <w:spacing w:line="240" w:lineRule="auto"/>
              <w:ind w:firstLine="0"/>
              <w:rPr>
                <w:sz w:val="20"/>
                <w:szCs w:val="22"/>
              </w:rPr>
            </w:pPr>
            <w:r w:rsidRPr="00184B6B">
              <w:rPr>
                <w:sz w:val="20"/>
                <w:szCs w:val="22"/>
              </w:rPr>
              <w:t>-0.898***</w:t>
            </w:r>
          </w:p>
        </w:tc>
        <w:tc>
          <w:tcPr>
            <w:tcW w:w="731" w:type="pct"/>
            <w:tcBorders>
              <w:top w:val="single" w:sz="4" w:space="0" w:color="auto"/>
              <w:left w:val="nil"/>
              <w:bottom w:val="nil"/>
              <w:right w:val="nil"/>
            </w:tcBorders>
            <w:shd w:val="clear" w:color="auto" w:fill="auto"/>
            <w:noWrap/>
            <w:vAlign w:val="bottom"/>
            <w:hideMark/>
          </w:tcPr>
          <w:p w14:paraId="3BD84F0D" w14:textId="77777777" w:rsidR="00184B6B" w:rsidRPr="00184B6B" w:rsidRDefault="00184B6B" w:rsidP="00184B6B">
            <w:pPr>
              <w:spacing w:line="240" w:lineRule="auto"/>
              <w:ind w:firstLine="0"/>
              <w:rPr>
                <w:sz w:val="20"/>
                <w:szCs w:val="22"/>
              </w:rPr>
            </w:pPr>
            <w:r w:rsidRPr="00184B6B">
              <w:rPr>
                <w:sz w:val="20"/>
                <w:szCs w:val="22"/>
              </w:rPr>
              <w:t>-0.917***</w:t>
            </w:r>
          </w:p>
        </w:tc>
        <w:tc>
          <w:tcPr>
            <w:tcW w:w="730" w:type="pct"/>
            <w:tcBorders>
              <w:top w:val="single" w:sz="4" w:space="0" w:color="auto"/>
              <w:left w:val="nil"/>
              <w:bottom w:val="nil"/>
              <w:right w:val="nil"/>
            </w:tcBorders>
            <w:shd w:val="clear" w:color="auto" w:fill="auto"/>
            <w:noWrap/>
            <w:vAlign w:val="bottom"/>
            <w:hideMark/>
          </w:tcPr>
          <w:p w14:paraId="745D6D20" w14:textId="77777777" w:rsidR="00184B6B" w:rsidRPr="00184B6B" w:rsidRDefault="00184B6B" w:rsidP="00184B6B">
            <w:pPr>
              <w:spacing w:line="240" w:lineRule="auto"/>
              <w:ind w:firstLine="0"/>
              <w:rPr>
                <w:sz w:val="20"/>
                <w:szCs w:val="22"/>
              </w:rPr>
            </w:pPr>
            <w:r w:rsidRPr="00184B6B">
              <w:rPr>
                <w:sz w:val="20"/>
                <w:szCs w:val="22"/>
              </w:rPr>
              <w:t>-0.929***</w:t>
            </w:r>
          </w:p>
        </w:tc>
      </w:tr>
      <w:tr w:rsidR="00184B6B" w:rsidRPr="00184B6B" w14:paraId="76E8E935" w14:textId="77777777" w:rsidTr="00B617ED">
        <w:trPr>
          <w:trHeight w:val="300"/>
        </w:trPr>
        <w:tc>
          <w:tcPr>
            <w:tcW w:w="2077" w:type="pct"/>
            <w:tcBorders>
              <w:top w:val="nil"/>
              <w:left w:val="nil"/>
              <w:bottom w:val="nil"/>
              <w:right w:val="nil"/>
            </w:tcBorders>
            <w:shd w:val="clear" w:color="auto" w:fill="auto"/>
            <w:noWrap/>
            <w:vAlign w:val="bottom"/>
            <w:hideMark/>
          </w:tcPr>
          <w:p w14:paraId="3F3143D5"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60042788" w14:textId="77777777" w:rsidR="00184B6B" w:rsidRPr="00184B6B" w:rsidRDefault="00184B6B" w:rsidP="00184B6B">
            <w:pPr>
              <w:spacing w:line="240" w:lineRule="auto"/>
              <w:ind w:firstLine="0"/>
              <w:rPr>
                <w:sz w:val="20"/>
                <w:szCs w:val="22"/>
              </w:rPr>
            </w:pPr>
            <w:r w:rsidRPr="00184B6B">
              <w:rPr>
                <w:sz w:val="20"/>
                <w:szCs w:val="22"/>
              </w:rPr>
              <w:t>(0.102)</w:t>
            </w:r>
          </w:p>
        </w:tc>
        <w:tc>
          <w:tcPr>
            <w:tcW w:w="731" w:type="pct"/>
            <w:tcBorders>
              <w:top w:val="nil"/>
              <w:left w:val="nil"/>
              <w:bottom w:val="nil"/>
              <w:right w:val="nil"/>
            </w:tcBorders>
            <w:shd w:val="clear" w:color="auto" w:fill="auto"/>
            <w:noWrap/>
            <w:vAlign w:val="bottom"/>
            <w:hideMark/>
          </w:tcPr>
          <w:p w14:paraId="1A6D6E7D" w14:textId="77777777" w:rsidR="00184B6B" w:rsidRPr="00184B6B" w:rsidRDefault="00184B6B" w:rsidP="00184B6B">
            <w:pPr>
              <w:spacing w:line="240" w:lineRule="auto"/>
              <w:ind w:firstLine="0"/>
              <w:rPr>
                <w:sz w:val="20"/>
                <w:szCs w:val="22"/>
              </w:rPr>
            </w:pPr>
            <w:r w:rsidRPr="00184B6B">
              <w:rPr>
                <w:sz w:val="20"/>
                <w:szCs w:val="22"/>
              </w:rPr>
              <w:t>(0.101)</w:t>
            </w:r>
          </w:p>
        </w:tc>
        <w:tc>
          <w:tcPr>
            <w:tcW w:w="731" w:type="pct"/>
            <w:tcBorders>
              <w:top w:val="nil"/>
              <w:left w:val="nil"/>
              <w:bottom w:val="nil"/>
              <w:right w:val="nil"/>
            </w:tcBorders>
            <w:shd w:val="clear" w:color="auto" w:fill="auto"/>
            <w:noWrap/>
            <w:vAlign w:val="bottom"/>
            <w:hideMark/>
          </w:tcPr>
          <w:p w14:paraId="73348254" w14:textId="77777777" w:rsidR="00184B6B" w:rsidRPr="00184B6B" w:rsidRDefault="00184B6B" w:rsidP="00184B6B">
            <w:pPr>
              <w:spacing w:line="240" w:lineRule="auto"/>
              <w:ind w:firstLine="0"/>
              <w:rPr>
                <w:sz w:val="20"/>
                <w:szCs w:val="22"/>
              </w:rPr>
            </w:pPr>
            <w:r w:rsidRPr="00184B6B">
              <w:rPr>
                <w:sz w:val="20"/>
                <w:szCs w:val="22"/>
              </w:rPr>
              <w:t>(0.101)</w:t>
            </w:r>
          </w:p>
        </w:tc>
        <w:tc>
          <w:tcPr>
            <w:tcW w:w="730" w:type="pct"/>
            <w:tcBorders>
              <w:top w:val="nil"/>
              <w:left w:val="nil"/>
              <w:bottom w:val="nil"/>
              <w:right w:val="nil"/>
            </w:tcBorders>
            <w:shd w:val="clear" w:color="auto" w:fill="auto"/>
            <w:noWrap/>
            <w:vAlign w:val="bottom"/>
            <w:hideMark/>
          </w:tcPr>
          <w:p w14:paraId="4078D750" w14:textId="77777777" w:rsidR="00184B6B" w:rsidRPr="00184B6B" w:rsidRDefault="00184B6B" w:rsidP="00184B6B">
            <w:pPr>
              <w:spacing w:line="240" w:lineRule="auto"/>
              <w:ind w:firstLine="0"/>
              <w:rPr>
                <w:sz w:val="20"/>
                <w:szCs w:val="22"/>
              </w:rPr>
            </w:pPr>
            <w:r w:rsidRPr="00184B6B">
              <w:rPr>
                <w:sz w:val="20"/>
                <w:szCs w:val="22"/>
              </w:rPr>
              <w:t>(0.102)</w:t>
            </w:r>
          </w:p>
        </w:tc>
      </w:tr>
      <w:tr w:rsidR="00184B6B" w:rsidRPr="00184B6B" w14:paraId="15FBF4A1" w14:textId="77777777" w:rsidTr="00B617ED">
        <w:trPr>
          <w:trHeight w:val="300"/>
        </w:trPr>
        <w:tc>
          <w:tcPr>
            <w:tcW w:w="2077" w:type="pct"/>
            <w:tcBorders>
              <w:top w:val="nil"/>
              <w:left w:val="nil"/>
              <w:bottom w:val="nil"/>
              <w:right w:val="nil"/>
            </w:tcBorders>
            <w:shd w:val="clear" w:color="auto" w:fill="auto"/>
            <w:noWrap/>
            <w:vAlign w:val="bottom"/>
            <w:hideMark/>
          </w:tcPr>
          <w:p w14:paraId="60478B97" w14:textId="77777777" w:rsidR="00184B6B" w:rsidRPr="00184B6B" w:rsidRDefault="00184B6B" w:rsidP="00184B6B">
            <w:pPr>
              <w:spacing w:line="240" w:lineRule="auto"/>
              <w:ind w:firstLine="0"/>
              <w:jc w:val="left"/>
              <w:rPr>
                <w:sz w:val="20"/>
                <w:szCs w:val="22"/>
              </w:rPr>
            </w:pPr>
            <w:r w:rsidRPr="00184B6B">
              <w:rPr>
                <w:sz w:val="20"/>
                <w:szCs w:val="22"/>
              </w:rPr>
              <w:t>cut2</w:t>
            </w:r>
          </w:p>
        </w:tc>
        <w:tc>
          <w:tcPr>
            <w:tcW w:w="731" w:type="pct"/>
            <w:tcBorders>
              <w:top w:val="nil"/>
              <w:left w:val="nil"/>
              <w:bottom w:val="nil"/>
              <w:right w:val="nil"/>
            </w:tcBorders>
            <w:shd w:val="clear" w:color="auto" w:fill="auto"/>
            <w:noWrap/>
            <w:vAlign w:val="bottom"/>
            <w:hideMark/>
          </w:tcPr>
          <w:p w14:paraId="33C30B14" w14:textId="77777777" w:rsidR="00184B6B" w:rsidRPr="00184B6B" w:rsidRDefault="00184B6B" w:rsidP="00184B6B">
            <w:pPr>
              <w:spacing w:line="240" w:lineRule="auto"/>
              <w:ind w:firstLine="0"/>
              <w:rPr>
                <w:sz w:val="20"/>
                <w:szCs w:val="22"/>
              </w:rPr>
            </w:pPr>
            <w:r w:rsidRPr="00184B6B">
              <w:rPr>
                <w:sz w:val="20"/>
                <w:szCs w:val="22"/>
              </w:rPr>
              <w:t>0.594***</w:t>
            </w:r>
          </w:p>
        </w:tc>
        <w:tc>
          <w:tcPr>
            <w:tcW w:w="731" w:type="pct"/>
            <w:tcBorders>
              <w:top w:val="nil"/>
              <w:left w:val="nil"/>
              <w:bottom w:val="nil"/>
              <w:right w:val="nil"/>
            </w:tcBorders>
            <w:shd w:val="clear" w:color="auto" w:fill="auto"/>
            <w:noWrap/>
            <w:vAlign w:val="bottom"/>
            <w:hideMark/>
          </w:tcPr>
          <w:p w14:paraId="5C8CD555" w14:textId="77777777" w:rsidR="00184B6B" w:rsidRPr="00184B6B" w:rsidRDefault="00184B6B" w:rsidP="00184B6B">
            <w:pPr>
              <w:spacing w:line="240" w:lineRule="auto"/>
              <w:ind w:firstLine="0"/>
              <w:rPr>
                <w:sz w:val="20"/>
                <w:szCs w:val="22"/>
              </w:rPr>
            </w:pPr>
            <w:r w:rsidRPr="00184B6B">
              <w:rPr>
                <w:sz w:val="20"/>
                <w:szCs w:val="22"/>
              </w:rPr>
              <w:t>0.607***</w:t>
            </w:r>
          </w:p>
        </w:tc>
        <w:tc>
          <w:tcPr>
            <w:tcW w:w="731" w:type="pct"/>
            <w:tcBorders>
              <w:top w:val="nil"/>
              <w:left w:val="nil"/>
              <w:bottom w:val="nil"/>
              <w:right w:val="nil"/>
            </w:tcBorders>
            <w:shd w:val="clear" w:color="auto" w:fill="auto"/>
            <w:noWrap/>
            <w:vAlign w:val="bottom"/>
            <w:hideMark/>
          </w:tcPr>
          <w:p w14:paraId="21E0FA45" w14:textId="77777777" w:rsidR="00184B6B" w:rsidRPr="00184B6B" w:rsidRDefault="00184B6B" w:rsidP="00184B6B">
            <w:pPr>
              <w:spacing w:line="240" w:lineRule="auto"/>
              <w:ind w:firstLine="0"/>
              <w:rPr>
                <w:sz w:val="20"/>
                <w:szCs w:val="22"/>
              </w:rPr>
            </w:pPr>
            <w:r w:rsidRPr="00184B6B">
              <w:rPr>
                <w:sz w:val="20"/>
                <w:szCs w:val="22"/>
              </w:rPr>
              <w:t>0.590***</w:t>
            </w:r>
          </w:p>
        </w:tc>
        <w:tc>
          <w:tcPr>
            <w:tcW w:w="730" w:type="pct"/>
            <w:tcBorders>
              <w:top w:val="nil"/>
              <w:left w:val="nil"/>
              <w:bottom w:val="nil"/>
              <w:right w:val="nil"/>
            </w:tcBorders>
            <w:shd w:val="clear" w:color="auto" w:fill="auto"/>
            <w:noWrap/>
            <w:vAlign w:val="bottom"/>
            <w:hideMark/>
          </w:tcPr>
          <w:p w14:paraId="4EEDDB1E" w14:textId="77777777" w:rsidR="00184B6B" w:rsidRPr="00184B6B" w:rsidRDefault="00184B6B" w:rsidP="00184B6B">
            <w:pPr>
              <w:spacing w:line="240" w:lineRule="auto"/>
              <w:ind w:firstLine="0"/>
              <w:rPr>
                <w:sz w:val="20"/>
                <w:szCs w:val="22"/>
              </w:rPr>
            </w:pPr>
            <w:r w:rsidRPr="00184B6B">
              <w:rPr>
                <w:sz w:val="20"/>
                <w:szCs w:val="22"/>
              </w:rPr>
              <w:t>0.578***</w:t>
            </w:r>
          </w:p>
        </w:tc>
      </w:tr>
      <w:tr w:rsidR="00184B6B" w:rsidRPr="00184B6B" w14:paraId="3424A48C" w14:textId="77777777" w:rsidTr="00B617ED">
        <w:trPr>
          <w:trHeight w:val="300"/>
        </w:trPr>
        <w:tc>
          <w:tcPr>
            <w:tcW w:w="2077" w:type="pct"/>
            <w:tcBorders>
              <w:top w:val="nil"/>
              <w:left w:val="nil"/>
              <w:bottom w:val="nil"/>
              <w:right w:val="nil"/>
            </w:tcBorders>
            <w:shd w:val="clear" w:color="auto" w:fill="auto"/>
            <w:noWrap/>
            <w:vAlign w:val="bottom"/>
            <w:hideMark/>
          </w:tcPr>
          <w:p w14:paraId="7DE47916"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nil"/>
              <w:right w:val="nil"/>
            </w:tcBorders>
            <w:shd w:val="clear" w:color="auto" w:fill="auto"/>
            <w:noWrap/>
            <w:vAlign w:val="bottom"/>
            <w:hideMark/>
          </w:tcPr>
          <w:p w14:paraId="41062E76" w14:textId="77777777" w:rsidR="00184B6B" w:rsidRPr="00184B6B" w:rsidRDefault="00184B6B" w:rsidP="00184B6B">
            <w:pPr>
              <w:spacing w:line="240" w:lineRule="auto"/>
              <w:ind w:firstLine="0"/>
              <w:rPr>
                <w:sz w:val="20"/>
                <w:szCs w:val="22"/>
              </w:rPr>
            </w:pPr>
            <w:r w:rsidRPr="00184B6B">
              <w:rPr>
                <w:sz w:val="20"/>
                <w:szCs w:val="22"/>
              </w:rPr>
              <w:t>(0.102)</w:t>
            </w:r>
          </w:p>
        </w:tc>
        <w:tc>
          <w:tcPr>
            <w:tcW w:w="731" w:type="pct"/>
            <w:tcBorders>
              <w:top w:val="nil"/>
              <w:left w:val="nil"/>
              <w:bottom w:val="nil"/>
              <w:right w:val="nil"/>
            </w:tcBorders>
            <w:shd w:val="clear" w:color="auto" w:fill="auto"/>
            <w:noWrap/>
            <w:vAlign w:val="bottom"/>
            <w:hideMark/>
          </w:tcPr>
          <w:p w14:paraId="25314D3F" w14:textId="77777777" w:rsidR="00184B6B" w:rsidRPr="00184B6B" w:rsidRDefault="00184B6B" w:rsidP="00184B6B">
            <w:pPr>
              <w:spacing w:line="240" w:lineRule="auto"/>
              <w:ind w:firstLine="0"/>
              <w:rPr>
                <w:sz w:val="20"/>
                <w:szCs w:val="22"/>
              </w:rPr>
            </w:pPr>
            <w:r w:rsidRPr="00184B6B">
              <w:rPr>
                <w:sz w:val="20"/>
                <w:szCs w:val="22"/>
              </w:rPr>
              <w:t>(0.101)</w:t>
            </w:r>
          </w:p>
        </w:tc>
        <w:tc>
          <w:tcPr>
            <w:tcW w:w="731" w:type="pct"/>
            <w:tcBorders>
              <w:top w:val="nil"/>
              <w:left w:val="nil"/>
              <w:bottom w:val="nil"/>
              <w:right w:val="nil"/>
            </w:tcBorders>
            <w:shd w:val="clear" w:color="auto" w:fill="auto"/>
            <w:noWrap/>
            <w:vAlign w:val="bottom"/>
            <w:hideMark/>
          </w:tcPr>
          <w:p w14:paraId="6F6D1E55" w14:textId="77777777" w:rsidR="00184B6B" w:rsidRPr="00184B6B" w:rsidRDefault="00184B6B" w:rsidP="00184B6B">
            <w:pPr>
              <w:spacing w:line="240" w:lineRule="auto"/>
              <w:ind w:firstLine="0"/>
              <w:rPr>
                <w:sz w:val="20"/>
                <w:szCs w:val="22"/>
              </w:rPr>
            </w:pPr>
            <w:r w:rsidRPr="00184B6B">
              <w:rPr>
                <w:sz w:val="20"/>
                <w:szCs w:val="22"/>
              </w:rPr>
              <w:t>(0.101)</w:t>
            </w:r>
          </w:p>
        </w:tc>
        <w:tc>
          <w:tcPr>
            <w:tcW w:w="730" w:type="pct"/>
            <w:tcBorders>
              <w:top w:val="nil"/>
              <w:left w:val="nil"/>
              <w:bottom w:val="nil"/>
              <w:right w:val="nil"/>
            </w:tcBorders>
            <w:shd w:val="clear" w:color="auto" w:fill="auto"/>
            <w:noWrap/>
            <w:vAlign w:val="bottom"/>
            <w:hideMark/>
          </w:tcPr>
          <w:p w14:paraId="4831A8C7" w14:textId="77777777" w:rsidR="00184B6B" w:rsidRPr="00184B6B" w:rsidRDefault="00184B6B" w:rsidP="00184B6B">
            <w:pPr>
              <w:spacing w:line="240" w:lineRule="auto"/>
              <w:ind w:firstLine="0"/>
              <w:rPr>
                <w:sz w:val="20"/>
                <w:szCs w:val="22"/>
              </w:rPr>
            </w:pPr>
            <w:r w:rsidRPr="00184B6B">
              <w:rPr>
                <w:sz w:val="20"/>
                <w:szCs w:val="22"/>
              </w:rPr>
              <w:t>(0.102)</w:t>
            </w:r>
          </w:p>
        </w:tc>
      </w:tr>
      <w:tr w:rsidR="00184B6B" w:rsidRPr="00184B6B" w14:paraId="45DE6FA4" w14:textId="77777777" w:rsidTr="00B617ED">
        <w:trPr>
          <w:trHeight w:val="300"/>
        </w:trPr>
        <w:tc>
          <w:tcPr>
            <w:tcW w:w="2077" w:type="pct"/>
            <w:tcBorders>
              <w:top w:val="nil"/>
              <w:left w:val="nil"/>
              <w:bottom w:val="nil"/>
              <w:right w:val="nil"/>
            </w:tcBorders>
            <w:shd w:val="clear" w:color="auto" w:fill="auto"/>
            <w:noWrap/>
            <w:vAlign w:val="bottom"/>
            <w:hideMark/>
          </w:tcPr>
          <w:p w14:paraId="7CC968EB" w14:textId="77777777" w:rsidR="00184B6B" w:rsidRPr="00184B6B" w:rsidRDefault="00184B6B" w:rsidP="00184B6B">
            <w:pPr>
              <w:spacing w:line="240" w:lineRule="auto"/>
              <w:ind w:firstLine="0"/>
              <w:jc w:val="left"/>
              <w:rPr>
                <w:sz w:val="20"/>
                <w:szCs w:val="22"/>
              </w:rPr>
            </w:pPr>
            <w:r w:rsidRPr="00184B6B">
              <w:rPr>
                <w:sz w:val="20"/>
                <w:szCs w:val="22"/>
              </w:rPr>
              <w:t>cut3</w:t>
            </w:r>
          </w:p>
        </w:tc>
        <w:tc>
          <w:tcPr>
            <w:tcW w:w="731" w:type="pct"/>
            <w:tcBorders>
              <w:top w:val="nil"/>
              <w:left w:val="nil"/>
              <w:bottom w:val="nil"/>
              <w:right w:val="nil"/>
            </w:tcBorders>
            <w:shd w:val="clear" w:color="auto" w:fill="auto"/>
            <w:noWrap/>
            <w:vAlign w:val="bottom"/>
            <w:hideMark/>
          </w:tcPr>
          <w:p w14:paraId="55CB0C4F" w14:textId="77777777" w:rsidR="00184B6B" w:rsidRPr="00184B6B" w:rsidRDefault="00184B6B" w:rsidP="00184B6B">
            <w:pPr>
              <w:spacing w:line="240" w:lineRule="auto"/>
              <w:ind w:firstLine="0"/>
              <w:rPr>
                <w:sz w:val="20"/>
                <w:szCs w:val="22"/>
              </w:rPr>
            </w:pPr>
            <w:r w:rsidRPr="00184B6B">
              <w:rPr>
                <w:sz w:val="20"/>
                <w:szCs w:val="22"/>
              </w:rPr>
              <w:t>2.030***</w:t>
            </w:r>
          </w:p>
        </w:tc>
        <w:tc>
          <w:tcPr>
            <w:tcW w:w="731" w:type="pct"/>
            <w:tcBorders>
              <w:top w:val="nil"/>
              <w:left w:val="nil"/>
              <w:bottom w:val="nil"/>
              <w:right w:val="nil"/>
            </w:tcBorders>
            <w:shd w:val="clear" w:color="auto" w:fill="auto"/>
            <w:noWrap/>
            <w:vAlign w:val="bottom"/>
            <w:hideMark/>
          </w:tcPr>
          <w:p w14:paraId="69A42629" w14:textId="77777777" w:rsidR="00184B6B" w:rsidRPr="00184B6B" w:rsidRDefault="00184B6B" w:rsidP="00184B6B">
            <w:pPr>
              <w:spacing w:line="240" w:lineRule="auto"/>
              <w:ind w:firstLine="0"/>
              <w:rPr>
                <w:sz w:val="20"/>
                <w:szCs w:val="22"/>
              </w:rPr>
            </w:pPr>
            <w:r w:rsidRPr="00184B6B">
              <w:rPr>
                <w:sz w:val="20"/>
                <w:szCs w:val="22"/>
              </w:rPr>
              <w:t>2.044***</w:t>
            </w:r>
          </w:p>
        </w:tc>
        <w:tc>
          <w:tcPr>
            <w:tcW w:w="731" w:type="pct"/>
            <w:tcBorders>
              <w:top w:val="nil"/>
              <w:left w:val="nil"/>
              <w:bottom w:val="nil"/>
              <w:right w:val="nil"/>
            </w:tcBorders>
            <w:shd w:val="clear" w:color="auto" w:fill="auto"/>
            <w:noWrap/>
            <w:vAlign w:val="bottom"/>
            <w:hideMark/>
          </w:tcPr>
          <w:p w14:paraId="5958EF93" w14:textId="77777777" w:rsidR="00184B6B" w:rsidRPr="00184B6B" w:rsidRDefault="00184B6B" w:rsidP="00184B6B">
            <w:pPr>
              <w:spacing w:line="240" w:lineRule="auto"/>
              <w:ind w:firstLine="0"/>
              <w:rPr>
                <w:sz w:val="20"/>
                <w:szCs w:val="22"/>
              </w:rPr>
            </w:pPr>
            <w:r w:rsidRPr="00184B6B">
              <w:rPr>
                <w:sz w:val="20"/>
                <w:szCs w:val="22"/>
              </w:rPr>
              <w:t>2.029***</w:t>
            </w:r>
          </w:p>
        </w:tc>
        <w:tc>
          <w:tcPr>
            <w:tcW w:w="730" w:type="pct"/>
            <w:tcBorders>
              <w:top w:val="nil"/>
              <w:left w:val="nil"/>
              <w:bottom w:val="nil"/>
              <w:right w:val="nil"/>
            </w:tcBorders>
            <w:shd w:val="clear" w:color="auto" w:fill="auto"/>
            <w:noWrap/>
            <w:vAlign w:val="bottom"/>
            <w:hideMark/>
          </w:tcPr>
          <w:p w14:paraId="43EBBDD5" w14:textId="77777777" w:rsidR="00184B6B" w:rsidRPr="00184B6B" w:rsidRDefault="00184B6B" w:rsidP="00184B6B">
            <w:pPr>
              <w:spacing w:line="240" w:lineRule="auto"/>
              <w:ind w:firstLine="0"/>
              <w:rPr>
                <w:sz w:val="20"/>
                <w:szCs w:val="22"/>
              </w:rPr>
            </w:pPr>
            <w:r w:rsidRPr="00184B6B">
              <w:rPr>
                <w:sz w:val="20"/>
                <w:szCs w:val="22"/>
              </w:rPr>
              <w:t>2.017***</w:t>
            </w:r>
          </w:p>
        </w:tc>
      </w:tr>
      <w:tr w:rsidR="00184B6B" w:rsidRPr="00184B6B" w14:paraId="025DABB5" w14:textId="77777777" w:rsidTr="00B617ED">
        <w:trPr>
          <w:trHeight w:val="300"/>
        </w:trPr>
        <w:tc>
          <w:tcPr>
            <w:tcW w:w="2077" w:type="pct"/>
            <w:tcBorders>
              <w:top w:val="nil"/>
              <w:left w:val="nil"/>
              <w:bottom w:val="single" w:sz="4" w:space="0" w:color="auto"/>
              <w:right w:val="nil"/>
            </w:tcBorders>
            <w:shd w:val="clear" w:color="auto" w:fill="auto"/>
            <w:noWrap/>
            <w:vAlign w:val="bottom"/>
            <w:hideMark/>
          </w:tcPr>
          <w:p w14:paraId="016DC990" w14:textId="77777777" w:rsidR="00184B6B" w:rsidRPr="00184B6B" w:rsidRDefault="00184B6B" w:rsidP="00184B6B">
            <w:pPr>
              <w:spacing w:line="240" w:lineRule="auto"/>
              <w:ind w:firstLine="0"/>
              <w:jc w:val="left"/>
              <w:rPr>
                <w:sz w:val="20"/>
                <w:szCs w:val="22"/>
              </w:rPr>
            </w:pPr>
          </w:p>
        </w:tc>
        <w:tc>
          <w:tcPr>
            <w:tcW w:w="731" w:type="pct"/>
            <w:tcBorders>
              <w:top w:val="nil"/>
              <w:left w:val="nil"/>
              <w:bottom w:val="single" w:sz="4" w:space="0" w:color="auto"/>
              <w:right w:val="nil"/>
            </w:tcBorders>
            <w:shd w:val="clear" w:color="auto" w:fill="auto"/>
            <w:noWrap/>
            <w:vAlign w:val="bottom"/>
            <w:hideMark/>
          </w:tcPr>
          <w:p w14:paraId="6BDA4AC3" w14:textId="77777777" w:rsidR="00184B6B" w:rsidRPr="00184B6B" w:rsidRDefault="00184B6B" w:rsidP="00184B6B">
            <w:pPr>
              <w:spacing w:line="240" w:lineRule="auto"/>
              <w:ind w:firstLine="0"/>
              <w:rPr>
                <w:sz w:val="20"/>
                <w:szCs w:val="22"/>
              </w:rPr>
            </w:pPr>
            <w:r w:rsidRPr="00184B6B">
              <w:rPr>
                <w:sz w:val="20"/>
                <w:szCs w:val="22"/>
              </w:rPr>
              <w:t>(0.103)</w:t>
            </w:r>
          </w:p>
        </w:tc>
        <w:tc>
          <w:tcPr>
            <w:tcW w:w="731" w:type="pct"/>
            <w:tcBorders>
              <w:top w:val="nil"/>
              <w:left w:val="nil"/>
              <w:bottom w:val="single" w:sz="4" w:space="0" w:color="auto"/>
              <w:right w:val="nil"/>
            </w:tcBorders>
            <w:shd w:val="clear" w:color="auto" w:fill="auto"/>
            <w:noWrap/>
            <w:vAlign w:val="bottom"/>
            <w:hideMark/>
          </w:tcPr>
          <w:p w14:paraId="3073168D" w14:textId="77777777" w:rsidR="00184B6B" w:rsidRPr="00184B6B" w:rsidRDefault="00184B6B" w:rsidP="00184B6B">
            <w:pPr>
              <w:spacing w:line="240" w:lineRule="auto"/>
              <w:ind w:firstLine="0"/>
              <w:rPr>
                <w:sz w:val="20"/>
                <w:szCs w:val="22"/>
              </w:rPr>
            </w:pPr>
            <w:r w:rsidRPr="00184B6B">
              <w:rPr>
                <w:sz w:val="20"/>
                <w:szCs w:val="22"/>
              </w:rPr>
              <w:t>(0.102)</w:t>
            </w:r>
          </w:p>
        </w:tc>
        <w:tc>
          <w:tcPr>
            <w:tcW w:w="731" w:type="pct"/>
            <w:tcBorders>
              <w:top w:val="nil"/>
              <w:left w:val="nil"/>
              <w:bottom w:val="single" w:sz="4" w:space="0" w:color="auto"/>
              <w:right w:val="nil"/>
            </w:tcBorders>
            <w:shd w:val="clear" w:color="auto" w:fill="auto"/>
            <w:noWrap/>
            <w:vAlign w:val="bottom"/>
            <w:hideMark/>
          </w:tcPr>
          <w:p w14:paraId="4A34DA0B" w14:textId="77777777" w:rsidR="00184B6B" w:rsidRPr="00184B6B" w:rsidRDefault="00184B6B" w:rsidP="00184B6B">
            <w:pPr>
              <w:spacing w:line="240" w:lineRule="auto"/>
              <w:ind w:firstLine="0"/>
              <w:rPr>
                <w:sz w:val="20"/>
                <w:szCs w:val="22"/>
              </w:rPr>
            </w:pPr>
            <w:r w:rsidRPr="00184B6B">
              <w:rPr>
                <w:sz w:val="20"/>
                <w:szCs w:val="22"/>
              </w:rPr>
              <w:t>(0.102)</w:t>
            </w:r>
          </w:p>
        </w:tc>
        <w:tc>
          <w:tcPr>
            <w:tcW w:w="730" w:type="pct"/>
            <w:tcBorders>
              <w:top w:val="nil"/>
              <w:left w:val="nil"/>
              <w:bottom w:val="single" w:sz="4" w:space="0" w:color="auto"/>
              <w:right w:val="nil"/>
            </w:tcBorders>
            <w:shd w:val="clear" w:color="auto" w:fill="auto"/>
            <w:noWrap/>
            <w:vAlign w:val="bottom"/>
            <w:hideMark/>
          </w:tcPr>
          <w:p w14:paraId="689DA206" w14:textId="77777777" w:rsidR="00184B6B" w:rsidRPr="00184B6B" w:rsidRDefault="00184B6B" w:rsidP="00184B6B">
            <w:pPr>
              <w:spacing w:line="240" w:lineRule="auto"/>
              <w:ind w:firstLine="0"/>
              <w:rPr>
                <w:sz w:val="20"/>
                <w:szCs w:val="22"/>
              </w:rPr>
            </w:pPr>
            <w:r w:rsidRPr="00184B6B">
              <w:rPr>
                <w:sz w:val="20"/>
                <w:szCs w:val="22"/>
              </w:rPr>
              <w:t>(0.103)</w:t>
            </w:r>
          </w:p>
        </w:tc>
      </w:tr>
      <w:tr w:rsidR="00184B6B" w:rsidRPr="00184B6B" w14:paraId="4E9FDF53" w14:textId="77777777" w:rsidTr="00B617ED">
        <w:trPr>
          <w:trHeight w:val="300"/>
        </w:trPr>
        <w:tc>
          <w:tcPr>
            <w:tcW w:w="2077" w:type="pct"/>
            <w:tcBorders>
              <w:top w:val="single" w:sz="4" w:space="0" w:color="auto"/>
              <w:left w:val="nil"/>
              <w:bottom w:val="nil"/>
              <w:right w:val="nil"/>
            </w:tcBorders>
            <w:shd w:val="clear" w:color="auto" w:fill="auto"/>
            <w:noWrap/>
            <w:vAlign w:val="center"/>
            <w:hideMark/>
          </w:tcPr>
          <w:p w14:paraId="5E90E4F7" w14:textId="77777777" w:rsidR="00184B6B" w:rsidRPr="00184B6B" w:rsidRDefault="00184B6B" w:rsidP="00184B6B">
            <w:pPr>
              <w:spacing w:line="240" w:lineRule="auto"/>
              <w:ind w:firstLine="0"/>
              <w:jc w:val="left"/>
              <w:rPr>
                <w:sz w:val="20"/>
                <w:szCs w:val="20"/>
              </w:rPr>
            </w:pPr>
            <w:r w:rsidRPr="00184B6B">
              <w:rPr>
                <w:sz w:val="20"/>
                <w:szCs w:val="20"/>
              </w:rPr>
              <w:t>Observations</w:t>
            </w:r>
          </w:p>
        </w:tc>
        <w:tc>
          <w:tcPr>
            <w:tcW w:w="731" w:type="pct"/>
            <w:tcBorders>
              <w:top w:val="single" w:sz="4" w:space="0" w:color="auto"/>
              <w:left w:val="nil"/>
              <w:bottom w:val="nil"/>
              <w:right w:val="nil"/>
            </w:tcBorders>
            <w:shd w:val="clear" w:color="auto" w:fill="auto"/>
            <w:noWrap/>
            <w:vAlign w:val="bottom"/>
            <w:hideMark/>
          </w:tcPr>
          <w:p w14:paraId="77ACC9FF" w14:textId="77777777" w:rsidR="00184B6B" w:rsidRPr="00184B6B" w:rsidRDefault="00184B6B" w:rsidP="00184B6B">
            <w:pPr>
              <w:spacing w:line="240" w:lineRule="auto"/>
              <w:ind w:firstLine="0"/>
              <w:rPr>
                <w:sz w:val="20"/>
                <w:szCs w:val="22"/>
              </w:rPr>
            </w:pPr>
            <w:r w:rsidRPr="00184B6B">
              <w:rPr>
                <w:sz w:val="20"/>
                <w:szCs w:val="22"/>
              </w:rPr>
              <w:t>18539</w:t>
            </w:r>
          </w:p>
        </w:tc>
        <w:tc>
          <w:tcPr>
            <w:tcW w:w="731" w:type="pct"/>
            <w:tcBorders>
              <w:top w:val="single" w:sz="4" w:space="0" w:color="auto"/>
              <w:left w:val="nil"/>
              <w:bottom w:val="nil"/>
              <w:right w:val="nil"/>
            </w:tcBorders>
            <w:shd w:val="clear" w:color="auto" w:fill="auto"/>
            <w:noWrap/>
            <w:vAlign w:val="bottom"/>
            <w:hideMark/>
          </w:tcPr>
          <w:p w14:paraId="3ACE2C8E" w14:textId="77777777" w:rsidR="00184B6B" w:rsidRPr="00184B6B" w:rsidRDefault="00184B6B" w:rsidP="00184B6B">
            <w:pPr>
              <w:spacing w:line="240" w:lineRule="auto"/>
              <w:ind w:firstLine="0"/>
              <w:rPr>
                <w:sz w:val="20"/>
                <w:szCs w:val="22"/>
              </w:rPr>
            </w:pPr>
            <w:r w:rsidRPr="00184B6B">
              <w:rPr>
                <w:sz w:val="20"/>
                <w:szCs w:val="22"/>
              </w:rPr>
              <w:t>18539</w:t>
            </w:r>
          </w:p>
        </w:tc>
        <w:tc>
          <w:tcPr>
            <w:tcW w:w="731" w:type="pct"/>
            <w:tcBorders>
              <w:top w:val="single" w:sz="4" w:space="0" w:color="auto"/>
              <w:left w:val="nil"/>
              <w:bottom w:val="nil"/>
              <w:right w:val="nil"/>
            </w:tcBorders>
            <w:shd w:val="clear" w:color="auto" w:fill="auto"/>
            <w:noWrap/>
            <w:vAlign w:val="bottom"/>
            <w:hideMark/>
          </w:tcPr>
          <w:p w14:paraId="1290133D" w14:textId="77777777" w:rsidR="00184B6B" w:rsidRPr="00184B6B" w:rsidRDefault="00184B6B" w:rsidP="00184B6B">
            <w:pPr>
              <w:spacing w:line="240" w:lineRule="auto"/>
              <w:ind w:firstLine="0"/>
              <w:rPr>
                <w:sz w:val="20"/>
                <w:szCs w:val="22"/>
              </w:rPr>
            </w:pPr>
            <w:r w:rsidRPr="00184B6B">
              <w:rPr>
                <w:sz w:val="20"/>
                <w:szCs w:val="22"/>
              </w:rPr>
              <w:t>18539</w:t>
            </w:r>
          </w:p>
        </w:tc>
        <w:tc>
          <w:tcPr>
            <w:tcW w:w="730" w:type="pct"/>
            <w:tcBorders>
              <w:top w:val="single" w:sz="4" w:space="0" w:color="auto"/>
              <w:left w:val="nil"/>
              <w:bottom w:val="nil"/>
              <w:right w:val="nil"/>
            </w:tcBorders>
            <w:shd w:val="clear" w:color="auto" w:fill="auto"/>
            <w:noWrap/>
            <w:vAlign w:val="bottom"/>
            <w:hideMark/>
          </w:tcPr>
          <w:p w14:paraId="3C3EC1DC" w14:textId="77777777" w:rsidR="00184B6B" w:rsidRPr="00184B6B" w:rsidRDefault="00184B6B" w:rsidP="00184B6B">
            <w:pPr>
              <w:spacing w:line="240" w:lineRule="auto"/>
              <w:ind w:firstLine="0"/>
              <w:rPr>
                <w:sz w:val="20"/>
                <w:szCs w:val="22"/>
              </w:rPr>
            </w:pPr>
            <w:r w:rsidRPr="00184B6B">
              <w:rPr>
                <w:sz w:val="20"/>
                <w:szCs w:val="22"/>
              </w:rPr>
              <w:t>18539</w:t>
            </w:r>
          </w:p>
        </w:tc>
      </w:tr>
      <w:tr w:rsidR="00184B6B" w:rsidRPr="00184B6B" w14:paraId="300C2979" w14:textId="77777777" w:rsidTr="00B617ED">
        <w:trPr>
          <w:trHeight w:val="300"/>
        </w:trPr>
        <w:tc>
          <w:tcPr>
            <w:tcW w:w="2077" w:type="pct"/>
            <w:tcBorders>
              <w:top w:val="nil"/>
              <w:left w:val="nil"/>
              <w:bottom w:val="nil"/>
              <w:right w:val="nil"/>
            </w:tcBorders>
            <w:shd w:val="clear" w:color="auto" w:fill="auto"/>
            <w:noWrap/>
            <w:vAlign w:val="center"/>
            <w:hideMark/>
          </w:tcPr>
          <w:p w14:paraId="66475B27" w14:textId="77777777" w:rsidR="00184B6B" w:rsidRPr="00184B6B" w:rsidRDefault="00184B6B" w:rsidP="00184B6B">
            <w:pPr>
              <w:spacing w:line="240" w:lineRule="auto"/>
              <w:ind w:firstLine="0"/>
              <w:jc w:val="left"/>
              <w:rPr>
                <w:sz w:val="20"/>
                <w:szCs w:val="20"/>
                <w:vertAlign w:val="superscript"/>
              </w:rPr>
            </w:pPr>
            <w:r w:rsidRPr="00184B6B">
              <w:rPr>
                <w:sz w:val="20"/>
                <w:szCs w:val="20"/>
              </w:rPr>
              <w:t>Pseudo R</w:t>
            </w:r>
            <w:r w:rsidRPr="00184B6B">
              <w:rPr>
                <w:sz w:val="20"/>
                <w:szCs w:val="20"/>
                <w:vertAlign w:val="superscript"/>
              </w:rPr>
              <w:t>2</w:t>
            </w:r>
          </w:p>
        </w:tc>
        <w:tc>
          <w:tcPr>
            <w:tcW w:w="731" w:type="pct"/>
            <w:tcBorders>
              <w:top w:val="nil"/>
              <w:left w:val="nil"/>
              <w:bottom w:val="nil"/>
              <w:right w:val="nil"/>
            </w:tcBorders>
            <w:shd w:val="clear" w:color="auto" w:fill="auto"/>
            <w:noWrap/>
            <w:vAlign w:val="bottom"/>
            <w:hideMark/>
          </w:tcPr>
          <w:p w14:paraId="5A80C580" w14:textId="77777777" w:rsidR="00184B6B" w:rsidRPr="00184B6B" w:rsidRDefault="00184B6B" w:rsidP="00184B6B">
            <w:pPr>
              <w:spacing w:line="240" w:lineRule="auto"/>
              <w:ind w:firstLine="0"/>
              <w:rPr>
                <w:sz w:val="20"/>
                <w:szCs w:val="22"/>
              </w:rPr>
            </w:pPr>
            <w:r w:rsidRPr="00184B6B">
              <w:rPr>
                <w:sz w:val="20"/>
                <w:szCs w:val="22"/>
              </w:rPr>
              <w:t>0.055</w:t>
            </w:r>
          </w:p>
        </w:tc>
        <w:tc>
          <w:tcPr>
            <w:tcW w:w="731" w:type="pct"/>
            <w:tcBorders>
              <w:top w:val="nil"/>
              <w:left w:val="nil"/>
              <w:bottom w:val="nil"/>
              <w:right w:val="nil"/>
            </w:tcBorders>
            <w:shd w:val="clear" w:color="auto" w:fill="auto"/>
            <w:noWrap/>
            <w:vAlign w:val="bottom"/>
            <w:hideMark/>
          </w:tcPr>
          <w:p w14:paraId="1925B3A4" w14:textId="77777777" w:rsidR="00184B6B" w:rsidRPr="00184B6B" w:rsidRDefault="00184B6B" w:rsidP="00184B6B">
            <w:pPr>
              <w:spacing w:line="240" w:lineRule="auto"/>
              <w:ind w:firstLine="0"/>
              <w:rPr>
                <w:sz w:val="20"/>
                <w:szCs w:val="22"/>
              </w:rPr>
            </w:pPr>
            <w:r w:rsidRPr="00184B6B">
              <w:rPr>
                <w:sz w:val="20"/>
                <w:szCs w:val="22"/>
              </w:rPr>
              <w:t>0.055</w:t>
            </w:r>
          </w:p>
        </w:tc>
        <w:tc>
          <w:tcPr>
            <w:tcW w:w="731" w:type="pct"/>
            <w:tcBorders>
              <w:top w:val="nil"/>
              <w:left w:val="nil"/>
              <w:bottom w:val="nil"/>
              <w:right w:val="nil"/>
            </w:tcBorders>
            <w:shd w:val="clear" w:color="auto" w:fill="auto"/>
            <w:noWrap/>
            <w:vAlign w:val="bottom"/>
            <w:hideMark/>
          </w:tcPr>
          <w:p w14:paraId="566962E2" w14:textId="77777777" w:rsidR="00184B6B" w:rsidRPr="00184B6B" w:rsidRDefault="00184B6B" w:rsidP="00184B6B">
            <w:pPr>
              <w:spacing w:line="240" w:lineRule="auto"/>
              <w:ind w:firstLine="0"/>
              <w:rPr>
                <w:sz w:val="20"/>
                <w:szCs w:val="22"/>
              </w:rPr>
            </w:pPr>
            <w:r w:rsidRPr="00184B6B">
              <w:rPr>
                <w:sz w:val="20"/>
                <w:szCs w:val="22"/>
              </w:rPr>
              <w:t>0.056</w:t>
            </w:r>
          </w:p>
        </w:tc>
        <w:tc>
          <w:tcPr>
            <w:tcW w:w="730" w:type="pct"/>
            <w:tcBorders>
              <w:top w:val="nil"/>
              <w:left w:val="nil"/>
              <w:bottom w:val="nil"/>
              <w:right w:val="nil"/>
            </w:tcBorders>
            <w:shd w:val="clear" w:color="auto" w:fill="auto"/>
            <w:noWrap/>
            <w:vAlign w:val="bottom"/>
            <w:hideMark/>
          </w:tcPr>
          <w:p w14:paraId="24035CCF" w14:textId="77777777" w:rsidR="00184B6B" w:rsidRPr="00184B6B" w:rsidRDefault="00184B6B" w:rsidP="00184B6B">
            <w:pPr>
              <w:spacing w:line="240" w:lineRule="auto"/>
              <w:ind w:firstLine="0"/>
              <w:rPr>
                <w:sz w:val="20"/>
                <w:szCs w:val="22"/>
              </w:rPr>
            </w:pPr>
            <w:r w:rsidRPr="00184B6B">
              <w:rPr>
                <w:sz w:val="20"/>
                <w:szCs w:val="22"/>
              </w:rPr>
              <w:t>0.056</w:t>
            </w:r>
          </w:p>
        </w:tc>
      </w:tr>
      <w:tr w:rsidR="00184B6B" w:rsidRPr="00184B6B" w14:paraId="69E316E5" w14:textId="77777777" w:rsidTr="00B617ED">
        <w:trPr>
          <w:trHeight w:val="300"/>
        </w:trPr>
        <w:tc>
          <w:tcPr>
            <w:tcW w:w="2077" w:type="pct"/>
            <w:tcBorders>
              <w:top w:val="nil"/>
              <w:left w:val="nil"/>
              <w:bottom w:val="nil"/>
              <w:right w:val="nil"/>
            </w:tcBorders>
            <w:shd w:val="clear" w:color="auto" w:fill="auto"/>
            <w:noWrap/>
            <w:vAlign w:val="center"/>
            <w:hideMark/>
          </w:tcPr>
          <w:p w14:paraId="5D9FCA3E" w14:textId="77777777" w:rsidR="00184B6B" w:rsidRPr="00184B6B" w:rsidRDefault="00184B6B" w:rsidP="00184B6B">
            <w:pPr>
              <w:spacing w:line="240" w:lineRule="auto"/>
              <w:ind w:firstLine="0"/>
              <w:jc w:val="left"/>
              <w:rPr>
                <w:sz w:val="20"/>
                <w:szCs w:val="20"/>
                <w:vertAlign w:val="superscript"/>
              </w:rPr>
            </w:pPr>
            <w:r w:rsidRPr="00184B6B">
              <w:rPr>
                <w:sz w:val="20"/>
                <w:szCs w:val="20"/>
              </w:rPr>
              <w:t>Chi</w:t>
            </w:r>
            <w:r w:rsidRPr="00184B6B">
              <w:rPr>
                <w:sz w:val="20"/>
                <w:szCs w:val="20"/>
                <w:vertAlign w:val="superscript"/>
              </w:rPr>
              <w:t>2</w:t>
            </w:r>
          </w:p>
        </w:tc>
        <w:tc>
          <w:tcPr>
            <w:tcW w:w="731" w:type="pct"/>
            <w:tcBorders>
              <w:top w:val="nil"/>
              <w:left w:val="nil"/>
              <w:bottom w:val="nil"/>
              <w:right w:val="nil"/>
            </w:tcBorders>
            <w:shd w:val="clear" w:color="auto" w:fill="auto"/>
            <w:noWrap/>
            <w:vAlign w:val="bottom"/>
            <w:hideMark/>
          </w:tcPr>
          <w:p w14:paraId="561E8AB5" w14:textId="77777777" w:rsidR="00184B6B" w:rsidRPr="00184B6B" w:rsidRDefault="00184B6B" w:rsidP="00184B6B">
            <w:pPr>
              <w:spacing w:line="240" w:lineRule="auto"/>
              <w:ind w:firstLine="0"/>
              <w:rPr>
                <w:sz w:val="20"/>
                <w:szCs w:val="22"/>
              </w:rPr>
            </w:pPr>
            <w:r w:rsidRPr="00184B6B">
              <w:rPr>
                <w:sz w:val="20"/>
                <w:szCs w:val="22"/>
              </w:rPr>
              <w:t>1363.185</w:t>
            </w:r>
          </w:p>
        </w:tc>
        <w:tc>
          <w:tcPr>
            <w:tcW w:w="731" w:type="pct"/>
            <w:tcBorders>
              <w:top w:val="nil"/>
              <w:left w:val="nil"/>
              <w:bottom w:val="nil"/>
              <w:right w:val="nil"/>
            </w:tcBorders>
            <w:shd w:val="clear" w:color="auto" w:fill="auto"/>
            <w:noWrap/>
            <w:vAlign w:val="bottom"/>
            <w:hideMark/>
          </w:tcPr>
          <w:p w14:paraId="6CBC27F4" w14:textId="77777777" w:rsidR="00184B6B" w:rsidRPr="00184B6B" w:rsidRDefault="00184B6B" w:rsidP="00184B6B">
            <w:pPr>
              <w:spacing w:line="240" w:lineRule="auto"/>
              <w:ind w:firstLine="0"/>
              <w:rPr>
                <w:sz w:val="20"/>
                <w:szCs w:val="22"/>
              </w:rPr>
            </w:pPr>
            <w:r w:rsidRPr="00184B6B">
              <w:rPr>
                <w:sz w:val="20"/>
                <w:szCs w:val="22"/>
              </w:rPr>
              <w:t>1365.542</w:t>
            </w:r>
          </w:p>
        </w:tc>
        <w:tc>
          <w:tcPr>
            <w:tcW w:w="731" w:type="pct"/>
            <w:tcBorders>
              <w:top w:val="nil"/>
              <w:left w:val="nil"/>
              <w:bottom w:val="nil"/>
              <w:right w:val="nil"/>
            </w:tcBorders>
            <w:shd w:val="clear" w:color="auto" w:fill="auto"/>
            <w:noWrap/>
            <w:vAlign w:val="bottom"/>
            <w:hideMark/>
          </w:tcPr>
          <w:p w14:paraId="0955B28E" w14:textId="77777777" w:rsidR="00184B6B" w:rsidRPr="00184B6B" w:rsidRDefault="00184B6B" w:rsidP="00184B6B">
            <w:pPr>
              <w:spacing w:line="240" w:lineRule="auto"/>
              <w:ind w:firstLine="0"/>
              <w:rPr>
                <w:sz w:val="20"/>
                <w:szCs w:val="22"/>
              </w:rPr>
            </w:pPr>
            <w:r w:rsidRPr="00184B6B">
              <w:rPr>
                <w:sz w:val="20"/>
                <w:szCs w:val="22"/>
              </w:rPr>
              <w:t>1396.015</w:t>
            </w:r>
          </w:p>
        </w:tc>
        <w:tc>
          <w:tcPr>
            <w:tcW w:w="730" w:type="pct"/>
            <w:tcBorders>
              <w:top w:val="nil"/>
              <w:left w:val="nil"/>
              <w:bottom w:val="nil"/>
              <w:right w:val="nil"/>
            </w:tcBorders>
            <w:shd w:val="clear" w:color="auto" w:fill="auto"/>
            <w:noWrap/>
            <w:vAlign w:val="bottom"/>
            <w:hideMark/>
          </w:tcPr>
          <w:p w14:paraId="37AFAF41" w14:textId="77777777" w:rsidR="00184B6B" w:rsidRPr="00184B6B" w:rsidRDefault="00184B6B" w:rsidP="00184B6B">
            <w:pPr>
              <w:spacing w:line="240" w:lineRule="auto"/>
              <w:ind w:firstLine="0"/>
              <w:rPr>
                <w:sz w:val="20"/>
                <w:szCs w:val="22"/>
              </w:rPr>
            </w:pPr>
            <w:r w:rsidRPr="00184B6B">
              <w:rPr>
                <w:sz w:val="20"/>
                <w:szCs w:val="22"/>
              </w:rPr>
              <w:t>1398.432</w:t>
            </w:r>
          </w:p>
        </w:tc>
      </w:tr>
      <w:tr w:rsidR="00184B6B" w:rsidRPr="00184B6B" w14:paraId="17A24501" w14:textId="77777777" w:rsidTr="00B617ED">
        <w:trPr>
          <w:trHeight w:val="300"/>
        </w:trPr>
        <w:tc>
          <w:tcPr>
            <w:tcW w:w="2077" w:type="pct"/>
            <w:tcBorders>
              <w:top w:val="nil"/>
              <w:left w:val="nil"/>
              <w:bottom w:val="single" w:sz="4" w:space="0" w:color="auto"/>
              <w:right w:val="nil"/>
            </w:tcBorders>
            <w:shd w:val="clear" w:color="auto" w:fill="auto"/>
            <w:noWrap/>
            <w:vAlign w:val="center"/>
            <w:hideMark/>
          </w:tcPr>
          <w:p w14:paraId="47F23791" w14:textId="77777777" w:rsidR="00184B6B" w:rsidRPr="00184B6B" w:rsidRDefault="00184B6B" w:rsidP="00184B6B">
            <w:pPr>
              <w:spacing w:line="240" w:lineRule="auto"/>
              <w:ind w:firstLine="0"/>
              <w:jc w:val="left"/>
              <w:rPr>
                <w:sz w:val="20"/>
                <w:szCs w:val="20"/>
              </w:rPr>
            </w:pPr>
            <w:r w:rsidRPr="00184B6B">
              <w:rPr>
                <w:sz w:val="20"/>
                <w:szCs w:val="20"/>
              </w:rPr>
              <w:t>p &gt; Chi</w:t>
            </w:r>
            <w:r w:rsidRPr="00184B6B">
              <w:rPr>
                <w:sz w:val="20"/>
                <w:szCs w:val="20"/>
                <w:vertAlign w:val="superscript"/>
              </w:rPr>
              <w:t>2</w:t>
            </w:r>
          </w:p>
        </w:tc>
        <w:tc>
          <w:tcPr>
            <w:tcW w:w="731" w:type="pct"/>
            <w:tcBorders>
              <w:top w:val="nil"/>
              <w:left w:val="nil"/>
              <w:bottom w:val="single" w:sz="4" w:space="0" w:color="auto"/>
              <w:right w:val="nil"/>
            </w:tcBorders>
            <w:shd w:val="clear" w:color="auto" w:fill="auto"/>
            <w:noWrap/>
            <w:vAlign w:val="bottom"/>
            <w:hideMark/>
          </w:tcPr>
          <w:p w14:paraId="324A907D" w14:textId="77777777" w:rsidR="00184B6B" w:rsidRPr="00184B6B" w:rsidRDefault="00184B6B" w:rsidP="00184B6B">
            <w:pPr>
              <w:spacing w:line="240" w:lineRule="auto"/>
              <w:ind w:firstLine="0"/>
              <w:rPr>
                <w:sz w:val="20"/>
                <w:szCs w:val="22"/>
              </w:rPr>
            </w:pPr>
            <w:r w:rsidRPr="00184B6B">
              <w:rPr>
                <w:sz w:val="20"/>
                <w:szCs w:val="22"/>
              </w:rPr>
              <w:t>0.000</w:t>
            </w:r>
          </w:p>
        </w:tc>
        <w:tc>
          <w:tcPr>
            <w:tcW w:w="731" w:type="pct"/>
            <w:tcBorders>
              <w:top w:val="nil"/>
              <w:left w:val="nil"/>
              <w:bottom w:val="single" w:sz="4" w:space="0" w:color="auto"/>
              <w:right w:val="nil"/>
            </w:tcBorders>
            <w:shd w:val="clear" w:color="auto" w:fill="auto"/>
            <w:noWrap/>
            <w:vAlign w:val="bottom"/>
            <w:hideMark/>
          </w:tcPr>
          <w:p w14:paraId="7195EAF1" w14:textId="77777777" w:rsidR="00184B6B" w:rsidRPr="00184B6B" w:rsidRDefault="00184B6B" w:rsidP="00184B6B">
            <w:pPr>
              <w:spacing w:line="240" w:lineRule="auto"/>
              <w:ind w:firstLine="0"/>
              <w:rPr>
                <w:sz w:val="20"/>
                <w:szCs w:val="22"/>
              </w:rPr>
            </w:pPr>
            <w:r w:rsidRPr="00184B6B">
              <w:rPr>
                <w:sz w:val="20"/>
                <w:szCs w:val="22"/>
              </w:rPr>
              <w:t>0.000</w:t>
            </w:r>
          </w:p>
        </w:tc>
        <w:tc>
          <w:tcPr>
            <w:tcW w:w="731" w:type="pct"/>
            <w:tcBorders>
              <w:top w:val="nil"/>
              <w:left w:val="nil"/>
              <w:bottom w:val="single" w:sz="4" w:space="0" w:color="auto"/>
              <w:right w:val="nil"/>
            </w:tcBorders>
            <w:shd w:val="clear" w:color="auto" w:fill="auto"/>
            <w:noWrap/>
            <w:vAlign w:val="bottom"/>
            <w:hideMark/>
          </w:tcPr>
          <w:p w14:paraId="1F631018" w14:textId="77777777" w:rsidR="00184B6B" w:rsidRPr="00184B6B" w:rsidRDefault="00184B6B" w:rsidP="00184B6B">
            <w:pPr>
              <w:spacing w:line="240" w:lineRule="auto"/>
              <w:ind w:firstLine="0"/>
              <w:rPr>
                <w:sz w:val="20"/>
                <w:szCs w:val="22"/>
              </w:rPr>
            </w:pPr>
            <w:r w:rsidRPr="00184B6B">
              <w:rPr>
                <w:sz w:val="20"/>
                <w:szCs w:val="22"/>
              </w:rPr>
              <w:t>0.000</w:t>
            </w:r>
          </w:p>
        </w:tc>
        <w:tc>
          <w:tcPr>
            <w:tcW w:w="730" w:type="pct"/>
            <w:tcBorders>
              <w:top w:val="nil"/>
              <w:left w:val="nil"/>
              <w:bottom w:val="single" w:sz="4" w:space="0" w:color="auto"/>
              <w:right w:val="nil"/>
            </w:tcBorders>
            <w:shd w:val="clear" w:color="auto" w:fill="auto"/>
            <w:noWrap/>
            <w:vAlign w:val="bottom"/>
            <w:hideMark/>
          </w:tcPr>
          <w:p w14:paraId="366D3BF7" w14:textId="77777777" w:rsidR="00184B6B" w:rsidRPr="00184B6B" w:rsidRDefault="00184B6B" w:rsidP="00184B6B">
            <w:pPr>
              <w:spacing w:line="240" w:lineRule="auto"/>
              <w:ind w:firstLine="0"/>
              <w:rPr>
                <w:sz w:val="20"/>
                <w:szCs w:val="22"/>
              </w:rPr>
            </w:pPr>
            <w:r w:rsidRPr="00184B6B">
              <w:rPr>
                <w:sz w:val="20"/>
                <w:szCs w:val="22"/>
              </w:rPr>
              <w:t>0.000</w:t>
            </w:r>
          </w:p>
        </w:tc>
      </w:tr>
    </w:tbl>
    <w:p w14:paraId="473DFBC6" w14:textId="77777777" w:rsidR="00184B6B" w:rsidRPr="00184B6B" w:rsidRDefault="00184B6B" w:rsidP="00184B6B">
      <w:pPr>
        <w:spacing w:line="276" w:lineRule="auto"/>
        <w:ind w:firstLine="0"/>
        <w:jc w:val="left"/>
        <w:rPr>
          <w:rFonts w:eastAsiaTheme="minorHAnsi"/>
          <w:color w:val="auto"/>
          <w:szCs w:val="22"/>
          <w:lang w:eastAsia="en-US"/>
        </w:rPr>
      </w:pPr>
    </w:p>
    <w:p w14:paraId="2FF0AE8D" w14:textId="77777777" w:rsidR="00184B6B" w:rsidRPr="00184B6B" w:rsidRDefault="00184B6B" w:rsidP="00184B6B">
      <w:pPr>
        <w:spacing w:after="200" w:line="276" w:lineRule="auto"/>
        <w:ind w:firstLine="0"/>
        <w:jc w:val="left"/>
        <w:rPr>
          <w:rFonts w:eastAsiaTheme="minorHAnsi"/>
          <w:sz w:val="18"/>
          <w:szCs w:val="18"/>
          <w:lang w:eastAsia="en-US"/>
        </w:rPr>
      </w:pPr>
      <w:r w:rsidRPr="00184B6B">
        <w:rPr>
          <w:rFonts w:eastAsiaTheme="minorHAnsi"/>
          <w:sz w:val="18"/>
          <w:szCs w:val="18"/>
          <w:lang w:eastAsia="en-US"/>
        </w:rPr>
        <w:t xml:space="preserve">Notes: *** p&lt;0.01, ** p&lt;0.05, * p&lt;0.1, robust standard errors in parentheses. </w:t>
      </w:r>
      <w:r w:rsidRPr="00184B6B">
        <w:rPr>
          <w:rFonts w:eastAsiaTheme="minorHAnsi"/>
          <w:color w:val="auto"/>
          <w:sz w:val="18"/>
          <w:szCs w:val="18"/>
          <w:lang w:eastAsia="en-US"/>
        </w:rPr>
        <w:t>Reference groups: secondary education, 1</w:t>
      </w:r>
      <w:r w:rsidRPr="00184B6B">
        <w:rPr>
          <w:rFonts w:eastAsiaTheme="minorHAnsi"/>
          <w:color w:val="auto"/>
          <w:sz w:val="18"/>
          <w:szCs w:val="18"/>
          <w:vertAlign w:val="superscript"/>
          <w:lang w:eastAsia="en-US"/>
        </w:rPr>
        <w:t>st</w:t>
      </w:r>
      <w:r w:rsidRPr="00184B6B">
        <w:rPr>
          <w:rFonts w:eastAsiaTheme="minorHAnsi"/>
          <w:color w:val="auto"/>
          <w:sz w:val="18"/>
          <w:szCs w:val="18"/>
          <w:lang w:eastAsia="en-US"/>
        </w:rPr>
        <w:t xml:space="preserve"> income quintile, Orthodox, living in Serbia, interviewed in year 2009. </w:t>
      </w:r>
    </w:p>
    <w:p w14:paraId="3F6525F9" w14:textId="77777777" w:rsidR="00184B6B" w:rsidRPr="00184B6B" w:rsidRDefault="00184B6B" w:rsidP="00184B6B">
      <w:pPr>
        <w:spacing w:line="276" w:lineRule="auto"/>
        <w:ind w:firstLine="0"/>
        <w:jc w:val="left"/>
        <w:rPr>
          <w:rFonts w:eastAsiaTheme="minorHAnsi"/>
          <w:color w:val="auto"/>
          <w:szCs w:val="22"/>
          <w:lang w:eastAsia="en-US"/>
        </w:rPr>
      </w:pPr>
    </w:p>
    <w:p w14:paraId="266E97A0"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br w:type="page"/>
      </w:r>
    </w:p>
    <w:p w14:paraId="7BBBAA9D" w14:textId="77777777" w:rsidR="00184B6B" w:rsidRPr="00184B6B" w:rsidRDefault="00184B6B" w:rsidP="00184B6B">
      <w:pPr>
        <w:spacing w:after="200" w:line="276" w:lineRule="auto"/>
        <w:ind w:firstLine="0"/>
        <w:jc w:val="left"/>
        <w:rPr>
          <w:rFonts w:eastAsiaTheme="minorHAnsi"/>
          <w:color w:val="auto"/>
          <w:szCs w:val="22"/>
          <w:lang w:eastAsia="en-US"/>
        </w:rPr>
      </w:pPr>
      <w:r w:rsidRPr="00184B6B">
        <w:rPr>
          <w:rFonts w:eastAsiaTheme="minorHAnsi"/>
          <w:color w:val="auto"/>
          <w:szCs w:val="22"/>
          <w:lang w:eastAsia="en-US"/>
        </w:rPr>
        <w:lastRenderedPageBreak/>
        <w:t>Table A4: Complete econometric output for Table 3 (this table reports probit coefficients and not the marginal effects)</w:t>
      </w:r>
    </w:p>
    <w:tbl>
      <w:tblPr>
        <w:tblW w:w="5000" w:type="pct"/>
        <w:tblLook w:val="04A0" w:firstRow="1" w:lastRow="0" w:firstColumn="1" w:lastColumn="0" w:noHBand="0" w:noVBand="1"/>
      </w:tblPr>
      <w:tblGrid>
        <w:gridCol w:w="2332"/>
        <w:gridCol w:w="864"/>
        <w:gridCol w:w="864"/>
        <w:gridCol w:w="864"/>
        <w:gridCol w:w="864"/>
        <w:gridCol w:w="808"/>
        <w:gridCol w:w="808"/>
        <w:gridCol w:w="808"/>
        <w:gridCol w:w="804"/>
      </w:tblGrid>
      <w:tr w:rsidR="00184B6B" w:rsidRPr="00184B6B" w14:paraId="631AE43F" w14:textId="77777777" w:rsidTr="00B617ED">
        <w:trPr>
          <w:trHeight w:val="300"/>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D52E7" w14:textId="77777777" w:rsidR="00184B6B" w:rsidRPr="00184B6B" w:rsidRDefault="00184B6B" w:rsidP="00184B6B">
            <w:pPr>
              <w:spacing w:line="240" w:lineRule="auto"/>
              <w:ind w:firstLine="0"/>
              <w:jc w:val="left"/>
              <w:rPr>
                <w:sz w:val="14"/>
                <w:szCs w:val="16"/>
              </w:rPr>
            </w:pPr>
          </w:p>
        </w:tc>
        <w:tc>
          <w:tcPr>
            <w:tcW w:w="1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4A26" w14:textId="77777777" w:rsidR="00184B6B" w:rsidRPr="00184B6B" w:rsidRDefault="00184B6B" w:rsidP="00184B6B">
            <w:pPr>
              <w:spacing w:line="240" w:lineRule="auto"/>
              <w:ind w:firstLine="0"/>
              <w:rPr>
                <w:color w:val="auto"/>
              </w:rPr>
            </w:pPr>
            <w:r w:rsidRPr="00184B6B">
              <w:rPr>
                <w:sz w:val="18"/>
                <w:szCs w:val="18"/>
              </w:rPr>
              <w:t>A. Dependent variable:</w:t>
            </w:r>
          </w:p>
          <w:p w14:paraId="6BD372A9" w14:textId="77777777" w:rsidR="00184B6B" w:rsidRPr="00184B6B" w:rsidRDefault="00184B6B" w:rsidP="00184B6B">
            <w:pPr>
              <w:spacing w:line="240" w:lineRule="auto"/>
              <w:ind w:firstLine="0"/>
              <w:rPr>
                <w:color w:val="auto"/>
              </w:rPr>
            </w:pPr>
            <w:r w:rsidRPr="00184B6B">
              <w:rPr>
                <w:sz w:val="18"/>
                <w:szCs w:val="18"/>
              </w:rPr>
              <w:t>Voting yes in a hypothetical EU referendum;</w:t>
            </w:r>
          </w:p>
          <w:p w14:paraId="29E2BC1A" w14:textId="77777777" w:rsidR="00184B6B" w:rsidRPr="00184B6B" w:rsidRDefault="00184B6B" w:rsidP="00184B6B">
            <w:pPr>
              <w:spacing w:line="240" w:lineRule="auto"/>
              <w:ind w:firstLine="0"/>
              <w:rPr>
                <w:sz w:val="14"/>
                <w:szCs w:val="20"/>
              </w:rPr>
            </w:pPr>
            <w:r w:rsidRPr="00184B6B">
              <w:rPr>
                <w:sz w:val="18"/>
                <w:szCs w:val="18"/>
              </w:rPr>
              <w:t>binary probit coefficients</w:t>
            </w:r>
          </w:p>
        </w:tc>
        <w:tc>
          <w:tcPr>
            <w:tcW w:w="184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EAE9" w14:textId="77777777" w:rsidR="00184B6B" w:rsidRPr="00184B6B" w:rsidRDefault="00184B6B" w:rsidP="00184B6B">
            <w:pPr>
              <w:spacing w:line="240" w:lineRule="auto"/>
              <w:ind w:firstLine="0"/>
              <w:rPr>
                <w:color w:val="auto"/>
              </w:rPr>
            </w:pPr>
            <w:r w:rsidRPr="00184B6B">
              <w:rPr>
                <w:sz w:val="18"/>
                <w:szCs w:val="18"/>
              </w:rPr>
              <w:t>B. Dependent variable:</w:t>
            </w:r>
          </w:p>
          <w:p w14:paraId="737EF90F" w14:textId="77777777" w:rsidR="00184B6B" w:rsidRPr="00184B6B" w:rsidRDefault="00184B6B" w:rsidP="00184B6B">
            <w:pPr>
              <w:spacing w:line="240" w:lineRule="auto"/>
              <w:ind w:firstLine="0"/>
              <w:rPr>
                <w:color w:val="auto"/>
              </w:rPr>
            </w:pPr>
            <w:r w:rsidRPr="00184B6B">
              <w:rPr>
                <w:sz w:val="18"/>
                <w:szCs w:val="18"/>
              </w:rPr>
              <w:t>EU membership a good thing;</w:t>
            </w:r>
          </w:p>
          <w:p w14:paraId="69259D92" w14:textId="77777777" w:rsidR="00184B6B" w:rsidRPr="00184B6B" w:rsidRDefault="00184B6B" w:rsidP="00184B6B">
            <w:pPr>
              <w:spacing w:line="240" w:lineRule="auto"/>
              <w:ind w:firstLine="0"/>
              <w:rPr>
                <w:sz w:val="14"/>
                <w:szCs w:val="20"/>
              </w:rPr>
            </w:pPr>
            <w:r w:rsidRPr="00184B6B">
              <w:rPr>
                <w:sz w:val="18"/>
                <w:szCs w:val="18"/>
              </w:rPr>
              <w:t>ordered probit coefficients</w:t>
            </w:r>
          </w:p>
        </w:tc>
      </w:tr>
      <w:tr w:rsidR="00184B6B" w:rsidRPr="00184B6B" w14:paraId="2A4E9607" w14:textId="77777777" w:rsidTr="00B617ED">
        <w:trPr>
          <w:trHeight w:hRule="exact" w:val="227"/>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3288B" w14:textId="77777777" w:rsidR="00184B6B" w:rsidRPr="00184B6B" w:rsidRDefault="00184B6B" w:rsidP="00184B6B">
            <w:pPr>
              <w:spacing w:line="240" w:lineRule="auto"/>
              <w:ind w:firstLine="0"/>
              <w:jc w:val="left"/>
              <w:rPr>
                <w:sz w:val="14"/>
                <w:szCs w:val="16"/>
              </w:rPr>
            </w:pPr>
          </w:p>
        </w:tc>
        <w:tc>
          <w:tcPr>
            <w:tcW w:w="462" w:type="pct"/>
            <w:tcBorders>
              <w:top w:val="single" w:sz="4" w:space="0" w:color="auto"/>
              <w:left w:val="single" w:sz="4" w:space="0" w:color="auto"/>
              <w:bottom w:val="single" w:sz="4" w:space="0" w:color="auto"/>
              <w:right w:val="nil"/>
            </w:tcBorders>
            <w:shd w:val="clear" w:color="auto" w:fill="auto"/>
            <w:noWrap/>
            <w:vAlign w:val="center"/>
            <w:hideMark/>
          </w:tcPr>
          <w:p w14:paraId="0927264E" w14:textId="77777777" w:rsidR="00184B6B" w:rsidRPr="00184B6B" w:rsidRDefault="00184B6B" w:rsidP="00184B6B">
            <w:pPr>
              <w:spacing w:line="240" w:lineRule="auto"/>
              <w:ind w:firstLine="0"/>
              <w:rPr>
                <w:sz w:val="14"/>
                <w:szCs w:val="16"/>
              </w:rPr>
            </w:pPr>
            <w:r w:rsidRPr="00184B6B">
              <w:rPr>
                <w:sz w:val="14"/>
                <w:szCs w:val="16"/>
              </w:rPr>
              <w:t>(1)</w:t>
            </w:r>
          </w:p>
        </w:tc>
        <w:tc>
          <w:tcPr>
            <w:tcW w:w="462" w:type="pct"/>
            <w:tcBorders>
              <w:top w:val="single" w:sz="4" w:space="0" w:color="auto"/>
              <w:left w:val="nil"/>
              <w:bottom w:val="single" w:sz="4" w:space="0" w:color="auto"/>
              <w:right w:val="nil"/>
            </w:tcBorders>
            <w:shd w:val="clear" w:color="auto" w:fill="auto"/>
            <w:noWrap/>
            <w:vAlign w:val="center"/>
            <w:hideMark/>
          </w:tcPr>
          <w:p w14:paraId="3DF52E97" w14:textId="77777777" w:rsidR="00184B6B" w:rsidRPr="00184B6B" w:rsidRDefault="00184B6B" w:rsidP="00184B6B">
            <w:pPr>
              <w:spacing w:line="240" w:lineRule="auto"/>
              <w:ind w:firstLine="0"/>
              <w:rPr>
                <w:sz w:val="14"/>
                <w:szCs w:val="16"/>
              </w:rPr>
            </w:pPr>
            <w:r w:rsidRPr="00184B6B">
              <w:rPr>
                <w:sz w:val="14"/>
                <w:szCs w:val="16"/>
              </w:rPr>
              <w:t>(2)</w:t>
            </w:r>
          </w:p>
        </w:tc>
        <w:tc>
          <w:tcPr>
            <w:tcW w:w="462" w:type="pct"/>
            <w:tcBorders>
              <w:top w:val="single" w:sz="4" w:space="0" w:color="auto"/>
              <w:left w:val="nil"/>
              <w:bottom w:val="single" w:sz="4" w:space="0" w:color="auto"/>
              <w:right w:val="nil"/>
            </w:tcBorders>
            <w:shd w:val="clear" w:color="auto" w:fill="auto"/>
            <w:noWrap/>
            <w:vAlign w:val="center"/>
            <w:hideMark/>
          </w:tcPr>
          <w:p w14:paraId="02092FCD" w14:textId="77777777" w:rsidR="00184B6B" w:rsidRPr="00184B6B" w:rsidRDefault="00184B6B" w:rsidP="00184B6B">
            <w:pPr>
              <w:spacing w:line="240" w:lineRule="auto"/>
              <w:ind w:firstLine="0"/>
              <w:rPr>
                <w:sz w:val="14"/>
                <w:szCs w:val="16"/>
              </w:rPr>
            </w:pPr>
            <w:r w:rsidRPr="00184B6B">
              <w:rPr>
                <w:sz w:val="14"/>
                <w:szCs w:val="16"/>
              </w:rPr>
              <w:t>(3)</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14:paraId="357B6FE4" w14:textId="77777777" w:rsidR="00184B6B" w:rsidRPr="00184B6B" w:rsidRDefault="00184B6B" w:rsidP="00184B6B">
            <w:pPr>
              <w:spacing w:line="240" w:lineRule="auto"/>
              <w:ind w:firstLine="0"/>
              <w:rPr>
                <w:sz w:val="14"/>
                <w:szCs w:val="16"/>
              </w:rPr>
            </w:pPr>
            <w:r w:rsidRPr="00184B6B">
              <w:rPr>
                <w:sz w:val="14"/>
                <w:szCs w:val="16"/>
              </w:rPr>
              <w:t>(4)</w:t>
            </w:r>
          </w:p>
        </w:tc>
        <w:tc>
          <w:tcPr>
            <w:tcW w:w="462" w:type="pct"/>
            <w:tcBorders>
              <w:top w:val="single" w:sz="4" w:space="0" w:color="auto"/>
              <w:left w:val="single" w:sz="4" w:space="0" w:color="auto"/>
              <w:bottom w:val="single" w:sz="4" w:space="0" w:color="auto"/>
              <w:right w:val="nil"/>
            </w:tcBorders>
            <w:shd w:val="clear" w:color="auto" w:fill="auto"/>
            <w:noWrap/>
            <w:vAlign w:val="center"/>
            <w:hideMark/>
          </w:tcPr>
          <w:p w14:paraId="5B803BF2" w14:textId="77777777" w:rsidR="00184B6B" w:rsidRPr="00184B6B" w:rsidRDefault="00184B6B" w:rsidP="00184B6B">
            <w:pPr>
              <w:spacing w:line="240" w:lineRule="auto"/>
              <w:ind w:firstLine="0"/>
              <w:rPr>
                <w:sz w:val="14"/>
                <w:szCs w:val="16"/>
              </w:rPr>
            </w:pPr>
            <w:r w:rsidRPr="00184B6B">
              <w:rPr>
                <w:sz w:val="14"/>
                <w:szCs w:val="16"/>
              </w:rPr>
              <w:t>(5)</w:t>
            </w:r>
          </w:p>
        </w:tc>
        <w:tc>
          <w:tcPr>
            <w:tcW w:w="462" w:type="pct"/>
            <w:tcBorders>
              <w:top w:val="single" w:sz="4" w:space="0" w:color="auto"/>
              <w:left w:val="nil"/>
              <w:bottom w:val="single" w:sz="4" w:space="0" w:color="auto"/>
              <w:right w:val="nil"/>
            </w:tcBorders>
            <w:shd w:val="clear" w:color="auto" w:fill="auto"/>
            <w:noWrap/>
            <w:vAlign w:val="center"/>
            <w:hideMark/>
          </w:tcPr>
          <w:p w14:paraId="618893A5" w14:textId="77777777" w:rsidR="00184B6B" w:rsidRPr="00184B6B" w:rsidRDefault="00184B6B" w:rsidP="00184B6B">
            <w:pPr>
              <w:spacing w:line="240" w:lineRule="auto"/>
              <w:ind w:firstLine="0"/>
              <w:rPr>
                <w:sz w:val="14"/>
                <w:szCs w:val="16"/>
              </w:rPr>
            </w:pPr>
            <w:r w:rsidRPr="00184B6B">
              <w:rPr>
                <w:sz w:val="14"/>
                <w:szCs w:val="16"/>
              </w:rPr>
              <w:t>(6)</w:t>
            </w:r>
          </w:p>
        </w:tc>
        <w:tc>
          <w:tcPr>
            <w:tcW w:w="462" w:type="pct"/>
            <w:tcBorders>
              <w:top w:val="single" w:sz="4" w:space="0" w:color="auto"/>
              <w:left w:val="nil"/>
              <w:bottom w:val="single" w:sz="4" w:space="0" w:color="auto"/>
              <w:right w:val="nil"/>
            </w:tcBorders>
            <w:shd w:val="clear" w:color="auto" w:fill="auto"/>
            <w:noWrap/>
            <w:vAlign w:val="center"/>
            <w:hideMark/>
          </w:tcPr>
          <w:p w14:paraId="4F950DE3" w14:textId="77777777" w:rsidR="00184B6B" w:rsidRPr="00184B6B" w:rsidRDefault="00184B6B" w:rsidP="00184B6B">
            <w:pPr>
              <w:spacing w:line="240" w:lineRule="auto"/>
              <w:ind w:firstLine="0"/>
              <w:rPr>
                <w:sz w:val="14"/>
                <w:szCs w:val="16"/>
              </w:rPr>
            </w:pPr>
            <w:r w:rsidRPr="00184B6B">
              <w:rPr>
                <w:sz w:val="14"/>
                <w:szCs w:val="16"/>
              </w:rPr>
              <w:t>(7)</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14:paraId="24429B5A" w14:textId="77777777" w:rsidR="00184B6B" w:rsidRPr="00184B6B" w:rsidRDefault="00184B6B" w:rsidP="00184B6B">
            <w:pPr>
              <w:spacing w:line="240" w:lineRule="auto"/>
              <w:ind w:firstLine="0"/>
              <w:rPr>
                <w:sz w:val="14"/>
                <w:szCs w:val="16"/>
              </w:rPr>
            </w:pPr>
            <w:r w:rsidRPr="00184B6B">
              <w:rPr>
                <w:sz w:val="14"/>
                <w:szCs w:val="16"/>
              </w:rPr>
              <w:t>(8)</w:t>
            </w:r>
          </w:p>
        </w:tc>
      </w:tr>
      <w:tr w:rsidR="00184B6B" w:rsidRPr="00184B6B" w14:paraId="63D942C1" w14:textId="77777777" w:rsidTr="00B617ED">
        <w:trPr>
          <w:trHeight w:hRule="exact" w:val="227"/>
        </w:trPr>
        <w:tc>
          <w:tcPr>
            <w:tcW w:w="1307" w:type="pct"/>
            <w:tcBorders>
              <w:top w:val="single" w:sz="4" w:space="0" w:color="auto"/>
              <w:left w:val="single" w:sz="4" w:space="0" w:color="auto"/>
              <w:bottom w:val="nil"/>
              <w:right w:val="single" w:sz="4" w:space="0" w:color="auto"/>
            </w:tcBorders>
            <w:shd w:val="clear" w:color="auto" w:fill="auto"/>
            <w:noWrap/>
            <w:vAlign w:val="bottom"/>
            <w:hideMark/>
          </w:tcPr>
          <w:p w14:paraId="23DE4537" w14:textId="77777777" w:rsidR="00184B6B" w:rsidRPr="00184B6B" w:rsidRDefault="00184B6B" w:rsidP="00184B6B">
            <w:pPr>
              <w:spacing w:line="240" w:lineRule="auto"/>
              <w:ind w:firstLine="0"/>
              <w:jc w:val="left"/>
              <w:rPr>
                <w:sz w:val="14"/>
                <w:szCs w:val="16"/>
              </w:rPr>
            </w:pPr>
            <w:r w:rsidRPr="00184B6B">
              <w:rPr>
                <w:sz w:val="14"/>
                <w:szCs w:val="16"/>
              </w:rPr>
              <w:t>Intentions to move to the EU</w:t>
            </w:r>
          </w:p>
        </w:tc>
        <w:tc>
          <w:tcPr>
            <w:tcW w:w="462" w:type="pct"/>
            <w:tcBorders>
              <w:top w:val="single" w:sz="4" w:space="0" w:color="auto"/>
              <w:left w:val="single" w:sz="4" w:space="0" w:color="auto"/>
              <w:bottom w:val="nil"/>
              <w:right w:val="nil"/>
            </w:tcBorders>
            <w:shd w:val="clear" w:color="auto" w:fill="auto"/>
            <w:noWrap/>
            <w:vAlign w:val="bottom"/>
            <w:hideMark/>
          </w:tcPr>
          <w:p w14:paraId="21120B13" w14:textId="77777777" w:rsidR="00184B6B" w:rsidRPr="00184B6B" w:rsidRDefault="00184B6B" w:rsidP="00184B6B">
            <w:pPr>
              <w:spacing w:line="240" w:lineRule="auto"/>
              <w:ind w:firstLine="0"/>
              <w:rPr>
                <w:sz w:val="14"/>
                <w:szCs w:val="16"/>
              </w:rPr>
            </w:pPr>
            <w:r w:rsidRPr="00184B6B">
              <w:rPr>
                <w:sz w:val="14"/>
                <w:szCs w:val="16"/>
              </w:rPr>
              <w:t>0.170***</w:t>
            </w:r>
          </w:p>
        </w:tc>
        <w:tc>
          <w:tcPr>
            <w:tcW w:w="462" w:type="pct"/>
            <w:tcBorders>
              <w:top w:val="single" w:sz="4" w:space="0" w:color="auto"/>
              <w:left w:val="nil"/>
              <w:bottom w:val="nil"/>
              <w:right w:val="nil"/>
            </w:tcBorders>
            <w:shd w:val="clear" w:color="auto" w:fill="auto"/>
            <w:noWrap/>
            <w:vAlign w:val="bottom"/>
            <w:hideMark/>
          </w:tcPr>
          <w:p w14:paraId="4C3FA54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nil"/>
              <w:bottom w:val="nil"/>
              <w:right w:val="nil"/>
            </w:tcBorders>
            <w:shd w:val="clear" w:color="auto" w:fill="auto"/>
            <w:noWrap/>
            <w:vAlign w:val="bottom"/>
            <w:hideMark/>
          </w:tcPr>
          <w:p w14:paraId="40B56D2A"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nil"/>
              <w:bottom w:val="nil"/>
              <w:right w:val="single" w:sz="4" w:space="0" w:color="auto"/>
            </w:tcBorders>
            <w:shd w:val="clear" w:color="auto" w:fill="auto"/>
            <w:noWrap/>
            <w:vAlign w:val="bottom"/>
            <w:hideMark/>
          </w:tcPr>
          <w:p w14:paraId="0B29B735" w14:textId="77777777" w:rsidR="00184B6B" w:rsidRPr="00184B6B" w:rsidRDefault="00184B6B" w:rsidP="00184B6B">
            <w:pPr>
              <w:spacing w:line="240" w:lineRule="auto"/>
              <w:ind w:firstLine="0"/>
              <w:rPr>
                <w:sz w:val="14"/>
                <w:szCs w:val="16"/>
              </w:rPr>
            </w:pPr>
            <w:r w:rsidRPr="00184B6B">
              <w:rPr>
                <w:sz w:val="14"/>
                <w:szCs w:val="16"/>
              </w:rPr>
              <w:t>0.144**</w:t>
            </w:r>
          </w:p>
        </w:tc>
        <w:tc>
          <w:tcPr>
            <w:tcW w:w="462" w:type="pct"/>
            <w:tcBorders>
              <w:top w:val="single" w:sz="4" w:space="0" w:color="auto"/>
              <w:left w:val="single" w:sz="4" w:space="0" w:color="auto"/>
              <w:bottom w:val="nil"/>
              <w:right w:val="nil"/>
            </w:tcBorders>
            <w:shd w:val="clear" w:color="auto" w:fill="auto"/>
            <w:noWrap/>
            <w:vAlign w:val="bottom"/>
            <w:hideMark/>
          </w:tcPr>
          <w:p w14:paraId="5A6622A7" w14:textId="77777777" w:rsidR="00184B6B" w:rsidRPr="00184B6B" w:rsidRDefault="00184B6B" w:rsidP="00184B6B">
            <w:pPr>
              <w:spacing w:line="240" w:lineRule="auto"/>
              <w:ind w:firstLine="0"/>
              <w:rPr>
                <w:sz w:val="14"/>
                <w:szCs w:val="16"/>
              </w:rPr>
            </w:pPr>
            <w:r w:rsidRPr="00184B6B">
              <w:rPr>
                <w:sz w:val="14"/>
                <w:szCs w:val="16"/>
              </w:rPr>
              <w:t>0.082*</w:t>
            </w:r>
          </w:p>
        </w:tc>
        <w:tc>
          <w:tcPr>
            <w:tcW w:w="462" w:type="pct"/>
            <w:tcBorders>
              <w:top w:val="single" w:sz="4" w:space="0" w:color="auto"/>
              <w:left w:val="nil"/>
              <w:bottom w:val="nil"/>
              <w:right w:val="nil"/>
            </w:tcBorders>
            <w:shd w:val="clear" w:color="auto" w:fill="auto"/>
            <w:noWrap/>
            <w:vAlign w:val="bottom"/>
            <w:hideMark/>
          </w:tcPr>
          <w:p w14:paraId="1B4C3590"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nil"/>
              <w:bottom w:val="nil"/>
              <w:right w:val="nil"/>
            </w:tcBorders>
            <w:shd w:val="clear" w:color="auto" w:fill="auto"/>
            <w:noWrap/>
            <w:vAlign w:val="bottom"/>
            <w:hideMark/>
          </w:tcPr>
          <w:p w14:paraId="55AFA76F"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single" w:sz="4" w:space="0" w:color="auto"/>
              <w:left w:val="nil"/>
              <w:bottom w:val="nil"/>
              <w:right w:val="single" w:sz="4" w:space="0" w:color="auto"/>
            </w:tcBorders>
            <w:shd w:val="clear" w:color="auto" w:fill="auto"/>
            <w:noWrap/>
            <w:vAlign w:val="bottom"/>
            <w:hideMark/>
          </w:tcPr>
          <w:p w14:paraId="4EB72A29" w14:textId="77777777" w:rsidR="00184B6B" w:rsidRPr="00184B6B" w:rsidRDefault="00184B6B" w:rsidP="00184B6B">
            <w:pPr>
              <w:spacing w:line="240" w:lineRule="auto"/>
              <w:ind w:firstLine="0"/>
              <w:rPr>
                <w:sz w:val="14"/>
                <w:szCs w:val="16"/>
              </w:rPr>
            </w:pPr>
            <w:r w:rsidRPr="00184B6B">
              <w:rPr>
                <w:sz w:val="14"/>
                <w:szCs w:val="16"/>
              </w:rPr>
              <w:t>0.066</w:t>
            </w:r>
          </w:p>
        </w:tc>
      </w:tr>
      <w:tr w:rsidR="00184B6B" w:rsidRPr="00184B6B" w14:paraId="7F416ED9"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0E2DA7B"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39E45788"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nil"/>
              <w:bottom w:val="nil"/>
              <w:right w:val="nil"/>
            </w:tcBorders>
            <w:shd w:val="clear" w:color="auto" w:fill="auto"/>
            <w:noWrap/>
            <w:vAlign w:val="bottom"/>
            <w:hideMark/>
          </w:tcPr>
          <w:p w14:paraId="07FED4C0"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56348325"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37980187"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single" w:sz="4" w:space="0" w:color="auto"/>
              <w:bottom w:val="nil"/>
              <w:right w:val="nil"/>
            </w:tcBorders>
            <w:shd w:val="clear" w:color="auto" w:fill="auto"/>
            <w:noWrap/>
            <w:vAlign w:val="bottom"/>
            <w:hideMark/>
          </w:tcPr>
          <w:p w14:paraId="5D7F5EC6" w14:textId="77777777" w:rsidR="00184B6B" w:rsidRPr="00184B6B" w:rsidRDefault="00184B6B" w:rsidP="00184B6B">
            <w:pPr>
              <w:spacing w:line="240" w:lineRule="auto"/>
              <w:ind w:firstLine="0"/>
              <w:rPr>
                <w:sz w:val="14"/>
                <w:szCs w:val="16"/>
              </w:rPr>
            </w:pPr>
            <w:r w:rsidRPr="00184B6B">
              <w:rPr>
                <w:sz w:val="14"/>
                <w:szCs w:val="16"/>
              </w:rPr>
              <w:t>(0.044)</w:t>
            </w:r>
          </w:p>
        </w:tc>
        <w:tc>
          <w:tcPr>
            <w:tcW w:w="462" w:type="pct"/>
            <w:tcBorders>
              <w:top w:val="nil"/>
              <w:left w:val="nil"/>
              <w:bottom w:val="nil"/>
              <w:right w:val="nil"/>
            </w:tcBorders>
            <w:shd w:val="clear" w:color="auto" w:fill="auto"/>
            <w:noWrap/>
            <w:vAlign w:val="bottom"/>
            <w:hideMark/>
          </w:tcPr>
          <w:p w14:paraId="7A63BDC0"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5F735733"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66E52175" w14:textId="77777777" w:rsidR="00184B6B" w:rsidRPr="00184B6B" w:rsidRDefault="00184B6B" w:rsidP="00184B6B">
            <w:pPr>
              <w:spacing w:line="240" w:lineRule="auto"/>
              <w:ind w:firstLine="0"/>
              <w:rPr>
                <w:sz w:val="14"/>
                <w:szCs w:val="16"/>
              </w:rPr>
            </w:pPr>
            <w:r w:rsidRPr="00184B6B">
              <w:rPr>
                <w:sz w:val="14"/>
                <w:szCs w:val="16"/>
              </w:rPr>
              <w:t>(0.044)</w:t>
            </w:r>
          </w:p>
        </w:tc>
      </w:tr>
      <w:tr w:rsidR="00184B6B" w:rsidRPr="00184B6B" w14:paraId="54E44EAB"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0C4689E0" w14:textId="77777777" w:rsidR="00184B6B" w:rsidRPr="00184B6B" w:rsidRDefault="00184B6B" w:rsidP="00184B6B">
            <w:pPr>
              <w:spacing w:line="240" w:lineRule="auto"/>
              <w:ind w:firstLine="0"/>
              <w:jc w:val="left"/>
              <w:rPr>
                <w:sz w:val="14"/>
                <w:szCs w:val="16"/>
              </w:rPr>
            </w:pPr>
            <w:r w:rsidRPr="00184B6B">
              <w:rPr>
                <w:sz w:val="14"/>
                <w:szCs w:val="16"/>
              </w:rPr>
              <w:t>Relatives in the EU</w:t>
            </w:r>
          </w:p>
        </w:tc>
        <w:tc>
          <w:tcPr>
            <w:tcW w:w="462" w:type="pct"/>
            <w:tcBorders>
              <w:top w:val="nil"/>
              <w:left w:val="single" w:sz="4" w:space="0" w:color="auto"/>
              <w:bottom w:val="nil"/>
              <w:right w:val="nil"/>
            </w:tcBorders>
            <w:shd w:val="clear" w:color="auto" w:fill="auto"/>
            <w:noWrap/>
            <w:vAlign w:val="bottom"/>
            <w:hideMark/>
          </w:tcPr>
          <w:p w14:paraId="0924006A"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4530922A" w14:textId="77777777" w:rsidR="00184B6B" w:rsidRPr="00184B6B" w:rsidRDefault="00184B6B" w:rsidP="00184B6B">
            <w:pPr>
              <w:spacing w:line="240" w:lineRule="auto"/>
              <w:ind w:firstLine="0"/>
              <w:rPr>
                <w:sz w:val="14"/>
                <w:szCs w:val="16"/>
              </w:rPr>
            </w:pPr>
            <w:r w:rsidRPr="00184B6B">
              <w:rPr>
                <w:sz w:val="14"/>
                <w:szCs w:val="16"/>
              </w:rPr>
              <w:t>0.133***</w:t>
            </w:r>
          </w:p>
        </w:tc>
        <w:tc>
          <w:tcPr>
            <w:tcW w:w="462" w:type="pct"/>
            <w:tcBorders>
              <w:top w:val="nil"/>
              <w:left w:val="nil"/>
              <w:bottom w:val="nil"/>
              <w:right w:val="nil"/>
            </w:tcBorders>
            <w:shd w:val="clear" w:color="auto" w:fill="auto"/>
            <w:noWrap/>
            <w:vAlign w:val="bottom"/>
            <w:hideMark/>
          </w:tcPr>
          <w:p w14:paraId="73641CD0"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62B2434F" w14:textId="77777777" w:rsidR="00184B6B" w:rsidRPr="00184B6B" w:rsidRDefault="00184B6B" w:rsidP="00184B6B">
            <w:pPr>
              <w:spacing w:line="240" w:lineRule="auto"/>
              <w:ind w:firstLine="0"/>
              <w:rPr>
                <w:sz w:val="14"/>
                <w:szCs w:val="16"/>
              </w:rPr>
            </w:pPr>
            <w:r w:rsidRPr="00184B6B">
              <w:rPr>
                <w:sz w:val="14"/>
                <w:szCs w:val="16"/>
              </w:rPr>
              <w:t>0.111***</w:t>
            </w:r>
          </w:p>
        </w:tc>
        <w:tc>
          <w:tcPr>
            <w:tcW w:w="462" w:type="pct"/>
            <w:tcBorders>
              <w:top w:val="nil"/>
              <w:left w:val="single" w:sz="4" w:space="0" w:color="auto"/>
              <w:bottom w:val="nil"/>
              <w:right w:val="nil"/>
            </w:tcBorders>
            <w:shd w:val="clear" w:color="auto" w:fill="auto"/>
            <w:noWrap/>
            <w:vAlign w:val="bottom"/>
            <w:hideMark/>
          </w:tcPr>
          <w:p w14:paraId="6BCD0F5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34D1FD5B" w14:textId="77777777" w:rsidR="00184B6B" w:rsidRPr="00184B6B" w:rsidRDefault="00184B6B" w:rsidP="00184B6B">
            <w:pPr>
              <w:spacing w:line="240" w:lineRule="auto"/>
              <w:ind w:firstLine="0"/>
              <w:rPr>
                <w:sz w:val="14"/>
                <w:szCs w:val="16"/>
              </w:rPr>
            </w:pPr>
            <w:r w:rsidRPr="00184B6B">
              <w:rPr>
                <w:sz w:val="14"/>
                <w:szCs w:val="16"/>
              </w:rPr>
              <w:t>0.072**</w:t>
            </w:r>
          </w:p>
        </w:tc>
        <w:tc>
          <w:tcPr>
            <w:tcW w:w="462" w:type="pct"/>
            <w:tcBorders>
              <w:top w:val="nil"/>
              <w:left w:val="nil"/>
              <w:bottom w:val="nil"/>
              <w:right w:val="nil"/>
            </w:tcBorders>
            <w:shd w:val="clear" w:color="auto" w:fill="auto"/>
            <w:noWrap/>
            <w:vAlign w:val="bottom"/>
            <w:hideMark/>
          </w:tcPr>
          <w:p w14:paraId="76F15F00"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24D68620" w14:textId="77777777" w:rsidR="00184B6B" w:rsidRPr="00184B6B" w:rsidRDefault="00184B6B" w:rsidP="00184B6B">
            <w:pPr>
              <w:spacing w:line="240" w:lineRule="auto"/>
              <w:ind w:firstLine="0"/>
              <w:rPr>
                <w:sz w:val="14"/>
                <w:szCs w:val="16"/>
              </w:rPr>
            </w:pPr>
            <w:r w:rsidRPr="00184B6B">
              <w:rPr>
                <w:sz w:val="14"/>
                <w:szCs w:val="16"/>
              </w:rPr>
              <w:t>0.061*</w:t>
            </w:r>
          </w:p>
        </w:tc>
      </w:tr>
      <w:tr w:rsidR="00184B6B" w:rsidRPr="00184B6B" w14:paraId="0EA8A5BC"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55AAD62E"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5E7774F"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6BD8C7F2" w14:textId="77777777" w:rsidR="00184B6B" w:rsidRPr="00184B6B" w:rsidRDefault="00184B6B" w:rsidP="00184B6B">
            <w:pPr>
              <w:spacing w:line="240" w:lineRule="auto"/>
              <w:ind w:firstLine="0"/>
              <w:rPr>
                <w:sz w:val="14"/>
                <w:szCs w:val="16"/>
              </w:rPr>
            </w:pPr>
            <w:r w:rsidRPr="00184B6B">
              <w:rPr>
                <w:sz w:val="14"/>
                <w:szCs w:val="16"/>
              </w:rPr>
              <w:t>(0.041)</w:t>
            </w:r>
          </w:p>
        </w:tc>
        <w:tc>
          <w:tcPr>
            <w:tcW w:w="462" w:type="pct"/>
            <w:tcBorders>
              <w:top w:val="nil"/>
              <w:left w:val="nil"/>
              <w:bottom w:val="nil"/>
              <w:right w:val="nil"/>
            </w:tcBorders>
            <w:shd w:val="clear" w:color="auto" w:fill="auto"/>
            <w:noWrap/>
            <w:vAlign w:val="bottom"/>
            <w:hideMark/>
          </w:tcPr>
          <w:p w14:paraId="767B7C3B"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7A59E43B" w14:textId="77777777" w:rsidR="00184B6B" w:rsidRPr="00184B6B" w:rsidRDefault="00184B6B" w:rsidP="00184B6B">
            <w:pPr>
              <w:spacing w:line="240" w:lineRule="auto"/>
              <w:ind w:firstLine="0"/>
              <w:rPr>
                <w:sz w:val="14"/>
                <w:szCs w:val="16"/>
              </w:rPr>
            </w:pPr>
            <w:r w:rsidRPr="00184B6B">
              <w:rPr>
                <w:sz w:val="14"/>
                <w:szCs w:val="16"/>
              </w:rPr>
              <w:t>(0.042)</w:t>
            </w:r>
          </w:p>
        </w:tc>
        <w:tc>
          <w:tcPr>
            <w:tcW w:w="462" w:type="pct"/>
            <w:tcBorders>
              <w:top w:val="nil"/>
              <w:left w:val="single" w:sz="4" w:space="0" w:color="auto"/>
              <w:bottom w:val="nil"/>
              <w:right w:val="nil"/>
            </w:tcBorders>
            <w:shd w:val="clear" w:color="auto" w:fill="auto"/>
            <w:noWrap/>
            <w:vAlign w:val="bottom"/>
            <w:hideMark/>
          </w:tcPr>
          <w:p w14:paraId="6595B4ED"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3B4ACDED" w14:textId="77777777" w:rsidR="00184B6B" w:rsidRPr="00184B6B" w:rsidRDefault="00184B6B" w:rsidP="00184B6B">
            <w:pPr>
              <w:spacing w:line="240" w:lineRule="auto"/>
              <w:ind w:firstLine="0"/>
              <w:rPr>
                <w:sz w:val="14"/>
                <w:szCs w:val="16"/>
              </w:rPr>
            </w:pPr>
            <w:r w:rsidRPr="00184B6B">
              <w:rPr>
                <w:sz w:val="14"/>
                <w:szCs w:val="16"/>
              </w:rPr>
              <w:t>(0.033)</w:t>
            </w:r>
          </w:p>
        </w:tc>
        <w:tc>
          <w:tcPr>
            <w:tcW w:w="462" w:type="pct"/>
            <w:tcBorders>
              <w:top w:val="nil"/>
              <w:left w:val="nil"/>
              <w:bottom w:val="nil"/>
              <w:right w:val="nil"/>
            </w:tcBorders>
            <w:shd w:val="clear" w:color="auto" w:fill="auto"/>
            <w:noWrap/>
            <w:vAlign w:val="bottom"/>
            <w:hideMark/>
          </w:tcPr>
          <w:p w14:paraId="3FCAD12B"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62C730D1" w14:textId="77777777" w:rsidR="00184B6B" w:rsidRPr="00184B6B" w:rsidRDefault="00184B6B" w:rsidP="00184B6B">
            <w:pPr>
              <w:spacing w:line="240" w:lineRule="auto"/>
              <w:ind w:firstLine="0"/>
              <w:rPr>
                <w:sz w:val="14"/>
                <w:szCs w:val="16"/>
              </w:rPr>
            </w:pPr>
            <w:r w:rsidRPr="00184B6B">
              <w:rPr>
                <w:sz w:val="14"/>
                <w:szCs w:val="16"/>
              </w:rPr>
              <w:t>(0.033)</w:t>
            </w:r>
          </w:p>
        </w:tc>
      </w:tr>
      <w:tr w:rsidR="00184B6B" w:rsidRPr="00184B6B" w14:paraId="77D2D1E3"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6EACEAC" w14:textId="77777777" w:rsidR="00184B6B" w:rsidRPr="00184B6B" w:rsidRDefault="00184B6B" w:rsidP="00184B6B">
            <w:pPr>
              <w:spacing w:line="240" w:lineRule="auto"/>
              <w:ind w:firstLine="0"/>
              <w:jc w:val="left"/>
              <w:rPr>
                <w:sz w:val="14"/>
                <w:szCs w:val="16"/>
              </w:rPr>
            </w:pPr>
            <w:r w:rsidRPr="00184B6B">
              <w:rPr>
                <w:sz w:val="14"/>
                <w:szCs w:val="16"/>
              </w:rPr>
              <w:t>EU return migrant</w:t>
            </w:r>
          </w:p>
        </w:tc>
        <w:tc>
          <w:tcPr>
            <w:tcW w:w="462" w:type="pct"/>
            <w:tcBorders>
              <w:top w:val="nil"/>
              <w:left w:val="single" w:sz="4" w:space="0" w:color="auto"/>
              <w:bottom w:val="nil"/>
              <w:right w:val="nil"/>
            </w:tcBorders>
            <w:shd w:val="clear" w:color="auto" w:fill="auto"/>
            <w:noWrap/>
            <w:vAlign w:val="bottom"/>
            <w:hideMark/>
          </w:tcPr>
          <w:p w14:paraId="29079139"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225B118C"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1ABCF989" w14:textId="77777777" w:rsidR="00184B6B" w:rsidRPr="00184B6B" w:rsidRDefault="00184B6B" w:rsidP="00184B6B">
            <w:pPr>
              <w:spacing w:line="240" w:lineRule="auto"/>
              <w:ind w:firstLine="0"/>
              <w:rPr>
                <w:sz w:val="14"/>
                <w:szCs w:val="16"/>
              </w:rPr>
            </w:pPr>
            <w:r w:rsidRPr="00184B6B">
              <w:rPr>
                <w:sz w:val="14"/>
                <w:szCs w:val="16"/>
              </w:rPr>
              <w:t>0.200***</w:t>
            </w:r>
          </w:p>
        </w:tc>
        <w:tc>
          <w:tcPr>
            <w:tcW w:w="462" w:type="pct"/>
            <w:tcBorders>
              <w:top w:val="nil"/>
              <w:left w:val="nil"/>
              <w:bottom w:val="nil"/>
              <w:right w:val="single" w:sz="4" w:space="0" w:color="auto"/>
            </w:tcBorders>
            <w:shd w:val="clear" w:color="auto" w:fill="auto"/>
            <w:noWrap/>
            <w:vAlign w:val="bottom"/>
            <w:hideMark/>
          </w:tcPr>
          <w:p w14:paraId="5EBDAFCB" w14:textId="77777777" w:rsidR="00184B6B" w:rsidRPr="00184B6B" w:rsidRDefault="00184B6B" w:rsidP="00184B6B">
            <w:pPr>
              <w:spacing w:line="240" w:lineRule="auto"/>
              <w:ind w:firstLine="0"/>
              <w:rPr>
                <w:sz w:val="14"/>
                <w:szCs w:val="16"/>
              </w:rPr>
            </w:pPr>
            <w:r w:rsidRPr="00184B6B">
              <w:rPr>
                <w:sz w:val="14"/>
                <w:szCs w:val="16"/>
              </w:rPr>
              <w:t>0.156**</w:t>
            </w:r>
          </w:p>
        </w:tc>
        <w:tc>
          <w:tcPr>
            <w:tcW w:w="462" w:type="pct"/>
            <w:tcBorders>
              <w:top w:val="nil"/>
              <w:left w:val="single" w:sz="4" w:space="0" w:color="auto"/>
              <w:bottom w:val="nil"/>
              <w:right w:val="nil"/>
            </w:tcBorders>
            <w:shd w:val="clear" w:color="auto" w:fill="auto"/>
            <w:noWrap/>
            <w:vAlign w:val="bottom"/>
            <w:hideMark/>
          </w:tcPr>
          <w:p w14:paraId="2E0DF356"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683CF5F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5B6039E" w14:textId="77777777" w:rsidR="00184B6B" w:rsidRPr="00184B6B" w:rsidRDefault="00184B6B" w:rsidP="00184B6B">
            <w:pPr>
              <w:spacing w:line="240" w:lineRule="auto"/>
              <w:ind w:firstLine="0"/>
              <w:rPr>
                <w:sz w:val="14"/>
                <w:szCs w:val="16"/>
              </w:rPr>
            </w:pPr>
            <w:r w:rsidRPr="00184B6B">
              <w:rPr>
                <w:sz w:val="14"/>
                <w:szCs w:val="16"/>
              </w:rPr>
              <w:t>0.094</w:t>
            </w:r>
          </w:p>
        </w:tc>
        <w:tc>
          <w:tcPr>
            <w:tcW w:w="459" w:type="pct"/>
            <w:tcBorders>
              <w:top w:val="nil"/>
              <w:left w:val="nil"/>
              <w:bottom w:val="nil"/>
              <w:right w:val="single" w:sz="4" w:space="0" w:color="auto"/>
            </w:tcBorders>
            <w:shd w:val="clear" w:color="auto" w:fill="auto"/>
            <w:noWrap/>
            <w:vAlign w:val="bottom"/>
            <w:hideMark/>
          </w:tcPr>
          <w:p w14:paraId="32B57EEB" w14:textId="77777777" w:rsidR="00184B6B" w:rsidRPr="00184B6B" w:rsidRDefault="00184B6B" w:rsidP="00184B6B">
            <w:pPr>
              <w:spacing w:line="240" w:lineRule="auto"/>
              <w:ind w:firstLine="0"/>
              <w:rPr>
                <w:sz w:val="14"/>
                <w:szCs w:val="16"/>
              </w:rPr>
            </w:pPr>
            <w:r w:rsidRPr="00184B6B">
              <w:rPr>
                <w:sz w:val="14"/>
                <w:szCs w:val="16"/>
              </w:rPr>
              <w:t>0.071</w:t>
            </w:r>
          </w:p>
        </w:tc>
      </w:tr>
      <w:tr w:rsidR="00184B6B" w:rsidRPr="00184B6B" w14:paraId="02DB26A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DCAED78"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D05061D"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64C8413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717A4A58" w14:textId="77777777" w:rsidR="00184B6B" w:rsidRPr="00184B6B" w:rsidRDefault="00184B6B" w:rsidP="00184B6B">
            <w:pPr>
              <w:spacing w:line="240" w:lineRule="auto"/>
              <w:ind w:firstLine="0"/>
              <w:rPr>
                <w:sz w:val="14"/>
                <w:szCs w:val="16"/>
              </w:rPr>
            </w:pPr>
            <w:r w:rsidRPr="00184B6B">
              <w:rPr>
                <w:sz w:val="14"/>
                <w:szCs w:val="16"/>
              </w:rPr>
              <w:t>(0.072)</w:t>
            </w:r>
          </w:p>
        </w:tc>
        <w:tc>
          <w:tcPr>
            <w:tcW w:w="462" w:type="pct"/>
            <w:tcBorders>
              <w:top w:val="nil"/>
              <w:left w:val="nil"/>
              <w:bottom w:val="nil"/>
              <w:right w:val="single" w:sz="4" w:space="0" w:color="auto"/>
            </w:tcBorders>
            <w:shd w:val="clear" w:color="auto" w:fill="auto"/>
            <w:noWrap/>
            <w:vAlign w:val="bottom"/>
            <w:hideMark/>
          </w:tcPr>
          <w:p w14:paraId="7B8305BB" w14:textId="77777777" w:rsidR="00184B6B" w:rsidRPr="00184B6B" w:rsidRDefault="00184B6B" w:rsidP="00184B6B">
            <w:pPr>
              <w:spacing w:line="240" w:lineRule="auto"/>
              <w:ind w:firstLine="0"/>
              <w:rPr>
                <w:sz w:val="14"/>
                <w:szCs w:val="16"/>
              </w:rPr>
            </w:pPr>
            <w:r w:rsidRPr="00184B6B">
              <w:rPr>
                <w:sz w:val="14"/>
                <w:szCs w:val="16"/>
              </w:rPr>
              <w:t>(0.073)</w:t>
            </w:r>
          </w:p>
        </w:tc>
        <w:tc>
          <w:tcPr>
            <w:tcW w:w="462" w:type="pct"/>
            <w:tcBorders>
              <w:top w:val="nil"/>
              <w:left w:val="single" w:sz="4" w:space="0" w:color="auto"/>
              <w:bottom w:val="nil"/>
              <w:right w:val="nil"/>
            </w:tcBorders>
            <w:shd w:val="clear" w:color="auto" w:fill="auto"/>
            <w:noWrap/>
            <w:vAlign w:val="bottom"/>
            <w:hideMark/>
          </w:tcPr>
          <w:p w14:paraId="6C7FC932"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7D568383"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7B003EA2" w14:textId="77777777" w:rsidR="00184B6B" w:rsidRPr="00184B6B" w:rsidRDefault="00184B6B" w:rsidP="00184B6B">
            <w:pPr>
              <w:spacing w:line="240" w:lineRule="auto"/>
              <w:ind w:firstLine="0"/>
              <w:rPr>
                <w:sz w:val="14"/>
                <w:szCs w:val="16"/>
              </w:rPr>
            </w:pPr>
            <w:r w:rsidRPr="00184B6B">
              <w:rPr>
                <w:sz w:val="14"/>
                <w:szCs w:val="16"/>
              </w:rPr>
              <w:t>(0.063)</w:t>
            </w:r>
          </w:p>
        </w:tc>
        <w:tc>
          <w:tcPr>
            <w:tcW w:w="459" w:type="pct"/>
            <w:tcBorders>
              <w:top w:val="nil"/>
              <w:left w:val="nil"/>
              <w:bottom w:val="nil"/>
              <w:right w:val="single" w:sz="4" w:space="0" w:color="auto"/>
            </w:tcBorders>
            <w:shd w:val="clear" w:color="auto" w:fill="auto"/>
            <w:noWrap/>
            <w:vAlign w:val="bottom"/>
            <w:hideMark/>
          </w:tcPr>
          <w:p w14:paraId="536FCB68" w14:textId="77777777" w:rsidR="00184B6B" w:rsidRPr="00184B6B" w:rsidRDefault="00184B6B" w:rsidP="00184B6B">
            <w:pPr>
              <w:spacing w:line="240" w:lineRule="auto"/>
              <w:ind w:firstLine="0"/>
              <w:rPr>
                <w:sz w:val="14"/>
                <w:szCs w:val="16"/>
              </w:rPr>
            </w:pPr>
            <w:r w:rsidRPr="00184B6B">
              <w:rPr>
                <w:sz w:val="14"/>
                <w:szCs w:val="16"/>
              </w:rPr>
              <w:t>(0.064)</w:t>
            </w:r>
          </w:p>
        </w:tc>
      </w:tr>
      <w:tr w:rsidR="00184B6B" w:rsidRPr="00184B6B" w14:paraId="18E986F2"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C67A925" w14:textId="77777777" w:rsidR="00184B6B" w:rsidRPr="00184B6B" w:rsidRDefault="00184B6B" w:rsidP="00184B6B">
            <w:pPr>
              <w:spacing w:line="240" w:lineRule="auto"/>
              <w:ind w:firstLine="0"/>
              <w:jc w:val="left"/>
              <w:rPr>
                <w:sz w:val="14"/>
                <w:szCs w:val="16"/>
              </w:rPr>
            </w:pPr>
            <w:r w:rsidRPr="00184B6B">
              <w:rPr>
                <w:sz w:val="14"/>
                <w:szCs w:val="16"/>
              </w:rPr>
              <w:t>Intentions to move (non-EU)</w:t>
            </w:r>
          </w:p>
        </w:tc>
        <w:tc>
          <w:tcPr>
            <w:tcW w:w="462" w:type="pct"/>
            <w:tcBorders>
              <w:top w:val="nil"/>
              <w:left w:val="single" w:sz="4" w:space="0" w:color="auto"/>
              <w:bottom w:val="nil"/>
              <w:right w:val="nil"/>
            </w:tcBorders>
            <w:shd w:val="clear" w:color="auto" w:fill="auto"/>
            <w:noWrap/>
            <w:vAlign w:val="bottom"/>
            <w:hideMark/>
          </w:tcPr>
          <w:p w14:paraId="1FD0B24F" w14:textId="77777777" w:rsidR="00184B6B" w:rsidRPr="00184B6B" w:rsidRDefault="00184B6B" w:rsidP="00184B6B">
            <w:pPr>
              <w:spacing w:line="240" w:lineRule="auto"/>
              <w:ind w:firstLine="0"/>
              <w:rPr>
                <w:sz w:val="14"/>
                <w:szCs w:val="16"/>
              </w:rPr>
            </w:pPr>
            <w:r w:rsidRPr="00184B6B">
              <w:rPr>
                <w:sz w:val="14"/>
                <w:szCs w:val="16"/>
              </w:rPr>
              <w:t>0.141**</w:t>
            </w:r>
          </w:p>
        </w:tc>
        <w:tc>
          <w:tcPr>
            <w:tcW w:w="462" w:type="pct"/>
            <w:tcBorders>
              <w:top w:val="nil"/>
              <w:left w:val="nil"/>
              <w:bottom w:val="nil"/>
              <w:right w:val="nil"/>
            </w:tcBorders>
            <w:shd w:val="clear" w:color="auto" w:fill="auto"/>
            <w:noWrap/>
            <w:vAlign w:val="bottom"/>
            <w:hideMark/>
          </w:tcPr>
          <w:p w14:paraId="24553E38"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7540A2B0"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4BAE2A8E" w14:textId="77777777" w:rsidR="00184B6B" w:rsidRPr="00184B6B" w:rsidRDefault="00184B6B" w:rsidP="00184B6B">
            <w:pPr>
              <w:spacing w:line="240" w:lineRule="auto"/>
              <w:ind w:firstLine="0"/>
              <w:rPr>
                <w:sz w:val="14"/>
                <w:szCs w:val="16"/>
              </w:rPr>
            </w:pPr>
            <w:r w:rsidRPr="00184B6B">
              <w:rPr>
                <w:sz w:val="14"/>
                <w:szCs w:val="16"/>
              </w:rPr>
              <w:t>0.137**</w:t>
            </w:r>
          </w:p>
        </w:tc>
        <w:tc>
          <w:tcPr>
            <w:tcW w:w="462" w:type="pct"/>
            <w:tcBorders>
              <w:top w:val="nil"/>
              <w:left w:val="single" w:sz="4" w:space="0" w:color="auto"/>
              <w:bottom w:val="nil"/>
              <w:right w:val="nil"/>
            </w:tcBorders>
            <w:shd w:val="clear" w:color="auto" w:fill="auto"/>
            <w:noWrap/>
            <w:vAlign w:val="bottom"/>
            <w:hideMark/>
          </w:tcPr>
          <w:p w14:paraId="73A363B9" w14:textId="77777777" w:rsidR="00184B6B" w:rsidRPr="00184B6B" w:rsidRDefault="00184B6B" w:rsidP="00184B6B">
            <w:pPr>
              <w:spacing w:line="240" w:lineRule="auto"/>
              <w:ind w:firstLine="0"/>
              <w:rPr>
                <w:sz w:val="14"/>
                <w:szCs w:val="16"/>
              </w:rPr>
            </w:pPr>
            <w:r w:rsidRPr="00184B6B">
              <w:rPr>
                <w:sz w:val="14"/>
                <w:szCs w:val="16"/>
              </w:rPr>
              <w:t>0.129***</w:t>
            </w:r>
          </w:p>
        </w:tc>
        <w:tc>
          <w:tcPr>
            <w:tcW w:w="462" w:type="pct"/>
            <w:tcBorders>
              <w:top w:val="nil"/>
              <w:left w:val="nil"/>
              <w:bottom w:val="nil"/>
              <w:right w:val="nil"/>
            </w:tcBorders>
            <w:shd w:val="clear" w:color="auto" w:fill="auto"/>
            <w:noWrap/>
            <w:vAlign w:val="bottom"/>
            <w:hideMark/>
          </w:tcPr>
          <w:p w14:paraId="5E359DC0"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49F1BE2B"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5A195548" w14:textId="77777777" w:rsidR="00184B6B" w:rsidRPr="00184B6B" w:rsidRDefault="00184B6B" w:rsidP="00184B6B">
            <w:pPr>
              <w:spacing w:line="240" w:lineRule="auto"/>
              <w:ind w:firstLine="0"/>
              <w:rPr>
                <w:sz w:val="14"/>
                <w:szCs w:val="16"/>
              </w:rPr>
            </w:pPr>
            <w:r w:rsidRPr="00184B6B">
              <w:rPr>
                <w:sz w:val="14"/>
                <w:szCs w:val="16"/>
              </w:rPr>
              <w:t>0.136***</w:t>
            </w:r>
          </w:p>
        </w:tc>
      </w:tr>
      <w:tr w:rsidR="00184B6B" w:rsidRPr="00184B6B" w14:paraId="794ACE74"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51EAB8F2"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34C5FD3F" w14:textId="77777777" w:rsidR="00184B6B" w:rsidRPr="00184B6B" w:rsidRDefault="00184B6B" w:rsidP="00184B6B">
            <w:pPr>
              <w:spacing w:line="240" w:lineRule="auto"/>
              <w:ind w:firstLine="0"/>
              <w:rPr>
                <w:sz w:val="14"/>
                <w:szCs w:val="16"/>
              </w:rPr>
            </w:pPr>
            <w:r w:rsidRPr="00184B6B">
              <w:rPr>
                <w:sz w:val="14"/>
                <w:szCs w:val="16"/>
              </w:rPr>
              <w:t>(0.063)</w:t>
            </w:r>
          </w:p>
        </w:tc>
        <w:tc>
          <w:tcPr>
            <w:tcW w:w="462" w:type="pct"/>
            <w:tcBorders>
              <w:top w:val="nil"/>
              <w:left w:val="nil"/>
              <w:bottom w:val="nil"/>
              <w:right w:val="nil"/>
            </w:tcBorders>
            <w:shd w:val="clear" w:color="auto" w:fill="auto"/>
            <w:noWrap/>
            <w:vAlign w:val="bottom"/>
            <w:hideMark/>
          </w:tcPr>
          <w:p w14:paraId="2A9131DB"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1F325B7A"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69EC24A5" w14:textId="77777777" w:rsidR="00184B6B" w:rsidRPr="00184B6B" w:rsidRDefault="00184B6B" w:rsidP="00184B6B">
            <w:pPr>
              <w:spacing w:line="240" w:lineRule="auto"/>
              <w:ind w:firstLine="0"/>
              <w:rPr>
                <w:sz w:val="14"/>
                <w:szCs w:val="16"/>
              </w:rPr>
            </w:pPr>
            <w:r w:rsidRPr="00184B6B">
              <w:rPr>
                <w:sz w:val="14"/>
                <w:szCs w:val="16"/>
              </w:rPr>
              <w:t>(0.063)</w:t>
            </w:r>
          </w:p>
        </w:tc>
        <w:tc>
          <w:tcPr>
            <w:tcW w:w="462" w:type="pct"/>
            <w:tcBorders>
              <w:top w:val="nil"/>
              <w:left w:val="single" w:sz="4" w:space="0" w:color="auto"/>
              <w:bottom w:val="nil"/>
              <w:right w:val="nil"/>
            </w:tcBorders>
            <w:shd w:val="clear" w:color="auto" w:fill="auto"/>
            <w:noWrap/>
            <w:vAlign w:val="bottom"/>
            <w:hideMark/>
          </w:tcPr>
          <w:p w14:paraId="2346B92A" w14:textId="77777777" w:rsidR="00184B6B" w:rsidRPr="00184B6B" w:rsidRDefault="00184B6B" w:rsidP="00184B6B">
            <w:pPr>
              <w:spacing w:line="240" w:lineRule="auto"/>
              <w:ind w:firstLine="0"/>
              <w:rPr>
                <w:sz w:val="14"/>
                <w:szCs w:val="16"/>
              </w:rPr>
            </w:pPr>
            <w:r w:rsidRPr="00184B6B">
              <w:rPr>
                <w:sz w:val="14"/>
                <w:szCs w:val="16"/>
              </w:rPr>
              <w:t>(0.047)</w:t>
            </w:r>
          </w:p>
        </w:tc>
        <w:tc>
          <w:tcPr>
            <w:tcW w:w="462" w:type="pct"/>
            <w:tcBorders>
              <w:top w:val="nil"/>
              <w:left w:val="nil"/>
              <w:bottom w:val="nil"/>
              <w:right w:val="nil"/>
            </w:tcBorders>
            <w:shd w:val="clear" w:color="auto" w:fill="auto"/>
            <w:noWrap/>
            <w:vAlign w:val="bottom"/>
            <w:hideMark/>
          </w:tcPr>
          <w:p w14:paraId="6B3A5752"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3834E78A"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60A3719F" w14:textId="77777777" w:rsidR="00184B6B" w:rsidRPr="00184B6B" w:rsidRDefault="00184B6B" w:rsidP="00184B6B">
            <w:pPr>
              <w:spacing w:line="240" w:lineRule="auto"/>
              <w:ind w:firstLine="0"/>
              <w:rPr>
                <w:sz w:val="14"/>
                <w:szCs w:val="16"/>
              </w:rPr>
            </w:pPr>
            <w:r w:rsidRPr="00184B6B">
              <w:rPr>
                <w:sz w:val="14"/>
                <w:szCs w:val="16"/>
              </w:rPr>
              <w:t>(0.047)</w:t>
            </w:r>
          </w:p>
        </w:tc>
      </w:tr>
      <w:tr w:rsidR="00184B6B" w:rsidRPr="00184B6B" w14:paraId="1CAA5AB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5DF3559" w14:textId="77777777" w:rsidR="00184B6B" w:rsidRPr="00184B6B" w:rsidRDefault="00184B6B" w:rsidP="00184B6B">
            <w:pPr>
              <w:spacing w:line="240" w:lineRule="auto"/>
              <w:ind w:firstLine="0"/>
              <w:jc w:val="left"/>
              <w:rPr>
                <w:sz w:val="14"/>
                <w:szCs w:val="16"/>
              </w:rPr>
            </w:pPr>
            <w:r w:rsidRPr="00184B6B">
              <w:rPr>
                <w:sz w:val="14"/>
                <w:szCs w:val="16"/>
              </w:rPr>
              <w:t>Relatives abroad (non-EU)</w:t>
            </w:r>
          </w:p>
        </w:tc>
        <w:tc>
          <w:tcPr>
            <w:tcW w:w="462" w:type="pct"/>
            <w:tcBorders>
              <w:top w:val="nil"/>
              <w:left w:val="single" w:sz="4" w:space="0" w:color="auto"/>
              <w:bottom w:val="nil"/>
              <w:right w:val="nil"/>
            </w:tcBorders>
            <w:shd w:val="clear" w:color="auto" w:fill="auto"/>
            <w:noWrap/>
            <w:vAlign w:val="bottom"/>
            <w:hideMark/>
          </w:tcPr>
          <w:p w14:paraId="1F0E5EE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55B1637" w14:textId="77777777" w:rsidR="00184B6B" w:rsidRPr="00184B6B" w:rsidRDefault="00184B6B" w:rsidP="00184B6B">
            <w:pPr>
              <w:spacing w:line="240" w:lineRule="auto"/>
              <w:ind w:firstLine="0"/>
              <w:rPr>
                <w:sz w:val="14"/>
                <w:szCs w:val="16"/>
              </w:rPr>
            </w:pPr>
            <w:r w:rsidRPr="00184B6B">
              <w:rPr>
                <w:sz w:val="14"/>
                <w:szCs w:val="16"/>
              </w:rPr>
              <w:t>0.041</w:t>
            </w:r>
          </w:p>
        </w:tc>
        <w:tc>
          <w:tcPr>
            <w:tcW w:w="462" w:type="pct"/>
            <w:tcBorders>
              <w:top w:val="nil"/>
              <w:left w:val="nil"/>
              <w:bottom w:val="nil"/>
              <w:right w:val="nil"/>
            </w:tcBorders>
            <w:shd w:val="clear" w:color="auto" w:fill="auto"/>
            <w:noWrap/>
            <w:vAlign w:val="bottom"/>
            <w:hideMark/>
          </w:tcPr>
          <w:p w14:paraId="126FF71A"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6C675FFB" w14:textId="77777777" w:rsidR="00184B6B" w:rsidRPr="00184B6B" w:rsidRDefault="00184B6B" w:rsidP="00184B6B">
            <w:pPr>
              <w:spacing w:line="240" w:lineRule="auto"/>
              <w:ind w:firstLine="0"/>
              <w:rPr>
                <w:sz w:val="14"/>
                <w:szCs w:val="16"/>
              </w:rPr>
            </w:pPr>
            <w:r w:rsidRPr="00184B6B">
              <w:rPr>
                <w:sz w:val="14"/>
                <w:szCs w:val="16"/>
              </w:rPr>
              <w:t>0.036</w:t>
            </w:r>
          </w:p>
        </w:tc>
        <w:tc>
          <w:tcPr>
            <w:tcW w:w="462" w:type="pct"/>
            <w:tcBorders>
              <w:top w:val="nil"/>
              <w:left w:val="single" w:sz="4" w:space="0" w:color="auto"/>
              <w:bottom w:val="nil"/>
              <w:right w:val="nil"/>
            </w:tcBorders>
            <w:shd w:val="clear" w:color="auto" w:fill="auto"/>
            <w:noWrap/>
            <w:vAlign w:val="bottom"/>
            <w:hideMark/>
          </w:tcPr>
          <w:p w14:paraId="54DA2195"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4F4745A4" w14:textId="77777777" w:rsidR="00184B6B" w:rsidRPr="00184B6B" w:rsidRDefault="00184B6B" w:rsidP="00184B6B">
            <w:pPr>
              <w:spacing w:line="240" w:lineRule="auto"/>
              <w:ind w:firstLine="0"/>
              <w:rPr>
                <w:sz w:val="14"/>
                <w:szCs w:val="16"/>
              </w:rPr>
            </w:pPr>
            <w:r w:rsidRPr="00184B6B">
              <w:rPr>
                <w:sz w:val="14"/>
                <w:szCs w:val="16"/>
              </w:rPr>
              <w:t>-0.050</w:t>
            </w:r>
          </w:p>
        </w:tc>
        <w:tc>
          <w:tcPr>
            <w:tcW w:w="462" w:type="pct"/>
            <w:tcBorders>
              <w:top w:val="nil"/>
              <w:left w:val="nil"/>
              <w:bottom w:val="nil"/>
              <w:right w:val="nil"/>
            </w:tcBorders>
            <w:shd w:val="clear" w:color="auto" w:fill="auto"/>
            <w:noWrap/>
            <w:vAlign w:val="bottom"/>
            <w:hideMark/>
          </w:tcPr>
          <w:p w14:paraId="7C478FB9"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6061A2AB" w14:textId="77777777" w:rsidR="00184B6B" w:rsidRPr="00184B6B" w:rsidRDefault="00184B6B" w:rsidP="00184B6B">
            <w:pPr>
              <w:spacing w:line="240" w:lineRule="auto"/>
              <w:ind w:firstLine="0"/>
              <w:rPr>
                <w:sz w:val="14"/>
                <w:szCs w:val="16"/>
              </w:rPr>
            </w:pPr>
            <w:r w:rsidRPr="00184B6B">
              <w:rPr>
                <w:sz w:val="14"/>
                <w:szCs w:val="16"/>
              </w:rPr>
              <w:t>-0.056</w:t>
            </w:r>
          </w:p>
        </w:tc>
      </w:tr>
      <w:tr w:rsidR="00184B6B" w:rsidRPr="00184B6B" w14:paraId="4B9BD77D"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E668A66"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4ED8512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5BAF41A7" w14:textId="77777777" w:rsidR="00184B6B" w:rsidRPr="00184B6B" w:rsidRDefault="00184B6B" w:rsidP="00184B6B">
            <w:pPr>
              <w:spacing w:line="240" w:lineRule="auto"/>
              <w:ind w:firstLine="0"/>
              <w:rPr>
                <w:sz w:val="14"/>
                <w:szCs w:val="16"/>
              </w:rPr>
            </w:pPr>
            <w:r w:rsidRPr="00184B6B">
              <w:rPr>
                <w:sz w:val="14"/>
                <w:szCs w:val="16"/>
              </w:rPr>
              <w:t>(0.051)</w:t>
            </w:r>
          </w:p>
        </w:tc>
        <w:tc>
          <w:tcPr>
            <w:tcW w:w="462" w:type="pct"/>
            <w:tcBorders>
              <w:top w:val="nil"/>
              <w:left w:val="nil"/>
              <w:bottom w:val="nil"/>
              <w:right w:val="nil"/>
            </w:tcBorders>
            <w:shd w:val="clear" w:color="auto" w:fill="auto"/>
            <w:noWrap/>
            <w:vAlign w:val="bottom"/>
            <w:hideMark/>
          </w:tcPr>
          <w:p w14:paraId="6D768BB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77DBDD53" w14:textId="77777777" w:rsidR="00184B6B" w:rsidRPr="00184B6B" w:rsidRDefault="00184B6B" w:rsidP="00184B6B">
            <w:pPr>
              <w:spacing w:line="240" w:lineRule="auto"/>
              <w:ind w:firstLine="0"/>
              <w:rPr>
                <w:sz w:val="14"/>
                <w:szCs w:val="16"/>
              </w:rPr>
            </w:pPr>
            <w:r w:rsidRPr="00184B6B">
              <w:rPr>
                <w:sz w:val="14"/>
                <w:szCs w:val="16"/>
              </w:rPr>
              <w:t>(0.052)</w:t>
            </w:r>
          </w:p>
        </w:tc>
        <w:tc>
          <w:tcPr>
            <w:tcW w:w="462" w:type="pct"/>
            <w:tcBorders>
              <w:top w:val="nil"/>
              <w:left w:val="single" w:sz="4" w:space="0" w:color="auto"/>
              <w:bottom w:val="nil"/>
              <w:right w:val="nil"/>
            </w:tcBorders>
            <w:shd w:val="clear" w:color="auto" w:fill="auto"/>
            <w:noWrap/>
            <w:vAlign w:val="bottom"/>
            <w:hideMark/>
          </w:tcPr>
          <w:p w14:paraId="48C6A92C"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854C5BE" w14:textId="77777777" w:rsidR="00184B6B" w:rsidRPr="00184B6B" w:rsidRDefault="00184B6B" w:rsidP="00184B6B">
            <w:pPr>
              <w:spacing w:line="240" w:lineRule="auto"/>
              <w:ind w:firstLine="0"/>
              <w:rPr>
                <w:sz w:val="14"/>
                <w:szCs w:val="16"/>
              </w:rPr>
            </w:pPr>
            <w:r w:rsidRPr="00184B6B">
              <w:rPr>
                <w:sz w:val="14"/>
                <w:szCs w:val="16"/>
              </w:rPr>
              <w:t>(0.038)</w:t>
            </w:r>
          </w:p>
        </w:tc>
        <w:tc>
          <w:tcPr>
            <w:tcW w:w="462" w:type="pct"/>
            <w:tcBorders>
              <w:top w:val="nil"/>
              <w:left w:val="nil"/>
              <w:bottom w:val="nil"/>
              <w:right w:val="nil"/>
            </w:tcBorders>
            <w:shd w:val="clear" w:color="auto" w:fill="auto"/>
            <w:noWrap/>
            <w:vAlign w:val="bottom"/>
            <w:hideMark/>
          </w:tcPr>
          <w:p w14:paraId="3732CBD0"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32C1B079" w14:textId="77777777" w:rsidR="00184B6B" w:rsidRPr="00184B6B" w:rsidRDefault="00184B6B" w:rsidP="00184B6B">
            <w:pPr>
              <w:spacing w:line="240" w:lineRule="auto"/>
              <w:ind w:firstLine="0"/>
              <w:rPr>
                <w:sz w:val="14"/>
                <w:szCs w:val="16"/>
              </w:rPr>
            </w:pPr>
            <w:r w:rsidRPr="00184B6B">
              <w:rPr>
                <w:sz w:val="14"/>
                <w:szCs w:val="16"/>
              </w:rPr>
              <w:t>(0.039)</w:t>
            </w:r>
          </w:p>
        </w:tc>
      </w:tr>
      <w:tr w:rsidR="00184B6B" w:rsidRPr="00184B6B" w14:paraId="0DD000E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4A6C5D4" w14:textId="77777777" w:rsidR="00184B6B" w:rsidRPr="00184B6B" w:rsidRDefault="00184B6B" w:rsidP="00184B6B">
            <w:pPr>
              <w:spacing w:line="240" w:lineRule="auto"/>
              <w:ind w:firstLine="0"/>
              <w:jc w:val="left"/>
              <w:rPr>
                <w:sz w:val="14"/>
                <w:szCs w:val="16"/>
              </w:rPr>
            </w:pPr>
            <w:r w:rsidRPr="00184B6B">
              <w:rPr>
                <w:sz w:val="14"/>
                <w:szCs w:val="16"/>
              </w:rPr>
              <w:t>Return migrant (non-EU)</w:t>
            </w:r>
          </w:p>
        </w:tc>
        <w:tc>
          <w:tcPr>
            <w:tcW w:w="462" w:type="pct"/>
            <w:tcBorders>
              <w:top w:val="nil"/>
              <w:left w:val="single" w:sz="4" w:space="0" w:color="auto"/>
              <w:bottom w:val="nil"/>
              <w:right w:val="nil"/>
            </w:tcBorders>
            <w:shd w:val="clear" w:color="auto" w:fill="auto"/>
            <w:noWrap/>
            <w:vAlign w:val="bottom"/>
            <w:hideMark/>
          </w:tcPr>
          <w:p w14:paraId="7D0033AC"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BCB4FA3"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11BAE753" w14:textId="77777777" w:rsidR="00184B6B" w:rsidRPr="00184B6B" w:rsidRDefault="00184B6B" w:rsidP="00184B6B">
            <w:pPr>
              <w:spacing w:line="240" w:lineRule="auto"/>
              <w:ind w:firstLine="0"/>
              <w:rPr>
                <w:sz w:val="14"/>
                <w:szCs w:val="16"/>
              </w:rPr>
            </w:pPr>
            <w:r w:rsidRPr="00184B6B">
              <w:rPr>
                <w:sz w:val="14"/>
                <w:szCs w:val="16"/>
              </w:rPr>
              <w:t>-0.094</w:t>
            </w:r>
          </w:p>
        </w:tc>
        <w:tc>
          <w:tcPr>
            <w:tcW w:w="462" w:type="pct"/>
            <w:tcBorders>
              <w:top w:val="nil"/>
              <w:left w:val="nil"/>
              <w:bottom w:val="nil"/>
              <w:right w:val="single" w:sz="4" w:space="0" w:color="auto"/>
            </w:tcBorders>
            <w:shd w:val="clear" w:color="auto" w:fill="auto"/>
            <w:noWrap/>
            <w:vAlign w:val="bottom"/>
            <w:hideMark/>
          </w:tcPr>
          <w:p w14:paraId="4A491D17" w14:textId="77777777" w:rsidR="00184B6B" w:rsidRPr="00184B6B" w:rsidRDefault="00184B6B" w:rsidP="00184B6B">
            <w:pPr>
              <w:spacing w:line="240" w:lineRule="auto"/>
              <w:ind w:firstLine="0"/>
              <w:rPr>
                <w:sz w:val="14"/>
                <w:szCs w:val="16"/>
              </w:rPr>
            </w:pPr>
            <w:r w:rsidRPr="00184B6B">
              <w:rPr>
                <w:sz w:val="14"/>
                <w:szCs w:val="16"/>
              </w:rPr>
              <w:t>-0.115</w:t>
            </w:r>
          </w:p>
        </w:tc>
        <w:tc>
          <w:tcPr>
            <w:tcW w:w="462" w:type="pct"/>
            <w:tcBorders>
              <w:top w:val="nil"/>
              <w:left w:val="single" w:sz="4" w:space="0" w:color="auto"/>
              <w:bottom w:val="nil"/>
              <w:right w:val="nil"/>
            </w:tcBorders>
            <w:shd w:val="clear" w:color="auto" w:fill="auto"/>
            <w:noWrap/>
            <w:vAlign w:val="bottom"/>
            <w:hideMark/>
          </w:tcPr>
          <w:p w14:paraId="71EDCF33"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4B32BB2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7443C407" w14:textId="77777777" w:rsidR="00184B6B" w:rsidRPr="00184B6B" w:rsidRDefault="00184B6B" w:rsidP="00184B6B">
            <w:pPr>
              <w:spacing w:line="240" w:lineRule="auto"/>
              <w:ind w:firstLine="0"/>
              <w:rPr>
                <w:sz w:val="14"/>
                <w:szCs w:val="16"/>
              </w:rPr>
            </w:pPr>
            <w:r w:rsidRPr="00184B6B">
              <w:rPr>
                <w:sz w:val="14"/>
                <w:szCs w:val="16"/>
              </w:rPr>
              <w:t>-0.069</w:t>
            </w:r>
          </w:p>
        </w:tc>
        <w:tc>
          <w:tcPr>
            <w:tcW w:w="459" w:type="pct"/>
            <w:tcBorders>
              <w:top w:val="nil"/>
              <w:left w:val="nil"/>
              <w:bottom w:val="nil"/>
              <w:right w:val="single" w:sz="4" w:space="0" w:color="auto"/>
            </w:tcBorders>
            <w:shd w:val="clear" w:color="auto" w:fill="auto"/>
            <w:noWrap/>
            <w:vAlign w:val="bottom"/>
            <w:hideMark/>
          </w:tcPr>
          <w:p w14:paraId="66C42518" w14:textId="77777777" w:rsidR="00184B6B" w:rsidRPr="00184B6B" w:rsidRDefault="00184B6B" w:rsidP="00184B6B">
            <w:pPr>
              <w:spacing w:line="240" w:lineRule="auto"/>
              <w:ind w:firstLine="0"/>
              <w:rPr>
                <w:sz w:val="14"/>
                <w:szCs w:val="16"/>
              </w:rPr>
            </w:pPr>
            <w:r w:rsidRPr="00184B6B">
              <w:rPr>
                <w:sz w:val="14"/>
                <w:szCs w:val="16"/>
              </w:rPr>
              <w:t>-0.077</w:t>
            </w:r>
          </w:p>
        </w:tc>
      </w:tr>
      <w:tr w:rsidR="00184B6B" w:rsidRPr="00184B6B" w14:paraId="038054D3"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FC083EC"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791F04B"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54BC34F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534847F6" w14:textId="77777777" w:rsidR="00184B6B" w:rsidRPr="00184B6B" w:rsidRDefault="00184B6B" w:rsidP="00184B6B">
            <w:pPr>
              <w:spacing w:line="240" w:lineRule="auto"/>
              <w:ind w:firstLine="0"/>
              <w:rPr>
                <w:sz w:val="14"/>
                <w:szCs w:val="16"/>
              </w:rPr>
            </w:pPr>
            <w:r w:rsidRPr="00184B6B">
              <w:rPr>
                <w:sz w:val="14"/>
                <w:szCs w:val="16"/>
              </w:rPr>
              <w:t>(0.092)</w:t>
            </w:r>
          </w:p>
        </w:tc>
        <w:tc>
          <w:tcPr>
            <w:tcW w:w="462" w:type="pct"/>
            <w:tcBorders>
              <w:top w:val="nil"/>
              <w:left w:val="nil"/>
              <w:bottom w:val="nil"/>
              <w:right w:val="single" w:sz="4" w:space="0" w:color="auto"/>
            </w:tcBorders>
            <w:shd w:val="clear" w:color="auto" w:fill="auto"/>
            <w:noWrap/>
            <w:vAlign w:val="bottom"/>
            <w:hideMark/>
          </w:tcPr>
          <w:p w14:paraId="16FD819C" w14:textId="77777777" w:rsidR="00184B6B" w:rsidRPr="00184B6B" w:rsidRDefault="00184B6B" w:rsidP="00184B6B">
            <w:pPr>
              <w:spacing w:line="240" w:lineRule="auto"/>
              <w:ind w:firstLine="0"/>
              <w:rPr>
                <w:sz w:val="14"/>
                <w:szCs w:val="16"/>
              </w:rPr>
            </w:pPr>
            <w:r w:rsidRPr="00184B6B">
              <w:rPr>
                <w:sz w:val="14"/>
                <w:szCs w:val="16"/>
              </w:rPr>
              <w:t>(0.092)</w:t>
            </w:r>
          </w:p>
        </w:tc>
        <w:tc>
          <w:tcPr>
            <w:tcW w:w="462" w:type="pct"/>
            <w:tcBorders>
              <w:top w:val="nil"/>
              <w:left w:val="single" w:sz="4" w:space="0" w:color="auto"/>
              <w:bottom w:val="nil"/>
              <w:right w:val="nil"/>
            </w:tcBorders>
            <w:shd w:val="clear" w:color="auto" w:fill="auto"/>
            <w:noWrap/>
            <w:vAlign w:val="bottom"/>
            <w:hideMark/>
          </w:tcPr>
          <w:p w14:paraId="1661FDF7"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48589A5D"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A26AD04" w14:textId="77777777" w:rsidR="00184B6B" w:rsidRPr="00184B6B" w:rsidRDefault="00184B6B" w:rsidP="00184B6B">
            <w:pPr>
              <w:spacing w:line="240" w:lineRule="auto"/>
              <w:ind w:firstLine="0"/>
              <w:rPr>
                <w:sz w:val="14"/>
                <w:szCs w:val="16"/>
              </w:rPr>
            </w:pPr>
            <w:r w:rsidRPr="00184B6B">
              <w:rPr>
                <w:sz w:val="14"/>
                <w:szCs w:val="16"/>
              </w:rPr>
              <w:t>(0.067)</w:t>
            </w:r>
          </w:p>
        </w:tc>
        <w:tc>
          <w:tcPr>
            <w:tcW w:w="459" w:type="pct"/>
            <w:tcBorders>
              <w:top w:val="nil"/>
              <w:left w:val="nil"/>
              <w:bottom w:val="nil"/>
              <w:right w:val="single" w:sz="4" w:space="0" w:color="auto"/>
            </w:tcBorders>
            <w:shd w:val="clear" w:color="auto" w:fill="auto"/>
            <w:noWrap/>
            <w:vAlign w:val="bottom"/>
            <w:hideMark/>
          </w:tcPr>
          <w:p w14:paraId="08C83405" w14:textId="77777777" w:rsidR="00184B6B" w:rsidRPr="00184B6B" w:rsidRDefault="00184B6B" w:rsidP="00184B6B">
            <w:pPr>
              <w:spacing w:line="240" w:lineRule="auto"/>
              <w:ind w:firstLine="0"/>
              <w:rPr>
                <w:sz w:val="14"/>
                <w:szCs w:val="16"/>
              </w:rPr>
            </w:pPr>
            <w:r w:rsidRPr="00184B6B">
              <w:rPr>
                <w:sz w:val="14"/>
                <w:szCs w:val="16"/>
              </w:rPr>
              <w:t>(0.068)</w:t>
            </w:r>
          </w:p>
        </w:tc>
      </w:tr>
      <w:tr w:rsidR="00184B6B" w:rsidRPr="00184B6B" w14:paraId="030CD066"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D42CE2F" w14:textId="77777777" w:rsidR="00184B6B" w:rsidRPr="00184B6B" w:rsidRDefault="00184B6B" w:rsidP="00184B6B">
            <w:pPr>
              <w:spacing w:line="240" w:lineRule="auto"/>
              <w:ind w:firstLine="0"/>
              <w:jc w:val="left"/>
              <w:rPr>
                <w:sz w:val="14"/>
                <w:szCs w:val="16"/>
              </w:rPr>
            </w:pPr>
            <w:r w:rsidRPr="00184B6B">
              <w:rPr>
                <w:sz w:val="14"/>
                <w:szCs w:val="16"/>
              </w:rPr>
              <w:t>Age</w:t>
            </w:r>
          </w:p>
        </w:tc>
        <w:tc>
          <w:tcPr>
            <w:tcW w:w="462" w:type="pct"/>
            <w:tcBorders>
              <w:top w:val="nil"/>
              <w:left w:val="single" w:sz="4" w:space="0" w:color="auto"/>
              <w:bottom w:val="nil"/>
              <w:right w:val="nil"/>
            </w:tcBorders>
            <w:shd w:val="clear" w:color="auto" w:fill="auto"/>
            <w:noWrap/>
            <w:vAlign w:val="bottom"/>
            <w:hideMark/>
          </w:tcPr>
          <w:p w14:paraId="36ECCF5F"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nil"/>
              <w:bottom w:val="nil"/>
              <w:right w:val="nil"/>
            </w:tcBorders>
            <w:shd w:val="clear" w:color="auto" w:fill="auto"/>
            <w:noWrap/>
            <w:vAlign w:val="bottom"/>
            <w:hideMark/>
          </w:tcPr>
          <w:p w14:paraId="35DC3160" w14:textId="77777777" w:rsidR="00184B6B" w:rsidRPr="00184B6B" w:rsidRDefault="00184B6B" w:rsidP="00184B6B">
            <w:pPr>
              <w:spacing w:line="240" w:lineRule="auto"/>
              <w:ind w:firstLine="0"/>
              <w:rPr>
                <w:sz w:val="14"/>
                <w:szCs w:val="16"/>
              </w:rPr>
            </w:pPr>
            <w:r w:rsidRPr="00184B6B">
              <w:rPr>
                <w:sz w:val="14"/>
                <w:szCs w:val="16"/>
              </w:rPr>
              <w:t>-0.016***</w:t>
            </w:r>
          </w:p>
        </w:tc>
        <w:tc>
          <w:tcPr>
            <w:tcW w:w="462" w:type="pct"/>
            <w:tcBorders>
              <w:top w:val="nil"/>
              <w:left w:val="nil"/>
              <w:bottom w:val="nil"/>
              <w:right w:val="nil"/>
            </w:tcBorders>
            <w:shd w:val="clear" w:color="auto" w:fill="auto"/>
            <w:noWrap/>
            <w:vAlign w:val="bottom"/>
            <w:hideMark/>
          </w:tcPr>
          <w:p w14:paraId="5B5EFCC0" w14:textId="77777777" w:rsidR="00184B6B" w:rsidRPr="00184B6B" w:rsidRDefault="00184B6B" w:rsidP="00184B6B">
            <w:pPr>
              <w:spacing w:line="240" w:lineRule="auto"/>
              <w:ind w:firstLine="0"/>
              <w:rPr>
                <w:sz w:val="14"/>
                <w:szCs w:val="16"/>
              </w:rPr>
            </w:pPr>
            <w:r w:rsidRPr="00184B6B">
              <w:rPr>
                <w:sz w:val="14"/>
                <w:szCs w:val="16"/>
              </w:rPr>
              <w:t>-0.016***</w:t>
            </w:r>
          </w:p>
        </w:tc>
        <w:tc>
          <w:tcPr>
            <w:tcW w:w="462" w:type="pct"/>
            <w:tcBorders>
              <w:top w:val="nil"/>
              <w:left w:val="nil"/>
              <w:bottom w:val="nil"/>
              <w:right w:val="single" w:sz="4" w:space="0" w:color="auto"/>
            </w:tcBorders>
            <w:shd w:val="clear" w:color="auto" w:fill="auto"/>
            <w:noWrap/>
            <w:vAlign w:val="bottom"/>
            <w:hideMark/>
          </w:tcPr>
          <w:p w14:paraId="66133986"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single" w:sz="4" w:space="0" w:color="auto"/>
              <w:bottom w:val="nil"/>
              <w:right w:val="nil"/>
            </w:tcBorders>
            <w:shd w:val="clear" w:color="auto" w:fill="auto"/>
            <w:noWrap/>
            <w:vAlign w:val="bottom"/>
            <w:hideMark/>
          </w:tcPr>
          <w:p w14:paraId="0A92B97A" w14:textId="77777777" w:rsidR="00184B6B" w:rsidRPr="00184B6B" w:rsidRDefault="00184B6B" w:rsidP="00184B6B">
            <w:pPr>
              <w:spacing w:line="240" w:lineRule="auto"/>
              <w:ind w:firstLine="0"/>
              <w:rPr>
                <w:sz w:val="14"/>
                <w:szCs w:val="16"/>
              </w:rPr>
            </w:pPr>
            <w:r w:rsidRPr="00184B6B">
              <w:rPr>
                <w:sz w:val="14"/>
                <w:szCs w:val="16"/>
              </w:rPr>
              <w:t>-0.013***</w:t>
            </w:r>
          </w:p>
        </w:tc>
        <w:tc>
          <w:tcPr>
            <w:tcW w:w="462" w:type="pct"/>
            <w:tcBorders>
              <w:top w:val="nil"/>
              <w:left w:val="nil"/>
              <w:bottom w:val="nil"/>
              <w:right w:val="nil"/>
            </w:tcBorders>
            <w:shd w:val="clear" w:color="auto" w:fill="auto"/>
            <w:noWrap/>
            <w:vAlign w:val="bottom"/>
            <w:hideMark/>
          </w:tcPr>
          <w:p w14:paraId="39E23119"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nil"/>
              <w:bottom w:val="nil"/>
              <w:right w:val="nil"/>
            </w:tcBorders>
            <w:shd w:val="clear" w:color="auto" w:fill="auto"/>
            <w:noWrap/>
            <w:vAlign w:val="bottom"/>
            <w:hideMark/>
          </w:tcPr>
          <w:p w14:paraId="35825344" w14:textId="77777777" w:rsidR="00184B6B" w:rsidRPr="00184B6B" w:rsidRDefault="00184B6B" w:rsidP="00184B6B">
            <w:pPr>
              <w:spacing w:line="240" w:lineRule="auto"/>
              <w:ind w:firstLine="0"/>
              <w:rPr>
                <w:sz w:val="14"/>
                <w:szCs w:val="16"/>
              </w:rPr>
            </w:pPr>
            <w:r w:rsidRPr="00184B6B">
              <w:rPr>
                <w:sz w:val="14"/>
                <w:szCs w:val="16"/>
              </w:rPr>
              <w:t>-0.014***</w:t>
            </w:r>
          </w:p>
        </w:tc>
        <w:tc>
          <w:tcPr>
            <w:tcW w:w="459" w:type="pct"/>
            <w:tcBorders>
              <w:top w:val="nil"/>
              <w:left w:val="nil"/>
              <w:bottom w:val="nil"/>
              <w:right w:val="single" w:sz="4" w:space="0" w:color="auto"/>
            </w:tcBorders>
            <w:shd w:val="clear" w:color="auto" w:fill="auto"/>
            <w:noWrap/>
            <w:vAlign w:val="bottom"/>
            <w:hideMark/>
          </w:tcPr>
          <w:p w14:paraId="63C1209B" w14:textId="77777777" w:rsidR="00184B6B" w:rsidRPr="00184B6B" w:rsidRDefault="00184B6B" w:rsidP="00184B6B">
            <w:pPr>
              <w:spacing w:line="240" w:lineRule="auto"/>
              <w:ind w:firstLine="0"/>
              <w:rPr>
                <w:sz w:val="14"/>
                <w:szCs w:val="16"/>
              </w:rPr>
            </w:pPr>
            <w:r w:rsidRPr="00184B6B">
              <w:rPr>
                <w:sz w:val="14"/>
                <w:szCs w:val="16"/>
              </w:rPr>
              <w:t>-0.013***</w:t>
            </w:r>
          </w:p>
        </w:tc>
      </w:tr>
      <w:tr w:rsidR="00184B6B" w:rsidRPr="00184B6B" w14:paraId="59D29672"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DA396B9"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27D9FD7E" w14:textId="77777777" w:rsidR="00184B6B" w:rsidRPr="00184B6B" w:rsidRDefault="00184B6B" w:rsidP="00184B6B">
            <w:pPr>
              <w:spacing w:line="240" w:lineRule="auto"/>
              <w:ind w:firstLine="0"/>
              <w:rPr>
                <w:sz w:val="14"/>
                <w:szCs w:val="16"/>
              </w:rPr>
            </w:pPr>
            <w:r w:rsidRPr="00184B6B">
              <w:rPr>
                <w:sz w:val="14"/>
                <w:szCs w:val="16"/>
              </w:rPr>
              <w:t>(0.005)</w:t>
            </w:r>
          </w:p>
        </w:tc>
        <w:tc>
          <w:tcPr>
            <w:tcW w:w="462" w:type="pct"/>
            <w:tcBorders>
              <w:top w:val="nil"/>
              <w:left w:val="nil"/>
              <w:bottom w:val="nil"/>
              <w:right w:val="nil"/>
            </w:tcBorders>
            <w:shd w:val="clear" w:color="auto" w:fill="auto"/>
            <w:noWrap/>
            <w:vAlign w:val="bottom"/>
            <w:hideMark/>
          </w:tcPr>
          <w:p w14:paraId="70DEA3C9" w14:textId="77777777" w:rsidR="00184B6B" w:rsidRPr="00184B6B" w:rsidRDefault="00184B6B" w:rsidP="00184B6B">
            <w:pPr>
              <w:spacing w:line="240" w:lineRule="auto"/>
              <w:ind w:firstLine="0"/>
              <w:rPr>
                <w:sz w:val="14"/>
                <w:szCs w:val="16"/>
              </w:rPr>
            </w:pPr>
            <w:r w:rsidRPr="00184B6B">
              <w:rPr>
                <w:sz w:val="14"/>
                <w:szCs w:val="16"/>
              </w:rPr>
              <w:t>(0.005)</w:t>
            </w:r>
          </w:p>
        </w:tc>
        <w:tc>
          <w:tcPr>
            <w:tcW w:w="462" w:type="pct"/>
            <w:tcBorders>
              <w:top w:val="nil"/>
              <w:left w:val="nil"/>
              <w:bottom w:val="nil"/>
              <w:right w:val="nil"/>
            </w:tcBorders>
            <w:shd w:val="clear" w:color="auto" w:fill="auto"/>
            <w:noWrap/>
            <w:vAlign w:val="bottom"/>
            <w:hideMark/>
          </w:tcPr>
          <w:p w14:paraId="283E4E22" w14:textId="77777777" w:rsidR="00184B6B" w:rsidRPr="00184B6B" w:rsidRDefault="00184B6B" w:rsidP="00184B6B">
            <w:pPr>
              <w:spacing w:line="240" w:lineRule="auto"/>
              <w:ind w:firstLine="0"/>
              <w:rPr>
                <w:sz w:val="14"/>
                <w:szCs w:val="16"/>
              </w:rPr>
            </w:pPr>
            <w:r w:rsidRPr="00184B6B">
              <w:rPr>
                <w:sz w:val="14"/>
                <w:szCs w:val="16"/>
              </w:rPr>
              <w:t>(0.005)</w:t>
            </w:r>
          </w:p>
        </w:tc>
        <w:tc>
          <w:tcPr>
            <w:tcW w:w="462" w:type="pct"/>
            <w:tcBorders>
              <w:top w:val="nil"/>
              <w:left w:val="nil"/>
              <w:bottom w:val="nil"/>
              <w:right w:val="single" w:sz="4" w:space="0" w:color="auto"/>
            </w:tcBorders>
            <w:shd w:val="clear" w:color="auto" w:fill="auto"/>
            <w:noWrap/>
            <w:vAlign w:val="bottom"/>
            <w:hideMark/>
          </w:tcPr>
          <w:p w14:paraId="7948286B" w14:textId="77777777" w:rsidR="00184B6B" w:rsidRPr="00184B6B" w:rsidRDefault="00184B6B" w:rsidP="00184B6B">
            <w:pPr>
              <w:spacing w:line="240" w:lineRule="auto"/>
              <w:ind w:firstLine="0"/>
              <w:rPr>
                <w:sz w:val="14"/>
                <w:szCs w:val="16"/>
              </w:rPr>
            </w:pPr>
            <w:r w:rsidRPr="00184B6B">
              <w:rPr>
                <w:sz w:val="14"/>
                <w:szCs w:val="16"/>
              </w:rPr>
              <w:t>(0.005)</w:t>
            </w:r>
          </w:p>
        </w:tc>
        <w:tc>
          <w:tcPr>
            <w:tcW w:w="462" w:type="pct"/>
            <w:tcBorders>
              <w:top w:val="nil"/>
              <w:left w:val="single" w:sz="4" w:space="0" w:color="auto"/>
              <w:bottom w:val="nil"/>
              <w:right w:val="nil"/>
            </w:tcBorders>
            <w:shd w:val="clear" w:color="auto" w:fill="auto"/>
            <w:noWrap/>
            <w:vAlign w:val="bottom"/>
            <w:hideMark/>
          </w:tcPr>
          <w:p w14:paraId="6043884E" w14:textId="77777777" w:rsidR="00184B6B" w:rsidRPr="00184B6B" w:rsidRDefault="00184B6B" w:rsidP="00184B6B">
            <w:pPr>
              <w:spacing w:line="240" w:lineRule="auto"/>
              <w:ind w:firstLine="0"/>
              <w:rPr>
                <w:sz w:val="14"/>
                <w:szCs w:val="16"/>
              </w:rPr>
            </w:pPr>
            <w:r w:rsidRPr="00184B6B">
              <w:rPr>
                <w:sz w:val="14"/>
                <w:szCs w:val="16"/>
              </w:rPr>
              <w:t>(0.004)</w:t>
            </w:r>
          </w:p>
        </w:tc>
        <w:tc>
          <w:tcPr>
            <w:tcW w:w="462" w:type="pct"/>
            <w:tcBorders>
              <w:top w:val="nil"/>
              <w:left w:val="nil"/>
              <w:bottom w:val="nil"/>
              <w:right w:val="nil"/>
            </w:tcBorders>
            <w:shd w:val="clear" w:color="auto" w:fill="auto"/>
            <w:noWrap/>
            <w:vAlign w:val="bottom"/>
            <w:hideMark/>
          </w:tcPr>
          <w:p w14:paraId="19D106DC" w14:textId="77777777" w:rsidR="00184B6B" w:rsidRPr="00184B6B" w:rsidRDefault="00184B6B" w:rsidP="00184B6B">
            <w:pPr>
              <w:spacing w:line="240" w:lineRule="auto"/>
              <w:ind w:firstLine="0"/>
              <w:rPr>
                <w:sz w:val="14"/>
                <w:szCs w:val="16"/>
              </w:rPr>
            </w:pPr>
            <w:r w:rsidRPr="00184B6B">
              <w:rPr>
                <w:sz w:val="14"/>
                <w:szCs w:val="16"/>
              </w:rPr>
              <w:t>(0.004)</w:t>
            </w:r>
          </w:p>
        </w:tc>
        <w:tc>
          <w:tcPr>
            <w:tcW w:w="462" w:type="pct"/>
            <w:tcBorders>
              <w:top w:val="nil"/>
              <w:left w:val="nil"/>
              <w:bottom w:val="nil"/>
              <w:right w:val="nil"/>
            </w:tcBorders>
            <w:shd w:val="clear" w:color="auto" w:fill="auto"/>
            <w:noWrap/>
            <w:vAlign w:val="bottom"/>
            <w:hideMark/>
          </w:tcPr>
          <w:p w14:paraId="0300D654" w14:textId="77777777" w:rsidR="00184B6B" w:rsidRPr="00184B6B" w:rsidRDefault="00184B6B" w:rsidP="00184B6B">
            <w:pPr>
              <w:spacing w:line="240" w:lineRule="auto"/>
              <w:ind w:firstLine="0"/>
              <w:rPr>
                <w:sz w:val="14"/>
                <w:szCs w:val="16"/>
              </w:rPr>
            </w:pPr>
            <w:r w:rsidRPr="00184B6B">
              <w:rPr>
                <w:sz w:val="14"/>
                <w:szCs w:val="16"/>
              </w:rPr>
              <w:t>(0.004)</w:t>
            </w:r>
          </w:p>
        </w:tc>
        <w:tc>
          <w:tcPr>
            <w:tcW w:w="459" w:type="pct"/>
            <w:tcBorders>
              <w:top w:val="nil"/>
              <w:left w:val="nil"/>
              <w:bottom w:val="nil"/>
              <w:right w:val="single" w:sz="4" w:space="0" w:color="auto"/>
            </w:tcBorders>
            <w:shd w:val="clear" w:color="auto" w:fill="auto"/>
            <w:noWrap/>
            <w:vAlign w:val="bottom"/>
            <w:hideMark/>
          </w:tcPr>
          <w:p w14:paraId="522B1507" w14:textId="77777777" w:rsidR="00184B6B" w:rsidRPr="00184B6B" w:rsidRDefault="00184B6B" w:rsidP="00184B6B">
            <w:pPr>
              <w:spacing w:line="240" w:lineRule="auto"/>
              <w:ind w:firstLine="0"/>
              <w:rPr>
                <w:sz w:val="14"/>
                <w:szCs w:val="16"/>
              </w:rPr>
            </w:pPr>
            <w:r w:rsidRPr="00184B6B">
              <w:rPr>
                <w:sz w:val="14"/>
                <w:szCs w:val="16"/>
              </w:rPr>
              <w:t>(0.004)</w:t>
            </w:r>
          </w:p>
        </w:tc>
      </w:tr>
      <w:tr w:rsidR="00184B6B" w:rsidRPr="00184B6B" w14:paraId="0DA59D2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EE26947" w14:textId="77777777" w:rsidR="00184B6B" w:rsidRPr="00184B6B" w:rsidRDefault="00184B6B" w:rsidP="00184B6B">
            <w:pPr>
              <w:spacing w:line="240" w:lineRule="auto"/>
              <w:ind w:firstLine="0"/>
              <w:jc w:val="left"/>
              <w:rPr>
                <w:sz w:val="14"/>
                <w:szCs w:val="16"/>
              </w:rPr>
            </w:pPr>
            <w:r w:rsidRPr="00184B6B">
              <w:rPr>
                <w:sz w:val="14"/>
                <w:szCs w:val="16"/>
              </w:rPr>
              <w:t>Age squared/100</w:t>
            </w:r>
          </w:p>
        </w:tc>
        <w:tc>
          <w:tcPr>
            <w:tcW w:w="462" w:type="pct"/>
            <w:tcBorders>
              <w:top w:val="nil"/>
              <w:left w:val="single" w:sz="4" w:space="0" w:color="auto"/>
              <w:bottom w:val="nil"/>
              <w:right w:val="nil"/>
            </w:tcBorders>
            <w:shd w:val="clear" w:color="auto" w:fill="auto"/>
            <w:noWrap/>
            <w:vAlign w:val="bottom"/>
            <w:hideMark/>
          </w:tcPr>
          <w:p w14:paraId="4EEDCF24" w14:textId="77777777" w:rsidR="00184B6B" w:rsidRPr="00184B6B" w:rsidRDefault="00184B6B" w:rsidP="00184B6B">
            <w:pPr>
              <w:spacing w:line="240" w:lineRule="auto"/>
              <w:ind w:firstLine="0"/>
              <w:rPr>
                <w:sz w:val="14"/>
                <w:szCs w:val="16"/>
              </w:rPr>
            </w:pPr>
            <w:r w:rsidRPr="00184B6B">
              <w:rPr>
                <w:sz w:val="14"/>
                <w:szCs w:val="16"/>
              </w:rPr>
              <w:t>0.017***</w:t>
            </w:r>
          </w:p>
        </w:tc>
        <w:tc>
          <w:tcPr>
            <w:tcW w:w="462" w:type="pct"/>
            <w:tcBorders>
              <w:top w:val="nil"/>
              <w:left w:val="nil"/>
              <w:bottom w:val="nil"/>
              <w:right w:val="nil"/>
            </w:tcBorders>
            <w:shd w:val="clear" w:color="auto" w:fill="auto"/>
            <w:noWrap/>
            <w:vAlign w:val="bottom"/>
            <w:hideMark/>
          </w:tcPr>
          <w:p w14:paraId="143065C8" w14:textId="77777777" w:rsidR="00184B6B" w:rsidRPr="00184B6B" w:rsidRDefault="00184B6B" w:rsidP="00184B6B">
            <w:pPr>
              <w:spacing w:line="240" w:lineRule="auto"/>
              <w:ind w:firstLine="0"/>
              <w:rPr>
                <w:sz w:val="14"/>
                <w:szCs w:val="16"/>
              </w:rPr>
            </w:pPr>
            <w:r w:rsidRPr="00184B6B">
              <w:rPr>
                <w:sz w:val="14"/>
                <w:szCs w:val="16"/>
              </w:rPr>
              <w:t>0.017***</w:t>
            </w:r>
          </w:p>
        </w:tc>
        <w:tc>
          <w:tcPr>
            <w:tcW w:w="462" w:type="pct"/>
            <w:tcBorders>
              <w:top w:val="nil"/>
              <w:left w:val="nil"/>
              <w:bottom w:val="nil"/>
              <w:right w:val="nil"/>
            </w:tcBorders>
            <w:shd w:val="clear" w:color="auto" w:fill="auto"/>
            <w:noWrap/>
            <w:vAlign w:val="bottom"/>
            <w:hideMark/>
          </w:tcPr>
          <w:p w14:paraId="1FBD6AFF" w14:textId="77777777" w:rsidR="00184B6B" w:rsidRPr="00184B6B" w:rsidRDefault="00184B6B" w:rsidP="00184B6B">
            <w:pPr>
              <w:spacing w:line="240" w:lineRule="auto"/>
              <w:ind w:firstLine="0"/>
              <w:rPr>
                <w:sz w:val="14"/>
                <w:szCs w:val="16"/>
              </w:rPr>
            </w:pPr>
            <w:r w:rsidRPr="00184B6B">
              <w:rPr>
                <w:sz w:val="14"/>
                <w:szCs w:val="16"/>
              </w:rPr>
              <w:t>0.017***</w:t>
            </w:r>
          </w:p>
        </w:tc>
        <w:tc>
          <w:tcPr>
            <w:tcW w:w="462" w:type="pct"/>
            <w:tcBorders>
              <w:top w:val="nil"/>
              <w:left w:val="nil"/>
              <w:bottom w:val="nil"/>
              <w:right w:val="single" w:sz="4" w:space="0" w:color="auto"/>
            </w:tcBorders>
            <w:shd w:val="clear" w:color="auto" w:fill="auto"/>
            <w:noWrap/>
            <w:vAlign w:val="bottom"/>
            <w:hideMark/>
          </w:tcPr>
          <w:p w14:paraId="40BE7B19" w14:textId="77777777" w:rsidR="00184B6B" w:rsidRPr="00184B6B" w:rsidRDefault="00184B6B" w:rsidP="00184B6B">
            <w:pPr>
              <w:spacing w:line="240" w:lineRule="auto"/>
              <w:ind w:firstLine="0"/>
              <w:rPr>
                <w:sz w:val="14"/>
                <w:szCs w:val="16"/>
              </w:rPr>
            </w:pPr>
            <w:r w:rsidRPr="00184B6B">
              <w:rPr>
                <w:sz w:val="14"/>
                <w:szCs w:val="16"/>
              </w:rPr>
              <w:t>0.017***</w:t>
            </w:r>
          </w:p>
        </w:tc>
        <w:tc>
          <w:tcPr>
            <w:tcW w:w="462" w:type="pct"/>
            <w:tcBorders>
              <w:top w:val="nil"/>
              <w:left w:val="single" w:sz="4" w:space="0" w:color="auto"/>
              <w:bottom w:val="nil"/>
              <w:right w:val="nil"/>
            </w:tcBorders>
            <w:shd w:val="clear" w:color="auto" w:fill="auto"/>
            <w:noWrap/>
            <w:vAlign w:val="bottom"/>
            <w:hideMark/>
          </w:tcPr>
          <w:p w14:paraId="66854C57"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nil"/>
              <w:bottom w:val="nil"/>
              <w:right w:val="nil"/>
            </w:tcBorders>
            <w:shd w:val="clear" w:color="auto" w:fill="auto"/>
            <w:noWrap/>
            <w:vAlign w:val="bottom"/>
            <w:hideMark/>
          </w:tcPr>
          <w:p w14:paraId="22CE92C7"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nil"/>
              <w:bottom w:val="nil"/>
              <w:right w:val="nil"/>
            </w:tcBorders>
            <w:shd w:val="clear" w:color="auto" w:fill="auto"/>
            <w:noWrap/>
            <w:vAlign w:val="bottom"/>
            <w:hideMark/>
          </w:tcPr>
          <w:p w14:paraId="69E1A8B8" w14:textId="77777777" w:rsidR="00184B6B" w:rsidRPr="00184B6B" w:rsidRDefault="00184B6B" w:rsidP="00184B6B">
            <w:pPr>
              <w:spacing w:line="240" w:lineRule="auto"/>
              <w:ind w:firstLine="0"/>
              <w:rPr>
                <w:sz w:val="14"/>
                <w:szCs w:val="16"/>
              </w:rPr>
            </w:pPr>
            <w:r w:rsidRPr="00184B6B">
              <w:rPr>
                <w:sz w:val="14"/>
                <w:szCs w:val="16"/>
              </w:rPr>
              <w:t>0.014***</w:t>
            </w:r>
          </w:p>
        </w:tc>
        <w:tc>
          <w:tcPr>
            <w:tcW w:w="459" w:type="pct"/>
            <w:tcBorders>
              <w:top w:val="nil"/>
              <w:left w:val="nil"/>
              <w:bottom w:val="nil"/>
              <w:right w:val="single" w:sz="4" w:space="0" w:color="auto"/>
            </w:tcBorders>
            <w:shd w:val="clear" w:color="auto" w:fill="auto"/>
            <w:noWrap/>
            <w:vAlign w:val="bottom"/>
            <w:hideMark/>
          </w:tcPr>
          <w:p w14:paraId="11127F2D" w14:textId="77777777" w:rsidR="00184B6B" w:rsidRPr="00184B6B" w:rsidRDefault="00184B6B" w:rsidP="00184B6B">
            <w:pPr>
              <w:spacing w:line="240" w:lineRule="auto"/>
              <w:ind w:firstLine="0"/>
              <w:rPr>
                <w:sz w:val="14"/>
                <w:szCs w:val="16"/>
              </w:rPr>
            </w:pPr>
            <w:r w:rsidRPr="00184B6B">
              <w:rPr>
                <w:sz w:val="14"/>
                <w:szCs w:val="16"/>
              </w:rPr>
              <w:t>0.014***</w:t>
            </w:r>
          </w:p>
        </w:tc>
      </w:tr>
      <w:tr w:rsidR="00184B6B" w:rsidRPr="00184B6B" w14:paraId="6429BBD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58A45F9"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44AB1768" w14:textId="77777777" w:rsidR="00184B6B" w:rsidRPr="00184B6B" w:rsidRDefault="00184B6B" w:rsidP="00184B6B">
            <w:pPr>
              <w:spacing w:line="240" w:lineRule="auto"/>
              <w:ind w:firstLine="0"/>
              <w:rPr>
                <w:sz w:val="14"/>
                <w:szCs w:val="16"/>
              </w:rPr>
            </w:pPr>
            <w:r w:rsidRPr="00184B6B">
              <w:rPr>
                <w:sz w:val="14"/>
                <w:szCs w:val="16"/>
              </w:rPr>
              <w:t>(0.006)</w:t>
            </w:r>
          </w:p>
        </w:tc>
        <w:tc>
          <w:tcPr>
            <w:tcW w:w="462" w:type="pct"/>
            <w:tcBorders>
              <w:top w:val="nil"/>
              <w:left w:val="nil"/>
              <w:bottom w:val="nil"/>
              <w:right w:val="nil"/>
            </w:tcBorders>
            <w:shd w:val="clear" w:color="auto" w:fill="auto"/>
            <w:noWrap/>
            <w:vAlign w:val="bottom"/>
            <w:hideMark/>
          </w:tcPr>
          <w:p w14:paraId="72ADC23A" w14:textId="77777777" w:rsidR="00184B6B" w:rsidRPr="00184B6B" w:rsidRDefault="00184B6B" w:rsidP="00184B6B">
            <w:pPr>
              <w:spacing w:line="240" w:lineRule="auto"/>
              <w:ind w:firstLine="0"/>
              <w:rPr>
                <w:sz w:val="14"/>
                <w:szCs w:val="16"/>
              </w:rPr>
            </w:pPr>
            <w:r w:rsidRPr="00184B6B">
              <w:rPr>
                <w:sz w:val="14"/>
                <w:szCs w:val="16"/>
              </w:rPr>
              <w:t>(0.006)</w:t>
            </w:r>
          </w:p>
        </w:tc>
        <w:tc>
          <w:tcPr>
            <w:tcW w:w="462" w:type="pct"/>
            <w:tcBorders>
              <w:top w:val="nil"/>
              <w:left w:val="nil"/>
              <w:bottom w:val="nil"/>
              <w:right w:val="nil"/>
            </w:tcBorders>
            <w:shd w:val="clear" w:color="auto" w:fill="auto"/>
            <w:noWrap/>
            <w:vAlign w:val="bottom"/>
            <w:hideMark/>
          </w:tcPr>
          <w:p w14:paraId="0F0115EC" w14:textId="77777777" w:rsidR="00184B6B" w:rsidRPr="00184B6B" w:rsidRDefault="00184B6B" w:rsidP="00184B6B">
            <w:pPr>
              <w:spacing w:line="240" w:lineRule="auto"/>
              <w:ind w:firstLine="0"/>
              <w:rPr>
                <w:sz w:val="14"/>
                <w:szCs w:val="16"/>
              </w:rPr>
            </w:pPr>
            <w:r w:rsidRPr="00184B6B">
              <w:rPr>
                <w:sz w:val="14"/>
                <w:szCs w:val="16"/>
              </w:rPr>
              <w:t>(0.006)</w:t>
            </w:r>
          </w:p>
        </w:tc>
        <w:tc>
          <w:tcPr>
            <w:tcW w:w="462" w:type="pct"/>
            <w:tcBorders>
              <w:top w:val="nil"/>
              <w:left w:val="nil"/>
              <w:bottom w:val="nil"/>
              <w:right w:val="single" w:sz="4" w:space="0" w:color="auto"/>
            </w:tcBorders>
            <w:shd w:val="clear" w:color="auto" w:fill="auto"/>
            <w:noWrap/>
            <w:vAlign w:val="bottom"/>
            <w:hideMark/>
          </w:tcPr>
          <w:p w14:paraId="37B2B31C" w14:textId="77777777" w:rsidR="00184B6B" w:rsidRPr="00184B6B" w:rsidRDefault="00184B6B" w:rsidP="00184B6B">
            <w:pPr>
              <w:spacing w:line="240" w:lineRule="auto"/>
              <w:ind w:firstLine="0"/>
              <w:rPr>
                <w:sz w:val="14"/>
                <w:szCs w:val="16"/>
              </w:rPr>
            </w:pPr>
            <w:r w:rsidRPr="00184B6B">
              <w:rPr>
                <w:sz w:val="14"/>
                <w:szCs w:val="16"/>
              </w:rPr>
              <w:t>(0.006)</w:t>
            </w:r>
          </w:p>
        </w:tc>
        <w:tc>
          <w:tcPr>
            <w:tcW w:w="462" w:type="pct"/>
            <w:tcBorders>
              <w:top w:val="nil"/>
              <w:left w:val="single" w:sz="4" w:space="0" w:color="auto"/>
              <w:bottom w:val="nil"/>
              <w:right w:val="nil"/>
            </w:tcBorders>
            <w:shd w:val="clear" w:color="auto" w:fill="auto"/>
            <w:noWrap/>
            <w:vAlign w:val="bottom"/>
            <w:hideMark/>
          </w:tcPr>
          <w:p w14:paraId="5D8E11BC" w14:textId="77777777" w:rsidR="00184B6B" w:rsidRPr="00184B6B" w:rsidRDefault="00184B6B" w:rsidP="00184B6B">
            <w:pPr>
              <w:spacing w:line="240" w:lineRule="auto"/>
              <w:ind w:firstLine="0"/>
              <w:rPr>
                <w:sz w:val="14"/>
                <w:szCs w:val="16"/>
              </w:rPr>
            </w:pPr>
            <w:r w:rsidRPr="00184B6B">
              <w:rPr>
                <w:sz w:val="14"/>
                <w:szCs w:val="16"/>
              </w:rPr>
              <w:t>(0.004)</w:t>
            </w:r>
          </w:p>
        </w:tc>
        <w:tc>
          <w:tcPr>
            <w:tcW w:w="462" w:type="pct"/>
            <w:tcBorders>
              <w:top w:val="nil"/>
              <w:left w:val="nil"/>
              <w:bottom w:val="nil"/>
              <w:right w:val="nil"/>
            </w:tcBorders>
            <w:shd w:val="clear" w:color="auto" w:fill="auto"/>
            <w:noWrap/>
            <w:vAlign w:val="bottom"/>
            <w:hideMark/>
          </w:tcPr>
          <w:p w14:paraId="2E4B4DF6" w14:textId="77777777" w:rsidR="00184B6B" w:rsidRPr="00184B6B" w:rsidRDefault="00184B6B" w:rsidP="00184B6B">
            <w:pPr>
              <w:spacing w:line="240" w:lineRule="auto"/>
              <w:ind w:firstLine="0"/>
              <w:rPr>
                <w:sz w:val="14"/>
                <w:szCs w:val="16"/>
              </w:rPr>
            </w:pPr>
            <w:r w:rsidRPr="00184B6B">
              <w:rPr>
                <w:sz w:val="14"/>
                <w:szCs w:val="16"/>
              </w:rPr>
              <w:t>(0.004)</w:t>
            </w:r>
          </w:p>
        </w:tc>
        <w:tc>
          <w:tcPr>
            <w:tcW w:w="462" w:type="pct"/>
            <w:tcBorders>
              <w:top w:val="nil"/>
              <w:left w:val="nil"/>
              <w:bottom w:val="nil"/>
              <w:right w:val="nil"/>
            </w:tcBorders>
            <w:shd w:val="clear" w:color="auto" w:fill="auto"/>
            <w:noWrap/>
            <w:vAlign w:val="bottom"/>
            <w:hideMark/>
          </w:tcPr>
          <w:p w14:paraId="19FAA917" w14:textId="77777777" w:rsidR="00184B6B" w:rsidRPr="00184B6B" w:rsidRDefault="00184B6B" w:rsidP="00184B6B">
            <w:pPr>
              <w:spacing w:line="240" w:lineRule="auto"/>
              <w:ind w:firstLine="0"/>
              <w:rPr>
                <w:sz w:val="14"/>
                <w:szCs w:val="16"/>
              </w:rPr>
            </w:pPr>
            <w:r w:rsidRPr="00184B6B">
              <w:rPr>
                <w:sz w:val="14"/>
                <w:szCs w:val="16"/>
              </w:rPr>
              <w:t>(0.004)</w:t>
            </w:r>
          </w:p>
        </w:tc>
        <w:tc>
          <w:tcPr>
            <w:tcW w:w="459" w:type="pct"/>
            <w:tcBorders>
              <w:top w:val="nil"/>
              <w:left w:val="nil"/>
              <w:bottom w:val="nil"/>
              <w:right w:val="single" w:sz="4" w:space="0" w:color="auto"/>
            </w:tcBorders>
            <w:shd w:val="clear" w:color="auto" w:fill="auto"/>
            <w:noWrap/>
            <w:vAlign w:val="bottom"/>
            <w:hideMark/>
          </w:tcPr>
          <w:p w14:paraId="40359F36" w14:textId="77777777" w:rsidR="00184B6B" w:rsidRPr="00184B6B" w:rsidRDefault="00184B6B" w:rsidP="00184B6B">
            <w:pPr>
              <w:spacing w:line="240" w:lineRule="auto"/>
              <w:ind w:firstLine="0"/>
              <w:rPr>
                <w:sz w:val="14"/>
                <w:szCs w:val="16"/>
              </w:rPr>
            </w:pPr>
            <w:r w:rsidRPr="00184B6B">
              <w:rPr>
                <w:sz w:val="14"/>
                <w:szCs w:val="16"/>
              </w:rPr>
              <w:t>(0.004)</w:t>
            </w:r>
          </w:p>
        </w:tc>
      </w:tr>
      <w:tr w:rsidR="00184B6B" w:rsidRPr="00184B6B" w14:paraId="000080AD"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0195160" w14:textId="77777777" w:rsidR="00184B6B" w:rsidRPr="00184B6B" w:rsidRDefault="00184B6B" w:rsidP="00184B6B">
            <w:pPr>
              <w:spacing w:line="240" w:lineRule="auto"/>
              <w:ind w:firstLine="0"/>
              <w:jc w:val="left"/>
              <w:rPr>
                <w:sz w:val="14"/>
                <w:szCs w:val="16"/>
              </w:rPr>
            </w:pPr>
            <w:r w:rsidRPr="00184B6B">
              <w:rPr>
                <w:sz w:val="14"/>
                <w:szCs w:val="16"/>
              </w:rPr>
              <w:t>Female</w:t>
            </w:r>
          </w:p>
        </w:tc>
        <w:tc>
          <w:tcPr>
            <w:tcW w:w="462" w:type="pct"/>
            <w:tcBorders>
              <w:top w:val="nil"/>
              <w:left w:val="single" w:sz="4" w:space="0" w:color="auto"/>
              <w:bottom w:val="nil"/>
              <w:right w:val="nil"/>
            </w:tcBorders>
            <w:shd w:val="clear" w:color="auto" w:fill="auto"/>
            <w:noWrap/>
            <w:vAlign w:val="bottom"/>
            <w:hideMark/>
          </w:tcPr>
          <w:p w14:paraId="565390E9" w14:textId="77777777" w:rsidR="00184B6B" w:rsidRPr="00184B6B" w:rsidRDefault="00184B6B" w:rsidP="00184B6B">
            <w:pPr>
              <w:spacing w:line="240" w:lineRule="auto"/>
              <w:ind w:firstLine="0"/>
              <w:rPr>
                <w:sz w:val="14"/>
                <w:szCs w:val="16"/>
              </w:rPr>
            </w:pPr>
            <w:r w:rsidRPr="00184B6B">
              <w:rPr>
                <w:sz w:val="14"/>
                <w:szCs w:val="16"/>
              </w:rPr>
              <w:t>0.006</w:t>
            </w:r>
          </w:p>
        </w:tc>
        <w:tc>
          <w:tcPr>
            <w:tcW w:w="462" w:type="pct"/>
            <w:tcBorders>
              <w:top w:val="nil"/>
              <w:left w:val="nil"/>
              <w:bottom w:val="nil"/>
              <w:right w:val="nil"/>
            </w:tcBorders>
            <w:shd w:val="clear" w:color="auto" w:fill="auto"/>
            <w:noWrap/>
            <w:vAlign w:val="bottom"/>
            <w:hideMark/>
          </w:tcPr>
          <w:p w14:paraId="5EEB2DF5" w14:textId="77777777" w:rsidR="00184B6B" w:rsidRPr="00184B6B" w:rsidRDefault="00184B6B" w:rsidP="00184B6B">
            <w:pPr>
              <w:spacing w:line="240" w:lineRule="auto"/>
              <w:ind w:firstLine="0"/>
              <w:rPr>
                <w:sz w:val="14"/>
                <w:szCs w:val="16"/>
              </w:rPr>
            </w:pPr>
            <w:r w:rsidRPr="00184B6B">
              <w:rPr>
                <w:sz w:val="14"/>
                <w:szCs w:val="16"/>
              </w:rPr>
              <w:t>0.002</w:t>
            </w:r>
          </w:p>
        </w:tc>
        <w:tc>
          <w:tcPr>
            <w:tcW w:w="462" w:type="pct"/>
            <w:tcBorders>
              <w:top w:val="nil"/>
              <w:left w:val="nil"/>
              <w:bottom w:val="nil"/>
              <w:right w:val="nil"/>
            </w:tcBorders>
            <w:shd w:val="clear" w:color="auto" w:fill="auto"/>
            <w:noWrap/>
            <w:vAlign w:val="bottom"/>
            <w:hideMark/>
          </w:tcPr>
          <w:p w14:paraId="7F4EFEBF" w14:textId="77777777" w:rsidR="00184B6B" w:rsidRPr="00184B6B" w:rsidRDefault="00184B6B" w:rsidP="00184B6B">
            <w:pPr>
              <w:spacing w:line="240" w:lineRule="auto"/>
              <w:ind w:firstLine="0"/>
              <w:rPr>
                <w:sz w:val="14"/>
                <w:szCs w:val="16"/>
              </w:rPr>
            </w:pPr>
            <w:r w:rsidRPr="00184B6B">
              <w:rPr>
                <w:sz w:val="14"/>
                <w:szCs w:val="16"/>
              </w:rPr>
              <w:t>0.009</w:t>
            </w:r>
          </w:p>
        </w:tc>
        <w:tc>
          <w:tcPr>
            <w:tcW w:w="462" w:type="pct"/>
            <w:tcBorders>
              <w:top w:val="nil"/>
              <w:left w:val="nil"/>
              <w:bottom w:val="nil"/>
              <w:right w:val="single" w:sz="4" w:space="0" w:color="auto"/>
            </w:tcBorders>
            <w:shd w:val="clear" w:color="auto" w:fill="auto"/>
            <w:noWrap/>
            <w:vAlign w:val="bottom"/>
            <w:hideMark/>
          </w:tcPr>
          <w:p w14:paraId="148FD110" w14:textId="77777777" w:rsidR="00184B6B" w:rsidRPr="00184B6B" w:rsidRDefault="00184B6B" w:rsidP="00184B6B">
            <w:pPr>
              <w:spacing w:line="240" w:lineRule="auto"/>
              <w:ind w:firstLine="0"/>
              <w:rPr>
                <w:sz w:val="14"/>
                <w:szCs w:val="16"/>
              </w:rPr>
            </w:pPr>
            <w:r w:rsidRPr="00184B6B">
              <w:rPr>
                <w:sz w:val="14"/>
                <w:szCs w:val="16"/>
              </w:rPr>
              <w:t>0.008</w:t>
            </w:r>
          </w:p>
        </w:tc>
        <w:tc>
          <w:tcPr>
            <w:tcW w:w="462" w:type="pct"/>
            <w:tcBorders>
              <w:top w:val="nil"/>
              <w:left w:val="single" w:sz="4" w:space="0" w:color="auto"/>
              <w:bottom w:val="nil"/>
              <w:right w:val="nil"/>
            </w:tcBorders>
            <w:shd w:val="clear" w:color="auto" w:fill="auto"/>
            <w:noWrap/>
            <w:vAlign w:val="bottom"/>
            <w:hideMark/>
          </w:tcPr>
          <w:p w14:paraId="6C540709" w14:textId="77777777" w:rsidR="00184B6B" w:rsidRPr="00184B6B" w:rsidRDefault="00184B6B" w:rsidP="00184B6B">
            <w:pPr>
              <w:spacing w:line="240" w:lineRule="auto"/>
              <w:ind w:firstLine="0"/>
              <w:rPr>
                <w:sz w:val="14"/>
                <w:szCs w:val="16"/>
              </w:rPr>
            </w:pPr>
            <w:r w:rsidRPr="00184B6B">
              <w:rPr>
                <w:sz w:val="14"/>
                <w:szCs w:val="16"/>
              </w:rPr>
              <w:t>0.005</w:t>
            </w:r>
          </w:p>
        </w:tc>
        <w:tc>
          <w:tcPr>
            <w:tcW w:w="462" w:type="pct"/>
            <w:tcBorders>
              <w:top w:val="nil"/>
              <w:left w:val="nil"/>
              <w:bottom w:val="nil"/>
              <w:right w:val="nil"/>
            </w:tcBorders>
            <w:shd w:val="clear" w:color="auto" w:fill="auto"/>
            <w:noWrap/>
            <w:vAlign w:val="bottom"/>
            <w:hideMark/>
          </w:tcPr>
          <w:p w14:paraId="6E9ED542" w14:textId="77777777" w:rsidR="00184B6B" w:rsidRPr="00184B6B" w:rsidRDefault="00184B6B" w:rsidP="00184B6B">
            <w:pPr>
              <w:spacing w:line="240" w:lineRule="auto"/>
              <w:ind w:firstLine="0"/>
              <w:rPr>
                <w:sz w:val="14"/>
                <w:szCs w:val="16"/>
              </w:rPr>
            </w:pPr>
            <w:r w:rsidRPr="00184B6B">
              <w:rPr>
                <w:sz w:val="14"/>
                <w:szCs w:val="16"/>
              </w:rPr>
              <w:t>0.002</w:t>
            </w:r>
          </w:p>
        </w:tc>
        <w:tc>
          <w:tcPr>
            <w:tcW w:w="462" w:type="pct"/>
            <w:tcBorders>
              <w:top w:val="nil"/>
              <w:left w:val="nil"/>
              <w:bottom w:val="nil"/>
              <w:right w:val="nil"/>
            </w:tcBorders>
            <w:shd w:val="clear" w:color="auto" w:fill="auto"/>
            <w:noWrap/>
            <w:vAlign w:val="bottom"/>
            <w:hideMark/>
          </w:tcPr>
          <w:p w14:paraId="5E6841E1" w14:textId="77777777" w:rsidR="00184B6B" w:rsidRPr="00184B6B" w:rsidRDefault="00184B6B" w:rsidP="00184B6B">
            <w:pPr>
              <w:spacing w:line="240" w:lineRule="auto"/>
              <w:ind w:firstLine="0"/>
              <w:rPr>
                <w:sz w:val="14"/>
                <w:szCs w:val="16"/>
              </w:rPr>
            </w:pPr>
            <w:r w:rsidRPr="00184B6B">
              <w:rPr>
                <w:sz w:val="14"/>
                <w:szCs w:val="16"/>
              </w:rPr>
              <w:t>0.005</w:t>
            </w:r>
          </w:p>
        </w:tc>
        <w:tc>
          <w:tcPr>
            <w:tcW w:w="459" w:type="pct"/>
            <w:tcBorders>
              <w:top w:val="nil"/>
              <w:left w:val="nil"/>
              <w:bottom w:val="nil"/>
              <w:right w:val="single" w:sz="4" w:space="0" w:color="auto"/>
            </w:tcBorders>
            <w:shd w:val="clear" w:color="auto" w:fill="auto"/>
            <w:noWrap/>
            <w:vAlign w:val="bottom"/>
            <w:hideMark/>
          </w:tcPr>
          <w:p w14:paraId="60B44D25" w14:textId="77777777" w:rsidR="00184B6B" w:rsidRPr="00184B6B" w:rsidRDefault="00184B6B" w:rsidP="00184B6B">
            <w:pPr>
              <w:spacing w:line="240" w:lineRule="auto"/>
              <w:ind w:firstLine="0"/>
              <w:rPr>
                <w:sz w:val="14"/>
                <w:szCs w:val="16"/>
              </w:rPr>
            </w:pPr>
            <w:r w:rsidRPr="00184B6B">
              <w:rPr>
                <w:sz w:val="14"/>
                <w:szCs w:val="16"/>
              </w:rPr>
              <w:t>0.006</w:t>
            </w:r>
          </w:p>
        </w:tc>
      </w:tr>
      <w:tr w:rsidR="00184B6B" w:rsidRPr="00184B6B" w14:paraId="6562EDDA"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E552678"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3B19739" w14:textId="77777777" w:rsidR="00184B6B" w:rsidRPr="00184B6B" w:rsidRDefault="00184B6B" w:rsidP="00184B6B">
            <w:pPr>
              <w:spacing w:line="240" w:lineRule="auto"/>
              <w:ind w:firstLine="0"/>
              <w:rPr>
                <w:sz w:val="14"/>
                <w:szCs w:val="16"/>
              </w:rPr>
            </w:pPr>
            <w:r w:rsidRPr="00184B6B">
              <w:rPr>
                <w:sz w:val="14"/>
                <w:szCs w:val="16"/>
              </w:rPr>
              <w:t>(0.032)</w:t>
            </w:r>
          </w:p>
        </w:tc>
        <w:tc>
          <w:tcPr>
            <w:tcW w:w="462" w:type="pct"/>
            <w:tcBorders>
              <w:top w:val="nil"/>
              <w:left w:val="nil"/>
              <w:bottom w:val="nil"/>
              <w:right w:val="nil"/>
            </w:tcBorders>
            <w:shd w:val="clear" w:color="auto" w:fill="auto"/>
            <w:noWrap/>
            <w:vAlign w:val="bottom"/>
            <w:hideMark/>
          </w:tcPr>
          <w:p w14:paraId="1F032DDE" w14:textId="77777777" w:rsidR="00184B6B" w:rsidRPr="00184B6B" w:rsidRDefault="00184B6B" w:rsidP="00184B6B">
            <w:pPr>
              <w:spacing w:line="240" w:lineRule="auto"/>
              <w:ind w:firstLine="0"/>
              <w:rPr>
                <w:sz w:val="14"/>
                <w:szCs w:val="16"/>
              </w:rPr>
            </w:pPr>
            <w:r w:rsidRPr="00184B6B">
              <w:rPr>
                <w:sz w:val="14"/>
                <w:szCs w:val="16"/>
              </w:rPr>
              <w:t>(0.032)</w:t>
            </w:r>
          </w:p>
        </w:tc>
        <w:tc>
          <w:tcPr>
            <w:tcW w:w="462" w:type="pct"/>
            <w:tcBorders>
              <w:top w:val="nil"/>
              <w:left w:val="nil"/>
              <w:bottom w:val="nil"/>
              <w:right w:val="nil"/>
            </w:tcBorders>
            <w:shd w:val="clear" w:color="auto" w:fill="auto"/>
            <w:noWrap/>
            <w:vAlign w:val="bottom"/>
            <w:hideMark/>
          </w:tcPr>
          <w:p w14:paraId="58034E0D" w14:textId="77777777" w:rsidR="00184B6B" w:rsidRPr="00184B6B" w:rsidRDefault="00184B6B" w:rsidP="00184B6B">
            <w:pPr>
              <w:spacing w:line="240" w:lineRule="auto"/>
              <w:ind w:firstLine="0"/>
              <w:rPr>
                <w:sz w:val="14"/>
                <w:szCs w:val="16"/>
              </w:rPr>
            </w:pPr>
            <w:r w:rsidRPr="00184B6B">
              <w:rPr>
                <w:sz w:val="14"/>
                <w:szCs w:val="16"/>
              </w:rPr>
              <w:t>(0.033)</w:t>
            </w:r>
          </w:p>
        </w:tc>
        <w:tc>
          <w:tcPr>
            <w:tcW w:w="462" w:type="pct"/>
            <w:tcBorders>
              <w:top w:val="nil"/>
              <w:left w:val="nil"/>
              <w:bottom w:val="nil"/>
              <w:right w:val="single" w:sz="4" w:space="0" w:color="auto"/>
            </w:tcBorders>
            <w:shd w:val="clear" w:color="auto" w:fill="auto"/>
            <w:noWrap/>
            <w:vAlign w:val="bottom"/>
            <w:hideMark/>
          </w:tcPr>
          <w:p w14:paraId="11D62F9A" w14:textId="77777777" w:rsidR="00184B6B" w:rsidRPr="00184B6B" w:rsidRDefault="00184B6B" w:rsidP="00184B6B">
            <w:pPr>
              <w:spacing w:line="240" w:lineRule="auto"/>
              <w:ind w:firstLine="0"/>
              <w:rPr>
                <w:sz w:val="14"/>
                <w:szCs w:val="16"/>
              </w:rPr>
            </w:pPr>
            <w:r w:rsidRPr="00184B6B">
              <w:rPr>
                <w:sz w:val="14"/>
                <w:szCs w:val="16"/>
              </w:rPr>
              <w:t>(0.033)</w:t>
            </w:r>
          </w:p>
        </w:tc>
        <w:tc>
          <w:tcPr>
            <w:tcW w:w="462" w:type="pct"/>
            <w:tcBorders>
              <w:top w:val="nil"/>
              <w:left w:val="single" w:sz="4" w:space="0" w:color="auto"/>
              <w:bottom w:val="nil"/>
              <w:right w:val="nil"/>
            </w:tcBorders>
            <w:shd w:val="clear" w:color="auto" w:fill="auto"/>
            <w:noWrap/>
            <w:vAlign w:val="bottom"/>
            <w:hideMark/>
          </w:tcPr>
          <w:p w14:paraId="60ECE97B" w14:textId="77777777" w:rsidR="00184B6B" w:rsidRPr="00184B6B" w:rsidRDefault="00184B6B" w:rsidP="00184B6B">
            <w:pPr>
              <w:spacing w:line="240" w:lineRule="auto"/>
              <w:ind w:firstLine="0"/>
              <w:rPr>
                <w:sz w:val="14"/>
                <w:szCs w:val="16"/>
              </w:rPr>
            </w:pPr>
            <w:r w:rsidRPr="00184B6B">
              <w:rPr>
                <w:sz w:val="14"/>
                <w:szCs w:val="16"/>
              </w:rPr>
              <w:t>(0.025)</w:t>
            </w:r>
          </w:p>
        </w:tc>
        <w:tc>
          <w:tcPr>
            <w:tcW w:w="462" w:type="pct"/>
            <w:tcBorders>
              <w:top w:val="nil"/>
              <w:left w:val="nil"/>
              <w:bottom w:val="nil"/>
              <w:right w:val="nil"/>
            </w:tcBorders>
            <w:shd w:val="clear" w:color="auto" w:fill="auto"/>
            <w:noWrap/>
            <w:vAlign w:val="bottom"/>
            <w:hideMark/>
          </w:tcPr>
          <w:p w14:paraId="7BC5F8E9" w14:textId="77777777" w:rsidR="00184B6B" w:rsidRPr="00184B6B" w:rsidRDefault="00184B6B" w:rsidP="00184B6B">
            <w:pPr>
              <w:spacing w:line="240" w:lineRule="auto"/>
              <w:ind w:firstLine="0"/>
              <w:rPr>
                <w:sz w:val="14"/>
                <w:szCs w:val="16"/>
              </w:rPr>
            </w:pPr>
            <w:r w:rsidRPr="00184B6B">
              <w:rPr>
                <w:sz w:val="14"/>
                <w:szCs w:val="16"/>
              </w:rPr>
              <w:t>(0.025)</w:t>
            </w:r>
          </w:p>
        </w:tc>
        <w:tc>
          <w:tcPr>
            <w:tcW w:w="462" w:type="pct"/>
            <w:tcBorders>
              <w:top w:val="nil"/>
              <w:left w:val="nil"/>
              <w:bottom w:val="nil"/>
              <w:right w:val="nil"/>
            </w:tcBorders>
            <w:shd w:val="clear" w:color="auto" w:fill="auto"/>
            <w:noWrap/>
            <w:vAlign w:val="bottom"/>
            <w:hideMark/>
          </w:tcPr>
          <w:p w14:paraId="74EAEBB1" w14:textId="77777777" w:rsidR="00184B6B" w:rsidRPr="00184B6B" w:rsidRDefault="00184B6B" w:rsidP="00184B6B">
            <w:pPr>
              <w:spacing w:line="240" w:lineRule="auto"/>
              <w:ind w:firstLine="0"/>
              <w:rPr>
                <w:sz w:val="14"/>
                <w:szCs w:val="16"/>
              </w:rPr>
            </w:pPr>
            <w:r w:rsidRPr="00184B6B">
              <w:rPr>
                <w:sz w:val="14"/>
                <w:szCs w:val="16"/>
              </w:rPr>
              <w:t>(0.025)</w:t>
            </w:r>
          </w:p>
        </w:tc>
        <w:tc>
          <w:tcPr>
            <w:tcW w:w="459" w:type="pct"/>
            <w:tcBorders>
              <w:top w:val="nil"/>
              <w:left w:val="nil"/>
              <w:bottom w:val="nil"/>
              <w:right w:val="single" w:sz="4" w:space="0" w:color="auto"/>
            </w:tcBorders>
            <w:shd w:val="clear" w:color="auto" w:fill="auto"/>
            <w:noWrap/>
            <w:vAlign w:val="bottom"/>
            <w:hideMark/>
          </w:tcPr>
          <w:p w14:paraId="7360D89D" w14:textId="77777777" w:rsidR="00184B6B" w:rsidRPr="00184B6B" w:rsidRDefault="00184B6B" w:rsidP="00184B6B">
            <w:pPr>
              <w:spacing w:line="240" w:lineRule="auto"/>
              <w:ind w:firstLine="0"/>
              <w:rPr>
                <w:sz w:val="14"/>
                <w:szCs w:val="16"/>
              </w:rPr>
            </w:pPr>
            <w:r w:rsidRPr="00184B6B">
              <w:rPr>
                <w:sz w:val="14"/>
                <w:szCs w:val="16"/>
              </w:rPr>
              <w:t>(0.025)</w:t>
            </w:r>
          </w:p>
        </w:tc>
      </w:tr>
      <w:tr w:rsidR="00184B6B" w:rsidRPr="00184B6B" w14:paraId="123DB036"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F4BB6EA" w14:textId="77777777" w:rsidR="00184B6B" w:rsidRPr="00184B6B" w:rsidRDefault="00184B6B" w:rsidP="00184B6B">
            <w:pPr>
              <w:spacing w:line="240" w:lineRule="auto"/>
              <w:ind w:firstLine="0"/>
              <w:jc w:val="left"/>
              <w:rPr>
                <w:sz w:val="14"/>
                <w:szCs w:val="16"/>
              </w:rPr>
            </w:pPr>
            <w:r w:rsidRPr="00184B6B">
              <w:rPr>
                <w:sz w:val="14"/>
                <w:szCs w:val="16"/>
              </w:rPr>
              <w:t>Primary education</w:t>
            </w:r>
          </w:p>
        </w:tc>
        <w:tc>
          <w:tcPr>
            <w:tcW w:w="462" w:type="pct"/>
            <w:tcBorders>
              <w:top w:val="nil"/>
              <w:left w:val="single" w:sz="4" w:space="0" w:color="auto"/>
              <w:bottom w:val="nil"/>
              <w:right w:val="nil"/>
            </w:tcBorders>
            <w:shd w:val="clear" w:color="auto" w:fill="auto"/>
            <w:noWrap/>
            <w:vAlign w:val="bottom"/>
            <w:hideMark/>
          </w:tcPr>
          <w:p w14:paraId="36B4E602" w14:textId="77777777" w:rsidR="00184B6B" w:rsidRPr="00184B6B" w:rsidRDefault="00184B6B" w:rsidP="00184B6B">
            <w:pPr>
              <w:spacing w:line="240" w:lineRule="auto"/>
              <w:ind w:firstLine="0"/>
              <w:rPr>
                <w:sz w:val="14"/>
                <w:szCs w:val="16"/>
              </w:rPr>
            </w:pPr>
            <w:r w:rsidRPr="00184B6B">
              <w:rPr>
                <w:sz w:val="14"/>
                <w:szCs w:val="16"/>
              </w:rPr>
              <w:t>0.029</w:t>
            </w:r>
          </w:p>
        </w:tc>
        <w:tc>
          <w:tcPr>
            <w:tcW w:w="462" w:type="pct"/>
            <w:tcBorders>
              <w:top w:val="nil"/>
              <w:left w:val="nil"/>
              <w:bottom w:val="nil"/>
              <w:right w:val="nil"/>
            </w:tcBorders>
            <w:shd w:val="clear" w:color="auto" w:fill="auto"/>
            <w:noWrap/>
            <w:vAlign w:val="bottom"/>
            <w:hideMark/>
          </w:tcPr>
          <w:p w14:paraId="54E89AA4" w14:textId="77777777" w:rsidR="00184B6B" w:rsidRPr="00184B6B" w:rsidRDefault="00184B6B" w:rsidP="00184B6B">
            <w:pPr>
              <w:spacing w:line="240" w:lineRule="auto"/>
              <w:ind w:firstLine="0"/>
              <w:rPr>
                <w:sz w:val="14"/>
                <w:szCs w:val="16"/>
              </w:rPr>
            </w:pPr>
            <w:r w:rsidRPr="00184B6B">
              <w:rPr>
                <w:sz w:val="14"/>
                <w:szCs w:val="16"/>
              </w:rPr>
              <w:t>0.028</w:t>
            </w:r>
          </w:p>
        </w:tc>
        <w:tc>
          <w:tcPr>
            <w:tcW w:w="462" w:type="pct"/>
            <w:tcBorders>
              <w:top w:val="nil"/>
              <w:left w:val="nil"/>
              <w:bottom w:val="nil"/>
              <w:right w:val="nil"/>
            </w:tcBorders>
            <w:shd w:val="clear" w:color="auto" w:fill="auto"/>
            <w:noWrap/>
            <w:vAlign w:val="bottom"/>
            <w:hideMark/>
          </w:tcPr>
          <w:p w14:paraId="7A815D17" w14:textId="77777777" w:rsidR="00184B6B" w:rsidRPr="00184B6B" w:rsidRDefault="00184B6B" w:rsidP="00184B6B">
            <w:pPr>
              <w:spacing w:line="240" w:lineRule="auto"/>
              <w:ind w:firstLine="0"/>
              <w:rPr>
                <w:sz w:val="14"/>
                <w:szCs w:val="16"/>
              </w:rPr>
            </w:pPr>
            <w:r w:rsidRPr="00184B6B">
              <w:rPr>
                <w:sz w:val="14"/>
                <w:szCs w:val="16"/>
              </w:rPr>
              <w:t>0.027</w:t>
            </w:r>
          </w:p>
        </w:tc>
        <w:tc>
          <w:tcPr>
            <w:tcW w:w="462" w:type="pct"/>
            <w:tcBorders>
              <w:top w:val="nil"/>
              <w:left w:val="nil"/>
              <w:bottom w:val="nil"/>
              <w:right w:val="single" w:sz="4" w:space="0" w:color="auto"/>
            </w:tcBorders>
            <w:shd w:val="clear" w:color="auto" w:fill="auto"/>
            <w:noWrap/>
            <w:vAlign w:val="bottom"/>
            <w:hideMark/>
          </w:tcPr>
          <w:p w14:paraId="4FDD418D" w14:textId="77777777" w:rsidR="00184B6B" w:rsidRPr="00184B6B" w:rsidRDefault="00184B6B" w:rsidP="00184B6B">
            <w:pPr>
              <w:spacing w:line="240" w:lineRule="auto"/>
              <w:ind w:firstLine="0"/>
              <w:rPr>
                <w:sz w:val="14"/>
                <w:szCs w:val="16"/>
              </w:rPr>
            </w:pPr>
            <w:r w:rsidRPr="00184B6B">
              <w:rPr>
                <w:sz w:val="14"/>
                <w:szCs w:val="16"/>
              </w:rPr>
              <w:t>0.030</w:t>
            </w:r>
          </w:p>
        </w:tc>
        <w:tc>
          <w:tcPr>
            <w:tcW w:w="462" w:type="pct"/>
            <w:tcBorders>
              <w:top w:val="nil"/>
              <w:left w:val="single" w:sz="4" w:space="0" w:color="auto"/>
              <w:bottom w:val="nil"/>
              <w:right w:val="nil"/>
            </w:tcBorders>
            <w:shd w:val="clear" w:color="auto" w:fill="auto"/>
            <w:noWrap/>
            <w:vAlign w:val="bottom"/>
            <w:hideMark/>
          </w:tcPr>
          <w:p w14:paraId="7628A459" w14:textId="77777777" w:rsidR="00184B6B" w:rsidRPr="00184B6B" w:rsidRDefault="00184B6B" w:rsidP="00184B6B">
            <w:pPr>
              <w:spacing w:line="240" w:lineRule="auto"/>
              <w:ind w:firstLine="0"/>
              <w:rPr>
                <w:sz w:val="14"/>
                <w:szCs w:val="16"/>
              </w:rPr>
            </w:pPr>
            <w:r w:rsidRPr="00184B6B">
              <w:rPr>
                <w:sz w:val="14"/>
                <w:szCs w:val="16"/>
              </w:rPr>
              <w:t>0.035</w:t>
            </w:r>
          </w:p>
        </w:tc>
        <w:tc>
          <w:tcPr>
            <w:tcW w:w="462" w:type="pct"/>
            <w:tcBorders>
              <w:top w:val="nil"/>
              <w:left w:val="nil"/>
              <w:bottom w:val="nil"/>
              <w:right w:val="nil"/>
            </w:tcBorders>
            <w:shd w:val="clear" w:color="auto" w:fill="auto"/>
            <w:noWrap/>
            <w:vAlign w:val="bottom"/>
            <w:hideMark/>
          </w:tcPr>
          <w:p w14:paraId="1035DA47" w14:textId="77777777" w:rsidR="00184B6B" w:rsidRPr="00184B6B" w:rsidRDefault="00184B6B" w:rsidP="00184B6B">
            <w:pPr>
              <w:spacing w:line="240" w:lineRule="auto"/>
              <w:ind w:firstLine="0"/>
              <w:rPr>
                <w:sz w:val="14"/>
                <w:szCs w:val="16"/>
              </w:rPr>
            </w:pPr>
            <w:r w:rsidRPr="00184B6B">
              <w:rPr>
                <w:sz w:val="14"/>
                <w:szCs w:val="16"/>
              </w:rPr>
              <w:t>0.033</w:t>
            </w:r>
          </w:p>
        </w:tc>
        <w:tc>
          <w:tcPr>
            <w:tcW w:w="462" w:type="pct"/>
            <w:tcBorders>
              <w:top w:val="nil"/>
              <w:left w:val="nil"/>
              <w:bottom w:val="nil"/>
              <w:right w:val="nil"/>
            </w:tcBorders>
            <w:shd w:val="clear" w:color="auto" w:fill="auto"/>
            <w:noWrap/>
            <w:vAlign w:val="bottom"/>
            <w:hideMark/>
          </w:tcPr>
          <w:p w14:paraId="7D0397A7" w14:textId="77777777" w:rsidR="00184B6B" w:rsidRPr="00184B6B" w:rsidRDefault="00184B6B" w:rsidP="00184B6B">
            <w:pPr>
              <w:spacing w:line="240" w:lineRule="auto"/>
              <w:ind w:firstLine="0"/>
              <w:rPr>
                <w:sz w:val="14"/>
                <w:szCs w:val="16"/>
              </w:rPr>
            </w:pPr>
            <w:r w:rsidRPr="00184B6B">
              <w:rPr>
                <w:sz w:val="14"/>
                <w:szCs w:val="16"/>
              </w:rPr>
              <w:t>0.034</w:t>
            </w:r>
          </w:p>
        </w:tc>
        <w:tc>
          <w:tcPr>
            <w:tcW w:w="459" w:type="pct"/>
            <w:tcBorders>
              <w:top w:val="nil"/>
              <w:left w:val="nil"/>
              <w:bottom w:val="nil"/>
              <w:right w:val="single" w:sz="4" w:space="0" w:color="auto"/>
            </w:tcBorders>
            <w:shd w:val="clear" w:color="auto" w:fill="auto"/>
            <w:noWrap/>
            <w:vAlign w:val="bottom"/>
            <w:hideMark/>
          </w:tcPr>
          <w:p w14:paraId="0DDDD4E9" w14:textId="77777777" w:rsidR="00184B6B" w:rsidRPr="00184B6B" w:rsidRDefault="00184B6B" w:rsidP="00184B6B">
            <w:pPr>
              <w:spacing w:line="240" w:lineRule="auto"/>
              <w:ind w:firstLine="0"/>
              <w:rPr>
                <w:sz w:val="14"/>
                <w:szCs w:val="16"/>
              </w:rPr>
            </w:pPr>
            <w:r w:rsidRPr="00184B6B">
              <w:rPr>
                <w:sz w:val="14"/>
                <w:szCs w:val="16"/>
              </w:rPr>
              <w:t>0.033</w:t>
            </w:r>
          </w:p>
        </w:tc>
      </w:tr>
      <w:tr w:rsidR="00184B6B" w:rsidRPr="00184B6B" w14:paraId="0DEB93B6"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39DB89E"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34C07DA9"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57A18453"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6A5E4C60"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single" w:sz="4" w:space="0" w:color="auto"/>
            </w:tcBorders>
            <w:shd w:val="clear" w:color="auto" w:fill="auto"/>
            <w:noWrap/>
            <w:vAlign w:val="bottom"/>
            <w:hideMark/>
          </w:tcPr>
          <w:p w14:paraId="3EA4F21D"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single" w:sz="4" w:space="0" w:color="auto"/>
              <w:bottom w:val="nil"/>
              <w:right w:val="nil"/>
            </w:tcBorders>
            <w:shd w:val="clear" w:color="auto" w:fill="auto"/>
            <w:noWrap/>
            <w:vAlign w:val="bottom"/>
            <w:hideMark/>
          </w:tcPr>
          <w:p w14:paraId="58E92A4F" w14:textId="77777777" w:rsidR="00184B6B" w:rsidRPr="00184B6B" w:rsidRDefault="00184B6B" w:rsidP="00184B6B">
            <w:pPr>
              <w:spacing w:line="240" w:lineRule="auto"/>
              <w:ind w:firstLine="0"/>
              <w:rPr>
                <w:sz w:val="14"/>
                <w:szCs w:val="16"/>
              </w:rPr>
            </w:pPr>
            <w:r w:rsidRPr="00184B6B">
              <w:rPr>
                <w:sz w:val="14"/>
                <w:szCs w:val="16"/>
              </w:rPr>
              <w:t>(0.036)</w:t>
            </w:r>
          </w:p>
        </w:tc>
        <w:tc>
          <w:tcPr>
            <w:tcW w:w="462" w:type="pct"/>
            <w:tcBorders>
              <w:top w:val="nil"/>
              <w:left w:val="nil"/>
              <w:bottom w:val="nil"/>
              <w:right w:val="nil"/>
            </w:tcBorders>
            <w:shd w:val="clear" w:color="auto" w:fill="auto"/>
            <w:noWrap/>
            <w:vAlign w:val="bottom"/>
            <w:hideMark/>
          </w:tcPr>
          <w:p w14:paraId="0409087F" w14:textId="77777777" w:rsidR="00184B6B" w:rsidRPr="00184B6B" w:rsidRDefault="00184B6B" w:rsidP="00184B6B">
            <w:pPr>
              <w:spacing w:line="240" w:lineRule="auto"/>
              <w:ind w:firstLine="0"/>
              <w:rPr>
                <w:sz w:val="14"/>
                <w:szCs w:val="16"/>
              </w:rPr>
            </w:pPr>
            <w:r w:rsidRPr="00184B6B">
              <w:rPr>
                <w:sz w:val="14"/>
                <w:szCs w:val="16"/>
              </w:rPr>
              <w:t>(0.036)</w:t>
            </w:r>
          </w:p>
        </w:tc>
        <w:tc>
          <w:tcPr>
            <w:tcW w:w="462" w:type="pct"/>
            <w:tcBorders>
              <w:top w:val="nil"/>
              <w:left w:val="nil"/>
              <w:bottom w:val="nil"/>
              <w:right w:val="nil"/>
            </w:tcBorders>
            <w:shd w:val="clear" w:color="auto" w:fill="auto"/>
            <w:noWrap/>
            <w:vAlign w:val="bottom"/>
            <w:hideMark/>
          </w:tcPr>
          <w:p w14:paraId="6997A3E9" w14:textId="77777777" w:rsidR="00184B6B" w:rsidRPr="00184B6B" w:rsidRDefault="00184B6B" w:rsidP="00184B6B">
            <w:pPr>
              <w:spacing w:line="240" w:lineRule="auto"/>
              <w:ind w:firstLine="0"/>
              <w:rPr>
                <w:sz w:val="14"/>
                <w:szCs w:val="16"/>
              </w:rPr>
            </w:pPr>
            <w:r w:rsidRPr="00184B6B">
              <w:rPr>
                <w:sz w:val="14"/>
                <w:szCs w:val="16"/>
              </w:rPr>
              <w:t>(0.036)</w:t>
            </w:r>
          </w:p>
        </w:tc>
        <w:tc>
          <w:tcPr>
            <w:tcW w:w="459" w:type="pct"/>
            <w:tcBorders>
              <w:top w:val="nil"/>
              <w:left w:val="nil"/>
              <w:bottom w:val="nil"/>
              <w:right w:val="single" w:sz="4" w:space="0" w:color="auto"/>
            </w:tcBorders>
            <w:shd w:val="clear" w:color="auto" w:fill="auto"/>
            <w:noWrap/>
            <w:vAlign w:val="bottom"/>
            <w:hideMark/>
          </w:tcPr>
          <w:p w14:paraId="79780F30" w14:textId="77777777" w:rsidR="00184B6B" w:rsidRPr="00184B6B" w:rsidRDefault="00184B6B" w:rsidP="00184B6B">
            <w:pPr>
              <w:spacing w:line="240" w:lineRule="auto"/>
              <w:ind w:firstLine="0"/>
              <w:rPr>
                <w:sz w:val="14"/>
                <w:szCs w:val="16"/>
              </w:rPr>
            </w:pPr>
            <w:r w:rsidRPr="00184B6B">
              <w:rPr>
                <w:sz w:val="14"/>
                <w:szCs w:val="16"/>
              </w:rPr>
              <w:t>(0.036)</w:t>
            </w:r>
          </w:p>
        </w:tc>
      </w:tr>
      <w:tr w:rsidR="00184B6B" w:rsidRPr="00184B6B" w14:paraId="43D9C79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18E568E" w14:textId="77777777" w:rsidR="00184B6B" w:rsidRPr="00184B6B" w:rsidRDefault="00184B6B" w:rsidP="00184B6B">
            <w:pPr>
              <w:spacing w:line="240" w:lineRule="auto"/>
              <w:ind w:firstLine="0"/>
              <w:jc w:val="left"/>
              <w:rPr>
                <w:sz w:val="14"/>
                <w:szCs w:val="16"/>
              </w:rPr>
            </w:pPr>
            <w:r w:rsidRPr="00184B6B">
              <w:rPr>
                <w:sz w:val="14"/>
                <w:szCs w:val="16"/>
              </w:rPr>
              <w:t>Tertiary education</w:t>
            </w:r>
          </w:p>
        </w:tc>
        <w:tc>
          <w:tcPr>
            <w:tcW w:w="462" w:type="pct"/>
            <w:tcBorders>
              <w:top w:val="nil"/>
              <w:left w:val="single" w:sz="4" w:space="0" w:color="auto"/>
              <w:bottom w:val="nil"/>
              <w:right w:val="nil"/>
            </w:tcBorders>
            <w:shd w:val="clear" w:color="auto" w:fill="auto"/>
            <w:noWrap/>
            <w:vAlign w:val="bottom"/>
            <w:hideMark/>
          </w:tcPr>
          <w:p w14:paraId="6C9B4A38" w14:textId="77777777" w:rsidR="00184B6B" w:rsidRPr="00184B6B" w:rsidRDefault="00184B6B" w:rsidP="00184B6B">
            <w:pPr>
              <w:spacing w:line="240" w:lineRule="auto"/>
              <w:ind w:firstLine="0"/>
              <w:rPr>
                <w:sz w:val="14"/>
                <w:szCs w:val="16"/>
              </w:rPr>
            </w:pPr>
            <w:r w:rsidRPr="00184B6B">
              <w:rPr>
                <w:sz w:val="14"/>
                <w:szCs w:val="16"/>
              </w:rPr>
              <w:t>0.072*</w:t>
            </w:r>
          </w:p>
        </w:tc>
        <w:tc>
          <w:tcPr>
            <w:tcW w:w="462" w:type="pct"/>
            <w:tcBorders>
              <w:top w:val="nil"/>
              <w:left w:val="nil"/>
              <w:bottom w:val="nil"/>
              <w:right w:val="nil"/>
            </w:tcBorders>
            <w:shd w:val="clear" w:color="auto" w:fill="auto"/>
            <w:noWrap/>
            <w:vAlign w:val="bottom"/>
            <w:hideMark/>
          </w:tcPr>
          <w:p w14:paraId="1C7B2EDF" w14:textId="77777777" w:rsidR="00184B6B" w:rsidRPr="00184B6B" w:rsidRDefault="00184B6B" w:rsidP="00184B6B">
            <w:pPr>
              <w:spacing w:line="240" w:lineRule="auto"/>
              <w:ind w:firstLine="0"/>
              <w:rPr>
                <w:sz w:val="14"/>
                <w:szCs w:val="16"/>
              </w:rPr>
            </w:pPr>
            <w:r w:rsidRPr="00184B6B">
              <w:rPr>
                <w:sz w:val="14"/>
                <w:szCs w:val="16"/>
              </w:rPr>
              <w:t>0.071*</w:t>
            </w:r>
          </w:p>
        </w:tc>
        <w:tc>
          <w:tcPr>
            <w:tcW w:w="462" w:type="pct"/>
            <w:tcBorders>
              <w:top w:val="nil"/>
              <w:left w:val="nil"/>
              <w:bottom w:val="nil"/>
              <w:right w:val="nil"/>
            </w:tcBorders>
            <w:shd w:val="clear" w:color="auto" w:fill="auto"/>
            <w:noWrap/>
            <w:vAlign w:val="bottom"/>
            <w:hideMark/>
          </w:tcPr>
          <w:p w14:paraId="3CC1E379"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single" w:sz="4" w:space="0" w:color="auto"/>
            </w:tcBorders>
            <w:shd w:val="clear" w:color="auto" w:fill="auto"/>
            <w:noWrap/>
            <w:vAlign w:val="bottom"/>
            <w:hideMark/>
          </w:tcPr>
          <w:p w14:paraId="75407737" w14:textId="77777777" w:rsidR="00184B6B" w:rsidRPr="00184B6B" w:rsidRDefault="00184B6B" w:rsidP="00184B6B">
            <w:pPr>
              <w:spacing w:line="240" w:lineRule="auto"/>
              <w:ind w:firstLine="0"/>
              <w:rPr>
                <w:sz w:val="14"/>
                <w:szCs w:val="16"/>
              </w:rPr>
            </w:pPr>
            <w:r w:rsidRPr="00184B6B">
              <w:rPr>
                <w:sz w:val="14"/>
                <w:szCs w:val="16"/>
              </w:rPr>
              <w:t>0.076*</w:t>
            </w:r>
          </w:p>
        </w:tc>
        <w:tc>
          <w:tcPr>
            <w:tcW w:w="462" w:type="pct"/>
            <w:tcBorders>
              <w:top w:val="nil"/>
              <w:left w:val="single" w:sz="4" w:space="0" w:color="auto"/>
              <w:bottom w:val="nil"/>
              <w:right w:val="nil"/>
            </w:tcBorders>
            <w:shd w:val="clear" w:color="auto" w:fill="auto"/>
            <w:noWrap/>
            <w:vAlign w:val="bottom"/>
            <w:hideMark/>
          </w:tcPr>
          <w:p w14:paraId="452A6627"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nil"/>
              <w:bottom w:val="nil"/>
              <w:right w:val="nil"/>
            </w:tcBorders>
            <w:shd w:val="clear" w:color="auto" w:fill="auto"/>
            <w:noWrap/>
            <w:vAlign w:val="bottom"/>
            <w:hideMark/>
          </w:tcPr>
          <w:p w14:paraId="069DB2AC" w14:textId="77777777" w:rsidR="00184B6B" w:rsidRPr="00184B6B" w:rsidRDefault="00184B6B" w:rsidP="00184B6B">
            <w:pPr>
              <w:spacing w:line="240" w:lineRule="auto"/>
              <w:ind w:firstLine="0"/>
              <w:rPr>
                <w:sz w:val="14"/>
                <w:szCs w:val="16"/>
              </w:rPr>
            </w:pPr>
            <w:r w:rsidRPr="00184B6B">
              <w:rPr>
                <w:sz w:val="14"/>
                <w:szCs w:val="16"/>
              </w:rPr>
              <w:t>0.057*</w:t>
            </w:r>
          </w:p>
        </w:tc>
        <w:tc>
          <w:tcPr>
            <w:tcW w:w="462" w:type="pct"/>
            <w:tcBorders>
              <w:top w:val="nil"/>
              <w:left w:val="nil"/>
              <w:bottom w:val="nil"/>
              <w:right w:val="nil"/>
            </w:tcBorders>
            <w:shd w:val="clear" w:color="auto" w:fill="auto"/>
            <w:noWrap/>
            <w:vAlign w:val="bottom"/>
            <w:hideMark/>
          </w:tcPr>
          <w:p w14:paraId="6ADC356B" w14:textId="77777777" w:rsidR="00184B6B" w:rsidRPr="00184B6B" w:rsidRDefault="00184B6B" w:rsidP="00184B6B">
            <w:pPr>
              <w:spacing w:line="240" w:lineRule="auto"/>
              <w:ind w:firstLine="0"/>
              <w:rPr>
                <w:sz w:val="14"/>
                <w:szCs w:val="16"/>
              </w:rPr>
            </w:pPr>
            <w:r w:rsidRPr="00184B6B">
              <w:rPr>
                <w:sz w:val="14"/>
                <w:szCs w:val="16"/>
              </w:rPr>
              <w:t>0.059*</w:t>
            </w:r>
          </w:p>
        </w:tc>
        <w:tc>
          <w:tcPr>
            <w:tcW w:w="459" w:type="pct"/>
            <w:tcBorders>
              <w:top w:val="nil"/>
              <w:left w:val="nil"/>
              <w:bottom w:val="nil"/>
              <w:right w:val="single" w:sz="4" w:space="0" w:color="auto"/>
            </w:tcBorders>
            <w:shd w:val="clear" w:color="auto" w:fill="auto"/>
            <w:noWrap/>
            <w:vAlign w:val="bottom"/>
            <w:hideMark/>
          </w:tcPr>
          <w:p w14:paraId="1CFA27E9" w14:textId="77777777" w:rsidR="00184B6B" w:rsidRPr="00184B6B" w:rsidRDefault="00184B6B" w:rsidP="00184B6B">
            <w:pPr>
              <w:spacing w:line="240" w:lineRule="auto"/>
              <w:ind w:firstLine="0"/>
              <w:rPr>
                <w:sz w:val="14"/>
                <w:szCs w:val="16"/>
              </w:rPr>
            </w:pPr>
            <w:r w:rsidRPr="00184B6B">
              <w:rPr>
                <w:sz w:val="14"/>
                <w:szCs w:val="16"/>
              </w:rPr>
              <w:t>0.059*</w:t>
            </w:r>
          </w:p>
        </w:tc>
      </w:tr>
      <w:tr w:rsidR="00184B6B" w:rsidRPr="00184B6B" w14:paraId="6E44416D"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4CBFE86"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70F01366" w14:textId="77777777" w:rsidR="00184B6B" w:rsidRPr="00184B6B" w:rsidRDefault="00184B6B" w:rsidP="00184B6B">
            <w:pPr>
              <w:spacing w:line="240" w:lineRule="auto"/>
              <w:ind w:firstLine="0"/>
              <w:rPr>
                <w:sz w:val="14"/>
                <w:szCs w:val="16"/>
              </w:rPr>
            </w:pPr>
            <w:r w:rsidRPr="00184B6B">
              <w:rPr>
                <w:sz w:val="14"/>
                <w:szCs w:val="16"/>
              </w:rPr>
              <w:t>(0.042)</w:t>
            </w:r>
          </w:p>
        </w:tc>
        <w:tc>
          <w:tcPr>
            <w:tcW w:w="462" w:type="pct"/>
            <w:tcBorders>
              <w:top w:val="nil"/>
              <w:left w:val="nil"/>
              <w:bottom w:val="nil"/>
              <w:right w:val="nil"/>
            </w:tcBorders>
            <w:shd w:val="clear" w:color="auto" w:fill="auto"/>
            <w:noWrap/>
            <w:vAlign w:val="bottom"/>
            <w:hideMark/>
          </w:tcPr>
          <w:p w14:paraId="45251D26" w14:textId="77777777" w:rsidR="00184B6B" w:rsidRPr="00184B6B" w:rsidRDefault="00184B6B" w:rsidP="00184B6B">
            <w:pPr>
              <w:spacing w:line="240" w:lineRule="auto"/>
              <w:ind w:firstLine="0"/>
              <w:rPr>
                <w:sz w:val="14"/>
                <w:szCs w:val="16"/>
              </w:rPr>
            </w:pPr>
            <w:r w:rsidRPr="00184B6B">
              <w:rPr>
                <w:sz w:val="14"/>
                <w:szCs w:val="16"/>
              </w:rPr>
              <w:t>(0.042)</w:t>
            </w:r>
          </w:p>
        </w:tc>
        <w:tc>
          <w:tcPr>
            <w:tcW w:w="462" w:type="pct"/>
            <w:tcBorders>
              <w:top w:val="nil"/>
              <w:left w:val="nil"/>
              <w:bottom w:val="nil"/>
              <w:right w:val="nil"/>
            </w:tcBorders>
            <w:shd w:val="clear" w:color="auto" w:fill="auto"/>
            <w:noWrap/>
            <w:vAlign w:val="bottom"/>
            <w:hideMark/>
          </w:tcPr>
          <w:p w14:paraId="3BDC26A1" w14:textId="77777777" w:rsidR="00184B6B" w:rsidRPr="00184B6B" w:rsidRDefault="00184B6B" w:rsidP="00184B6B">
            <w:pPr>
              <w:spacing w:line="240" w:lineRule="auto"/>
              <w:ind w:firstLine="0"/>
              <w:rPr>
                <w:sz w:val="14"/>
                <w:szCs w:val="16"/>
              </w:rPr>
            </w:pPr>
            <w:r w:rsidRPr="00184B6B">
              <w:rPr>
                <w:sz w:val="14"/>
                <w:szCs w:val="16"/>
              </w:rPr>
              <w:t>(0.042)</w:t>
            </w:r>
          </w:p>
        </w:tc>
        <w:tc>
          <w:tcPr>
            <w:tcW w:w="462" w:type="pct"/>
            <w:tcBorders>
              <w:top w:val="nil"/>
              <w:left w:val="nil"/>
              <w:bottom w:val="nil"/>
              <w:right w:val="single" w:sz="4" w:space="0" w:color="auto"/>
            </w:tcBorders>
            <w:shd w:val="clear" w:color="auto" w:fill="auto"/>
            <w:noWrap/>
            <w:vAlign w:val="bottom"/>
            <w:hideMark/>
          </w:tcPr>
          <w:p w14:paraId="07C2B094" w14:textId="77777777" w:rsidR="00184B6B" w:rsidRPr="00184B6B" w:rsidRDefault="00184B6B" w:rsidP="00184B6B">
            <w:pPr>
              <w:spacing w:line="240" w:lineRule="auto"/>
              <w:ind w:firstLine="0"/>
              <w:rPr>
                <w:sz w:val="14"/>
                <w:szCs w:val="16"/>
              </w:rPr>
            </w:pPr>
            <w:r w:rsidRPr="00184B6B">
              <w:rPr>
                <w:sz w:val="14"/>
                <w:szCs w:val="16"/>
              </w:rPr>
              <w:t>(0.042)</w:t>
            </w:r>
          </w:p>
        </w:tc>
        <w:tc>
          <w:tcPr>
            <w:tcW w:w="462" w:type="pct"/>
            <w:tcBorders>
              <w:top w:val="nil"/>
              <w:left w:val="single" w:sz="4" w:space="0" w:color="auto"/>
              <w:bottom w:val="nil"/>
              <w:right w:val="nil"/>
            </w:tcBorders>
            <w:shd w:val="clear" w:color="auto" w:fill="auto"/>
            <w:noWrap/>
            <w:vAlign w:val="bottom"/>
            <w:hideMark/>
          </w:tcPr>
          <w:p w14:paraId="52FCD92F" w14:textId="77777777" w:rsidR="00184B6B" w:rsidRPr="00184B6B" w:rsidRDefault="00184B6B" w:rsidP="00184B6B">
            <w:pPr>
              <w:spacing w:line="240" w:lineRule="auto"/>
              <w:ind w:firstLine="0"/>
              <w:rPr>
                <w:sz w:val="14"/>
                <w:szCs w:val="16"/>
              </w:rPr>
            </w:pPr>
            <w:r w:rsidRPr="00184B6B">
              <w:rPr>
                <w:sz w:val="14"/>
                <w:szCs w:val="16"/>
              </w:rPr>
              <w:t>(0.032)</w:t>
            </w:r>
          </w:p>
        </w:tc>
        <w:tc>
          <w:tcPr>
            <w:tcW w:w="462" w:type="pct"/>
            <w:tcBorders>
              <w:top w:val="nil"/>
              <w:left w:val="nil"/>
              <w:bottom w:val="nil"/>
              <w:right w:val="nil"/>
            </w:tcBorders>
            <w:shd w:val="clear" w:color="auto" w:fill="auto"/>
            <w:noWrap/>
            <w:vAlign w:val="bottom"/>
            <w:hideMark/>
          </w:tcPr>
          <w:p w14:paraId="4924BB7D" w14:textId="77777777" w:rsidR="00184B6B" w:rsidRPr="00184B6B" w:rsidRDefault="00184B6B" w:rsidP="00184B6B">
            <w:pPr>
              <w:spacing w:line="240" w:lineRule="auto"/>
              <w:ind w:firstLine="0"/>
              <w:rPr>
                <w:sz w:val="14"/>
                <w:szCs w:val="16"/>
              </w:rPr>
            </w:pPr>
            <w:r w:rsidRPr="00184B6B">
              <w:rPr>
                <w:sz w:val="14"/>
                <w:szCs w:val="16"/>
              </w:rPr>
              <w:t>(0.032)</w:t>
            </w:r>
          </w:p>
        </w:tc>
        <w:tc>
          <w:tcPr>
            <w:tcW w:w="462" w:type="pct"/>
            <w:tcBorders>
              <w:top w:val="nil"/>
              <w:left w:val="nil"/>
              <w:bottom w:val="nil"/>
              <w:right w:val="nil"/>
            </w:tcBorders>
            <w:shd w:val="clear" w:color="auto" w:fill="auto"/>
            <w:noWrap/>
            <w:vAlign w:val="bottom"/>
            <w:hideMark/>
          </w:tcPr>
          <w:p w14:paraId="213974F7" w14:textId="77777777" w:rsidR="00184B6B" w:rsidRPr="00184B6B" w:rsidRDefault="00184B6B" w:rsidP="00184B6B">
            <w:pPr>
              <w:spacing w:line="240" w:lineRule="auto"/>
              <w:ind w:firstLine="0"/>
              <w:rPr>
                <w:sz w:val="14"/>
                <w:szCs w:val="16"/>
              </w:rPr>
            </w:pPr>
            <w:r w:rsidRPr="00184B6B">
              <w:rPr>
                <w:sz w:val="14"/>
                <w:szCs w:val="16"/>
              </w:rPr>
              <w:t>(0.032)</w:t>
            </w:r>
          </w:p>
        </w:tc>
        <w:tc>
          <w:tcPr>
            <w:tcW w:w="459" w:type="pct"/>
            <w:tcBorders>
              <w:top w:val="nil"/>
              <w:left w:val="nil"/>
              <w:bottom w:val="nil"/>
              <w:right w:val="single" w:sz="4" w:space="0" w:color="auto"/>
            </w:tcBorders>
            <w:shd w:val="clear" w:color="auto" w:fill="auto"/>
            <w:noWrap/>
            <w:vAlign w:val="bottom"/>
            <w:hideMark/>
          </w:tcPr>
          <w:p w14:paraId="3448F74E" w14:textId="77777777" w:rsidR="00184B6B" w:rsidRPr="00184B6B" w:rsidRDefault="00184B6B" w:rsidP="00184B6B">
            <w:pPr>
              <w:spacing w:line="240" w:lineRule="auto"/>
              <w:ind w:firstLine="0"/>
              <w:rPr>
                <w:sz w:val="14"/>
                <w:szCs w:val="16"/>
              </w:rPr>
            </w:pPr>
            <w:r w:rsidRPr="00184B6B">
              <w:rPr>
                <w:sz w:val="14"/>
                <w:szCs w:val="16"/>
              </w:rPr>
              <w:t>(0.032)</w:t>
            </w:r>
          </w:p>
        </w:tc>
      </w:tr>
      <w:tr w:rsidR="00184B6B" w:rsidRPr="00184B6B" w14:paraId="79FDFEFC"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B8EE77C" w14:textId="77777777" w:rsidR="00184B6B" w:rsidRPr="00184B6B" w:rsidRDefault="00184B6B" w:rsidP="00184B6B">
            <w:pPr>
              <w:spacing w:line="240" w:lineRule="auto"/>
              <w:ind w:firstLine="0"/>
              <w:jc w:val="left"/>
              <w:rPr>
                <w:sz w:val="14"/>
                <w:szCs w:val="16"/>
              </w:rPr>
            </w:pPr>
            <w:r w:rsidRPr="00184B6B">
              <w:rPr>
                <w:sz w:val="14"/>
                <w:szCs w:val="16"/>
              </w:rPr>
              <w:t>2nd income quintile</w:t>
            </w:r>
          </w:p>
        </w:tc>
        <w:tc>
          <w:tcPr>
            <w:tcW w:w="462" w:type="pct"/>
            <w:tcBorders>
              <w:top w:val="nil"/>
              <w:left w:val="single" w:sz="4" w:space="0" w:color="auto"/>
              <w:bottom w:val="nil"/>
              <w:right w:val="nil"/>
            </w:tcBorders>
            <w:shd w:val="clear" w:color="auto" w:fill="auto"/>
            <w:noWrap/>
            <w:vAlign w:val="bottom"/>
            <w:hideMark/>
          </w:tcPr>
          <w:p w14:paraId="445367AC" w14:textId="77777777" w:rsidR="00184B6B" w:rsidRPr="00184B6B" w:rsidRDefault="00184B6B" w:rsidP="00184B6B">
            <w:pPr>
              <w:spacing w:line="240" w:lineRule="auto"/>
              <w:ind w:firstLine="0"/>
              <w:rPr>
                <w:sz w:val="14"/>
                <w:szCs w:val="16"/>
              </w:rPr>
            </w:pPr>
            <w:r w:rsidRPr="00184B6B">
              <w:rPr>
                <w:sz w:val="14"/>
                <w:szCs w:val="16"/>
              </w:rPr>
              <w:t>-0.032</w:t>
            </w:r>
          </w:p>
        </w:tc>
        <w:tc>
          <w:tcPr>
            <w:tcW w:w="462" w:type="pct"/>
            <w:tcBorders>
              <w:top w:val="nil"/>
              <w:left w:val="nil"/>
              <w:bottom w:val="nil"/>
              <w:right w:val="nil"/>
            </w:tcBorders>
            <w:shd w:val="clear" w:color="auto" w:fill="auto"/>
            <w:noWrap/>
            <w:vAlign w:val="bottom"/>
            <w:hideMark/>
          </w:tcPr>
          <w:p w14:paraId="4EBD1357" w14:textId="77777777" w:rsidR="00184B6B" w:rsidRPr="00184B6B" w:rsidRDefault="00184B6B" w:rsidP="00184B6B">
            <w:pPr>
              <w:spacing w:line="240" w:lineRule="auto"/>
              <w:ind w:firstLine="0"/>
              <w:rPr>
                <w:sz w:val="14"/>
                <w:szCs w:val="16"/>
              </w:rPr>
            </w:pPr>
            <w:r w:rsidRPr="00184B6B">
              <w:rPr>
                <w:sz w:val="14"/>
                <w:szCs w:val="16"/>
              </w:rPr>
              <w:t>-0.038</w:t>
            </w:r>
          </w:p>
        </w:tc>
        <w:tc>
          <w:tcPr>
            <w:tcW w:w="462" w:type="pct"/>
            <w:tcBorders>
              <w:top w:val="nil"/>
              <w:left w:val="nil"/>
              <w:bottom w:val="nil"/>
              <w:right w:val="nil"/>
            </w:tcBorders>
            <w:shd w:val="clear" w:color="auto" w:fill="auto"/>
            <w:noWrap/>
            <w:vAlign w:val="bottom"/>
            <w:hideMark/>
          </w:tcPr>
          <w:p w14:paraId="469BD2FC" w14:textId="77777777" w:rsidR="00184B6B" w:rsidRPr="00184B6B" w:rsidRDefault="00184B6B" w:rsidP="00184B6B">
            <w:pPr>
              <w:spacing w:line="240" w:lineRule="auto"/>
              <w:ind w:firstLine="0"/>
              <w:rPr>
                <w:sz w:val="14"/>
                <w:szCs w:val="16"/>
              </w:rPr>
            </w:pPr>
            <w:r w:rsidRPr="00184B6B">
              <w:rPr>
                <w:sz w:val="14"/>
                <w:szCs w:val="16"/>
              </w:rPr>
              <w:t>-0.034</w:t>
            </w:r>
          </w:p>
        </w:tc>
        <w:tc>
          <w:tcPr>
            <w:tcW w:w="462" w:type="pct"/>
            <w:tcBorders>
              <w:top w:val="nil"/>
              <w:left w:val="nil"/>
              <w:bottom w:val="nil"/>
              <w:right w:val="single" w:sz="4" w:space="0" w:color="auto"/>
            </w:tcBorders>
            <w:shd w:val="clear" w:color="auto" w:fill="auto"/>
            <w:noWrap/>
            <w:vAlign w:val="bottom"/>
            <w:hideMark/>
          </w:tcPr>
          <w:p w14:paraId="62F9FA57" w14:textId="77777777" w:rsidR="00184B6B" w:rsidRPr="00184B6B" w:rsidRDefault="00184B6B" w:rsidP="00184B6B">
            <w:pPr>
              <w:spacing w:line="240" w:lineRule="auto"/>
              <w:ind w:firstLine="0"/>
              <w:rPr>
                <w:sz w:val="14"/>
                <w:szCs w:val="16"/>
              </w:rPr>
            </w:pPr>
            <w:r w:rsidRPr="00184B6B">
              <w:rPr>
                <w:sz w:val="14"/>
                <w:szCs w:val="16"/>
              </w:rPr>
              <w:t>-0.033</w:t>
            </w:r>
          </w:p>
        </w:tc>
        <w:tc>
          <w:tcPr>
            <w:tcW w:w="462" w:type="pct"/>
            <w:tcBorders>
              <w:top w:val="nil"/>
              <w:left w:val="single" w:sz="4" w:space="0" w:color="auto"/>
              <w:bottom w:val="nil"/>
              <w:right w:val="nil"/>
            </w:tcBorders>
            <w:shd w:val="clear" w:color="auto" w:fill="auto"/>
            <w:noWrap/>
            <w:vAlign w:val="bottom"/>
            <w:hideMark/>
          </w:tcPr>
          <w:p w14:paraId="2B05D1EB" w14:textId="77777777" w:rsidR="00184B6B" w:rsidRPr="00184B6B" w:rsidRDefault="00184B6B" w:rsidP="00184B6B">
            <w:pPr>
              <w:spacing w:line="240" w:lineRule="auto"/>
              <w:ind w:firstLine="0"/>
              <w:rPr>
                <w:sz w:val="14"/>
                <w:szCs w:val="16"/>
              </w:rPr>
            </w:pPr>
            <w:r w:rsidRPr="00184B6B">
              <w:rPr>
                <w:sz w:val="14"/>
                <w:szCs w:val="16"/>
              </w:rPr>
              <w:t>-0.022</w:t>
            </w:r>
          </w:p>
        </w:tc>
        <w:tc>
          <w:tcPr>
            <w:tcW w:w="462" w:type="pct"/>
            <w:tcBorders>
              <w:top w:val="nil"/>
              <w:left w:val="nil"/>
              <w:bottom w:val="nil"/>
              <w:right w:val="nil"/>
            </w:tcBorders>
            <w:shd w:val="clear" w:color="auto" w:fill="auto"/>
            <w:noWrap/>
            <w:vAlign w:val="bottom"/>
            <w:hideMark/>
          </w:tcPr>
          <w:p w14:paraId="1952F6F2" w14:textId="77777777" w:rsidR="00184B6B" w:rsidRPr="00184B6B" w:rsidRDefault="00184B6B" w:rsidP="00184B6B">
            <w:pPr>
              <w:spacing w:line="240" w:lineRule="auto"/>
              <w:ind w:firstLine="0"/>
              <w:rPr>
                <w:sz w:val="14"/>
                <w:szCs w:val="16"/>
              </w:rPr>
            </w:pPr>
            <w:r w:rsidRPr="00184B6B">
              <w:rPr>
                <w:sz w:val="14"/>
                <w:szCs w:val="16"/>
              </w:rPr>
              <w:t>-0.025</w:t>
            </w:r>
          </w:p>
        </w:tc>
        <w:tc>
          <w:tcPr>
            <w:tcW w:w="462" w:type="pct"/>
            <w:tcBorders>
              <w:top w:val="nil"/>
              <w:left w:val="nil"/>
              <w:bottom w:val="nil"/>
              <w:right w:val="nil"/>
            </w:tcBorders>
            <w:shd w:val="clear" w:color="auto" w:fill="auto"/>
            <w:noWrap/>
            <w:vAlign w:val="bottom"/>
            <w:hideMark/>
          </w:tcPr>
          <w:p w14:paraId="1ED85BD6" w14:textId="77777777" w:rsidR="00184B6B" w:rsidRPr="00184B6B" w:rsidRDefault="00184B6B" w:rsidP="00184B6B">
            <w:pPr>
              <w:spacing w:line="240" w:lineRule="auto"/>
              <w:ind w:firstLine="0"/>
              <w:rPr>
                <w:sz w:val="14"/>
                <w:szCs w:val="16"/>
              </w:rPr>
            </w:pPr>
            <w:r w:rsidRPr="00184B6B">
              <w:rPr>
                <w:sz w:val="14"/>
                <w:szCs w:val="16"/>
              </w:rPr>
              <w:t>-0.023</w:t>
            </w:r>
          </w:p>
        </w:tc>
        <w:tc>
          <w:tcPr>
            <w:tcW w:w="459" w:type="pct"/>
            <w:tcBorders>
              <w:top w:val="nil"/>
              <w:left w:val="nil"/>
              <w:bottom w:val="nil"/>
              <w:right w:val="single" w:sz="4" w:space="0" w:color="auto"/>
            </w:tcBorders>
            <w:shd w:val="clear" w:color="auto" w:fill="auto"/>
            <w:noWrap/>
            <w:vAlign w:val="bottom"/>
            <w:hideMark/>
          </w:tcPr>
          <w:p w14:paraId="6D47E3E0" w14:textId="77777777" w:rsidR="00184B6B" w:rsidRPr="00184B6B" w:rsidRDefault="00184B6B" w:rsidP="00184B6B">
            <w:pPr>
              <w:spacing w:line="240" w:lineRule="auto"/>
              <w:ind w:firstLine="0"/>
              <w:rPr>
                <w:sz w:val="14"/>
                <w:szCs w:val="16"/>
              </w:rPr>
            </w:pPr>
            <w:r w:rsidRPr="00184B6B">
              <w:rPr>
                <w:sz w:val="14"/>
                <w:szCs w:val="16"/>
              </w:rPr>
              <w:t>-0.022</w:t>
            </w:r>
          </w:p>
        </w:tc>
      </w:tr>
      <w:tr w:rsidR="00184B6B" w:rsidRPr="00184B6B" w14:paraId="56CBBFE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02BF812"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51D87B04"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78F4364B" w14:textId="77777777" w:rsidR="00184B6B" w:rsidRPr="00184B6B" w:rsidRDefault="00184B6B" w:rsidP="00184B6B">
            <w:pPr>
              <w:spacing w:line="240" w:lineRule="auto"/>
              <w:ind w:firstLine="0"/>
              <w:rPr>
                <w:sz w:val="14"/>
                <w:szCs w:val="16"/>
              </w:rPr>
            </w:pPr>
            <w:r w:rsidRPr="00184B6B">
              <w:rPr>
                <w:sz w:val="14"/>
                <w:szCs w:val="16"/>
              </w:rPr>
              <w:t>(0.060)</w:t>
            </w:r>
          </w:p>
        </w:tc>
        <w:tc>
          <w:tcPr>
            <w:tcW w:w="462" w:type="pct"/>
            <w:tcBorders>
              <w:top w:val="nil"/>
              <w:left w:val="nil"/>
              <w:bottom w:val="nil"/>
              <w:right w:val="nil"/>
            </w:tcBorders>
            <w:shd w:val="clear" w:color="auto" w:fill="auto"/>
            <w:noWrap/>
            <w:vAlign w:val="bottom"/>
            <w:hideMark/>
          </w:tcPr>
          <w:p w14:paraId="4BD3E663"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single" w:sz="4" w:space="0" w:color="auto"/>
            </w:tcBorders>
            <w:shd w:val="clear" w:color="auto" w:fill="auto"/>
            <w:noWrap/>
            <w:vAlign w:val="bottom"/>
            <w:hideMark/>
          </w:tcPr>
          <w:p w14:paraId="1B3A49A5"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single" w:sz="4" w:space="0" w:color="auto"/>
              <w:bottom w:val="nil"/>
              <w:right w:val="nil"/>
            </w:tcBorders>
            <w:shd w:val="clear" w:color="auto" w:fill="auto"/>
            <w:noWrap/>
            <w:vAlign w:val="bottom"/>
            <w:hideMark/>
          </w:tcPr>
          <w:p w14:paraId="26280514"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68578457"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007CE0AA" w14:textId="77777777" w:rsidR="00184B6B" w:rsidRPr="00184B6B" w:rsidRDefault="00184B6B" w:rsidP="00184B6B">
            <w:pPr>
              <w:spacing w:line="240" w:lineRule="auto"/>
              <w:ind w:firstLine="0"/>
              <w:rPr>
                <w:sz w:val="14"/>
                <w:szCs w:val="16"/>
              </w:rPr>
            </w:pPr>
            <w:r w:rsidRPr="00184B6B">
              <w:rPr>
                <w:sz w:val="14"/>
                <w:szCs w:val="16"/>
              </w:rPr>
              <w:t>(0.046)</w:t>
            </w:r>
          </w:p>
        </w:tc>
        <w:tc>
          <w:tcPr>
            <w:tcW w:w="459" w:type="pct"/>
            <w:tcBorders>
              <w:top w:val="nil"/>
              <w:left w:val="nil"/>
              <w:bottom w:val="nil"/>
              <w:right w:val="single" w:sz="4" w:space="0" w:color="auto"/>
            </w:tcBorders>
            <w:shd w:val="clear" w:color="auto" w:fill="auto"/>
            <w:noWrap/>
            <w:vAlign w:val="bottom"/>
            <w:hideMark/>
          </w:tcPr>
          <w:p w14:paraId="51C3922E" w14:textId="77777777" w:rsidR="00184B6B" w:rsidRPr="00184B6B" w:rsidRDefault="00184B6B" w:rsidP="00184B6B">
            <w:pPr>
              <w:spacing w:line="240" w:lineRule="auto"/>
              <w:ind w:firstLine="0"/>
              <w:rPr>
                <w:sz w:val="14"/>
                <w:szCs w:val="16"/>
              </w:rPr>
            </w:pPr>
            <w:r w:rsidRPr="00184B6B">
              <w:rPr>
                <w:sz w:val="14"/>
                <w:szCs w:val="16"/>
              </w:rPr>
              <w:t>(0.046)</w:t>
            </w:r>
          </w:p>
        </w:tc>
      </w:tr>
      <w:tr w:rsidR="00184B6B" w:rsidRPr="00184B6B" w14:paraId="19E6ECE8"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18F153B" w14:textId="77777777" w:rsidR="00184B6B" w:rsidRPr="00184B6B" w:rsidRDefault="00184B6B" w:rsidP="00184B6B">
            <w:pPr>
              <w:spacing w:line="240" w:lineRule="auto"/>
              <w:ind w:firstLine="0"/>
              <w:jc w:val="left"/>
              <w:rPr>
                <w:sz w:val="14"/>
                <w:szCs w:val="16"/>
              </w:rPr>
            </w:pPr>
            <w:r w:rsidRPr="00184B6B">
              <w:rPr>
                <w:sz w:val="14"/>
                <w:szCs w:val="16"/>
              </w:rPr>
              <w:t>3rd income quintile</w:t>
            </w:r>
          </w:p>
        </w:tc>
        <w:tc>
          <w:tcPr>
            <w:tcW w:w="462" w:type="pct"/>
            <w:tcBorders>
              <w:top w:val="nil"/>
              <w:left w:val="single" w:sz="4" w:space="0" w:color="auto"/>
              <w:bottom w:val="nil"/>
              <w:right w:val="nil"/>
            </w:tcBorders>
            <w:shd w:val="clear" w:color="auto" w:fill="auto"/>
            <w:noWrap/>
            <w:vAlign w:val="bottom"/>
            <w:hideMark/>
          </w:tcPr>
          <w:p w14:paraId="492E575E" w14:textId="77777777" w:rsidR="00184B6B" w:rsidRPr="00184B6B" w:rsidRDefault="00184B6B" w:rsidP="00184B6B">
            <w:pPr>
              <w:spacing w:line="240" w:lineRule="auto"/>
              <w:ind w:firstLine="0"/>
              <w:rPr>
                <w:sz w:val="14"/>
                <w:szCs w:val="16"/>
              </w:rPr>
            </w:pPr>
            <w:r w:rsidRPr="00184B6B">
              <w:rPr>
                <w:sz w:val="14"/>
                <w:szCs w:val="16"/>
              </w:rPr>
              <w:t>-0.116**</w:t>
            </w:r>
          </w:p>
        </w:tc>
        <w:tc>
          <w:tcPr>
            <w:tcW w:w="462" w:type="pct"/>
            <w:tcBorders>
              <w:top w:val="nil"/>
              <w:left w:val="nil"/>
              <w:bottom w:val="nil"/>
              <w:right w:val="nil"/>
            </w:tcBorders>
            <w:shd w:val="clear" w:color="auto" w:fill="auto"/>
            <w:noWrap/>
            <w:vAlign w:val="bottom"/>
            <w:hideMark/>
          </w:tcPr>
          <w:p w14:paraId="11DA904F" w14:textId="77777777" w:rsidR="00184B6B" w:rsidRPr="00184B6B" w:rsidRDefault="00184B6B" w:rsidP="00184B6B">
            <w:pPr>
              <w:spacing w:line="240" w:lineRule="auto"/>
              <w:ind w:firstLine="0"/>
              <w:rPr>
                <w:sz w:val="14"/>
                <w:szCs w:val="16"/>
              </w:rPr>
            </w:pPr>
            <w:r w:rsidRPr="00184B6B">
              <w:rPr>
                <w:sz w:val="14"/>
                <w:szCs w:val="16"/>
              </w:rPr>
              <w:t>-0.117**</w:t>
            </w:r>
          </w:p>
        </w:tc>
        <w:tc>
          <w:tcPr>
            <w:tcW w:w="462" w:type="pct"/>
            <w:tcBorders>
              <w:top w:val="nil"/>
              <w:left w:val="nil"/>
              <w:bottom w:val="nil"/>
              <w:right w:val="nil"/>
            </w:tcBorders>
            <w:shd w:val="clear" w:color="auto" w:fill="auto"/>
            <w:noWrap/>
            <w:vAlign w:val="bottom"/>
            <w:hideMark/>
          </w:tcPr>
          <w:p w14:paraId="08DEF467" w14:textId="77777777" w:rsidR="00184B6B" w:rsidRPr="00184B6B" w:rsidRDefault="00184B6B" w:rsidP="00184B6B">
            <w:pPr>
              <w:spacing w:line="240" w:lineRule="auto"/>
              <w:ind w:firstLine="0"/>
              <w:rPr>
                <w:sz w:val="14"/>
                <w:szCs w:val="16"/>
              </w:rPr>
            </w:pPr>
            <w:r w:rsidRPr="00184B6B">
              <w:rPr>
                <w:sz w:val="14"/>
                <w:szCs w:val="16"/>
              </w:rPr>
              <w:t>-0.114**</w:t>
            </w:r>
          </w:p>
        </w:tc>
        <w:tc>
          <w:tcPr>
            <w:tcW w:w="462" w:type="pct"/>
            <w:tcBorders>
              <w:top w:val="nil"/>
              <w:left w:val="nil"/>
              <w:bottom w:val="nil"/>
              <w:right w:val="single" w:sz="4" w:space="0" w:color="auto"/>
            </w:tcBorders>
            <w:shd w:val="clear" w:color="auto" w:fill="auto"/>
            <w:noWrap/>
            <w:vAlign w:val="bottom"/>
            <w:hideMark/>
          </w:tcPr>
          <w:p w14:paraId="6C52D4C1" w14:textId="77777777" w:rsidR="00184B6B" w:rsidRPr="00184B6B" w:rsidRDefault="00184B6B" w:rsidP="00184B6B">
            <w:pPr>
              <w:spacing w:line="240" w:lineRule="auto"/>
              <w:ind w:firstLine="0"/>
              <w:rPr>
                <w:sz w:val="14"/>
                <w:szCs w:val="16"/>
              </w:rPr>
            </w:pPr>
            <w:r w:rsidRPr="00184B6B">
              <w:rPr>
                <w:sz w:val="14"/>
                <w:szCs w:val="16"/>
              </w:rPr>
              <w:t>-0.118**</w:t>
            </w:r>
          </w:p>
        </w:tc>
        <w:tc>
          <w:tcPr>
            <w:tcW w:w="462" w:type="pct"/>
            <w:tcBorders>
              <w:top w:val="nil"/>
              <w:left w:val="single" w:sz="4" w:space="0" w:color="auto"/>
              <w:bottom w:val="nil"/>
              <w:right w:val="nil"/>
            </w:tcBorders>
            <w:shd w:val="clear" w:color="auto" w:fill="auto"/>
            <w:noWrap/>
            <w:vAlign w:val="bottom"/>
            <w:hideMark/>
          </w:tcPr>
          <w:p w14:paraId="40B8D8F0" w14:textId="77777777" w:rsidR="00184B6B" w:rsidRPr="00184B6B" w:rsidRDefault="00184B6B" w:rsidP="00184B6B">
            <w:pPr>
              <w:spacing w:line="240" w:lineRule="auto"/>
              <w:ind w:firstLine="0"/>
              <w:rPr>
                <w:sz w:val="14"/>
                <w:szCs w:val="16"/>
              </w:rPr>
            </w:pPr>
            <w:r w:rsidRPr="00184B6B">
              <w:rPr>
                <w:sz w:val="14"/>
                <w:szCs w:val="16"/>
              </w:rPr>
              <w:t>-0.089*</w:t>
            </w:r>
          </w:p>
        </w:tc>
        <w:tc>
          <w:tcPr>
            <w:tcW w:w="462" w:type="pct"/>
            <w:tcBorders>
              <w:top w:val="nil"/>
              <w:left w:val="nil"/>
              <w:bottom w:val="nil"/>
              <w:right w:val="nil"/>
            </w:tcBorders>
            <w:shd w:val="clear" w:color="auto" w:fill="auto"/>
            <w:noWrap/>
            <w:vAlign w:val="bottom"/>
            <w:hideMark/>
          </w:tcPr>
          <w:p w14:paraId="0E674D87" w14:textId="77777777" w:rsidR="00184B6B" w:rsidRPr="00184B6B" w:rsidRDefault="00184B6B" w:rsidP="00184B6B">
            <w:pPr>
              <w:spacing w:line="240" w:lineRule="auto"/>
              <w:ind w:firstLine="0"/>
              <w:rPr>
                <w:sz w:val="14"/>
                <w:szCs w:val="16"/>
              </w:rPr>
            </w:pPr>
            <w:r w:rsidRPr="00184B6B">
              <w:rPr>
                <w:sz w:val="14"/>
                <w:szCs w:val="16"/>
              </w:rPr>
              <w:t>-0.089*</w:t>
            </w:r>
          </w:p>
        </w:tc>
        <w:tc>
          <w:tcPr>
            <w:tcW w:w="462" w:type="pct"/>
            <w:tcBorders>
              <w:top w:val="nil"/>
              <w:left w:val="nil"/>
              <w:bottom w:val="nil"/>
              <w:right w:val="nil"/>
            </w:tcBorders>
            <w:shd w:val="clear" w:color="auto" w:fill="auto"/>
            <w:noWrap/>
            <w:vAlign w:val="bottom"/>
            <w:hideMark/>
          </w:tcPr>
          <w:p w14:paraId="2C15DB75" w14:textId="77777777" w:rsidR="00184B6B" w:rsidRPr="00184B6B" w:rsidRDefault="00184B6B" w:rsidP="00184B6B">
            <w:pPr>
              <w:spacing w:line="240" w:lineRule="auto"/>
              <w:ind w:firstLine="0"/>
              <w:rPr>
                <w:sz w:val="14"/>
                <w:szCs w:val="16"/>
              </w:rPr>
            </w:pPr>
            <w:r w:rsidRPr="00184B6B">
              <w:rPr>
                <w:sz w:val="14"/>
                <w:szCs w:val="16"/>
              </w:rPr>
              <w:t>-0.089*</w:t>
            </w:r>
          </w:p>
        </w:tc>
        <w:tc>
          <w:tcPr>
            <w:tcW w:w="459" w:type="pct"/>
            <w:tcBorders>
              <w:top w:val="nil"/>
              <w:left w:val="nil"/>
              <w:bottom w:val="nil"/>
              <w:right w:val="single" w:sz="4" w:space="0" w:color="auto"/>
            </w:tcBorders>
            <w:shd w:val="clear" w:color="auto" w:fill="auto"/>
            <w:noWrap/>
            <w:vAlign w:val="bottom"/>
            <w:hideMark/>
          </w:tcPr>
          <w:p w14:paraId="5D90DFCF" w14:textId="77777777" w:rsidR="00184B6B" w:rsidRPr="00184B6B" w:rsidRDefault="00184B6B" w:rsidP="00184B6B">
            <w:pPr>
              <w:spacing w:line="240" w:lineRule="auto"/>
              <w:ind w:firstLine="0"/>
              <w:rPr>
                <w:sz w:val="14"/>
                <w:szCs w:val="16"/>
              </w:rPr>
            </w:pPr>
            <w:r w:rsidRPr="00184B6B">
              <w:rPr>
                <w:sz w:val="14"/>
                <w:szCs w:val="16"/>
              </w:rPr>
              <w:t>-0.090*</w:t>
            </w:r>
          </w:p>
        </w:tc>
      </w:tr>
      <w:tr w:rsidR="00184B6B" w:rsidRPr="00184B6B" w14:paraId="2FFFA8FC"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B1B388D"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6E5562DE" w14:textId="77777777" w:rsidR="00184B6B" w:rsidRPr="00184B6B" w:rsidRDefault="00184B6B" w:rsidP="00184B6B">
            <w:pPr>
              <w:spacing w:line="240" w:lineRule="auto"/>
              <w:ind w:firstLine="0"/>
              <w:rPr>
                <w:sz w:val="14"/>
                <w:szCs w:val="16"/>
              </w:rPr>
            </w:pPr>
            <w:r w:rsidRPr="00184B6B">
              <w:rPr>
                <w:sz w:val="14"/>
                <w:szCs w:val="16"/>
              </w:rPr>
              <w:t>(0.057)</w:t>
            </w:r>
          </w:p>
        </w:tc>
        <w:tc>
          <w:tcPr>
            <w:tcW w:w="462" w:type="pct"/>
            <w:tcBorders>
              <w:top w:val="nil"/>
              <w:left w:val="nil"/>
              <w:bottom w:val="nil"/>
              <w:right w:val="nil"/>
            </w:tcBorders>
            <w:shd w:val="clear" w:color="auto" w:fill="auto"/>
            <w:noWrap/>
            <w:vAlign w:val="bottom"/>
            <w:hideMark/>
          </w:tcPr>
          <w:p w14:paraId="5CBEE332" w14:textId="77777777" w:rsidR="00184B6B" w:rsidRPr="00184B6B" w:rsidRDefault="00184B6B" w:rsidP="00184B6B">
            <w:pPr>
              <w:spacing w:line="240" w:lineRule="auto"/>
              <w:ind w:firstLine="0"/>
              <w:rPr>
                <w:sz w:val="14"/>
                <w:szCs w:val="16"/>
              </w:rPr>
            </w:pPr>
            <w:r w:rsidRPr="00184B6B">
              <w:rPr>
                <w:sz w:val="14"/>
                <w:szCs w:val="16"/>
              </w:rPr>
              <w:t>(0.057)</w:t>
            </w:r>
          </w:p>
        </w:tc>
        <w:tc>
          <w:tcPr>
            <w:tcW w:w="462" w:type="pct"/>
            <w:tcBorders>
              <w:top w:val="nil"/>
              <w:left w:val="nil"/>
              <w:bottom w:val="nil"/>
              <w:right w:val="nil"/>
            </w:tcBorders>
            <w:shd w:val="clear" w:color="auto" w:fill="auto"/>
            <w:noWrap/>
            <w:vAlign w:val="bottom"/>
            <w:hideMark/>
          </w:tcPr>
          <w:p w14:paraId="221EDB71" w14:textId="77777777" w:rsidR="00184B6B" w:rsidRPr="00184B6B" w:rsidRDefault="00184B6B" w:rsidP="00184B6B">
            <w:pPr>
              <w:spacing w:line="240" w:lineRule="auto"/>
              <w:ind w:firstLine="0"/>
              <w:rPr>
                <w:sz w:val="14"/>
                <w:szCs w:val="16"/>
              </w:rPr>
            </w:pPr>
            <w:r w:rsidRPr="00184B6B">
              <w:rPr>
                <w:sz w:val="14"/>
                <w:szCs w:val="16"/>
              </w:rPr>
              <w:t>(0.057)</w:t>
            </w:r>
          </w:p>
        </w:tc>
        <w:tc>
          <w:tcPr>
            <w:tcW w:w="462" w:type="pct"/>
            <w:tcBorders>
              <w:top w:val="nil"/>
              <w:left w:val="nil"/>
              <w:bottom w:val="nil"/>
              <w:right w:val="single" w:sz="4" w:space="0" w:color="auto"/>
            </w:tcBorders>
            <w:shd w:val="clear" w:color="auto" w:fill="auto"/>
            <w:noWrap/>
            <w:vAlign w:val="bottom"/>
            <w:hideMark/>
          </w:tcPr>
          <w:p w14:paraId="14D55592" w14:textId="77777777" w:rsidR="00184B6B" w:rsidRPr="00184B6B" w:rsidRDefault="00184B6B" w:rsidP="00184B6B">
            <w:pPr>
              <w:spacing w:line="240" w:lineRule="auto"/>
              <w:ind w:firstLine="0"/>
              <w:rPr>
                <w:sz w:val="14"/>
                <w:szCs w:val="16"/>
              </w:rPr>
            </w:pPr>
            <w:r w:rsidRPr="00184B6B">
              <w:rPr>
                <w:sz w:val="14"/>
                <w:szCs w:val="16"/>
              </w:rPr>
              <w:t>(0.057)</w:t>
            </w:r>
          </w:p>
        </w:tc>
        <w:tc>
          <w:tcPr>
            <w:tcW w:w="462" w:type="pct"/>
            <w:tcBorders>
              <w:top w:val="nil"/>
              <w:left w:val="single" w:sz="4" w:space="0" w:color="auto"/>
              <w:bottom w:val="nil"/>
              <w:right w:val="nil"/>
            </w:tcBorders>
            <w:shd w:val="clear" w:color="auto" w:fill="auto"/>
            <w:noWrap/>
            <w:vAlign w:val="bottom"/>
            <w:hideMark/>
          </w:tcPr>
          <w:p w14:paraId="57407B82"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5FCF1047"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25B05CC5" w14:textId="77777777" w:rsidR="00184B6B" w:rsidRPr="00184B6B" w:rsidRDefault="00184B6B" w:rsidP="00184B6B">
            <w:pPr>
              <w:spacing w:line="240" w:lineRule="auto"/>
              <w:ind w:firstLine="0"/>
              <w:rPr>
                <w:sz w:val="14"/>
                <w:szCs w:val="16"/>
              </w:rPr>
            </w:pPr>
            <w:r w:rsidRPr="00184B6B">
              <w:rPr>
                <w:sz w:val="14"/>
                <w:szCs w:val="16"/>
              </w:rPr>
              <w:t>(0.046)</w:t>
            </w:r>
          </w:p>
        </w:tc>
        <w:tc>
          <w:tcPr>
            <w:tcW w:w="459" w:type="pct"/>
            <w:tcBorders>
              <w:top w:val="nil"/>
              <w:left w:val="nil"/>
              <w:bottom w:val="nil"/>
              <w:right w:val="single" w:sz="4" w:space="0" w:color="auto"/>
            </w:tcBorders>
            <w:shd w:val="clear" w:color="auto" w:fill="auto"/>
            <w:noWrap/>
            <w:vAlign w:val="bottom"/>
            <w:hideMark/>
          </w:tcPr>
          <w:p w14:paraId="79E3B765" w14:textId="77777777" w:rsidR="00184B6B" w:rsidRPr="00184B6B" w:rsidRDefault="00184B6B" w:rsidP="00184B6B">
            <w:pPr>
              <w:spacing w:line="240" w:lineRule="auto"/>
              <w:ind w:firstLine="0"/>
              <w:rPr>
                <w:sz w:val="14"/>
                <w:szCs w:val="16"/>
              </w:rPr>
            </w:pPr>
            <w:r w:rsidRPr="00184B6B">
              <w:rPr>
                <w:sz w:val="14"/>
                <w:szCs w:val="16"/>
              </w:rPr>
              <w:t>(0.046)</w:t>
            </w:r>
          </w:p>
        </w:tc>
      </w:tr>
      <w:tr w:rsidR="00184B6B" w:rsidRPr="00184B6B" w14:paraId="05FE07F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E0298CB" w14:textId="77777777" w:rsidR="00184B6B" w:rsidRPr="00184B6B" w:rsidRDefault="00184B6B" w:rsidP="00184B6B">
            <w:pPr>
              <w:spacing w:line="240" w:lineRule="auto"/>
              <w:ind w:firstLine="0"/>
              <w:jc w:val="left"/>
              <w:rPr>
                <w:sz w:val="14"/>
                <w:szCs w:val="16"/>
              </w:rPr>
            </w:pPr>
            <w:r w:rsidRPr="00184B6B">
              <w:rPr>
                <w:sz w:val="14"/>
                <w:szCs w:val="16"/>
              </w:rPr>
              <w:t>4th income quintile</w:t>
            </w:r>
          </w:p>
        </w:tc>
        <w:tc>
          <w:tcPr>
            <w:tcW w:w="462" w:type="pct"/>
            <w:tcBorders>
              <w:top w:val="nil"/>
              <w:left w:val="single" w:sz="4" w:space="0" w:color="auto"/>
              <w:bottom w:val="nil"/>
              <w:right w:val="nil"/>
            </w:tcBorders>
            <w:shd w:val="clear" w:color="auto" w:fill="auto"/>
            <w:noWrap/>
            <w:vAlign w:val="bottom"/>
            <w:hideMark/>
          </w:tcPr>
          <w:p w14:paraId="44ACAE5D" w14:textId="77777777" w:rsidR="00184B6B" w:rsidRPr="00184B6B" w:rsidRDefault="00184B6B" w:rsidP="00184B6B">
            <w:pPr>
              <w:spacing w:line="240" w:lineRule="auto"/>
              <w:ind w:firstLine="0"/>
              <w:rPr>
                <w:sz w:val="14"/>
                <w:szCs w:val="16"/>
              </w:rPr>
            </w:pPr>
            <w:r w:rsidRPr="00184B6B">
              <w:rPr>
                <w:sz w:val="14"/>
                <w:szCs w:val="16"/>
              </w:rPr>
              <w:t>-0.011</w:t>
            </w:r>
          </w:p>
        </w:tc>
        <w:tc>
          <w:tcPr>
            <w:tcW w:w="462" w:type="pct"/>
            <w:tcBorders>
              <w:top w:val="nil"/>
              <w:left w:val="nil"/>
              <w:bottom w:val="nil"/>
              <w:right w:val="nil"/>
            </w:tcBorders>
            <w:shd w:val="clear" w:color="auto" w:fill="auto"/>
            <w:noWrap/>
            <w:vAlign w:val="bottom"/>
            <w:hideMark/>
          </w:tcPr>
          <w:p w14:paraId="2FAA0120"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nil"/>
              <w:bottom w:val="nil"/>
              <w:right w:val="nil"/>
            </w:tcBorders>
            <w:shd w:val="clear" w:color="auto" w:fill="auto"/>
            <w:noWrap/>
            <w:vAlign w:val="bottom"/>
            <w:hideMark/>
          </w:tcPr>
          <w:p w14:paraId="27F9EC36" w14:textId="77777777" w:rsidR="00184B6B" w:rsidRPr="00184B6B" w:rsidRDefault="00184B6B" w:rsidP="00184B6B">
            <w:pPr>
              <w:spacing w:line="240" w:lineRule="auto"/>
              <w:ind w:firstLine="0"/>
              <w:rPr>
                <w:sz w:val="14"/>
                <w:szCs w:val="16"/>
              </w:rPr>
            </w:pPr>
            <w:r w:rsidRPr="00184B6B">
              <w:rPr>
                <w:sz w:val="14"/>
                <w:szCs w:val="16"/>
              </w:rPr>
              <w:t>-0.020</w:t>
            </w:r>
          </w:p>
        </w:tc>
        <w:tc>
          <w:tcPr>
            <w:tcW w:w="462" w:type="pct"/>
            <w:tcBorders>
              <w:top w:val="nil"/>
              <w:left w:val="nil"/>
              <w:bottom w:val="nil"/>
              <w:right w:val="single" w:sz="4" w:space="0" w:color="auto"/>
            </w:tcBorders>
            <w:shd w:val="clear" w:color="auto" w:fill="auto"/>
            <w:noWrap/>
            <w:vAlign w:val="bottom"/>
            <w:hideMark/>
          </w:tcPr>
          <w:p w14:paraId="39E7A750"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single" w:sz="4" w:space="0" w:color="auto"/>
              <w:bottom w:val="nil"/>
              <w:right w:val="nil"/>
            </w:tcBorders>
            <w:shd w:val="clear" w:color="auto" w:fill="auto"/>
            <w:noWrap/>
            <w:vAlign w:val="bottom"/>
            <w:hideMark/>
          </w:tcPr>
          <w:p w14:paraId="070A7DC9"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nil"/>
              <w:bottom w:val="nil"/>
              <w:right w:val="nil"/>
            </w:tcBorders>
            <w:shd w:val="clear" w:color="auto" w:fill="auto"/>
            <w:noWrap/>
            <w:vAlign w:val="bottom"/>
            <w:hideMark/>
          </w:tcPr>
          <w:p w14:paraId="388833B4"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nil"/>
              <w:bottom w:val="nil"/>
              <w:right w:val="nil"/>
            </w:tcBorders>
            <w:shd w:val="clear" w:color="auto" w:fill="auto"/>
            <w:noWrap/>
            <w:vAlign w:val="bottom"/>
            <w:hideMark/>
          </w:tcPr>
          <w:p w14:paraId="5C345642" w14:textId="77777777" w:rsidR="00184B6B" w:rsidRPr="00184B6B" w:rsidRDefault="00184B6B" w:rsidP="00184B6B">
            <w:pPr>
              <w:spacing w:line="240" w:lineRule="auto"/>
              <w:ind w:firstLine="0"/>
              <w:rPr>
                <w:sz w:val="14"/>
                <w:szCs w:val="16"/>
              </w:rPr>
            </w:pPr>
            <w:r w:rsidRPr="00184B6B">
              <w:rPr>
                <w:sz w:val="14"/>
                <w:szCs w:val="16"/>
              </w:rPr>
              <w:t>-0.018</w:t>
            </w:r>
          </w:p>
        </w:tc>
        <w:tc>
          <w:tcPr>
            <w:tcW w:w="459" w:type="pct"/>
            <w:tcBorders>
              <w:top w:val="nil"/>
              <w:left w:val="nil"/>
              <w:bottom w:val="nil"/>
              <w:right w:val="single" w:sz="4" w:space="0" w:color="auto"/>
            </w:tcBorders>
            <w:shd w:val="clear" w:color="auto" w:fill="auto"/>
            <w:noWrap/>
            <w:vAlign w:val="bottom"/>
            <w:hideMark/>
          </w:tcPr>
          <w:p w14:paraId="5EDE01F5" w14:textId="77777777" w:rsidR="00184B6B" w:rsidRPr="00184B6B" w:rsidRDefault="00184B6B" w:rsidP="00184B6B">
            <w:pPr>
              <w:spacing w:line="240" w:lineRule="auto"/>
              <w:ind w:firstLine="0"/>
              <w:rPr>
                <w:sz w:val="14"/>
                <w:szCs w:val="16"/>
              </w:rPr>
            </w:pPr>
            <w:r w:rsidRPr="00184B6B">
              <w:rPr>
                <w:sz w:val="14"/>
                <w:szCs w:val="16"/>
              </w:rPr>
              <w:t>-0.016</w:t>
            </w:r>
          </w:p>
        </w:tc>
      </w:tr>
      <w:tr w:rsidR="00184B6B" w:rsidRPr="00184B6B" w14:paraId="19587762"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D857C01"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04F31F50"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nil"/>
            </w:tcBorders>
            <w:shd w:val="clear" w:color="auto" w:fill="auto"/>
            <w:noWrap/>
            <w:vAlign w:val="bottom"/>
            <w:hideMark/>
          </w:tcPr>
          <w:p w14:paraId="7E04F7BB"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nil"/>
            </w:tcBorders>
            <w:shd w:val="clear" w:color="auto" w:fill="auto"/>
            <w:noWrap/>
            <w:vAlign w:val="bottom"/>
            <w:hideMark/>
          </w:tcPr>
          <w:p w14:paraId="1FA0BF91"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single" w:sz="4" w:space="0" w:color="auto"/>
            </w:tcBorders>
            <w:shd w:val="clear" w:color="auto" w:fill="auto"/>
            <w:noWrap/>
            <w:vAlign w:val="bottom"/>
            <w:hideMark/>
          </w:tcPr>
          <w:p w14:paraId="74E1D040"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single" w:sz="4" w:space="0" w:color="auto"/>
              <w:bottom w:val="nil"/>
              <w:right w:val="nil"/>
            </w:tcBorders>
            <w:shd w:val="clear" w:color="auto" w:fill="auto"/>
            <w:noWrap/>
            <w:vAlign w:val="bottom"/>
            <w:hideMark/>
          </w:tcPr>
          <w:p w14:paraId="15FF1865"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765798F4"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1993C6AC" w14:textId="77777777" w:rsidR="00184B6B" w:rsidRPr="00184B6B" w:rsidRDefault="00184B6B" w:rsidP="00184B6B">
            <w:pPr>
              <w:spacing w:line="240" w:lineRule="auto"/>
              <w:ind w:firstLine="0"/>
              <w:rPr>
                <w:sz w:val="14"/>
                <w:szCs w:val="16"/>
              </w:rPr>
            </w:pPr>
            <w:r w:rsidRPr="00184B6B">
              <w:rPr>
                <w:sz w:val="14"/>
                <w:szCs w:val="16"/>
              </w:rPr>
              <w:t>(0.046)</w:t>
            </w:r>
          </w:p>
        </w:tc>
        <w:tc>
          <w:tcPr>
            <w:tcW w:w="459" w:type="pct"/>
            <w:tcBorders>
              <w:top w:val="nil"/>
              <w:left w:val="nil"/>
              <w:bottom w:val="nil"/>
              <w:right w:val="single" w:sz="4" w:space="0" w:color="auto"/>
            </w:tcBorders>
            <w:shd w:val="clear" w:color="auto" w:fill="auto"/>
            <w:noWrap/>
            <w:vAlign w:val="bottom"/>
            <w:hideMark/>
          </w:tcPr>
          <w:p w14:paraId="55397C0A" w14:textId="77777777" w:rsidR="00184B6B" w:rsidRPr="00184B6B" w:rsidRDefault="00184B6B" w:rsidP="00184B6B">
            <w:pPr>
              <w:spacing w:line="240" w:lineRule="auto"/>
              <w:ind w:firstLine="0"/>
              <w:rPr>
                <w:sz w:val="14"/>
                <w:szCs w:val="16"/>
              </w:rPr>
            </w:pPr>
            <w:r w:rsidRPr="00184B6B">
              <w:rPr>
                <w:sz w:val="14"/>
                <w:szCs w:val="16"/>
              </w:rPr>
              <w:t>(0.046)</w:t>
            </w:r>
          </w:p>
        </w:tc>
      </w:tr>
      <w:tr w:rsidR="00184B6B" w:rsidRPr="00184B6B" w14:paraId="01FEDCF0"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1E8A5B8" w14:textId="77777777" w:rsidR="00184B6B" w:rsidRPr="00184B6B" w:rsidRDefault="00184B6B" w:rsidP="00184B6B">
            <w:pPr>
              <w:spacing w:line="240" w:lineRule="auto"/>
              <w:ind w:firstLine="0"/>
              <w:jc w:val="left"/>
              <w:rPr>
                <w:sz w:val="14"/>
                <w:szCs w:val="16"/>
              </w:rPr>
            </w:pPr>
            <w:r w:rsidRPr="00184B6B">
              <w:rPr>
                <w:sz w:val="14"/>
                <w:szCs w:val="16"/>
              </w:rPr>
              <w:t>5th income quintile</w:t>
            </w:r>
          </w:p>
        </w:tc>
        <w:tc>
          <w:tcPr>
            <w:tcW w:w="462" w:type="pct"/>
            <w:tcBorders>
              <w:top w:val="nil"/>
              <w:left w:val="single" w:sz="4" w:space="0" w:color="auto"/>
              <w:bottom w:val="nil"/>
              <w:right w:val="nil"/>
            </w:tcBorders>
            <w:shd w:val="clear" w:color="auto" w:fill="auto"/>
            <w:noWrap/>
            <w:vAlign w:val="bottom"/>
            <w:hideMark/>
          </w:tcPr>
          <w:p w14:paraId="052A69C0" w14:textId="77777777" w:rsidR="00184B6B" w:rsidRPr="00184B6B" w:rsidRDefault="00184B6B" w:rsidP="00184B6B">
            <w:pPr>
              <w:spacing w:line="240" w:lineRule="auto"/>
              <w:ind w:firstLine="0"/>
              <w:rPr>
                <w:sz w:val="14"/>
                <w:szCs w:val="16"/>
              </w:rPr>
            </w:pPr>
            <w:r w:rsidRPr="00184B6B">
              <w:rPr>
                <w:sz w:val="14"/>
                <w:szCs w:val="16"/>
              </w:rPr>
              <w:t>-0.080</w:t>
            </w:r>
          </w:p>
        </w:tc>
        <w:tc>
          <w:tcPr>
            <w:tcW w:w="462" w:type="pct"/>
            <w:tcBorders>
              <w:top w:val="nil"/>
              <w:left w:val="nil"/>
              <w:bottom w:val="nil"/>
              <w:right w:val="nil"/>
            </w:tcBorders>
            <w:shd w:val="clear" w:color="auto" w:fill="auto"/>
            <w:noWrap/>
            <w:vAlign w:val="bottom"/>
            <w:hideMark/>
          </w:tcPr>
          <w:p w14:paraId="47279F6D" w14:textId="77777777" w:rsidR="00184B6B" w:rsidRPr="00184B6B" w:rsidRDefault="00184B6B" w:rsidP="00184B6B">
            <w:pPr>
              <w:spacing w:line="240" w:lineRule="auto"/>
              <w:ind w:firstLine="0"/>
              <w:rPr>
                <w:sz w:val="14"/>
                <w:szCs w:val="16"/>
              </w:rPr>
            </w:pPr>
            <w:r w:rsidRPr="00184B6B">
              <w:rPr>
                <w:sz w:val="14"/>
                <w:szCs w:val="16"/>
              </w:rPr>
              <w:t>-0.092</w:t>
            </w:r>
          </w:p>
        </w:tc>
        <w:tc>
          <w:tcPr>
            <w:tcW w:w="462" w:type="pct"/>
            <w:tcBorders>
              <w:top w:val="nil"/>
              <w:left w:val="nil"/>
              <w:bottom w:val="nil"/>
              <w:right w:val="nil"/>
            </w:tcBorders>
            <w:shd w:val="clear" w:color="auto" w:fill="auto"/>
            <w:noWrap/>
            <w:vAlign w:val="bottom"/>
            <w:hideMark/>
          </w:tcPr>
          <w:p w14:paraId="561BE6AC" w14:textId="77777777" w:rsidR="00184B6B" w:rsidRPr="00184B6B" w:rsidRDefault="00184B6B" w:rsidP="00184B6B">
            <w:pPr>
              <w:spacing w:line="240" w:lineRule="auto"/>
              <w:ind w:firstLine="0"/>
              <w:rPr>
                <w:sz w:val="14"/>
                <w:szCs w:val="16"/>
              </w:rPr>
            </w:pPr>
            <w:r w:rsidRPr="00184B6B">
              <w:rPr>
                <w:sz w:val="14"/>
                <w:szCs w:val="16"/>
              </w:rPr>
              <w:t>-0.088</w:t>
            </w:r>
          </w:p>
        </w:tc>
        <w:tc>
          <w:tcPr>
            <w:tcW w:w="462" w:type="pct"/>
            <w:tcBorders>
              <w:top w:val="nil"/>
              <w:left w:val="nil"/>
              <w:bottom w:val="nil"/>
              <w:right w:val="single" w:sz="4" w:space="0" w:color="auto"/>
            </w:tcBorders>
            <w:shd w:val="clear" w:color="auto" w:fill="auto"/>
            <w:noWrap/>
            <w:vAlign w:val="bottom"/>
            <w:hideMark/>
          </w:tcPr>
          <w:p w14:paraId="076D38AB" w14:textId="77777777" w:rsidR="00184B6B" w:rsidRPr="00184B6B" w:rsidRDefault="00184B6B" w:rsidP="00184B6B">
            <w:pPr>
              <w:spacing w:line="240" w:lineRule="auto"/>
              <w:ind w:firstLine="0"/>
              <w:rPr>
                <w:sz w:val="14"/>
                <w:szCs w:val="16"/>
              </w:rPr>
            </w:pPr>
            <w:r w:rsidRPr="00184B6B">
              <w:rPr>
                <w:sz w:val="14"/>
                <w:szCs w:val="16"/>
              </w:rPr>
              <w:t>-0.088</w:t>
            </w:r>
          </w:p>
        </w:tc>
        <w:tc>
          <w:tcPr>
            <w:tcW w:w="462" w:type="pct"/>
            <w:tcBorders>
              <w:top w:val="nil"/>
              <w:left w:val="single" w:sz="4" w:space="0" w:color="auto"/>
              <w:bottom w:val="nil"/>
              <w:right w:val="nil"/>
            </w:tcBorders>
            <w:shd w:val="clear" w:color="auto" w:fill="auto"/>
            <w:noWrap/>
            <w:vAlign w:val="bottom"/>
            <w:hideMark/>
          </w:tcPr>
          <w:p w14:paraId="0423A5FB" w14:textId="77777777" w:rsidR="00184B6B" w:rsidRPr="00184B6B" w:rsidRDefault="00184B6B" w:rsidP="00184B6B">
            <w:pPr>
              <w:spacing w:line="240" w:lineRule="auto"/>
              <w:ind w:firstLine="0"/>
              <w:rPr>
                <w:sz w:val="14"/>
                <w:szCs w:val="16"/>
              </w:rPr>
            </w:pPr>
            <w:r w:rsidRPr="00184B6B">
              <w:rPr>
                <w:sz w:val="14"/>
                <w:szCs w:val="16"/>
              </w:rPr>
              <w:t>0.004</w:t>
            </w:r>
          </w:p>
        </w:tc>
        <w:tc>
          <w:tcPr>
            <w:tcW w:w="462" w:type="pct"/>
            <w:tcBorders>
              <w:top w:val="nil"/>
              <w:left w:val="nil"/>
              <w:bottom w:val="nil"/>
              <w:right w:val="nil"/>
            </w:tcBorders>
            <w:shd w:val="clear" w:color="auto" w:fill="auto"/>
            <w:noWrap/>
            <w:vAlign w:val="bottom"/>
            <w:hideMark/>
          </w:tcPr>
          <w:p w14:paraId="66A347F4" w14:textId="77777777" w:rsidR="00184B6B" w:rsidRPr="00184B6B" w:rsidRDefault="00184B6B" w:rsidP="00184B6B">
            <w:pPr>
              <w:spacing w:line="240" w:lineRule="auto"/>
              <w:ind w:firstLine="0"/>
              <w:rPr>
                <w:sz w:val="14"/>
                <w:szCs w:val="16"/>
              </w:rPr>
            </w:pPr>
            <w:r w:rsidRPr="00184B6B">
              <w:rPr>
                <w:sz w:val="14"/>
                <w:szCs w:val="16"/>
              </w:rPr>
              <w:t>-0.001</w:t>
            </w:r>
          </w:p>
        </w:tc>
        <w:tc>
          <w:tcPr>
            <w:tcW w:w="462" w:type="pct"/>
            <w:tcBorders>
              <w:top w:val="nil"/>
              <w:left w:val="nil"/>
              <w:bottom w:val="nil"/>
              <w:right w:val="nil"/>
            </w:tcBorders>
            <w:shd w:val="clear" w:color="auto" w:fill="auto"/>
            <w:noWrap/>
            <w:vAlign w:val="bottom"/>
            <w:hideMark/>
          </w:tcPr>
          <w:p w14:paraId="210C3735" w14:textId="77777777" w:rsidR="00184B6B" w:rsidRPr="00184B6B" w:rsidRDefault="00184B6B" w:rsidP="00184B6B">
            <w:pPr>
              <w:spacing w:line="240" w:lineRule="auto"/>
              <w:ind w:firstLine="0"/>
              <w:rPr>
                <w:sz w:val="14"/>
                <w:szCs w:val="16"/>
              </w:rPr>
            </w:pPr>
            <w:r w:rsidRPr="00184B6B">
              <w:rPr>
                <w:sz w:val="14"/>
                <w:szCs w:val="16"/>
              </w:rPr>
              <w:t>0.000</w:t>
            </w:r>
          </w:p>
        </w:tc>
        <w:tc>
          <w:tcPr>
            <w:tcW w:w="459" w:type="pct"/>
            <w:tcBorders>
              <w:top w:val="nil"/>
              <w:left w:val="nil"/>
              <w:bottom w:val="nil"/>
              <w:right w:val="single" w:sz="4" w:space="0" w:color="auto"/>
            </w:tcBorders>
            <w:shd w:val="clear" w:color="auto" w:fill="auto"/>
            <w:noWrap/>
            <w:vAlign w:val="bottom"/>
            <w:hideMark/>
          </w:tcPr>
          <w:p w14:paraId="6CAE9E61" w14:textId="77777777" w:rsidR="00184B6B" w:rsidRPr="00184B6B" w:rsidRDefault="00184B6B" w:rsidP="00184B6B">
            <w:pPr>
              <w:spacing w:line="240" w:lineRule="auto"/>
              <w:ind w:firstLine="0"/>
              <w:rPr>
                <w:sz w:val="14"/>
                <w:szCs w:val="16"/>
              </w:rPr>
            </w:pPr>
            <w:r w:rsidRPr="00184B6B">
              <w:rPr>
                <w:sz w:val="14"/>
                <w:szCs w:val="16"/>
              </w:rPr>
              <w:t>0.001</w:t>
            </w:r>
          </w:p>
        </w:tc>
      </w:tr>
      <w:tr w:rsidR="00184B6B" w:rsidRPr="00184B6B" w14:paraId="41B78858"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96E93AB"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223CE9C" w14:textId="77777777" w:rsidR="00184B6B" w:rsidRPr="00184B6B" w:rsidRDefault="00184B6B" w:rsidP="00184B6B">
            <w:pPr>
              <w:spacing w:line="240" w:lineRule="auto"/>
              <w:ind w:firstLine="0"/>
              <w:rPr>
                <w:sz w:val="14"/>
                <w:szCs w:val="16"/>
              </w:rPr>
            </w:pPr>
            <w:r w:rsidRPr="00184B6B">
              <w:rPr>
                <w:sz w:val="14"/>
                <w:szCs w:val="16"/>
              </w:rPr>
              <w:t>(0.061)</w:t>
            </w:r>
          </w:p>
        </w:tc>
        <w:tc>
          <w:tcPr>
            <w:tcW w:w="462" w:type="pct"/>
            <w:tcBorders>
              <w:top w:val="nil"/>
              <w:left w:val="nil"/>
              <w:bottom w:val="nil"/>
              <w:right w:val="nil"/>
            </w:tcBorders>
            <w:shd w:val="clear" w:color="auto" w:fill="auto"/>
            <w:noWrap/>
            <w:vAlign w:val="bottom"/>
            <w:hideMark/>
          </w:tcPr>
          <w:p w14:paraId="02B9E5BB" w14:textId="77777777" w:rsidR="00184B6B" w:rsidRPr="00184B6B" w:rsidRDefault="00184B6B" w:rsidP="00184B6B">
            <w:pPr>
              <w:spacing w:line="240" w:lineRule="auto"/>
              <w:ind w:firstLine="0"/>
              <w:rPr>
                <w:sz w:val="14"/>
                <w:szCs w:val="16"/>
              </w:rPr>
            </w:pPr>
            <w:r w:rsidRPr="00184B6B">
              <w:rPr>
                <w:sz w:val="14"/>
                <w:szCs w:val="16"/>
              </w:rPr>
              <w:t>(0.062)</w:t>
            </w:r>
          </w:p>
        </w:tc>
        <w:tc>
          <w:tcPr>
            <w:tcW w:w="462" w:type="pct"/>
            <w:tcBorders>
              <w:top w:val="nil"/>
              <w:left w:val="nil"/>
              <w:bottom w:val="nil"/>
              <w:right w:val="nil"/>
            </w:tcBorders>
            <w:shd w:val="clear" w:color="auto" w:fill="auto"/>
            <w:noWrap/>
            <w:vAlign w:val="bottom"/>
            <w:hideMark/>
          </w:tcPr>
          <w:p w14:paraId="30AEED1C" w14:textId="77777777" w:rsidR="00184B6B" w:rsidRPr="00184B6B" w:rsidRDefault="00184B6B" w:rsidP="00184B6B">
            <w:pPr>
              <w:spacing w:line="240" w:lineRule="auto"/>
              <w:ind w:firstLine="0"/>
              <w:rPr>
                <w:sz w:val="14"/>
                <w:szCs w:val="16"/>
              </w:rPr>
            </w:pPr>
            <w:r w:rsidRPr="00184B6B">
              <w:rPr>
                <w:sz w:val="14"/>
                <w:szCs w:val="16"/>
              </w:rPr>
              <w:t>(0.062)</w:t>
            </w:r>
          </w:p>
        </w:tc>
        <w:tc>
          <w:tcPr>
            <w:tcW w:w="462" w:type="pct"/>
            <w:tcBorders>
              <w:top w:val="nil"/>
              <w:left w:val="nil"/>
              <w:bottom w:val="nil"/>
              <w:right w:val="single" w:sz="4" w:space="0" w:color="auto"/>
            </w:tcBorders>
            <w:shd w:val="clear" w:color="auto" w:fill="auto"/>
            <w:noWrap/>
            <w:vAlign w:val="bottom"/>
            <w:hideMark/>
          </w:tcPr>
          <w:p w14:paraId="41CB0B2A" w14:textId="77777777" w:rsidR="00184B6B" w:rsidRPr="00184B6B" w:rsidRDefault="00184B6B" w:rsidP="00184B6B">
            <w:pPr>
              <w:spacing w:line="240" w:lineRule="auto"/>
              <w:ind w:firstLine="0"/>
              <w:rPr>
                <w:sz w:val="14"/>
                <w:szCs w:val="16"/>
              </w:rPr>
            </w:pPr>
            <w:r w:rsidRPr="00184B6B">
              <w:rPr>
                <w:sz w:val="14"/>
                <w:szCs w:val="16"/>
              </w:rPr>
              <w:t>(0.062)</w:t>
            </w:r>
          </w:p>
        </w:tc>
        <w:tc>
          <w:tcPr>
            <w:tcW w:w="462" w:type="pct"/>
            <w:tcBorders>
              <w:top w:val="nil"/>
              <w:left w:val="single" w:sz="4" w:space="0" w:color="auto"/>
              <w:bottom w:val="nil"/>
              <w:right w:val="nil"/>
            </w:tcBorders>
            <w:shd w:val="clear" w:color="auto" w:fill="auto"/>
            <w:noWrap/>
            <w:vAlign w:val="bottom"/>
            <w:hideMark/>
          </w:tcPr>
          <w:p w14:paraId="25781962" w14:textId="77777777" w:rsidR="00184B6B" w:rsidRPr="00184B6B" w:rsidRDefault="00184B6B" w:rsidP="00184B6B">
            <w:pPr>
              <w:spacing w:line="240" w:lineRule="auto"/>
              <w:ind w:firstLine="0"/>
              <w:rPr>
                <w:sz w:val="14"/>
                <w:szCs w:val="16"/>
              </w:rPr>
            </w:pPr>
            <w:r w:rsidRPr="00184B6B">
              <w:rPr>
                <w:sz w:val="14"/>
                <w:szCs w:val="16"/>
              </w:rPr>
              <w:t>(0.049)</w:t>
            </w:r>
          </w:p>
        </w:tc>
        <w:tc>
          <w:tcPr>
            <w:tcW w:w="462" w:type="pct"/>
            <w:tcBorders>
              <w:top w:val="nil"/>
              <w:left w:val="nil"/>
              <w:bottom w:val="nil"/>
              <w:right w:val="nil"/>
            </w:tcBorders>
            <w:shd w:val="clear" w:color="auto" w:fill="auto"/>
            <w:noWrap/>
            <w:vAlign w:val="bottom"/>
            <w:hideMark/>
          </w:tcPr>
          <w:p w14:paraId="0B729740" w14:textId="77777777" w:rsidR="00184B6B" w:rsidRPr="00184B6B" w:rsidRDefault="00184B6B" w:rsidP="00184B6B">
            <w:pPr>
              <w:spacing w:line="240" w:lineRule="auto"/>
              <w:ind w:firstLine="0"/>
              <w:rPr>
                <w:sz w:val="14"/>
                <w:szCs w:val="16"/>
              </w:rPr>
            </w:pPr>
            <w:r w:rsidRPr="00184B6B">
              <w:rPr>
                <w:sz w:val="14"/>
                <w:szCs w:val="16"/>
              </w:rPr>
              <w:t>(0.049)</w:t>
            </w:r>
          </w:p>
        </w:tc>
        <w:tc>
          <w:tcPr>
            <w:tcW w:w="462" w:type="pct"/>
            <w:tcBorders>
              <w:top w:val="nil"/>
              <w:left w:val="nil"/>
              <w:bottom w:val="nil"/>
              <w:right w:val="nil"/>
            </w:tcBorders>
            <w:shd w:val="clear" w:color="auto" w:fill="auto"/>
            <w:noWrap/>
            <w:vAlign w:val="bottom"/>
            <w:hideMark/>
          </w:tcPr>
          <w:p w14:paraId="46213323" w14:textId="77777777" w:rsidR="00184B6B" w:rsidRPr="00184B6B" w:rsidRDefault="00184B6B" w:rsidP="00184B6B">
            <w:pPr>
              <w:spacing w:line="240" w:lineRule="auto"/>
              <w:ind w:firstLine="0"/>
              <w:rPr>
                <w:sz w:val="14"/>
                <w:szCs w:val="16"/>
              </w:rPr>
            </w:pPr>
            <w:r w:rsidRPr="00184B6B">
              <w:rPr>
                <w:sz w:val="14"/>
                <w:szCs w:val="16"/>
              </w:rPr>
              <w:t>(0.049)</w:t>
            </w:r>
          </w:p>
        </w:tc>
        <w:tc>
          <w:tcPr>
            <w:tcW w:w="459" w:type="pct"/>
            <w:tcBorders>
              <w:top w:val="nil"/>
              <w:left w:val="nil"/>
              <w:bottom w:val="nil"/>
              <w:right w:val="single" w:sz="4" w:space="0" w:color="auto"/>
            </w:tcBorders>
            <w:shd w:val="clear" w:color="auto" w:fill="auto"/>
            <w:noWrap/>
            <w:vAlign w:val="bottom"/>
            <w:hideMark/>
          </w:tcPr>
          <w:p w14:paraId="02B3AB19" w14:textId="77777777" w:rsidR="00184B6B" w:rsidRPr="00184B6B" w:rsidRDefault="00184B6B" w:rsidP="00184B6B">
            <w:pPr>
              <w:spacing w:line="240" w:lineRule="auto"/>
              <w:ind w:firstLine="0"/>
              <w:rPr>
                <w:sz w:val="14"/>
                <w:szCs w:val="16"/>
              </w:rPr>
            </w:pPr>
            <w:r w:rsidRPr="00184B6B">
              <w:rPr>
                <w:sz w:val="14"/>
                <w:szCs w:val="16"/>
              </w:rPr>
              <w:t>(0.049)</w:t>
            </w:r>
          </w:p>
        </w:tc>
      </w:tr>
      <w:tr w:rsidR="00184B6B" w:rsidRPr="00184B6B" w14:paraId="1B08DBF2"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8F65C88" w14:textId="77777777" w:rsidR="00184B6B" w:rsidRPr="00184B6B" w:rsidRDefault="00184B6B" w:rsidP="00184B6B">
            <w:pPr>
              <w:spacing w:line="240" w:lineRule="auto"/>
              <w:ind w:firstLine="0"/>
              <w:jc w:val="left"/>
              <w:rPr>
                <w:sz w:val="14"/>
                <w:szCs w:val="16"/>
              </w:rPr>
            </w:pPr>
            <w:r w:rsidRPr="00184B6B">
              <w:rPr>
                <w:sz w:val="14"/>
                <w:szCs w:val="16"/>
              </w:rPr>
              <w:t>Income: no answer</w:t>
            </w:r>
          </w:p>
        </w:tc>
        <w:tc>
          <w:tcPr>
            <w:tcW w:w="462" w:type="pct"/>
            <w:tcBorders>
              <w:top w:val="nil"/>
              <w:left w:val="single" w:sz="4" w:space="0" w:color="auto"/>
              <w:bottom w:val="nil"/>
              <w:right w:val="nil"/>
            </w:tcBorders>
            <w:shd w:val="clear" w:color="auto" w:fill="auto"/>
            <w:noWrap/>
            <w:vAlign w:val="bottom"/>
            <w:hideMark/>
          </w:tcPr>
          <w:p w14:paraId="5E489F9A" w14:textId="77777777" w:rsidR="00184B6B" w:rsidRPr="00184B6B" w:rsidRDefault="00184B6B" w:rsidP="00184B6B">
            <w:pPr>
              <w:spacing w:line="240" w:lineRule="auto"/>
              <w:ind w:firstLine="0"/>
              <w:rPr>
                <w:sz w:val="14"/>
                <w:szCs w:val="16"/>
              </w:rPr>
            </w:pPr>
            <w:r w:rsidRPr="00184B6B">
              <w:rPr>
                <w:sz w:val="14"/>
                <w:szCs w:val="16"/>
              </w:rPr>
              <w:t>-0.108*</w:t>
            </w:r>
          </w:p>
        </w:tc>
        <w:tc>
          <w:tcPr>
            <w:tcW w:w="462" w:type="pct"/>
            <w:tcBorders>
              <w:top w:val="nil"/>
              <w:left w:val="nil"/>
              <w:bottom w:val="nil"/>
              <w:right w:val="nil"/>
            </w:tcBorders>
            <w:shd w:val="clear" w:color="auto" w:fill="auto"/>
            <w:noWrap/>
            <w:vAlign w:val="bottom"/>
            <w:hideMark/>
          </w:tcPr>
          <w:p w14:paraId="231FBAC0" w14:textId="77777777" w:rsidR="00184B6B" w:rsidRPr="00184B6B" w:rsidRDefault="00184B6B" w:rsidP="00184B6B">
            <w:pPr>
              <w:spacing w:line="240" w:lineRule="auto"/>
              <w:ind w:firstLine="0"/>
              <w:rPr>
                <w:sz w:val="14"/>
                <w:szCs w:val="16"/>
              </w:rPr>
            </w:pPr>
            <w:r w:rsidRPr="00184B6B">
              <w:rPr>
                <w:sz w:val="14"/>
                <w:szCs w:val="16"/>
              </w:rPr>
              <w:t>-0.114**</w:t>
            </w:r>
          </w:p>
        </w:tc>
        <w:tc>
          <w:tcPr>
            <w:tcW w:w="462" w:type="pct"/>
            <w:tcBorders>
              <w:top w:val="nil"/>
              <w:left w:val="nil"/>
              <w:bottom w:val="nil"/>
              <w:right w:val="nil"/>
            </w:tcBorders>
            <w:shd w:val="clear" w:color="auto" w:fill="auto"/>
            <w:noWrap/>
            <w:vAlign w:val="bottom"/>
            <w:hideMark/>
          </w:tcPr>
          <w:p w14:paraId="134C2F7E" w14:textId="77777777" w:rsidR="00184B6B" w:rsidRPr="00184B6B" w:rsidRDefault="00184B6B" w:rsidP="00184B6B">
            <w:pPr>
              <w:spacing w:line="240" w:lineRule="auto"/>
              <w:ind w:firstLine="0"/>
              <w:rPr>
                <w:sz w:val="14"/>
                <w:szCs w:val="16"/>
              </w:rPr>
            </w:pPr>
            <w:r w:rsidRPr="00184B6B">
              <w:rPr>
                <w:sz w:val="14"/>
                <w:szCs w:val="16"/>
              </w:rPr>
              <w:t>-0.117**</w:t>
            </w:r>
          </w:p>
        </w:tc>
        <w:tc>
          <w:tcPr>
            <w:tcW w:w="462" w:type="pct"/>
            <w:tcBorders>
              <w:top w:val="nil"/>
              <w:left w:val="nil"/>
              <w:bottom w:val="nil"/>
              <w:right w:val="single" w:sz="4" w:space="0" w:color="auto"/>
            </w:tcBorders>
            <w:shd w:val="clear" w:color="auto" w:fill="auto"/>
            <w:noWrap/>
            <w:vAlign w:val="bottom"/>
            <w:hideMark/>
          </w:tcPr>
          <w:p w14:paraId="6CC6C325" w14:textId="77777777" w:rsidR="00184B6B" w:rsidRPr="00184B6B" w:rsidRDefault="00184B6B" w:rsidP="00184B6B">
            <w:pPr>
              <w:spacing w:line="240" w:lineRule="auto"/>
              <w:ind w:firstLine="0"/>
              <w:rPr>
                <w:sz w:val="14"/>
                <w:szCs w:val="16"/>
              </w:rPr>
            </w:pPr>
            <w:r w:rsidRPr="00184B6B">
              <w:rPr>
                <w:sz w:val="14"/>
                <w:szCs w:val="16"/>
              </w:rPr>
              <w:t>-0.110*</w:t>
            </w:r>
          </w:p>
        </w:tc>
        <w:tc>
          <w:tcPr>
            <w:tcW w:w="462" w:type="pct"/>
            <w:tcBorders>
              <w:top w:val="nil"/>
              <w:left w:val="single" w:sz="4" w:space="0" w:color="auto"/>
              <w:bottom w:val="nil"/>
              <w:right w:val="nil"/>
            </w:tcBorders>
            <w:shd w:val="clear" w:color="auto" w:fill="auto"/>
            <w:noWrap/>
            <w:vAlign w:val="bottom"/>
            <w:hideMark/>
          </w:tcPr>
          <w:p w14:paraId="2039627F" w14:textId="77777777" w:rsidR="00184B6B" w:rsidRPr="00184B6B" w:rsidRDefault="00184B6B" w:rsidP="00184B6B">
            <w:pPr>
              <w:spacing w:line="240" w:lineRule="auto"/>
              <w:ind w:firstLine="0"/>
              <w:rPr>
                <w:sz w:val="14"/>
                <w:szCs w:val="16"/>
              </w:rPr>
            </w:pPr>
            <w:r w:rsidRPr="00184B6B">
              <w:rPr>
                <w:sz w:val="14"/>
                <w:szCs w:val="16"/>
              </w:rPr>
              <w:t>-0.129***</w:t>
            </w:r>
          </w:p>
        </w:tc>
        <w:tc>
          <w:tcPr>
            <w:tcW w:w="462" w:type="pct"/>
            <w:tcBorders>
              <w:top w:val="nil"/>
              <w:left w:val="nil"/>
              <w:bottom w:val="nil"/>
              <w:right w:val="nil"/>
            </w:tcBorders>
            <w:shd w:val="clear" w:color="auto" w:fill="auto"/>
            <w:noWrap/>
            <w:vAlign w:val="bottom"/>
            <w:hideMark/>
          </w:tcPr>
          <w:p w14:paraId="548465F2" w14:textId="77777777" w:rsidR="00184B6B" w:rsidRPr="00184B6B" w:rsidRDefault="00184B6B" w:rsidP="00184B6B">
            <w:pPr>
              <w:spacing w:line="240" w:lineRule="auto"/>
              <w:ind w:firstLine="0"/>
              <w:rPr>
                <w:sz w:val="14"/>
                <w:szCs w:val="16"/>
              </w:rPr>
            </w:pPr>
            <w:r w:rsidRPr="00184B6B">
              <w:rPr>
                <w:sz w:val="14"/>
                <w:szCs w:val="16"/>
              </w:rPr>
              <w:t>-0.129***</w:t>
            </w:r>
          </w:p>
        </w:tc>
        <w:tc>
          <w:tcPr>
            <w:tcW w:w="462" w:type="pct"/>
            <w:tcBorders>
              <w:top w:val="nil"/>
              <w:left w:val="nil"/>
              <w:bottom w:val="nil"/>
              <w:right w:val="nil"/>
            </w:tcBorders>
            <w:shd w:val="clear" w:color="auto" w:fill="auto"/>
            <w:noWrap/>
            <w:vAlign w:val="bottom"/>
            <w:hideMark/>
          </w:tcPr>
          <w:p w14:paraId="7647DD83" w14:textId="77777777" w:rsidR="00184B6B" w:rsidRPr="00184B6B" w:rsidRDefault="00184B6B" w:rsidP="00184B6B">
            <w:pPr>
              <w:spacing w:line="240" w:lineRule="auto"/>
              <w:ind w:firstLine="0"/>
              <w:rPr>
                <w:sz w:val="14"/>
                <w:szCs w:val="16"/>
              </w:rPr>
            </w:pPr>
            <w:r w:rsidRPr="00184B6B">
              <w:rPr>
                <w:sz w:val="14"/>
                <w:szCs w:val="16"/>
              </w:rPr>
              <w:t>-0.133***</w:t>
            </w:r>
          </w:p>
        </w:tc>
        <w:tc>
          <w:tcPr>
            <w:tcW w:w="459" w:type="pct"/>
            <w:tcBorders>
              <w:top w:val="nil"/>
              <w:left w:val="nil"/>
              <w:bottom w:val="nil"/>
              <w:right w:val="single" w:sz="4" w:space="0" w:color="auto"/>
            </w:tcBorders>
            <w:shd w:val="clear" w:color="auto" w:fill="auto"/>
            <w:noWrap/>
            <w:vAlign w:val="bottom"/>
            <w:hideMark/>
          </w:tcPr>
          <w:p w14:paraId="3E09DA4F" w14:textId="77777777" w:rsidR="00184B6B" w:rsidRPr="00184B6B" w:rsidRDefault="00184B6B" w:rsidP="00184B6B">
            <w:pPr>
              <w:spacing w:line="240" w:lineRule="auto"/>
              <w:ind w:firstLine="0"/>
              <w:rPr>
                <w:sz w:val="14"/>
                <w:szCs w:val="16"/>
              </w:rPr>
            </w:pPr>
            <w:r w:rsidRPr="00184B6B">
              <w:rPr>
                <w:sz w:val="14"/>
                <w:szCs w:val="16"/>
              </w:rPr>
              <w:t>-0.128***</w:t>
            </w:r>
          </w:p>
        </w:tc>
      </w:tr>
      <w:tr w:rsidR="00184B6B" w:rsidRPr="00184B6B" w14:paraId="109A9AE7"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DEAA530"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6DCFE6D8"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nil"/>
              <w:bottom w:val="nil"/>
              <w:right w:val="nil"/>
            </w:tcBorders>
            <w:shd w:val="clear" w:color="auto" w:fill="auto"/>
            <w:noWrap/>
            <w:vAlign w:val="bottom"/>
            <w:hideMark/>
          </w:tcPr>
          <w:p w14:paraId="5BD7E673"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nil"/>
              <w:bottom w:val="nil"/>
              <w:right w:val="nil"/>
            </w:tcBorders>
            <w:shd w:val="clear" w:color="auto" w:fill="auto"/>
            <w:noWrap/>
            <w:vAlign w:val="bottom"/>
            <w:hideMark/>
          </w:tcPr>
          <w:p w14:paraId="04B0BEE5"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nil"/>
              <w:bottom w:val="nil"/>
              <w:right w:val="single" w:sz="4" w:space="0" w:color="auto"/>
            </w:tcBorders>
            <w:shd w:val="clear" w:color="auto" w:fill="auto"/>
            <w:noWrap/>
            <w:vAlign w:val="bottom"/>
            <w:hideMark/>
          </w:tcPr>
          <w:p w14:paraId="0B980700" w14:textId="77777777" w:rsidR="00184B6B" w:rsidRPr="00184B6B" w:rsidRDefault="00184B6B" w:rsidP="00184B6B">
            <w:pPr>
              <w:spacing w:line="240" w:lineRule="auto"/>
              <w:ind w:firstLine="0"/>
              <w:rPr>
                <w:sz w:val="14"/>
                <w:szCs w:val="16"/>
              </w:rPr>
            </w:pPr>
            <w:r w:rsidRPr="00184B6B">
              <w:rPr>
                <w:sz w:val="14"/>
                <w:szCs w:val="16"/>
              </w:rPr>
              <w:t>(0.056)</w:t>
            </w:r>
          </w:p>
        </w:tc>
        <w:tc>
          <w:tcPr>
            <w:tcW w:w="462" w:type="pct"/>
            <w:tcBorders>
              <w:top w:val="nil"/>
              <w:left w:val="single" w:sz="4" w:space="0" w:color="auto"/>
              <w:bottom w:val="nil"/>
              <w:right w:val="nil"/>
            </w:tcBorders>
            <w:shd w:val="clear" w:color="auto" w:fill="auto"/>
            <w:noWrap/>
            <w:vAlign w:val="bottom"/>
            <w:hideMark/>
          </w:tcPr>
          <w:p w14:paraId="62513A21" w14:textId="77777777" w:rsidR="00184B6B" w:rsidRPr="00184B6B" w:rsidRDefault="00184B6B" w:rsidP="00184B6B">
            <w:pPr>
              <w:spacing w:line="240" w:lineRule="auto"/>
              <w:ind w:firstLine="0"/>
              <w:rPr>
                <w:sz w:val="14"/>
                <w:szCs w:val="16"/>
              </w:rPr>
            </w:pPr>
            <w:r w:rsidRPr="00184B6B">
              <w:rPr>
                <w:sz w:val="14"/>
                <w:szCs w:val="16"/>
              </w:rPr>
              <w:t>(0.045)</w:t>
            </w:r>
          </w:p>
        </w:tc>
        <w:tc>
          <w:tcPr>
            <w:tcW w:w="462" w:type="pct"/>
            <w:tcBorders>
              <w:top w:val="nil"/>
              <w:left w:val="nil"/>
              <w:bottom w:val="nil"/>
              <w:right w:val="nil"/>
            </w:tcBorders>
            <w:shd w:val="clear" w:color="auto" w:fill="auto"/>
            <w:noWrap/>
            <w:vAlign w:val="bottom"/>
            <w:hideMark/>
          </w:tcPr>
          <w:p w14:paraId="612FE77E" w14:textId="77777777" w:rsidR="00184B6B" w:rsidRPr="00184B6B" w:rsidRDefault="00184B6B" w:rsidP="00184B6B">
            <w:pPr>
              <w:spacing w:line="240" w:lineRule="auto"/>
              <w:ind w:firstLine="0"/>
              <w:rPr>
                <w:sz w:val="14"/>
                <w:szCs w:val="16"/>
              </w:rPr>
            </w:pPr>
            <w:r w:rsidRPr="00184B6B">
              <w:rPr>
                <w:sz w:val="14"/>
                <w:szCs w:val="16"/>
              </w:rPr>
              <w:t>(0.045)</w:t>
            </w:r>
          </w:p>
        </w:tc>
        <w:tc>
          <w:tcPr>
            <w:tcW w:w="462" w:type="pct"/>
            <w:tcBorders>
              <w:top w:val="nil"/>
              <w:left w:val="nil"/>
              <w:bottom w:val="nil"/>
              <w:right w:val="nil"/>
            </w:tcBorders>
            <w:shd w:val="clear" w:color="auto" w:fill="auto"/>
            <w:noWrap/>
            <w:vAlign w:val="bottom"/>
            <w:hideMark/>
          </w:tcPr>
          <w:p w14:paraId="05D0AF02" w14:textId="77777777" w:rsidR="00184B6B" w:rsidRPr="00184B6B" w:rsidRDefault="00184B6B" w:rsidP="00184B6B">
            <w:pPr>
              <w:spacing w:line="240" w:lineRule="auto"/>
              <w:ind w:firstLine="0"/>
              <w:rPr>
                <w:sz w:val="14"/>
                <w:szCs w:val="16"/>
              </w:rPr>
            </w:pPr>
            <w:r w:rsidRPr="00184B6B">
              <w:rPr>
                <w:sz w:val="14"/>
                <w:szCs w:val="16"/>
              </w:rPr>
              <w:t>(0.045)</w:t>
            </w:r>
          </w:p>
        </w:tc>
        <w:tc>
          <w:tcPr>
            <w:tcW w:w="459" w:type="pct"/>
            <w:tcBorders>
              <w:top w:val="nil"/>
              <w:left w:val="nil"/>
              <w:bottom w:val="nil"/>
              <w:right w:val="single" w:sz="4" w:space="0" w:color="auto"/>
            </w:tcBorders>
            <w:shd w:val="clear" w:color="auto" w:fill="auto"/>
            <w:noWrap/>
            <w:vAlign w:val="bottom"/>
            <w:hideMark/>
          </w:tcPr>
          <w:p w14:paraId="31D69839" w14:textId="77777777" w:rsidR="00184B6B" w:rsidRPr="00184B6B" w:rsidRDefault="00184B6B" w:rsidP="00184B6B">
            <w:pPr>
              <w:spacing w:line="240" w:lineRule="auto"/>
              <w:ind w:firstLine="0"/>
              <w:rPr>
                <w:sz w:val="14"/>
                <w:szCs w:val="16"/>
              </w:rPr>
            </w:pPr>
            <w:r w:rsidRPr="00184B6B">
              <w:rPr>
                <w:sz w:val="14"/>
                <w:szCs w:val="16"/>
              </w:rPr>
              <w:t>(0.045)</w:t>
            </w:r>
          </w:p>
        </w:tc>
      </w:tr>
      <w:tr w:rsidR="00184B6B" w:rsidRPr="00184B6B" w14:paraId="55CDBA8E"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6353B61" w14:textId="77777777" w:rsidR="00184B6B" w:rsidRPr="00184B6B" w:rsidRDefault="00184B6B" w:rsidP="00184B6B">
            <w:pPr>
              <w:spacing w:line="240" w:lineRule="auto"/>
              <w:ind w:firstLine="0"/>
              <w:jc w:val="left"/>
              <w:rPr>
                <w:sz w:val="14"/>
                <w:szCs w:val="16"/>
              </w:rPr>
            </w:pPr>
            <w:r w:rsidRPr="00184B6B">
              <w:rPr>
                <w:sz w:val="14"/>
                <w:szCs w:val="16"/>
              </w:rPr>
              <w:t>Standard of living worse</w:t>
            </w:r>
          </w:p>
        </w:tc>
        <w:tc>
          <w:tcPr>
            <w:tcW w:w="462" w:type="pct"/>
            <w:tcBorders>
              <w:top w:val="nil"/>
              <w:left w:val="single" w:sz="4" w:space="0" w:color="auto"/>
              <w:bottom w:val="nil"/>
              <w:right w:val="nil"/>
            </w:tcBorders>
            <w:shd w:val="clear" w:color="auto" w:fill="auto"/>
            <w:noWrap/>
            <w:vAlign w:val="bottom"/>
            <w:hideMark/>
          </w:tcPr>
          <w:p w14:paraId="1333B934" w14:textId="77777777" w:rsidR="00184B6B" w:rsidRPr="00184B6B" w:rsidRDefault="00184B6B" w:rsidP="00184B6B">
            <w:pPr>
              <w:spacing w:line="240" w:lineRule="auto"/>
              <w:ind w:firstLine="0"/>
              <w:rPr>
                <w:sz w:val="14"/>
                <w:szCs w:val="16"/>
              </w:rPr>
            </w:pPr>
            <w:r w:rsidRPr="00184B6B">
              <w:rPr>
                <w:sz w:val="14"/>
                <w:szCs w:val="16"/>
              </w:rPr>
              <w:t>-0.117***</w:t>
            </w:r>
          </w:p>
        </w:tc>
        <w:tc>
          <w:tcPr>
            <w:tcW w:w="462" w:type="pct"/>
            <w:tcBorders>
              <w:top w:val="nil"/>
              <w:left w:val="nil"/>
              <w:bottom w:val="nil"/>
              <w:right w:val="nil"/>
            </w:tcBorders>
            <w:shd w:val="clear" w:color="auto" w:fill="auto"/>
            <w:noWrap/>
            <w:vAlign w:val="bottom"/>
            <w:hideMark/>
          </w:tcPr>
          <w:p w14:paraId="4254C5E0" w14:textId="77777777" w:rsidR="00184B6B" w:rsidRPr="00184B6B" w:rsidRDefault="00184B6B" w:rsidP="00184B6B">
            <w:pPr>
              <w:spacing w:line="240" w:lineRule="auto"/>
              <w:ind w:firstLine="0"/>
              <w:rPr>
                <w:sz w:val="14"/>
                <w:szCs w:val="16"/>
              </w:rPr>
            </w:pPr>
            <w:r w:rsidRPr="00184B6B">
              <w:rPr>
                <w:sz w:val="14"/>
                <w:szCs w:val="16"/>
              </w:rPr>
              <w:t>-0.108***</w:t>
            </w:r>
          </w:p>
        </w:tc>
        <w:tc>
          <w:tcPr>
            <w:tcW w:w="462" w:type="pct"/>
            <w:tcBorders>
              <w:top w:val="nil"/>
              <w:left w:val="nil"/>
              <w:bottom w:val="nil"/>
              <w:right w:val="nil"/>
            </w:tcBorders>
            <w:shd w:val="clear" w:color="auto" w:fill="auto"/>
            <w:noWrap/>
            <w:vAlign w:val="bottom"/>
            <w:hideMark/>
          </w:tcPr>
          <w:p w14:paraId="4937EEE0" w14:textId="77777777" w:rsidR="00184B6B" w:rsidRPr="00184B6B" w:rsidRDefault="00184B6B" w:rsidP="00184B6B">
            <w:pPr>
              <w:spacing w:line="240" w:lineRule="auto"/>
              <w:ind w:firstLine="0"/>
              <w:rPr>
                <w:sz w:val="14"/>
                <w:szCs w:val="16"/>
              </w:rPr>
            </w:pPr>
            <w:r w:rsidRPr="00184B6B">
              <w:rPr>
                <w:sz w:val="14"/>
                <w:szCs w:val="16"/>
              </w:rPr>
              <w:t>-0.110***</w:t>
            </w:r>
          </w:p>
        </w:tc>
        <w:tc>
          <w:tcPr>
            <w:tcW w:w="462" w:type="pct"/>
            <w:tcBorders>
              <w:top w:val="nil"/>
              <w:left w:val="nil"/>
              <w:bottom w:val="nil"/>
              <w:right w:val="single" w:sz="4" w:space="0" w:color="auto"/>
            </w:tcBorders>
            <w:shd w:val="clear" w:color="auto" w:fill="auto"/>
            <w:noWrap/>
            <w:vAlign w:val="bottom"/>
            <w:hideMark/>
          </w:tcPr>
          <w:p w14:paraId="01D3F2AD" w14:textId="77777777" w:rsidR="00184B6B" w:rsidRPr="00184B6B" w:rsidRDefault="00184B6B" w:rsidP="00184B6B">
            <w:pPr>
              <w:spacing w:line="240" w:lineRule="auto"/>
              <w:ind w:firstLine="0"/>
              <w:rPr>
                <w:sz w:val="14"/>
                <w:szCs w:val="16"/>
              </w:rPr>
            </w:pPr>
            <w:r w:rsidRPr="00184B6B">
              <w:rPr>
                <w:sz w:val="14"/>
                <w:szCs w:val="16"/>
              </w:rPr>
              <w:t>-0.114***</w:t>
            </w:r>
          </w:p>
        </w:tc>
        <w:tc>
          <w:tcPr>
            <w:tcW w:w="462" w:type="pct"/>
            <w:tcBorders>
              <w:top w:val="nil"/>
              <w:left w:val="single" w:sz="4" w:space="0" w:color="auto"/>
              <w:bottom w:val="nil"/>
              <w:right w:val="nil"/>
            </w:tcBorders>
            <w:shd w:val="clear" w:color="auto" w:fill="auto"/>
            <w:noWrap/>
            <w:vAlign w:val="bottom"/>
            <w:hideMark/>
          </w:tcPr>
          <w:p w14:paraId="3B118E85" w14:textId="77777777" w:rsidR="00184B6B" w:rsidRPr="00184B6B" w:rsidRDefault="00184B6B" w:rsidP="00184B6B">
            <w:pPr>
              <w:spacing w:line="240" w:lineRule="auto"/>
              <w:ind w:firstLine="0"/>
              <w:rPr>
                <w:sz w:val="14"/>
                <w:szCs w:val="16"/>
              </w:rPr>
            </w:pPr>
            <w:r w:rsidRPr="00184B6B">
              <w:rPr>
                <w:sz w:val="14"/>
                <w:szCs w:val="16"/>
              </w:rPr>
              <w:t>-0.087***</w:t>
            </w:r>
          </w:p>
        </w:tc>
        <w:tc>
          <w:tcPr>
            <w:tcW w:w="462" w:type="pct"/>
            <w:tcBorders>
              <w:top w:val="nil"/>
              <w:left w:val="nil"/>
              <w:bottom w:val="nil"/>
              <w:right w:val="nil"/>
            </w:tcBorders>
            <w:shd w:val="clear" w:color="auto" w:fill="auto"/>
            <w:noWrap/>
            <w:vAlign w:val="bottom"/>
            <w:hideMark/>
          </w:tcPr>
          <w:p w14:paraId="2B955C96" w14:textId="77777777" w:rsidR="00184B6B" w:rsidRPr="00184B6B" w:rsidRDefault="00184B6B" w:rsidP="00184B6B">
            <w:pPr>
              <w:spacing w:line="240" w:lineRule="auto"/>
              <w:ind w:firstLine="0"/>
              <w:rPr>
                <w:sz w:val="14"/>
                <w:szCs w:val="16"/>
              </w:rPr>
            </w:pPr>
            <w:r w:rsidRPr="00184B6B">
              <w:rPr>
                <w:sz w:val="14"/>
                <w:szCs w:val="16"/>
              </w:rPr>
              <w:t>-0.083***</w:t>
            </w:r>
          </w:p>
        </w:tc>
        <w:tc>
          <w:tcPr>
            <w:tcW w:w="462" w:type="pct"/>
            <w:tcBorders>
              <w:top w:val="nil"/>
              <w:left w:val="nil"/>
              <w:bottom w:val="nil"/>
              <w:right w:val="nil"/>
            </w:tcBorders>
            <w:shd w:val="clear" w:color="auto" w:fill="auto"/>
            <w:noWrap/>
            <w:vAlign w:val="bottom"/>
            <w:hideMark/>
          </w:tcPr>
          <w:p w14:paraId="1C0DAFED" w14:textId="77777777" w:rsidR="00184B6B" w:rsidRPr="00184B6B" w:rsidRDefault="00184B6B" w:rsidP="00184B6B">
            <w:pPr>
              <w:spacing w:line="240" w:lineRule="auto"/>
              <w:ind w:firstLine="0"/>
              <w:rPr>
                <w:sz w:val="14"/>
                <w:szCs w:val="16"/>
              </w:rPr>
            </w:pPr>
            <w:r w:rsidRPr="00184B6B">
              <w:rPr>
                <w:sz w:val="14"/>
                <w:szCs w:val="16"/>
              </w:rPr>
              <w:t>-0.084***</w:t>
            </w:r>
          </w:p>
        </w:tc>
        <w:tc>
          <w:tcPr>
            <w:tcW w:w="459" w:type="pct"/>
            <w:tcBorders>
              <w:top w:val="nil"/>
              <w:left w:val="nil"/>
              <w:bottom w:val="nil"/>
              <w:right w:val="single" w:sz="4" w:space="0" w:color="auto"/>
            </w:tcBorders>
            <w:shd w:val="clear" w:color="auto" w:fill="auto"/>
            <w:noWrap/>
            <w:vAlign w:val="bottom"/>
            <w:hideMark/>
          </w:tcPr>
          <w:p w14:paraId="5422CADF" w14:textId="77777777" w:rsidR="00184B6B" w:rsidRPr="00184B6B" w:rsidRDefault="00184B6B" w:rsidP="00184B6B">
            <w:pPr>
              <w:spacing w:line="240" w:lineRule="auto"/>
              <w:ind w:firstLine="0"/>
              <w:rPr>
                <w:sz w:val="14"/>
                <w:szCs w:val="16"/>
              </w:rPr>
            </w:pPr>
            <w:r w:rsidRPr="00184B6B">
              <w:rPr>
                <w:sz w:val="14"/>
                <w:szCs w:val="16"/>
              </w:rPr>
              <w:t>-0.086***</w:t>
            </w:r>
          </w:p>
        </w:tc>
      </w:tr>
      <w:tr w:rsidR="00184B6B" w:rsidRPr="00184B6B" w14:paraId="68C1AA53"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507AC8DB"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1784949"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nil"/>
              <w:bottom w:val="nil"/>
              <w:right w:val="nil"/>
            </w:tcBorders>
            <w:shd w:val="clear" w:color="auto" w:fill="auto"/>
            <w:noWrap/>
            <w:vAlign w:val="bottom"/>
            <w:hideMark/>
          </w:tcPr>
          <w:p w14:paraId="4EA0332F"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nil"/>
              <w:bottom w:val="nil"/>
              <w:right w:val="nil"/>
            </w:tcBorders>
            <w:shd w:val="clear" w:color="auto" w:fill="auto"/>
            <w:noWrap/>
            <w:vAlign w:val="bottom"/>
            <w:hideMark/>
          </w:tcPr>
          <w:p w14:paraId="72D87EB8"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nil"/>
              <w:bottom w:val="nil"/>
              <w:right w:val="single" w:sz="4" w:space="0" w:color="auto"/>
            </w:tcBorders>
            <w:shd w:val="clear" w:color="auto" w:fill="auto"/>
            <w:noWrap/>
            <w:vAlign w:val="bottom"/>
            <w:hideMark/>
          </w:tcPr>
          <w:p w14:paraId="76824137"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single" w:sz="4" w:space="0" w:color="auto"/>
              <w:bottom w:val="nil"/>
              <w:right w:val="nil"/>
            </w:tcBorders>
            <w:shd w:val="clear" w:color="auto" w:fill="auto"/>
            <w:noWrap/>
            <w:vAlign w:val="bottom"/>
            <w:hideMark/>
          </w:tcPr>
          <w:p w14:paraId="7E0CDC3A" w14:textId="77777777" w:rsidR="00184B6B" w:rsidRPr="00184B6B" w:rsidRDefault="00184B6B" w:rsidP="00184B6B">
            <w:pPr>
              <w:spacing w:line="240" w:lineRule="auto"/>
              <w:ind w:firstLine="0"/>
              <w:rPr>
                <w:sz w:val="14"/>
                <w:szCs w:val="16"/>
              </w:rPr>
            </w:pPr>
            <w:r w:rsidRPr="00184B6B">
              <w:rPr>
                <w:sz w:val="14"/>
                <w:szCs w:val="16"/>
              </w:rPr>
              <w:t>(0.018)</w:t>
            </w:r>
          </w:p>
        </w:tc>
        <w:tc>
          <w:tcPr>
            <w:tcW w:w="462" w:type="pct"/>
            <w:tcBorders>
              <w:top w:val="nil"/>
              <w:left w:val="nil"/>
              <w:bottom w:val="nil"/>
              <w:right w:val="nil"/>
            </w:tcBorders>
            <w:shd w:val="clear" w:color="auto" w:fill="auto"/>
            <w:noWrap/>
            <w:vAlign w:val="bottom"/>
            <w:hideMark/>
          </w:tcPr>
          <w:p w14:paraId="4E69AA03" w14:textId="77777777" w:rsidR="00184B6B" w:rsidRPr="00184B6B" w:rsidRDefault="00184B6B" w:rsidP="00184B6B">
            <w:pPr>
              <w:spacing w:line="240" w:lineRule="auto"/>
              <w:ind w:firstLine="0"/>
              <w:rPr>
                <w:sz w:val="14"/>
                <w:szCs w:val="16"/>
              </w:rPr>
            </w:pPr>
            <w:r w:rsidRPr="00184B6B">
              <w:rPr>
                <w:sz w:val="14"/>
                <w:szCs w:val="16"/>
              </w:rPr>
              <w:t>(0.018)</w:t>
            </w:r>
          </w:p>
        </w:tc>
        <w:tc>
          <w:tcPr>
            <w:tcW w:w="462" w:type="pct"/>
            <w:tcBorders>
              <w:top w:val="nil"/>
              <w:left w:val="nil"/>
              <w:bottom w:val="nil"/>
              <w:right w:val="nil"/>
            </w:tcBorders>
            <w:shd w:val="clear" w:color="auto" w:fill="auto"/>
            <w:noWrap/>
            <w:vAlign w:val="bottom"/>
            <w:hideMark/>
          </w:tcPr>
          <w:p w14:paraId="46AC0231" w14:textId="77777777" w:rsidR="00184B6B" w:rsidRPr="00184B6B" w:rsidRDefault="00184B6B" w:rsidP="00184B6B">
            <w:pPr>
              <w:spacing w:line="240" w:lineRule="auto"/>
              <w:ind w:firstLine="0"/>
              <w:rPr>
                <w:sz w:val="14"/>
                <w:szCs w:val="16"/>
              </w:rPr>
            </w:pPr>
            <w:r w:rsidRPr="00184B6B">
              <w:rPr>
                <w:sz w:val="14"/>
                <w:szCs w:val="16"/>
              </w:rPr>
              <w:t>(0.018)</w:t>
            </w:r>
          </w:p>
        </w:tc>
        <w:tc>
          <w:tcPr>
            <w:tcW w:w="459" w:type="pct"/>
            <w:tcBorders>
              <w:top w:val="nil"/>
              <w:left w:val="nil"/>
              <w:bottom w:val="nil"/>
              <w:right w:val="single" w:sz="4" w:space="0" w:color="auto"/>
            </w:tcBorders>
            <w:shd w:val="clear" w:color="auto" w:fill="auto"/>
            <w:noWrap/>
            <w:vAlign w:val="bottom"/>
            <w:hideMark/>
          </w:tcPr>
          <w:p w14:paraId="4FDCE81E" w14:textId="77777777" w:rsidR="00184B6B" w:rsidRPr="00184B6B" w:rsidRDefault="00184B6B" w:rsidP="00184B6B">
            <w:pPr>
              <w:spacing w:line="240" w:lineRule="auto"/>
              <w:ind w:firstLine="0"/>
              <w:rPr>
                <w:sz w:val="14"/>
                <w:szCs w:val="16"/>
              </w:rPr>
            </w:pPr>
            <w:r w:rsidRPr="00184B6B">
              <w:rPr>
                <w:sz w:val="14"/>
                <w:szCs w:val="16"/>
              </w:rPr>
              <w:t>(0.018)</w:t>
            </w:r>
          </w:p>
        </w:tc>
      </w:tr>
      <w:tr w:rsidR="00184B6B" w:rsidRPr="00184B6B" w14:paraId="47D27058"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8B033C7" w14:textId="77777777" w:rsidR="00184B6B" w:rsidRPr="00184B6B" w:rsidRDefault="00184B6B" w:rsidP="00184B6B">
            <w:pPr>
              <w:spacing w:line="240" w:lineRule="auto"/>
              <w:ind w:firstLine="0"/>
              <w:jc w:val="left"/>
              <w:rPr>
                <w:sz w:val="14"/>
                <w:szCs w:val="16"/>
              </w:rPr>
            </w:pPr>
            <w:r w:rsidRPr="00184B6B">
              <w:rPr>
                <w:sz w:val="14"/>
                <w:szCs w:val="16"/>
              </w:rPr>
              <w:t>Unemployed</w:t>
            </w:r>
          </w:p>
        </w:tc>
        <w:tc>
          <w:tcPr>
            <w:tcW w:w="462" w:type="pct"/>
            <w:tcBorders>
              <w:top w:val="nil"/>
              <w:left w:val="single" w:sz="4" w:space="0" w:color="auto"/>
              <w:bottom w:val="nil"/>
              <w:right w:val="nil"/>
            </w:tcBorders>
            <w:shd w:val="clear" w:color="auto" w:fill="auto"/>
            <w:noWrap/>
            <w:vAlign w:val="bottom"/>
            <w:hideMark/>
          </w:tcPr>
          <w:p w14:paraId="4ABF3C46" w14:textId="77777777" w:rsidR="00184B6B" w:rsidRPr="00184B6B" w:rsidRDefault="00184B6B" w:rsidP="00184B6B">
            <w:pPr>
              <w:spacing w:line="240" w:lineRule="auto"/>
              <w:ind w:firstLine="0"/>
              <w:rPr>
                <w:sz w:val="14"/>
                <w:szCs w:val="16"/>
              </w:rPr>
            </w:pPr>
            <w:r w:rsidRPr="00184B6B">
              <w:rPr>
                <w:sz w:val="14"/>
                <w:szCs w:val="16"/>
              </w:rPr>
              <w:t>-0.050</w:t>
            </w:r>
          </w:p>
        </w:tc>
        <w:tc>
          <w:tcPr>
            <w:tcW w:w="462" w:type="pct"/>
            <w:tcBorders>
              <w:top w:val="nil"/>
              <w:left w:val="nil"/>
              <w:bottom w:val="nil"/>
              <w:right w:val="nil"/>
            </w:tcBorders>
            <w:shd w:val="clear" w:color="auto" w:fill="auto"/>
            <w:noWrap/>
            <w:vAlign w:val="bottom"/>
            <w:hideMark/>
          </w:tcPr>
          <w:p w14:paraId="2578213F" w14:textId="77777777" w:rsidR="00184B6B" w:rsidRPr="00184B6B" w:rsidRDefault="00184B6B" w:rsidP="00184B6B">
            <w:pPr>
              <w:spacing w:line="240" w:lineRule="auto"/>
              <w:ind w:firstLine="0"/>
              <w:rPr>
                <w:sz w:val="14"/>
                <w:szCs w:val="16"/>
              </w:rPr>
            </w:pPr>
            <w:r w:rsidRPr="00184B6B">
              <w:rPr>
                <w:sz w:val="14"/>
                <w:szCs w:val="16"/>
              </w:rPr>
              <w:t>-0.044</w:t>
            </w:r>
          </w:p>
        </w:tc>
        <w:tc>
          <w:tcPr>
            <w:tcW w:w="462" w:type="pct"/>
            <w:tcBorders>
              <w:top w:val="nil"/>
              <w:left w:val="nil"/>
              <w:bottom w:val="nil"/>
              <w:right w:val="nil"/>
            </w:tcBorders>
            <w:shd w:val="clear" w:color="auto" w:fill="auto"/>
            <w:noWrap/>
            <w:vAlign w:val="bottom"/>
            <w:hideMark/>
          </w:tcPr>
          <w:p w14:paraId="0CA0433C" w14:textId="77777777" w:rsidR="00184B6B" w:rsidRPr="00184B6B" w:rsidRDefault="00184B6B" w:rsidP="00184B6B">
            <w:pPr>
              <w:spacing w:line="240" w:lineRule="auto"/>
              <w:ind w:firstLine="0"/>
              <w:rPr>
                <w:sz w:val="14"/>
                <w:szCs w:val="16"/>
              </w:rPr>
            </w:pPr>
            <w:r w:rsidRPr="00184B6B">
              <w:rPr>
                <w:sz w:val="14"/>
                <w:szCs w:val="16"/>
              </w:rPr>
              <w:t>-0.045</w:t>
            </w:r>
          </w:p>
        </w:tc>
        <w:tc>
          <w:tcPr>
            <w:tcW w:w="462" w:type="pct"/>
            <w:tcBorders>
              <w:top w:val="nil"/>
              <w:left w:val="nil"/>
              <w:bottom w:val="nil"/>
              <w:right w:val="single" w:sz="4" w:space="0" w:color="auto"/>
            </w:tcBorders>
            <w:shd w:val="clear" w:color="auto" w:fill="auto"/>
            <w:noWrap/>
            <w:vAlign w:val="bottom"/>
            <w:hideMark/>
          </w:tcPr>
          <w:p w14:paraId="7B400400"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single" w:sz="4" w:space="0" w:color="auto"/>
              <w:bottom w:val="nil"/>
              <w:right w:val="nil"/>
            </w:tcBorders>
            <w:shd w:val="clear" w:color="auto" w:fill="auto"/>
            <w:noWrap/>
            <w:vAlign w:val="bottom"/>
            <w:hideMark/>
          </w:tcPr>
          <w:p w14:paraId="61E65E79" w14:textId="77777777" w:rsidR="00184B6B" w:rsidRPr="00184B6B" w:rsidRDefault="00184B6B" w:rsidP="00184B6B">
            <w:pPr>
              <w:spacing w:line="240" w:lineRule="auto"/>
              <w:ind w:firstLine="0"/>
              <w:rPr>
                <w:sz w:val="14"/>
                <w:szCs w:val="16"/>
              </w:rPr>
            </w:pPr>
            <w:r w:rsidRPr="00184B6B">
              <w:rPr>
                <w:sz w:val="14"/>
                <w:szCs w:val="16"/>
              </w:rPr>
              <w:t>0.010</w:t>
            </w:r>
          </w:p>
        </w:tc>
        <w:tc>
          <w:tcPr>
            <w:tcW w:w="462" w:type="pct"/>
            <w:tcBorders>
              <w:top w:val="nil"/>
              <w:left w:val="nil"/>
              <w:bottom w:val="nil"/>
              <w:right w:val="nil"/>
            </w:tcBorders>
            <w:shd w:val="clear" w:color="auto" w:fill="auto"/>
            <w:noWrap/>
            <w:vAlign w:val="bottom"/>
            <w:hideMark/>
          </w:tcPr>
          <w:p w14:paraId="5DC32624" w14:textId="77777777" w:rsidR="00184B6B" w:rsidRPr="00184B6B" w:rsidRDefault="00184B6B" w:rsidP="00184B6B">
            <w:pPr>
              <w:spacing w:line="240" w:lineRule="auto"/>
              <w:ind w:firstLine="0"/>
              <w:rPr>
                <w:sz w:val="14"/>
                <w:szCs w:val="16"/>
              </w:rPr>
            </w:pPr>
            <w:r w:rsidRPr="00184B6B">
              <w:rPr>
                <w:sz w:val="14"/>
                <w:szCs w:val="16"/>
              </w:rPr>
              <w:t>0.012</w:t>
            </w:r>
          </w:p>
        </w:tc>
        <w:tc>
          <w:tcPr>
            <w:tcW w:w="462" w:type="pct"/>
            <w:tcBorders>
              <w:top w:val="nil"/>
              <w:left w:val="nil"/>
              <w:bottom w:val="nil"/>
              <w:right w:val="nil"/>
            </w:tcBorders>
            <w:shd w:val="clear" w:color="auto" w:fill="auto"/>
            <w:noWrap/>
            <w:vAlign w:val="bottom"/>
            <w:hideMark/>
          </w:tcPr>
          <w:p w14:paraId="229B1948" w14:textId="77777777" w:rsidR="00184B6B" w:rsidRPr="00184B6B" w:rsidRDefault="00184B6B" w:rsidP="00184B6B">
            <w:pPr>
              <w:spacing w:line="240" w:lineRule="auto"/>
              <w:ind w:firstLine="0"/>
              <w:rPr>
                <w:sz w:val="14"/>
                <w:szCs w:val="16"/>
              </w:rPr>
            </w:pPr>
            <w:r w:rsidRPr="00184B6B">
              <w:rPr>
                <w:sz w:val="14"/>
                <w:szCs w:val="16"/>
              </w:rPr>
              <w:t>0.013</w:t>
            </w:r>
          </w:p>
        </w:tc>
        <w:tc>
          <w:tcPr>
            <w:tcW w:w="459" w:type="pct"/>
            <w:tcBorders>
              <w:top w:val="nil"/>
              <w:left w:val="nil"/>
              <w:bottom w:val="nil"/>
              <w:right w:val="single" w:sz="4" w:space="0" w:color="auto"/>
            </w:tcBorders>
            <w:shd w:val="clear" w:color="auto" w:fill="auto"/>
            <w:noWrap/>
            <w:vAlign w:val="bottom"/>
            <w:hideMark/>
          </w:tcPr>
          <w:p w14:paraId="3325AFB5" w14:textId="77777777" w:rsidR="00184B6B" w:rsidRPr="00184B6B" w:rsidRDefault="00184B6B" w:rsidP="00184B6B">
            <w:pPr>
              <w:spacing w:line="240" w:lineRule="auto"/>
              <w:ind w:firstLine="0"/>
              <w:rPr>
                <w:sz w:val="14"/>
                <w:szCs w:val="16"/>
              </w:rPr>
            </w:pPr>
            <w:r w:rsidRPr="00184B6B">
              <w:rPr>
                <w:sz w:val="14"/>
                <w:szCs w:val="16"/>
              </w:rPr>
              <w:t>0.011</w:t>
            </w:r>
          </w:p>
        </w:tc>
      </w:tr>
      <w:tr w:rsidR="00184B6B" w:rsidRPr="00184B6B" w14:paraId="5386264C"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F2CC5A5"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23A73771" w14:textId="77777777" w:rsidR="00184B6B" w:rsidRPr="00184B6B" w:rsidRDefault="00184B6B" w:rsidP="00184B6B">
            <w:pPr>
              <w:spacing w:line="240" w:lineRule="auto"/>
              <w:ind w:firstLine="0"/>
              <w:rPr>
                <w:sz w:val="14"/>
                <w:szCs w:val="16"/>
              </w:rPr>
            </w:pPr>
            <w:r w:rsidRPr="00184B6B">
              <w:rPr>
                <w:sz w:val="14"/>
                <w:szCs w:val="16"/>
              </w:rPr>
              <w:t>(0.053)</w:t>
            </w:r>
          </w:p>
        </w:tc>
        <w:tc>
          <w:tcPr>
            <w:tcW w:w="462" w:type="pct"/>
            <w:tcBorders>
              <w:top w:val="nil"/>
              <w:left w:val="nil"/>
              <w:bottom w:val="nil"/>
              <w:right w:val="nil"/>
            </w:tcBorders>
            <w:shd w:val="clear" w:color="auto" w:fill="auto"/>
            <w:noWrap/>
            <w:vAlign w:val="bottom"/>
            <w:hideMark/>
          </w:tcPr>
          <w:p w14:paraId="61069E20" w14:textId="77777777" w:rsidR="00184B6B" w:rsidRPr="00184B6B" w:rsidRDefault="00184B6B" w:rsidP="00184B6B">
            <w:pPr>
              <w:spacing w:line="240" w:lineRule="auto"/>
              <w:ind w:firstLine="0"/>
              <w:rPr>
                <w:sz w:val="14"/>
                <w:szCs w:val="16"/>
              </w:rPr>
            </w:pPr>
            <w:r w:rsidRPr="00184B6B">
              <w:rPr>
                <w:sz w:val="14"/>
                <w:szCs w:val="16"/>
              </w:rPr>
              <w:t>(0.053)</w:t>
            </w:r>
          </w:p>
        </w:tc>
        <w:tc>
          <w:tcPr>
            <w:tcW w:w="462" w:type="pct"/>
            <w:tcBorders>
              <w:top w:val="nil"/>
              <w:left w:val="nil"/>
              <w:bottom w:val="nil"/>
              <w:right w:val="nil"/>
            </w:tcBorders>
            <w:shd w:val="clear" w:color="auto" w:fill="auto"/>
            <w:noWrap/>
            <w:vAlign w:val="bottom"/>
            <w:hideMark/>
          </w:tcPr>
          <w:p w14:paraId="55ED14AE" w14:textId="77777777" w:rsidR="00184B6B" w:rsidRPr="00184B6B" w:rsidRDefault="00184B6B" w:rsidP="00184B6B">
            <w:pPr>
              <w:spacing w:line="240" w:lineRule="auto"/>
              <w:ind w:firstLine="0"/>
              <w:rPr>
                <w:sz w:val="14"/>
                <w:szCs w:val="16"/>
              </w:rPr>
            </w:pPr>
            <w:r w:rsidRPr="00184B6B">
              <w:rPr>
                <w:sz w:val="14"/>
                <w:szCs w:val="16"/>
              </w:rPr>
              <w:t>(0.053)</w:t>
            </w:r>
          </w:p>
        </w:tc>
        <w:tc>
          <w:tcPr>
            <w:tcW w:w="462" w:type="pct"/>
            <w:tcBorders>
              <w:top w:val="nil"/>
              <w:left w:val="nil"/>
              <w:bottom w:val="nil"/>
              <w:right w:val="single" w:sz="4" w:space="0" w:color="auto"/>
            </w:tcBorders>
            <w:shd w:val="clear" w:color="auto" w:fill="auto"/>
            <w:noWrap/>
            <w:vAlign w:val="bottom"/>
            <w:hideMark/>
          </w:tcPr>
          <w:p w14:paraId="033F3600" w14:textId="77777777" w:rsidR="00184B6B" w:rsidRPr="00184B6B" w:rsidRDefault="00184B6B" w:rsidP="00184B6B">
            <w:pPr>
              <w:spacing w:line="240" w:lineRule="auto"/>
              <w:ind w:firstLine="0"/>
              <w:rPr>
                <w:sz w:val="14"/>
                <w:szCs w:val="16"/>
              </w:rPr>
            </w:pPr>
            <w:r w:rsidRPr="00184B6B">
              <w:rPr>
                <w:sz w:val="14"/>
                <w:szCs w:val="16"/>
              </w:rPr>
              <w:t>(0.053)</w:t>
            </w:r>
          </w:p>
        </w:tc>
        <w:tc>
          <w:tcPr>
            <w:tcW w:w="462" w:type="pct"/>
            <w:tcBorders>
              <w:top w:val="nil"/>
              <w:left w:val="single" w:sz="4" w:space="0" w:color="auto"/>
              <w:bottom w:val="nil"/>
              <w:right w:val="nil"/>
            </w:tcBorders>
            <w:shd w:val="clear" w:color="auto" w:fill="auto"/>
            <w:noWrap/>
            <w:vAlign w:val="bottom"/>
            <w:hideMark/>
          </w:tcPr>
          <w:p w14:paraId="2B0748DC" w14:textId="77777777" w:rsidR="00184B6B" w:rsidRPr="00184B6B" w:rsidRDefault="00184B6B" w:rsidP="00184B6B">
            <w:pPr>
              <w:spacing w:line="240" w:lineRule="auto"/>
              <w:ind w:firstLine="0"/>
              <w:rPr>
                <w:sz w:val="14"/>
                <w:szCs w:val="16"/>
              </w:rPr>
            </w:pPr>
            <w:r w:rsidRPr="00184B6B">
              <w:rPr>
                <w:sz w:val="14"/>
                <w:szCs w:val="16"/>
              </w:rPr>
              <w:t>(0.040)</w:t>
            </w:r>
          </w:p>
        </w:tc>
        <w:tc>
          <w:tcPr>
            <w:tcW w:w="462" w:type="pct"/>
            <w:tcBorders>
              <w:top w:val="nil"/>
              <w:left w:val="nil"/>
              <w:bottom w:val="nil"/>
              <w:right w:val="nil"/>
            </w:tcBorders>
            <w:shd w:val="clear" w:color="auto" w:fill="auto"/>
            <w:noWrap/>
            <w:vAlign w:val="bottom"/>
            <w:hideMark/>
          </w:tcPr>
          <w:p w14:paraId="5182F5DE" w14:textId="77777777" w:rsidR="00184B6B" w:rsidRPr="00184B6B" w:rsidRDefault="00184B6B" w:rsidP="00184B6B">
            <w:pPr>
              <w:spacing w:line="240" w:lineRule="auto"/>
              <w:ind w:firstLine="0"/>
              <w:rPr>
                <w:sz w:val="14"/>
                <w:szCs w:val="16"/>
              </w:rPr>
            </w:pPr>
            <w:r w:rsidRPr="00184B6B">
              <w:rPr>
                <w:sz w:val="14"/>
                <w:szCs w:val="16"/>
              </w:rPr>
              <w:t>(0.041)</w:t>
            </w:r>
          </w:p>
        </w:tc>
        <w:tc>
          <w:tcPr>
            <w:tcW w:w="462" w:type="pct"/>
            <w:tcBorders>
              <w:top w:val="nil"/>
              <w:left w:val="nil"/>
              <w:bottom w:val="nil"/>
              <w:right w:val="nil"/>
            </w:tcBorders>
            <w:shd w:val="clear" w:color="auto" w:fill="auto"/>
            <w:noWrap/>
            <w:vAlign w:val="bottom"/>
            <w:hideMark/>
          </w:tcPr>
          <w:p w14:paraId="281F1D3E" w14:textId="77777777" w:rsidR="00184B6B" w:rsidRPr="00184B6B" w:rsidRDefault="00184B6B" w:rsidP="00184B6B">
            <w:pPr>
              <w:spacing w:line="240" w:lineRule="auto"/>
              <w:ind w:firstLine="0"/>
              <w:rPr>
                <w:sz w:val="14"/>
                <w:szCs w:val="16"/>
              </w:rPr>
            </w:pPr>
            <w:r w:rsidRPr="00184B6B">
              <w:rPr>
                <w:sz w:val="14"/>
                <w:szCs w:val="16"/>
              </w:rPr>
              <w:t>(0.041)</w:t>
            </w:r>
          </w:p>
        </w:tc>
        <w:tc>
          <w:tcPr>
            <w:tcW w:w="459" w:type="pct"/>
            <w:tcBorders>
              <w:top w:val="nil"/>
              <w:left w:val="nil"/>
              <w:bottom w:val="nil"/>
              <w:right w:val="single" w:sz="4" w:space="0" w:color="auto"/>
            </w:tcBorders>
            <w:shd w:val="clear" w:color="auto" w:fill="auto"/>
            <w:noWrap/>
            <w:vAlign w:val="bottom"/>
            <w:hideMark/>
          </w:tcPr>
          <w:p w14:paraId="4CB193F6" w14:textId="77777777" w:rsidR="00184B6B" w:rsidRPr="00184B6B" w:rsidRDefault="00184B6B" w:rsidP="00184B6B">
            <w:pPr>
              <w:spacing w:line="240" w:lineRule="auto"/>
              <w:ind w:firstLine="0"/>
              <w:rPr>
                <w:sz w:val="14"/>
                <w:szCs w:val="16"/>
              </w:rPr>
            </w:pPr>
            <w:r w:rsidRPr="00184B6B">
              <w:rPr>
                <w:sz w:val="14"/>
                <w:szCs w:val="16"/>
              </w:rPr>
              <w:t>(0.041)</w:t>
            </w:r>
          </w:p>
        </w:tc>
      </w:tr>
      <w:tr w:rsidR="00184B6B" w:rsidRPr="00184B6B" w14:paraId="56B538FA"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5C781AF5" w14:textId="77777777" w:rsidR="00184B6B" w:rsidRPr="00184B6B" w:rsidRDefault="00184B6B" w:rsidP="00184B6B">
            <w:pPr>
              <w:spacing w:line="240" w:lineRule="auto"/>
              <w:ind w:firstLine="0"/>
              <w:jc w:val="left"/>
              <w:rPr>
                <w:sz w:val="14"/>
                <w:szCs w:val="16"/>
              </w:rPr>
            </w:pPr>
            <w:r w:rsidRPr="00184B6B">
              <w:rPr>
                <w:sz w:val="14"/>
                <w:szCs w:val="16"/>
              </w:rPr>
              <w:t>Catholic</w:t>
            </w:r>
          </w:p>
        </w:tc>
        <w:tc>
          <w:tcPr>
            <w:tcW w:w="462" w:type="pct"/>
            <w:tcBorders>
              <w:top w:val="nil"/>
              <w:left w:val="single" w:sz="4" w:space="0" w:color="auto"/>
              <w:bottom w:val="nil"/>
              <w:right w:val="nil"/>
            </w:tcBorders>
            <w:shd w:val="clear" w:color="auto" w:fill="auto"/>
            <w:noWrap/>
            <w:vAlign w:val="bottom"/>
            <w:hideMark/>
          </w:tcPr>
          <w:p w14:paraId="06AF11AF" w14:textId="77777777" w:rsidR="00184B6B" w:rsidRPr="00184B6B" w:rsidRDefault="00184B6B" w:rsidP="00184B6B">
            <w:pPr>
              <w:spacing w:line="240" w:lineRule="auto"/>
              <w:ind w:firstLine="0"/>
              <w:rPr>
                <w:sz w:val="14"/>
                <w:szCs w:val="16"/>
              </w:rPr>
            </w:pPr>
            <w:r w:rsidRPr="00184B6B">
              <w:rPr>
                <w:sz w:val="14"/>
                <w:szCs w:val="16"/>
              </w:rPr>
              <w:t>0.055</w:t>
            </w:r>
          </w:p>
        </w:tc>
        <w:tc>
          <w:tcPr>
            <w:tcW w:w="462" w:type="pct"/>
            <w:tcBorders>
              <w:top w:val="nil"/>
              <w:left w:val="nil"/>
              <w:bottom w:val="nil"/>
              <w:right w:val="nil"/>
            </w:tcBorders>
            <w:shd w:val="clear" w:color="auto" w:fill="auto"/>
            <w:noWrap/>
            <w:vAlign w:val="bottom"/>
            <w:hideMark/>
          </w:tcPr>
          <w:p w14:paraId="0546108A" w14:textId="77777777" w:rsidR="00184B6B" w:rsidRPr="00184B6B" w:rsidRDefault="00184B6B" w:rsidP="00184B6B">
            <w:pPr>
              <w:spacing w:line="240" w:lineRule="auto"/>
              <w:ind w:firstLine="0"/>
              <w:rPr>
                <w:sz w:val="14"/>
                <w:szCs w:val="16"/>
              </w:rPr>
            </w:pPr>
            <w:r w:rsidRPr="00184B6B">
              <w:rPr>
                <w:sz w:val="14"/>
                <w:szCs w:val="16"/>
              </w:rPr>
              <w:t>0.049</w:t>
            </w:r>
          </w:p>
        </w:tc>
        <w:tc>
          <w:tcPr>
            <w:tcW w:w="462" w:type="pct"/>
            <w:tcBorders>
              <w:top w:val="nil"/>
              <w:left w:val="nil"/>
              <w:bottom w:val="nil"/>
              <w:right w:val="nil"/>
            </w:tcBorders>
            <w:shd w:val="clear" w:color="auto" w:fill="auto"/>
            <w:noWrap/>
            <w:vAlign w:val="bottom"/>
            <w:hideMark/>
          </w:tcPr>
          <w:p w14:paraId="6BF526D1" w14:textId="77777777" w:rsidR="00184B6B" w:rsidRPr="00184B6B" w:rsidRDefault="00184B6B" w:rsidP="00184B6B">
            <w:pPr>
              <w:spacing w:line="240" w:lineRule="auto"/>
              <w:ind w:firstLine="0"/>
              <w:rPr>
                <w:sz w:val="14"/>
                <w:szCs w:val="16"/>
              </w:rPr>
            </w:pPr>
            <w:r w:rsidRPr="00184B6B">
              <w:rPr>
                <w:sz w:val="14"/>
                <w:szCs w:val="16"/>
              </w:rPr>
              <w:t>0.048</w:t>
            </w:r>
          </w:p>
        </w:tc>
        <w:tc>
          <w:tcPr>
            <w:tcW w:w="462" w:type="pct"/>
            <w:tcBorders>
              <w:top w:val="nil"/>
              <w:left w:val="nil"/>
              <w:bottom w:val="nil"/>
              <w:right w:val="single" w:sz="4" w:space="0" w:color="auto"/>
            </w:tcBorders>
            <w:shd w:val="clear" w:color="auto" w:fill="auto"/>
            <w:noWrap/>
            <w:vAlign w:val="bottom"/>
            <w:hideMark/>
          </w:tcPr>
          <w:p w14:paraId="36DF11F8" w14:textId="77777777" w:rsidR="00184B6B" w:rsidRPr="00184B6B" w:rsidRDefault="00184B6B" w:rsidP="00184B6B">
            <w:pPr>
              <w:spacing w:line="240" w:lineRule="auto"/>
              <w:ind w:firstLine="0"/>
              <w:rPr>
                <w:sz w:val="14"/>
                <w:szCs w:val="16"/>
              </w:rPr>
            </w:pPr>
            <w:r w:rsidRPr="00184B6B">
              <w:rPr>
                <w:sz w:val="14"/>
                <w:szCs w:val="16"/>
              </w:rPr>
              <w:t>0.053</w:t>
            </w:r>
          </w:p>
        </w:tc>
        <w:tc>
          <w:tcPr>
            <w:tcW w:w="462" w:type="pct"/>
            <w:tcBorders>
              <w:top w:val="nil"/>
              <w:left w:val="single" w:sz="4" w:space="0" w:color="auto"/>
              <w:bottom w:val="nil"/>
              <w:right w:val="nil"/>
            </w:tcBorders>
            <w:shd w:val="clear" w:color="auto" w:fill="auto"/>
            <w:noWrap/>
            <w:vAlign w:val="bottom"/>
            <w:hideMark/>
          </w:tcPr>
          <w:p w14:paraId="26C11C41" w14:textId="77777777" w:rsidR="00184B6B" w:rsidRPr="00184B6B" w:rsidRDefault="00184B6B" w:rsidP="00184B6B">
            <w:pPr>
              <w:spacing w:line="240" w:lineRule="auto"/>
              <w:ind w:firstLine="0"/>
              <w:rPr>
                <w:sz w:val="14"/>
                <w:szCs w:val="16"/>
              </w:rPr>
            </w:pPr>
            <w:r w:rsidRPr="00184B6B">
              <w:rPr>
                <w:sz w:val="14"/>
                <w:szCs w:val="16"/>
              </w:rPr>
              <w:t>0.106**</w:t>
            </w:r>
          </w:p>
        </w:tc>
        <w:tc>
          <w:tcPr>
            <w:tcW w:w="462" w:type="pct"/>
            <w:tcBorders>
              <w:top w:val="nil"/>
              <w:left w:val="nil"/>
              <w:bottom w:val="nil"/>
              <w:right w:val="nil"/>
            </w:tcBorders>
            <w:shd w:val="clear" w:color="auto" w:fill="auto"/>
            <w:noWrap/>
            <w:vAlign w:val="bottom"/>
            <w:hideMark/>
          </w:tcPr>
          <w:p w14:paraId="5965B630" w14:textId="77777777" w:rsidR="00184B6B" w:rsidRPr="00184B6B" w:rsidRDefault="00184B6B" w:rsidP="00184B6B">
            <w:pPr>
              <w:spacing w:line="240" w:lineRule="auto"/>
              <w:ind w:firstLine="0"/>
              <w:rPr>
                <w:sz w:val="14"/>
                <w:szCs w:val="16"/>
              </w:rPr>
            </w:pPr>
            <w:r w:rsidRPr="00184B6B">
              <w:rPr>
                <w:sz w:val="14"/>
                <w:szCs w:val="16"/>
              </w:rPr>
              <w:t>0.099**</w:t>
            </w:r>
          </w:p>
        </w:tc>
        <w:tc>
          <w:tcPr>
            <w:tcW w:w="462" w:type="pct"/>
            <w:tcBorders>
              <w:top w:val="nil"/>
              <w:left w:val="nil"/>
              <w:bottom w:val="nil"/>
              <w:right w:val="nil"/>
            </w:tcBorders>
            <w:shd w:val="clear" w:color="auto" w:fill="auto"/>
            <w:noWrap/>
            <w:vAlign w:val="bottom"/>
            <w:hideMark/>
          </w:tcPr>
          <w:p w14:paraId="2E0B41B4" w14:textId="77777777" w:rsidR="00184B6B" w:rsidRPr="00184B6B" w:rsidRDefault="00184B6B" w:rsidP="00184B6B">
            <w:pPr>
              <w:spacing w:line="240" w:lineRule="auto"/>
              <w:ind w:firstLine="0"/>
              <w:rPr>
                <w:sz w:val="14"/>
                <w:szCs w:val="16"/>
              </w:rPr>
            </w:pPr>
            <w:r w:rsidRPr="00184B6B">
              <w:rPr>
                <w:sz w:val="14"/>
                <w:szCs w:val="16"/>
              </w:rPr>
              <w:t>0.100**</w:t>
            </w:r>
          </w:p>
        </w:tc>
        <w:tc>
          <w:tcPr>
            <w:tcW w:w="459" w:type="pct"/>
            <w:tcBorders>
              <w:top w:val="nil"/>
              <w:left w:val="nil"/>
              <w:bottom w:val="nil"/>
              <w:right w:val="single" w:sz="4" w:space="0" w:color="auto"/>
            </w:tcBorders>
            <w:shd w:val="clear" w:color="auto" w:fill="auto"/>
            <w:noWrap/>
            <w:vAlign w:val="bottom"/>
            <w:hideMark/>
          </w:tcPr>
          <w:p w14:paraId="00E4704F" w14:textId="77777777" w:rsidR="00184B6B" w:rsidRPr="00184B6B" w:rsidRDefault="00184B6B" w:rsidP="00184B6B">
            <w:pPr>
              <w:spacing w:line="240" w:lineRule="auto"/>
              <w:ind w:firstLine="0"/>
              <w:rPr>
                <w:sz w:val="14"/>
                <w:szCs w:val="16"/>
              </w:rPr>
            </w:pPr>
            <w:r w:rsidRPr="00184B6B">
              <w:rPr>
                <w:sz w:val="14"/>
                <w:szCs w:val="16"/>
              </w:rPr>
              <w:t>0.100**</w:t>
            </w:r>
          </w:p>
        </w:tc>
      </w:tr>
      <w:tr w:rsidR="00184B6B" w:rsidRPr="00184B6B" w14:paraId="365CFE6D"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0157A418"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A3EE06C" w14:textId="77777777" w:rsidR="00184B6B" w:rsidRPr="00184B6B" w:rsidRDefault="00184B6B" w:rsidP="00184B6B">
            <w:pPr>
              <w:spacing w:line="240" w:lineRule="auto"/>
              <w:ind w:firstLine="0"/>
              <w:rPr>
                <w:sz w:val="14"/>
                <w:szCs w:val="16"/>
              </w:rPr>
            </w:pPr>
            <w:r w:rsidRPr="00184B6B">
              <w:rPr>
                <w:sz w:val="14"/>
                <w:szCs w:val="16"/>
              </w:rPr>
              <w:t>(0.060)</w:t>
            </w:r>
          </w:p>
        </w:tc>
        <w:tc>
          <w:tcPr>
            <w:tcW w:w="462" w:type="pct"/>
            <w:tcBorders>
              <w:top w:val="nil"/>
              <w:left w:val="nil"/>
              <w:bottom w:val="nil"/>
              <w:right w:val="nil"/>
            </w:tcBorders>
            <w:shd w:val="clear" w:color="auto" w:fill="auto"/>
            <w:noWrap/>
            <w:vAlign w:val="bottom"/>
            <w:hideMark/>
          </w:tcPr>
          <w:p w14:paraId="79344F72" w14:textId="77777777" w:rsidR="00184B6B" w:rsidRPr="00184B6B" w:rsidRDefault="00184B6B" w:rsidP="00184B6B">
            <w:pPr>
              <w:spacing w:line="240" w:lineRule="auto"/>
              <w:ind w:firstLine="0"/>
              <w:rPr>
                <w:sz w:val="14"/>
                <w:szCs w:val="16"/>
              </w:rPr>
            </w:pPr>
            <w:r w:rsidRPr="00184B6B">
              <w:rPr>
                <w:sz w:val="14"/>
                <w:szCs w:val="16"/>
              </w:rPr>
              <w:t>(0.060)</w:t>
            </w:r>
          </w:p>
        </w:tc>
        <w:tc>
          <w:tcPr>
            <w:tcW w:w="462" w:type="pct"/>
            <w:tcBorders>
              <w:top w:val="nil"/>
              <w:left w:val="nil"/>
              <w:bottom w:val="nil"/>
              <w:right w:val="nil"/>
            </w:tcBorders>
            <w:shd w:val="clear" w:color="auto" w:fill="auto"/>
            <w:noWrap/>
            <w:vAlign w:val="bottom"/>
            <w:hideMark/>
          </w:tcPr>
          <w:p w14:paraId="66D8C74E" w14:textId="77777777" w:rsidR="00184B6B" w:rsidRPr="00184B6B" w:rsidRDefault="00184B6B" w:rsidP="00184B6B">
            <w:pPr>
              <w:spacing w:line="240" w:lineRule="auto"/>
              <w:ind w:firstLine="0"/>
              <w:rPr>
                <w:sz w:val="14"/>
                <w:szCs w:val="16"/>
              </w:rPr>
            </w:pPr>
            <w:r w:rsidRPr="00184B6B">
              <w:rPr>
                <w:sz w:val="14"/>
                <w:szCs w:val="16"/>
              </w:rPr>
              <w:t>(0.060)</w:t>
            </w:r>
          </w:p>
        </w:tc>
        <w:tc>
          <w:tcPr>
            <w:tcW w:w="462" w:type="pct"/>
            <w:tcBorders>
              <w:top w:val="nil"/>
              <w:left w:val="nil"/>
              <w:bottom w:val="nil"/>
              <w:right w:val="single" w:sz="4" w:space="0" w:color="auto"/>
            </w:tcBorders>
            <w:shd w:val="clear" w:color="auto" w:fill="auto"/>
            <w:noWrap/>
            <w:vAlign w:val="bottom"/>
            <w:hideMark/>
          </w:tcPr>
          <w:p w14:paraId="2562D95F" w14:textId="77777777" w:rsidR="00184B6B" w:rsidRPr="00184B6B" w:rsidRDefault="00184B6B" w:rsidP="00184B6B">
            <w:pPr>
              <w:spacing w:line="240" w:lineRule="auto"/>
              <w:ind w:firstLine="0"/>
              <w:rPr>
                <w:sz w:val="14"/>
                <w:szCs w:val="16"/>
              </w:rPr>
            </w:pPr>
            <w:r w:rsidRPr="00184B6B">
              <w:rPr>
                <w:sz w:val="14"/>
                <w:szCs w:val="16"/>
              </w:rPr>
              <w:t>(0.060)</w:t>
            </w:r>
          </w:p>
        </w:tc>
        <w:tc>
          <w:tcPr>
            <w:tcW w:w="462" w:type="pct"/>
            <w:tcBorders>
              <w:top w:val="nil"/>
              <w:left w:val="single" w:sz="4" w:space="0" w:color="auto"/>
              <w:bottom w:val="nil"/>
              <w:right w:val="nil"/>
            </w:tcBorders>
            <w:shd w:val="clear" w:color="auto" w:fill="auto"/>
            <w:noWrap/>
            <w:vAlign w:val="bottom"/>
            <w:hideMark/>
          </w:tcPr>
          <w:p w14:paraId="5C39E9C7" w14:textId="77777777" w:rsidR="00184B6B" w:rsidRPr="00184B6B" w:rsidRDefault="00184B6B" w:rsidP="00184B6B">
            <w:pPr>
              <w:spacing w:line="240" w:lineRule="auto"/>
              <w:ind w:firstLine="0"/>
              <w:rPr>
                <w:sz w:val="14"/>
                <w:szCs w:val="16"/>
              </w:rPr>
            </w:pPr>
            <w:r w:rsidRPr="00184B6B">
              <w:rPr>
                <w:sz w:val="14"/>
                <w:szCs w:val="16"/>
              </w:rPr>
              <w:t>(0.048)</w:t>
            </w:r>
          </w:p>
        </w:tc>
        <w:tc>
          <w:tcPr>
            <w:tcW w:w="462" w:type="pct"/>
            <w:tcBorders>
              <w:top w:val="nil"/>
              <w:left w:val="nil"/>
              <w:bottom w:val="nil"/>
              <w:right w:val="nil"/>
            </w:tcBorders>
            <w:shd w:val="clear" w:color="auto" w:fill="auto"/>
            <w:noWrap/>
            <w:vAlign w:val="bottom"/>
            <w:hideMark/>
          </w:tcPr>
          <w:p w14:paraId="34CA5016" w14:textId="77777777" w:rsidR="00184B6B" w:rsidRPr="00184B6B" w:rsidRDefault="00184B6B" w:rsidP="00184B6B">
            <w:pPr>
              <w:spacing w:line="240" w:lineRule="auto"/>
              <w:ind w:firstLine="0"/>
              <w:rPr>
                <w:sz w:val="14"/>
                <w:szCs w:val="16"/>
              </w:rPr>
            </w:pPr>
            <w:r w:rsidRPr="00184B6B">
              <w:rPr>
                <w:sz w:val="14"/>
                <w:szCs w:val="16"/>
              </w:rPr>
              <w:t>(0.048)</w:t>
            </w:r>
          </w:p>
        </w:tc>
        <w:tc>
          <w:tcPr>
            <w:tcW w:w="462" w:type="pct"/>
            <w:tcBorders>
              <w:top w:val="nil"/>
              <w:left w:val="nil"/>
              <w:bottom w:val="nil"/>
              <w:right w:val="nil"/>
            </w:tcBorders>
            <w:shd w:val="clear" w:color="auto" w:fill="auto"/>
            <w:noWrap/>
            <w:vAlign w:val="bottom"/>
            <w:hideMark/>
          </w:tcPr>
          <w:p w14:paraId="506F18D5" w14:textId="77777777" w:rsidR="00184B6B" w:rsidRPr="00184B6B" w:rsidRDefault="00184B6B" w:rsidP="00184B6B">
            <w:pPr>
              <w:spacing w:line="240" w:lineRule="auto"/>
              <w:ind w:firstLine="0"/>
              <w:rPr>
                <w:sz w:val="14"/>
                <w:szCs w:val="16"/>
              </w:rPr>
            </w:pPr>
            <w:r w:rsidRPr="00184B6B">
              <w:rPr>
                <w:sz w:val="14"/>
                <w:szCs w:val="16"/>
              </w:rPr>
              <w:t>(0.048)</w:t>
            </w:r>
          </w:p>
        </w:tc>
        <w:tc>
          <w:tcPr>
            <w:tcW w:w="459" w:type="pct"/>
            <w:tcBorders>
              <w:top w:val="nil"/>
              <w:left w:val="nil"/>
              <w:bottom w:val="nil"/>
              <w:right w:val="single" w:sz="4" w:space="0" w:color="auto"/>
            </w:tcBorders>
            <w:shd w:val="clear" w:color="auto" w:fill="auto"/>
            <w:noWrap/>
            <w:vAlign w:val="bottom"/>
            <w:hideMark/>
          </w:tcPr>
          <w:p w14:paraId="51189019" w14:textId="77777777" w:rsidR="00184B6B" w:rsidRPr="00184B6B" w:rsidRDefault="00184B6B" w:rsidP="00184B6B">
            <w:pPr>
              <w:spacing w:line="240" w:lineRule="auto"/>
              <w:ind w:firstLine="0"/>
              <w:rPr>
                <w:sz w:val="14"/>
                <w:szCs w:val="16"/>
              </w:rPr>
            </w:pPr>
            <w:r w:rsidRPr="00184B6B">
              <w:rPr>
                <w:sz w:val="14"/>
                <w:szCs w:val="16"/>
              </w:rPr>
              <w:t>(0.048)</w:t>
            </w:r>
          </w:p>
        </w:tc>
      </w:tr>
      <w:tr w:rsidR="00184B6B" w:rsidRPr="00184B6B" w14:paraId="4C87A06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899724B" w14:textId="77777777" w:rsidR="00184B6B" w:rsidRPr="00184B6B" w:rsidRDefault="00184B6B" w:rsidP="00184B6B">
            <w:pPr>
              <w:spacing w:line="240" w:lineRule="auto"/>
              <w:ind w:firstLine="0"/>
              <w:jc w:val="left"/>
              <w:rPr>
                <w:sz w:val="14"/>
                <w:szCs w:val="16"/>
              </w:rPr>
            </w:pPr>
            <w:r w:rsidRPr="00184B6B">
              <w:rPr>
                <w:sz w:val="14"/>
                <w:szCs w:val="16"/>
              </w:rPr>
              <w:t>Muslim</w:t>
            </w:r>
          </w:p>
        </w:tc>
        <w:tc>
          <w:tcPr>
            <w:tcW w:w="462" w:type="pct"/>
            <w:tcBorders>
              <w:top w:val="nil"/>
              <w:left w:val="single" w:sz="4" w:space="0" w:color="auto"/>
              <w:bottom w:val="nil"/>
              <w:right w:val="nil"/>
            </w:tcBorders>
            <w:shd w:val="clear" w:color="auto" w:fill="auto"/>
            <w:noWrap/>
            <w:vAlign w:val="bottom"/>
            <w:hideMark/>
          </w:tcPr>
          <w:p w14:paraId="21C260CB" w14:textId="77777777" w:rsidR="00184B6B" w:rsidRPr="00184B6B" w:rsidRDefault="00184B6B" w:rsidP="00184B6B">
            <w:pPr>
              <w:spacing w:line="240" w:lineRule="auto"/>
              <w:ind w:firstLine="0"/>
              <w:rPr>
                <w:sz w:val="14"/>
                <w:szCs w:val="16"/>
              </w:rPr>
            </w:pPr>
            <w:r w:rsidRPr="00184B6B">
              <w:rPr>
                <w:sz w:val="14"/>
                <w:szCs w:val="16"/>
              </w:rPr>
              <w:t>0.473***</w:t>
            </w:r>
          </w:p>
        </w:tc>
        <w:tc>
          <w:tcPr>
            <w:tcW w:w="462" w:type="pct"/>
            <w:tcBorders>
              <w:top w:val="nil"/>
              <w:left w:val="nil"/>
              <w:bottom w:val="nil"/>
              <w:right w:val="nil"/>
            </w:tcBorders>
            <w:shd w:val="clear" w:color="auto" w:fill="auto"/>
            <w:noWrap/>
            <w:vAlign w:val="bottom"/>
            <w:hideMark/>
          </w:tcPr>
          <w:p w14:paraId="39081267" w14:textId="77777777" w:rsidR="00184B6B" w:rsidRPr="00184B6B" w:rsidRDefault="00184B6B" w:rsidP="00184B6B">
            <w:pPr>
              <w:spacing w:line="240" w:lineRule="auto"/>
              <w:ind w:firstLine="0"/>
              <w:rPr>
                <w:sz w:val="14"/>
                <w:szCs w:val="16"/>
              </w:rPr>
            </w:pPr>
            <w:r w:rsidRPr="00184B6B">
              <w:rPr>
                <w:sz w:val="14"/>
                <w:szCs w:val="16"/>
              </w:rPr>
              <w:t>0.464***</w:t>
            </w:r>
          </w:p>
        </w:tc>
        <w:tc>
          <w:tcPr>
            <w:tcW w:w="462" w:type="pct"/>
            <w:tcBorders>
              <w:top w:val="nil"/>
              <w:left w:val="nil"/>
              <w:bottom w:val="nil"/>
              <w:right w:val="nil"/>
            </w:tcBorders>
            <w:shd w:val="clear" w:color="auto" w:fill="auto"/>
            <w:noWrap/>
            <w:vAlign w:val="bottom"/>
            <w:hideMark/>
          </w:tcPr>
          <w:p w14:paraId="05B6DE46" w14:textId="77777777" w:rsidR="00184B6B" w:rsidRPr="00184B6B" w:rsidRDefault="00184B6B" w:rsidP="00184B6B">
            <w:pPr>
              <w:spacing w:line="240" w:lineRule="auto"/>
              <w:ind w:firstLine="0"/>
              <w:rPr>
                <w:sz w:val="14"/>
                <w:szCs w:val="16"/>
              </w:rPr>
            </w:pPr>
            <w:r w:rsidRPr="00184B6B">
              <w:rPr>
                <w:sz w:val="14"/>
                <w:szCs w:val="16"/>
              </w:rPr>
              <w:t>0.472***</w:t>
            </w:r>
          </w:p>
        </w:tc>
        <w:tc>
          <w:tcPr>
            <w:tcW w:w="462" w:type="pct"/>
            <w:tcBorders>
              <w:top w:val="nil"/>
              <w:left w:val="nil"/>
              <w:bottom w:val="nil"/>
              <w:right w:val="single" w:sz="4" w:space="0" w:color="auto"/>
            </w:tcBorders>
            <w:shd w:val="clear" w:color="auto" w:fill="auto"/>
            <w:noWrap/>
            <w:vAlign w:val="bottom"/>
            <w:hideMark/>
          </w:tcPr>
          <w:p w14:paraId="5379E9A3" w14:textId="77777777" w:rsidR="00184B6B" w:rsidRPr="00184B6B" w:rsidRDefault="00184B6B" w:rsidP="00184B6B">
            <w:pPr>
              <w:spacing w:line="240" w:lineRule="auto"/>
              <w:ind w:firstLine="0"/>
              <w:rPr>
                <w:sz w:val="14"/>
                <w:szCs w:val="16"/>
              </w:rPr>
            </w:pPr>
            <w:r w:rsidRPr="00184B6B">
              <w:rPr>
                <w:sz w:val="14"/>
                <w:szCs w:val="16"/>
              </w:rPr>
              <w:t>0.463***</w:t>
            </w:r>
          </w:p>
        </w:tc>
        <w:tc>
          <w:tcPr>
            <w:tcW w:w="462" w:type="pct"/>
            <w:tcBorders>
              <w:top w:val="nil"/>
              <w:left w:val="single" w:sz="4" w:space="0" w:color="auto"/>
              <w:bottom w:val="nil"/>
              <w:right w:val="nil"/>
            </w:tcBorders>
            <w:shd w:val="clear" w:color="auto" w:fill="auto"/>
            <w:noWrap/>
            <w:vAlign w:val="bottom"/>
            <w:hideMark/>
          </w:tcPr>
          <w:p w14:paraId="0704F3A0" w14:textId="77777777" w:rsidR="00184B6B" w:rsidRPr="00184B6B" w:rsidRDefault="00184B6B" w:rsidP="00184B6B">
            <w:pPr>
              <w:spacing w:line="240" w:lineRule="auto"/>
              <w:ind w:firstLine="0"/>
              <w:rPr>
                <w:sz w:val="14"/>
                <w:szCs w:val="16"/>
              </w:rPr>
            </w:pPr>
            <w:r w:rsidRPr="00184B6B">
              <w:rPr>
                <w:sz w:val="14"/>
                <w:szCs w:val="16"/>
              </w:rPr>
              <w:t>0.485***</w:t>
            </w:r>
          </w:p>
        </w:tc>
        <w:tc>
          <w:tcPr>
            <w:tcW w:w="462" w:type="pct"/>
            <w:tcBorders>
              <w:top w:val="nil"/>
              <w:left w:val="nil"/>
              <w:bottom w:val="nil"/>
              <w:right w:val="nil"/>
            </w:tcBorders>
            <w:shd w:val="clear" w:color="auto" w:fill="auto"/>
            <w:noWrap/>
            <w:vAlign w:val="bottom"/>
            <w:hideMark/>
          </w:tcPr>
          <w:p w14:paraId="6402F9B2" w14:textId="77777777" w:rsidR="00184B6B" w:rsidRPr="00184B6B" w:rsidRDefault="00184B6B" w:rsidP="00184B6B">
            <w:pPr>
              <w:spacing w:line="240" w:lineRule="auto"/>
              <w:ind w:firstLine="0"/>
              <w:rPr>
                <w:sz w:val="14"/>
                <w:szCs w:val="16"/>
              </w:rPr>
            </w:pPr>
            <w:r w:rsidRPr="00184B6B">
              <w:rPr>
                <w:sz w:val="14"/>
                <w:szCs w:val="16"/>
              </w:rPr>
              <w:t>0.475***</w:t>
            </w:r>
          </w:p>
        </w:tc>
        <w:tc>
          <w:tcPr>
            <w:tcW w:w="462" w:type="pct"/>
            <w:tcBorders>
              <w:top w:val="nil"/>
              <w:left w:val="nil"/>
              <w:bottom w:val="nil"/>
              <w:right w:val="nil"/>
            </w:tcBorders>
            <w:shd w:val="clear" w:color="auto" w:fill="auto"/>
            <w:noWrap/>
            <w:vAlign w:val="bottom"/>
            <w:hideMark/>
          </w:tcPr>
          <w:p w14:paraId="613200D2" w14:textId="77777777" w:rsidR="00184B6B" w:rsidRPr="00184B6B" w:rsidRDefault="00184B6B" w:rsidP="00184B6B">
            <w:pPr>
              <w:spacing w:line="240" w:lineRule="auto"/>
              <w:ind w:firstLine="0"/>
              <w:rPr>
                <w:sz w:val="14"/>
                <w:szCs w:val="16"/>
              </w:rPr>
            </w:pPr>
            <w:r w:rsidRPr="00184B6B">
              <w:rPr>
                <w:sz w:val="14"/>
                <w:szCs w:val="16"/>
              </w:rPr>
              <w:t>0.481***</w:t>
            </w:r>
          </w:p>
        </w:tc>
        <w:tc>
          <w:tcPr>
            <w:tcW w:w="459" w:type="pct"/>
            <w:tcBorders>
              <w:top w:val="nil"/>
              <w:left w:val="nil"/>
              <w:bottom w:val="nil"/>
              <w:right w:val="single" w:sz="4" w:space="0" w:color="auto"/>
            </w:tcBorders>
            <w:shd w:val="clear" w:color="auto" w:fill="auto"/>
            <w:noWrap/>
            <w:vAlign w:val="bottom"/>
            <w:hideMark/>
          </w:tcPr>
          <w:p w14:paraId="56566C5A" w14:textId="77777777" w:rsidR="00184B6B" w:rsidRPr="00184B6B" w:rsidRDefault="00184B6B" w:rsidP="00184B6B">
            <w:pPr>
              <w:spacing w:line="240" w:lineRule="auto"/>
              <w:ind w:firstLine="0"/>
              <w:rPr>
                <w:sz w:val="14"/>
                <w:szCs w:val="16"/>
              </w:rPr>
            </w:pPr>
            <w:r w:rsidRPr="00184B6B">
              <w:rPr>
                <w:sz w:val="14"/>
                <w:szCs w:val="16"/>
              </w:rPr>
              <w:t>0.476***</w:t>
            </w:r>
          </w:p>
        </w:tc>
      </w:tr>
      <w:tr w:rsidR="00184B6B" w:rsidRPr="00184B6B" w14:paraId="3B682250"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0A212B85"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358F4537"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545F15C9"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nil"/>
            </w:tcBorders>
            <w:shd w:val="clear" w:color="auto" w:fill="auto"/>
            <w:noWrap/>
            <w:vAlign w:val="bottom"/>
            <w:hideMark/>
          </w:tcPr>
          <w:p w14:paraId="5ED3B2CF"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single" w:sz="4" w:space="0" w:color="auto"/>
            </w:tcBorders>
            <w:shd w:val="clear" w:color="auto" w:fill="auto"/>
            <w:noWrap/>
            <w:vAlign w:val="bottom"/>
            <w:hideMark/>
          </w:tcPr>
          <w:p w14:paraId="7A7F9386"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single" w:sz="4" w:space="0" w:color="auto"/>
              <w:bottom w:val="nil"/>
              <w:right w:val="nil"/>
            </w:tcBorders>
            <w:shd w:val="clear" w:color="auto" w:fill="auto"/>
            <w:noWrap/>
            <w:vAlign w:val="bottom"/>
            <w:hideMark/>
          </w:tcPr>
          <w:p w14:paraId="0B4B8434" w14:textId="77777777" w:rsidR="00184B6B" w:rsidRPr="00184B6B" w:rsidRDefault="00184B6B" w:rsidP="00184B6B">
            <w:pPr>
              <w:spacing w:line="240" w:lineRule="auto"/>
              <w:ind w:firstLine="0"/>
              <w:rPr>
                <w:sz w:val="14"/>
                <w:szCs w:val="16"/>
              </w:rPr>
            </w:pPr>
            <w:r w:rsidRPr="00184B6B">
              <w:rPr>
                <w:sz w:val="14"/>
                <w:szCs w:val="16"/>
              </w:rPr>
              <w:t>(0.043)</w:t>
            </w:r>
          </w:p>
        </w:tc>
        <w:tc>
          <w:tcPr>
            <w:tcW w:w="462" w:type="pct"/>
            <w:tcBorders>
              <w:top w:val="nil"/>
              <w:left w:val="nil"/>
              <w:bottom w:val="nil"/>
              <w:right w:val="nil"/>
            </w:tcBorders>
            <w:shd w:val="clear" w:color="auto" w:fill="auto"/>
            <w:noWrap/>
            <w:vAlign w:val="bottom"/>
            <w:hideMark/>
          </w:tcPr>
          <w:p w14:paraId="6B1B7091" w14:textId="77777777" w:rsidR="00184B6B" w:rsidRPr="00184B6B" w:rsidRDefault="00184B6B" w:rsidP="00184B6B">
            <w:pPr>
              <w:spacing w:line="240" w:lineRule="auto"/>
              <w:ind w:firstLine="0"/>
              <w:rPr>
                <w:sz w:val="14"/>
                <w:szCs w:val="16"/>
              </w:rPr>
            </w:pPr>
            <w:r w:rsidRPr="00184B6B">
              <w:rPr>
                <w:sz w:val="14"/>
                <w:szCs w:val="16"/>
              </w:rPr>
              <w:t>(0.043)</w:t>
            </w:r>
          </w:p>
        </w:tc>
        <w:tc>
          <w:tcPr>
            <w:tcW w:w="462" w:type="pct"/>
            <w:tcBorders>
              <w:top w:val="nil"/>
              <w:left w:val="nil"/>
              <w:bottom w:val="nil"/>
              <w:right w:val="nil"/>
            </w:tcBorders>
            <w:shd w:val="clear" w:color="auto" w:fill="auto"/>
            <w:noWrap/>
            <w:vAlign w:val="bottom"/>
            <w:hideMark/>
          </w:tcPr>
          <w:p w14:paraId="16BA54ED" w14:textId="77777777" w:rsidR="00184B6B" w:rsidRPr="00184B6B" w:rsidRDefault="00184B6B" w:rsidP="00184B6B">
            <w:pPr>
              <w:spacing w:line="240" w:lineRule="auto"/>
              <w:ind w:firstLine="0"/>
              <w:rPr>
                <w:sz w:val="14"/>
                <w:szCs w:val="16"/>
              </w:rPr>
            </w:pPr>
            <w:r w:rsidRPr="00184B6B">
              <w:rPr>
                <w:sz w:val="14"/>
                <w:szCs w:val="16"/>
              </w:rPr>
              <w:t>(0.043)</w:t>
            </w:r>
          </w:p>
        </w:tc>
        <w:tc>
          <w:tcPr>
            <w:tcW w:w="459" w:type="pct"/>
            <w:tcBorders>
              <w:top w:val="nil"/>
              <w:left w:val="nil"/>
              <w:bottom w:val="nil"/>
              <w:right w:val="single" w:sz="4" w:space="0" w:color="auto"/>
            </w:tcBorders>
            <w:shd w:val="clear" w:color="auto" w:fill="auto"/>
            <w:noWrap/>
            <w:vAlign w:val="bottom"/>
            <w:hideMark/>
          </w:tcPr>
          <w:p w14:paraId="0558D175" w14:textId="77777777" w:rsidR="00184B6B" w:rsidRPr="00184B6B" w:rsidRDefault="00184B6B" w:rsidP="00184B6B">
            <w:pPr>
              <w:spacing w:line="240" w:lineRule="auto"/>
              <w:ind w:firstLine="0"/>
              <w:rPr>
                <w:sz w:val="14"/>
                <w:szCs w:val="16"/>
              </w:rPr>
            </w:pPr>
            <w:r w:rsidRPr="00184B6B">
              <w:rPr>
                <w:sz w:val="14"/>
                <w:szCs w:val="16"/>
              </w:rPr>
              <w:t>(0.043)</w:t>
            </w:r>
          </w:p>
        </w:tc>
      </w:tr>
      <w:tr w:rsidR="00184B6B" w:rsidRPr="00184B6B" w14:paraId="3A7628FB"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4F9225E" w14:textId="77777777" w:rsidR="00184B6B" w:rsidRPr="00184B6B" w:rsidRDefault="00184B6B" w:rsidP="00184B6B">
            <w:pPr>
              <w:spacing w:line="240" w:lineRule="auto"/>
              <w:ind w:firstLine="0"/>
              <w:jc w:val="left"/>
              <w:rPr>
                <w:sz w:val="14"/>
                <w:szCs w:val="16"/>
              </w:rPr>
            </w:pPr>
            <w:r w:rsidRPr="00184B6B">
              <w:rPr>
                <w:sz w:val="14"/>
                <w:szCs w:val="16"/>
              </w:rPr>
              <w:t>Religion: other</w:t>
            </w:r>
          </w:p>
        </w:tc>
        <w:tc>
          <w:tcPr>
            <w:tcW w:w="462" w:type="pct"/>
            <w:tcBorders>
              <w:top w:val="nil"/>
              <w:left w:val="single" w:sz="4" w:space="0" w:color="auto"/>
              <w:bottom w:val="nil"/>
              <w:right w:val="nil"/>
            </w:tcBorders>
            <w:shd w:val="clear" w:color="auto" w:fill="auto"/>
            <w:noWrap/>
            <w:vAlign w:val="bottom"/>
            <w:hideMark/>
          </w:tcPr>
          <w:p w14:paraId="04A838AF" w14:textId="77777777" w:rsidR="00184B6B" w:rsidRPr="00184B6B" w:rsidRDefault="00184B6B" w:rsidP="00184B6B">
            <w:pPr>
              <w:spacing w:line="240" w:lineRule="auto"/>
              <w:ind w:firstLine="0"/>
              <w:rPr>
                <w:sz w:val="14"/>
                <w:szCs w:val="16"/>
              </w:rPr>
            </w:pPr>
            <w:r w:rsidRPr="00184B6B">
              <w:rPr>
                <w:sz w:val="14"/>
                <w:szCs w:val="16"/>
              </w:rPr>
              <w:t>0.244***</w:t>
            </w:r>
          </w:p>
        </w:tc>
        <w:tc>
          <w:tcPr>
            <w:tcW w:w="462" w:type="pct"/>
            <w:tcBorders>
              <w:top w:val="nil"/>
              <w:left w:val="nil"/>
              <w:bottom w:val="nil"/>
              <w:right w:val="nil"/>
            </w:tcBorders>
            <w:shd w:val="clear" w:color="auto" w:fill="auto"/>
            <w:noWrap/>
            <w:vAlign w:val="bottom"/>
            <w:hideMark/>
          </w:tcPr>
          <w:p w14:paraId="44933E75" w14:textId="77777777" w:rsidR="00184B6B" w:rsidRPr="00184B6B" w:rsidRDefault="00184B6B" w:rsidP="00184B6B">
            <w:pPr>
              <w:spacing w:line="240" w:lineRule="auto"/>
              <w:ind w:firstLine="0"/>
              <w:rPr>
                <w:sz w:val="14"/>
                <w:szCs w:val="16"/>
              </w:rPr>
            </w:pPr>
            <w:r w:rsidRPr="00184B6B">
              <w:rPr>
                <w:sz w:val="14"/>
                <w:szCs w:val="16"/>
              </w:rPr>
              <w:t>0.249***</w:t>
            </w:r>
          </w:p>
        </w:tc>
        <w:tc>
          <w:tcPr>
            <w:tcW w:w="462" w:type="pct"/>
            <w:tcBorders>
              <w:top w:val="nil"/>
              <w:left w:val="nil"/>
              <w:bottom w:val="nil"/>
              <w:right w:val="nil"/>
            </w:tcBorders>
            <w:shd w:val="clear" w:color="auto" w:fill="auto"/>
            <w:noWrap/>
            <w:vAlign w:val="bottom"/>
            <w:hideMark/>
          </w:tcPr>
          <w:p w14:paraId="5FCFE0C6" w14:textId="77777777" w:rsidR="00184B6B" w:rsidRPr="00184B6B" w:rsidRDefault="00184B6B" w:rsidP="00184B6B">
            <w:pPr>
              <w:spacing w:line="240" w:lineRule="auto"/>
              <w:ind w:firstLine="0"/>
              <w:rPr>
                <w:sz w:val="14"/>
                <w:szCs w:val="16"/>
              </w:rPr>
            </w:pPr>
            <w:r w:rsidRPr="00184B6B">
              <w:rPr>
                <w:sz w:val="14"/>
                <w:szCs w:val="16"/>
              </w:rPr>
              <w:t>0.245***</w:t>
            </w:r>
          </w:p>
        </w:tc>
        <w:tc>
          <w:tcPr>
            <w:tcW w:w="462" w:type="pct"/>
            <w:tcBorders>
              <w:top w:val="nil"/>
              <w:left w:val="nil"/>
              <w:bottom w:val="nil"/>
              <w:right w:val="single" w:sz="4" w:space="0" w:color="auto"/>
            </w:tcBorders>
            <w:shd w:val="clear" w:color="auto" w:fill="auto"/>
            <w:noWrap/>
            <w:vAlign w:val="bottom"/>
            <w:hideMark/>
          </w:tcPr>
          <w:p w14:paraId="44EEF6B4" w14:textId="77777777" w:rsidR="00184B6B" w:rsidRPr="00184B6B" w:rsidRDefault="00184B6B" w:rsidP="00184B6B">
            <w:pPr>
              <w:spacing w:line="240" w:lineRule="auto"/>
              <w:ind w:firstLine="0"/>
              <w:rPr>
                <w:sz w:val="14"/>
                <w:szCs w:val="16"/>
              </w:rPr>
            </w:pPr>
            <w:r w:rsidRPr="00184B6B">
              <w:rPr>
                <w:sz w:val="14"/>
                <w:szCs w:val="16"/>
              </w:rPr>
              <w:t>0.241***</w:t>
            </w:r>
          </w:p>
        </w:tc>
        <w:tc>
          <w:tcPr>
            <w:tcW w:w="462" w:type="pct"/>
            <w:tcBorders>
              <w:top w:val="nil"/>
              <w:left w:val="single" w:sz="4" w:space="0" w:color="auto"/>
              <w:bottom w:val="nil"/>
              <w:right w:val="nil"/>
            </w:tcBorders>
            <w:shd w:val="clear" w:color="auto" w:fill="auto"/>
            <w:noWrap/>
            <w:vAlign w:val="bottom"/>
            <w:hideMark/>
          </w:tcPr>
          <w:p w14:paraId="1E7B2B03" w14:textId="77777777" w:rsidR="00184B6B" w:rsidRPr="00184B6B" w:rsidRDefault="00184B6B" w:rsidP="00184B6B">
            <w:pPr>
              <w:spacing w:line="240" w:lineRule="auto"/>
              <w:ind w:firstLine="0"/>
              <w:rPr>
                <w:sz w:val="14"/>
                <w:szCs w:val="16"/>
              </w:rPr>
            </w:pPr>
            <w:r w:rsidRPr="00184B6B">
              <w:rPr>
                <w:sz w:val="14"/>
                <w:szCs w:val="16"/>
              </w:rPr>
              <w:t>0.113**</w:t>
            </w:r>
          </w:p>
        </w:tc>
        <w:tc>
          <w:tcPr>
            <w:tcW w:w="462" w:type="pct"/>
            <w:tcBorders>
              <w:top w:val="nil"/>
              <w:left w:val="nil"/>
              <w:bottom w:val="nil"/>
              <w:right w:val="nil"/>
            </w:tcBorders>
            <w:shd w:val="clear" w:color="auto" w:fill="auto"/>
            <w:noWrap/>
            <w:vAlign w:val="bottom"/>
            <w:hideMark/>
          </w:tcPr>
          <w:p w14:paraId="762DE0D6" w14:textId="77777777" w:rsidR="00184B6B" w:rsidRPr="00184B6B" w:rsidRDefault="00184B6B" w:rsidP="00184B6B">
            <w:pPr>
              <w:spacing w:line="240" w:lineRule="auto"/>
              <w:ind w:firstLine="0"/>
              <w:rPr>
                <w:sz w:val="14"/>
                <w:szCs w:val="16"/>
              </w:rPr>
            </w:pPr>
            <w:r w:rsidRPr="00184B6B">
              <w:rPr>
                <w:sz w:val="14"/>
                <w:szCs w:val="16"/>
              </w:rPr>
              <w:t>0.113**</w:t>
            </w:r>
          </w:p>
        </w:tc>
        <w:tc>
          <w:tcPr>
            <w:tcW w:w="462" w:type="pct"/>
            <w:tcBorders>
              <w:top w:val="nil"/>
              <w:left w:val="nil"/>
              <w:bottom w:val="nil"/>
              <w:right w:val="nil"/>
            </w:tcBorders>
            <w:shd w:val="clear" w:color="auto" w:fill="auto"/>
            <w:noWrap/>
            <w:vAlign w:val="bottom"/>
            <w:hideMark/>
          </w:tcPr>
          <w:p w14:paraId="59176E46" w14:textId="77777777" w:rsidR="00184B6B" w:rsidRPr="00184B6B" w:rsidRDefault="00184B6B" w:rsidP="00184B6B">
            <w:pPr>
              <w:spacing w:line="240" w:lineRule="auto"/>
              <w:ind w:firstLine="0"/>
              <w:rPr>
                <w:sz w:val="14"/>
                <w:szCs w:val="16"/>
              </w:rPr>
            </w:pPr>
            <w:r w:rsidRPr="00184B6B">
              <w:rPr>
                <w:sz w:val="14"/>
                <w:szCs w:val="16"/>
              </w:rPr>
              <w:t>0.113**</w:t>
            </w:r>
          </w:p>
        </w:tc>
        <w:tc>
          <w:tcPr>
            <w:tcW w:w="459" w:type="pct"/>
            <w:tcBorders>
              <w:top w:val="nil"/>
              <w:left w:val="nil"/>
              <w:bottom w:val="nil"/>
              <w:right w:val="single" w:sz="4" w:space="0" w:color="auto"/>
            </w:tcBorders>
            <w:shd w:val="clear" w:color="auto" w:fill="auto"/>
            <w:noWrap/>
            <w:vAlign w:val="bottom"/>
            <w:hideMark/>
          </w:tcPr>
          <w:p w14:paraId="72EE4912" w14:textId="77777777" w:rsidR="00184B6B" w:rsidRPr="00184B6B" w:rsidRDefault="00184B6B" w:rsidP="00184B6B">
            <w:pPr>
              <w:spacing w:line="240" w:lineRule="auto"/>
              <w:ind w:firstLine="0"/>
              <w:rPr>
                <w:sz w:val="14"/>
                <w:szCs w:val="16"/>
              </w:rPr>
            </w:pPr>
            <w:r w:rsidRPr="00184B6B">
              <w:rPr>
                <w:sz w:val="14"/>
                <w:szCs w:val="16"/>
              </w:rPr>
              <w:t>0.110**</w:t>
            </w:r>
          </w:p>
        </w:tc>
      </w:tr>
      <w:tr w:rsidR="00184B6B" w:rsidRPr="00184B6B" w14:paraId="0AA57A51"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20EFF52"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7465DA55"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nil"/>
            </w:tcBorders>
            <w:shd w:val="clear" w:color="auto" w:fill="auto"/>
            <w:noWrap/>
            <w:vAlign w:val="bottom"/>
            <w:hideMark/>
          </w:tcPr>
          <w:p w14:paraId="0275DE27"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nil"/>
            </w:tcBorders>
            <w:shd w:val="clear" w:color="auto" w:fill="auto"/>
            <w:noWrap/>
            <w:vAlign w:val="bottom"/>
            <w:hideMark/>
          </w:tcPr>
          <w:p w14:paraId="7ED8279A"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single" w:sz="4" w:space="0" w:color="auto"/>
            </w:tcBorders>
            <w:shd w:val="clear" w:color="auto" w:fill="auto"/>
            <w:noWrap/>
            <w:vAlign w:val="bottom"/>
            <w:hideMark/>
          </w:tcPr>
          <w:p w14:paraId="457429F2"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single" w:sz="4" w:space="0" w:color="auto"/>
              <w:bottom w:val="nil"/>
              <w:right w:val="nil"/>
            </w:tcBorders>
            <w:shd w:val="clear" w:color="auto" w:fill="auto"/>
            <w:noWrap/>
            <w:vAlign w:val="bottom"/>
            <w:hideMark/>
          </w:tcPr>
          <w:p w14:paraId="147A0228" w14:textId="77777777" w:rsidR="00184B6B" w:rsidRPr="00184B6B" w:rsidRDefault="00184B6B" w:rsidP="00184B6B">
            <w:pPr>
              <w:spacing w:line="240" w:lineRule="auto"/>
              <w:ind w:firstLine="0"/>
              <w:rPr>
                <w:sz w:val="14"/>
                <w:szCs w:val="16"/>
              </w:rPr>
            </w:pPr>
            <w:r w:rsidRPr="00184B6B">
              <w:rPr>
                <w:sz w:val="14"/>
                <w:szCs w:val="16"/>
              </w:rPr>
              <w:t>(0.052)</w:t>
            </w:r>
          </w:p>
        </w:tc>
        <w:tc>
          <w:tcPr>
            <w:tcW w:w="462" w:type="pct"/>
            <w:tcBorders>
              <w:top w:val="nil"/>
              <w:left w:val="nil"/>
              <w:bottom w:val="nil"/>
              <w:right w:val="nil"/>
            </w:tcBorders>
            <w:shd w:val="clear" w:color="auto" w:fill="auto"/>
            <w:noWrap/>
            <w:vAlign w:val="bottom"/>
            <w:hideMark/>
          </w:tcPr>
          <w:p w14:paraId="27B178D2" w14:textId="77777777" w:rsidR="00184B6B" w:rsidRPr="00184B6B" w:rsidRDefault="00184B6B" w:rsidP="00184B6B">
            <w:pPr>
              <w:spacing w:line="240" w:lineRule="auto"/>
              <w:ind w:firstLine="0"/>
              <w:rPr>
                <w:sz w:val="14"/>
                <w:szCs w:val="16"/>
              </w:rPr>
            </w:pPr>
            <w:r w:rsidRPr="00184B6B">
              <w:rPr>
                <w:sz w:val="14"/>
                <w:szCs w:val="16"/>
              </w:rPr>
              <w:t>(0.052)</w:t>
            </w:r>
          </w:p>
        </w:tc>
        <w:tc>
          <w:tcPr>
            <w:tcW w:w="462" w:type="pct"/>
            <w:tcBorders>
              <w:top w:val="nil"/>
              <w:left w:val="nil"/>
              <w:bottom w:val="nil"/>
              <w:right w:val="nil"/>
            </w:tcBorders>
            <w:shd w:val="clear" w:color="auto" w:fill="auto"/>
            <w:noWrap/>
            <w:vAlign w:val="bottom"/>
            <w:hideMark/>
          </w:tcPr>
          <w:p w14:paraId="5E74E448" w14:textId="77777777" w:rsidR="00184B6B" w:rsidRPr="00184B6B" w:rsidRDefault="00184B6B" w:rsidP="00184B6B">
            <w:pPr>
              <w:spacing w:line="240" w:lineRule="auto"/>
              <w:ind w:firstLine="0"/>
              <w:rPr>
                <w:sz w:val="14"/>
                <w:szCs w:val="16"/>
              </w:rPr>
            </w:pPr>
            <w:r w:rsidRPr="00184B6B">
              <w:rPr>
                <w:sz w:val="14"/>
                <w:szCs w:val="16"/>
              </w:rPr>
              <w:t>(0.052)</w:t>
            </w:r>
          </w:p>
        </w:tc>
        <w:tc>
          <w:tcPr>
            <w:tcW w:w="459" w:type="pct"/>
            <w:tcBorders>
              <w:top w:val="nil"/>
              <w:left w:val="nil"/>
              <w:bottom w:val="nil"/>
              <w:right w:val="single" w:sz="4" w:space="0" w:color="auto"/>
            </w:tcBorders>
            <w:shd w:val="clear" w:color="auto" w:fill="auto"/>
            <w:noWrap/>
            <w:vAlign w:val="bottom"/>
            <w:hideMark/>
          </w:tcPr>
          <w:p w14:paraId="45668FBF" w14:textId="77777777" w:rsidR="00184B6B" w:rsidRPr="00184B6B" w:rsidRDefault="00184B6B" w:rsidP="00184B6B">
            <w:pPr>
              <w:spacing w:line="240" w:lineRule="auto"/>
              <w:ind w:firstLine="0"/>
              <w:rPr>
                <w:sz w:val="14"/>
                <w:szCs w:val="16"/>
              </w:rPr>
            </w:pPr>
            <w:r w:rsidRPr="00184B6B">
              <w:rPr>
                <w:sz w:val="14"/>
                <w:szCs w:val="16"/>
              </w:rPr>
              <w:t>(0.052)</w:t>
            </w:r>
          </w:p>
        </w:tc>
      </w:tr>
      <w:tr w:rsidR="00184B6B" w:rsidRPr="00184B6B" w14:paraId="425D19C8"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0952266F" w14:textId="77777777" w:rsidR="00184B6B" w:rsidRPr="00184B6B" w:rsidRDefault="00184B6B" w:rsidP="00184B6B">
            <w:pPr>
              <w:spacing w:line="240" w:lineRule="auto"/>
              <w:ind w:firstLine="0"/>
              <w:jc w:val="left"/>
              <w:rPr>
                <w:sz w:val="14"/>
                <w:szCs w:val="16"/>
              </w:rPr>
            </w:pPr>
            <w:r w:rsidRPr="00184B6B">
              <w:rPr>
                <w:sz w:val="14"/>
                <w:szCs w:val="16"/>
              </w:rPr>
              <w:t>Support for national government</w:t>
            </w:r>
          </w:p>
        </w:tc>
        <w:tc>
          <w:tcPr>
            <w:tcW w:w="462" w:type="pct"/>
            <w:tcBorders>
              <w:top w:val="nil"/>
              <w:left w:val="single" w:sz="4" w:space="0" w:color="auto"/>
              <w:bottom w:val="nil"/>
              <w:right w:val="nil"/>
            </w:tcBorders>
            <w:shd w:val="clear" w:color="auto" w:fill="auto"/>
            <w:noWrap/>
            <w:vAlign w:val="bottom"/>
            <w:hideMark/>
          </w:tcPr>
          <w:p w14:paraId="2F991BDC" w14:textId="77777777" w:rsidR="00184B6B" w:rsidRPr="00184B6B" w:rsidRDefault="00184B6B" w:rsidP="00184B6B">
            <w:pPr>
              <w:spacing w:line="240" w:lineRule="auto"/>
              <w:ind w:firstLine="0"/>
              <w:rPr>
                <w:sz w:val="14"/>
                <w:szCs w:val="16"/>
              </w:rPr>
            </w:pPr>
            <w:r w:rsidRPr="00184B6B">
              <w:rPr>
                <w:sz w:val="14"/>
                <w:szCs w:val="16"/>
              </w:rPr>
              <w:t>0.099***</w:t>
            </w:r>
          </w:p>
        </w:tc>
        <w:tc>
          <w:tcPr>
            <w:tcW w:w="462" w:type="pct"/>
            <w:tcBorders>
              <w:top w:val="nil"/>
              <w:left w:val="nil"/>
              <w:bottom w:val="nil"/>
              <w:right w:val="nil"/>
            </w:tcBorders>
            <w:shd w:val="clear" w:color="auto" w:fill="auto"/>
            <w:noWrap/>
            <w:vAlign w:val="bottom"/>
            <w:hideMark/>
          </w:tcPr>
          <w:p w14:paraId="1FCE8EDB" w14:textId="77777777" w:rsidR="00184B6B" w:rsidRPr="00184B6B" w:rsidRDefault="00184B6B" w:rsidP="00184B6B">
            <w:pPr>
              <w:spacing w:line="240" w:lineRule="auto"/>
              <w:ind w:firstLine="0"/>
              <w:rPr>
                <w:sz w:val="14"/>
                <w:szCs w:val="16"/>
              </w:rPr>
            </w:pPr>
            <w:r w:rsidRPr="00184B6B">
              <w:rPr>
                <w:sz w:val="14"/>
                <w:szCs w:val="16"/>
              </w:rPr>
              <w:t>0.094***</w:t>
            </w:r>
          </w:p>
        </w:tc>
        <w:tc>
          <w:tcPr>
            <w:tcW w:w="462" w:type="pct"/>
            <w:tcBorders>
              <w:top w:val="nil"/>
              <w:left w:val="nil"/>
              <w:bottom w:val="nil"/>
              <w:right w:val="nil"/>
            </w:tcBorders>
            <w:shd w:val="clear" w:color="auto" w:fill="auto"/>
            <w:noWrap/>
            <w:vAlign w:val="bottom"/>
            <w:hideMark/>
          </w:tcPr>
          <w:p w14:paraId="524B296B" w14:textId="77777777" w:rsidR="00184B6B" w:rsidRPr="00184B6B" w:rsidRDefault="00184B6B" w:rsidP="00184B6B">
            <w:pPr>
              <w:spacing w:line="240" w:lineRule="auto"/>
              <w:ind w:firstLine="0"/>
              <w:rPr>
                <w:sz w:val="14"/>
                <w:szCs w:val="16"/>
              </w:rPr>
            </w:pPr>
            <w:r w:rsidRPr="00184B6B">
              <w:rPr>
                <w:sz w:val="14"/>
                <w:szCs w:val="16"/>
              </w:rPr>
              <w:t>0.094***</w:t>
            </w:r>
          </w:p>
        </w:tc>
        <w:tc>
          <w:tcPr>
            <w:tcW w:w="462" w:type="pct"/>
            <w:tcBorders>
              <w:top w:val="nil"/>
              <w:left w:val="nil"/>
              <w:bottom w:val="nil"/>
              <w:right w:val="single" w:sz="4" w:space="0" w:color="auto"/>
            </w:tcBorders>
            <w:shd w:val="clear" w:color="auto" w:fill="auto"/>
            <w:noWrap/>
            <w:vAlign w:val="bottom"/>
            <w:hideMark/>
          </w:tcPr>
          <w:p w14:paraId="2880E11D" w14:textId="77777777" w:rsidR="00184B6B" w:rsidRPr="00184B6B" w:rsidRDefault="00184B6B" w:rsidP="00184B6B">
            <w:pPr>
              <w:spacing w:line="240" w:lineRule="auto"/>
              <w:ind w:firstLine="0"/>
              <w:rPr>
                <w:sz w:val="14"/>
                <w:szCs w:val="16"/>
              </w:rPr>
            </w:pPr>
            <w:r w:rsidRPr="00184B6B">
              <w:rPr>
                <w:sz w:val="14"/>
                <w:szCs w:val="16"/>
              </w:rPr>
              <w:t>0.098***</w:t>
            </w:r>
          </w:p>
        </w:tc>
        <w:tc>
          <w:tcPr>
            <w:tcW w:w="462" w:type="pct"/>
            <w:tcBorders>
              <w:top w:val="nil"/>
              <w:left w:val="single" w:sz="4" w:space="0" w:color="auto"/>
              <w:bottom w:val="nil"/>
              <w:right w:val="nil"/>
            </w:tcBorders>
            <w:shd w:val="clear" w:color="auto" w:fill="auto"/>
            <w:noWrap/>
            <w:vAlign w:val="bottom"/>
            <w:hideMark/>
          </w:tcPr>
          <w:p w14:paraId="7348D6F2" w14:textId="77777777" w:rsidR="00184B6B" w:rsidRPr="00184B6B" w:rsidRDefault="00184B6B" w:rsidP="00184B6B">
            <w:pPr>
              <w:spacing w:line="240" w:lineRule="auto"/>
              <w:ind w:firstLine="0"/>
              <w:rPr>
                <w:sz w:val="14"/>
                <w:szCs w:val="16"/>
              </w:rPr>
            </w:pPr>
            <w:r w:rsidRPr="00184B6B">
              <w:rPr>
                <w:sz w:val="14"/>
                <w:szCs w:val="16"/>
              </w:rPr>
              <w:t>0.103***</w:t>
            </w:r>
          </w:p>
        </w:tc>
        <w:tc>
          <w:tcPr>
            <w:tcW w:w="462" w:type="pct"/>
            <w:tcBorders>
              <w:top w:val="nil"/>
              <w:left w:val="nil"/>
              <w:bottom w:val="nil"/>
              <w:right w:val="nil"/>
            </w:tcBorders>
            <w:shd w:val="clear" w:color="auto" w:fill="auto"/>
            <w:noWrap/>
            <w:vAlign w:val="bottom"/>
            <w:hideMark/>
          </w:tcPr>
          <w:p w14:paraId="4C6AF1B5" w14:textId="77777777" w:rsidR="00184B6B" w:rsidRPr="00184B6B" w:rsidRDefault="00184B6B" w:rsidP="00184B6B">
            <w:pPr>
              <w:spacing w:line="240" w:lineRule="auto"/>
              <w:ind w:firstLine="0"/>
              <w:rPr>
                <w:sz w:val="14"/>
                <w:szCs w:val="16"/>
              </w:rPr>
            </w:pPr>
            <w:r w:rsidRPr="00184B6B">
              <w:rPr>
                <w:sz w:val="14"/>
                <w:szCs w:val="16"/>
              </w:rPr>
              <w:t>0.099***</w:t>
            </w:r>
          </w:p>
        </w:tc>
        <w:tc>
          <w:tcPr>
            <w:tcW w:w="462" w:type="pct"/>
            <w:tcBorders>
              <w:top w:val="nil"/>
              <w:left w:val="nil"/>
              <w:bottom w:val="nil"/>
              <w:right w:val="nil"/>
            </w:tcBorders>
            <w:shd w:val="clear" w:color="auto" w:fill="auto"/>
            <w:noWrap/>
            <w:vAlign w:val="bottom"/>
            <w:hideMark/>
          </w:tcPr>
          <w:p w14:paraId="3DC786E5" w14:textId="77777777" w:rsidR="00184B6B" w:rsidRPr="00184B6B" w:rsidRDefault="00184B6B" w:rsidP="00184B6B">
            <w:pPr>
              <w:spacing w:line="240" w:lineRule="auto"/>
              <w:ind w:firstLine="0"/>
              <w:rPr>
                <w:sz w:val="14"/>
                <w:szCs w:val="16"/>
              </w:rPr>
            </w:pPr>
            <w:r w:rsidRPr="00184B6B">
              <w:rPr>
                <w:sz w:val="14"/>
                <w:szCs w:val="16"/>
              </w:rPr>
              <w:t>0.098***</w:t>
            </w:r>
          </w:p>
        </w:tc>
        <w:tc>
          <w:tcPr>
            <w:tcW w:w="459" w:type="pct"/>
            <w:tcBorders>
              <w:top w:val="nil"/>
              <w:left w:val="nil"/>
              <w:bottom w:val="nil"/>
              <w:right w:val="single" w:sz="4" w:space="0" w:color="auto"/>
            </w:tcBorders>
            <w:shd w:val="clear" w:color="auto" w:fill="auto"/>
            <w:noWrap/>
            <w:vAlign w:val="bottom"/>
            <w:hideMark/>
          </w:tcPr>
          <w:p w14:paraId="2A8EC660" w14:textId="77777777" w:rsidR="00184B6B" w:rsidRPr="00184B6B" w:rsidRDefault="00184B6B" w:rsidP="00184B6B">
            <w:pPr>
              <w:spacing w:line="240" w:lineRule="auto"/>
              <w:ind w:firstLine="0"/>
              <w:rPr>
                <w:sz w:val="14"/>
                <w:szCs w:val="16"/>
              </w:rPr>
            </w:pPr>
            <w:r w:rsidRPr="00184B6B">
              <w:rPr>
                <w:sz w:val="14"/>
                <w:szCs w:val="16"/>
              </w:rPr>
              <w:t>0.102***</w:t>
            </w:r>
          </w:p>
        </w:tc>
      </w:tr>
      <w:tr w:rsidR="00184B6B" w:rsidRPr="00184B6B" w14:paraId="16BBD161"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08B2DD62"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50E3B644" w14:textId="77777777" w:rsidR="00184B6B" w:rsidRPr="00184B6B" w:rsidRDefault="00184B6B" w:rsidP="00184B6B">
            <w:pPr>
              <w:spacing w:line="240" w:lineRule="auto"/>
              <w:ind w:firstLine="0"/>
              <w:rPr>
                <w:sz w:val="14"/>
                <w:szCs w:val="16"/>
              </w:rPr>
            </w:pPr>
            <w:r w:rsidRPr="00184B6B">
              <w:rPr>
                <w:sz w:val="14"/>
                <w:szCs w:val="16"/>
              </w:rPr>
              <w:t>(0.022)</w:t>
            </w:r>
          </w:p>
        </w:tc>
        <w:tc>
          <w:tcPr>
            <w:tcW w:w="462" w:type="pct"/>
            <w:tcBorders>
              <w:top w:val="nil"/>
              <w:left w:val="nil"/>
              <w:bottom w:val="nil"/>
              <w:right w:val="nil"/>
            </w:tcBorders>
            <w:shd w:val="clear" w:color="auto" w:fill="auto"/>
            <w:noWrap/>
            <w:vAlign w:val="bottom"/>
            <w:hideMark/>
          </w:tcPr>
          <w:p w14:paraId="4AD43B59" w14:textId="77777777" w:rsidR="00184B6B" w:rsidRPr="00184B6B" w:rsidRDefault="00184B6B" w:rsidP="00184B6B">
            <w:pPr>
              <w:spacing w:line="240" w:lineRule="auto"/>
              <w:ind w:firstLine="0"/>
              <w:rPr>
                <w:sz w:val="14"/>
                <w:szCs w:val="16"/>
              </w:rPr>
            </w:pPr>
            <w:r w:rsidRPr="00184B6B">
              <w:rPr>
                <w:sz w:val="14"/>
                <w:szCs w:val="16"/>
              </w:rPr>
              <w:t>(0.022)</w:t>
            </w:r>
          </w:p>
        </w:tc>
        <w:tc>
          <w:tcPr>
            <w:tcW w:w="462" w:type="pct"/>
            <w:tcBorders>
              <w:top w:val="nil"/>
              <w:left w:val="nil"/>
              <w:bottom w:val="nil"/>
              <w:right w:val="nil"/>
            </w:tcBorders>
            <w:shd w:val="clear" w:color="auto" w:fill="auto"/>
            <w:noWrap/>
            <w:vAlign w:val="bottom"/>
            <w:hideMark/>
          </w:tcPr>
          <w:p w14:paraId="4AF5ADB5" w14:textId="77777777" w:rsidR="00184B6B" w:rsidRPr="00184B6B" w:rsidRDefault="00184B6B" w:rsidP="00184B6B">
            <w:pPr>
              <w:spacing w:line="240" w:lineRule="auto"/>
              <w:ind w:firstLine="0"/>
              <w:rPr>
                <w:sz w:val="14"/>
                <w:szCs w:val="16"/>
              </w:rPr>
            </w:pPr>
            <w:r w:rsidRPr="00184B6B">
              <w:rPr>
                <w:sz w:val="14"/>
                <w:szCs w:val="16"/>
              </w:rPr>
              <w:t>(0.022)</w:t>
            </w:r>
          </w:p>
        </w:tc>
        <w:tc>
          <w:tcPr>
            <w:tcW w:w="462" w:type="pct"/>
            <w:tcBorders>
              <w:top w:val="nil"/>
              <w:left w:val="nil"/>
              <w:bottom w:val="nil"/>
              <w:right w:val="single" w:sz="4" w:space="0" w:color="auto"/>
            </w:tcBorders>
            <w:shd w:val="clear" w:color="auto" w:fill="auto"/>
            <w:noWrap/>
            <w:vAlign w:val="bottom"/>
            <w:hideMark/>
          </w:tcPr>
          <w:p w14:paraId="4E15D391" w14:textId="77777777" w:rsidR="00184B6B" w:rsidRPr="00184B6B" w:rsidRDefault="00184B6B" w:rsidP="00184B6B">
            <w:pPr>
              <w:spacing w:line="240" w:lineRule="auto"/>
              <w:ind w:firstLine="0"/>
              <w:rPr>
                <w:sz w:val="14"/>
                <w:szCs w:val="16"/>
              </w:rPr>
            </w:pPr>
            <w:r w:rsidRPr="00184B6B">
              <w:rPr>
                <w:sz w:val="14"/>
                <w:szCs w:val="16"/>
              </w:rPr>
              <w:t>(0.022)</w:t>
            </w:r>
          </w:p>
        </w:tc>
        <w:tc>
          <w:tcPr>
            <w:tcW w:w="462" w:type="pct"/>
            <w:tcBorders>
              <w:top w:val="nil"/>
              <w:left w:val="single" w:sz="4" w:space="0" w:color="auto"/>
              <w:bottom w:val="nil"/>
              <w:right w:val="nil"/>
            </w:tcBorders>
            <w:shd w:val="clear" w:color="auto" w:fill="auto"/>
            <w:noWrap/>
            <w:vAlign w:val="bottom"/>
            <w:hideMark/>
          </w:tcPr>
          <w:p w14:paraId="36624136" w14:textId="77777777" w:rsidR="00184B6B" w:rsidRPr="00184B6B" w:rsidRDefault="00184B6B" w:rsidP="00184B6B">
            <w:pPr>
              <w:spacing w:line="240" w:lineRule="auto"/>
              <w:ind w:firstLine="0"/>
              <w:rPr>
                <w:sz w:val="14"/>
                <w:szCs w:val="16"/>
              </w:rPr>
            </w:pPr>
            <w:r w:rsidRPr="00184B6B">
              <w:rPr>
                <w:sz w:val="14"/>
                <w:szCs w:val="16"/>
              </w:rPr>
              <w:t>(0.018)</w:t>
            </w:r>
          </w:p>
        </w:tc>
        <w:tc>
          <w:tcPr>
            <w:tcW w:w="462" w:type="pct"/>
            <w:tcBorders>
              <w:top w:val="nil"/>
              <w:left w:val="nil"/>
              <w:bottom w:val="nil"/>
              <w:right w:val="nil"/>
            </w:tcBorders>
            <w:shd w:val="clear" w:color="auto" w:fill="auto"/>
            <w:noWrap/>
            <w:vAlign w:val="bottom"/>
            <w:hideMark/>
          </w:tcPr>
          <w:p w14:paraId="726C7ECB" w14:textId="77777777" w:rsidR="00184B6B" w:rsidRPr="00184B6B" w:rsidRDefault="00184B6B" w:rsidP="00184B6B">
            <w:pPr>
              <w:spacing w:line="240" w:lineRule="auto"/>
              <w:ind w:firstLine="0"/>
              <w:rPr>
                <w:sz w:val="14"/>
                <w:szCs w:val="16"/>
              </w:rPr>
            </w:pPr>
            <w:r w:rsidRPr="00184B6B">
              <w:rPr>
                <w:sz w:val="14"/>
                <w:szCs w:val="16"/>
              </w:rPr>
              <w:t>(0.018)</w:t>
            </w:r>
          </w:p>
        </w:tc>
        <w:tc>
          <w:tcPr>
            <w:tcW w:w="462" w:type="pct"/>
            <w:tcBorders>
              <w:top w:val="nil"/>
              <w:left w:val="nil"/>
              <w:bottom w:val="nil"/>
              <w:right w:val="nil"/>
            </w:tcBorders>
            <w:shd w:val="clear" w:color="auto" w:fill="auto"/>
            <w:noWrap/>
            <w:vAlign w:val="bottom"/>
            <w:hideMark/>
          </w:tcPr>
          <w:p w14:paraId="47492B34" w14:textId="77777777" w:rsidR="00184B6B" w:rsidRPr="00184B6B" w:rsidRDefault="00184B6B" w:rsidP="00184B6B">
            <w:pPr>
              <w:spacing w:line="240" w:lineRule="auto"/>
              <w:ind w:firstLine="0"/>
              <w:rPr>
                <w:sz w:val="14"/>
                <w:szCs w:val="16"/>
              </w:rPr>
            </w:pPr>
            <w:r w:rsidRPr="00184B6B">
              <w:rPr>
                <w:sz w:val="14"/>
                <w:szCs w:val="16"/>
              </w:rPr>
              <w:t>(0.018)</w:t>
            </w:r>
          </w:p>
        </w:tc>
        <w:tc>
          <w:tcPr>
            <w:tcW w:w="459" w:type="pct"/>
            <w:tcBorders>
              <w:top w:val="nil"/>
              <w:left w:val="nil"/>
              <w:bottom w:val="nil"/>
              <w:right w:val="single" w:sz="4" w:space="0" w:color="auto"/>
            </w:tcBorders>
            <w:shd w:val="clear" w:color="auto" w:fill="auto"/>
            <w:noWrap/>
            <w:vAlign w:val="bottom"/>
            <w:hideMark/>
          </w:tcPr>
          <w:p w14:paraId="5D0B54A9" w14:textId="77777777" w:rsidR="00184B6B" w:rsidRPr="00184B6B" w:rsidRDefault="00184B6B" w:rsidP="00184B6B">
            <w:pPr>
              <w:spacing w:line="240" w:lineRule="auto"/>
              <w:ind w:firstLine="0"/>
              <w:rPr>
                <w:sz w:val="14"/>
                <w:szCs w:val="16"/>
              </w:rPr>
            </w:pPr>
            <w:r w:rsidRPr="00184B6B">
              <w:rPr>
                <w:sz w:val="14"/>
                <w:szCs w:val="16"/>
              </w:rPr>
              <w:t>(0.018)</w:t>
            </w:r>
          </w:p>
        </w:tc>
      </w:tr>
      <w:tr w:rsidR="00184B6B" w:rsidRPr="00184B6B" w14:paraId="0128AC0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E5C44FD" w14:textId="77777777" w:rsidR="00184B6B" w:rsidRPr="00184B6B" w:rsidRDefault="00184B6B" w:rsidP="00184B6B">
            <w:pPr>
              <w:spacing w:line="240" w:lineRule="auto"/>
              <w:ind w:firstLine="0"/>
              <w:jc w:val="left"/>
              <w:rPr>
                <w:sz w:val="14"/>
                <w:szCs w:val="16"/>
              </w:rPr>
            </w:pPr>
            <w:r w:rsidRPr="00184B6B">
              <w:rPr>
                <w:sz w:val="14"/>
                <w:szCs w:val="16"/>
              </w:rPr>
              <w:t>Well informed about the EU</w:t>
            </w:r>
          </w:p>
        </w:tc>
        <w:tc>
          <w:tcPr>
            <w:tcW w:w="462" w:type="pct"/>
            <w:tcBorders>
              <w:top w:val="nil"/>
              <w:left w:val="single" w:sz="4" w:space="0" w:color="auto"/>
              <w:bottom w:val="nil"/>
              <w:right w:val="nil"/>
            </w:tcBorders>
            <w:shd w:val="clear" w:color="auto" w:fill="auto"/>
            <w:noWrap/>
            <w:vAlign w:val="bottom"/>
            <w:hideMark/>
          </w:tcPr>
          <w:p w14:paraId="74CF7413"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nil"/>
            </w:tcBorders>
            <w:shd w:val="clear" w:color="auto" w:fill="auto"/>
            <w:noWrap/>
            <w:vAlign w:val="bottom"/>
            <w:hideMark/>
          </w:tcPr>
          <w:p w14:paraId="55A4F8C2"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nil"/>
            </w:tcBorders>
            <w:shd w:val="clear" w:color="auto" w:fill="auto"/>
            <w:noWrap/>
            <w:vAlign w:val="bottom"/>
            <w:hideMark/>
          </w:tcPr>
          <w:p w14:paraId="34E80E0F" w14:textId="77777777" w:rsidR="00184B6B" w:rsidRPr="00184B6B" w:rsidRDefault="00184B6B" w:rsidP="00184B6B">
            <w:pPr>
              <w:spacing w:line="240" w:lineRule="auto"/>
              <w:ind w:firstLine="0"/>
              <w:rPr>
                <w:sz w:val="14"/>
                <w:szCs w:val="16"/>
              </w:rPr>
            </w:pPr>
            <w:r w:rsidRPr="00184B6B">
              <w:rPr>
                <w:sz w:val="14"/>
                <w:szCs w:val="16"/>
              </w:rPr>
              <w:t>0.076***</w:t>
            </w:r>
          </w:p>
        </w:tc>
        <w:tc>
          <w:tcPr>
            <w:tcW w:w="462" w:type="pct"/>
            <w:tcBorders>
              <w:top w:val="nil"/>
              <w:left w:val="nil"/>
              <w:bottom w:val="nil"/>
              <w:right w:val="single" w:sz="4" w:space="0" w:color="auto"/>
            </w:tcBorders>
            <w:shd w:val="clear" w:color="auto" w:fill="auto"/>
            <w:noWrap/>
            <w:vAlign w:val="bottom"/>
            <w:hideMark/>
          </w:tcPr>
          <w:p w14:paraId="45701849" w14:textId="77777777" w:rsidR="00184B6B" w:rsidRPr="00184B6B" w:rsidRDefault="00184B6B" w:rsidP="00184B6B">
            <w:pPr>
              <w:spacing w:line="240" w:lineRule="auto"/>
              <w:ind w:firstLine="0"/>
              <w:rPr>
                <w:sz w:val="14"/>
                <w:szCs w:val="16"/>
              </w:rPr>
            </w:pPr>
            <w:r w:rsidRPr="00184B6B">
              <w:rPr>
                <w:sz w:val="14"/>
                <w:szCs w:val="16"/>
              </w:rPr>
              <w:t>0.075***</w:t>
            </w:r>
          </w:p>
        </w:tc>
        <w:tc>
          <w:tcPr>
            <w:tcW w:w="462" w:type="pct"/>
            <w:tcBorders>
              <w:top w:val="nil"/>
              <w:left w:val="single" w:sz="4" w:space="0" w:color="auto"/>
              <w:bottom w:val="nil"/>
              <w:right w:val="nil"/>
            </w:tcBorders>
            <w:shd w:val="clear" w:color="auto" w:fill="auto"/>
            <w:noWrap/>
            <w:vAlign w:val="bottom"/>
            <w:hideMark/>
          </w:tcPr>
          <w:p w14:paraId="78608341" w14:textId="77777777" w:rsidR="00184B6B" w:rsidRPr="00184B6B" w:rsidRDefault="00184B6B" w:rsidP="00184B6B">
            <w:pPr>
              <w:spacing w:line="240" w:lineRule="auto"/>
              <w:ind w:firstLine="0"/>
              <w:rPr>
                <w:sz w:val="14"/>
                <w:szCs w:val="16"/>
              </w:rPr>
            </w:pPr>
            <w:r w:rsidRPr="00184B6B">
              <w:rPr>
                <w:sz w:val="14"/>
                <w:szCs w:val="16"/>
              </w:rPr>
              <w:t>0.209***</w:t>
            </w:r>
          </w:p>
        </w:tc>
        <w:tc>
          <w:tcPr>
            <w:tcW w:w="462" w:type="pct"/>
            <w:tcBorders>
              <w:top w:val="nil"/>
              <w:left w:val="nil"/>
              <w:bottom w:val="nil"/>
              <w:right w:val="nil"/>
            </w:tcBorders>
            <w:shd w:val="clear" w:color="auto" w:fill="auto"/>
            <w:noWrap/>
            <w:vAlign w:val="bottom"/>
            <w:hideMark/>
          </w:tcPr>
          <w:p w14:paraId="2998538B" w14:textId="77777777" w:rsidR="00184B6B" w:rsidRPr="00184B6B" w:rsidRDefault="00184B6B" w:rsidP="00184B6B">
            <w:pPr>
              <w:spacing w:line="240" w:lineRule="auto"/>
              <w:ind w:firstLine="0"/>
              <w:rPr>
                <w:sz w:val="14"/>
                <w:szCs w:val="16"/>
              </w:rPr>
            </w:pPr>
            <w:r w:rsidRPr="00184B6B">
              <w:rPr>
                <w:sz w:val="14"/>
                <w:szCs w:val="16"/>
              </w:rPr>
              <w:t>0.209***</w:t>
            </w:r>
          </w:p>
        </w:tc>
        <w:tc>
          <w:tcPr>
            <w:tcW w:w="462" w:type="pct"/>
            <w:tcBorders>
              <w:top w:val="nil"/>
              <w:left w:val="nil"/>
              <w:bottom w:val="nil"/>
              <w:right w:val="nil"/>
            </w:tcBorders>
            <w:shd w:val="clear" w:color="auto" w:fill="auto"/>
            <w:noWrap/>
            <w:vAlign w:val="bottom"/>
            <w:hideMark/>
          </w:tcPr>
          <w:p w14:paraId="53C9C9F2" w14:textId="77777777" w:rsidR="00184B6B" w:rsidRPr="00184B6B" w:rsidRDefault="00184B6B" w:rsidP="00184B6B">
            <w:pPr>
              <w:spacing w:line="240" w:lineRule="auto"/>
              <w:ind w:firstLine="0"/>
              <w:rPr>
                <w:sz w:val="14"/>
                <w:szCs w:val="16"/>
              </w:rPr>
            </w:pPr>
            <w:r w:rsidRPr="00184B6B">
              <w:rPr>
                <w:sz w:val="14"/>
                <w:szCs w:val="16"/>
              </w:rPr>
              <w:t>0.209***</w:t>
            </w:r>
          </w:p>
        </w:tc>
        <w:tc>
          <w:tcPr>
            <w:tcW w:w="459" w:type="pct"/>
            <w:tcBorders>
              <w:top w:val="nil"/>
              <w:left w:val="nil"/>
              <w:bottom w:val="nil"/>
              <w:right w:val="single" w:sz="4" w:space="0" w:color="auto"/>
            </w:tcBorders>
            <w:shd w:val="clear" w:color="auto" w:fill="auto"/>
            <w:noWrap/>
            <w:vAlign w:val="bottom"/>
            <w:hideMark/>
          </w:tcPr>
          <w:p w14:paraId="7F552991" w14:textId="77777777" w:rsidR="00184B6B" w:rsidRPr="00184B6B" w:rsidRDefault="00184B6B" w:rsidP="00184B6B">
            <w:pPr>
              <w:spacing w:line="240" w:lineRule="auto"/>
              <w:ind w:firstLine="0"/>
              <w:rPr>
                <w:sz w:val="14"/>
                <w:szCs w:val="16"/>
              </w:rPr>
            </w:pPr>
            <w:r w:rsidRPr="00184B6B">
              <w:rPr>
                <w:sz w:val="14"/>
                <w:szCs w:val="16"/>
              </w:rPr>
              <w:t>0.208***</w:t>
            </w:r>
          </w:p>
        </w:tc>
      </w:tr>
      <w:tr w:rsidR="00184B6B" w:rsidRPr="00184B6B" w14:paraId="031AE1B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05BF78A"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333413B2"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nil"/>
              <w:bottom w:val="nil"/>
              <w:right w:val="nil"/>
            </w:tcBorders>
            <w:shd w:val="clear" w:color="auto" w:fill="auto"/>
            <w:noWrap/>
            <w:vAlign w:val="bottom"/>
            <w:hideMark/>
          </w:tcPr>
          <w:p w14:paraId="6FE4593B" w14:textId="77777777" w:rsidR="00184B6B" w:rsidRPr="00184B6B" w:rsidRDefault="00184B6B" w:rsidP="00184B6B">
            <w:pPr>
              <w:spacing w:line="240" w:lineRule="auto"/>
              <w:ind w:firstLine="0"/>
              <w:rPr>
                <w:sz w:val="14"/>
                <w:szCs w:val="16"/>
              </w:rPr>
            </w:pPr>
            <w:r w:rsidRPr="00184B6B">
              <w:rPr>
                <w:sz w:val="14"/>
                <w:szCs w:val="16"/>
              </w:rPr>
              <w:t>(0.024)</w:t>
            </w:r>
          </w:p>
        </w:tc>
        <w:tc>
          <w:tcPr>
            <w:tcW w:w="462" w:type="pct"/>
            <w:tcBorders>
              <w:top w:val="nil"/>
              <w:left w:val="nil"/>
              <w:bottom w:val="nil"/>
              <w:right w:val="nil"/>
            </w:tcBorders>
            <w:shd w:val="clear" w:color="auto" w:fill="auto"/>
            <w:noWrap/>
            <w:vAlign w:val="bottom"/>
            <w:hideMark/>
          </w:tcPr>
          <w:p w14:paraId="26403285"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nil"/>
              <w:bottom w:val="nil"/>
              <w:right w:val="single" w:sz="4" w:space="0" w:color="auto"/>
            </w:tcBorders>
            <w:shd w:val="clear" w:color="auto" w:fill="auto"/>
            <w:noWrap/>
            <w:vAlign w:val="bottom"/>
            <w:hideMark/>
          </w:tcPr>
          <w:p w14:paraId="07DEE0C7" w14:textId="77777777" w:rsidR="00184B6B" w:rsidRPr="00184B6B" w:rsidRDefault="00184B6B" w:rsidP="00184B6B">
            <w:pPr>
              <w:spacing w:line="240" w:lineRule="auto"/>
              <w:ind w:firstLine="0"/>
              <w:rPr>
                <w:sz w:val="14"/>
                <w:szCs w:val="16"/>
              </w:rPr>
            </w:pPr>
            <w:r w:rsidRPr="00184B6B">
              <w:rPr>
                <w:sz w:val="14"/>
                <w:szCs w:val="16"/>
              </w:rPr>
              <w:t>(0.023)</w:t>
            </w:r>
          </w:p>
        </w:tc>
        <w:tc>
          <w:tcPr>
            <w:tcW w:w="462" w:type="pct"/>
            <w:tcBorders>
              <w:top w:val="nil"/>
              <w:left w:val="single" w:sz="4" w:space="0" w:color="auto"/>
              <w:bottom w:val="nil"/>
              <w:right w:val="nil"/>
            </w:tcBorders>
            <w:shd w:val="clear" w:color="auto" w:fill="auto"/>
            <w:noWrap/>
            <w:vAlign w:val="bottom"/>
            <w:hideMark/>
          </w:tcPr>
          <w:p w14:paraId="0C61D836"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nil"/>
              <w:bottom w:val="nil"/>
              <w:right w:val="nil"/>
            </w:tcBorders>
            <w:shd w:val="clear" w:color="auto" w:fill="auto"/>
            <w:noWrap/>
            <w:vAlign w:val="bottom"/>
            <w:hideMark/>
          </w:tcPr>
          <w:p w14:paraId="20B03FA6"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nil"/>
              <w:bottom w:val="nil"/>
              <w:right w:val="nil"/>
            </w:tcBorders>
            <w:shd w:val="clear" w:color="auto" w:fill="auto"/>
            <w:noWrap/>
            <w:vAlign w:val="bottom"/>
            <w:hideMark/>
          </w:tcPr>
          <w:p w14:paraId="24868757" w14:textId="77777777" w:rsidR="00184B6B" w:rsidRPr="00184B6B" w:rsidRDefault="00184B6B" w:rsidP="00184B6B">
            <w:pPr>
              <w:spacing w:line="240" w:lineRule="auto"/>
              <w:ind w:firstLine="0"/>
              <w:rPr>
                <w:sz w:val="14"/>
                <w:szCs w:val="16"/>
              </w:rPr>
            </w:pPr>
            <w:r w:rsidRPr="00184B6B">
              <w:rPr>
                <w:sz w:val="14"/>
                <w:szCs w:val="16"/>
              </w:rPr>
              <w:t>(0.019)</w:t>
            </w:r>
          </w:p>
        </w:tc>
        <w:tc>
          <w:tcPr>
            <w:tcW w:w="459" w:type="pct"/>
            <w:tcBorders>
              <w:top w:val="nil"/>
              <w:left w:val="nil"/>
              <w:bottom w:val="nil"/>
              <w:right w:val="single" w:sz="4" w:space="0" w:color="auto"/>
            </w:tcBorders>
            <w:shd w:val="clear" w:color="auto" w:fill="auto"/>
            <w:noWrap/>
            <w:vAlign w:val="bottom"/>
            <w:hideMark/>
          </w:tcPr>
          <w:p w14:paraId="5802EBBF" w14:textId="77777777" w:rsidR="00184B6B" w:rsidRPr="00184B6B" w:rsidRDefault="00184B6B" w:rsidP="00184B6B">
            <w:pPr>
              <w:spacing w:line="240" w:lineRule="auto"/>
              <w:ind w:firstLine="0"/>
              <w:rPr>
                <w:sz w:val="14"/>
                <w:szCs w:val="16"/>
              </w:rPr>
            </w:pPr>
            <w:r w:rsidRPr="00184B6B">
              <w:rPr>
                <w:sz w:val="14"/>
                <w:szCs w:val="16"/>
              </w:rPr>
              <w:t>(0.019)</w:t>
            </w:r>
          </w:p>
        </w:tc>
      </w:tr>
      <w:tr w:rsidR="00184B6B" w:rsidRPr="00184B6B" w14:paraId="3500D2B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9530A52" w14:textId="77777777" w:rsidR="00184B6B" w:rsidRPr="00184B6B" w:rsidRDefault="00184B6B" w:rsidP="00184B6B">
            <w:pPr>
              <w:spacing w:line="240" w:lineRule="auto"/>
              <w:ind w:firstLine="0"/>
              <w:jc w:val="left"/>
              <w:rPr>
                <w:sz w:val="14"/>
                <w:szCs w:val="16"/>
              </w:rPr>
            </w:pPr>
            <w:r w:rsidRPr="00184B6B">
              <w:rPr>
                <w:sz w:val="14"/>
                <w:szCs w:val="16"/>
              </w:rPr>
              <w:t>Strong European identity</w:t>
            </w:r>
          </w:p>
        </w:tc>
        <w:tc>
          <w:tcPr>
            <w:tcW w:w="462" w:type="pct"/>
            <w:tcBorders>
              <w:top w:val="nil"/>
              <w:left w:val="single" w:sz="4" w:space="0" w:color="auto"/>
              <w:bottom w:val="nil"/>
              <w:right w:val="nil"/>
            </w:tcBorders>
            <w:shd w:val="clear" w:color="auto" w:fill="auto"/>
            <w:noWrap/>
            <w:vAlign w:val="bottom"/>
            <w:hideMark/>
          </w:tcPr>
          <w:p w14:paraId="41BFAC88" w14:textId="77777777" w:rsidR="00184B6B" w:rsidRPr="00184B6B" w:rsidRDefault="00184B6B" w:rsidP="00184B6B">
            <w:pPr>
              <w:spacing w:line="240" w:lineRule="auto"/>
              <w:ind w:firstLine="0"/>
              <w:rPr>
                <w:sz w:val="14"/>
                <w:szCs w:val="16"/>
              </w:rPr>
            </w:pPr>
            <w:r w:rsidRPr="00184B6B">
              <w:rPr>
                <w:sz w:val="14"/>
                <w:szCs w:val="16"/>
              </w:rPr>
              <w:t>0.193***</w:t>
            </w:r>
          </w:p>
        </w:tc>
        <w:tc>
          <w:tcPr>
            <w:tcW w:w="462" w:type="pct"/>
            <w:tcBorders>
              <w:top w:val="nil"/>
              <w:left w:val="nil"/>
              <w:bottom w:val="nil"/>
              <w:right w:val="nil"/>
            </w:tcBorders>
            <w:shd w:val="clear" w:color="auto" w:fill="auto"/>
            <w:noWrap/>
            <w:vAlign w:val="bottom"/>
            <w:hideMark/>
          </w:tcPr>
          <w:p w14:paraId="714AA57C" w14:textId="77777777" w:rsidR="00184B6B" w:rsidRPr="00184B6B" w:rsidRDefault="00184B6B" w:rsidP="00184B6B">
            <w:pPr>
              <w:spacing w:line="240" w:lineRule="auto"/>
              <w:ind w:firstLine="0"/>
              <w:rPr>
                <w:sz w:val="14"/>
                <w:szCs w:val="16"/>
              </w:rPr>
            </w:pPr>
            <w:r w:rsidRPr="00184B6B">
              <w:rPr>
                <w:sz w:val="14"/>
                <w:szCs w:val="16"/>
              </w:rPr>
              <w:t>0.192***</w:t>
            </w:r>
          </w:p>
        </w:tc>
        <w:tc>
          <w:tcPr>
            <w:tcW w:w="462" w:type="pct"/>
            <w:tcBorders>
              <w:top w:val="nil"/>
              <w:left w:val="nil"/>
              <w:bottom w:val="nil"/>
              <w:right w:val="nil"/>
            </w:tcBorders>
            <w:shd w:val="clear" w:color="auto" w:fill="auto"/>
            <w:noWrap/>
            <w:vAlign w:val="bottom"/>
            <w:hideMark/>
          </w:tcPr>
          <w:p w14:paraId="57BB7C35" w14:textId="77777777" w:rsidR="00184B6B" w:rsidRPr="00184B6B" w:rsidRDefault="00184B6B" w:rsidP="00184B6B">
            <w:pPr>
              <w:spacing w:line="240" w:lineRule="auto"/>
              <w:ind w:firstLine="0"/>
              <w:rPr>
                <w:sz w:val="14"/>
                <w:szCs w:val="16"/>
              </w:rPr>
            </w:pPr>
            <w:r w:rsidRPr="00184B6B">
              <w:rPr>
                <w:sz w:val="14"/>
                <w:szCs w:val="16"/>
              </w:rPr>
              <w:t>0.192***</w:t>
            </w:r>
          </w:p>
        </w:tc>
        <w:tc>
          <w:tcPr>
            <w:tcW w:w="462" w:type="pct"/>
            <w:tcBorders>
              <w:top w:val="nil"/>
              <w:left w:val="nil"/>
              <w:bottom w:val="nil"/>
              <w:right w:val="single" w:sz="4" w:space="0" w:color="auto"/>
            </w:tcBorders>
            <w:shd w:val="clear" w:color="auto" w:fill="auto"/>
            <w:noWrap/>
            <w:vAlign w:val="bottom"/>
            <w:hideMark/>
          </w:tcPr>
          <w:p w14:paraId="4E98E853" w14:textId="77777777" w:rsidR="00184B6B" w:rsidRPr="00184B6B" w:rsidRDefault="00184B6B" w:rsidP="00184B6B">
            <w:pPr>
              <w:spacing w:line="240" w:lineRule="auto"/>
              <w:ind w:firstLine="0"/>
              <w:rPr>
                <w:sz w:val="14"/>
                <w:szCs w:val="16"/>
              </w:rPr>
            </w:pPr>
            <w:r w:rsidRPr="00184B6B">
              <w:rPr>
                <w:sz w:val="14"/>
                <w:szCs w:val="16"/>
              </w:rPr>
              <w:t>0.193***</w:t>
            </w:r>
          </w:p>
        </w:tc>
        <w:tc>
          <w:tcPr>
            <w:tcW w:w="462" w:type="pct"/>
            <w:tcBorders>
              <w:top w:val="nil"/>
              <w:left w:val="single" w:sz="4" w:space="0" w:color="auto"/>
              <w:bottom w:val="nil"/>
              <w:right w:val="nil"/>
            </w:tcBorders>
            <w:shd w:val="clear" w:color="auto" w:fill="auto"/>
            <w:noWrap/>
            <w:vAlign w:val="bottom"/>
            <w:hideMark/>
          </w:tcPr>
          <w:p w14:paraId="5B15A7A5" w14:textId="77777777" w:rsidR="00184B6B" w:rsidRPr="00184B6B" w:rsidRDefault="00184B6B" w:rsidP="00184B6B">
            <w:pPr>
              <w:spacing w:line="240" w:lineRule="auto"/>
              <w:ind w:firstLine="0"/>
              <w:rPr>
                <w:sz w:val="14"/>
                <w:szCs w:val="16"/>
              </w:rPr>
            </w:pPr>
            <w:r w:rsidRPr="00184B6B">
              <w:rPr>
                <w:sz w:val="14"/>
                <w:szCs w:val="16"/>
              </w:rPr>
              <w:t>0.148***</w:t>
            </w:r>
          </w:p>
        </w:tc>
        <w:tc>
          <w:tcPr>
            <w:tcW w:w="462" w:type="pct"/>
            <w:tcBorders>
              <w:top w:val="nil"/>
              <w:left w:val="nil"/>
              <w:bottom w:val="nil"/>
              <w:right w:val="nil"/>
            </w:tcBorders>
            <w:shd w:val="clear" w:color="auto" w:fill="auto"/>
            <w:noWrap/>
            <w:vAlign w:val="bottom"/>
            <w:hideMark/>
          </w:tcPr>
          <w:p w14:paraId="68CD4991" w14:textId="77777777" w:rsidR="00184B6B" w:rsidRPr="00184B6B" w:rsidRDefault="00184B6B" w:rsidP="00184B6B">
            <w:pPr>
              <w:spacing w:line="240" w:lineRule="auto"/>
              <w:ind w:firstLine="0"/>
              <w:rPr>
                <w:sz w:val="14"/>
                <w:szCs w:val="16"/>
              </w:rPr>
            </w:pPr>
            <w:r w:rsidRPr="00184B6B">
              <w:rPr>
                <w:sz w:val="14"/>
                <w:szCs w:val="16"/>
              </w:rPr>
              <w:t>0.147***</w:t>
            </w:r>
          </w:p>
        </w:tc>
        <w:tc>
          <w:tcPr>
            <w:tcW w:w="462" w:type="pct"/>
            <w:tcBorders>
              <w:top w:val="nil"/>
              <w:left w:val="nil"/>
              <w:bottom w:val="nil"/>
              <w:right w:val="nil"/>
            </w:tcBorders>
            <w:shd w:val="clear" w:color="auto" w:fill="auto"/>
            <w:noWrap/>
            <w:vAlign w:val="bottom"/>
            <w:hideMark/>
          </w:tcPr>
          <w:p w14:paraId="268C3DB5" w14:textId="77777777" w:rsidR="00184B6B" w:rsidRPr="00184B6B" w:rsidRDefault="00184B6B" w:rsidP="00184B6B">
            <w:pPr>
              <w:spacing w:line="240" w:lineRule="auto"/>
              <w:ind w:firstLine="0"/>
              <w:rPr>
                <w:sz w:val="14"/>
                <w:szCs w:val="16"/>
              </w:rPr>
            </w:pPr>
            <w:r w:rsidRPr="00184B6B">
              <w:rPr>
                <w:sz w:val="14"/>
                <w:szCs w:val="16"/>
              </w:rPr>
              <w:t>0.148***</w:t>
            </w:r>
          </w:p>
        </w:tc>
        <w:tc>
          <w:tcPr>
            <w:tcW w:w="459" w:type="pct"/>
            <w:tcBorders>
              <w:top w:val="nil"/>
              <w:left w:val="nil"/>
              <w:bottom w:val="nil"/>
              <w:right w:val="single" w:sz="4" w:space="0" w:color="auto"/>
            </w:tcBorders>
            <w:shd w:val="clear" w:color="auto" w:fill="auto"/>
            <w:noWrap/>
            <w:vAlign w:val="bottom"/>
            <w:hideMark/>
          </w:tcPr>
          <w:p w14:paraId="6D281028" w14:textId="77777777" w:rsidR="00184B6B" w:rsidRPr="00184B6B" w:rsidRDefault="00184B6B" w:rsidP="00184B6B">
            <w:pPr>
              <w:spacing w:line="240" w:lineRule="auto"/>
              <w:ind w:firstLine="0"/>
              <w:rPr>
                <w:sz w:val="14"/>
                <w:szCs w:val="16"/>
              </w:rPr>
            </w:pPr>
            <w:r w:rsidRPr="00184B6B">
              <w:rPr>
                <w:sz w:val="14"/>
                <w:szCs w:val="16"/>
              </w:rPr>
              <w:t>0.148***</w:t>
            </w:r>
          </w:p>
        </w:tc>
      </w:tr>
      <w:tr w:rsidR="00184B6B" w:rsidRPr="00184B6B" w14:paraId="3C36287D"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BA02D1C"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4AEF96B0" w14:textId="77777777" w:rsidR="00184B6B" w:rsidRPr="00184B6B" w:rsidRDefault="00184B6B" w:rsidP="00184B6B">
            <w:pPr>
              <w:spacing w:line="240" w:lineRule="auto"/>
              <w:ind w:firstLine="0"/>
              <w:rPr>
                <w:sz w:val="14"/>
                <w:szCs w:val="16"/>
              </w:rPr>
            </w:pPr>
            <w:r w:rsidRPr="00184B6B">
              <w:rPr>
                <w:sz w:val="14"/>
                <w:szCs w:val="16"/>
              </w:rPr>
              <w:t>(0.015)</w:t>
            </w:r>
          </w:p>
        </w:tc>
        <w:tc>
          <w:tcPr>
            <w:tcW w:w="462" w:type="pct"/>
            <w:tcBorders>
              <w:top w:val="nil"/>
              <w:left w:val="nil"/>
              <w:bottom w:val="nil"/>
              <w:right w:val="nil"/>
            </w:tcBorders>
            <w:shd w:val="clear" w:color="auto" w:fill="auto"/>
            <w:noWrap/>
            <w:vAlign w:val="bottom"/>
            <w:hideMark/>
          </w:tcPr>
          <w:p w14:paraId="6474C02B" w14:textId="77777777" w:rsidR="00184B6B" w:rsidRPr="00184B6B" w:rsidRDefault="00184B6B" w:rsidP="00184B6B">
            <w:pPr>
              <w:spacing w:line="240" w:lineRule="auto"/>
              <w:ind w:firstLine="0"/>
              <w:rPr>
                <w:sz w:val="14"/>
                <w:szCs w:val="16"/>
              </w:rPr>
            </w:pPr>
            <w:r w:rsidRPr="00184B6B">
              <w:rPr>
                <w:sz w:val="14"/>
                <w:szCs w:val="16"/>
              </w:rPr>
              <w:t>(0.015)</w:t>
            </w:r>
          </w:p>
        </w:tc>
        <w:tc>
          <w:tcPr>
            <w:tcW w:w="462" w:type="pct"/>
            <w:tcBorders>
              <w:top w:val="nil"/>
              <w:left w:val="nil"/>
              <w:bottom w:val="nil"/>
              <w:right w:val="nil"/>
            </w:tcBorders>
            <w:shd w:val="clear" w:color="auto" w:fill="auto"/>
            <w:noWrap/>
            <w:vAlign w:val="bottom"/>
            <w:hideMark/>
          </w:tcPr>
          <w:p w14:paraId="6DFD107A" w14:textId="77777777" w:rsidR="00184B6B" w:rsidRPr="00184B6B" w:rsidRDefault="00184B6B" w:rsidP="00184B6B">
            <w:pPr>
              <w:spacing w:line="240" w:lineRule="auto"/>
              <w:ind w:firstLine="0"/>
              <w:rPr>
                <w:sz w:val="14"/>
                <w:szCs w:val="16"/>
              </w:rPr>
            </w:pPr>
            <w:r w:rsidRPr="00184B6B">
              <w:rPr>
                <w:sz w:val="14"/>
                <w:szCs w:val="16"/>
              </w:rPr>
              <w:t>(0.015)</w:t>
            </w:r>
          </w:p>
        </w:tc>
        <w:tc>
          <w:tcPr>
            <w:tcW w:w="462" w:type="pct"/>
            <w:tcBorders>
              <w:top w:val="nil"/>
              <w:left w:val="nil"/>
              <w:bottom w:val="nil"/>
              <w:right w:val="single" w:sz="4" w:space="0" w:color="auto"/>
            </w:tcBorders>
            <w:shd w:val="clear" w:color="auto" w:fill="auto"/>
            <w:noWrap/>
            <w:vAlign w:val="bottom"/>
            <w:hideMark/>
          </w:tcPr>
          <w:p w14:paraId="206E16E0" w14:textId="77777777" w:rsidR="00184B6B" w:rsidRPr="00184B6B" w:rsidRDefault="00184B6B" w:rsidP="00184B6B">
            <w:pPr>
              <w:spacing w:line="240" w:lineRule="auto"/>
              <w:ind w:firstLine="0"/>
              <w:rPr>
                <w:sz w:val="14"/>
                <w:szCs w:val="16"/>
              </w:rPr>
            </w:pPr>
            <w:r w:rsidRPr="00184B6B">
              <w:rPr>
                <w:sz w:val="14"/>
                <w:szCs w:val="16"/>
              </w:rPr>
              <w:t>(0.015)</w:t>
            </w:r>
          </w:p>
        </w:tc>
        <w:tc>
          <w:tcPr>
            <w:tcW w:w="462" w:type="pct"/>
            <w:tcBorders>
              <w:top w:val="nil"/>
              <w:left w:val="single" w:sz="4" w:space="0" w:color="auto"/>
              <w:bottom w:val="nil"/>
              <w:right w:val="nil"/>
            </w:tcBorders>
            <w:shd w:val="clear" w:color="auto" w:fill="auto"/>
            <w:noWrap/>
            <w:vAlign w:val="bottom"/>
            <w:hideMark/>
          </w:tcPr>
          <w:p w14:paraId="3A706146" w14:textId="77777777" w:rsidR="00184B6B" w:rsidRPr="00184B6B" w:rsidRDefault="00184B6B" w:rsidP="00184B6B">
            <w:pPr>
              <w:spacing w:line="240" w:lineRule="auto"/>
              <w:ind w:firstLine="0"/>
              <w:rPr>
                <w:sz w:val="14"/>
                <w:szCs w:val="16"/>
              </w:rPr>
            </w:pPr>
            <w:r w:rsidRPr="00184B6B">
              <w:rPr>
                <w:sz w:val="14"/>
                <w:szCs w:val="16"/>
              </w:rPr>
              <w:t>(0.011)</w:t>
            </w:r>
          </w:p>
        </w:tc>
        <w:tc>
          <w:tcPr>
            <w:tcW w:w="462" w:type="pct"/>
            <w:tcBorders>
              <w:top w:val="nil"/>
              <w:left w:val="nil"/>
              <w:bottom w:val="nil"/>
              <w:right w:val="nil"/>
            </w:tcBorders>
            <w:shd w:val="clear" w:color="auto" w:fill="auto"/>
            <w:noWrap/>
            <w:vAlign w:val="bottom"/>
            <w:hideMark/>
          </w:tcPr>
          <w:p w14:paraId="0450825D" w14:textId="77777777" w:rsidR="00184B6B" w:rsidRPr="00184B6B" w:rsidRDefault="00184B6B" w:rsidP="00184B6B">
            <w:pPr>
              <w:spacing w:line="240" w:lineRule="auto"/>
              <w:ind w:firstLine="0"/>
              <w:rPr>
                <w:sz w:val="14"/>
                <w:szCs w:val="16"/>
              </w:rPr>
            </w:pPr>
            <w:r w:rsidRPr="00184B6B">
              <w:rPr>
                <w:sz w:val="14"/>
                <w:szCs w:val="16"/>
              </w:rPr>
              <w:t>(0.011)</w:t>
            </w:r>
          </w:p>
        </w:tc>
        <w:tc>
          <w:tcPr>
            <w:tcW w:w="462" w:type="pct"/>
            <w:tcBorders>
              <w:top w:val="nil"/>
              <w:left w:val="nil"/>
              <w:bottom w:val="nil"/>
              <w:right w:val="nil"/>
            </w:tcBorders>
            <w:shd w:val="clear" w:color="auto" w:fill="auto"/>
            <w:noWrap/>
            <w:vAlign w:val="bottom"/>
            <w:hideMark/>
          </w:tcPr>
          <w:p w14:paraId="1FA5EBA6" w14:textId="77777777" w:rsidR="00184B6B" w:rsidRPr="00184B6B" w:rsidRDefault="00184B6B" w:rsidP="00184B6B">
            <w:pPr>
              <w:spacing w:line="240" w:lineRule="auto"/>
              <w:ind w:firstLine="0"/>
              <w:rPr>
                <w:sz w:val="14"/>
                <w:szCs w:val="16"/>
              </w:rPr>
            </w:pPr>
            <w:r w:rsidRPr="00184B6B">
              <w:rPr>
                <w:sz w:val="14"/>
                <w:szCs w:val="16"/>
              </w:rPr>
              <w:t>(0.011)</w:t>
            </w:r>
          </w:p>
        </w:tc>
        <w:tc>
          <w:tcPr>
            <w:tcW w:w="459" w:type="pct"/>
            <w:tcBorders>
              <w:top w:val="nil"/>
              <w:left w:val="nil"/>
              <w:bottom w:val="nil"/>
              <w:right w:val="single" w:sz="4" w:space="0" w:color="auto"/>
            </w:tcBorders>
            <w:shd w:val="clear" w:color="auto" w:fill="auto"/>
            <w:noWrap/>
            <w:vAlign w:val="bottom"/>
            <w:hideMark/>
          </w:tcPr>
          <w:p w14:paraId="3B4E0C2F" w14:textId="77777777" w:rsidR="00184B6B" w:rsidRPr="00184B6B" w:rsidRDefault="00184B6B" w:rsidP="00184B6B">
            <w:pPr>
              <w:spacing w:line="240" w:lineRule="auto"/>
              <w:ind w:firstLine="0"/>
              <w:rPr>
                <w:sz w:val="14"/>
                <w:szCs w:val="16"/>
              </w:rPr>
            </w:pPr>
            <w:r w:rsidRPr="00184B6B">
              <w:rPr>
                <w:sz w:val="14"/>
                <w:szCs w:val="16"/>
              </w:rPr>
              <w:t>(0.011)</w:t>
            </w:r>
          </w:p>
        </w:tc>
      </w:tr>
      <w:tr w:rsidR="00184B6B" w:rsidRPr="00184B6B" w14:paraId="740EB0C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04BC0CD8" w14:textId="77777777" w:rsidR="00184B6B" w:rsidRPr="00184B6B" w:rsidRDefault="00184B6B" w:rsidP="00184B6B">
            <w:pPr>
              <w:spacing w:line="240" w:lineRule="auto"/>
              <w:ind w:firstLine="0"/>
              <w:jc w:val="left"/>
              <w:rPr>
                <w:sz w:val="14"/>
                <w:szCs w:val="16"/>
              </w:rPr>
            </w:pPr>
            <w:r w:rsidRPr="00184B6B">
              <w:rPr>
                <w:sz w:val="14"/>
                <w:szCs w:val="16"/>
              </w:rPr>
              <w:t>Helpful international community</w:t>
            </w:r>
          </w:p>
        </w:tc>
        <w:tc>
          <w:tcPr>
            <w:tcW w:w="462" w:type="pct"/>
            <w:tcBorders>
              <w:top w:val="nil"/>
              <w:left w:val="single" w:sz="4" w:space="0" w:color="auto"/>
              <w:bottom w:val="nil"/>
              <w:right w:val="nil"/>
            </w:tcBorders>
            <w:shd w:val="clear" w:color="auto" w:fill="auto"/>
            <w:noWrap/>
            <w:vAlign w:val="bottom"/>
            <w:hideMark/>
          </w:tcPr>
          <w:p w14:paraId="3D456E3F" w14:textId="77777777" w:rsidR="00184B6B" w:rsidRPr="00184B6B" w:rsidRDefault="00184B6B" w:rsidP="00184B6B">
            <w:pPr>
              <w:spacing w:line="240" w:lineRule="auto"/>
              <w:ind w:firstLine="0"/>
              <w:rPr>
                <w:sz w:val="14"/>
                <w:szCs w:val="16"/>
              </w:rPr>
            </w:pPr>
            <w:r w:rsidRPr="00184B6B">
              <w:rPr>
                <w:sz w:val="14"/>
                <w:szCs w:val="16"/>
              </w:rPr>
              <w:t>0.301***</w:t>
            </w:r>
          </w:p>
        </w:tc>
        <w:tc>
          <w:tcPr>
            <w:tcW w:w="462" w:type="pct"/>
            <w:tcBorders>
              <w:top w:val="nil"/>
              <w:left w:val="nil"/>
              <w:bottom w:val="nil"/>
              <w:right w:val="nil"/>
            </w:tcBorders>
            <w:shd w:val="clear" w:color="auto" w:fill="auto"/>
            <w:noWrap/>
            <w:vAlign w:val="bottom"/>
            <w:hideMark/>
          </w:tcPr>
          <w:p w14:paraId="2BA32E12" w14:textId="77777777" w:rsidR="00184B6B" w:rsidRPr="00184B6B" w:rsidRDefault="00184B6B" w:rsidP="00184B6B">
            <w:pPr>
              <w:spacing w:line="240" w:lineRule="auto"/>
              <w:ind w:firstLine="0"/>
              <w:rPr>
                <w:sz w:val="14"/>
                <w:szCs w:val="16"/>
              </w:rPr>
            </w:pPr>
            <w:r w:rsidRPr="00184B6B">
              <w:rPr>
                <w:sz w:val="14"/>
                <w:szCs w:val="16"/>
              </w:rPr>
              <w:t>0.299***</w:t>
            </w:r>
          </w:p>
        </w:tc>
        <w:tc>
          <w:tcPr>
            <w:tcW w:w="462" w:type="pct"/>
            <w:tcBorders>
              <w:top w:val="nil"/>
              <w:left w:val="nil"/>
              <w:bottom w:val="nil"/>
              <w:right w:val="nil"/>
            </w:tcBorders>
            <w:shd w:val="clear" w:color="auto" w:fill="auto"/>
            <w:noWrap/>
            <w:vAlign w:val="bottom"/>
            <w:hideMark/>
          </w:tcPr>
          <w:p w14:paraId="2E2B3172" w14:textId="77777777" w:rsidR="00184B6B" w:rsidRPr="00184B6B" w:rsidRDefault="00184B6B" w:rsidP="00184B6B">
            <w:pPr>
              <w:spacing w:line="240" w:lineRule="auto"/>
              <w:ind w:firstLine="0"/>
              <w:rPr>
                <w:sz w:val="14"/>
                <w:szCs w:val="16"/>
              </w:rPr>
            </w:pPr>
            <w:r w:rsidRPr="00184B6B">
              <w:rPr>
                <w:sz w:val="14"/>
                <w:szCs w:val="16"/>
              </w:rPr>
              <w:t>0.300***</w:t>
            </w:r>
          </w:p>
        </w:tc>
        <w:tc>
          <w:tcPr>
            <w:tcW w:w="462" w:type="pct"/>
            <w:tcBorders>
              <w:top w:val="nil"/>
              <w:left w:val="nil"/>
              <w:bottom w:val="nil"/>
              <w:right w:val="single" w:sz="4" w:space="0" w:color="auto"/>
            </w:tcBorders>
            <w:shd w:val="clear" w:color="auto" w:fill="auto"/>
            <w:noWrap/>
            <w:vAlign w:val="bottom"/>
            <w:hideMark/>
          </w:tcPr>
          <w:p w14:paraId="4A14B223" w14:textId="77777777" w:rsidR="00184B6B" w:rsidRPr="00184B6B" w:rsidRDefault="00184B6B" w:rsidP="00184B6B">
            <w:pPr>
              <w:spacing w:line="240" w:lineRule="auto"/>
              <w:ind w:firstLine="0"/>
              <w:rPr>
                <w:sz w:val="14"/>
                <w:szCs w:val="16"/>
              </w:rPr>
            </w:pPr>
            <w:r w:rsidRPr="00184B6B">
              <w:rPr>
                <w:sz w:val="14"/>
                <w:szCs w:val="16"/>
              </w:rPr>
              <w:t>0.302***</w:t>
            </w:r>
          </w:p>
        </w:tc>
        <w:tc>
          <w:tcPr>
            <w:tcW w:w="462" w:type="pct"/>
            <w:tcBorders>
              <w:top w:val="nil"/>
              <w:left w:val="single" w:sz="4" w:space="0" w:color="auto"/>
              <w:bottom w:val="nil"/>
              <w:right w:val="nil"/>
            </w:tcBorders>
            <w:shd w:val="clear" w:color="auto" w:fill="auto"/>
            <w:noWrap/>
            <w:vAlign w:val="bottom"/>
            <w:hideMark/>
          </w:tcPr>
          <w:p w14:paraId="1702CCBF" w14:textId="77777777" w:rsidR="00184B6B" w:rsidRPr="00184B6B" w:rsidRDefault="00184B6B" w:rsidP="00184B6B">
            <w:pPr>
              <w:spacing w:line="240" w:lineRule="auto"/>
              <w:ind w:firstLine="0"/>
              <w:rPr>
                <w:sz w:val="14"/>
                <w:szCs w:val="16"/>
              </w:rPr>
            </w:pPr>
            <w:r w:rsidRPr="00184B6B">
              <w:rPr>
                <w:sz w:val="14"/>
                <w:szCs w:val="16"/>
              </w:rPr>
              <w:t>0.269***</w:t>
            </w:r>
          </w:p>
        </w:tc>
        <w:tc>
          <w:tcPr>
            <w:tcW w:w="462" w:type="pct"/>
            <w:tcBorders>
              <w:top w:val="nil"/>
              <w:left w:val="nil"/>
              <w:bottom w:val="nil"/>
              <w:right w:val="nil"/>
            </w:tcBorders>
            <w:shd w:val="clear" w:color="auto" w:fill="auto"/>
            <w:noWrap/>
            <w:vAlign w:val="bottom"/>
            <w:hideMark/>
          </w:tcPr>
          <w:p w14:paraId="617581AB" w14:textId="77777777" w:rsidR="00184B6B" w:rsidRPr="00184B6B" w:rsidRDefault="00184B6B" w:rsidP="00184B6B">
            <w:pPr>
              <w:spacing w:line="240" w:lineRule="auto"/>
              <w:ind w:firstLine="0"/>
              <w:rPr>
                <w:sz w:val="14"/>
                <w:szCs w:val="16"/>
              </w:rPr>
            </w:pPr>
            <w:r w:rsidRPr="00184B6B">
              <w:rPr>
                <w:sz w:val="14"/>
                <w:szCs w:val="16"/>
              </w:rPr>
              <w:t>0.269***</w:t>
            </w:r>
          </w:p>
        </w:tc>
        <w:tc>
          <w:tcPr>
            <w:tcW w:w="462" w:type="pct"/>
            <w:tcBorders>
              <w:top w:val="nil"/>
              <w:left w:val="nil"/>
              <w:bottom w:val="nil"/>
              <w:right w:val="nil"/>
            </w:tcBorders>
            <w:shd w:val="clear" w:color="auto" w:fill="auto"/>
            <w:noWrap/>
            <w:vAlign w:val="bottom"/>
            <w:hideMark/>
          </w:tcPr>
          <w:p w14:paraId="73FC657E" w14:textId="77777777" w:rsidR="00184B6B" w:rsidRPr="00184B6B" w:rsidRDefault="00184B6B" w:rsidP="00184B6B">
            <w:pPr>
              <w:spacing w:line="240" w:lineRule="auto"/>
              <w:ind w:firstLine="0"/>
              <w:rPr>
                <w:sz w:val="14"/>
                <w:szCs w:val="16"/>
              </w:rPr>
            </w:pPr>
            <w:r w:rsidRPr="00184B6B">
              <w:rPr>
                <w:sz w:val="14"/>
                <w:szCs w:val="16"/>
              </w:rPr>
              <w:t>0.269***</w:t>
            </w:r>
          </w:p>
        </w:tc>
        <w:tc>
          <w:tcPr>
            <w:tcW w:w="459" w:type="pct"/>
            <w:tcBorders>
              <w:top w:val="nil"/>
              <w:left w:val="nil"/>
              <w:bottom w:val="nil"/>
              <w:right w:val="single" w:sz="4" w:space="0" w:color="auto"/>
            </w:tcBorders>
            <w:shd w:val="clear" w:color="auto" w:fill="auto"/>
            <w:noWrap/>
            <w:vAlign w:val="bottom"/>
            <w:hideMark/>
          </w:tcPr>
          <w:p w14:paraId="34CE93F3" w14:textId="77777777" w:rsidR="00184B6B" w:rsidRPr="00184B6B" w:rsidRDefault="00184B6B" w:rsidP="00184B6B">
            <w:pPr>
              <w:spacing w:line="240" w:lineRule="auto"/>
              <w:ind w:firstLine="0"/>
              <w:rPr>
                <w:sz w:val="14"/>
                <w:szCs w:val="16"/>
              </w:rPr>
            </w:pPr>
            <w:r w:rsidRPr="00184B6B">
              <w:rPr>
                <w:sz w:val="14"/>
                <w:szCs w:val="16"/>
              </w:rPr>
              <w:t>0.269***</w:t>
            </w:r>
          </w:p>
        </w:tc>
      </w:tr>
      <w:tr w:rsidR="00184B6B" w:rsidRPr="00184B6B" w14:paraId="2557BF2A"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2A1E5BD"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47F77D45"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nil"/>
              <w:bottom w:val="nil"/>
              <w:right w:val="nil"/>
            </w:tcBorders>
            <w:shd w:val="clear" w:color="auto" w:fill="auto"/>
            <w:noWrap/>
            <w:vAlign w:val="bottom"/>
            <w:hideMark/>
          </w:tcPr>
          <w:p w14:paraId="7C8D9269"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nil"/>
              <w:bottom w:val="nil"/>
              <w:right w:val="nil"/>
            </w:tcBorders>
            <w:shd w:val="clear" w:color="auto" w:fill="auto"/>
            <w:noWrap/>
            <w:vAlign w:val="bottom"/>
            <w:hideMark/>
          </w:tcPr>
          <w:p w14:paraId="5E36B7E2"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nil"/>
              <w:bottom w:val="nil"/>
              <w:right w:val="single" w:sz="4" w:space="0" w:color="auto"/>
            </w:tcBorders>
            <w:shd w:val="clear" w:color="auto" w:fill="auto"/>
            <w:noWrap/>
            <w:vAlign w:val="bottom"/>
            <w:hideMark/>
          </w:tcPr>
          <w:p w14:paraId="74394F1C" w14:textId="77777777" w:rsidR="00184B6B" w:rsidRPr="00184B6B" w:rsidRDefault="00184B6B" w:rsidP="00184B6B">
            <w:pPr>
              <w:spacing w:line="240" w:lineRule="auto"/>
              <w:ind w:firstLine="0"/>
              <w:rPr>
                <w:sz w:val="14"/>
                <w:szCs w:val="16"/>
              </w:rPr>
            </w:pPr>
            <w:r w:rsidRPr="00184B6B">
              <w:rPr>
                <w:sz w:val="14"/>
                <w:szCs w:val="16"/>
              </w:rPr>
              <w:t>(0.019)</w:t>
            </w:r>
          </w:p>
        </w:tc>
        <w:tc>
          <w:tcPr>
            <w:tcW w:w="462" w:type="pct"/>
            <w:tcBorders>
              <w:top w:val="nil"/>
              <w:left w:val="single" w:sz="4" w:space="0" w:color="auto"/>
              <w:bottom w:val="nil"/>
              <w:right w:val="nil"/>
            </w:tcBorders>
            <w:shd w:val="clear" w:color="auto" w:fill="auto"/>
            <w:noWrap/>
            <w:vAlign w:val="bottom"/>
            <w:hideMark/>
          </w:tcPr>
          <w:p w14:paraId="559CE898" w14:textId="77777777" w:rsidR="00184B6B" w:rsidRPr="00184B6B" w:rsidRDefault="00184B6B" w:rsidP="00184B6B">
            <w:pPr>
              <w:spacing w:line="240" w:lineRule="auto"/>
              <w:ind w:firstLine="0"/>
              <w:rPr>
                <w:sz w:val="14"/>
                <w:szCs w:val="16"/>
              </w:rPr>
            </w:pPr>
            <w:r w:rsidRPr="00184B6B">
              <w:rPr>
                <w:sz w:val="14"/>
                <w:szCs w:val="16"/>
              </w:rPr>
              <w:t>(0.015)</w:t>
            </w:r>
          </w:p>
        </w:tc>
        <w:tc>
          <w:tcPr>
            <w:tcW w:w="462" w:type="pct"/>
            <w:tcBorders>
              <w:top w:val="nil"/>
              <w:left w:val="nil"/>
              <w:bottom w:val="nil"/>
              <w:right w:val="nil"/>
            </w:tcBorders>
            <w:shd w:val="clear" w:color="auto" w:fill="auto"/>
            <w:noWrap/>
            <w:vAlign w:val="bottom"/>
            <w:hideMark/>
          </w:tcPr>
          <w:p w14:paraId="7F940022" w14:textId="77777777" w:rsidR="00184B6B" w:rsidRPr="00184B6B" w:rsidRDefault="00184B6B" w:rsidP="00184B6B">
            <w:pPr>
              <w:spacing w:line="240" w:lineRule="auto"/>
              <w:ind w:firstLine="0"/>
              <w:rPr>
                <w:sz w:val="14"/>
                <w:szCs w:val="16"/>
              </w:rPr>
            </w:pPr>
            <w:r w:rsidRPr="00184B6B">
              <w:rPr>
                <w:sz w:val="14"/>
                <w:szCs w:val="16"/>
              </w:rPr>
              <w:t>(0.015)</w:t>
            </w:r>
          </w:p>
        </w:tc>
        <w:tc>
          <w:tcPr>
            <w:tcW w:w="462" w:type="pct"/>
            <w:tcBorders>
              <w:top w:val="nil"/>
              <w:left w:val="nil"/>
              <w:bottom w:val="nil"/>
              <w:right w:val="nil"/>
            </w:tcBorders>
            <w:shd w:val="clear" w:color="auto" w:fill="auto"/>
            <w:noWrap/>
            <w:vAlign w:val="bottom"/>
            <w:hideMark/>
          </w:tcPr>
          <w:p w14:paraId="6BD60E49" w14:textId="77777777" w:rsidR="00184B6B" w:rsidRPr="00184B6B" w:rsidRDefault="00184B6B" w:rsidP="00184B6B">
            <w:pPr>
              <w:spacing w:line="240" w:lineRule="auto"/>
              <w:ind w:firstLine="0"/>
              <w:rPr>
                <w:sz w:val="14"/>
                <w:szCs w:val="16"/>
              </w:rPr>
            </w:pPr>
            <w:r w:rsidRPr="00184B6B">
              <w:rPr>
                <w:sz w:val="14"/>
                <w:szCs w:val="16"/>
              </w:rPr>
              <w:t>(0.015)</w:t>
            </w:r>
          </w:p>
        </w:tc>
        <w:tc>
          <w:tcPr>
            <w:tcW w:w="459" w:type="pct"/>
            <w:tcBorders>
              <w:top w:val="nil"/>
              <w:left w:val="nil"/>
              <w:bottom w:val="nil"/>
              <w:right w:val="single" w:sz="4" w:space="0" w:color="auto"/>
            </w:tcBorders>
            <w:shd w:val="clear" w:color="auto" w:fill="auto"/>
            <w:noWrap/>
            <w:vAlign w:val="bottom"/>
            <w:hideMark/>
          </w:tcPr>
          <w:p w14:paraId="0DEF0321" w14:textId="77777777" w:rsidR="00184B6B" w:rsidRPr="00184B6B" w:rsidRDefault="00184B6B" w:rsidP="00184B6B">
            <w:pPr>
              <w:spacing w:line="240" w:lineRule="auto"/>
              <w:ind w:firstLine="0"/>
              <w:rPr>
                <w:sz w:val="14"/>
                <w:szCs w:val="16"/>
              </w:rPr>
            </w:pPr>
            <w:r w:rsidRPr="00184B6B">
              <w:rPr>
                <w:sz w:val="14"/>
                <w:szCs w:val="16"/>
              </w:rPr>
              <w:t>(0.015)</w:t>
            </w:r>
          </w:p>
        </w:tc>
      </w:tr>
      <w:tr w:rsidR="00184B6B" w:rsidRPr="00184B6B" w14:paraId="38CB53C6"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24D6E3F" w14:textId="77777777" w:rsidR="00184B6B" w:rsidRPr="00184B6B" w:rsidRDefault="00184B6B" w:rsidP="00184B6B">
            <w:pPr>
              <w:spacing w:line="240" w:lineRule="auto"/>
              <w:ind w:firstLine="0"/>
              <w:jc w:val="left"/>
              <w:rPr>
                <w:sz w:val="14"/>
                <w:szCs w:val="16"/>
              </w:rPr>
            </w:pPr>
            <w:r w:rsidRPr="00184B6B">
              <w:rPr>
                <w:sz w:val="14"/>
                <w:szCs w:val="16"/>
              </w:rPr>
              <w:t>Albania</w:t>
            </w:r>
          </w:p>
        </w:tc>
        <w:tc>
          <w:tcPr>
            <w:tcW w:w="462" w:type="pct"/>
            <w:tcBorders>
              <w:top w:val="nil"/>
              <w:left w:val="single" w:sz="4" w:space="0" w:color="auto"/>
              <w:bottom w:val="nil"/>
              <w:right w:val="nil"/>
            </w:tcBorders>
            <w:shd w:val="clear" w:color="auto" w:fill="auto"/>
            <w:noWrap/>
            <w:vAlign w:val="bottom"/>
            <w:hideMark/>
          </w:tcPr>
          <w:p w14:paraId="5F8B455F" w14:textId="77777777" w:rsidR="00184B6B" w:rsidRPr="00184B6B" w:rsidRDefault="00184B6B" w:rsidP="00184B6B">
            <w:pPr>
              <w:spacing w:line="240" w:lineRule="auto"/>
              <w:ind w:firstLine="0"/>
              <w:rPr>
                <w:sz w:val="14"/>
                <w:szCs w:val="16"/>
              </w:rPr>
            </w:pPr>
            <w:r w:rsidRPr="00184B6B">
              <w:rPr>
                <w:sz w:val="14"/>
                <w:szCs w:val="16"/>
              </w:rPr>
              <w:t>0.403***</w:t>
            </w:r>
          </w:p>
        </w:tc>
        <w:tc>
          <w:tcPr>
            <w:tcW w:w="462" w:type="pct"/>
            <w:tcBorders>
              <w:top w:val="nil"/>
              <w:left w:val="nil"/>
              <w:bottom w:val="nil"/>
              <w:right w:val="nil"/>
            </w:tcBorders>
            <w:shd w:val="clear" w:color="auto" w:fill="auto"/>
            <w:noWrap/>
            <w:vAlign w:val="bottom"/>
            <w:hideMark/>
          </w:tcPr>
          <w:p w14:paraId="7CF12938" w14:textId="77777777" w:rsidR="00184B6B" w:rsidRPr="00184B6B" w:rsidRDefault="00184B6B" w:rsidP="00184B6B">
            <w:pPr>
              <w:spacing w:line="240" w:lineRule="auto"/>
              <w:ind w:firstLine="0"/>
              <w:rPr>
                <w:sz w:val="14"/>
                <w:szCs w:val="16"/>
              </w:rPr>
            </w:pPr>
            <w:r w:rsidRPr="00184B6B">
              <w:rPr>
                <w:sz w:val="14"/>
                <w:szCs w:val="16"/>
              </w:rPr>
              <w:t>0.414***</w:t>
            </w:r>
          </w:p>
        </w:tc>
        <w:tc>
          <w:tcPr>
            <w:tcW w:w="462" w:type="pct"/>
            <w:tcBorders>
              <w:top w:val="nil"/>
              <w:left w:val="nil"/>
              <w:bottom w:val="nil"/>
              <w:right w:val="nil"/>
            </w:tcBorders>
            <w:shd w:val="clear" w:color="auto" w:fill="auto"/>
            <w:noWrap/>
            <w:vAlign w:val="bottom"/>
            <w:hideMark/>
          </w:tcPr>
          <w:p w14:paraId="4AC75622" w14:textId="77777777" w:rsidR="00184B6B" w:rsidRPr="00184B6B" w:rsidRDefault="00184B6B" w:rsidP="00184B6B">
            <w:pPr>
              <w:spacing w:line="240" w:lineRule="auto"/>
              <w:ind w:firstLine="0"/>
              <w:rPr>
                <w:sz w:val="14"/>
                <w:szCs w:val="16"/>
              </w:rPr>
            </w:pPr>
            <w:r w:rsidRPr="00184B6B">
              <w:rPr>
                <w:sz w:val="14"/>
                <w:szCs w:val="16"/>
              </w:rPr>
              <w:t>0.421***</w:t>
            </w:r>
          </w:p>
        </w:tc>
        <w:tc>
          <w:tcPr>
            <w:tcW w:w="462" w:type="pct"/>
            <w:tcBorders>
              <w:top w:val="nil"/>
              <w:left w:val="nil"/>
              <w:bottom w:val="nil"/>
              <w:right w:val="single" w:sz="4" w:space="0" w:color="auto"/>
            </w:tcBorders>
            <w:shd w:val="clear" w:color="auto" w:fill="auto"/>
            <w:noWrap/>
            <w:vAlign w:val="bottom"/>
            <w:hideMark/>
          </w:tcPr>
          <w:p w14:paraId="5C403BE1" w14:textId="77777777" w:rsidR="00184B6B" w:rsidRPr="00184B6B" w:rsidRDefault="00184B6B" w:rsidP="00184B6B">
            <w:pPr>
              <w:spacing w:line="240" w:lineRule="auto"/>
              <w:ind w:firstLine="0"/>
              <w:rPr>
                <w:sz w:val="14"/>
                <w:szCs w:val="16"/>
              </w:rPr>
            </w:pPr>
            <w:r w:rsidRPr="00184B6B">
              <w:rPr>
                <w:sz w:val="14"/>
                <w:szCs w:val="16"/>
              </w:rPr>
              <w:t>0.379***</w:t>
            </w:r>
          </w:p>
        </w:tc>
        <w:tc>
          <w:tcPr>
            <w:tcW w:w="462" w:type="pct"/>
            <w:tcBorders>
              <w:top w:val="nil"/>
              <w:left w:val="single" w:sz="4" w:space="0" w:color="auto"/>
              <w:bottom w:val="nil"/>
              <w:right w:val="nil"/>
            </w:tcBorders>
            <w:shd w:val="clear" w:color="auto" w:fill="auto"/>
            <w:noWrap/>
            <w:vAlign w:val="bottom"/>
            <w:hideMark/>
          </w:tcPr>
          <w:p w14:paraId="2746054D" w14:textId="77777777" w:rsidR="00184B6B" w:rsidRPr="00184B6B" w:rsidRDefault="00184B6B" w:rsidP="00184B6B">
            <w:pPr>
              <w:spacing w:line="240" w:lineRule="auto"/>
              <w:ind w:firstLine="0"/>
              <w:rPr>
                <w:sz w:val="14"/>
                <w:szCs w:val="16"/>
              </w:rPr>
            </w:pPr>
            <w:r w:rsidRPr="00184B6B">
              <w:rPr>
                <w:sz w:val="14"/>
                <w:szCs w:val="16"/>
              </w:rPr>
              <w:t>0.467***</w:t>
            </w:r>
          </w:p>
        </w:tc>
        <w:tc>
          <w:tcPr>
            <w:tcW w:w="462" w:type="pct"/>
            <w:tcBorders>
              <w:top w:val="nil"/>
              <w:left w:val="nil"/>
              <w:bottom w:val="nil"/>
              <w:right w:val="nil"/>
            </w:tcBorders>
            <w:shd w:val="clear" w:color="auto" w:fill="auto"/>
            <w:noWrap/>
            <w:vAlign w:val="bottom"/>
            <w:hideMark/>
          </w:tcPr>
          <w:p w14:paraId="4446174A" w14:textId="77777777" w:rsidR="00184B6B" w:rsidRPr="00184B6B" w:rsidRDefault="00184B6B" w:rsidP="00184B6B">
            <w:pPr>
              <w:spacing w:line="240" w:lineRule="auto"/>
              <w:ind w:firstLine="0"/>
              <w:rPr>
                <w:sz w:val="14"/>
                <w:szCs w:val="16"/>
              </w:rPr>
            </w:pPr>
            <w:r w:rsidRPr="00184B6B">
              <w:rPr>
                <w:sz w:val="14"/>
                <w:szCs w:val="16"/>
              </w:rPr>
              <w:t>0.475***</w:t>
            </w:r>
          </w:p>
        </w:tc>
        <w:tc>
          <w:tcPr>
            <w:tcW w:w="462" w:type="pct"/>
            <w:tcBorders>
              <w:top w:val="nil"/>
              <w:left w:val="nil"/>
              <w:bottom w:val="nil"/>
              <w:right w:val="nil"/>
            </w:tcBorders>
            <w:shd w:val="clear" w:color="auto" w:fill="auto"/>
            <w:noWrap/>
            <w:vAlign w:val="bottom"/>
            <w:hideMark/>
          </w:tcPr>
          <w:p w14:paraId="4FF85430" w14:textId="77777777" w:rsidR="00184B6B" w:rsidRPr="00184B6B" w:rsidRDefault="00184B6B" w:rsidP="00184B6B">
            <w:pPr>
              <w:spacing w:line="240" w:lineRule="auto"/>
              <w:ind w:firstLine="0"/>
              <w:rPr>
                <w:sz w:val="14"/>
                <w:szCs w:val="16"/>
              </w:rPr>
            </w:pPr>
            <w:r w:rsidRPr="00184B6B">
              <w:rPr>
                <w:sz w:val="14"/>
                <w:szCs w:val="16"/>
              </w:rPr>
              <w:t>0.480***</w:t>
            </w:r>
          </w:p>
        </w:tc>
        <w:tc>
          <w:tcPr>
            <w:tcW w:w="459" w:type="pct"/>
            <w:tcBorders>
              <w:top w:val="nil"/>
              <w:left w:val="nil"/>
              <w:bottom w:val="nil"/>
              <w:right w:val="single" w:sz="4" w:space="0" w:color="auto"/>
            </w:tcBorders>
            <w:shd w:val="clear" w:color="auto" w:fill="auto"/>
            <w:noWrap/>
            <w:vAlign w:val="bottom"/>
            <w:hideMark/>
          </w:tcPr>
          <w:p w14:paraId="04C29B45" w14:textId="77777777" w:rsidR="00184B6B" w:rsidRPr="00184B6B" w:rsidRDefault="00184B6B" w:rsidP="00184B6B">
            <w:pPr>
              <w:spacing w:line="240" w:lineRule="auto"/>
              <w:ind w:firstLine="0"/>
              <w:rPr>
                <w:sz w:val="14"/>
                <w:szCs w:val="16"/>
              </w:rPr>
            </w:pPr>
            <w:r w:rsidRPr="00184B6B">
              <w:rPr>
                <w:sz w:val="14"/>
                <w:szCs w:val="16"/>
              </w:rPr>
              <w:t>0.453***</w:t>
            </w:r>
          </w:p>
        </w:tc>
      </w:tr>
      <w:tr w:rsidR="00184B6B" w:rsidRPr="00184B6B" w14:paraId="6B20305F"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B59A520"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6920A06D" w14:textId="77777777" w:rsidR="00184B6B" w:rsidRPr="00184B6B" w:rsidRDefault="00184B6B" w:rsidP="00184B6B">
            <w:pPr>
              <w:spacing w:line="240" w:lineRule="auto"/>
              <w:ind w:firstLine="0"/>
              <w:rPr>
                <w:sz w:val="14"/>
                <w:szCs w:val="16"/>
              </w:rPr>
            </w:pPr>
            <w:r w:rsidRPr="00184B6B">
              <w:rPr>
                <w:sz w:val="14"/>
                <w:szCs w:val="16"/>
              </w:rPr>
              <w:t>(0.082)</w:t>
            </w:r>
          </w:p>
        </w:tc>
        <w:tc>
          <w:tcPr>
            <w:tcW w:w="462" w:type="pct"/>
            <w:tcBorders>
              <w:top w:val="nil"/>
              <w:left w:val="nil"/>
              <w:bottom w:val="nil"/>
              <w:right w:val="nil"/>
            </w:tcBorders>
            <w:shd w:val="clear" w:color="auto" w:fill="auto"/>
            <w:noWrap/>
            <w:vAlign w:val="bottom"/>
            <w:hideMark/>
          </w:tcPr>
          <w:p w14:paraId="23B773B4" w14:textId="77777777" w:rsidR="00184B6B" w:rsidRPr="00184B6B" w:rsidRDefault="00184B6B" w:rsidP="00184B6B">
            <w:pPr>
              <w:spacing w:line="240" w:lineRule="auto"/>
              <w:ind w:firstLine="0"/>
              <w:rPr>
                <w:sz w:val="14"/>
                <w:szCs w:val="16"/>
              </w:rPr>
            </w:pPr>
            <w:r w:rsidRPr="00184B6B">
              <w:rPr>
                <w:sz w:val="14"/>
                <w:szCs w:val="16"/>
              </w:rPr>
              <w:t>(0.082)</w:t>
            </w:r>
          </w:p>
        </w:tc>
        <w:tc>
          <w:tcPr>
            <w:tcW w:w="462" w:type="pct"/>
            <w:tcBorders>
              <w:top w:val="nil"/>
              <w:left w:val="nil"/>
              <w:bottom w:val="nil"/>
              <w:right w:val="nil"/>
            </w:tcBorders>
            <w:shd w:val="clear" w:color="auto" w:fill="auto"/>
            <w:noWrap/>
            <w:vAlign w:val="bottom"/>
            <w:hideMark/>
          </w:tcPr>
          <w:p w14:paraId="4FDE8EC4" w14:textId="77777777" w:rsidR="00184B6B" w:rsidRPr="00184B6B" w:rsidRDefault="00184B6B" w:rsidP="00184B6B">
            <w:pPr>
              <w:spacing w:line="240" w:lineRule="auto"/>
              <w:ind w:firstLine="0"/>
              <w:rPr>
                <w:sz w:val="14"/>
                <w:szCs w:val="16"/>
              </w:rPr>
            </w:pPr>
            <w:r w:rsidRPr="00184B6B">
              <w:rPr>
                <w:sz w:val="14"/>
                <w:szCs w:val="16"/>
              </w:rPr>
              <w:t>(0.081)</w:t>
            </w:r>
          </w:p>
        </w:tc>
        <w:tc>
          <w:tcPr>
            <w:tcW w:w="462" w:type="pct"/>
            <w:tcBorders>
              <w:top w:val="nil"/>
              <w:left w:val="nil"/>
              <w:bottom w:val="nil"/>
              <w:right w:val="single" w:sz="4" w:space="0" w:color="auto"/>
            </w:tcBorders>
            <w:shd w:val="clear" w:color="auto" w:fill="auto"/>
            <w:noWrap/>
            <w:vAlign w:val="bottom"/>
            <w:hideMark/>
          </w:tcPr>
          <w:p w14:paraId="2817CEE5" w14:textId="77777777" w:rsidR="00184B6B" w:rsidRPr="00184B6B" w:rsidRDefault="00184B6B" w:rsidP="00184B6B">
            <w:pPr>
              <w:spacing w:line="240" w:lineRule="auto"/>
              <w:ind w:firstLine="0"/>
              <w:rPr>
                <w:sz w:val="14"/>
                <w:szCs w:val="16"/>
              </w:rPr>
            </w:pPr>
            <w:r w:rsidRPr="00184B6B">
              <w:rPr>
                <w:sz w:val="14"/>
                <w:szCs w:val="16"/>
              </w:rPr>
              <w:t>(0.083)</w:t>
            </w:r>
          </w:p>
        </w:tc>
        <w:tc>
          <w:tcPr>
            <w:tcW w:w="462" w:type="pct"/>
            <w:tcBorders>
              <w:top w:val="nil"/>
              <w:left w:val="single" w:sz="4" w:space="0" w:color="auto"/>
              <w:bottom w:val="nil"/>
              <w:right w:val="nil"/>
            </w:tcBorders>
            <w:shd w:val="clear" w:color="auto" w:fill="auto"/>
            <w:noWrap/>
            <w:vAlign w:val="bottom"/>
            <w:hideMark/>
          </w:tcPr>
          <w:p w14:paraId="3468EAED"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380967BB"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5BDD3E68" w14:textId="77777777" w:rsidR="00184B6B" w:rsidRPr="00184B6B" w:rsidRDefault="00184B6B" w:rsidP="00184B6B">
            <w:pPr>
              <w:spacing w:line="240" w:lineRule="auto"/>
              <w:ind w:firstLine="0"/>
              <w:rPr>
                <w:sz w:val="14"/>
                <w:szCs w:val="16"/>
              </w:rPr>
            </w:pPr>
            <w:r w:rsidRPr="00184B6B">
              <w:rPr>
                <w:sz w:val="14"/>
                <w:szCs w:val="16"/>
              </w:rPr>
              <w:t>(0.058)</w:t>
            </w:r>
          </w:p>
        </w:tc>
        <w:tc>
          <w:tcPr>
            <w:tcW w:w="459" w:type="pct"/>
            <w:tcBorders>
              <w:top w:val="nil"/>
              <w:left w:val="nil"/>
              <w:bottom w:val="nil"/>
              <w:right w:val="single" w:sz="4" w:space="0" w:color="auto"/>
            </w:tcBorders>
            <w:shd w:val="clear" w:color="auto" w:fill="auto"/>
            <w:noWrap/>
            <w:vAlign w:val="bottom"/>
            <w:hideMark/>
          </w:tcPr>
          <w:p w14:paraId="51B014F1" w14:textId="77777777" w:rsidR="00184B6B" w:rsidRPr="00184B6B" w:rsidRDefault="00184B6B" w:rsidP="00184B6B">
            <w:pPr>
              <w:spacing w:line="240" w:lineRule="auto"/>
              <w:ind w:firstLine="0"/>
              <w:rPr>
                <w:sz w:val="14"/>
                <w:szCs w:val="16"/>
              </w:rPr>
            </w:pPr>
            <w:r w:rsidRPr="00184B6B">
              <w:rPr>
                <w:sz w:val="14"/>
                <w:szCs w:val="16"/>
              </w:rPr>
              <w:t>(0.059)</w:t>
            </w:r>
          </w:p>
        </w:tc>
      </w:tr>
      <w:tr w:rsidR="00184B6B" w:rsidRPr="00184B6B" w14:paraId="3A7F3C9E"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CECB003" w14:textId="77777777" w:rsidR="00184B6B" w:rsidRPr="00184B6B" w:rsidRDefault="00184B6B" w:rsidP="00184B6B">
            <w:pPr>
              <w:spacing w:line="240" w:lineRule="auto"/>
              <w:ind w:firstLine="0"/>
              <w:jc w:val="left"/>
              <w:rPr>
                <w:sz w:val="14"/>
                <w:szCs w:val="16"/>
              </w:rPr>
            </w:pPr>
            <w:r w:rsidRPr="00184B6B">
              <w:rPr>
                <w:sz w:val="14"/>
                <w:szCs w:val="16"/>
              </w:rPr>
              <w:t>Bosnia and Herzegovina</w:t>
            </w:r>
          </w:p>
        </w:tc>
        <w:tc>
          <w:tcPr>
            <w:tcW w:w="462" w:type="pct"/>
            <w:tcBorders>
              <w:top w:val="nil"/>
              <w:left w:val="single" w:sz="4" w:space="0" w:color="auto"/>
              <w:bottom w:val="nil"/>
              <w:right w:val="nil"/>
            </w:tcBorders>
            <w:shd w:val="clear" w:color="auto" w:fill="auto"/>
            <w:noWrap/>
            <w:vAlign w:val="bottom"/>
            <w:hideMark/>
          </w:tcPr>
          <w:p w14:paraId="2F29348A" w14:textId="77777777" w:rsidR="00184B6B" w:rsidRPr="00184B6B" w:rsidRDefault="00184B6B" w:rsidP="00184B6B">
            <w:pPr>
              <w:spacing w:line="240" w:lineRule="auto"/>
              <w:ind w:firstLine="0"/>
              <w:rPr>
                <w:sz w:val="14"/>
                <w:szCs w:val="16"/>
              </w:rPr>
            </w:pPr>
            <w:r w:rsidRPr="00184B6B">
              <w:rPr>
                <w:sz w:val="14"/>
                <w:szCs w:val="16"/>
              </w:rPr>
              <w:t>0.145**</w:t>
            </w:r>
          </w:p>
        </w:tc>
        <w:tc>
          <w:tcPr>
            <w:tcW w:w="462" w:type="pct"/>
            <w:tcBorders>
              <w:top w:val="nil"/>
              <w:left w:val="nil"/>
              <w:bottom w:val="nil"/>
              <w:right w:val="nil"/>
            </w:tcBorders>
            <w:shd w:val="clear" w:color="auto" w:fill="auto"/>
            <w:noWrap/>
            <w:vAlign w:val="bottom"/>
            <w:hideMark/>
          </w:tcPr>
          <w:p w14:paraId="5AD1569E" w14:textId="77777777" w:rsidR="00184B6B" w:rsidRPr="00184B6B" w:rsidRDefault="00184B6B" w:rsidP="00184B6B">
            <w:pPr>
              <w:spacing w:line="240" w:lineRule="auto"/>
              <w:ind w:firstLine="0"/>
              <w:rPr>
                <w:sz w:val="14"/>
                <w:szCs w:val="16"/>
              </w:rPr>
            </w:pPr>
            <w:r w:rsidRPr="00184B6B">
              <w:rPr>
                <w:sz w:val="14"/>
                <w:szCs w:val="16"/>
              </w:rPr>
              <w:t>0.142**</w:t>
            </w:r>
          </w:p>
        </w:tc>
        <w:tc>
          <w:tcPr>
            <w:tcW w:w="462" w:type="pct"/>
            <w:tcBorders>
              <w:top w:val="nil"/>
              <w:left w:val="nil"/>
              <w:bottom w:val="nil"/>
              <w:right w:val="nil"/>
            </w:tcBorders>
            <w:shd w:val="clear" w:color="auto" w:fill="auto"/>
            <w:noWrap/>
            <w:vAlign w:val="bottom"/>
            <w:hideMark/>
          </w:tcPr>
          <w:p w14:paraId="2BF4C5FD" w14:textId="77777777" w:rsidR="00184B6B" w:rsidRPr="00184B6B" w:rsidRDefault="00184B6B" w:rsidP="00184B6B">
            <w:pPr>
              <w:spacing w:line="240" w:lineRule="auto"/>
              <w:ind w:firstLine="0"/>
              <w:rPr>
                <w:sz w:val="14"/>
                <w:szCs w:val="16"/>
              </w:rPr>
            </w:pPr>
            <w:r w:rsidRPr="00184B6B">
              <w:rPr>
                <w:sz w:val="14"/>
                <w:szCs w:val="16"/>
              </w:rPr>
              <w:t>0.150**</w:t>
            </w:r>
          </w:p>
        </w:tc>
        <w:tc>
          <w:tcPr>
            <w:tcW w:w="462" w:type="pct"/>
            <w:tcBorders>
              <w:top w:val="nil"/>
              <w:left w:val="nil"/>
              <w:bottom w:val="nil"/>
              <w:right w:val="single" w:sz="4" w:space="0" w:color="auto"/>
            </w:tcBorders>
            <w:shd w:val="clear" w:color="auto" w:fill="auto"/>
            <w:noWrap/>
            <w:vAlign w:val="bottom"/>
            <w:hideMark/>
          </w:tcPr>
          <w:p w14:paraId="685C4589" w14:textId="77777777" w:rsidR="00184B6B" w:rsidRPr="00184B6B" w:rsidRDefault="00184B6B" w:rsidP="00184B6B">
            <w:pPr>
              <w:spacing w:line="240" w:lineRule="auto"/>
              <w:ind w:firstLine="0"/>
              <w:rPr>
                <w:sz w:val="14"/>
                <w:szCs w:val="16"/>
              </w:rPr>
            </w:pPr>
            <w:r w:rsidRPr="00184B6B">
              <w:rPr>
                <w:sz w:val="14"/>
                <w:szCs w:val="16"/>
              </w:rPr>
              <w:t>0.144**</w:t>
            </w:r>
          </w:p>
        </w:tc>
        <w:tc>
          <w:tcPr>
            <w:tcW w:w="462" w:type="pct"/>
            <w:tcBorders>
              <w:top w:val="nil"/>
              <w:left w:val="single" w:sz="4" w:space="0" w:color="auto"/>
              <w:bottom w:val="nil"/>
              <w:right w:val="nil"/>
            </w:tcBorders>
            <w:shd w:val="clear" w:color="auto" w:fill="auto"/>
            <w:noWrap/>
            <w:vAlign w:val="bottom"/>
            <w:hideMark/>
          </w:tcPr>
          <w:p w14:paraId="36E495AD" w14:textId="77777777" w:rsidR="00184B6B" w:rsidRPr="00184B6B" w:rsidRDefault="00184B6B" w:rsidP="00184B6B">
            <w:pPr>
              <w:spacing w:line="240" w:lineRule="auto"/>
              <w:ind w:firstLine="0"/>
              <w:rPr>
                <w:sz w:val="14"/>
                <w:szCs w:val="16"/>
              </w:rPr>
            </w:pPr>
            <w:r w:rsidRPr="00184B6B">
              <w:rPr>
                <w:sz w:val="14"/>
                <w:szCs w:val="16"/>
              </w:rPr>
              <w:t>0.133***</w:t>
            </w:r>
          </w:p>
        </w:tc>
        <w:tc>
          <w:tcPr>
            <w:tcW w:w="462" w:type="pct"/>
            <w:tcBorders>
              <w:top w:val="nil"/>
              <w:left w:val="nil"/>
              <w:bottom w:val="nil"/>
              <w:right w:val="nil"/>
            </w:tcBorders>
            <w:shd w:val="clear" w:color="auto" w:fill="auto"/>
            <w:noWrap/>
            <w:vAlign w:val="bottom"/>
            <w:hideMark/>
          </w:tcPr>
          <w:p w14:paraId="7A4EDFD1" w14:textId="77777777" w:rsidR="00184B6B" w:rsidRPr="00184B6B" w:rsidRDefault="00184B6B" w:rsidP="00184B6B">
            <w:pPr>
              <w:spacing w:line="240" w:lineRule="auto"/>
              <w:ind w:firstLine="0"/>
              <w:rPr>
                <w:sz w:val="14"/>
                <w:szCs w:val="16"/>
              </w:rPr>
            </w:pPr>
            <w:r w:rsidRPr="00184B6B">
              <w:rPr>
                <w:sz w:val="14"/>
                <w:szCs w:val="16"/>
              </w:rPr>
              <w:t>0.136***</w:t>
            </w:r>
          </w:p>
        </w:tc>
        <w:tc>
          <w:tcPr>
            <w:tcW w:w="462" w:type="pct"/>
            <w:tcBorders>
              <w:top w:val="nil"/>
              <w:left w:val="nil"/>
              <w:bottom w:val="nil"/>
              <w:right w:val="nil"/>
            </w:tcBorders>
            <w:shd w:val="clear" w:color="auto" w:fill="auto"/>
            <w:noWrap/>
            <w:vAlign w:val="bottom"/>
            <w:hideMark/>
          </w:tcPr>
          <w:p w14:paraId="3EED4A30" w14:textId="77777777" w:rsidR="00184B6B" w:rsidRPr="00184B6B" w:rsidRDefault="00184B6B" w:rsidP="00184B6B">
            <w:pPr>
              <w:spacing w:line="240" w:lineRule="auto"/>
              <w:ind w:firstLine="0"/>
              <w:rPr>
                <w:sz w:val="14"/>
                <w:szCs w:val="16"/>
              </w:rPr>
            </w:pPr>
            <w:r w:rsidRPr="00184B6B">
              <w:rPr>
                <w:sz w:val="14"/>
                <w:szCs w:val="16"/>
              </w:rPr>
              <w:t>0.135***</w:t>
            </w:r>
          </w:p>
        </w:tc>
        <w:tc>
          <w:tcPr>
            <w:tcW w:w="459" w:type="pct"/>
            <w:tcBorders>
              <w:top w:val="nil"/>
              <w:left w:val="nil"/>
              <w:bottom w:val="nil"/>
              <w:right w:val="single" w:sz="4" w:space="0" w:color="auto"/>
            </w:tcBorders>
            <w:shd w:val="clear" w:color="auto" w:fill="auto"/>
            <w:noWrap/>
            <w:vAlign w:val="bottom"/>
            <w:hideMark/>
          </w:tcPr>
          <w:p w14:paraId="3043F79E" w14:textId="77777777" w:rsidR="00184B6B" w:rsidRPr="00184B6B" w:rsidRDefault="00184B6B" w:rsidP="00184B6B">
            <w:pPr>
              <w:spacing w:line="240" w:lineRule="auto"/>
              <w:ind w:firstLine="0"/>
              <w:rPr>
                <w:sz w:val="14"/>
                <w:szCs w:val="16"/>
              </w:rPr>
            </w:pPr>
            <w:r w:rsidRPr="00184B6B">
              <w:rPr>
                <w:sz w:val="14"/>
                <w:szCs w:val="16"/>
              </w:rPr>
              <w:t>0.138***</w:t>
            </w:r>
          </w:p>
        </w:tc>
      </w:tr>
      <w:tr w:rsidR="00184B6B" w:rsidRPr="00184B6B" w14:paraId="19E24966"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E455988"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058891F9"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6354AF95"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42E0D4D3"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single" w:sz="4" w:space="0" w:color="auto"/>
            </w:tcBorders>
            <w:shd w:val="clear" w:color="auto" w:fill="auto"/>
            <w:noWrap/>
            <w:vAlign w:val="bottom"/>
            <w:hideMark/>
          </w:tcPr>
          <w:p w14:paraId="4651797F"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single" w:sz="4" w:space="0" w:color="auto"/>
              <w:bottom w:val="nil"/>
              <w:right w:val="nil"/>
            </w:tcBorders>
            <w:shd w:val="clear" w:color="auto" w:fill="auto"/>
            <w:noWrap/>
            <w:vAlign w:val="bottom"/>
            <w:hideMark/>
          </w:tcPr>
          <w:p w14:paraId="3EAEC49E"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51B9C62D"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5EF491F3" w14:textId="77777777" w:rsidR="00184B6B" w:rsidRPr="00184B6B" w:rsidRDefault="00184B6B" w:rsidP="00184B6B">
            <w:pPr>
              <w:spacing w:line="240" w:lineRule="auto"/>
              <w:ind w:firstLine="0"/>
              <w:rPr>
                <w:sz w:val="14"/>
                <w:szCs w:val="16"/>
              </w:rPr>
            </w:pPr>
            <w:r w:rsidRPr="00184B6B">
              <w:rPr>
                <w:sz w:val="14"/>
                <w:szCs w:val="16"/>
              </w:rPr>
              <w:t>(0.046)</w:t>
            </w:r>
          </w:p>
        </w:tc>
        <w:tc>
          <w:tcPr>
            <w:tcW w:w="459" w:type="pct"/>
            <w:tcBorders>
              <w:top w:val="nil"/>
              <w:left w:val="nil"/>
              <w:bottom w:val="nil"/>
              <w:right w:val="single" w:sz="4" w:space="0" w:color="auto"/>
            </w:tcBorders>
            <w:shd w:val="clear" w:color="auto" w:fill="auto"/>
            <w:noWrap/>
            <w:vAlign w:val="bottom"/>
            <w:hideMark/>
          </w:tcPr>
          <w:p w14:paraId="678FFCCE" w14:textId="77777777" w:rsidR="00184B6B" w:rsidRPr="00184B6B" w:rsidRDefault="00184B6B" w:rsidP="00184B6B">
            <w:pPr>
              <w:spacing w:line="240" w:lineRule="auto"/>
              <w:ind w:firstLine="0"/>
              <w:rPr>
                <w:sz w:val="14"/>
                <w:szCs w:val="16"/>
              </w:rPr>
            </w:pPr>
            <w:r w:rsidRPr="00184B6B">
              <w:rPr>
                <w:sz w:val="14"/>
                <w:szCs w:val="16"/>
              </w:rPr>
              <w:t>(0.046)</w:t>
            </w:r>
          </w:p>
        </w:tc>
      </w:tr>
      <w:tr w:rsidR="00184B6B" w:rsidRPr="00184B6B" w14:paraId="5411547C"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9268A60" w14:textId="77777777" w:rsidR="00184B6B" w:rsidRPr="00184B6B" w:rsidRDefault="00184B6B" w:rsidP="00184B6B">
            <w:pPr>
              <w:spacing w:line="240" w:lineRule="auto"/>
              <w:ind w:firstLine="0"/>
              <w:jc w:val="left"/>
              <w:rPr>
                <w:sz w:val="14"/>
                <w:szCs w:val="16"/>
              </w:rPr>
            </w:pPr>
            <w:r w:rsidRPr="00184B6B">
              <w:rPr>
                <w:sz w:val="14"/>
                <w:szCs w:val="16"/>
              </w:rPr>
              <w:t>Croatia</w:t>
            </w:r>
          </w:p>
        </w:tc>
        <w:tc>
          <w:tcPr>
            <w:tcW w:w="462" w:type="pct"/>
            <w:tcBorders>
              <w:top w:val="nil"/>
              <w:left w:val="single" w:sz="4" w:space="0" w:color="auto"/>
              <w:bottom w:val="nil"/>
              <w:right w:val="nil"/>
            </w:tcBorders>
            <w:shd w:val="clear" w:color="auto" w:fill="auto"/>
            <w:noWrap/>
            <w:vAlign w:val="bottom"/>
            <w:hideMark/>
          </w:tcPr>
          <w:p w14:paraId="769740D1" w14:textId="77777777" w:rsidR="00184B6B" w:rsidRPr="00184B6B" w:rsidRDefault="00184B6B" w:rsidP="00184B6B">
            <w:pPr>
              <w:spacing w:line="240" w:lineRule="auto"/>
              <w:ind w:firstLine="0"/>
              <w:rPr>
                <w:sz w:val="14"/>
                <w:szCs w:val="16"/>
              </w:rPr>
            </w:pPr>
            <w:r w:rsidRPr="00184B6B">
              <w:rPr>
                <w:sz w:val="14"/>
                <w:szCs w:val="16"/>
              </w:rPr>
              <w:t>-0.861***</w:t>
            </w:r>
          </w:p>
        </w:tc>
        <w:tc>
          <w:tcPr>
            <w:tcW w:w="462" w:type="pct"/>
            <w:tcBorders>
              <w:top w:val="nil"/>
              <w:left w:val="nil"/>
              <w:bottom w:val="nil"/>
              <w:right w:val="nil"/>
            </w:tcBorders>
            <w:shd w:val="clear" w:color="auto" w:fill="auto"/>
            <w:noWrap/>
            <w:vAlign w:val="bottom"/>
            <w:hideMark/>
          </w:tcPr>
          <w:p w14:paraId="239E77C1" w14:textId="77777777" w:rsidR="00184B6B" w:rsidRPr="00184B6B" w:rsidRDefault="00184B6B" w:rsidP="00184B6B">
            <w:pPr>
              <w:spacing w:line="240" w:lineRule="auto"/>
              <w:ind w:firstLine="0"/>
              <w:rPr>
                <w:sz w:val="14"/>
                <w:szCs w:val="16"/>
              </w:rPr>
            </w:pPr>
            <w:r w:rsidRPr="00184B6B">
              <w:rPr>
                <w:sz w:val="14"/>
                <w:szCs w:val="16"/>
              </w:rPr>
              <w:t>-0.866***</w:t>
            </w:r>
          </w:p>
        </w:tc>
        <w:tc>
          <w:tcPr>
            <w:tcW w:w="462" w:type="pct"/>
            <w:tcBorders>
              <w:top w:val="nil"/>
              <w:left w:val="nil"/>
              <w:bottom w:val="nil"/>
              <w:right w:val="nil"/>
            </w:tcBorders>
            <w:shd w:val="clear" w:color="auto" w:fill="auto"/>
            <w:noWrap/>
            <w:vAlign w:val="bottom"/>
            <w:hideMark/>
          </w:tcPr>
          <w:p w14:paraId="1164FB43" w14:textId="77777777" w:rsidR="00184B6B" w:rsidRPr="00184B6B" w:rsidRDefault="00184B6B" w:rsidP="00184B6B">
            <w:pPr>
              <w:spacing w:line="240" w:lineRule="auto"/>
              <w:ind w:firstLine="0"/>
              <w:rPr>
                <w:sz w:val="14"/>
                <w:szCs w:val="16"/>
              </w:rPr>
            </w:pPr>
            <w:r w:rsidRPr="00184B6B">
              <w:rPr>
                <w:sz w:val="14"/>
                <w:szCs w:val="16"/>
              </w:rPr>
              <w:t>-0.868***</w:t>
            </w:r>
          </w:p>
        </w:tc>
        <w:tc>
          <w:tcPr>
            <w:tcW w:w="462" w:type="pct"/>
            <w:tcBorders>
              <w:top w:val="nil"/>
              <w:left w:val="nil"/>
              <w:bottom w:val="nil"/>
              <w:right w:val="single" w:sz="4" w:space="0" w:color="auto"/>
            </w:tcBorders>
            <w:shd w:val="clear" w:color="auto" w:fill="auto"/>
            <w:noWrap/>
            <w:vAlign w:val="bottom"/>
            <w:hideMark/>
          </w:tcPr>
          <w:p w14:paraId="6A07EC24" w14:textId="77777777" w:rsidR="00184B6B" w:rsidRPr="00184B6B" w:rsidRDefault="00184B6B" w:rsidP="00184B6B">
            <w:pPr>
              <w:spacing w:line="240" w:lineRule="auto"/>
              <w:ind w:firstLine="0"/>
              <w:rPr>
                <w:sz w:val="14"/>
                <w:szCs w:val="16"/>
              </w:rPr>
            </w:pPr>
            <w:r w:rsidRPr="00184B6B">
              <w:rPr>
                <w:sz w:val="14"/>
                <w:szCs w:val="16"/>
              </w:rPr>
              <w:t>-0.864***</w:t>
            </w:r>
          </w:p>
        </w:tc>
        <w:tc>
          <w:tcPr>
            <w:tcW w:w="462" w:type="pct"/>
            <w:tcBorders>
              <w:top w:val="nil"/>
              <w:left w:val="single" w:sz="4" w:space="0" w:color="auto"/>
              <w:bottom w:val="nil"/>
              <w:right w:val="nil"/>
            </w:tcBorders>
            <w:shd w:val="clear" w:color="auto" w:fill="auto"/>
            <w:noWrap/>
            <w:vAlign w:val="bottom"/>
            <w:hideMark/>
          </w:tcPr>
          <w:p w14:paraId="4CFB00C3" w14:textId="77777777" w:rsidR="00184B6B" w:rsidRPr="00184B6B" w:rsidRDefault="00184B6B" w:rsidP="00184B6B">
            <w:pPr>
              <w:spacing w:line="240" w:lineRule="auto"/>
              <w:ind w:firstLine="0"/>
              <w:rPr>
                <w:sz w:val="14"/>
                <w:szCs w:val="16"/>
              </w:rPr>
            </w:pPr>
            <w:r w:rsidRPr="00184B6B">
              <w:rPr>
                <w:sz w:val="14"/>
                <w:szCs w:val="16"/>
              </w:rPr>
              <w:t>-0.636***</w:t>
            </w:r>
          </w:p>
        </w:tc>
        <w:tc>
          <w:tcPr>
            <w:tcW w:w="462" w:type="pct"/>
            <w:tcBorders>
              <w:top w:val="nil"/>
              <w:left w:val="nil"/>
              <w:bottom w:val="nil"/>
              <w:right w:val="nil"/>
            </w:tcBorders>
            <w:shd w:val="clear" w:color="auto" w:fill="auto"/>
            <w:noWrap/>
            <w:vAlign w:val="bottom"/>
            <w:hideMark/>
          </w:tcPr>
          <w:p w14:paraId="545910F4" w14:textId="77777777" w:rsidR="00184B6B" w:rsidRPr="00184B6B" w:rsidRDefault="00184B6B" w:rsidP="00184B6B">
            <w:pPr>
              <w:spacing w:line="240" w:lineRule="auto"/>
              <w:ind w:firstLine="0"/>
              <w:rPr>
                <w:sz w:val="14"/>
                <w:szCs w:val="16"/>
              </w:rPr>
            </w:pPr>
            <w:r w:rsidRPr="00184B6B">
              <w:rPr>
                <w:sz w:val="14"/>
                <w:szCs w:val="16"/>
              </w:rPr>
              <w:t>-0.636***</w:t>
            </w:r>
          </w:p>
        </w:tc>
        <w:tc>
          <w:tcPr>
            <w:tcW w:w="462" w:type="pct"/>
            <w:tcBorders>
              <w:top w:val="nil"/>
              <w:left w:val="nil"/>
              <w:bottom w:val="nil"/>
              <w:right w:val="nil"/>
            </w:tcBorders>
            <w:shd w:val="clear" w:color="auto" w:fill="auto"/>
            <w:noWrap/>
            <w:vAlign w:val="bottom"/>
            <w:hideMark/>
          </w:tcPr>
          <w:p w14:paraId="77EC51DB" w14:textId="77777777" w:rsidR="00184B6B" w:rsidRPr="00184B6B" w:rsidRDefault="00184B6B" w:rsidP="00184B6B">
            <w:pPr>
              <w:spacing w:line="240" w:lineRule="auto"/>
              <w:ind w:firstLine="0"/>
              <w:rPr>
                <w:sz w:val="14"/>
                <w:szCs w:val="16"/>
              </w:rPr>
            </w:pPr>
            <w:r w:rsidRPr="00184B6B">
              <w:rPr>
                <w:sz w:val="14"/>
                <w:szCs w:val="16"/>
              </w:rPr>
              <w:t>-0.640***</w:t>
            </w:r>
          </w:p>
        </w:tc>
        <w:tc>
          <w:tcPr>
            <w:tcW w:w="459" w:type="pct"/>
            <w:tcBorders>
              <w:top w:val="nil"/>
              <w:left w:val="nil"/>
              <w:bottom w:val="nil"/>
              <w:right w:val="single" w:sz="4" w:space="0" w:color="auto"/>
            </w:tcBorders>
            <w:shd w:val="clear" w:color="auto" w:fill="auto"/>
            <w:noWrap/>
            <w:vAlign w:val="bottom"/>
            <w:hideMark/>
          </w:tcPr>
          <w:p w14:paraId="400D2A02" w14:textId="77777777" w:rsidR="00184B6B" w:rsidRPr="00184B6B" w:rsidRDefault="00184B6B" w:rsidP="00184B6B">
            <w:pPr>
              <w:spacing w:line="240" w:lineRule="auto"/>
              <w:ind w:firstLine="0"/>
              <w:rPr>
                <w:sz w:val="14"/>
                <w:szCs w:val="16"/>
              </w:rPr>
            </w:pPr>
            <w:r w:rsidRPr="00184B6B">
              <w:rPr>
                <w:sz w:val="14"/>
                <w:szCs w:val="16"/>
              </w:rPr>
              <w:t>-0.634***</w:t>
            </w:r>
          </w:p>
        </w:tc>
      </w:tr>
      <w:tr w:rsidR="00184B6B" w:rsidRPr="00184B6B" w14:paraId="115FA3AB"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7E2F702"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192AD907"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nil"/>
              <w:bottom w:val="nil"/>
              <w:right w:val="nil"/>
            </w:tcBorders>
            <w:shd w:val="clear" w:color="auto" w:fill="auto"/>
            <w:noWrap/>
            <w:vAlign w:val="bottom"/>
            <w:hideMark/>
          </w:tcPr>
          <w:p w14:paraId="1BD49818"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nil"/>
              <w:bottom w:val="nil"/>
              <w:right w:val="nil"/>
            </w:tcBorders>
            <w:shd w:val="clear" w:color="auto" w:fill="auto"/>
            <w:noWrap/>
            <w:vAlign w:val="bottom"/>
            <w:hideMark/>
          </w:tcPr>
          <w:p w14:paraId="45DB8D30"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nil"/>
              <w:bottom w:val="nil"/>
              <w:right w:val="single" w:sz="4" w:space="0" w:color="auto"/>
            </w:tcBorders>
            <w:shd w:val="clear" w:color="auto" w:fill="auto"/>
            <w:noWrap/>
            <w:vAlign w:val="bottom"/>
            <w:hideMark/>
          </w:tcPr>
          <w:p w14:paraId="12C43452"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single" w:sz="4" w:space="0" w:color="auto"/>
              <w:bottom w:val="nil"/>
              <w:right w:val="nil"/>
            </w:tcBorders>
            <w:shd w:val="clear" w:color="auto" w:fill="auto"/>
            <w:noWrap/>
            <w:vAlign w:val="bottom"/>
            <w:hideMark/>
          </w:tcPr>
          <w:p w14:paraId="0C17E504" w14:textId="77777777" w:rsidR="00184B6B" w:rsidRPr="00184B6B" w:rsidRDefault="00184B6B" w:rsidP="00184B6B">
            <w:pPr>
              <w:spacing w:line="240" w:lineRule="auto"/>
              <w:ind w:firstLine="0"/>
              <w:rPr>
                <w:sz w:val="14"/>
                <w:szCs w:val="16"/>
              </w:rPr>
            </w:pPr>
            <w:r w:rsidRPr="00184B6B">
              <w:rPr>
                <w:sz w:val="14"/>
                <w:szCs w:val="16"/>
              </w:rPr>
              <w:t>(0.051)</w:t>
            </w:r>
          </w:p>
        </w:tc>
        <w:tc>
          <w:tcPr>
            <w:tcW w:w="462" w:type="pct"/>
            <w:tcBorders>
              <w:top w:val="nil"/>
              <w:left w:val="nil"/>
              <w:bottom w:val="nil"/>
              <w:right w:val="nil"/>
            </w:tcBorders>
            <w:shd w:val="clear" w:color="auto" w:fill="auto"/>
            <w:noWrap/>
            <w:vAlign w:val="bottom"/>
            <w:hideMark/>
          </w:tcPr>
          <w:p w14:paraId="0BB978EA" w14:textId="77777777" w:rsidR="00184B6B" w:rsidRPr="00184B6B" w:rsidRDefault="00184B6B" w:rsidP="00184B6B">
            <w:pPr>
              <w:spacing w:line="240" w:lineRule="auto"/>
              <w:ind w:firstLine="0"/>
              <w:rPr>
                <w:sz w:val="14"/>
                <w:szCs w:val="16"/>
              </w:rPr>
            </w:pPr>
            <w:r w:rsidRPr="00184B6B">
              <w:rPr>
                <w:sz w:val="14"/>
                <w:szCs w:val="16"/>
              </w:rPr>
              <w:t>(0.051)</w:t>
            </w:r>
          </w:p>
        </w:tc>
        <w:tc>
          <w:tcPr>
            <w:tcW w:w="462" w:type="pct"/>
            <w:tcBorders>
              <w:top w:val="nil"/>
              <w:left w:val="nil"/>
              <w:bottom w:val="nil"/>
              <w:right w:val="nil"/>
            </w:tcBorders>
            <w:shd w:val="clear" w:color="auto" w:fill="auto"/>
            <w:noWrap/>
            <w:vAlign w:val="bottom"/>
            <w:hideMark/>
          </w:tcPr>
          <w:p w14:paraId="65604DCC" w14:textId="77777777" w:rsidR="00184B6B" w:rsidRPr="00184B6B" w:rsidRDefault="00184B6B" w:rsidP="00184B6B">
            <w:pPr>
              <w:spacing w:line="240" w:lineRule="auto"/>
              <w:ind w:firstLine="0"/>
              <w:rPr>
                <w:sz w:val="14"/>
                <w:szCs w:val="16"/>
              </w:rPr>
            </w:pPr>
            <w:r w:rsidRPr="00184B6B">
              <w:rPr>
                <w:sz w:val="14"/>
                <w:szCs w:val="16"/>
              </w:rPr>
              <w:t>(0.051)</w:t>
            </w:r>
          </w:p>
        </w:tc>
        <w:tc>
          <w:tcPr>
            <w:tcW w:w="459" w:type="pct"/>
            <w:tcBorders>
              <w:top w:val="nil"/>
              <w:left w:val="nil"/>
              <w:bottom w:val="nil"/>
              <w:right w:val="single" w:sz="4" w:space="0" w:color="auto"/>
            </w:tcBorders>
            <w:shd w:val="clear" w:color="auto" w:fill="auto"/>
            <w:noWrap/>
            <w:vAlign w:val="bottom"/>
            <w:hideMark/>
          </w:tcPr>
          <w:p w14:paraId="3A956C11" w14:textId="77777777" w:rsidR="00184B6B" w:rsidRPr="00184B6B" w:rsidRDefault="00184B6B" w:rsidP="00184B6B">
            <w:pPr>
              <w:spacing w:line="240" w:lineRule="auto"/>
              <w:ind w:firstLine="0"/>
              <w:rPr>
                <w:sz w:val="14"/>
                <w:szCs w:val="16"/>
              </w:rPr>
            </w:pPr>
            <w:r w:rsidRPr="00184B6B">
              <w:rPr>
                <w:sz w:val="14"/>
                <w:szCs w:val="16"/>
              </w:rPr>
              <w:t>(0.051)</w:t>
            </w:r>
          </w:p>
        </w:tc>
      </w:tr>
      <w:tr w:rsidR="00184B6B" w:rsidRPr="00184B6B" w14:paraId="3227FCE7"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D168248" w14:textId="77777777" w:rsidR="00184B6B" w:rsidRPr="00184B6B" w:rsidRDefault="00184B6B" w:rsidP="00184B6B">
            <w:pPr>
              <w:spacing w:line="240" w:lineRule="auto"/>
              <w:ind w:firstLine="0"/>
              <w:jc w:val="left"/>
              <w:rPr>
                <w:sz w:val="14"/>
                <w:szCs w:val="16"/>
              </w:rPr>
            </w:pPr>
            <w:r w:rsidRPr="00184B6B">
              <w:rPr>
                <w:sz w:val="14"/>
                <w:szCs w:val="16"/>
              </w:rPr>
              <w:t>FYR Macedonia</w:t>
            </w:r>
          </w:p>
        </w:tc>
        <w:tc>
          <w:tcPr>
            <w:tcW w:w="462" w:type="pct"/>
            <w:tcBorders>
              <w:top w:val="nil"/>
              <w:left w:val="single" w:sz="4" w:space="0" w:color="auto"/>
              <w:bottom w:val="nil"/>
              <w:right w:val="nil"/>
            </w:tcBorders>
            <w:shd w:val="clear" w:color="auto" w:fill="auto"/>
            <w:noWrap/>
            <w:vAlign w:val="bottom"/>
            <w:hideMark/>
          </w:tcPr>
          <w:p w14:paraId="0390CF9D" w14:textId="77777777" w:rsidR="00184B6B" w:rsidRPr="00184B6B" w:rsidRDefault="00184B6B" w:rsidP="00184B6B">
            <w:pPr>
              <w:spacing w:line="240" w:lineRule="auto"/>
              <w:ind w:firstLine="0"/>
              <w:rPr>
                <w:sz w:val="14"/>
                <w:szCs w:val="16"/>
              </w:rPr>
            </w:pPr>
            <w:r w:rsidRPr="00184B6B">
              <w:rPr>
                <w:sz w:val="14"/>
                <w:szCs w:val="16"/>
              </w:rPr>
              <w:t>-0.006</w:t>
            </w:r>
          </w:p>
        </w:tc>
        <w:tc>
          <w:tcPr>
            <w:tcW w:w="462" w:type="pct"/>
            <w:tcBorders>
              <w:top w:val="nil"/>
              <w:left w:val="nil"/>
              <w:bottom w:val="nil"/>
              <w:right w:val="nil"/>
            </w:tcBorders>
            <w:shd w:val="clear" w:color="auto" w:fill="auto"/>
            <w:noWrap/>
            <w:vAlign w:val="bottom"/>
            <w:hideMark/>
          </w:tcPr>
          <w:p w14:paraId="65796A23" w14:textId="77777777" w:rsidR="00184B6B" w:rsidRPr="00184B6B" w:rsidRDefault="00184B6B" w:rsidP="00184B6B">
            <w:pPr>
              <w:spacing w:line="240" w:lineRule="auto"/>
              <w:ind w:firstLine="0"/>
              <w:rPr>
                <w:sz w:val="14"/>
                <w:szCs w:val="16"/>
              </w:rPr>
            </w:pPr>
            <w:r w:rsidRPr="00184B6B">
              <w:rPr>
                <w:sz w:val="14"/>
                <w:szCs w:val="16"/>
              </w:rPr>
              <w:t>0.014</w:t>
            </w:r>
          </w:p>
        </w:tc>
        <w:tc>
          <w:tcPr>
            <w:tcW w:w="462" w:type="pct"/>
            <w:tcBorders>
              <w:top w:val="nil"/>
              <w:left w:val="nil"/>
              <w:bottom w:val="nil"/>
              <w:right w:val="nil"/>
            </w:tcBorders>
            <w:shd w:val="clear" w:color="auto" w:fill="auto"/>
            <w:noWrap/>
            <w:vAlign w:val="bottom"/>
            <w:hideMark/>
          </w:tcPr>
          <w:p w14:paraId="7DE9B214" w14:textId="77777777" w:rsidR="00184B6B" w:rsidRPr="00184B6B" w:rsidRDefault="00184B6B" w:rsidP="00184B6B">
            <w:pPr>
              <w:spacing w:line="240" w:lineRule="auto"/>
              <w:ind w:firstLine="0"/>
              <w:rPr>
                <w:sz w:val="14"/>
                <w:szCs w:val="16"/>
              </w:rPr>
            </w:pPr>
            <w:r w:rsidRPr="00184B6B">
              <w:rPr>
                <w:sz w:val="14"/>
                <w:szCs w:val="16"/>
              </w:rPr>
              <w:t>0.016</w:t>
            </w:r>
          </w:p>
        </w:tc>
        <w:tc>
          <w:tcPr>
            <w:tcW w:w="462" w:type="pct"/>
            <w:tcBorders>
              <w:top w:val="nil"/>
              <w:left w:val="nil"/>
              <w:bottom w:val="nil"/>
              <w:right w:val="single" w:sz="4" w:space="0" w:color="auto"/>
            </w:tcBorders>
            <w:shd w:val="clear" w:color="auto" w:fill="auto"/>
            <w:noWrap/>
            <w:vAlign w:val="bottom"/>
            <w:hideMark/>
          </w:tcPr>
          <w:p w14:paraId="0961A2A7" w14:textId="77777777" w:rsidR="00184B6B" w:rsidRPr="00184B6B" w:rsidRDefault="00184B6B" w:rsidP="00184B6B">
            <w:pPr>
              <w:spacing w:line="240" w:lineRule="auto"/>
              <w:ind w:firstLine="0"/>
              <w:rPr>
                <w:sz w:val="14"/>
                <w:szCs w:val="16"/>
              </w:rPr>
            </w:pPr>
            <w:r w:rsidRPr="00184B6B">
              <w:rPr>
                <w:sz w:val="14"/>
                <w:szCs w:val="16"/>
              </w:rPr>
              <w:t>-0.004</w:t>
            </w:r>
          </w:p>
        </w:tc>
        <w:tc>
          <w:tcPr>
            <w:tcW w:w="462" w:type="pct"/>
            <w:tcBorders>
              <w:top w:val="nil"/>
              <w:left w:val="single" w:sz="4" w:space="0" w:color="auto"/>
              <w:bottom w:val="nil"/>
              <w:right w:val="nil"/>
            </w:tcBorders>
            <w:shd w:val="clear" w:color="auto" w:fill="auto"/>
            <w:noWrap/>
            <w:vAlign w:val="bottom"/>
            <w:hideMark/>
          </w:tcPr>
          <w:p w14:paraId="01A99E0A" w14:textId="77777777" w:rsidR="00184B6B" w:rsidRPr="00184B6B" w:rsidRDefault="00184B6B" w:rsidP="00184B6B">
            <w:pPr>
              <w:spacing w:line="240" w:lineRule="auto"/>
              <w:ind w:firstLine="0"/>
              <w:rPr>
                <w:sz w:val="14"/>
                <w:szCs w:val="16"/>
              </w:rPr>
            </w:pPr>
            <w:r w:rsidRPr="00184B6B">
              <w:rPr>
                <w:sz w:val="14"/>
                <w:szCs w:val="16"/>
              </w:rPr>
              <w:t>-0.049</w:t>
            </w:r>
          </w:p>
        </w:tc>
        <w:tc>
          <w:tcPr>
            <w:tcW w:w="462" w:type="pct"/>
            <w:tcBorders>
              <w:top w:val="nil"/>
              <w:left w:val="nil"/>
              <w:bottom w:val="nil"/>
              <w:right w:val="nil"/>
            </w:tcBorders>
            <w:shd w:val="clear" w:color="auto" w:fill="auto"/>
            <w:noWrap/>
            <w:vAlign w:val="bottom"/>
            <w:hideMark/>
          </w:tcPr>
          <w:p w14:paraId="6320900A" w14:textId="77777777" w:rsidR="00184B6B" w:rsidRPr="00184B6B" w:rsidRDefault="00184B6B" w:rsidP="00184B6B">
            <w:pPr>
              <w:spacing w:line="240" w:lineRule="auto"/>
              <w:ind w:firstLine="0"/>
              <w:rPr>
                <w:sz w:val="14"/>
                <w:szCs w:val="16"/>
              </w:rPr>
            </w:pPr>
            <w:r w:rsidRPr="00184B6B">
              <w:rPr>
                <w:sz w:val="14"/>
                <w:szCs w:val="16"/>
              </w:rPr>
              <w:t>-0.026</w:t>
            </w:r>
          </w:p>
        </w:tc>
        <w:tc>
          <w:tcPr>
            <w:tcW w:w="462" w:type="pct"/>
            <w:tcBorders>
              <w:top w:val="nil"/>
              <w:left w:val="nil"/>
              <w:bottom w:val="nil"/>
              <w:right w:val="nil"/>
            </w:tcBorders>
            <w:shd w:val="clear" w:color="auto" w:fill="auto"/>
            <w:noWrap/>
            <w:vAlign w:val="bottom"/>
            <w:hideMark/>
          </w:tcPr>
          <w:p w14:paraId="7342C87E" w14:textId="77777777" w:rsidR="00184B6B" w:rsidRPr="00184B6B" w:rsidRDefault="00184B6B" w:rsidP="00184B6B">
            <w:pPr>
              <w:spacing w:line="240" w:lineRule="auto"/>
              <w:ind w:firstLine="0"/>
              <w:rPr>
                <w:sz w:val="14"/>
                <w:szCs w:val="16"/>
              </w:rPr>
            </w:pPr>
            <w:r w:rsidRPr="00184B6B">
              <w:rPr>
                <w:sz w:val="14"/>
                <w:szCs w:val="16"/>
              </w:rPr>
              <w:t>-0.033</w:t>
            </w:r>
          </w:p>
        </w:tc>
        <w:tc>
          <w:tcPr>
            <w:tcW w:w="459" w:type="pct"/>
            <w:tcBorders>
              <w:top w:val="nil"/>
              <w:left w:val="nil"/>
              <w:bottom w:val="nil"/>
              <w:right w:val="single" w:sz="4" w:space="0" w:color="auto"/>
            </w:tcBorders>
            <w:shd w:val="clear" w:color="auto" w:fill="auto"/>
            <w:noWrap/>
            <w:vAlign w:val="bottom"/>
            <w:hideMark/>
          </w:tcPr>
          <w:p w14:paraId="64126E8D" w14:textId="77777777" w:rsidR="00184B6B" w:rsidRPr="00184B6B" w:rsidRDefault="00184B6B" w:rsidP="00184B6B">
            <w:pPr>
              <w:spacing w:line="240" w:lineRule="auto"/>
              <w:ind w:firstLine="0"/>
              <w:rPr>
                <w:sz w:val="14"/>
                <w:szCs w:val="16"/>
              </w:rPr>
            </w:pPr>
            <w:r w:rsidRPr="00184B6B">
              <w:rPr>
                <w:sz w:val="14"/>
                <w:szCs w:val="16"/>
              </w:rPr>
              <w:t>-0.039</w:t>
            </w:r>
          </w:p>
        </w:tc>
      </w:tr>
      <w:tr w:rsidR="00184B6B" w:rsidRPr="00184B6B" w14:paraId="5A980C9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31DF00D"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6E8EFD29"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7E92F0F2"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nil"/>
              <w:bottom w:val="nil"/>
              <w:right w:val="nil"/>
            </w:tcBorders>
            <w:shd w:val="clear" w:color="auto" w:fill="auto"/>
            <w:noWrap/>
            <w:vAlign w:val="bottom"/>
            <w:hideMark/>
          </w:tcPr>
          <w:p w14:paraId="66327936"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single" w:sz="4" w:space="0" w:color="auto"/>
            </w:tcBorders>
            <w:shd w:val="clear" w:color="auto" w:fill="auto"/>
            <w:noWrap/>
            <w:vAlign w:val="bottom"/>
            <w:hideMark/>
          </w:tcPr>
          <w:p w14:paraId="3960EBDA" w14:textId="77777777" w:rsidR="00184B6B" w:rsidRPr="00184B6B" w:rsidRDefault="00184B6B" w:rsidP="00184B6B">
            <w:pPr>
              <w:spacing w:line="240" w:lineRule="auto"/>
              <w:ind w:firstLine="0"/>
              <w:rPr>
                <w:sz w:val="14"/>
                <w:szCs w:val="16"/>
              </w:rPr>
            </w:pPr>
            <w:r w:rsidRPr="00184B6B">
              <w:rPr>
                <w:sz w:val="14"/>
                <w:szCs w:val="16"/>
              </w:rPr>
              <w:t>(0.059)</w:t>
            </w:r>
          </w:p>
        </w:tc>
        <w:tc>
          <w:tcPr>
            <w:tcW w:w="462" w:type="pct"/>
            <w:tcBorders>
              <w:top w:val="nil"/>
              <w:left w:val="single" w:sz="4" w:space="0" w:color="auto"/>
              <w:bottom w:val="nil"/>
              <w:right w:val="nil"/>
            </w:tcBorders>
            <w:shd w:val="clear" w:color="auto" w:fill="auto"/>
            <w:noWrap/>
            <w:vAlign w:val="bottom"/>
            <w:hideMark/>
          </w:tcPr>
          <w:p w14:paraId="5644DEDD" w14:textId="77777777" w:rsidR="00184B6B" w:rsidRPr="00184B6B" w:rsidRDefault="00184B6B" w:rsidP="00184B6B">
            <w:pPr>
              <w:spacing w:line="240" w:lineRule="auto"/>
              <w:ind w:firstLine="0"/>
              <w:rPr>
                <w:sz w:val="14"/>
                <w:szCs w:val="16"/>
              </w:rPr>
            </w:pPr>
            <w:r w:rsidRPr="00184B6B">
              <w:rPr>
                <w:sz w:val="14"/>
                <w:szCs w:val="16"/>
              </w:rPr>
              <w:t>(0.043)</w:t>
            </w:r>
          </w:p>
        </w:tc>
        <w:tc>
          <w:tcPr>
            <w:tcW w:w="462" w:type="pct"/>
            <w:tcBorders>
              <w:top w:val="nil"/>
              <w:left w:val="nil"/>
              <w:bottom w:val="nil"/>
              <w:right w:val="nil"/>
            </w:tcBorders>
            <w:shd w:val="clear" w:color="auto" w:fill="auto"/>
            <w:noWrap/>
            <w:vAlign w:val="bottom"/>
            <w:hideMark/>
          </w:tcPr>
          <w:p w14:paraId="2B26A7DE" w14:textId="77777777" w:rsidR="00184B6B" w:rsidRPr="00184B6B" w:rsidRDefault="00184B6B" w:rsidP="00184B6B">
            <w:pPr>
              <w:spacing w:line="240" w:lineRule="auto"/>
              <w:ind w:firstLine="0"/>
              <w:rPr>
                <w:sz w:val="14"/>
                <w:szCs w:val="16"/>
              </w:rPr>
            </w:pPr>
            <w:r w:rsidRPr="00184B6B">
              <w:rPr>
                <w:sz w:val="14"/>
                <w:szCs w:val="16"/>
              </w:rPr>
              <w:t>(0.043)</w:t>
            </w:r>
          </w:p>
        </w:tc>
        <w:tc>
          <w:tcPr>
            <w:tcW w:w="462" w:type="pct"/>
            <w:tcBorders>
              <w:top w:val="nil"/>
              <w:left w:val="nil"/>
              <w:bottom w:val="nil"/>
              <w:right w:val="nil"/>
            </w:tcBorders>
            <w:shd w:val="clear" w:color="auto" w:fill="auto"/>
            <w:noWrap/>
            <w:vAlign w:val="bottom"/>
            <w:hideMark/>
          </w:tcPr>
          <w:p w14:paraId="0502B27D" w14:textId="77777777" w:rsidR="00184B6B" w:rsidRPr="00184B6B" w:rsidRDefault="00184B6B" w:rsidP="00184B6B">
            <w:pPr>
              <w:spacing w:line="240" w:lineRule="auto"/>
              <w:ind w:firstLine="0"/>
              <w:rPr>
                <w:sz w:val="14"/>
                <w:szCs w:val="16"/>
              </w:rPr>
            </w:pPr>
            <w:r w:rsidRPr="00184B6B">
              <w:rPr>
                <w:sz w:val="14"/>
                <w:szCs w:val="16"/>
              </w:rPr>
              <w:t>(0.043)</w:t>
            </w:r>
          </w:p>
        </w:tc>
        <w:tc>
          <w:tcPr>
            <w:tcW w:w="459" w:type="pct"/>
            <w:tcBorders>
              <w:top w:val="nil"/>
              <w:left w:val="nil"/>
              <w:bottom w:val="nil"/>
              <w:right w:val="single" w:sz="4" w:space="0" w:color="auto"/>
            </w:tcBorders>
            <w:shd w:val="clear" w:color="auto" w:fill="auto"/>
            <w:noWrap/>
            <w:vAlign w:val="bottom"/>
            <w:hideMark/>
          </w:tcPr>
          <w:p w14:paraId="538619C9" w14:textId="77777777" w:rsidR="00184B6B" w:rsidRPr="00184B6B" w:rsidRDefault="00184B6B" w:rsidP="00184B6B">
            <w:pPr>
              <w:spacing w:line="240" w:lineRule="auto"/>
              <w:ind w:firstLine="0"/>
              <w:rPr>
                <w:sz w:val="14"/>
                <w:szCs w:val="16"/>
              </w:rPr>
            </w:pPr>
            <w:r w:rsidRPr="00184B6B">
              <w:rPr>
                <w:sz w:val="14"/>
                <w:szCs w:val="16"/>
              </w:rPr>
              <w:t>(0.043)</w:t>
            </w:r>
          </w:p>
        </w:tc>
      </w:tr>
      <w:tr w:rsidR="00184B6B" w:rsidRPr="00184B6B" w14:paraId="3E5FE4F8"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627A4CC" w14:textId="77777777" w:rsidR="00184B6B" w:rsidRPr="00184B6B" w:rsidRDefault="00184B6B" w:rsidP="00184B6B">
            <w:pPr>
              <w:spacing w:line="240" w:lineRule="auto"/>
              <w:ind w:firstLine="0"/>
              <w:jc w:val="left"/>
              <w:rPr>
                <w:sz w:val="14"/>
                <w:szCs w:val="16"/>
              </w:rPr>
            </w:pPr>
            <w:r w:rsidRPr="00184B6B">
              <w:rPr>
                <w:sz w:val="14"/>
                <w:szCs w:val="16"/>
              </w:rPr>
              <w:t>Montenegro</w:t>
            </w:r>
          </w:p>
        </w:tc>
        <w:tc>
          <w:tcPr>
            <w:tcW w:w="462" w:type="pct"/>
            <w:tcBorders>
              <w:top w:val="nil"/>
              <w:left w:val="single" w:sz="4" w:space="0" w:color="auto"/>
              <w:bottom w:val="nil"/>
              <w:right w:val="nil"/>
            </w:tcBorders>
            <w:shd w:val="clear" w:color="auto" w:fill="auto"/>
            <w:noWrap/>
            <w:vAlign w:val="bottom"/>
            <w:hideMark/>
          </w:tcPr>
          <w:p w14:paraId="09E9D278" w14:textId="77777777" w:rsidR="00184B6B" w:rsidRPr="00184B6B" w:rsidRDefault="00184B6B" w:rsidP="00184B6B">
            <w:pPr>
              <w:spacing w:line="240" w:lineRule="auto"/>
              <w:ind w:firstLine="0"/>
              <w:rPr>
                <w:sz w:val="14"/>
                <w:szCs w:val="16"/>
              </w:rPr>
            </w:pPr>
            <w:r w:rsidRPr="00184B6B">
              <w:rPr>
                <w:sz w:val="14"/>
                <w:szCs w:val="16"/>
              </w:rPr>
              <w:t>0.220***</w:t>
            </w:r>
          </w:p>
        </w:tc>
        <w:tc>
          <w:tcPr>
            <w:tcW w:w="462" w:type="pct"/>
            <w:tcBorders>
              <w:top w:val="nil"/>
              <w:left w:val="nil"/>
              <w:bottom w:val="nil"/>
              <w:right w:val="nil"/>
            </w:tcBorders>
            <w:shd w:val="clear" w:color="auto" w:fill="auto"/>
            <w:noWrap/>
            <w:vAlign w:val="bottom"/>
            <w:hideMark/>
          </w:tcPr>
          <w:p w14:paraId="6A3C0D73" w14:textId="77777777" w:rsidR="00184B6B" w:rsidRPr="00184B6B" w:rsidRDefault="00184B6B" w:rsidP="00184B6B">
            <w:pPr>
              <w:spacing w:line="240" w:lineRule="auto"/>
              <w:ind w:firstLine="0"/>
              <w:rPr>
                <w:sz w:val="14"/>
                <w:szCs w:val="16"/>
              </w:rPr>
            </w:pPr>
            <w:r w:rsidRPr="00184B6B">
              <w:rPr>
                <w:sz w:val="14"/>
                <w:szCs w:val="16"/>
              </w:rPr>
              <w:t>0.234***</w:t>
            </w:r>
          </w:p>
        </w:tc>
        <w:tc>
          <w:tcPr>
            <w:tcW w:w="462" w:type="pct"/>
            <w:tcBorders>
              <w:top w:val="nil"/>
              <w:left w:val="nil"/>
              <w:bottom w:val="nil"/>
              <w:right w:val="nil"/>
            </w:tcBorders>
            <w:shd w:val="clear" w:color="auto" w:fill="auto"/>
            <w:noWrap/>
            <w:vAlign w:val="bottom"/>
            <w:hideMark/>
          </w:tcPr>
          <w:p w14:paraId="1CDCD609" w14:textId="77777777" w:rsidR="00184B6B" w:rsidRPr="00184B6B" w:rsidRDefault="00184B6B" w:rsidP="00184B6B">
            <w:pPr>
              <w:spacing w:line="240" w:lineRule="auto"/>
              <w:ind w:firstLine="0"/>
              <w:rPr>
                <w:sz w:val="14"/>
                <w:szCs w:val="16"/>
              </w:rPr>
            </w:pPr>
            <w:r w:rsidRPr="00184B6B">
              <w:rPr>
                <w:sz w:val="14"/>
                <w:szCs w:val="16"/>
              </w:rPr>
              <w:t>0.232***</w:t>
            </w:r>
          </w:p>
        </w:tc>
        <w:tc>
          <w:tcPr>
            <w:tcW w:w="462" w:type="pct"/>
            <w:tcBorders>
              <w:top w:val="nil"/>
              <w:left w:val="nil"/>
              <w:bottom w:val="nil"/>
              <w:right w:val="single" w:sz="4" w:space="0" w:color="auto"/>
            </w:tcBorders>
            <w:shd w:val="clear" w:color="auto" w:fill="auto"/>
            <w:noWrap/>
            <w:vAlign w:val="bottom"/>
            <w:hideMark/>
          </w:tcPr>
          <w:p w14:paraId="5F0BE844" w14:textId="77777777" w:rsidR="00184B6B" w:rsidRPr="00184B6B" w:rsidRDefault="00184B6B" w:rsidP="00184B6B">
            <w:pPr>
              <w:spacing w:line="240" w:lineRule="auto"/>
              <w:ind w:firstLine="0"/>
              <w:rPr>
                <w:sz w:val="14"/>
                <w:szCs w:val="16"/>
              </w:rPr>
            </w:pPr>
            <w:r w:rsidRPr="00184B6B">
              <w:rPr>
                <w:sz w:val="14"/>
                <w:szCs w:val="16"/>
              </w:rPr>
              <w:t>0.232***</w:t>
            </w:r>
          </w:p>
        </w:tc>
        <w:tc>
          <w:tcPr>
            <w:tcW w:w="462" w:type="pct"/>
            <w:tcBorders>
              <w:top w:val="nil"/>
              <w:left w:val="single" w:sz="4" w:space="0" w:color="auto"/>
              <w:bottom w:val="nil"/>
              <w:right w:val="nil"/>
            </w:tcBorders>
            <w:shd w:val="clear" w:color="auto" w:fill="auto"/>
            <w:noWrap/>
            <w:vAlign w:val="bottom"/>
            <w:hideMark/>
          </w:tcPr>
          <w:p w14:paraId="66DA601A" w14:textId="77777777" w:rsidR="00184B6B" w:rsidRPr="00184B6B" w:rsidRDefault="00184B6B" w:rsidP="00184B6B">
            <w:pPr>
              <w:spacing w:line="240" w:lineRule="auto"/>
              <w:ind w:firstLine="0"/>
              <w:rPr>
                <w:sz w:val="14"/>
                <w:szCs w:val="16"/>
              </w:rPr>
            </w:pPr>
            <w:r w:rsidRPr="00184B6B">
              <w:rPr>
                <w:sz w:val="14"/>
                <w:szCs w:val="16"/>
              </w:rPr>
              <w:t>0.275***</w:t>
            </w:r>
          </w:p>
        </w:tc>
        <w:tc>
          <w:tcPr>
            <w:tcW w:w="462" w:type="pct"/>
            <w:tcBorders>
              <w:top w:val="nil"/>
              <w:left w:val="nil"/>
              <w:bottom w:val="nil"/>
              <w:right w:val="nil"/>
            </w:tcBorders>
            <w:shd w:val="clear" w:color="auto" w:fill="auto"/>
            <w:noWrap/>
            <w:vAlign w:val="bottom"/>
            <w:hideMark/>
          </w:tcPr>
          <w:p w14:paraId="62A5B8C2" w14:textId="77777777" w:rsidR="00184B6B" w:rsidRPr="00184B6B" w:rsidRDefault="00184B6B" w:rsidP="00184B6B">
            <w:pPr>
              <w:spacing w:line="240" w:lineRule="auto"/>
              <w:ind w:firstLine="0"/>
              <w:rPr>
                <w:sz w:val="14"/>
                <w:szCs w:val="16"/>
              </w:rPr>
            </w:pPr>
            <w:r w:rsidRPr="00184B6B">
              <w:rPr>
                <w:sz w:val="14"/>
                <w:szCs w:val="16"/>
              </w:rPr>
              <w:t>0.287***</w:t>
            </w:r>
          </w:p>
        </w:tc>
        <w:tc>
          <w:tcPr>
            <w:tcW w:w="462" w:type="pct"/>
            <w:tcBorders>
              <w:top w:val="nil"/>
              <w:left w:val="nil"/>
              <w:bottom w:val="nil"/>
              <w:right w:val="nil"/>
            </w:tcBorders>
            <w:shd w:val="clear" w:color="auto" w:fill="auto"/>
            <w:noWrap/>
            <w:vAlign w:val="bottom"/>
            <w:hideMark/>
          </w:tcPr>
          <w:p w14:paraId="0AADD939" w14:textId="77777777" w:rsidR="00184B6B" w:rsidRPr="00184B6B" w:rsidRDefault="00184B6B" w:rsidP="00184B6B">
            <w:pPr>
              <w:spacing w:line="240" w:lineRule="auto"/>
              <w:ind w:firstLine="0"/>
              <w:rPr>
                <w:sz w:val="14"/>
                <w:szCs w:val="16"/>
              </w:rPr>
            </w:pPr>
            <w:r w:rsidRPr="00184B6B">
              <w:rPr>
                <w:sz w:val="14"/>
                <w:szCs w:val="16"/>
              </w:rPr>
              <w:t>0.283***</w:t>
            </w:r>
          </w:p>
        </w:tc>
        <w:tc>
          <w:tcPr>
            <w:tcW w:w="459" w:type="pct"/>
            <w:tcBorders>
              <w:top w:val="nil"/>
              <w:left w:val="nil"/>
              <w:bottom w:val="nil"/>
              <w:right w:val="single" w:sz="4" w:space="0" w:color="auto"/>
            </w:tcBorders>
            <w:shd w:val="clear" w:color="auto" w:fill="auto"/>
            <w:noWrap/>
            <w:vAlign w:val="bottom"/>
            <w:hideMark/>
          </w:tcPr>
          <w:p w14:paraId="4A732504" w14:textId="77777777" w:rsidR="00184B6B" w:rsidRPr="00184B6B" w:rsidRDefault="00184B6B" w:rsidP="00184B6B">
            <w:pPr>
              <w:spacing w:line="240" w:lineRule="auto"/>
              <w:ind w:firstLine="0"/>
              <w:rPr>
                <w:sz w:val="14"/>
                <w:szCs w:val="16"/>
              </w:rPr>
            </w:pPr>
            <w:r w:rsidRPr="00184B6B">
              <w:rPr>
                <w:sz w:val="14"/>
                <w:szCs w:val="16"/>
              </w:rPr>
              <w:t>0.286***</w:t>
            </w:r>
          </w:p>
        </w:tc>
      </w:tr>
      <w:tr w:rsidR="00184B6B" w:rsidRPr="00184B6B" w14:paraId="18209994"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7FDFC1C0"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4618E3C7"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nil"/>
              <w:bottom w:val="nil"/>
              <w:right w:val="nil"/>
            </w:tcBorders>
            <w:shd w:val="clear" w:color="auto" w:fill="auto"/>
            <w:noWrap/>
            <w:vAlign w:val="bottom"/>
            <w:hideMark/>
          </w:tcPr>
          <w:p w14:paraId="43E71B0A"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nil"/>
              <w:bottom w:val="nil"/>
              <w:right w:val="nil"/>
            </w:tcBorders>
            <w:shd w:val="clear" w:color="auto" w:fill="auto"/>
            <w:noWrap/>
            <w:vAlign w:val="bottom"/>
            <w:hideMark/>
          </w:tcPr>
          <w:p w14:paraId="14052EFE"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nil"/>
              <w:bottom w:val="nil"/>
              <w:right w:val="single" w:sz="4" w:space="0" w:color="auto"/>
            </w:tcBorders>
            <w:shd w:val="clear" w:color="auto" w:fill="auto"/>
            <w:noWrap/>
            <w:vAlign w:val="bottom"/>
            <w:hideMark/>
          </w:tcPr>
          <w:p w14:paraId="25E89061" w14:textId="77777777" w:rsidR="00184B6B" w:rsidRPr="00184B6B" w:rsidRDefault="00184B6B" w:rsidP="00184B6B">
            <w:pPr>
              <w:spacing w:line="240" w:lineRule="auto"/>
              <w:ind w:firstLine="0"/>
              <w:rPr>
                <w:sz w:val="14"/>
                <w:szCs w:val="16"/>
              </w:rPr>
            </w:pPr>
            <w:r w:rsidRPr="00184B6B">
              <w:rPr>
                <w:sz w:val="14"/>
                <w:szCs w:val="16"/>
              </w:rPr>
              <w:t>(0.065)</w:t>
            </w:r>
          </w:p>
        </w:tc>
        <w:tc>
          <w:tcPr>
            <w:tcW w:w="462" w:type="pct"/>
            <w:tcBorders>
              <w:top w:val="nil"/>
              <w:left w:val="single" w:sz="4" w:space="0" w:color="auto"/>
              <w:bottom w:val="nil"/>
              <w:right w:val="nil"/>
            </w:tcBorders>
            <w:shd w:val="clear" w:color="auto" w:fill="auto"/>
            <w:noWrap/>
            <w:vAlign w:val="bottom"/>
            <w:hideMark/>
          </w:tcPr>
          <w:p w14:paraId="65F7A55D"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688FCF9A"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nil"/>
              <w:bottom w:val="nil"/>
              <w:right w:val="nil"/>
            </w:tcBorders>
            <w:shd w:val="clear" w:color="auto" w:fill="auto"/>
            <w:noWrap/>
            <w:vAlign w:val="bottom"/>
            <w:hideMark/>
          </w:tcPr>
          <w:p w14:paraId="701C3995" w14:textId="77777777" w:rsidR="00184B6B" w:rsidRPr="00184B6B" w:rsidRDefault="00184B6B" w:rsidP="00184B6B">
            <w:pPr>
              <w:spacing w:line="240" w:lineRule="auto"/>
              <w:ind w:firstLine="0"/>
              <w:rPr>
                <w:sz w:val="14"/>
                <w:szCs w:val="16"/>
              </w:rPr>
            </w:pPr>
            <w:r w:rsidRPr="00184B6B">
              <w:rPr>
                <w:sz w:val="14"/>
                <w:szCs w:val="16"/>
              </w:rPr>
              <w:t>(0.046)</w:t>
            </w:r>
          </w:p>
        </w:tc>
        <w:tc>
          <w:tcPr>
            <w:tcW w:w="459" w:type="pct"/>
            <w:tcBorders>
              <w:top w:val="nil"/>
              <w:left w:val="nil"/>
              <w:bottom w:val="nil"/>
              <w:right w:val="single" w:sz="4" w:space="0" w:color="auto"/>
            </w:tcBorders>
            <w:shd w:val="clear" w:color="auto" w:fill="auto"/>
            <w:noWrap/>
            <w:vAlign w:val="bottom"/>
            <w:hideMark/>
          </w:tcPr>
          <w:p w14:paraId="05DA05E3" w14:textId="77777777" w:rsidR="00184B6B" w:rsidRPr="00184B6B" w:rsidRDefault="00184B6B" w:rsidP="00184B6B">
            <w:pPr>
              <w:spacing w:line="240" w:lineRule="auto"/>
              <w:ind w:firstLine="0"/>
              <w:rPr>
                <w:sz w:val="14"/>
                <w:szCs w:val="16"/>
              </w:rPr>
            </w:pPr>
            <w:r w:rsidRPr="00184B6B">
              <w:rPr>
                <w:sz w:val="14"/>
                <w:szCs w:val="16"/>
              </w:rPr>
              <w:t>(0.046)</w:t>
            </w:r>
          </w:p>
        </w:tc>
      </w:tr>
      <w:tr w:rsidR="00184B6B" w:rsidRPr="00184B6B" w14:paraId="3897680C"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35B07A83" w14:textId="77777777" w:rsidR="00184B6B" w:rsidRPr="00184B6B" w:rsidRDefault="00184B6B" w:rsidP="00184B6B">
            <w:pPr>
              <w:spacing w:line="240" w:lineRule="auto"/>
              <w:ind w:firstLine="0"/>
              <w:jc w:val="left"/>
              <w:rPr>
                <w:sz w:val="14"/>
                <w:szCs w:val="16"/>
              </w:rPr>
            </w:pPr>
            <w:r w:rsidRPr="00184B6B">
              <w:rPr>
                <w:sz w:val="14"/>
                <w:szCs w:val="16"/>
              </w:rPr>
              <w:t>Kosovo</w:t>
            </w:r>
          </w:p>
        </w:tc>
        <w:tc>
          <w:tcPr>
            <w:tcW w:w="462" w:type="pct"/>
            <w:tcBorders>
              <w:top w:val="nil"/>
              <w:left w:val="single" w:sz="4" w:space="0" w:color="auto"/>
              <w:bottom w:val="nil"/>
              <w:right w:val="nil"/>
            </w:tcBorders>
            <w:shd w:val="clear" w:color="auto" w:fill="auto"/>
            <w:noWrap/>
            <w:vAlign w:val="bottom"/>
            <w:hideMark/>
          </w:tcPr>
          <w:p w14:paraId="4E58D2D3" w14:textId="77777777" w:rsidR="00184B6B" w:rsidRPr="00184B6B" w:rsidRDefault="00184B6B" w:rsidP="00184B6B">
            <w:pPr>
              <w:spacing w:line="240" w:lineRule="auto"/>
              <w:ind w:firstLine="0"/>
              <w:rPr>
                <w:sz w:val="14"/>
                <w:szCs w:val="16"/>
              </w:rPr>
            </w:pPr>
            <w:r w:rsidRPr="00184B6B">
              <w:rPr>
                <w:sz w:val="14"/>
                <w:szCs w:val="16"/>
              </w:rPr>
              <w:t>0.043</w:t>
            </w:r>
          </w:p>
        </w:tc>
        <w:tc>
          <w:tcPr>
            <w:tcW w:w="462" w:type="pct"/>
            <w:tcBorders>
              <w:top w:val="nil"/>
              <w:left w:val="nil"/>
              <w:bottom w:val="nil"/>
              <w:right w:val="nil"/>
            </w:tcBorders>
            <w:shd w:val="clear" w:color="auto" w:fill="auto"/>
            <w:noWrap/>
            <w:vAlign w:val="bottom"/>
            <w:hideMark/>
          </w:tcPr>
          <w:p w14:paraId="409CBD52"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nil"/>
            </w:tcBorders>
            <w:shd w:val="clear" w:color="auto" w:fill="auto"/>
            <w:noWrap/>
            <w:vAlign w:val="bottom"/>
            <w:hideMark/>
          </w:tcPr>
          <w:p w14:paraId="5817D65E" w14:textId="77777777" w:rsidR="00184B6B" w:rsidRPr="00184B6B" w:rsidRDefault="00184B6B" w:rsidP="00184B6B">
            <w:pPr>
              <w:spacing w:line="240" w:lineRule="auto"/>
              <w:ind w:firstLine="0"/>
              <w:rPr>
                <w:sz w:val="14"/>
                <w:szCs w:val="16"/>
              </w:rPr>
            </w:pPr>
            <w:r w:rsidRPr="00184B6B">
              <w:rPr>
                <w:sz w:val="14"/>
                <w:szCs w:val="16"/>
              </w:rPr>
              <w:t>0.061</w:t>
            </w:r>
          </w:p>
        </w:tc>
        <w:tc>
          <w:tcPr>
            <w:tcW w:w="462" w:type="pct"/>
            <w:tcBorders>
              <w:top w:val="nil"/>
              <w:left w:val="nil"/>
              <w:bottom w:val="nil"/>
              <w:right w:val="single" w:sz="4" w:space="0" w:color="auto"/>
            </w:tcBorders>
            <w:shd w:val="clear" w:color="auto" w:fill="auto"/>
            <w:noWrap/>
            <w:vAlign w:val="bottom"/>
            <w:hideMark/>
          </w:tcPr>
          <w:p w14:paraId="2587BD5A" w14:textId="77777777" w:rsidR="00184B6B" w:rsidRPr="00184B6B" w:rsidRDefault="00184B6B" w:rsidP="00184B6B">
            <w:pPr>
              <w:spacing w:line="240" w:lineRule="auto"/>
              <w:ind w:firstLine="0"/>
              <w:rPr>
                <w:sz w:val="14"/>
                <w:szCs w:val="16"/>
              </w:rPr>
            </w:pPr>
            <w:r w:rsidRPr="00184B6B">
              <w:rPr>
                <w:sz w:val="14"/>
                <w:szCs w:val="16"/>
              </w:rPr>
              <w:t>0.046</w:t>
            </w:r>
          </w:p>
        </w:tc>
        <w:tc>
          <w:tcPr>
            <w:tcW w:w="462" w:type="pct"/>
            <w:tcBorders>
              <w:top w:val="nil"/>
              <w:left w:val="single" w:sz="4" w:space="0" w:color="auto"/>
              <w:bottom w:val="nil"/>
              <w:right w:val="nil"/>
            </w:tcBorders>
            <w:shd w:val="clear" w:color="auto" w:fill="auto"/>
            <w:noWrap/>
            <w:vAlign w:val="bottom"/>
            <w:hideMark/>
          </w:tcPr>
          <w:p w14:paraId="6377DA11" w14:textId="77777777" w:rsidR="00184B6B" w:rsidRPr="00184B6B" w:rsidRDefault="00184B6B" w:rsidP="00184B6B">
            <w:pPr>
              <w:spacing w:line="240" w:lineRule="auto"/>
              <w:ind w:firstLine="0"/>
              <w:rPr>
                <w:sz w:val="14"/>
                <w:szCs w:val="16"/>
              </w:rPr>
            </w:pPr>
            <w:r w:rsidRPr="00184B6B">
              <w:rPr>
                <w:sz w:val="14"/>
                <w:szCs w:val="16"/>
              </w:rPr>
              <w:t>0.438***</w:t>
            </w:r>
          </w:p>
        </w:tc>
        <w:tc>
          <w:tcPr>
            <w:tcW w:w="462" w:type="pct"/>
            <w:tcBorders>
              <w:top w:val="nil"/>
              <w:left w:val="nil"/>
              <w:bottom w:val="nil"/>
              <w:right w:val="nil"/>
            </w:tcBorders>
            <w:shd w:val="clear" w:color="auto" w:fill="auto"/>
            <w:noWrap/>
            <w:vAlign w:val="bottom"/>
            <w:hideMark/>
          </w:tcPr>
          <w:p w14:paraId="07F5BD1C" w14:textId="77777777" w:rsidR="00184B6B" w:rsidRPr="00184B6B" w:rsidRDefault="00184B6B" w:rsidP="00184B6B">
            <w:pPr>
              <w:spacing w:line="240" w:lineRule="auto"/>
              <w:ind w:firstLine="0"/>
              <w:rPr>
                <w:sz w:val="14"/>
                <w:szCs w:val="16"/>
              </w:rPr>
            </w:pPr>
            <w:r w:rsidRPr="00184B6B">
              <w:rPr>
                <w:sz w:val="14"/>
                <w:szCs w:val="16"/>
              </w:rPr>
              <w:t>0.453***</w:t>
            </w:r>
          </w:p>
        </w:tc>
        <w:tc>
          <w:tcPr>
            <w:tcW w:w="462" w:type="pct"/>
            <w:tcBorders>
              <w:top w:val="nil"/>
              <w:left w:val="nil"/>
              <w:bottom w:val="nil"/>
              <w:right w:val="nil"/>
            </w:tcBorders>
            <w:shd w:val="clear" w:color="auto" w:fill="auto"/>
            <w:noWrap/>
            <w:vAlign w:val="bottom"/>
            <w:hideMark/>
          </w:tcPr>
          <w:p w14:paraId="7964831B" w14:textId="77777777" w:rsidR="00184B6B" w:rsidRPr="00184B6B" w:rsidRDefault="00184B6B" w:rsidP="00184B6B">
            <w:pPr>
              <w:spacing w:line="240" w:lineRule="auto"/>
              <w:ind w:firstLine="0"/>
              <w:rPr>
                <w:sz w:val="14"/>
                <w:szCs w:val="16"/>
              </w:rPr>
            </w:pPr>
            <w:r w:rsidRPr="00184B6B">
              <w:rPr>
                <w:sz w:val="14"/>
                <w:szCs w:val="16"/>
              </w:rPr>
              <w:t>0.451***</w:t>
            </w:r>
          </w:p>
        </w:tc>
        <w:tc>
          <w:tcPr>
            <w:tcW w:w="459" w:type="pct"/>
            <w:tcBorders>
              <w:top w:val="nil"/>
              <w:left w:val="nil"/>
              <w:bottom w:val="nil"/>
              <w:right w:val="single" w:sz="4" w:space="0" w:color="auto"/>
            </w:tcBorders>
            <w:shd w:val="clear" w:color="auto" w:fill="auto"/>
            <w:noWrap/>
            <w:vAlign w:val="bottom"/>
            <w:hideMark/>
          </w:tcPr>
          <w:p w14:paraId="20069BE5" w14:textId="77777777" w:rsidR="00184B6B" w:rsidRPr="00184B6B" w:rsidRDefault="00184B6B" w:rsidP="00184B6B">
            <w:pPr>
              <w:spacing w:line="240" w:lineRule="auto"/>
              <w:ind w:firstLine="0"/>
              <w:rPr>
                <w:sz w:val="14"/>
                <w:szCs w:val="16"/>
              </w:rPr>
            </w:pPr>
            <w:r w:rsidRPr="00184B6B">
              <w:rPr>
                <w:sz w:val="14"/>
                <w:szCs w:val="16"/>
              </w:rPr>
              <w:t>0.443***</w:t>
            </w:r>
          </w:p>
        </w:tc>
      </w:tr>
      <w:tr w:rsidR="00184B6B" w:rsidRPr="00184B6B" w14:paraId="48367EA5"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237F759E"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6BCFFF65" w14:textId="77777777" w:rsidR="00184B6B" w:rsidRPr="00184B6B" w:rsidRDefault="00184B6B" w:rsidP="00184B6B">
            <w:pPr>
              <w:spacing w:line="240" w:lineRule="auto"/>
              <w:ind w:firstLine="0"/>
              <w:rPr>
                <w:sz w:val="14"/>
                <w:szCs w:val="16"/>
              </w:rPr>
            </w:pPr>
            <w:r w:rsidRPr="00184B6B">
              <w:rPr>
                <w:sz w:val="14"/>
                <w:szCs w:val="16"/>
              </w:rPr>
              <w:t>(0.071)</w:t>
            </w:r>
          </w:p>
        </w:tc>
        <w:tc>
          <w:tcPr>
            <w:tcW w:w="462" w:type="pct"/>
            <w:tcBorders>
              <w:top w:val="nil"/>
              <w:left w:val="nil"/>
              <w:bottom w:val="nil"/>
              <w:right w:val="nil"/>
            </w:tcBorders>
            <w:shd w:val="clear" w:color="auto" w:fill="auto"/>
            <w:noWrap/>
            <w:vAlign w:val="bottom"/>
            <w:hideMark/>
          </w:tcPr>
          <w:p w14:paraId="2585AD18" w14:textId="77777777" w:rsidR="00184B6B" w:rsidRPr="00184B6B" w:rsidRDefault="00184B6B" w:rsidP="00184B6B">
            <w:pPr>
              <w:spacing w:line="240" w:lineRule="auto"/>
              <w:ind w:firstLine="0"/>
              <w:rPr>
                <w:sz w:val="14"/>
                <w:szCs w:val="16"/>
              </w:rPr>
            </w:pPr>
            <w:r w:rsidRPr="00184B6B">
              <w:rPr>
                <w:sz w:val="14"/>
                <w:szCs w:val="16"/>
              </w:rPr>
              <w:t>(0.071)</w:t>
            </w:r>
          </w:p>
        </w:tc>
        <w:tc>
          <w:tcPr>
            <w:tcW w:w="462" w:type="pct"/>
            <w:tcBorders>
              <w:top w:val="nil"/>
              <w:left w:val="nil"/>
              <w:bottom w:val="nil"/>
              <w:right w:val="nil"/>
            </w:tcBorders>
            <w:shd w:val="clear" w:color="auto" w:fill="auto"/>
            <w:noWrap/>
            <w:vAlign w:val="bottom"/>
            <w:hideMark/>
          </w:tcPr>
          <w:p w14:paraId="144E3EAC" w14:textId="77777777" w:rsidR="00184B6B" w:rsidRPr="00184B6B" w:rsidRDefault="00184B6B" w:rsidP="00184B6B">
            <w:pPr>
              <w:spacing w:line="240" w:lineRule="auto"/>
              <w:ind w:firstLine="0"/>
              <w:rPr>
                <w:sz w:val="14"/>
                <w:szCs w:val="16"/>
              </w:rPr>
            </w:pPr>
            <w:r w:rsidRPr="00184B6B">
              <w:rPr>
                <w:sz w:val="14"/>
                <w:szCs w:val="16"/>
              </w:rPr>
              <w:t>(0.071)</w:t>
            </w:r>
          </w:p>
        </w:tc>
        <w:tc>
          <w:tcPr>
            <w:tcW w:w="462" w:type="pct"/>
            <w:tcBorders>
              <w:top w:val="nil"/>
              <w:left w:val="nil"/>
              <w:bottom w:val="nil"/>
              <w:right w:val="single" w:sz="4" w:space="0" w:color="auto"/>
            </w:tcBorders>
            <w:shd w:val="clear" w:color="auto" w:fill="auto"/>
            <w:noWrap/>
            <w:vAlign w:val="bottom"/>
            <w:hideMark/>
          </w:tcPr>
          <w:p w14:paraId="18C714DE" w14:textId="77777777" w:rsidR="00184B6B" w:rsidRPr="00184B6B" w:rsidRDefault="00184B6B" w:rsidP="00184B6B">
            <w:pPr>
              <w:spacing w:line="240" w:lineRule="auto"/>
              <w:ind w:firstLine="0"/>
              <w:rPr>
                <w:sz w:val="14"/>
                <w:szCs w:val="16"/>
              </w:rPr>
            </w:pPr>
            <w:r w:rsidRPr="00184B6B">
              <w:rPr>
                <w:sz w:val="14"/>
                <w:szCs w:val="16"/>
              </w:rPr>
              <w:t>(0.071)</w:t>
            </w:r>
          </w:p>
        </w:tc>
        <w:tc>
          <w:tcPr>
            <w:tcW w:w="462" w:type="pct"/>
            <w:tcBorders>
              <w:top w:val="nil"/>
              <w:left w:val="single" w:sz="4" w:space="0" w:color="auto"/>
              <w:bottom w:val="nil"/>
              <w:right w:val="nil"/>
            </w:tcBorders>
            <w:shd w:val="clear" w:color="auto" w:fill="auto"/>
            <w:noWrap/>
            <w:vAlign w:val="bottom"/>
            <w:hideMark/>
          </w:tcPr>
          <w:p w14:paraId="28784DF5"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nil"/>
            </w:tcBorders>
            <w:shd w:val="clear" w:color="auto" w:fill="auto"/>
            <w:noWrap/>
            <w:vAlign w:val="bottom"/>
            <w:hideMark/>
          </w:tcPr>
          <w:p w14:paraId="2A538A85" w14:textId="77777777" w:rsidR="00184B6B" w:rsidRPr="00184B6B" w:rsidRDefault="00184B6B" w:rsidP="00184B6B">
            <w:pPr>
              <w:spacing w:line="240" w:lineRule="auto"/>
              <w:ind w:firstLine="0"/>
              <w:rPr>
                <w:sz w:val="14"/>
                <w:szCs w:val="16"/>
              </w:rPr>
            </w:pPr>
            <w:r w:rsidRPr="00184B6B">
              <w:rPr>
                <w:sz w:val="14"/>
                <w:szCs w:val="16"/>
              </w:rPr>
              <w:t>(0.058)</w:t>
            </w:r>
          </w:p>
        </w:tc>
        <w:tc>
          <w:tcPr>
            <w:tcW w:w="462" w:type="pct"/>
            <w:tcBorders>
              <w:top w:val="nil"/>
              <w:left w:val="nil"/>
              <w:bottom w:val="nil"/>
              <w:right w:val="nil"/>
            </w:tcBorders>
            <w:shd w:val="clear" w:color="auto" w:fill="auto"/>
            <w:noWrap/>
            <w:vAlign w:val="bottom"/>
            <w:hideMark/>
          </w:tcPr>
          <w:p w14:paraId="61F5D3FA" w14:textId="77777777" w:rsidR="00184B6B" w:rsidRPr="00184B6B" w:rsidRDefault="00184B6B" w:rsidP="00184B6B">
            <w:pPr>
              <w:spacing w:line="240" w:lineRule="auto"/>
              <w:ind w:firstLine="0"/>
              <w:rPr>
                <w:sz w:val="14"/>
                <w:szCs w:val="16"/>
              </w:rPr>
            </w:pPr>
            <w:r w:rsidRPr="00184B6B">
              <w:rPr>
                <w:sz w:val="14"/>
                <w:szCs w:val="16"/>
              </w:rPr>
              <w:t>(0.058)</w:t>
            </w:r>
          </w:p>
        </w:tc>
        <w:tc>
          <w:tcPr>
            <w:tcW w:w="459" w:type="pct"/>
            <w:tcBorders>
              <w:top w:val="nil"/>
              <w:left w:val="nil"/>
              <w:bottom w:val="nil"/>
              <w:right w:val="single" w:sz="4" w:space="0" w:color="auto"/>
            </w:tcBorders>
            <w:shd w:val="clear" w:color="auto" w:fill="auto"/>
            <w:noWrap/>
            <w:vAlign w:val="bottom"/>
            <w:hideMark/>
          </w:tcPr>
          <w:p w14:paraId="2ED1F87C" w14:textId="77777777" w:rsidR="00184B6B" w:rsidRPr="00184B6B" w:rsidRDefault="00184B6B" w:rsidP="00184B6B">
            <w:pPr>
              <w:spacing w:line="240" w:lineRule="auto"/>
              <w:ind w:firstLine="0"/>
              <w:rPr>
                <w:sz w:val="14"/>
                <w:szCs w:val="16"/>
              </w:rPr>
            </w:pPr>
            <w:r w:rsidRPr="00184B6B">
              <w:rPr>
                <w:sz w:val="14"/>
                <w:szCs w:val="16"/>
              </w:rPr>
              <w:t>(0.058)</w:t>
            </w:r>
          </w:p>
        </w:tc>
      </w:tr>
      <w:tr w:rsidR="00184B6B" w:rsidRPr="00184B6B" w14:paraId="06E64559"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DA5525C" w14:textId="77777777" w:rsidR="00184B6B" w:rsidRPr="00184B6B" w:rsidRDefault="00184B6B" w:rsidP="00184B6B">
            <w:pPr>
              <w:spacing w:line="240" w:lineRule="auto"/>
              <w:ind w:firstLine="0"/>
              <w:jc w:val="left"/>
              <w:rPr>
                <w:sz w:val="14"/>
                <w:szCs w:val="16"/>
              </w:rPr>
            </w:pPr>
            <w:r w:rsidRPr="00184B6B">
              <w:rPr>
                <w:sz w:val="14"/>
                <w:szCs w:val="16"/>
              </w:rPr>
              <w:t>Year 2010</w:t>
            </w:r>
          </w:p>
        </w:tc>
        <w:tc>
          <w:tcPr>
            <w:tcW w:w="462" w:type="pct"/>
            <w:tcBorders>
              <w:top w:val="nil"/>
              <w:left w:val="single" w:sz="4" w:space="0" w:color="auto"/>
              <w:bottom w:val="nil"/>
              <w:right w:val="nil"/>
            </w:tcBorders>
            <w:shd w:val="clear" w:color="auto" w:fill="auto"/>
            <w:noWrap/>
            <w:vAlign w:val="bottom"/>
            <w:hideMark/>
          </w:tcPr>
          <w:p w14:paraId="7A558C21" w14:textId="77777777" w:rsidR="00184B6B" w:rsidRPr="00184B6B" w:rsidRDefault="00184B6B" w:rsidP="00184B6B">
            <w:pPr>
              <w:spacing w:line="240" w:lineRule="auto"/>
              <w:ind w:firstLine="0"/>
              <w:rPr>
                <w:sz w:val="14"/>
                <w:szCs w:val="16"/>
              </w:rPr>
            </w:pPr>
            <w:r w:rsidRPr="00184B6B">
              <w:rPr>
                <w:sz w:val="14"/>
                <w:szCs w:val="16"/>
              </w:rPr>
              <w:t>-0.075*</w:t>
            </w:r>
          </w:p>
        </w:tc>
        <w:tc>
          <w:tcPr>
            <w:tcW w:w="462" w:type="pct"/>
            <w:tcBorders>
              <w:top w:val="nil"/>
              <w:left w:val="nil"/>
              <w:bottom w:val="nil"/>
              <w:right w:val="nil"/>
            </w:tcBorders>
            <w:shd w:val="clear" w:color="auto" w:fill="auto"/>
            <w:noWrap/>
            <w:vAlign w:val="bottom"/>
            <w:hideMark/>
          </w:tcPr>
          <w:p w14:paraId="3EEDBFCE" w14:textId="77777777" w:rsidR="00184B6B" w:rsidRPr="00184B6B" w:rsidRDefault="00184B6B" w:rsidP="00184B6B">
            <w:pPr>
              <w:spacing w:line="240" w:lineRule="auto"/>
              <w:ind w:firstLine="0"/>
              <w:rPr>
                <w:sz w:val="14"/>
                <w:szCs w:val="16"/>
              </w:rPr>
            </w:pPr>
            <w:r w:rsidRPr="00184B6B">
              <w:rPr>
                <w:sz w:val="14"/>
                <w:szCs w:val="16"/>
              </w:rPr>
              <w:t>-0.068*</w:t>
            </w:r>
          </w:p>
        </w:tc>
        <w:tc>
          <w:tcPr>
            <w:tcW w:w="462" w:type="pct"/>
            <w:tcBorders>
              <w:top w:val="nil"/>
              <w:left w:val="nil"/>
              <w:bottom w:val="nil"/>
              <w:right w:val="nil"/>
            </w:tcBorders>
            <w:shd w:val="clear" w:color="auto" w:fill="auto"/>
            <w:noWrap/>
            <w:vAlign w:val="bottom"/>
            <w:hideMark/>
          </w:tcPr>
          <w:p w14:paraId="41E41861" w14:textId="77777777" w:rsidR="00184B6B" w:rsidRPr="00184B6B" w:rsidRDefault="00184B6B" w:rsidP="00184B6B">
            <w:pPr>
              <w:spacing w:line="240" w:lineRule="auto"/>
              <w:ind w:firstLine="0"/>
              <w:rPr>
                <w:sz w:val="14"/>
                <w:szCs w:val="16"/>
              </w:rPr>
            </w:pPr>
            <w:r w:rsidRPr="00184B6B">
              <w:rPr>
                <w:sz w:val="14"/>
                <w:szCs w:val="16"/>
              </w:rPr>
              <w:t>-0.077**</w:t>
            </w:r>
          </w:p>
        </w:tc>
        <w:tc>
          <w:tcPr>
            <w:tcW w:w="462" w:type="pct"/>
            <w:tcBorders>
              <w:top w:val="nil"/>
              <w:left w:val="nil"/>
              <w:bottom w:val="nil"/>
              <w:right w:val="single" w:sz="4" w:space="0" w:color="auto"/>
            </w:tcBorders>
            <w:shd w:val="clear" w:color="auto" w:fill="auto"/>
            <w:noWrap/>
            <w:vAlign w:val="bottom"/>
            <w:hideMark/>
          </w:tcPr>
          <w:p w14:paraId="66881335" w14:textId="77777777" w:rsidR="00184B6B" w:rsidRPr="00184B6B" w:rsidRDefault="00184B6B" w:rsidP="00184B6B">
            <w:pPr>
              <w:spacing w:line="240" w:lineRule="auto"/>
              <w:ind w:firstLine="0"/>
              <w:rPr>
                <w:sz w:val="14"/>
                <w:szCs w:val="16"/>
              </w:rPr>
            </w:pPr>
            <w:r w:rsidRPr="00184B6B">
              <w:rPr>
                <w:sz w:val="14"/>
                <w:szCs w:val="16"/>
              </w:rPr>
              <w:t>-0.073*</w:t>
            </w:r>
          </w:p>
        </w:tc>
        <w:tc>
          <w:tcPr>
            <w:tcW w:w="462" w:type="pct"/>
            <w:tcBorders>
              <w:top w:val="nil"/>
              <w:left w:val="single" w:sz="4" w:space="0" w:color="auto"/>
              <w:bottom w:val="nil"/>
              <w:right w:val="nil"/>
            </w:tcBorders>
            <w:shd w:val="clear" w:color="auto" w:fill="auto"/>
            <w:noWrap/>
            <w:vAlign w:val="bottom"/>
            <w:hideMark/>
          </w:tcPr>
          <w:p w14:paraId="0D55CD85" w14:textId="77777777" w:rsidR="00184B6B" w:rsidRPr="00184B6B" w:rsidRDefault="00184B6B" w:rsidP="00184B6B">
            <w:pPr>
              <w:spacing w:line="240" w:lineRule="auto"/>
              <w:ind w:firstLine="0"/>
              <w:rPr>
                <w:sz w:val="14"/>
                <w:szCs w:val="16"/>
              </w:rPr>
            </w:pPr>
            <w:r w:rsidRPr="00184B6B">
              <w:rPr>
                <w:sz w:val="14"/>
                <w:szCs w:val="16"/>
              </w:rPr>
              <w:t>-0.135***</w:t>
            </w:r>
          </w:p>
        </w:tc>
        <w:tc>
          <w:tcPr>
            <w:tcW w:w="462" w:type="pct"/>
            <w:tcBorders>
              <w:top w:val="nil"/>
              <w:left w:val="nil"/>
              <w:bottom w:val="nil"/>
              <w:right w:val="nil"/>
            </w:tcBorders>
            <w:shd w:val="clear" w:color="auto" w:fill="auto"/>
            <w:noWrap/>
            <w:vAlign w:val="bottom"/>
            <w:hideMark/>
          </w:tcPr>
          <w:p w14:paraId="2FBA250F" w14:textId="77777777" w:rsidR="00184B6B" w:rsidRPr="00184B6B" w:rsidRDefault="00184B6B" w:rsidP="00184B6B">
            <w:pPr>
              <w:spacing w:line="240" w:lineRule="auto"/>
              <w:ind w:firstLine="0"/>
              <w:rPr>
                <w:sz w:val="14"/>
                <w:szCs w:val="16"/>
              </w:rPr>
            </w:pPr>
            <w:r w:rsidRPr="00184B6B">
              <w:rPr>
                <w:sz w:val="14"/>
                <w:szCs w:val="16"/>
              </w:rPr>
              <w:t>-0.135***</w:t>
            </w:r>
          </w:p>
        </w:tc>
        <w:tc>
          <w:tcPr>
            <w:tcW w:w="462" w:type="pct"/>
            <w:tcBorders>
              <w:top w:val="nil"/>
              <w:left w:val="nil"/>
              <w:bottom w:val="nil"/>
              <w:right w:val="nil"/>
            </w:tcBorders>
            <w:shd w:val="clear" w:color="auto" w:fill="auto"/>
            <w:noWrap/>
            <w:vAlign w:val="bottom"/>
            <w:hideMark/>
          </w:tcPr>
          <w:p w14:paraId="132C7DB4" w14:textId="77777777" w:rsidR="00184B6B" w:rsidRPr="00184B6B" w:rsidRDefault="00184B6B" w:rsidP="00184B6B">
            <w:pPr>
              <w:spacing w:line="240" w:lineRule="auto"/>
              <w:ind w:firstLine="0"/>
              <w:rPr>
                <w:sz w:val="14"/>
                <w:szCs w:val="16"/>
              </w:rPr>
            </w:pPr>
            <w:r w:rsidRPr="00184B6B">
              <w:rPr>
                <w:sz w:val="14"/>
                <w:szCs w:val="16"/>
              </w:rPr>
              <w:t>-0.138***</w:t>
            </w:r>
          </w:p>
        </w:tc>
        <w:tc>
          <w:tcPr>
            <w:tcW w:w="459" w:type="pct"/>
            <w:tcBorders>
              <w:top w:val="nil"/>
              <w:left w:val="nil"/>
              <w:bottom w:val="nil"/>
              <w:right w:val="single" w:sz="4" w:space="0" w:color="auto"/>
            </w:tcBorders>
            <w:shd w:val="clear" w:color="auto" w:fill="auto"/>
            <w:noWrap/>
            <w:vAlign w:val="bottom"/>
            <w:hideMark/>
          </w:tcPr>
          <w:p w14:paraId="2CDF2048" w14:textId="77777777" w:rsidR="00184B6B" w:rsidRPr="00184B6B" w:rsidRDefault="00184B6B" w:rsidP="00184B6B">
            <w:pPr>
              <w:spacing w:line="240" w:lineRule="auto"/>
              <w:ind w:firstLine="0"/>
              <w:rPr>
                <w:sz w:val="14"/>
                <w:szCs w:val="16"/>
              </w:rPr>
            </w:pPr>
            <w:r w:rsidRPr="00184B6B">
              <w:rPr>
                <w:sz w:val="14"/>
                <w:szCs w:val="16"/>
              </w:rPr>
              <w:t>-0.135***</w:t>
            </w:r>
          </w:p>
        </w:tc>
      </w:tr>
      <w:tr w:rsidR="00184B6B" w:rsidRPr="00184B6B" w14:paraId="2DA47D8A"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4AFF1CFB"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3807A51F" w14:textId="77777777" w:rsidR="00184B6B" w:rsidRPr="00184B6B" w:rsidRDefault="00184B6B" w:rsidP="00184B6B">
            <w:pPr>
              <w:spacing w:line="240" w:lineRule="auto"/>
              <w:ind w:firstLine="0"/>
              <w:rPr>
                <w:sz w:val="14"/>
                <w:szCs w:val="16"/>
              </w:rPr>
            </w:pPr>
            <w:r w:rsidRPr="00184B6B">
              <w:rPr>
                <w:sz w:val="14"/>
                <w:szCs w:val="16"/>
              </w:rPr>
              <w:t>(0.039)</w:t>
            </w:r>
          </w:p>
        </w:tc>
        <w:tc>
          <w:tcPr>
            <w:tcW w:w="462" w:type="pct"/>
            <w:tcBorders>
              <w:top w:val="nil"/>
              <w:left w:val="nil"/>
              <w:bottom w:val="nil"/>
              <w:right w:val="nil"/>
            </w:tcBorders>
            <w:shd w:val="clear" w:color="auto" w:fill="auto"/>
            <w:noWrap/>
            <w:vAlign w:val="bottom"/>
            <w:hideMark/>
          </w:tcPr>
          <w:p w14:paraId="18566B3C" w14:textId="77777777" w:rsidR="00184B6B" w:rsidRPr="00184B6B" w:rsidRDefault="00184B6B" w:rsidP="00184B6B">
            <w:pPr>
              <w:spacing w:line="240" w:lineRule="auto"/>
              <w:ind w:firstLine="0"/>
              <w:rPr>
                <w:sz w:val="14"/>
                <w:szCs w:val="16"/>
              </w:rPr>
            </w:pPr>
            <w:r w:rsidRPr="00184B6B">
              <w:rPr>
                <w:sz w:val="14"/>
                <w:szCs w:val="16"/>
              </w:rPr>
              <w:t>(0.039)</w:t>
            </w:r>
          </w:p>
        </w:tc>
        <w:tc>
          <w:tcPr>
            <w:tcW w:w="462" w:type="pct"/>
            <w:tcBorders>
              <w:top w:val="nil"/>
              <w:left w:val="nil"/>
              <w:bottom w:val="nil"/>
              <w:right w:val="nil"/>
            </w:tcBorders>
            <w:shd w:val="clear" w:color="auto" w:fill="auto"/>
            <w:noWrap/>
            <w:vAlign w:val="bottom"/>
            <w:hideMark/>
          </w:tcPr>
          <w:p w14:paraId="465C8F86" w14:textId="77777777" w:rsidR="00184B6B" w:rsidRPr="00184B6B" w:rsidRDefault="00184B6B" w:rsidP="00184B6B">
            <w:pPr>
              <w:spacing w:line="240" w:lineRule="auto"/>
              <w:ind w:firstLine="0"/>
              <w:rPr>
                <w:sz w:val="14"/>
                <w:szCs w:val="16"/>
              </w:rPr>
            </w:pPr>
            <w:r w:rsidRPr="00184B6B">
              <w:rPr>
                <w:sz w:val="14"/>
                <w:szCs w:val="16"/>
              </w:rPr>
              <w:t>(0.039)</w:t>
            </w:r>
          </w:p>
        </w:tc>
        <w:tc>
          <w:tcPr>
            <w:tcW w:w="462" w:type="pct"/>
            <w:tcBorders>
              <w:top w:val="nil"/>
              <w:left w:val="nil"/>
              <w:bottom w:val="nil"/>
              <w:right w:val="single" w:sz="4" w:space="0" w:color="auto"/>
            </w:tcBorders>
            <w:shd w:val="clear" w:color="auto" w:fill="auto"/>
            <w:noWrap/>
            <w:vAlign w:val="bottom"/>
            <w:hideMark/>
          </w:tcPr>
          <w:p w14:paraId="67FAE065" w14:textId="77777777" w:rsidR="00184B6B" w:rsidRPr="00184B6B" w:rsidRDefault="00184B6B" w:rsidP="00184B6B">
            <w:pPr>
              <w:spacing w:line="240" w:lineRule="auto"/>
              <w:ind w:firstLine="0"/>
              <w:rPr>
                <w:sz w:val="14"/>
                <w:szCs w:val="16"/>
              </w:rPr>
            </w:pPr>
            <w:r w:rsidRPr="00184B6B">
              <w:rPr>
                <w:sz w:val="14"/>
                <w:szCs w:val="16"/>
              </w:rPr>
              <w:t>(0.039)</w:t>
            </w:r>
          </w:p>
        </w:tc>
        <w:tc>
          <w:tcPr>
            <w:tcW w:w="462" w:type="pct"/>
            <w:tcBorders>
              <w:top w:val="nil"/>
              <w:left w:val="single" w:sz="4" w:space="0" w:color="auto"/>
              <w:bottom w:val="nil"/>
              <w:right w:val="nil"/>
            </w:tcBorders>
            <w:shd w:val="clear" w:color="auto" w:fill="auto"/>
            <w:noWrap/>
            <w:vAlign w:val="bottom"/>
            <w:hideMark/>
          </w:tcPr>
          <w:p w14:paraId="1E7F5EEE" w14:textId="77777777" w:rsidR="00184B6B" w:rsidRPr="00184B6B" w:rsidRDefault="00184B6B" w:rsidP="00184B6B">
            <w:pPr>
              <w:spacing w:line="240" w:lineRule="auto"/>
              <w:ind w:firstLine="0"/>
              <w:rPr>
                <w:sz w:val="14"/>
                <w:szCs w:val="16"/>
              </w:rPr>
            </w:pPr>
            <w:r w:rsidRPr="00184B6B">
              <w:rPr>
                <w:sz w:val="14"/>
                <w:szCs w:val="16"/>
              </w:rPr>
              <w:t>(0.030)</w:t>
            </w:r>
          </w:p>
        </w:tc>
        <w:tc>
          <w:tcPr>
            <w:tcW w:w="462" w:type="pct"/>
            <w:tcBorders>
              <w:top w:val="nil"/>
              <w:left w:val="nil"/>
              <w:bottom w:val="nil"/>
              <w:right w:val="nil"/>
            </w:tcBorders>
            <w:shd w:val="clear" w:color="auto" w:fill="auto"/>
            <w:noWrap/>
            <w:vAlign w:val="bottom"/>
            <w:hideMark/>
          </w:tcPr>
          <w:p w14:paraId="17699AF1" w14:textId="77777777" w:rsidR="00184B6B" w:rsidRPr="00184B6B" w:rsidRDefault="00184B6B" w:rsidP="00184B6B">
            <w:pPr>
              <w:spacing w:line="240" w:lineRule="auto"/>
              <w:ind w:firstLine="0"/>
              <w:rPr>
                <w:sz w:val="14"/>
                <w:szCs w:val="16"/>
              </w:rPr>
            </w:pPr>
            <w:r w:rsidRPr="00184B6B">
              <w:rPr>
                <w:sz w:val="14"/>
                <w:szCs w:val="16"/>
              </w:rPr>
              <w:t>(0.030)</w:t>
            </w:r>
          </w:p>
        </w:tc>
        <w:tc>
          <w:tcPr>
            <w:tcW w:w="462" w:type="pct"/>
            <w:tcBorders>
              <w:top w:val="nil"/>
              <w:left w:val="nil"/>
              <w:bottom w:val="nil"/>
              <w:right w:val="nil"/>
            </w:tcBorders>
            <w:shd w:val="clear" w:color="auto" w:fill="auto"/>
            <w:noWrap/>
            <w:vAlign w:val="bottom"/>
            <w:hideMark/>
          </w:tcPr>
          <w:p w14:paraId="4969D828" w14:textId="77777777" w:rsidR="00184B6B" w:rsidRPr="00184B6B" w:rsidRDefault="00184B6B" w:rsidP="00184B6B">
            <w:pPr>
              <w:spacing w:line="240" w:lineRule="auto"/>
              <w:ind w:firstLine="0"/>
              <w:rPr>
                <w:sz w:val="14"/>
                <w:szCs w:val="16"/>
              </w:rPr>
            </w:pPr>
            <w:r w:rsidRPr="00184B6B">
              <w:rPr>
                <w:sz w:val="14"/>
                <w:szCs w:val="16"/>
              </w:rPr>
              <w:t>(0.030)</w:t>
            </w:r>
          </w:p>
        </w:tc>
        <w:tc>
          <w:tcPr>
            <w:tcW w:w="459" w:type="pct"/>
            <w:tcBorders>
              <w:top w:val="nil"/>
              <w:left w:val="nil"/>
              <w:bottom w:val="nil"/>
              <w:right w:val="single" w:sz="4" w:space="0" w:color="auto"/>
            </w:tcBorders>
            <w:shd w:val="clear" w:color="auto" w:fill="auto"/>
            <w:noWrap/>
            <w:vAlign w:val="bottom"/>
            <w:hideMark/>
          </w:tcPr>
          <w:p w14:paraId="7C9650BE" w14:textId="77777777" w:rsidR="00184B6B" w:rsidRPr="00184B6B" w:rsidRDefault="00184B6B" w:rsidP="00184B6B">
            <w:pPr>
              <w:spacing w:line="240" w:lineRule="auto"/>
              <w:ind w:firstLine="0"/>
              <w:rPr>
                <w:sz w:val="14"/>
                <w:szCs w:val="16"/>
              </w:rPr>
            </w:pPr>
            <w:r w:rsidRPr="00184B6B">
              <w:rPr>
                <w:sz w:val="14"/>
                <w:szCs w:val="16"/>
              </w:rPr>
              <w:t>(0.030)</w:t>
            </w:r>
          </w:p>
        </w:tc>
      </w:tr>
      <w:tr w:rsidR="00184B6B" w:rsidRPr="00184B6B" w14:paraId="6F77F14B"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A70DBFF" w14:textId="77777777" w:rsidR="00184B6B" w:rsidRPr="00184B6B" w:rsidRDefault="00184B6B" w:rsidP="00184B6B">
            <w:pPr>
              <w:spacing w:line="240" w:lineRule="auto"/>
              <w:ind w:firstLine="0"/>
              <w:jc w:val="left"/>
              <w:rPr>
                <w:sz w:val="14"/>
                <w:szCs w:val="16"/>
              </w:rPr>
            </w:pPr>
            <w:r w:rsidRPr="00184B6B">
              <w:rPr>
                <w:sz w:val="14"/>
                <w:szCs w:val="16"/>
              </w:rPr>
              <w:t>Year 2011</w:t>
            </w:r>
          </w:p>
        </w:tc>
        <w:tc>
          <w:tcPr>
            <w:tcW w:w="462" w:type="pct"/>
            <w:tcBorders>
              <w:top w:val="nil"/>
              <w:left w:val="single" w:sz="4" w:space="0" w:color="auto"/>
              <w:bottom w:val="nil"/>
              <w:right w:val="nil"/>
            </w:tcBorders>
            <w:shd w:val="clear" w:color="auto" w:fill="auto"/>
            <w:noWrap/>
            <w:vAlign w:val="bottom"/>
            <w:hideMark/>
          </w:tcPr>
          <w:p w14:paraId="76B47656" w14:textId="77777777" w:rsidR="00184B6B" w:rsidRPr="00184B6B" w:rsidRDefault="00184B6B" w:rsidP="00184B6B">
            <w:pPr>
              <w:spacing w:line="240" w:lineRule="auto"/>
              <w:ind w:firstLine="0"/>
              <w:rPr>
                <w:sz w:val="14"/>
                <w:szCs w:val="16"/>
              </w:rPr>
            </w:pPr>
            <w:r w:rsidRPr="00184B6B">
              <w:rPr>
                <w:sz w:val="14"/>
                <w:szCs w:val="16"/>
              </w:rPr>
              <w:t>-0.239***</w:t>
            </w:r>
          </w:p>
        </w:tc>
        <w:tc>
          <w:tcPr>
            <w:tcW w:w="462" w:type="pct"/>
            <w:tcBorders>
              <w:top w:val="nil"/>
              <w:left w:val="nil"/>
              <w:bottom w:val="nil"/>
              <w:right w:val="nil"/>
            </w:tcBorders>
            <w:shd w:val="clear" w:color="auto" w:fill="auto"/>
            <w:noWrap/>
            <w:vAlign w:val="bottom"/>
            <w:hideMark/>
          </w:tcPr>
          <w:p w14:paraId="042CC3FF" w14:textId="77777777" w:rsidR="00184B6B" w:rsidRPr="00184B6B" w:rsidRDefault="00184B6B" w:rsidP="00184B6B">
            <w:pPr>
              <w:spacing w:line="240" w:lineRule="auto"/>
              <w:ind w:firstLine="0"/>
              <w:rPr>
                <w:sz w:val="14"/>
                <w:szCs w:val="16"/>
              </w:rPr>
            </w:pPr>
            <w:r w:rsidRPr="00184B6B">
              <w:rPr>
                <w:sz w:val="14"/>
                <w:szCs w:val="16"/>
              </w:rPr>
              <w:t>-0.224***</w:t>
            </w:r>
          </w:p>
        </w:tc>
        <w:tc>
          <w:tcPr>
            <w:tcW w:w="462" w:type="pct"/>
            <w:tcBorders>
              <w:top w:val="nil"/>
              <w:left w:val="nil"/>
              <w:bottom w:val="nil"/>
              <w:right w:val="nil"/>
            </w:tcBorders>
            <w:shd w:val="clear" w:color="auto" w:fill="auto"/>
            <w:noWrap/>
            <w:vAlign w:val="bottom"/>
            <w:hideMark/>
          </w:tcPr>
          <w:p w14:paraId="4467BFC4" w14:textId="77777777" w:rsidR="00184B6B" w:rsidRPr="00184B6B" w:rsidRDefault="00184B6B" w:rsidP="00184B6B">
            <w:pPr>
              <w:spacing w:line="240" w:lineRule="auto"/>
              <w:ind w:firstLine="0"/>
              <w:rPr>
                <w:sz w:val="14"/>
                <w:szCs w:val="16"/>
              </w:rPr>
            </w:pPr>
            <w:r w:rsidRPr="00184B6B">
              <w:rPr>
                <w:sz w:val="14"/>
                <w:szCs w:val="16"/>
              </w:rPr>
              <w:t>-0.231***</w:t>
            </w:r>
          </w:p>
        </w:tc>
        <w:tc>
          <w:tcPr>
            <w:tcW w:w="462" w:type="pct"/>
            <w:tcBorders>
              <w:top w:val="nil"/>
              <w:left w:val="nil"/>
              <w:bottom w:val="nil"/>
              <w:right w:val="single" w:sz="4" w:space="0" w:color="auto"/>
            </w:tcBorders>
            <w:shd w:val="clear" w:color="auto" w:fill="auto"/>
            <w:noWrap/>
            <w:vAlign w:val="bottom"/>
            <w:hideMark/>
          </w:tcPr>
          <w:p w14:paraId="5B348989" w14:textId="77777777" w:rsidR="00184B6B" w:rsidRPr="00184B6B" w:rsidRDefault="00184B6B" w:rsidP="00184B6B">
            <w:pPr>
              <w:spacing w:line="240" w:lineRule="auto"/>
              <w:ind w:firstLine="0"/>
              <w:rPr>
                <w:sz w:val="14"/>
                <w:szCs w:val="16"/>
              </w:rPr>
            </w:pPr>
            <w:r w:rsidRPr="00184B6B">
              <w:rPr>
                <w:sz w:val="14"/>
                <w:szCs w:val="16"/>
              </w:rPr>
              <w:t>-0.232***</w:t>
            </w:r>
          </w:p>
        </w:tc>
        <w:tc>
          <w:tcPr>
            <w:tcW w:w="462" w:type="pct"/>
            <w:tcBorders>
              <w:top w:val="nil"/>
              <w:left w:val="single" w:sz="4" w:space="0" w:color="auto"/>
              <w:bottom w:val="nil"/>
              <w:right w:val="nil"/>
            </w:tcBorders>
            <w:shd w:val="clear" w:color="auto" w:fill="auto"/>
            <w:noWrap/>
            <w:vAlign w:val="bottom"/>
            <w:hideMark/>
          </w:tcPr>
          <w:p w14:paraId="098D239D" w14:textId="77777777" w:rsidR="00184B6B" w:rsidRPr="00184B6B" w:rsidRDefault="00184B6B" w:rsidP="00184B6B">
            <w:pPr>
              <w:spacing w:line="240" w:lineRule="auto"/>
              <w:ind w:firstLine="0"/>
              <w:rPr>
                <w:sz w:val="14"/>
                <w:szCs w:val="16"/>
              </w:rPr>
            </w:pPr>
            <w:r w:rsidRPr="00184B6B">
              <w:rPr>
                <w:sz w:val="14"/>
                <w:szCs w:val="16"/>
              </w:rPr>
              <w:t>-0.210***</w:t>
            </w:r>
          </w:p>
        </w:tc>
        <w:tc>
          <w:tcPr>
            <w:tcW w:w="462" w:type="pct"/>
            <w:tcBorders>
              <w:top w:val="nil"/>
              <w:left w:val="nil"/>
              <w:bottom w:val="nil"/>
              <w:right w:val="nil"/>
            </w:tcBorders>
            <w:shd w:val="clear" w:color="auto" w:fill="auto"/>
            <w:noWrap/>
            <w:vAlign w:val="bottom"/>
            <w:hideMark/>
          </w:tcPr>
          <w:p w14:paraId="069C0585" w14:textId="77777777" w:rsidR="00184B6B" w:rsidRPr="00184B6B" w:rsidRDefault="00184B6B" w:rsidP="00184B6B">
            <w:pPr>
              <w:spacing w:line="240" w:lineRule="auto"/>
              <w:ind w:firstLine="0"/>
              <w:rPr>
                <w:sz w:val="14"/>
                <w:szCs w:val="16"/>
              </w:rPr>
            </w:pPr>
            <w:r w:rsidRPr="00184B6B">
              <w:rPr>
                <w:sz w:val="14"/>
                <w:szCs w:val="16"/>
              </w:rPr>
              <w:t>-0.203***</w:t>
            </w:r>
          </w:p>
        </w:tc>
        <w:tc>
          <w:tcPr>
            <w:tcW w:w="462" w:type="pct"/>
            <w:tcBorders>
              <w:top w:val="nil"/>
              <w:left w:val="nil"/>
              <w:bottom w:val="nil"/>
              <w:right w:val="nil"/>
            </w:tcBorders>
            <w:shd w:val="clear" w:color="auto" w:fill="auto"/>
            <w:noWrap/>
            <w:vAlign w:val="bottom"/>
            <w:hideMark/>
          </w:tcPr>
          <w:p w14:paraId="2A8C7DBC" w14:textId="77777777" w:rsidR="00184B6B" w:rsidRPr="00184B6B" w:rsidRDefault="00184B6B" w:rsidP="00184B6B">
            <w:pPr>
              <w:spacing w:line="240" w:lineRule="auto"/>
              <w:ind w:firstLine="0"/>
              <w:rPr>
                <w:sz w:val="14"/>
                <w:szCs w:val="16"/>
              </w:rPr>
            </w:pPr>
            <w:r w:rsidRPr="00184B6B">
              <w:rPr>
                <w:sz w:val="14"/>
                <w:szCs w:val="16"/>
              </w:rPr>
              <w:t>-0.207***</w:t>
            </w:r>
          </w:p>
        </w:tc>
        <w:tc>
          <w:tcPr>
            <w:tcW w:w="459" w:type="pct"/>
            <w:tcBorders>
              <w:top w:val="nil"/>
              <w:left w:val="nil"/>
              <w:bottom w:val="nil"/>
              <w:right w:val="single" w:sz="4" w:space="0" w:color="auto"/>
            </w:tcBorders>
            <w:shd w:val="clear" w:color="auto" w:fill="auto"/>
            <w:noWrap/>
            <w:vAlign w:val="bottom"/>
            <w:hideMark/>
          </w:tcPr>
          <w:p w14:paraId="6AC05489" w14:textId="77777777" w:rsidR="00184B6B" w:rsidRPr="00184B6B" w:rsidRDefault="00184B6B" w:rsidP="00184B6B">
            <w:pPr>
              <w:spacing w:line="240" w:lineRule="auto"/>
              <w:ind w:firstLine="0"/>
              <w:rPr>
                <w:sz w:val="14"/>
                <w:szCs w:val="16"/>
              </w:rPr>
            </w:pPr>
            <w:r w:rsidRPr="00184B6B">
              <w:rPr>
                <w:sz w:val="14"/>
                <w:szCs w:val="16"/>
              </w:rPr>
              <w:t>-0.206***</w:t>
            </w:r>
          </w:p>
        </w:tc>
      </w:tr>
      <w:tr w:rsidR="00184B6B" w:rsidRPr="00184B6B" w14:paraId="3823CEC7"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6770CF2B"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6DC88773" w14:textId="77777777" w:rsidR="00184B6B" w:rsidRPr="00184B6B" w:rsidRDefault="00184B6B" w:rsidP="00184B6B">
            <w:pPr>
              <w:spacing w:line="240" w:lineRule="auto"/>
              <w:ind w:firstLine="0"/>
              <w:rPr>
                <w:sz w:val="14"/>
                <w:szCs w:val="16"/>
              </w:rPr>
            </w:pPr>
            <w:r w:rsidRPr="00184B6B">
              <w:rPr>
                <w:sz w:val="14"/>
                <w:szCs w:val="16"/>
              </w:rPr>
              <w:t>(0.040)</w:t>
            </w:r>
          </w:p>
        </w:tc>
        <w:tc>
          <w:tcPr>
            <w:tcW w:w="462" w:type="pct"/>
            <w:tcBorders>
              <w:top w:val="nil"/>
              <w:left w:val="nil"/>
              <w:bottom w:val="nil"/>
              <w:right w:val="nil"/>
            </w:tcBorders>
            <w:shd w:val="clear" w:color="auto" w:fill="auto"/>
            <w:noWrap/>
            <w:vAlign w:val="bottom"/>
            <w:hideMark/>
          </w:tcPr>
          <w:p w14:paraId="41013705" w14:textId="77777777" w:rsidR="00184B6B" w:rsidRPr="00184B6B" w:rsidRDefault="00184B6B" w:rsidP="00184B6B">
            <w:pPr>
              <w:spacing w:line="240" w:lineRule="auto"/>
              <w:ind w:firstLine="0"/>
              <w:rPr>
                <w:sz w:val="14"/>
                <w:szCs w:val="16"/>
              </w:rPr>
            </w:pPr>
            <w:r w:rsidRPr="00184B6B">
              <w:rPr>
                <w:sz w:val="14"/>
                <w:szCs w:val="16"/>
              </w:rPr>
              <w:t>(0.040)</w:t>
            </w:r>
          </w:p>
        </w:tc>
        <w:tc>
          <w:tcPr>
            <w:tcW w:w="462" w:type="pct"/>
            <w:tcBorders>
              <w:top w:val="nil"/>
              <w:left w:val="nil"/>
              <w:bottom w:val="nil"/>
              <w:right w:val="nil"/>
            </w:tcBorders>
            <w:shd w:val="clear" w:color="auto" w:fill="auto"/>
            <w:noWrap/>
            <w:vAlign w:val="bottom"/>
            <w:hideMark/>
          </w:tcPr>
          <w:p w14:paraId="66A8988D" w14:textId="77777777" w:rsidR="00184B6B" w:rsidRPr="00184B6B" w:rsidRDefault="00184B6B" w:rsidP="00184B6B">
            <w:pPr>
              <w:spacing w:line="240" w:lineRule="auto"/>
              <w:ind w:firstLine="0"/>
              <w:rPr>
                <w:sz w:val="14"/>
                <w:szCs w:val="16"/>
              </w:rPr>
            </w:pPr>
            <w:r w:rsidRPr="00184B6B">
              <w:rPr>
                <w:sz w:val="14"/>
                <w:szCs w:val="16"/>
              </w:rPr>
              <w:t>(0.040)</w:t>
            </w:r>
          </w:p>
        </w:tc>
        <w:tc>
          <w:tcPr>
            <w:tcW w:w="462" w:type="pct"/>
            <w:tcBorders>
              <w:top w:val="nil"/>
              <w:left w:val="nil"/>
              <w:bottom w:val="nil"/>
              <w:right w:val="single" w:sz="4" w:space="0" w:color="auto"/>
            </w:tcBorders>
            <w:shd w:val="clear" w:color="auto" w:fill="auto"/>
            <w:noWrap/>
            <w:vAlign w:val="bottom"/>
            <w:hideMark/>
          </w:tcPr>
          <w:p w14:paraId="6CF13BFA" w14:textId="77777777" w:rsidR="00184B6B" w:rsidRPr="00184B6B" w:rsidRDefault="00184B6B" w:rsidP="00184B6B">
            <w:pPr>
              <w:spacing w:line="240" w:lineRule="auto"/>
              <w:ind w:firstLine="0"/>
              <w:rPr>
                <w:sz w:val="14"/>
                <w:szCs w:val="16"/>
              </w:rPr>
            </w:pPr>
            <w:r w:rsidRPr="00184B6B">
              <w:rPr>
                <w:sz w:val="14"/>
                <w:szCs w:val="16"/>
              </w:rPr>
              <w:t>(0.040)</w:t>
            </w:r>
          </w:p>
        </w:tc>
        <w:tc>
          <w:tcPr>
            <w:tcW w:w="462" w:type="pct"/>
            <w:tcBorders>
              <w:top w:val="nil"/>
              <w:left w:val="single" w:sz="4" w:space="0" w:color="auto"/>
              <w:bottom w:val="nil"/>
              <w:right w:val="nil"/>
            </w:tcBorders>
            <w:shd w:val="clear" w:color="auto" w:fill="auto"/>
            <w:noWrap/>
            <w:vAlign w:val="bottom"/>
            <w:hideMark/>
          </w:tcPr>
          <w:p w14:paraId="7D96CF17" w14:textId="77777777" w:rsidR="00184B6B" w:rsidRPr="00184B6B" w:rsidRDefault="00184B6B" w:rsidP="00184B6B">
            <w:pPr>
              <w:spacing w:line="240" w:lineRule="auto"/>
              <w:ind w:firstLine="0"/>
              <w:rPr>
                <w:sz w:val="14"/>
                <w:szCs w:val="16"/>
              </w:rPr>
            </w:pPr>
            <w:r w:rsidRPr="00184B6B">
              <w:rPr>
                <w:sz w:val="14"/>
                <w:szCs w:val="16"/>
              </w:rPr>
              <w:t>(0.030)</w:t>
            </w:r>
          </w:p>
        </w:tc>
        <w:tc>
          <w:tcPr>
            <w:tcW w:w="462" w:type="pct"/>
            <w:tcBorders>
              <w:top w:val="nil"/>
              <w:left w:val="nil"/>
              <w:bottom w:val="nil"/>
              <w:right w:val="nil"/>
            </w:tcBorders>
            <w:shd w:val="clear" w:color="auto" w:fill="auto"/>
            <w:noWrap/>
            <w:vAlign w:val="bottom"/>
            <w:hideMark/>
          </w:tcPr>
          <w:p w14:paraId="1D93AD81" w14:textId="77777777" w:rsidR="00184B6B" w:rsidRPr="00184B6B" w:rsidRDefault="00184B6B" w:rsidP="00184B6B">
            <w:pPr>
              <w:spacing w:line="240" w:lineRule="auto"/>
              <w:ind w:firstLine="0"/>
              <w:rPr>
                <w:sz w:val="14"/>
                <w:szCs w:val="16"/>
              </w:rPr>
            </w:pPr>
            <w:r w:rsidRPr="00184B6B">
              <w:rPr>
                <w:sz w:val="14"/>
                <w:szCs w:val="16"/>
              </w:rPr>
              <w:t>(0.031)</w:t>
            </w:r>
          </w:p>
        </w:tc>
        <w:tc>
          <w:tcPr>
            <w:tcW w:w="462" w:type="pct"/>
            <w:tcBorders>
              <w:top w:val="nil"/>
              <w:left w:val="nil"/>
              <w:bottom w:val="nil"/>
              <w:right w:val="nil"/>
            </w:tcBorders>
            <w:shd w:val="clear" w:color="auto" w:fill="auto"/>
            <w:noWrap/>
            <w:vAlign w:val="bottom"/>
            <w:hideMark/>
          </w:tcPr>
          <w:p w14:paraId="4573E2FD" w14:textId="77777777" w:rsidR="00184B6B" w:rsidRPr="00184B6B" w:rsidRDefault="00184B6B" w:rsidP="00184B6B">
            <w:pPr>
              <w:spacing w:line="240" w:lineRule="auto"/>
              <w:ind w:firstLine="0"/>
              <w:rPr>
                <w:sz w:val="14"/>
                <w:szCs w:val="16"/>
              </w:rPr>
            </w:pPr>
            <w:r w:rsidRPr="00184B6B">
              <w:rPr>
                <w:sz w:val="14"/>
                <w:szCs w:val="16"/>
              </w:rPr>
              <w:t>(0.030)</w:t>
            </w:r>
          </w:p>
        </w:tc>
        <w:tc>
          <w:tcPr>
            <w:tcW w:w="459" w:type="pct"/>
            <w:tcBorders>
              <w:top w:val="nil"/>
              <w:left w:val="nil"/>
              <w:bottom w:val="nil"/>
              <w:right w:val="single" w:sz="4" w:space="0" w:color="auto"/>
            </w:tcBorders>
            <w:shd w:val="clear" w:color="auto" w:fill="auto"/>
            <w:noWrap/>
            <w:vAlign w:val="bottom"/>
            <w:hideMark/>
          </w:tcPr>
          <w:p w14:paraId="09D7D570" w14:textId="77777777" w:rsidR="00184B6B" w:rsidRPr="00184B6B" w:rsidRDefault="00184B6B" w:rsidP="00184B6B">
            <w:pPr>
              <w:spacing w:line="240" w:lineRule="auto"/>
              <w:ind w:firstLine="0"/>
              <w:rPr>
                <w:sz w:val="14"/>
                <w:szCs w:val="16"/>
              </w:rPr>
            </w:pPr>
            <w:r w:rsidRPr="00184B6B">
              <w:rPr>
                <w:sz w:val="14"/>
                <w:szCs w:val="16"/>
              </w:rPr>
              <w:t>(0.031)</w:t>
            </w:r>
          </w:p>
        </w:tc>
      </w:tr>
      <w:tr w:rsidR="00184B6B" w:rsidRPr="00184B6B" w14:paraId="5EB51DE2"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50C07EC2" w14:textId="77777777" w:rsidR="00184B6B" w:rsidRPr="00184B6B" w:rsidRDefault="00184B6B" w:rsidP="00184B6B">
            <w:pPr>
              <w:spacing w:line="240" w:lineRule="auto"/>
              <w:ind w:firstLine="0"/>
              <w:jc w:val="left"/>
              <w:rPr>
                <w:sz w:val="14"/>
                <w:szCs w:val="16"/>
              </w:rPr>
            </w:pPr>
            <w:r w:rsidRPr="00184B6B">
              <w:rPr>
                <w:sz w:val="14"/>
                <w:szCs w:val="16"/>
              </w:rPr>
              <w:t>Constant</w:t>
            </w:r>
          </w:p>
        </w:tc>
        <w:tc>
          <w:tcPr>
            <w:tcW w:w="462" w:type="pct"/>
            <w:tcBorders>
              <w:top w:val="nil"/>
              <w:left w:val="single" w:sz="4" w:space="0" w:color="auto"/>
              <w:bottom w:val="nil"/>
              <w:right w:val="nil"/>
            </w:tcBorders>
            <w:shd w:val="clear" w:color="auto" w:fill="auto"/>
            <w:noWrap/>
            <w:vAlign w:val="bottom"/>
            <w:hideMark/>
          </w:tcPr>
          <w:p w14:paraId="03CBC9D9" w14:textId="77777777" w:rsidR="00184B6B" w:rsidRPr="00184B6B" w:rsidRDefault="00184B6B" w:rsidP="00184B6B">
            <w:pPr>
              <w:spacing w:line="240" w:lineRule="auto"/>
              <w:ind w:firstLine="0"/>
              <w:rPr>
                <w:sz w:val="14"/>
                <w:szCs w:val="16"/>
              </w:rPr>
            </w:pPr>
            <w:r w:rsidRPr="00184B6B">
              <w:rPr>
                <w:sz w:val="14"/>
                <w:szCs w:val="16"/>
              </w:rPr>
              <w:t>-0.320*</w:t>
            </w:r>
          </w:p>
        </w:tc>
        <w:tc>
          <w:tcPr>
            <w:tcW w:w="462" w:type="pct"/>
            <w:tcBorders>
              <w:top w:val="nil"/>
              <w:left w:val="nil"/>
              <w:bottom w:val="nil"/>
              <w:right w:val="nil"/>
            </w:tcBorders>
            <w:shd w:val="clear" w:color="auto" w:fill="auto"/>
            <w:noWrap/>
            <w:vAlign w:val="bottom"/>
            <w:hideMark/>
          </w:tcPr>
          <w:p w14:paraId="3C0B367D" w14:textId="77777777" w:rsidR="00184B6B" w:rsidRPr="00184B6B" w:rsidRDefault="00184B6B" w:rsidP="00184B6B">
            <w:pPr>
              <w:spacing w:line="240" w:lineRule="auto"/>
              <w:ind w:firstLine="0"/>
              <w:rPr>
                <w:sz w:val="14"/>
                <w:szCs w:val="16"/>
              </w:rPr>
            </w:pPr>
            <w:r w:rsidRPr="00184B6B">
              <w:rPr>
                <w:sz w:val="14"/>
                <w:szCs w:val="16"/>
              </w:rPr>
              <w:t>-0.281*</w:t>
            </w:r>
          </w:p>
        </w:tc>
        <w:tc>
          <w:tcPr>
            <w:tcW w:w="462" w:type="pct"/>
            <w:tcBorders>
              <w:top w:val="nil"/>
              <w:left w:val="nil"/>
              <w:bottom w:val="nil"/>
              <w:right w:val="nil"/>
            </w:tcBorders>
            <w:shd w:val="clear" w:color="auto" w:fill="auto"/>
            <w:noWrap/>
            <w:vAlign w:val="bottom"/>
            <w:hideMark/>
          </w:tcPr>
          <w:p w14:paraId="15363D25" w14:textId="77777777" w:rsidR="00184B6B" w:rsidRPr="00184B6B" w:rsidRDefault="00184B6B" w:rsidP="00184B6B">
            <w:pPr>
              <w:spacing w:line="240" w:lineRule="auto"/>
              <w:ind w:firstLine="0"/>
              <w:rPr>
                <w:sz w:val="14"/>
                <w:szCs w:val="16"/>
              </w:rPr>
            </w:pPr>
            <w:r w:rsidRPr="00184B6B">
              <w:rPr>
                <w:sz w:val="14"/>
                <w:szCs w:val="16"/>
              </w:rPr>
              <w:t>-0.238</w:t>
            </w:r>
          </w:p>
        </w:tc>
        <w:tc>
          <w:tcPr>
            <w:tcW w:w="462" w:type="pct"/>
            <w:tcBorders>
              <w:top w:val="nil"/>
              <w:left w:val="nil"/>
              <w:bottom w:val="nil"/>
              <w:right w:val="single" w:sz="4" w:space="0" w:color="auto"/>
            </w:tcBorders>
            <w:shd w:val="clear" w:color="auto" w:fill="auto"/>
            <w:noWrap/>
            <w:vAlign w:val="bottom"/>
            <w:hideMark/>
          </w:tcPr>
          <w:p w14:paraId="5CD45ED9" w14:textId="77777777" w:rsidR="00184B6B" w:rsidRPr="00184B6B" w:rsidRDefault="00184B6B" w:rsidP="00184B6B">
            <w:pPr>
              <w:spacing w:line="240" w:lineRule="auto"/>
              <w:ind w:firstLine="0"/>
              <w:rPr>
                <w:sz w:val="14"/>
                <w:szCs w:val="16"/>
              </w:rPr>
            </w:pPr>
            <w:r w:rsidRPr="00184B6B">
              <w:rPr>
                <w:sz w:val="14"/>
                <w:szCs w:val="16"/>
              </w:rPr>
              <w:t>-0.339**</w:t>
            </w:r>
          </w:p>
        </w:tc>
        <w:tc>
          <w:tcPr>
            <w:tcW w:w="462" w:type="pct"/>
            <w:tcBorders>
              <w:top w:val="nil"/>
              <w:left w:val="single" w:sz="4" w:space="0" w:color="auto"/>
              <w:bottom w:val="nil"/>
              <w:right w:val="nil"/>
            </w:tcBorders>
            <w:shd w:val="clear" w:color="auto" w:fill="auto"/>
            <w:noWrap/>
            <w:vAlign w:val="bottom"/>
            <w:hideMark/>
          </w:tcPr>
          <w:p w14:paraId="5A47A3B1"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95F969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3321F2A8"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nil"/>
              <w:right w:val="single" w:sz="4" w:space="0" w:color="auto"/>
            </w:tcBorders>
            <w:shd w:val="clear" w:color="auto" w:fill="auto"/>
            <w:noWrap/>
            <w:vAlign w:val="bottom"/>
            <w:hideMark/>
          </w:tcPr>
          <w:p w14:paraId="3866E6E8" w14:textId="77777777" w:rsidR="00184B6B" w:rsidRPr="00184B6B" w:rsidRDefault="00184B6B" w:rsidP="00184B6B">
            <w:pPr>
              <w:spacing w:line="240" w:lineRule="auto"/>
              <w:ind w:firstLine="0"/>
              <w:rPr>
                <w:sz w:val="14"/>
                <w:szCs w:val="16"/>
              </w:rPr>
            </w:pPr>
            <w:r w:rsidRPr="00184B6B">
              <w:rPr>
                <w:sz w:val="14"/>
                <w:szCs w:val="16"/>
              </w:rPr>
              <w:t>-</w:t>
            </w:r>
          </w:p>
        </w:tc>
      </w:tr>
      <w:tr w:rsidR="00184B6B" w:rsidRPr="00184B6B" w14:paraId="711FC162" w14:textId="77777777" w:rsidTr="00B617ED">
        <w:trPr>
          <w:trHeight w:hRule="exact" w:val="227"/>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14:paraId="65484B81"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single" w:sz="4" w:space="0" w:color="auto"/>
              <w:right w:val="nil"/>
            </w:tcBorders>
            <w:shd w:val="clear" w:color="auto" w:fill="auto"/>
            <w:noWrap/>
            <w:vAlign w:val="bottom"/>
            <w:hideMark/>
          </w:tcPr>
          <w:p w14:paraId="21857CFD" w14:textId="77777777" w:rsidR="00184B6B" w:rsidRPr="00184B6B" w:rsidRDefault="00184B6B" w:rsidP="00184B6B">
            <w:pPr>
              <w:spacing w:line="240" w:lineRule="auto"/>
              <w:ind w:firstLine="0"/>
              <w:rPr>
                <w:sz w:val="14"/>
                <w:szCs w:val="16"/>
              </w:rPr>
            </w:pPr>
            <w:r w:rsidRPr="00184B6B">
              <w:rPr>
                <w:sz w:val="14"/>
                <w:szCs w:val="16"/>
              </w:rPr>
              <w:t>(0.173)</w:t>
            </w:r>
          </w:p>
        </w:tc>
        <w:tc>
          <w:tcPr>
            <w:tcW w:w="462" w:type="pct"/>
            <w:tcBorders>
              <w:top w:val="nil"/>
              <w:left w:val="nil"/>
              <w:bottom w:val="single" w:sz="4" w:space="0" w:color="auto"/>
              <w:right w:val="nil"/>
            </w:tcBorders>
            <w:shd w:val="clear" w:color="auto" w:fill="auto"/>
            <w:noWrap/>
            <w:vAlign w:val="bottom"/>
            <w:hideMark/>
          </w:tcPr>
          <w:p w14:paraId="1918C9AF" w14:textId="77777777" w:rsidR="00184B6B" w:rsidRPr="00184B6B" w:rsidRDefault="00184B6B" w:rsidP="00184B6B">
            <w:pPr>
              <w:spacing w:line="240" w:lineRule="auto"/>
              <w:ind w:firstLine="0"/>
              <w:rPr>
                <w:sz w:val="14"/>
                <w:szCs w:val="16"/>
              </w:rPr>
            </w:pPr>
            <w:r w:rsidRPr="00184B6B">
              <w:rPr>
                <w:sz w:val="14"/>
                <w:szCs w:val="16"/>
              </w:rPr>
              <w:t>(0.170)</w:t>
            </w:r>
          </w:p>
        </w:tc>
        <w:tc>
          <w:tcPr>
            <w:tcW w:w="462" w:type="pct"/>
            <w:tcBorders>
              <w:top w:val="nil"/>
              <w:left w:val="nil"/>
              <w:bottom w:val="single" w:sz="4" w:space="0" w:color="auto"/>
              <w:right w:val="nil"/>
            </w:tcBorders>
            <w:shd w:val="clear" w:color="auto" w:fill="auto"/>
            <w:noWrap/>
            <w:vAlign w:val="bottom"/>
            <w:hideMark/>
          </w:tcPr>
          <w:p w14:paraId="66FDF4E5" w14:textId="77777777" w:rsidR="00184B6B" w:rsidRPr="00184B6B" w:rsidRDefault="00184B6B" w:rsidP="00184B6B">
            <w:pPr>
              <w:spacing w:line="240" w:lineRule="auto"/>
              <w:ind w:firstLine="0"/>
              <w:rPr>
                <w:sz w:val="14"/>
                <w:szCs w:val="16"/>
              </w:rPr>
            </w:pPr>
            <w:r w:rsidRPr="00184B6B">
              <w:rPr>
                <w:sz w:val="14"/>
                <w:szCs w:val="16"/>
              </w:rPr>
              <w:t>(0.170)</w:t>
            </w:r>
          </w:p>
        </w:tc>
        <w:tc>
          <w:tcPr>
            <w:tcW w:w="462" w:type="pct"/>
            <w:tcBorders>
              <w:top w:val="nil"/>
              <w:left w:val="nil"/>
              <w:bottom w:val="single" w:sz="4" w:space="0" w:color="auto"/>
              <w:right w:val="single" w:sz="4" w:space="0" w:color="auto"/>
            </w:tcBorders>
            <w:shd w:val="clear" w:color="auto" w:fill="auto"/>
            <w:noWrap/>
            <w:vAlign w:val="bottom"/>
            <w:hideMark/>
          </w:tcPr>
          <w:p w14:paraId="37A8E97B" w14:textId="77777777" w:rsidR="00184B6B" w:rsidRPr="00184B6B" w:rsidRDefault="00184B6B" w:rsidP="00184B6B">
            <w:pPr>
              <w:spacing w:line="240" w:lineRule="auto"/>
              <w:ind w:firstLine="0"/>
              <w:rPr>
                <w:sz w:val="14"/>
                <w:szCs w:val="16"/>
              </w:rPr>
            </w:pPr>
            <w:r w:rsidRPr="00184B6B">
              <w:rPr>
                <w:sz w:val="14"/>
                <w:szCs w:val="16"/>
              </w:rPr>
              <w:t>(0.171)</w:t>
            </w:r>
          </w:p>
        </w:tc>
        <w:tc>
          <w:tcPr>
            <w:tcW w:w="462" w:type="pct"/>
            <w:tcBorders>
              <w:top w:val="nil"/>
              <w:left w:val="single" w:sz="4" w:space="0" w:color="auto"/>
              <w:bottom w:val="single" w:sz="4" w:space="0" w:color="auto"/>
              <w:right w:val="nil"/>
            </w:tcBorders>
            <w:shd w:val="clear" w:color="auto" w:fill="auto"/>
            <w:noWrap/>
            <w:vAlign w:val="bottom"/>
            <w:hideMark/>
          </w:tcPr>
          <w:p w14:paraId="6611E9ED"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single" w:sz="4" w:space="0" w:color="auto"/>
              <w:right w:val="nil"/>
            </w:tcBorders>
            <w:shd w:val="clear" w:color="auto" w:fill="auto"/>
            <w:noWrap/>
            <w:vAlign w:val="bottom"/>
            <w:hideMark/>
          </w:tcPr>
          <w:p w14:paraId="5848058F"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single" w:sz="4" w:space="0" w:color="auto"/>
              <w:right w:val="nil"/>
            </w:tcBorders>
            <w:shd w:val="clear" w:color="auto" w:fill="auto"/>
            <w:noWrap/>
            <w:vAlign w:val="bottom"/>
            <w:hideMark/>
          </w:tcPr>
          <w:p w14:paraId="5E0A1E55" w14:textId="77777777" w:rsidR="00184B6B" w:rsidRPr="00184B6B" w:rsidRDefault="00184B6B" w:rsidP="00184B6B">
            <w:pPr>
              <w:spacing w:line="240" w:lineRule="auto"/>
              <w:ind w:firstLine="0"/>
              <w:rPr>
                <w:sz w:val="14"/>
                <w:szCs w:val="16"/>
              </w:rPr>
            </w:pPr>
            <w:r w:rsidRPr="00184B6B">
              <w:rPr>
                <w:sz w:val="14"/>
                <w:szCs w:val="16"/>
              </w:rPr>
              <w:t>-</w:t>
            </w:r>
          </w:p>
        </w:tc>
        <w:tc>
          <w:tcPr>
            <w:tcW w:w="459" w:type="pct"/>
            <w:tcBorders>
              <w:top w:val="nil"/>
              <w:left w:val="nil"/>
              <w:bottom w:val="single" w:sz="4" w:space="0" w:color="auto"/>
              <w:right w:val="single" w:sz="4" w:space="0" w:color="auto"/>
            </w:tcBorders>
            <w:shd w:val="clear" w:color="auto" w:fill="auto"/>
            <w:noWrap/>
            <w:vAlign w:val="bottom"/>
            <w:hideMark/>
          </w:tcPr>
          <w:p w14:paraId="453A857C" w14:textId="77777777" w:rsidR="00184B6B" w:rsidRPr="00184B6B" w:rsidRDefault="00184B6B" w:rsidP="00184B6B">
            <w:pPr>
              <w:spacing w:line="240" w:lineRule="auto"/>
              <w:ind w:firstLine="0"/>
              <w:rPr>
                <w:sz w:val="14"/>
                <w:szCs w:val="16"/>
              </w:rPr>
            </w:pPr>
            <w:r w:rsidRPr="00184B6B">
              <w:rPr>
                <w:sz w:val="14"/>
                <w:szCs w:val="16"/>
              </w:rPr>
              <w:t>-</w:t>
            </w:r>
          </w:p>
        </w:tc>
      </w:tr>
      <w:tr w:rsidR="00184B6B" w:rsidRPr="00184B6B" w14:paraId="5A5237A9" w14:textId="77777777" w:rsidTr="00B617ED">
        <w:trPr>
          <w:trHeight w:hRule="exact" w:val="227"/>
        </w:trPr>
        <w:tc>
          <w:tcPr>
            <w:tcW w:w="1307" w:type="pct"/>
            <w:tcBorders>
              <w:top w:val="single" w:sz="4" w:space="0" w:color="auto"/>
              <w:left w:val="single" w:sz="4" w:space="0" w:color="auto"/>
              <w:bottom w:val="nil"/>
              <w:right w:val="single" w:sz="4" w:space="0" w:color="auto"/>
            </w:tcBorders>
            <w:shd w:val="clear" w:color="auto" w:fill="auto"/>
            <w:noWrap/>
            <w:vAlign w:val="bottom"/>
            <w:hideMark/>
          </w:tcPr>
          <w:p w14:paraId="6A4AB68C" w14:textId="77777777" w:rsidR="00184B6B" w:rsidRPr="00184B6B" w:rsidRDefault="00184B6B" w:rsidP="00184B6B">
            <w:pPr>
              <w:spacing w:line="240" w:lineRule="auto"/>
              <w:ind w:firstLine="0"/>
              <w:jc w:val="left"/>
              <w:rPr>
                <w:sz w:val="14"/>
                <w:szCs w:val="16"/>
              </w:rPr>
            </w:pPr>
            <w:r w:rsidRPr="00184B6B">
              <w:rPr>
                <w:sz w:val="14"/>
                <w:szCs w:val="16"/>
              </w:rPr>
              <w:t>cut1</w:t>
            </w:r>
          </w:p>
        </w:tc>
        <w:tc>
          <w:tcPr>
            <w:tcW w:w="462" w:type="pct"/>
            <w:tcBorders>
              <w:top w:val="single" w:sz="4" w:space="0" w:color="auto"/>
              <w:left w:val="single" w:sz="4" w:space="0" w:color="auto"/>
              <w:bottom w:val="nil"/>
              <w:right w:val="nil"/>
            </w:tcBorders>
            <w:shd w:val="clear" w:color="auto" w:fill="auto"/>
            <w:noWrap/>
            <w:vAlign w:val="bottom"/>
            <w:hideMark/>
          </w:tcPr>
          <w:p w14:paraId="4F4A1311"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nil"/>
              <w:bottom w:val="nil"/>
              <w:right w:val="nil"/>
            </w:tcBorders>
            <w:shd w:val="clear" w:color="auto" w:fill="auto"/>
            <w:noWrap/>
            <w:vAlign w:val="bottom"/>
            <w:hideMark/>
          </w:tcPr>
          <w:p w14:paraId="67CA56D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nil"/>
              <w:bottom w:val="nil"/>
              <w:right w:val="nil"/>
            </w:tcBorders>
            <w:shd w:val="clear" w:color="auto" w:fill="auto"/>
            <w:noWrap/>
            <w:vAlign w:val="bottom"/>
            <w:hideMark/>
          </w:tcPr>
          <w:p w14:paraId="5871F32F"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nil"/>
              <w:bottom w:val="nil"/>
              <w:right w:val="single" w:sz="4" w:space="0" w:color="auto"/>
            </w:tcBorders>
            <w:shd w:val="clear" w:color="auto" w:fill="auto"/>
            <w:noWrap/>
            <w:vAlign w:val="bottom"/>
            <w:hideMark/>
          </w:tcPr>
          <w:p w14:paraId="268B28B1"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single" w:sz="4" w:space="0" w:color="auto"/>
              <w:left w:val="single" w:sz="4" w:space="0" w:color="auto"/>
              <w:bottom w:val="nil"/>
              <w:right w:val="nil"/>
            </w:tcBorders>
            <w:shd w:val="clear" w:color="auto" w:fill="auto"/>
            <w:noWrap/>
            <w:vAlign w:val="bottom"/>
            <w:hideMark/>
          </w:tcPr>
          <w:p w14:paraId="43A4E73E" w14:textId="77777777" w:rsidR="00184B6B" w:rsidRPr="00184B6B" w:rsidRDefault="00184B6B" w:rsidP="00184B6B">
            <w:pPr>
              <w:spacing w:line="240" w:lineRule="auto"/>
              <w:ind w:firstLine="0"/>
              <w:rPr>
                <w:sz w:val="14"/>
                <w:szCs w:val="16"/>
              </w:rPr>
            </w:pPr>
            <w:r w:rsidRPr="00184B6B">
              <w:rPr>
                <w:sz w:val="14"/>
                <w:szCs w:val="16"/>
              </w:rPr>
              <w:t>0.267**</w:t>
            </w:r>
          </w:p>
        </w:tc>
        <w:tc>
          <w:tcPr>
            <w:tcW w:w="462" w:type="pct"/>
            <w:tcBorders>
              <w:top w:val="single" w:sz="4" w:space="0" w:color="auto"/>
              <w:left w:val="nil"/>
              <w:bottom w:val="nil"/>
              <w:right w:val="nil"/>
            </w:tcBorders>
            <w:shd w:val="clear" w:color="auto" w:fill="auto"/>
            <w:noWrap/>
            <w:vAlign w:val="bottom"/>
            <w:hideMark/>
          </w:tcPr>
          <w:p w14:paraId="2848004E" w14:textId="77777777" w:rsidR="00184B6B" w:rsidRPr="00184B6B" w:rsidRDefault="00184B6B" w:rsidP="00184B6B">
            <w:pPr>
              <w:spacing w:line="240" w:lineRule="auto"/>
              <w:ind w:firstLine="0"/>
              <w:rPr>
                <w:sz w:val="14"/>
                <w:szCs w:val="16"/>
              </w:rPr>
            </w:pPr>
            <w:r w:rsidRPr="00184B6B">
              <w:rPr>
                <w:sz w:val="14"/>
                <w:szCs w:val="16"/>
              </w:rPr>
              <w:t>0.224*</w:t>
            </w:r>
          </w:p>
        </w:tc>
        <w:tc>
          <w:tcPr>
            <w:tcW w:w="462" w:type="pct"/>
            <w:tcBorders>
              <w:top w:val="single" w:sz="4" w:space="0" w:color="auto"/>
              <w:left w:val="nil"/>
              <w:bottom w:val="nil"/>
              <w:right w:val="nil"/>
            </w:tcBorders>
            <w:shd w:val="clear" w:color="auto" w:fill="auto"/>
            <w:noWrap/>
            <w:vAlign w:val="bottom"/>
            <w:hideMark/>
          </w:tcPr>
          <w:p w14:paraId="6D406E73" w14:textId="77777777" w:rsidR="00184B6B" w:rsidRPr="00184B6B" w:rsidRDefault="00184B6B" w:rsidP="00184B6B">
            <w:pPr>
              <w:spacing w:line="240" w:lineRule="auto"/>
              <w:ind w:firstLine="0"/>
              <w:rPr>
                <w:sz w:val="14"/>
                <w:szCs w:val="16"/>
              </w:rPr>
            </w:pPr>
            <w:r w:rsidRPr="00184B6B">
              <w:rPr>
                <w:sz w:val="14"/>
                <w:szCs w:val="16"/>
              </w:rPr>
              <w:t>0.211</w:t>
            </w:r>
          </w:p>
        </w:tc>
        <w:tc>
          <w:tcPr>
            <w:tcW w:w="459" w:type="pct"/>
            <w:tcBorders>
              <w:top w:val="single" w:sz="4" w:space="0" w:color="auto"/>
              <w:left w:val="nil"/>
              <w:bottom w:val="nil"/>
              <w:right w:val="single" w:sz="4" w:space="0" w:color="auto"/>
            </w:tcBorders>
            <w:shd w:val="clear" w:color="auto" w:fill="auto"/>
            <w:noWrap/>
            <w:vAlign w:val="bottom"/>
            <w:hideMark/>
          </w:tcPr>
          <w:p w14:paraId="5BDA21DE" w14:textId="77777777" w:rsidR="00184B6B" w:rsidRPr="00184B6B" w:rsidRDefault="00184B6B" w:rsidP="00184B6B">
            <w:pPr>
              <w:spacing w:line="240" w:lineRule="auto"/>
              <w:ind w:firstLine="0"/>
              <w:rPr>
                <w:sz w:val="14"/>
                <w:szCs w:val="16"/>
              </w:rPr>
            </w:pPr>
            <w:r w:rsidRPr="00184B6B">
              <w:rPr>
                <w:sz w:val="14"/>
                <w:szCs w:val="16"/>
              </w:rPr>
              <w:t>0.264**</w:t>
            </w:r>
          </w:p>
        </w:tc>
      </w:tr>
      <w:tr w:rsidR="00184B6B" w:rsidRPr="00184B6B" w14:paraId="190AF291"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1F2E2B75"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nil"/>
              <w:right w:val="nil"/>
            </w:tcBorders>
            <w:shd w:val="clear" w:color="auto" w:fill="auto"/>
            <w:noWrap/>
            <w:vAlign w:val="bottom"/>
            <w:hideMark/>
          </w:tcPr>
          <w:p w14:paraId="4945F1E8"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1B5E3949"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8C85D7F"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09B7788D"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single" w:sz="4" w:space="0" w:color="auto"/>
              <w:bottom w:val="nil"/>
              <w:right w:val="nil"/>
            </w:tcBorders>
            <w:shd w:val="clear" w:color="auto" w:fill="auto"/>
            <w:noWrap/>
            <w:vAlign w:val="bottom"/>
            <w:hideMark/>
          </w:tcPr>
          <w:p w14:paraId="5E988187" w14:textId="77777777" w:rsidR="00184B6B" w:rsidRPr="00184B6B" w:rsidRDefault="00184B6B" w:rsidP="00184B6B">
            <w:pPr>
              <w:spacing w:line="240" w:lineRule="auto"/>
              <w:ind w:firstLine="0"/>
              <w:rPr>
                <w:sz w:val="14"/>
                <w:szCs w:val="16"/>
              </w:rPr>
            </w:pPr>
            <w:r w:rsidRPr="00184B6B">
              <w:rPr>
                <w:sz w:val="14"/>
                <w:szCs w:val="16"/>
              </w:rPr>
              <w:t>(0.132)</w:t>
            </w:r>
          </w:p>
        </w:tc>
        <w:tc>
          <w:tcPr>
            <w:tcW w:w="462" w:type="pct"/>
            <w:tcBorders>
              <w:top w:val="nil"/>
              <w:left w:val="nil"/>
              <w:bottom w:val="nil"/>
              <w:right w:val="nil"/>
            </w:tcBorders>
            <w:shd w:val="clear" w:color="auto" w:fill="auto"/>
            <w:noWrap/>
            <w:vAlign w:val="bottom"/>
            <w:hideMark/>
          </w:tcPr>
          <w:p w14:paraId="1BADFCC0" w14:textId="77777777" w:rsidR="00184B6B" w:rsidRPr="00184B6B" w:rsidRDefault="00184B6B" w:rsidP="00184B6B">
            <w:pPr>
              <w:spacing w:line="240" w:lineRule="auto"/>
              <w:ind w:firstLine="0"/>
              <w:rPr>
                <w:sz w:val="14"/>
                <w:szCs w:val="16"/>
              </w:rPr>
            </w:pPr>
            <w:r w:rsidRPr="00184B6B">
              <w:rPr>
                <w:sz w:val="14"/>
                <w:szCs w:val="16"/>
              </w:rPr>
              <w:t>(0.130)</w:t>
            </w:r>
          </w:p>
        </w:tc>
        <w:tc>
          <w:tcPr>
            <w:tcW w:w="462" w:type="pct"/>
            <w:tcBorders>
              <w:top w:val="nil"/>
              <w:left w:val="nil"/>
              <w:bottom w:val="nil"/>
              <w:right w:val="nil"/>
            </w:tcBorders>
            <w:shd w:val="clear" w:color="auto" w:fill="auto"/>
            <w:noWrap/>
            <w:vAlign w:val="bottom"/>
            <w:hideMark/>
          </w:tcPr>
          <w:p w14:paraId="7CC60A05" w14:textId="77777777" w:rsidR="00184B6B" w:rsidRPr="00184B6B" w:rsidRDefault="00184B6B" w:rsidP="00184B6B">
            <w:pPr>
              <w:spacing w:line="240" w:lineRule="auto"/>
              <w:ind w:firstLine="0"/>
              <w:rPr>
                <w:sz w:val="14"/>
                <w:szCs w:val="16"/>
              </w:rPr>
            </w:pPr>
            <w:r w:rsidRPr="00184B6B">
              <w:rPr>
                <w:sz w:val="14"/>
                <w:szCs w:val="16"/>
              </w:rPr>
              <w:t>(0.130)</w:t>
            </w:r>
          </w:p>
        </w:tc>
        <w:tc>
          <w:tcPr>
            <w:tcW w:w="459" w:type="pct"/>
            <w:tcBorders>
              <w:top w:val="nil"/>
              <w:left w:val="nil"/>
              <w:bottom w:val="nil"/>
              <w:right w:val="single" w:sz="4" w:space="0" w:color="auto"/>
            </w:tcBorders>
            <w:shd w:val="clear" w:color="auto" w:fill="auto"/>
            <w:noWrap/>
            <w:vAlign w:val="bottom"/>
            <w:hideMark/>
          </w:tcPr>
          <w:p w14:paraId="547B4B77" w14:textId="77777777" w:rsidR="00184B6B" w:rsidRPr="00184B6B" w:rsidRDefault="00184B6B" w:rsidP="00184B6B">
            <w:pPr>
              <w:spacing w:line="240" w:lineRule="auto"/>
              <w:ind w:firstLine="0"/>
              <w:rPr>
                <w:sz w:val="14"/>
                <w:szCs w:val="16"/>
              </w:rPr>
            </w:pPr>
            <w:r w:rsidRPr="00184B6B">
              <w:rPr>
                <w:sz w:val="14"/>
                <w:szCs w:val="16"/>
              </w:rPr>
              <w:t>(0.132)</w:t>
            </w:r>
          </w:p>
        </w:tc>
      </w:tr>
      <w:tr w:rsidR="00184B6B" w:rsidRPr="00184B6B" w14:paraId="6A077204"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bottom"/>
            <w:hideMark/>
          </w:tcPr>
          <w:p w14:paraId="54087273" w14:textId="77777777" w:rsidR="00184B6B" w:rsidRPr="00184B6B" w:rsidRDefault="00184B6B" w:rsidP="00184B6B">
            <w:pPr>
              <w:spacing w:line="240" w:lineRule="auto"/>
              <w:ind w:firstLine="0"/>
              <w:jc w:val="left"/>
              <w:rPr>
                <w:sz w:val="14"/>
                <w:szCs w:val="16"/>
              </w:rPr>
            </w:pPr>
            <w:r w:rsidRPr="00184B6B">
              <w:rPr>
                <w:sz w:val="14"/>
                <w:szCs w:val="16"/>
              </w:rPr>
              <w:t>cut2</w:t>
            </w:r>
          </w:p>
        </w:tc>
        <w:tc>
          <w:tcPr>
            <w:tcW w:w="462" w:type="pct"/>
            <w:tcBorders>
              <w:top w:val="nil"/>
              <w:left w:val="single" w:sz="4" w:space="0" w:color="auto"/>
              <w:bottom w:val="nil"/>
              <w:right w:val="nil"/>
            </w:tcBorders>
            <w:shd w:val="clear" w:color="auto" w:fill="auto"/>
            <w:noWrap/>
            <w:vAlign w:val="bottom"/>
            <w:hideMark/>
          </w:tcPr>
          <w:p w14:paraId="631B9472"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341ABE1E"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nil"/>
            </w:tcBorders>
            <w:shd w:val="clear" w:color="auto" w:fill="auto"/>
            <w:noWrap/>
            <w:vAlign w:val="bottom"/>
            <w:hideMark/>
          </w:tcPr>
          <w:p w14:paraId="00FC6389"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nil"/>
              <w:right w:val="single" w:sz="4" w:space="0" w:color="auto"/>
            </w:tcBorders>
            <w:shd w:val="clear" w:color="auto" w:fill="auto"/>
            <w:noWrap/>
            <w:vAlign w:val="bottom"/>
            <w:hideMark/>
          </w:tcPr>
          <w:p w14:paraId="6D83420D"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single" w:sz="4" w:space="0" w:color="auto"/>
              <w:bottom w:val="nil"/>
              <w:right w:val="nil"/>
            </w:tcBorders>
            <w:shd w:val="clear" w:color="auto" w:fill="auto"/>
            <w:noWrap/>
            <w:vAlign w:val="bottom"/>
            <w:hideMark/>
          </w:tcPr>
          <w:p w14:paraId="5F89F145" w14:textId="77777777" w:rsidR="00184B6B" w:rsidRPr="00184B6B" w:rsidRDefault="00184B6B" w:rsidP="00184B6B">
            <w:pPr>
              <w:spacing w:line="240" w:lineRule="auto"/>
              <w:ind w:firstLine="0"/>
              <w:rPr>
                <w:sz w:val="14"/>
                <w:szCs w:val="16"/>
              </w:rPr>
            </w:pPr>
            <w:r w:rsidRPr="00184B6B">
              <w:rPr>
                <w:sz w:val="14"/>
                <w:szCs w:val="16"/>
              </w:rPr>
              <w:t>1.266***</w:t>
            </w:r>
          </w:p>
        </w:tc>
        <w:tc>
          <w:tcPr>
            <w:tcW w:w="462" w:type="pct"/>
            <w:tcBorders>
              <w:top w:val="nil"/>
              <w:left w:val="nil"/>
              <w:bottom w:val="nil"/>
              <w:right w:val="nil"/>
            </w:tcBorders>
            <w:shd w:val="clear" w:color="auto" w:fill="auto"/>
            <w:noWrap/>
            <w:vAlign w:val="bottom"/>
            <w:hideMark/>
          </w:tcPr>
          <w:p w14:paraId="49F9D5E2" w14:textId="77777777" w:rsidR="00184B6B" w:rsidRPr="00184B6B" w:rsidRDefault="00184B6B" w:rsidP="00184B6B">
            <w:pPr>
              <w:spacing w:line="240" w:lineRule="auto"/>
              <w:ind w:firstLine="0"/>
              <w:rPr>
                <w:sz w:val="14"/>
                <w:szCs w:val="16"/>
              </w:rPr>
            </w:pPr>
            <w:r w:rsidRPr="00184B6B">
              <w:rPr>
                <w:sz w:val="14"/>
                <w:szCs w:val="16"/>
              </w:rPr>
              <w:t>1.223***</w:t>
            </w:r>
          </w:p>
        </w:tc>
        <w:tc>
          <w:tcPr>
            <w:tcW w:w="462" w:type="pct"/>
            <w:tcBorders>
              <w:top w:val="nil"/>
              <w:left w:val="nil"/>
              <w:bottom w:val="nil"/>
              <w:right w:val="nil"/>
            </w:tcBorders>
            <w:shd w:val="clear" w:color="auto" w:fill="auto"/>
            <w:noWrap/>
            <w:vAlign w:val="bottom"/>
            <w:hideMark/>
          </w:tcPr>
          <w:p w14:paraId="108F1592" w14:textId="77777777" w:rsidR="00184B6B" w:rsidRPr="00184B6B" w:rsidRDefault="00184B6B" w:rsidP="00184B6B">
            <w:pPr>
              <w:spacing w:line="240" w:lineRule="auto"/>
              <w:ind w:firstLine="0"/>
              <w:rPr>
                <w:sz w:val="14"/>
                <w:szCs w:val="16"/>
              </w:rPr>
            </w:pPr>
            <w:r w:rsidRPr="00184B6B">
              <w:rPr>
                <w:sz w:val="14"/>
                <w:szCs w:val="16"/>
              </w:rPr>
              <w:t>1.210***</w:t>
            </w:r>
          </w:p>
        </w:tc>
        <w:tc>
          <w:tcPr>
            <w:tcW w:w="459" w:type="pct"/>
            <w:tcBorders>
              <w:top w:val="nil"/>
              <w:left w:val="nil"/>
              <w:bottom w:val="nil"/>
              <w:right w:val="single" w:sz="4" w:space="0" w:color="auto"/>
            </w:tcBorders>
            <w:shd w:val="clear" w:color="auto" w:fill="auto"/>
            <w:noWrap/>
            <w:vAlign w:val="bottom"/>
            <w:hideMark/>
          </w:tcPr>
          <w:p w14:paraId="5C3B4D0A" w14:textId="77777777" w:rsidR="00184B6B" w:rsidRPr="00184B6B" w:rsidRDefault="00184B6B" w:rsidP="00184B6B">
            <w:pPr>
              <w:spacing w:line="240" w:lineRule="auto"/>
              <w:ind w:firstLine="0"/>
              <w:rPr>
                <w:sz w:val="14"/>
                <w:szCs w:val="16"/>
              </w:rPr>
            </w:pPr>
            <w:r w:rsidRPr="00184B6B">
              <w:rPr>
                <w:sz w:val="14"/>
                <w:szCs w:val="16"/>
              </w:rPr>
              <w:t>1.263***</w:t>
            </w:r>
          </w:p>
        </w:tc>
      </w:tr>
      <w:tr w:rsidR="00184B6B" w:rsidRPr="00184B6B" w14:paraId="41D7306C" w14:textId="77777777" w:rsidTr="00B617ED">
        <w:trPr>
          <w:trHeight w:hRule="exact" w:val="227"/>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14:paraId="3AADE72F" w14:textId="77777777" w:rsidR="00184B6B" w:rsidRPr="00184B6B" w:rsidRDefault="00184B6B" w:rsidP="00184B6B">
            <w:pPr>
              <w:spacing w:line="240" w:lineRule="auto"/>
              <w:ind w:firstLine="0"/>
              <w:jc w:val="left"/>
              <w:rPr>
                <w:sz w:val="14"/>
                <w:szCs w:val="16"/>
              </w:rPr>
            </w:pPr>
          </w:p>
        </w:tc>
        <w:tc>
          <w:tcPr>
            <w:tcW w:w="462" w:type="pct"/>
            <w:tcBorders>
              <w:top w:val="nil"/>
              <w:left w:val="single" w:sz="4" w:space="0" w:color="auto"/>
              <w:bottom w:val="single" w:sz="4" w:space="0" w:color="auto"/>
              <w:right w:val="nil"/>
            </w:tcBorders>
            <w:shd w:val="clear" w:color="auto" w:fill="auto"/>
            <w:noWrap/>
            <w:vAlign w:val="bottom"/>
            <w:hideMark/>
          </w:tcPr>
          <w:p w14:paraId="3C8AC6D9"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single" w:sz="4" w:space="0" w:color="auto"/>
              <w:right w:val="nil"/>
            </w:tcBorders>
            <w:shd w:val="clear" w:color="auto" w:fill="auto"/>
            <w:noWrap/>
            <w:vAlign w:val="bottom"/>
            <w:hideMark/>
          </w:tcPr>
          <w:p w14:paraId="32FB455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single" w:sz="4" w:space="0" w:color="auto"/>
              <w:right w:val="nil"/>
            </w:tcBorders>
            <w:shd w:val="clear" w:color="auto" w:fill="auto"/>
            <w:noWrap/>
            <w:vAlign w:val="bottom"/>
            <w:hideMark/>
          </w:tcPr>
          <w:p w14:paraId="6C9F80D4"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nil"/>
              <w:bottom w:val="single" w:sz="4" w:space="0" w:color="auto"/>
              <w:right w:val="single" w:sz="4" w:space="0" w:color="auto"/>
            </w:tcBorders>
            <w:shd w:val="clear" w:color="auto" w:fill="auto"/>
            <w:noWrap/>
            <w:vAlign w:val="bottom"/>
            <w:hideMark/>
          </w:tcPr>
          <w:p w14:paraId="3E1E32A3" w14:textId="77777777" w:rsidR="00184B6B" w:rsidRPr="00184B6B" w:rsidRDefault="00184B6B" w:rsidP="00184B6B">
            <w:pPr>
              <w:spacing w:line="240" w:lineRule="auto"/>
              <w:ind w:firstLine="0"/>
              <w:rPr>
                <w:sz w:val="14"/>
                <w:szCs w:val="16"/>
              </w:rPr>
            </w:pPr>
            <w:r w:rsidRPr="00184B6B">
              <w:rPr>
                <w:sz w:val="14"/>
                <w:szCs w:val="16"/>
              </w:rPr>
              <w:t>-</w:t>
            </w:r>
          </w:p>
        </w:tc>
        <w:tc>
          <w:tcPr>
            <w:tcW w:w="462" w:type="pct"/>
            <w:tcBorders>
              <w:top w:val="nil"/>
              <w:left w:val="single" w:sz="4" w:space="0" w:color="auto"/>
              <w:bottom w:val="single" w:sz="4" w:space="0" w:color="auto"/>
              <w:right w:val="nil"/>
            </w:tcBorders>
            <w:shd w:val="clear" w:color="auto" w:fill="auto"/>
            <w:noWrap/>
            <w:vAlign w:val="bottom"/>
            <w:hideMark/>
          </w:tcPr>
          <w:p w14:paraId="2789672A" w14:textId="77777777" w:rsidR="00184B6B" w:rsidRPr="00184B6B" w:rsidRDefault="00184B6B" w:rsidP="00184B6B">
            <w:pPr>
              <w:spacing w:line="240" w:lineRule="auto"/>
              <w:ind w:firstLine="0"/>
              <w:rPr>
                <w:sz w:val="14"/>
                <w:szCs w:val="16"/>
              </w:rPr>
            </w:pPr>
            <w:r w:rsidRPr="00184B6B">
              <w:rPr>
                <w:sz w:val="14"/>
                <w:szCs w:val="16"/>
              </w:rPr>
              <w:t>(0.135)</w:t>
            </w:r>
          </w:p>
        </w:tc>
        <w:tc>
          <w:tcPr>
            <w:tcW w:w="462" w:type="pct"/>
            <w:tcBorders>
              <w:top w:val="nil"/>
              <w:left w:val="nil"/>
              <w:bottom w:val="single" w:sz="4" w:space="0" w:color="auto"/>
              <w:right w:val="nil"/>
            </w:tcBorders>
            <w:shd w:val="clear" w:color="auto" w:fill="auto"/>
            <w:noWrap/>
            <w:vAlign w:val="bottom"/>
            <w:hideMark/>
          </w:tcPr>
          <w:p w14:paraId="5D4788D4" w14:textId="77777777" w:rsidR="00184B6B" w:rsidRPr="00184B6B" w:rsidRDefault="00184B6B" w:rsidP="00184B6B">
            <w:pPr>
              <w:spacing w:line="240" w:lineRule="auto"/>
              <w:ind w:firstLine="0"/>
              <w:rPr>
                <w:sz w:val="14"/>
                <w:szCs w:val="16"/>
              </w:rPr>
            </w:pPr>
            <w:r w:rsidRPr="00184B6B">
              <w:rPr>
                <w:sz w:val="14"/>
                <w:szCs w:val="16"/>
              </w:rPr>
              <w:t>(0.134)</w:t>
            </w:r>
          </w:p>
        </w:tc>
        <w:tc>
          <w:tcPr>
            <w:tcW w:w="462" w:type="pct"/>
            <w:tcBorders>
              <w:top w:val="nil"/>
              <w:left w:val="nil"/>
              <w:bottom w:val="single" w:sz="4" w:space="0" w:color="auto"/>
              <w:right w:val="nil"/>
            </w:tcBorders>
            <w:shd w:val="clear" w:color="auto" w:fill="auto"/>
            <w:noWrap/>
            <w:vAlign w:val="bottom"/>
            <w:hideMark/>
          </w:tcPr>
          <w:p w14:paraId="1C590D4D" w14:textId="77777777" w:rsidR="00184B6B" w:rsidRPr="00184B6B" w:rsidRDefault="00184B6B" w:rsidP="00184B6B">
            <w:pPr>
              <w:spacing w:line="240" w:lineRule="auto"/>
              <w:ind w:firstLine="0"/>
              <w:rPr>
                <w:sz w:val="14"/>
                <w:szCs w:val="16"/>
              </w:rPr>
            </w:pPr>
            <w:r w:rsidRPr="00184B6B">
              <w:rPr>
                <w:sz w:val="14"/>
                <w:szCs w:val="16"/>
              </w:rPr>
              <w:t>(0.134)</w:t>
            </w:r>
          </w:p>
        </w:tc>
        <w:tc>
          <w:tcPr>
            <w:tcW w:w="459" w:type="pct"/>
            <w:tcBorders>
              <w:top w:val="nil"/>
              <w:left w:val="nil"/>
              <w:bottom w:val="single" w:sz="4" w:space="0" w:color="auto"/>
              <w:right w:val="single" w:sz="4" w:space="0" w:color="auto"/>
            </w:tcBorders>
            <w:shd w:val="clear" w:color="auto" w:fill="auto"/>
            <w:noWrap/>
            <w:vAlign w:val="bottom"/>
            <w:hideMark/>
          </w:tcPr>
          <w:p w14:paraId="1F60061C" w14:textId="77777777" w:rsidR="00184B6B" w:rsidRPr="00184B6B" w:rsidRDefault="00184B6B" w:rsidP="00184B6B">
            <w:pPr>
              <w:spacing w:line="240" w:lineRule="auto"/>
              <w:ind w:firstLine="0"/>
              <w:rPr>
                <w:sz w:val="14"/>
                <w:szCs w:val="16"/>
              </w:rPr>
            </w:pPr>
            <w:r w:rsidRPr="00184B6B">
              <w:rPr>
                <w:sz w:val="14"/>
                <w:szCs w:val="16"/>
              </w:rPr>
              <w:t>(0.135)</w:t>
            </w:r>
          </w:p>
        </w:tc>
      </w:tr>
      <w:tr w:rsidR="00184B6B" w:rsidRPr="00184B6B" w14:paraId="606C8518" w14:textId="77777777" w:rsidTr="00B617ED">
        <w:trPr>
          <w:trHeight w:hRule="exact" w:val="227"/>
        </w:trPr>
        <w:tc>
          <w:tcPr>
            <w:tcW w:w="1307" w:type="pct"/>
            <w:tcBorders>
              <w:top w:val="single" w:sz="4" w:space="0" w:color="auto"/>
              <w:left w:val="single" w:sz="4" w:space="0" w:color="auto"/>
              <w:bottom w:val="nil"/>
              <w:right w:val="single" w:sz="4" w:space="0" w:color="auto"/>
            </w:tcBorders>
            <w:shd w:val="clear" w:color="auto" w:fill="auto"/>
            <w:noWrap/>
            <w:vAlign w:val="center"/>
            <w:hideMark/>
          </w:tcPr>
          <w:p w14:paraId="77696750" w14:textId="77777777" w:rsidR="00184B6B" w:rsidRPr="00184B6B" w:rsidRDefault="00184B6B" w:rsidP="00184B6B">
            <w:pPr>
              <w:spacing w:line="240" w:lineRule="auto"/>
              <w:ind w:firstLine="0"/>
              <w:jc w:val="left"/>
              <w:rPr>
                <w:sz w:val="14"/>
                <w:szCs w:val="20"/>
              </w:rPr>
            </w:pPr>
            <w:r w:rsidRPr="00184B6B">
              <w:rPr>
                <w:sz w:val="14"/>
                <w:szCs w:val="20"/>
              </w:rPr>
              <w:t>Observations</w:t>
            </w:r>
          </w:p>
        </w:tc>
        <w:tc>
          <w:tcPr>
            <w:tcW w:w="462" w:type="pct"/>
            <w:tcBorders>
              <w:top w:val="single" w:sz="4" w:space="0" w:color="auto"/>
              <w:left w:val="single" w:sz="4" w:space="0" w:color="auto"/>
              <w:bottom w:val="nil"/>
              <w:right w:val="nil"/>
            </w:tcBorders>
            <w:shd w:val="clear" w:color="auto" w:fill="auto"/>
            <w:noWrap/>
            <w:vAlign w:val="bottom"/>
            <w:hideMark/>
          </w:tcPr>
          <w:p w14:paraId="21AD5E3A" w14:textId="77777777" w:rsidR="00184B6B" w:rsidRPr="00184B6B" w:rsidRDefault="00184B6B" w:rsidP="00184B6B">
            <w:pPr>
              <w:spacing w:line="240" w:lineRule="auto"/>
              <w:ind w:firstLine="0"/>
              <w:rPr>
                <w:sz w:val="14"/>
                <w:szCs w:val="16"/>
              </w:rPr>
            </w:pPr>
            <w:r w:rsidRPr="00184B6B">
              <w:rPr>
                <w:sz w:val="14"/>
                <w:szCs w:val="16"/>
              </w:rPr>
              <w:t>16858</w:t>
            </w:r>
          </w:p>
        </w:tc>
        <w:tc>
          <w:tcPr>
            <w:tcW w:w="462" w:type="pct"/>
            <w:tcBorders>
              <w:top w:val="single" w:sz="4" w:space="0" w:color="auto"/>
              <w:left w:val="nil"/>
              <w:bottom w:val="nil"/>
              <w:right w:val="nil"/>
            </w:tcBorders>
            <w:shd w:val="clear" w:color="auto" w:fill="auto"/>
            <w:noWrap/>
            <w:vAlign w:val="bottom"/>
            <w:hideMark/>
          </w:tcPr>
          <w:p w14:paraId="13049BC8" w14:textId="77777777" w:rsidR="00184B6B" w:rsidRPr="00184B6B" w:rsidRDefault="00184B6B" w:rsidP="00184B6B">
            <w:pPr>
              <w:spacing w:line="240" w:lineRule="auto"/>
              <w:ind w:firstLine="0"/>
              <w:rPr>
                <w:sz w:val="14"/>
                <w:szCs w:val="16"/>
              </w:rPr>
            </w:pPr>
            <w:r w:rsidRPr="00184B6B">
              <w:rPr>
                <w:sz w:val="14"/>
                <w:szCs w:val="16"/>
              </w:rPr>
              <w:t>16858</w:t>
            </w:r>
          </w:p>
        </w:tc>
        <w:tc>
          <w:tcPr>
            <w:tcW w:w="462" w:type="pct"/>
            <w:tcBorders>
              <w:top w:val="single" w:sz="4" w:space="0" w:color="auto"/>
              <w:left w:val="nil"/>
              <w:bottom w:val="nil"/>
              <w:right w:val="nil"/>
            </w:tcBorders>
            <w:shd w:val="clear" w:color="auto" w:fill="auto"/>
            <w:noWrap/>
            <w:vAlign w:val="bottom"/>
            <w:hideMark/>
          </w:tcPr>
          <w:p w14:paraId="32D910CA" w14:textId="77777777" w:rsidR="00184B6B" w:rsidRPr="00184B6B" w:rsidRDefault="00184B6B" w:rsidP="00184B6B">
            <w:pPr>
              <w:spacing w:line="240" w:lineRule="auto"/>
              <w:ind w:firstLine="0"/>
              <w:rPr>
                <w:sz w:val="14"/>
                <w:szCs w:val="16"/>
              </w:rPr>
            </w:pPr>
            <w:r w:rsidRPr="00184B6B">
              <w:rPr>
                <w:sz w:val="14"/>
                <w:szCs w:val="16"/>
              </w:rPr>
              <w:t>16858</w:t>
            </w:r>
          </w:p>
        </w:tc>
        <w:tc>
          <w:tcPr>
            <w:tcW w:w="462" w:type="pct"/>
            <w:tcBorders>
              <w:top w:val="single" w:sz="4" w:space="0" w:color="auto"/>
              <w:left w:val="nil"/>
              <w:bottom w:val="nil"/>
              <w:right w:val="single" w:sz="4" w:space="0" w:color="auto"/>
            </w:tcBorders>
            <w:shd w:val="clear" w:color="auto" w:fill="auto"/>
            <w:noWrap/>
            <w:vAlign w:val="bottom"/>
            <w:hideMark/>
          </w:tcPr>
          <w:p w14:paraId="4C65D3A6" w14:textId="77777777" w:rsidR="00184B6B" w:rsidRPr="00184B6B" w:rsidRDefault="00184B6B" w:rsidP="00184B6B">
            <w:pPr>
              <w:spacing w:line="240" w:lineRule="auto"/>
              <w:ind w:firstLine="0"/>
              <w:rPr>
                <w:sz w:val="14"/>
                <w:szCs w:val="16"/>
              </w:rPr>
            </w:pPr>
            <w:r w:rsidRPr="00184B6B">
              <w:rPr>
                <w:sz w:val="14"/>
                <w:szCs w:val="16"/>
              </w:rPr>
              <w:t>16858</w:t>
            </w:r>
          </w:p>
        </w:tc>
        <w:tc>
          <w:tcPr>
            <w:tcW w:w="462" w:type="pct"/>
            <w:tcBorders>
              <w:top w:val="single" w:sz="4" w:space="0" w:color="auto"/>
              <w:left w:val="single" w:sz="4" w:space="0" w:color="auto"/>
              <w:bottom w:val="nil"/>
              <w:right w:val="nil"/>
            </w:tcBorders>
            <w:shd w:val="clear" w:color="auto" w:fill="auto"/>
            <w:noWrap/>
            <w:vAlign w:val="bottom"/>
            <w:hideMark/>
          </w:tcPr>
          <w:p w14:paraId="79755EF8" w14:textId="77777777" w:rsidR="00184B6B" w:rsidRPr="00184B6B" w:rsidRDefault="00184B6B" w:rsidP="00184B6B">
            <w:pPr>
              <w:spacing w:line="240" w:lineRule="auto"/>
              <w:ind w:firstLine="0"/>
              <w:rPr>
                <w:sz w:val="14"/>
                <w:szCs w:val="16"/>
              </w:rPr>
            </w:pPr>
            <w:r w:rsidRPr="00184B6B">
              <w:rPr>
                <w:sz w:val="14"/>
                <w:szCs w:val="16"/>
              </w:rPr>
              <w:t>17871</w:t>
            </w:r>
          </w:p>
        </w:tc>
        <w:tc>
          <w:tcPr>
            <w:tcW w:w="462" w:type="pct"/>
            <w:tcBorders>
              <w:top w:val="single" w:sz="4" w:space="0" w:color="auto"/>
              <w:left w:val="nil"/>
              <w:bottom w:val="nil"/>
              <w:right w:val="nil"/>
            </w:tcBorders>
            <w:shd w:val="clear" w:color="auto" w:fill="auto"/>
            <w:noWrap/>
            <w:vAlign w:val="bottom"/>
            <w:hideMark/>
          </w:tcPr>
          <w:p w14:paraId="26C93DDE" w14:textId="77777777" w:rsidR="00184B6B" w:rsidRPr="00184B6B" w:rsidRDefault="00184B6B" w:rsidP="00184B6B">
            <w:pPr>
              <w:spacing w:line="240" w:lineRule="auto"/>
              <w:ind w:firstLine="0"/>
              <w:rPr>
                <w:sz w:val="14"/>
                <w:szCs w:val="16"/>
              </w:rPr>
            </w:pPr>
            <w:r w:rsidRPr="00184B6B">
              <w:rPr>
                <w:sz w:val="14"/>
                <w:szCs w:val="16"/>
              </w:rPr>
              <w:t>17871</w:t>
            </w:r>
          </w:p>
        </w:tc>
        <w:tc>
          <w:tcPr>
            <w:tcW w:w="462" w:type="pct"/>
            <w:tcBorders>
              <w:top w:val="single" w:sz="4" w:space="0" w:color="auto"/>
              <w:left w:val="nil"/>
              <w:bottom w:val="nil"/>
              <w:right w:val="nil"/>
            </w:tcBorders>
            <w:shd w:val="clear" w:color="auto" w:fill="auto"/>
            <w:noWrap/>
            <w:vAlign w:val="bottom"/>
            <w:hideMark/>
          </w:tcPr>
          <w:p w14:paraId="1157252C" w14:textId="77777777" w:rsidR="00184B6B" w:rsidRPr="00184B6B" w:rsidRDefault="00184B6B" w:rsidP="00184B6B">
            <w:pPr>
              <w:spacing w:line="240" w:lineRule="auto"/>
              <w:ind w:firstLine="0"/>
              <w:rPr>
                <w:sz w:val="14"/>
                <w:szCs w:val="16"/>
              </w:rPr>
            </w:pPr>
            <w:r w:rsidRPr="00184B6B">
              <w:rPr>
                <w:sz w:val="14"/>
                <w:szCs w:val="16"/>
              </w:rPr>
              <w:t>17871</w:t>
            </w:r>
          </w:p>
        </w:tc>
        <w:tc>
          <w:tcPr>
            <w:tcW w:w="459" w:type="pct"/>
            <w:tcBorders>
              <w:top w:val="single" w:sz="4" w:space="0" w:color="auto"/>
              <w:left w:val="nil"/>
              <w:bottom w:val="nil"/>
              <w:right w:val="single" w:sz="4" w:space="0" w:color="auto"/>
            </w:tcBorders>
            <w:shd w:val="clear" w:color="auto" w:fill="auto"/>
            <w:noWrap/>
            <w:vAlign w:val="bottom"/>
            <w:hideMark/>
          </w:tcPr>
          <w:p w14:paraId="5739D350" w14:textId="77777777" w:rsidR="00184B6B" w:rsidRPr="00184B6B" w:rsidRDefault="00184B6B" w:rsidP="00184B6B">
            <w:pPr>
              <w:spacing w:line="240" w:lineRule="auto"/>
              <w:ind w:firstLine="0"/>
              <w:rPr>
                <w:sz w:val="14"/>
                <w:szCs w:val="16"/>
              </w:rPr>
            </w:pPr>
            <w:r w:rsidRPr="00184B6B">
              <w:rPr>
                <w:sz w:val="14"/>
                <w:szCs w:val="16"/>
              </w:rPr>
              <w:t>17871</w:t>
            </w:r>
          </w:p>
        </w:tc>
      </w:tr>
      <w:tr w:rsidR="00184B6B" w:rsidRPr="00184B6B" w14:paraId="7A0E9452"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center"/>
            <w:hideMark/>
          </w:tcPr>
          <w:p w14:paraId="3E3ACC2D" w14:textId="77777777" w:rsidR="00184B6B" w:rsidRPr="00184B6B" w:rsidRDefault="00184B6B" w:rsidP="00184B6B">
            <w:pPr>
              <w:spacing w:line="240" w:lineRule="auto"/>
              <w:ind w:firstLine="0"/>
              <w:jc w:val="left"/>
              <w:rPr>
                <w:sz w:val="14"/>
                <w:szCs w:val="20"/>
                <w:vertAlign w:val="superscript"/>
              </w:rPr>
            </w:pPr>
            <w:r w:rsidRPr="00184B6B">
              <w:rPr>
                <w:sz w:val="14"/>
                <w:szCs w:val="20"/>
              </w:rPr>
              <w:t>Pseudo R</w:t>
            </w:r>
            <w:r w:rsidRPr="00184B6B">
              <w:rPr>
                <w:sz w:val="14"/>
                <w:szCs w:val="20"/>
                <w:vertAlign w:val="superscript"/>
              </w:rPr>
              <w:t>2</w:t>
            </w:r>
          </w:p>
        </w:tc>
        <w:tc>
          <w:tcPr>
            <w:tcW w:w="462" w:type="pct"/>
            <w:tcBorders>
              <w:top w:val="nil"/>
              <w:left w:val="single" w:sz="4" w:space="0" w:color="auto"/>
              <w:bottom w:val="nil"/>
              <w:right w:val="nil"/>
            </w:tcBorders>
            <w:shd w:val="clear" w:color="auto" w:fill="auto"/>
            <w:noWrap/>
            <w:vAlign w:val="bottom"/>
            <w:hideMark/>
          </w:tcPr>
          <w:p w14:paraId="70B7A7BF" w14:textId="77777777" w:rsidR="00184B6B" w:rsidRPr="00184B6B" w:rsidRDefault="00184B6B" w:rsidP="00184B6B">
            <w:pPr>
              <w:spacing w:line="240" w:lineRule="auto"/>
              <w:ind w:firstLine="0"/>
              <w:rPr>
                <w:sz w:val="14"/>
                <w:szCs w:val="16"/>
              </w:rPr>
            </w:pPr>
            <w:r w:rsidRPr="00184B6B">
              <w:rPr>
                <w:sz w:val="14"/>
                <w:szCs w:val="16"/>
              </w:rPr>
              <w:t>0.257</w:t>
            </w:r>
          </w:p>
        </w:tc>
        <w:tc>
          <w:tcPr>
            <w:tcW w:w="462" w:type="pct"/>
            <w:tcBorders>
              <w:top w:val="nil"/>
              <w:left w:val="nil"/>
              <w:bottom w:val="nil"/>
              <w:right w:val="nil"/>
            </w:tcBorders>
            <w:shd w:val="clear" w:color="auto" w:fill="auto"/>
            <w:noWrap/>
            <w:vAlign w:val="bottom"/>
            <w:hideMark/>
          </w:tcPr>
          <w:p w14:paraId="50AB3C94" w14:textId="77777777" w:rsidR="00184B6B" w:rsidRPr="00184B6B" w:rsidRDefault="00184B6B" w:rsidP="00184B6B">
            <w:pPr>
              <w:spacing w:line="240" w:lineRule="auto"/>
              <w:ind w:firstLine="0"/>
              <w:rPr>
                <w:sz w:val="14"/>
                <w:szCs w:val="16"/>
              </w:rPr>
            </w:pPr>
            <w:r w:rsidRPr="00184B6B">
              <w:rPr>
                <w:sz w:val="14"/>
                <w:szCs w:val="16"/>
              </w:rPr>
              <w:t>0.257</w:t>
            </w:r>
          </w:p>
        </w:tc>
        <w:tc>
          <w:tcPr>
            <w:tcW w:w="462" w:type="pct"/>
            <w:tcBorders>
              <w:top w:val="nil"/>
              <w:left w:val="nil"/>
              <w:bottom w:val="nil"/>
              <w:right w:val="nil"/>
            </w:tcBorders>
            <w:shd w:val="clear" w:color="auto" w:fill="auto"/>
            <w:noWrap/>
            <w:vAlign w:val="bottom"/>
            <w:hideMark/>
          </w:tcPr>
          <w:p w14:paraId="543FCCB6" w14:textId="77777777" w:rsidR="00184B6B" w:rsidRPr="00184B6B" w:rsidRDefault="00184B6B" w:rsidP="00184B6B">
            <w:pPr>
              <w:spacing w:line="240" w:lineRule="auto"/>
              <w:ind w:firstLine="0"/>
              <w:rPr>
                <w:sz w:val="14"/>
                <w:szCs w:val="16"/>
              </w:rPr>
            </w:pPr>
            <w:r w:rsidRPr="00184B6B">
              <w:rPr>
                <w:sz w:val="14"/>
                <w:szCs w:val="16"/>
              </w:rPr>
              <w:t>0.257</w:t>
            </w:r>
          </w:p>
        </w:tc>
        <w:tc>
          <w:tcPr>
            <w:tcW w:w="462" w:type="pct"/>
            <w:tcBorders>
              <w:top w:val="nil"/>
              <w:left w:val="nil"/>
              <w:bottom w:val="nil"/>
              <w:right w:val="single" w:sz="4" w:space="0" w:color="auto"/>
            </w:tcBorders>
            <w:shd w:val="clear" w:color="auto" w:fill="auto"/>
            <w:noWrap/>
            <w:vAlign w:val="bottom"/>
            <w:hideMark/>
          </w:tcPr>
          <w:p w14:paraId="2E9D3EE1" w14:textId="77777777" w:rsidR="00184B6B" w:rsidRPr="00184B6B" w:rsidRDefault="00184B6B" w:rsidP="00184B6B">
            <w:pPr>
              <w:spacing w:line="240" w:lineRule="auto"/>
              <w:ind w:firstLine="0"/>
              <w:rPr>
                <w:sz w:val="14"/>
                <w:szCs w:val="16"/>
              </w:rPr>
            </w:pPr>
            <w:r w:rsidRPr="00184B6B">
              <w:rPr>
                <w:sz w:val="14"/>
                <w:szCs w:val="16"/>
              </w:rPr>
              <w:t>0.259</w:t>
            </w:r>
          </w:p>
        </w:tc>
        <w:tc>
          <w:tcPr>
            <w:tcW w:w="462" w:type="pct"/>
            <w:tcBorders>
              <w:top w:val="nil"/>
              <w:left w:val="single" w:sz="4" w:space="0" w:color="auto"/>
              <w:bottom w:val="nil"/>
              <w:right w:val="nil"/>
            </w:tcBorders>
            <w:shd w:val="clear" w:color="auto" w:fill="auto"/>
            <w:noWrap/>
            <w:vAlign w:val="bottom"/>
            <w:hideMark/>
          </w:tcPr>
          <w:p w14:paraId="618212A1" w14:textId="77777777" w:rsidR="00184B6B" w:rsidRPr="00184B6B" w:rsidRDefault="00184B6B" w:rsidP="00184B6B">
            <w:pPr>
              <w:spacing w:line="240" w:lineRule="auto"/>
              <w:ind w:firstLine="0"/>
              <w:rPr>
                <w:sz w:val="14"/>
                <w:szCs w:val="16"/>
              </w:rPr>
            </w:pPr>
            <w:r w:rsidRPr="00184B6B">
              <w:rPr>
                <w:sz w:val="14"/>
                <w:szCs w:val="16"/>
              </w:rPr>
              <w:t>0.191</w:t>
            </w:r>
          </w:p>
        </w:tc>
        <w:tc>
          <w:tcPr>
            <w:tcW w:w="462" w:type="pct"/>
            <w:tcBorders>
              <w:top w:val="nil"/>
              <w:left w:val="nil"/>
              <w:bottom w:val="nil"/>
              <w:right w:val="nil"/>
            </w:tcBorders>
            <w:shd w:val="clear" w:color="auto" w:fill="auto"/>
            <w:noWrap/>
            <w:vAlign w:val="bottom"/>
            <w:hideMark/>
          </w:tcPr>
          <w:p w14:paraId="5611A2F9" w14:textId="77777777" w:rsidR="00184B6B" w:rsidRPr="00184B6B" w:rsidRDefault="00184B6B" w:rsidP="00184B6B">
            <w:pPr>
              <w:spacing w:line="240" w:lineRule="auto"/>
              <w:ind w:firstLine="0"/>
              <w:rPr>
                <w:sz w:val="14"/>
                <w:szCs w:val="16"/>
              </w:rPr>
            </w:pPr>
            <w:r w:rsidRPr="00184B6B">
              <w:rPr>
                <w:sz w:val="14"/>
                <w:szCs w:val="16"/>
              </w:rPr>
              <w:t>0.191</w:t>
            </w:r>
          </w:p>
        </w:tc>
        <w:tc>
          <w:tcPr>
            <w:tcW w:w="462" w:type="pct"/>
            <w:tcBorders>
              <w:top w:val="nil"/>
              <w:left w:val="nil"/>
              <w:bottom w:val="nil"/>
              <w:right w:val="nil"/>
            </w:tcBorders>
            <w:shd w:val="clear" w:color="auto" w:fill="auto"/>
            <w:noWrap/>
            <w:vAlign w:val="bottom"/>
            <w:hideMark/>
          </w:tcPr>
          <w:p w14:paraId="7DA6074A" w14:textId="77777777" w:rsidR="00184B6B" w:rsidRPr="00184B6B" w:rsidRDefault="00184B6B" w:rsidP="00184B6B">
            <w:pPr>
              <w:spacing w:line="240" w:lineRule="auto"/>
              <w:ind w:firstLine="0"/>
              <w:rPr>
                <w:sz w:val="14"/>
                <w:szCs w:val="16"/>
              </w:rPr>
            </w:pPr>
            <w:r w:rsidRPr="00184B6B">
              <w:rPr>
                <w:sz w:val="14"/>
                <w:szCs w:val="16"/>
              </w:rPr>
              <w:t>0.191</w:t>
            </w:r>
          </w:p>
        </w:tc>
        <w:tc>
          <w:tcPr>
            <w:tcW w:w="459" w:type="pct"/>
            <w:tcBorders>
              <w:top w:val="nil"/>
              <w:left w:val="nil"/>
              <w:bottom w:val="nil"/>
              <w:right w:val="single" w:sz="4" w:space="0" w:color="auto"/>
            </w:tcBorders>
            <w:shd w:val="clear" w:color="auto" w:fill="auto"/>
            <w:noWrap/>
            <w:vAlign w:val="bottom"/>
            <w:hideMark/>
          </w:tcPr>
          <w:p w14:paraId="6572A41B" w14:textId="77777777" w:rsidR="00184B6B" w:rsidRPr="00184B6B" w:rsidRDefault="00184B6B" w:rsidP="00184B6B">
            <w:pPr>
              <w:spacing w:line="240" w:lineRule="auto"/>
              <w:ind w:firstLine="0"/>
              <w:rPr>
                <w:sz w:val="14"/>
                <w:szCs w:val="16"/>
              </w:rPr>
            </w:pPr>
            <w:r w:rsidRPr="00184B6B">
              <w:rPr>
                <w:sz w:val="14"/>
                <w:szCs w:val="16"/>
              </w:rPr>
              <w:t>0.191</w:t>
            </w:r>
          </w:p>
        </w:tc>
      </w:tr>
      <w:tr w:rsidR="00184B6B" w:rsidRPr="00184B6B" w14:paraId="42BD53B4" w14:textId="77777777" w:rsidTr="00B617ED">
        <w:trPr>
          <w:trHeight w:hRule="exact" w:val="227"/>
        </w:trPr>
        <w:tc>
          <w:tcPr>
            <w:tcW w:w="1307" w:type="pct"/>
            <w:tcBorders>
              <w:top w:val="nil"/>
              <w:left w:val="single" w:sz="4" w:space="0" w:color="auto"/>
              <w:bottom w:val="nil"/>
              <w:right w:val="single" w:sz="4" w:space="0" w:color="auto"/>
            </w:tcBorders>
            <w:shd w:val="clear" w:color="auto" w:fill="auto"/>
            <w:noWrap/>
            <w:vAlign w:val="center"/>
            <w:hideMark/>
          </w:tcPr>
          <w:p w14:paraId="1C5CF8F0" w14:textId="77777777" w:rsidR="00184B6B" w:rsidRPr="00184B6B" w:rsidRDefault="00184B6B" w:rsidP="00184B6B">
            <w:pPr>
              <w:spacing w:line="240" w:lineRule="auto"/>
              <w:ind w:firstLine="0"/>
              <w:jc w:val="left"/>
              <w:rPr>
                <w:sz w:val="14"/>
                <w:szCs w:val="20"/>
                <w:vertAlign w:val="superscript"/>
              </w:rPr>
            </w:pPr>
            <w:r w:rsidRPr="00184B6B">
              <w:rPr>
                <w:sz w:val="14"/>
                <w:szCs w:val="20"/>
              </w:rPr>
              <w:t>Chi</w:t>
            </w:r>
            <w:r w:rsidRPr="00184B6B">
              <w:rPr>
                <w:sz w:val="14"/>
                <w:szCs w:val="20"/>
                <w:vertAlign w:val="superscript"/>
              </w:rPr>
              <w:t>2</w:t>
            </w:r>
          </w:p>
        </w:tc>
        <w:tc>
          <w:tcPr>
            <w:tcW w:w="462" w:type="pct"/>
            <w:tcBorders>
              <w:top w:val="nil"/>
              <w:left w:val="single" w:sz="4" w:space="0" w:color="auto"/>
              <w:bottom w:val="nil"/>
              <w:right w:val="nil"/>
            </w:tcBorders>
            <w:shd w:val="clear" w:color="auto" w:fill="auto"/>
            <w:noWrap/>
            <w:vAlign w:val="bottom"/>
            <w:hideMark/>
          </w:tcPr>
          <w:p w14:paraId="35C6DF70" w14:textId="77777777" w:rsidR="00184B6B" w:rsidRPr="00184B6B" w:rsidRDefault="00184B6B" w:rsidP="00184B6B">
            <w:pPr>
              <w:spacing w:line="240" w:lineRule="auto"/>
              <w:ind w:firstLine="0"/>
              <w:rPr>
                <w:sz w:val="14"/>
                <w:szCs w:val="16"/>
              </w:rPr>
            </w:pPr>
            <w:r w:rsidRPr="00184B6B">
              <w:rPr>
                <w:sz w:val="14"/>
                <w:szCs w:val="16"/>
              </w:rPr>
              <w:t>2093.338</w:t>
            </w:r>
          </w:p>
        </w:tc>
        <w:tc>
          <w:tcPr>
            <w:tcW w:w="462" w:type="pct"/>
            <w:tcBorders>
              <w:top w:val="nil"/>
              <w:left w:val="nil"/>
              <w:bottom w:val="nil"/>
              <w:right w:val="nil"/>
            </w:tcBorders>
            <w:shd w:val="clear" w:color="auto" w:fill="auto"/>
            <w:noWrap/>
            <w:vAlign w:val="bottom"/>
            <w:hideMark/>
          </w:tcPr>
          <w:p w14:paraId="297693C5" w14:textId="77777777" w:rsidR="00184B6B" w:rsidRPr="00184B6B" w:rsidRDefault="00184B6B" w:rsidP="00184B6B">
            <w:pPr>
              <w:spacing w:line="240" w:lineRule="auto"/>
              <w:ind w:firstLine="0"/>
              <w:rPr>
                <w:sz w:val="14"/>
                <w:szCs w:val="16"/>
              </w:rPr>
            </w:pPr>
            <w:r w:rsidRPr="00184B6B">
              <w:rPr>
                <w:sz w:val="14"/>
                <w:szCs w:val="16"/>
              </w:rPr>
              <w:t>2087.684</w:t>
            </w:r>
          </w:p>
        </w:tc>
        <w:tc>
          <w:tcPr>
            <w:tcW w:w="462" w:type="pct"/>
            <w:tcBorders>
              <w:top w:val="nil"/>
              <w:left w:val="nil"/>
              <w:bottom w:val="nil"/>
              <w:right w:val="nil"/>
            </w:tcBorders>
            <w:shd w:val="clear" w:color="auto" w:fill="auto"/>
            <w:noWrap/>
            <w:vAlign w:val="bottom"/>
            <w:hideMark/>
          </w:tcPr>
          <w:p w14:paraId="450FBC5D" w14:textId="77777777" w:rsidR="00184B6B" w:rsidRPr="00184B6B" w:rsidRDefault="00184B6B" w:rsidP="00184B6B">
            <w:pPr>
              <w:spacing w:line="240" w:lineRule="auto"/>
              <w:ind w:firstLine="0"/>
              <w:rPr>
                <w:sz w:val="14"/>
                <w:szCs w:val="16"/>
              </w:rPr>
            </w:pPr>
            <w:r w:rsidRPr="00184B6B">
              <w:rPr>
                <w:sz w:val="14"/>
                <w:szCs w:val="16"/>
              </w:rPr>
              <w:t>2079.904</w:t>
            </w:r>
          </w:p>
        </w:tc>
        <w:tc>
          <w:tcPr>
            <w:tcW w:w="462" w:type="pct"/>
            <w:tcBorders>
              <w:top w:val="nil"/>
              <w:left w:val="nil"/>
              <w:bottom w:val="nil"/>
              <w:right w:val="single" w:sz="4" w:space="0" w:color="auto"/>
            </w:tcBorders>
            <w:shd w:val="clear" w:color="auto" w:fill="auto"/>
            <w:noWrap/>
            <w:vAlign w:val="bottom"/>
            <w:hideMark/>
          </w:tcPr>
          <w:p w14:paraId="07BA26C9" w14:textId="77777777" w:rsidR="00184B6B" w:rsidRPr="00184B6B" w:rsidRDefault="00184B6B" w:rsidP="00184B6B">
            <w:pPr>
              <w:spacing w:line="240" w:lineRule="auto"/>
              <w:ind w:firstLine="0"/>
              <w:rPr>
                <w:sz w:val="14"/>
                <w:szCs w:val="16"/>
              </w:rPr>
            </w:pPr>
            <w:r w:rsidRPr="00184B6B">
              <w:rPr>
                <w:sz w:val="14"/>
                <w:szCs w:val="16"/>
              </w:rPr>
              <w:t>2134.609</w:t>
            </w:r>
          </w:p>
        </w:tc>
        <w:tc>
          <w:tcPr>
            <w:tcW w:w="462" w:type="pct"/>
            <w:tcBorders>
              <w:top w:val="nil"/>
              <w:left w:val="single" w:sz="4" w:space="0" w:color="auto"/>
              <w:bottom w:val="nil"/>
              <w:right w:val="nil"/>
            </w:tcBorders>
            <w:shd w:val="clear" w:color="auto" w:fill="auto"/>
            <w:noWrap/>
            <w:vAlign w:val="bottom"/>
            <w:hideMark/>
          </w:tcPr>
          <w:p w14:paraId="0B6EAF2F" w14:textId="77777777" w:rsidR="00184B6B" w:rsidRPr="00184B6B" w:rsidRDefault="00184B6B" w:rsidP="00184B6B">
            <w:pPr>
              <w:spacing w:line="240" w:lineRule="auto"/>
              <w:ind w:firstLine="0"/>
              <w:rPr>
                <w:sz w:val="14"/>
                <w:szCs w:val="16"/>
              </w:rPr>
            </w:pPr>
            <w:r w:rsidRPr="00184B6B">
              <w:rPr>
                <w:sz w:val="14"/>
                <w:szCs w:val="16"/>
              </w:rPr>
              <w:t>2777.588</w:t>
            </w:r>
          </w:p>
        </w:tc>
        <w:tc>
          <w:tcPr>
            <w:tcW w:w="462" w:type="pct"/>
            <w:tcBorders>
              <w:top w:val="nil"/>
              <w:left w:val="nil"/>
              <w:bottom w:val="nil"/>
              <w:right w:val="nil"/>
            </w:tcBorders>
            <w:shd w:val="clear" w:color="auto" w:fill="auto"/>
            <w:noWrap/>
            <w:vAlign w:val="bottom"/>
            <w:hideMark/>
          </w:tcPr>
          <w:p w14:paraId="30436076" w14:textId="77777777" w:rsidR="00184B6B" w:rsidRPr="00184B6B" w:rsidRDefault="00184B6B" w:rsidP="00184B6B">
            <w:pPr>
              <w:spacing w:line="240" w:lineRule="auto"/>
              <w:ind w:firstLine="0"/>
              <w:rPr>
                <w:sz w:val="14"/>
                <w:szCs w:val="16"/>
              </w:rPr>
            </w:pPr>
            <w:r w:rsidRPr="00184B6B">
              <w:rPr>
                <w:sz w:val="14"/>
                <w:szCs w:val="16"/>
              </w:rPr>
              <w:t>2759.721</w:t>
            </w:r>
          </w:p>
        </w:tc>
        <w:tc>
          <w:tcPr>
            <w:tcW w:w="462" w:type="pct"/>
            <w:tcBorders>
              <w:top w:val="nil"/>
              <w:left w:val="nil"/>
              <w:bottom w:val="nil"/>
              <w:right w:val="nil"/>
            </w:tcBorders>
            <w:shd w:val="clear" w:color="auto" w:fill="auto"/>
            <w:noWrap/>
            <w:vAlign w:val="bottom"/>
            <w:hideMark/>
          </w:tcPr>
          <w:p w14:paraId="23D86629" w14:textId="77777777" w:rsidR="00184B6B" w:rsidRPr="00184B6B" w:rsidRDefault="00184B6B" w:rsidP="00184B6B">
            <w:pPr>
              <w:spacing w:line="240" w:lineRule="auto"/>
              <w:ind w:firstLine="0"/>
              <w:rPr>
                <w:sz w:val="14"/>
                <w:szCs w:val="16"/>
              </w:rPr>
            </w:pPr>
            <w:r w:rsidRPr="00184B6B">
              <w:rPr>
                <w:sz w:val="14"/>
                <w:szCs w:val="16"/>
              </w:rPr>
              <w:t>2758.910</w:t>
            </w:r>
          </w:p>
        </w:tc>
        <w:tc>
          <w:tcPr>
            <w:tcW w:w="459" w:type="pct"/>
            <w:tcBorders>
              <w:top w:val="nil"/>
              <w:left w:val="nil"/>
              <w:bottom w:val="nil"/>
              <w:right w:val="single" w:sz="4" w:space="0" w:color="auto"/>
            </w:tcBorders>
            <w:shd w:val="clear" w:color="auto" w:fill="auto"/>
            <w:noWrap/>
            <w:vAlign w:val="bottom"/>
            <w:hideMark/>
          </w:tcPr>
          <w:p w14:paraId="3FD3FDD3" w14:textId="77777777" w:rsidR="00184B6B" w:rsidRPr="00184B6B" w:rsidRDefault="00184B6B" w:rsidP="00184B6B">
            <w:pPr>
              <w:spacing w:line="240" w:lineRule="auto"/>
              <w:ind w:firstLine="0"/>
              <w:rPr>
                <w:sz w:val="14"/>
                <w:szCs w:val="16"/>
              </w:rPr>
            </w:pPr>
            <w:r w:rsidRPr="00184B6B">
              <w:rPr>
                <w:sz w:val="14"/>
                <w:szCs w:val="16"/>
              </w:rPr>
              <w:t>2776.456</w:t>
            </w:r>
          </w:p>
        </w:tc>
      </w:tr>
      <w:tr w:rsidR="00184B6B" w:rsidRPr="00184B6B" w14:paraId="564D985E" w14:textId="77777777" w:rsidTr="00B617ED">
        <w:trPr>
          <w:trHeight w:hRule="exact" w:val="227"/>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7441083D" w14:textId="77777777" w:rsidR="00184B6B" w:rsidRPr="00184B6B" w:rsidRDefault="00184B6B" w:rsidP="00184B6B">
            <w:pPr>
              <w:spacing w:line="240" w:lineRule="auto"/>
              <w:ind w:firstLine="0"/>
              <w:jc w:val="left"/>
              <w:rPr>
                <w:sz w:val="14"/>
                <w:szCs w:val="20"/>
              </w:rPr>
            </w:pPr>
            <w:r w:rsidRPr="00184B6B">
              <w:rPr>
                <w:sz w:val="14"/>
                <w:szCs w:val="20"/>
              </w:rPr>
              <w:t>p &gt; Chi</w:t>
            </w:r>
            <w:r w:rsidRPr="00184B6B">
              <w:rPr>
                <w:sz w:val="14"/>
                <w:szCs w:val="20"/>
                <w:vertAlign w:val="superscript"/>
              </w:rPr>
              <w:t>2</w:t>
            </w:r>
          </w:p>
        </w:tc>
        <w:tc>
          <w:tcPr>
            <w:tcW w:w="462" w:type="pct"/>
            <w:tcBorders>
              <w:top w:val="nil"/>
              <w:left w:val="single" w:sz="4" w:space="0" w:color="auto"/>
              <w:bottom w:val="single" w:sz="4" w:space="0" w:color="auto"/>
              <w:right w:val="nil"/>
            </w:tcBorders>
            <w:shd w:val="clear" w:color="auto" w:fill="auto"/>
            <w:noWrap/>
            <w:vAlign w:val="bottom"/>
            <w:hideMark/>
          </w:tcPr>
          <w:p w14:paraId="7DE602EB" w14:textId="77777777" w:rsidR="00184B6B" w:rsidRPr="00184B6B" w:rsidRDefault="00184B6B" w:rsidP="00184B6B">
            <w:pPr>
              <w:spacing w:line="240" w:lineRule="auto"/>
              <w:ind w:firstLine="0"/>
              <w:rPr>
                <w:sz w:val="14"/>
                <w:szCs w:val="16"/>
              </w:rPr>
            </w:pPr>
            <w:r w:rsidRPr="00184B6B">
              <w:rPr>
                <w:sz w:val="14"/>
                <w:szCs w:val="16"/>
              </w:rPr>
              <w:t>0.000</w:t>
            </w:r>
          </w:p>
        </w:tc>
        <w:tc>
          <w:tcPr>
            <w:tcW w:w="462" w:type="pct"/>
            <w:tcBorders>
              <w:top w:val="nil"/>
              <w:left w:val="nil"/>
              <w:bottom w:val="single" w:sz="4" w:space="0" w:color="auto"/>
              <w:right w:val="nil"/>
            </w:tcBorders>
            <w:shd w:val="clear" w:color="auto" w:fill="auto"/>
            <w:noWrap/>
            <w:vAlign w:val="bottom"/>
            <w:hideMark/>
          </w:tcPr>
          <w:p w14:paraId="7C0AEDD3" w14:textId="77777777" w:rsidR="00184B6B" w:rsidRPr="00184B6B" w:rsidRDefault="00184B6B" w:rsidP="00184B6B">
            <w:pPr>
              <w:spacing w:line="240" w:lineRule="auto"/>
              <w:ind w:firstLine="0"/>
              <w:rPr>
                <w:sz w:val="14"/>
                <w:szCs w:val="16"/>
              </w:rPr>
            </w:pPr>
            <w:r w:rsidRPr="00184B6B">
              <w:rPr>
                <w:sz w:val="14"/>
                <w:szCs w:val="16"/>
              </w:rPr>
              <w:t>0.000</w:t>
            </w:r>
          </w:p>
        </w:tc>
        <w:tc>
          <w:tcPr>
            <w:tcW w:w="462" w:type="pct"/>
            <w:tcBorders>
              <w:top w:val="nil"/>
              <w:left w:val="nil"/>
              <w:bottom w:val="single" w:sz="4" w:space="0" w:color="auto"/>
              <w:right w:val="nil"/>
            </w:tcBorders>
            <w:shd w:val="clear" w:color="auto" w:fill="auto"/>
            <w:noWrap/>
            <w:vAlign w:val="bottom"/>
            <w:hideMark/>
          </w:tcPr>
          <w:p w14:paraId="4A52AC9D" w14:textId="77777777" w:rsidR="00184B6B" w:rsidRPr="00184B6B" w:rsidRDefault="00184B6B" w:rsidP="00184B6B">
            <w:pPr>
              <w:spacing w:line="240" w:lineRule="auto"/>
              <w:ind w:firstLine="0"/>
              <w:rPr>
                <w:sz w:val="14"/>
                <w:szCs w:val="16"/>
              </w:rPr>
            </w:pPr>
            <w:r w:rsidRPr="00184B6B">
              <w:rPr>
                <w:sz w:val="14"/>
                <w:szCs w:val="16"/>
              </w:rPr>
              <w:t>0.000</w:t>
            </w:r>
          </w:p>
        </w:tc>
        <w:tc>
          <w:tcPr>
            <w:tcW w:w="462" w:type="pct"/>
            <w:tcBorders>
              <w:top w:val="nil"/>
              <w:left w:val="nil"/>
              <w:bottom w:val="single" w:sz="4" w:space="0" w:color="auto"/>
              <w:right w:val="single" w:sz="4" w:space="0" w:color="auto"/>
            </w:tcBorders>
            <w:shd w:val="clear" w:color="auto" w:fill="auto"/>
            <w:noWrap/>
            <w:vAlign w:val="bottom"/>
            <w:hideMark/>
          </w:tcPr>
          <w:p w14:paraId="60B4F1B4" w14:textId="77777777" w:rsidR="00184B6B" w:rsidRPr="00184B6B" w:rsidRDefault="00184B6B" w:rsidP="00184B6B">
            <w:pPr>
              <w:spacing w:line="240" w:lineRule="auto"/>
              <w:ind w:firstLine="0"/>
              <w:rPr>
                <w:sz w:val="14"/>
                <w:szCs w:val="16"/>
              </w:rPr>
            </w:pPr>
            <w:r w:rsidRPr="00184B6B">
              <w:rPr>
                <w:sz w:val="14"/>
                <w:szCs w:val="16"/>
              </w:rPr>
              <w:t>0.000</w:t>
            </w:r>
          </w:p>
        </w:tc>
        <w:tc>
          <w:tcPr>
            <w:tcW w:w="462" w:type="pct"/>
            <w:tcBorders>
              <w:top w:val="nil"/>
              <w:left w:val="single" w:sz="4" w:space="0" w:color="auto"/>
              <w:bottom w:val="single" w:sz="4" w:space="0" w:color="auto"/>
              <w:right w:val="nil"/>
            </w:tcBorders>
            <w:shd w:val="clear" w:color="auto" w:fill="auto"/>
            <w:noWrap/>
            <w:vAlign w:val="bottom"/>
            <w:hideMark/>
          </w:tcPr>
          <w:p w14:paraId="18A96B19" w14:textId="77777777" w:rsidR="00184B6B" w:rsidRPr="00184B6B" w:rsidRDefault="00184B6B" w:rsidP="00184B6B">
            <w:pPr>
              <w:spacing w:line="240" w:lineRule="auto"/>
              <w:ind w:firstLine="0"/>
              <w:rPr>
                <w:sz w:val="14"/>
                <w:szCs w:val="16"/>
              </w:rPr>
            </w:pPr>
            <w:r w:rsidRPr="00184B6B">
              <w:rPr>
                <w:sz w:val="14"/>
                <w:szCs w:val="16"/>
              </w:rPr>
              <w:t>0.000</w:t>
            </w:r>
          </w:p>
        </w:tc>
        <w:tc>
          <w:tcPr>
            <w:tcW w:w="462" w:type="pct"/>
            <w:tcBorders>
              <w:top w:val="nil"/>
              <w:left w:val="nil"/>
              <w:bottom w:val="single" w:sz="4" w:space="0" w:color="auto"/>
              <w:right w:val="nil"/>
            </w:tcBorders>
            <w:shd w:val="clear" w:color="auto" w:fill="auto"/>
            <w:noWrap/>
            <w:vAlign w:val="bottom"/>
            <w:hideMark/>
          </w:tcPr>
          <w:p w14:paraId="367E565B" w14:textId="77777777" w:rsidR="00184B6B" w:rsidRPr="00184B6B" w:rsidRDefault="00184B6B" w:rsidP="00184B6B">
            <w:pPr>
              <w:spacing w:line="240" w:lineRule="auto"/>
              <w:ind w:firstLine="0"/>
              <w:rPr>
                <w:sz w:val="14"/>
                <w:szCs w:val="16"/>
              </w:rPr>
            </w:pPr>
            <w:r w:rsidRPr="00184B6B">
              <w:rPr>
                <w:sz w:val="14"/>
                <w:szCs w:val="16"/>
              </w:rPr>
              <w:t>0.000</w:t>
            </w:r>
          </w:p>
        </w:tc>
        <w:tc>
          <w:tcPr>
            <w:tcW w:w="462" w:type="pct"/>
            <w:tcBorders>
              <w:top w:val="nil"/>
              <w:left w:val="nil"/>
              <w:bottom w:val="single" w:sz="4" w:space="0" w:color="auto"/>
              <w:right w:val="nil"/>
            </w:tcBorders>
            <w:shd w:val="clear" w:color="auto" w:fill="auto"/>
            <w:noWrap/>
            <w:vAlign w:val="bottom"/>
            <w:hideMark/>
          </w:tcPr>
          <w:p w14:paraId="27C3A459" w14:textId="77777777" w:rsidR="00184B6B" w:rsidRPr="00184B6B" w:rsidRDefault="00184B6B" w:rsidP="00184B6B">
            <w:pPr>
              <w:spacing w:line="240" w:lineRule="auto"/>
              <w:ind w:firstLine="0"/>
              <w:rPr>
                <w:sz w:val="14"/>
                <w:szCs w:val="16"/>
              </w:rPr>
            </w:pPr>
            <w:r w:rsidRPr="00184B6B">
              <w:rPr>
                <w:sz w:val="14"/>
                <w:szCs w:val="16"/>
              </w:rPr>
              <w:t>0.000</w:t>
            </w:r>
          </w:p>
        </w:tc>
        <w:tc>
          <w:tcPr>
            <w:tcW w:w="459" w:type="pct"/>
            <w:tcBorders>
              <w:top w:val="nil"/>
              <w:left w:val="nil"/>
              <w:bottom w:val="single" w:sz="4" w:space="0" w:color="auto"/>
              <w:right w:val="single" w:sz="4" w:space="0" w:color="auto"/>
            </w:tcBorders>
            <w:shd w:val="clear" w:color="auto" w:fill="auto"/>
            <w:noWrap/>
            <w:vAlign w:val="bottom"/>
            <w:hideMark/>
          </w:tcPr>
          <w:p w14:paraId="1784A228" w14:textId="77777777" w:rsidR="00184B6B" w:rsidRPr="00184B6B" w:rsidRDefault="00184B6B" w:rsidP="00184B6B">
            <w:pPr>
              <w:spacing w:line="240" w:lineRule="auto"/>
              <w:ind w:firstLine="0"/>
              <w:rPr>
                <w:sz w:val="14"/>
                <w:szCs w:val="16"/>
              </w:rPr>
            </w:pPr>
            <w:r w:rsidRPr="00184B6B">
              <w:rPr>
                <w:sz w:val="14"/>
                <w:szCs w:val="16"/>
              </w:rPr>
              <w:t>0.000</w:t>
            </w:r>
          </w:p>
        </w:tc>
      </w:tr>
    </w:tbl>
    <w:p w14:paraId="79DB450E" w14:textId="77777777" w:rsidR="00184B6B" w:rsidRPr="00184B6B" w:rsidRDefault="00184B6B" w:rsidP="00184B6B">
      <w:pPr>
        <w:spacing w:line="276" w:lineRule="auto"/>
        <w:ind w:firstLine="0"/>
        <w:jc w:val="left"/>
        <w:rPr>
          <w:rFonts w:eastAsiaTheme="minorHAnsi"/>
          <w:color w:val="auto"/>
          <w:szCs w:val="22"/>
          <w:lang w:eastAsia="en-US"/>
        </w:rPr>
      </w:pPr>
    </w:p>
    <w:p w14:paraId="6BF53467" w14:textId="77777777" w:rsidR="00184B6B" w:rsidRDefault="00184B6B" w:rsidP="00184B6B">
      <w:pPr>
        <w:spacing w:after="200" w:line="276" w:lineRule="auto"/>
        <w:ind w:firstLine="0"/>
        <w:jc w:val="left"/>
        <w:rPr>
          <w:rFonts w:eastAsiaTheme="minorHAnsi"/>
          <w:color w:val="auto"/>
          <w:sz w:val="18"/>
          <w:szCs w:val="18"/>
          <w:lang w:eastAsia="en-US"/>
        </w:rPr>
      </w:pPr>
      <w:r w:rsidRPr="00184B6B">
        <w:rPr>
          <w:rFonts w:eastAsiaTheme="minorHAnsi"/>
          <w:sz w:val="18"/>
          <w:szCs w:val="18"/>
          <w:lang w:eastAsia="en-US"/>
        </w:rPr>
        <w:t xml:space="preserve">Notes: *** p&lt;0.01, ** p&lt;0.05, * p&lt;0.1, robust standard errors in parentheses. </w:t>
      </w:r>
      <w:r w:rsidRPr="00184B6B">
        <w:rPr>
          <w:rFonts w:eastAsiaTheme="minorHAnsi"/>
          <w:color w:val="auto"/>
          <w:sz w:val="18"/>
          <w:szCs w:val="18"/>
          <w:lang w:eastAsia="en-US"/>
        </w:rPr>
        <w:t>Reference groups: secondary education, 1</w:t>
      </w:r>
      <w:r w:rsidRPr="00184B6B">
        <w:rPr>
          <w:rFonts w:eastAsiaTheme="minorHAnsi"/>
          <w:color w:val="auto"/>
          <w:sz w:val="18"/>
          <w:szCs w:val="18"/>
          <w:vertAlign w:val="superscript"/>
          <w:lang w:eastAsia="en-US"/>
        </w:rPr>
        <w:t>st</w:t>
      </w:r>
      <w:r w:rsidRPr="00184B6B">
        <w:rPr>
          <w:rFonts w:eastAsiaTheme="minorHAnsi"/>
          <w:color w:val="auto"/>
          <w:sz w:val="18"/>
          <w:szCs w:val="18"/>
          <w:lang w:eastAsia="en-US"/>
        </w:rPr>
        <w:t xml:space="preserve"> income quintile, Orthodox, living in Serbia, interviewed in year 2009. </w:t>
      </w:r>
    </w:p>
    <w:p w14:paraId="38E8393F" w14:textId="540FA1CA" w:rsidR="00184B6B" w:rsidRPr="00184B6B" w:rsidRDefault="00184B6B" w:rsidP="00184B6B">
      <w:pPr>
        <w:spacing w:after="200" w:line="276" w:lineRule="auto"/>
        <w:ind w:firstLine="0"/>
        <w:jc w:val="left"/>
        <w:rPr>
          <w:rFonts w:eastAsiaTheme="minorHAnsi"/>
          <w:color w:val="auto"/>
          <w:sz w:val="18"/>
          <w:szCs w:val="18"/>
          <w:lang w:eastAsia="en-US"/>
        </w:rPr>
      </w:pPr>
    </w:p>
    <w:sectPr w:rsidR="00184B6B" w:rsidRPr="00184B6B">
      <w:pgSz w:w="11906" w:h="16838"/>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C568E" w16cid:durableId="2033C9F1"/>
  <w16cid:commentId w16cid:paraId="0680BFF4" w16cid:durableId="2033CA15"/>
  <w16cid:commentId w16cid:paraId="06330EBB" w16cid:durableId="2033CAF7"/>
  <w16cid:commentId w16cid:paraId="299A86A6" w16cid:durableId="2033CB2E"/>
  <w16cid:commentId w16cid:paraId="548079AA" w16cid:durableId="2033CB58"/>
  <w16cid:commentId w16cid:paraId="05B9C03E" w16cid:durableId="2033CEA2"/>
  <w16cid:commentId w16cid:paraId="36555322" w16cid:durableId="2033CD84"/>
  <w16cid:commentId w16cid:paraId="21EA7457" w16cid:durableId="2033CD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1B8EB" w14:textId="77777777" w:rsidR="00F7272A" w:rsidRDefault="00F7272A">
      <w:pPr>
        <w:spacing w:line="240" w:lineRule="auto"/>
      </w:pPr>
      <w:r>
        <w:separator/>
      </w:r>
    </w:p>
  </w:endnote>
  <w:endnote w:type="continuationSeparator" w:id="0">
    <w:p w14:paraId="7372797B" w14:textId="77777777" w:rsidR="00F7272A" w:rsidRDefault="00F72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89201"/>
      <w:docPartObj>
        <w:docPartGallery w:val="Page Numbers (Bottom of Page)"/>
        <w:docPartUnique/>
      </w:docPartObj>
    </w:sdtPr>
    <w:sdtEndPr>
      <w:rPr>
        <w:noProof/>
      </w:rPr>
    </w:sdtEndPr>
    <w:sdtContent>
      <w:p w14:paraId="6404C1DE" w14:textId="34150D33" w:rsidR="00B94F8A" w:rsidRDefault="00B94F8A">
        <w:pPr>
          <w:pStyle w:val="Footer"/>
        </w:pPr>
        <w:r>
          <w:fldChar w:fldCharType="begin"/>
        </w:r>
        <w:r>
          <w:instrText xml:space="preserve"> PAGE   \* MERGEFORMAT </w:instrText>
        </w:r>
        <w:r>
          <w:fldChar w:fldCharType="separate"/>
        </w:r>
        <w:r w:rsidR="00460D87">
          <w:rPr>
            <w:noProof/>
          </w:rPr>
          <w:t>1</w:t>
        </w:r>
        <w:r>
          <w:rPr>
            <w:noProof/>
          </w:rPr>
          <w:fldChar w:fldCharType="end"/>
        </w:r>
      </w:p>
    </w:sdtContent>
  </w:sdt>
  <w:p w14:paraId="258E50B2" w14:textId="77777777" w:rsidR="00B94F8A" w:rsidRDefault="00B94F8A">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9597" w14:textId="77777777" w:rsidR="00F7272A" w:rsidRDefault="00F7272A" w:rsidP="00382316">
      <w:pPr>
        <w:spacing w:line="240" w:lineRule="auto"/>
        <w:ind w:firstLine="0"/>
        <w:jc w:val="both"/>
      </w:pPr>
      <w:r>
        <w:separator/>
      </w:r>
    </w:p>
  </w:footnote>
  <w:footnote w:type="continuationSeparator" w:id="0">
    <w:p w14:paraId="54660B86" w14:textId="77777777" w:rsidR="00F7272A" w:rsidRDefault="00F7272A">
      <w:pPr>
        <w:spacing w:line="240" w:lineRule="auto"/>
      </w:pPr>
      <w:r>
        <w:continuationSeparator/>
      </w:r>
    </w:p>
  </w:footnote>
  <w:footnote w:id="1">
    <w:p w14:paraId="0B4E8CEF" w14:textId="77777777" w:rsidR="000B138E" w:rsidRPr="00630158" w:rsidRDefault="000B138E" w:rsidP="000B138E">
      <w:pPr>
        <w:pStyle w:val="FootnoteText"/>
        <w:ind w:firstLine="0"/>
        <w:jc w:val="left"/>
      </w:pPr>
      <w:r>
        <w:rPr>
          <w:rStyle w:val="FootnoteReference"/>
        </w:rPr>
        <w:footnoteRef/>
      </w:r>
      <w:r>
        <w:t xml:space="preserve"> </w:t>
      </w:r>
      <w:r w:rsidRPr="00630158">
        <w:rPr>
          <w:i/>
        </w:rPr>
        <w:t>Corresponding author</w:t>
      </w:r>
      <w:r>
        <w:t xml:space="preserve">. </w:t>
      </w:r>
      <w:r w:rsidRPr="00630158">
        <w:t>Contact details:</w:t>
      </w:r>
      <w:r>
        <w:t xml:space="preserve"> Department of Accounting, Economics and Finance, Bristol Business School, University of the West of England, Bristol BS16 1QY, UK.  Tel: +44 117 32 83713, E-mail: </w:t>
      </w:r>
      <w:hyperlink r:id="rId1" w:history="1">
        <w:r>
          <w:rPr>
            <w:rStyle w:val="Hyperlink"/>
          </w:rPr>
          <w:t>a.ivlevs@uwe.ac.uk</w:t>
        </w:r>
      </w:hyperlink>
    </w:p>
  </w:footnote>
  <w:footnote w:id="2">
    <w:p w14:paraId="61296CBD" w14:textId="62324DFB" w:rsidR="00B94F8A" w:rsidRDefault="00B94F8A" w:rsidP="002F7E62">
      <w:pPr>
        <w:pStyle w:val="FootnoteText"/>
        <w:spacing w:line="480" w:lineRule="auto"/>
        <w:ind w:firstLine="0"/>
        <w:jc w:val="left"/>
      </w:pPr>
      <w:r>
        <w:rPr>
          <w:rStyle w:val="FootnoteReference"/>
        </w:rPr>
        <w:footnoteRef/>
      </w:r>
      <w:r>
        <w:t xml:space="preserve"> We define Euroscepticism as opposition to the EU, its policies, and further integration. </w:t>
      </w:r>
    </w:p>
  </w:footnote>
  <w:footnote w:id="3">
    <w:p w14:paraId="39D1B66D" w14:textId="3E7B3A4E" w:rsidR="00B94F8A" w:rsidRDefault="00B94F8A" w:rsidP="002F7E62">
      <w:pPr>
        <w:pStyle w:val="FootnoteText"/>
        <w:spacing w:line="480" w:lineRule="auto"/>
        <w:ind w:firstLine="0"/>
        <w:jc w:val="left"/>
      </w:pPr>
      <w:r>
        <w:rPr>
          <w:rStyle w:val="FootnoteReference"/>
        </w:rPr>
        <w:footnoteRef/>
      </w:r>
      <w:r>
        <w:t xml:space="preserve"> There is also a large, more general literature on immigration’s effects on anti-immigration sentiment of receiving populations. See Pottie-Sherman and Wilkes (2017) for a summary of the evidence. </w:t>
      </w:r>
    </w:p>
  </w:footnote>
  <w:footnote w:id="4">
    <w:p w14:paraId="3D50402D" w14:textId="2BA06D2C" w:rsidR="00B94F8A" w:rsidRPr="00EA01B1" w:rsidRDefault="00B94F8A" w:rsidP="004F2FD8">
      <w:pPr>
        <w:spacing w:line="480" w:lineRule="auto"/>
        <w:ind w:firstLine="0"/>
        <w:jc w:val="left"/>
        <w:rPr>
          <w:sz w:val="28"/>
        </w:rPr>
      </w:pPr>
      <w:r>
        <w:rPr>
          <w:vertAlign w:val="superscript"/>
        </w:rPr>
        <w:footnoteRef/>
      </w:r>
      <w:r>
        <w:rPr>
          <w:sz w:val="20"/>
          <w:szCs w:val="20"/>
        </w:rPr>
        <w:t xml:space="preserve"> </w:t>
      </w:r>
      <w:r>
        <w:rPr>
          <w:sz w:val="20"/>
          <w:szCs w:val="18"/>
        </w:rPr>
        <w:t>Croatia joined the EU in 2013 but</w:t>
      </w:r>
      <w:r w:rsidRPr="00EA01B1">
        <w:rPr>
          <w:sz w:val="20"/>
          <w:szCs w:val="18"/>
        </w:rPr>
        <w:t xml:space="preserve"> was not yet </w:t>
      </w:r>
      <w:r>
        <w:rPr>
          <w:sz w:val="20"/>
          <w:szCs w:val="18"/>
        </w:rPr>
        <w:t xml:space="preserve">an </w:t>
      </w:r>
      <w:r w:rsidRPr="00EA01B1">
        <w:rPr>
          <w:sz w:val="20"/>
          <w:szCs w:val="18"/>
        </w:rPr>
        <w:t>EU member at the time the interview survey</w:t>
      </w:r>
      <w:r>
        <w:rPr>
          <w:sz w:val="20"/>
          <w:szCs w:val="18"/>
        </w:rPr>
        <w:t xml:space="preserve"> (2009-11) </w:t>
      </w:r>
      <w:r w:rsidRPr="00EA01B1">
        <w:rPr>
          <w:sz w:val="20"/>
          <w:szCs w:val="18"/>
        </w:rPr>
        <w:t>on which this study is based.</w:t>
      </w:r>
      <w:r>
        <w:rPr>
          <w:color w:val="auto"/>
        </w:rPr>
        <w:t xml:space="preserve"> </w:t>
      </w:r>
      <w:r w:rsidRPr="00047B90">
        <w:rPr>
          <w:color w:val="auto"/>
          <w:sz w:val="20"/>
        </w:rPr>
        <w:t>Slovenia, another</w:t>
      </w:r>
      <w:r>
        <w:rPr>
          <w:color w:val="auto"/>
          <w:sz w:val="20"/>
        </w:rPr>
        <w:t xml:space="preserve"> successor state of Yugoslavia, joined the EU in 2004 and was not included in the survey examined here. </w:t>
      </w:r>
      <w:r w:rsidRPr="00047B90">
        <w:rPr>
          <w:color w:val="auto"/>
          <w:sz w:val="20"/>
        </w:rPr>
        <w:t xml:space="preserve"> </w:t>
      </w:r>
    </w:p>
  </w:footnote>
  <w:footnote w:id="5">
    <w:p w14:paraId="4ABACA40" w14:textId="72EE92C9" w:rsidR="00B94F8A" w:rsidRPr="00314342" w:rsidRDefault="00B94F8A" w:rsidP="00F255DE">
      <w:pPr>
        <w:pStyle w:val="ListParagraph"/>
        <w:spacing w:before="240" w:line="480" w:lineRule="auto"/>
        <w:ind w:left="0" w:firstLine="0"/>
        <w:jc w:val="left"/>
        <w:rPr>
          <w:sz w:val="20"/>
          <w:szCs w:val="20"/>
        </w:rPr>
      </w:pPr>
      <w:r w:rsidRPr="00314342">
        <w:rPr>
          <w:rStyle w:val="FootnoteReference"/>
          <w:sz w:val="20"/>
          <w:szCs w:val="20"/>
        </w:rPr>
        <w:footnoteRef/>
      </w:r>
      <w:r w:rsidRPr="00314342">
        <w:rPr>
          <w:sz w:val="20"/>
          <w:szCs w:val="20"/>
        </w:rPr>
        <w:t xml:space="preserve"> However, an inverse relationship is also possible, as people dissatisfied with </w:t>
      </w:r>
      <w:r>
        <w:rPr>
          <w:sz w:val="20"/>
          <w:szCs w:val="20"/>
        </w:rPr>
        <w:t>their own governments’</w:t>
      </w:r>
      <w:r w:rsidRPr="00314342">
        <w:rPr>
          <w:sz w:val="20"/>
          <w:szCs w:val="20"/>
        </w:rPr>
        <w:t xml:space="preserve"> performance may be willing to delegate more decision-making power to the EU, and vice versa (Sanchez-Cuenca, 2000).</w:t>
      </w:r>
    </w:p>
    <w:p w14:paraId="7AEDD329" w14:textId="77777777" w:rsidR="00B94F8A" w:rsidRDefault="00B94F8A">
      <w:pPr>
        <w:pStyle w:val="FootnoteText"/>
      </w:pPr>
    </w:p>
  </w:footnote>
  <w:footnote w:id="6">
    <w:p w14:paraId="10CACAE7" w14:textId="0504C04A" w:rsidR="00B94F8A" w:rsidRDefault="00B94F8A" w:rsidP="00AB15E8">
      <w:pPr>
        <w:pStyle w:val="FootnoteText"/>
        <w:spacing w:line="480" w:lineRule="auto"/>
        <w:ind w:firstLine="0"/>
        <w:jc w:val="left"/>
      </w:pPr>
      <w:r>
        <w:rPr>
          <w:rStyle w:val="FootnoteReference"/>
        </w:rPr>
        <w:footnoteRef/>
      </w:r>
      <w:r>
        <w:t xml:space="preserve"> For example, Canada lifted travel restrictions for Estonia in 2006, Latvia and the Czech Republic in 2007, and Poland, Slovakia, Lithuania, and Hungary in 2008; Canada also has e</w:t>
      </w:r>
      <w:r w:rsidRPr="00756A95">
        <w:t>asier access to work permit</w:t>
      </w:r>
      <w:r>
        <w:t>s</w:t>
      </w:r>
      <w:r w:rsidRPr="00756A95">
        <w:t xml:space="preserve"> for visa-exempt citizens</w:t>
      </w:r>
      <w:r>
        <w:t>. Australia lifted travel restrictions for new EU member states in 2008, as did the United States in 2009 (except Poland).  Source: DEMIG POLICY database (</w:t>
      </w:r>
      <w:hyperlink r:id="rId2" w:history="1">
        <w:r w:rsidRPr="00BB4A77">
          <w:rPr>
            <w:rStyle w:val="Hyperlink"/>
          </w:rPr>
          <w:t>https://www.imi.ox.ac.uk/data/demig-data/demig-policy-1</w:t>
        </w:r>
      </w:hyperlink>
      <w:r>
        <w:t>) and the European Visa Database (</w:t>
      </w:r>
      <w:hyperlink r:id="rId3" w:history="1">
        <w:r w:rsidRPr="00BB4A77">
          <w:rPr>
            <w:rStyle w:val="Hyperlink"/>
          </w:rPr>
          <w:t>http://www.mogenshobolth.dk/evd/default.aspx</w:t>
        </w:r>
      </w:hyperlink>
      <w:r>
        <w:t xml:space="preserve">) . </w:t>
      </w:r>
    </w:p>
  </w:footnote>
  <w:footnote w:id="7">
    <w:p w14:paraId="1EDE2392" w14:textId="7FA88DDC" w:rsidR="00B94F8A" w:rsidRDefault="00B94F8A" w:rsidP="002B0E18">
      <w:pPr>
        <w:pStyle w:val="FootnoteText"/>
        <w:spacing w:line="480" w:lineRule="auto"/>
        <w:ind w:firstLine="0"/>
        <w:jc w:val="left"/>
      </w:pPr>
      <w:r>
        <w:rPr>
          <w:rStyle w:val="FootnoteReference"/>
        </w:rPr>
        <w:footnoteRef/>
      </w:r>
      <w:r>
        <w:t xml:space="preserve"> </w:t>
      </w:r>
      <w:r w:rsidRPr="002B0E18">
        <w:t xml:space="preserve">Under the most recent birthday rule, the survey interview is conducted with a household member </w:t>
      </w:r>
      <w:r w:rsidRPr="002B0E18">
        <w:rPr>
          <w:shd w:val="clear" w:color="auto" w:fill="FFFFFF"/>
        </w:rPr>
        <w:t xml:space="preserve">who had the most recent birthday. This </w:t>
      </w:r>
      <w:r>
        <w:rPr>
          <w:shd w:val="clear" w:color="auto" w:fill="FFFFFF"/>
        </w:rPr>
        <w:t xml:space="preserve">approach </w:t>
      </w:r>
      <w:r w:rsidRPr="002B0E18">
        <w:rPr>
          <w:shd w:val="clear" w:color="auto" w:fill="FFFFFF"/>
        </w:rPr>
        <w:t>assures a random selection of respondents from households.</w:t>
      </w:r>
      <w:r>
        <w:rPr>
          <w:rFonts w:ascii="Trebuchet MS" w:hAnsi="Trebuchet MS"/>
          <w:sz w:val="22"/>
          <w:szCs w:val="22"/>
          <w:shd w:val="clear" w:color="auto" w:fill="FFFFFF"/>
        </w:rPr>
        <w:t xml:space="preserve"> </w:t>
      </w:r>
    </w:p>
  </w:footnote>
  <w:footnote w:id="8">
    <w:p w14:paraId="4ED6AEE6" w14:textId="4730B695" w:rsidR="00B94F8A" w:rsidRDefault="00B94F8A" w:rsidP="004F2FD8">
      <w:pPr>
        <w:spacing w:line="480" w:lineRule="auto"/>
        <w:ind w:firstLine="0"/>
        <w:jc w:val="left"/>
      </w:pPr>
      <w:r>
        <w:rPr>
          <w:vertAlign w:val="superscript"/>
        </w:rPr>
        <w:footnoteRef/>
      </w:r>
      <w:r>
        <w:rPr>
          <w:sz w:val="20"/>
          <w:szCs w:val="20"/>
        </w:rPr>
        <w:t xml:space="preserve"> We excluded respondents who answered “don’t know” (9.8%) or refused to answer (1.4%). It is, however, possible that excluding a significant proportion of respondents might result in a selection bias, which is why</w:t>
      </w:r>
      <w:r>
        <w:rPr>
          <w:color w:val="0000FF"/>
          <w:sz w:val="20"/>
          <w:szCs w:val="20"/>
        </w:rPr>
        <w:t xml:space="preserve"> </w:t>
      </w:r>
      <w:r>
        <w:rPr>
          <w:sz w:val="20"/>
          <w:szCs w:val="20"/>
        </w:rPr>
        <w:t xml:space="preserve">we estimated additional models where the dependent variable incorporated excluded respondents. In particular, we merged the “don’t know” and refused to answer categories and added them as a ‘neutral’ category in an ordered probit model and as a third category in a multinomial probit model. The results, available on request, are consistent with the model which included only ‘yes’ and ‘no’ answers. </w:t>
      </w:r>
    </w:p>
  </w:footnote>
  <w:footnote w:id="9">
    <w:p w14:paraId="1D008320" w14:textId="60E14470" w:rsidR="00B94F8A" w:rsidRDefault="00B94F8A" w:rsidP="004F2FD8">
      <w:pPr>
        <w:spacing w:line="480" w:lineRule="auto"/>
        <w:ind w:firstLine="0"/>
        <w:jc w:val="left"/>
      </w:pPr>
      <w:r>
        <w:rPr>
          <w:vertAlign w:val="superscript"/>
        </w:rPr>
        <w:footnoteRef/>
      </w:r>
      <w:r>
        <w:rPr>
          <w:sz w:val="20"/>
          <w:szCs w:val="20"/>
        </w:rPr>
        <w:t xml:space="preserve"> We again exclude the ‘don’t know’ answers (5.1%) and refusals (0.4%). In a robustness check, we merged them with the ‘neither good nor bad’ category and obtained qualitatively similar results (available on request). </w:t>
      </w:r>
    </w:p>
  </w:footnote>
  <w:footnote w:id="10">
    <w:p w14:paraId="37B326BC" w14:textId="02427DE1" w:rsidR="00B94F8A" w:rsidRDefault="00B94F8A" w:rsidP="004F2FD8">
      <w:pPr>
        <w:spacing w:line="480" w:lineRule="auto"/>
        <w:ind w:firstLine="0"/>
        <w:jc w:val="left"/>
      </w:pPr>
      <w:r>
        <w:rPr>
          <w:vertAlign w:val="superscript"/>
        </w:rPr>
        <w:footnoteRef/>
      </w:r>
      <w:r>
        <w:rPr>
          <w:sz w:val="20"/>
          <w:szCs w:val="20"/>
        </w:rPr>
        <w:t xml:space="preserve"> The summary statistics for this and other variables are available in </w:t>
      </w:r>
      <w:r w:rsidR="00247A6B">
        <w:rPr>
          <w:sz w:val="20"/>
          <w:szCs w:val="20"/>
        </w:rPr>
        <w:t xml:space="preserve">Table A1 of the </w:t>
      </w:r>
      <w:r w:rsidR="008A1E2D">
        <w:rPr>
          <w:sz w:val="20"/>
          <w:szCs w:val="20"/>
        </w:rPr>
        <w:t>S</w:t>
      </w:r>
      <w:r>
        <w:rPr>
          <w:sz w:val="20"/>
          <w:szCs w:val="20"/>
        </w:rPr>
        <w:t xml:space="preserve">upplementary </w:t>
      </w:r>
      <w:r w:rsidR="008A1E2D">
        <w:rPr>
          <w:sz w:val="20"/>
          <w:szCs w:val="20"/>
        </w:rPr>
        <w:t>A</w:t>
      </w:r>
      <w:r>
        <w:rPr>
          <w:sz w:val="20"/>
          <w:szCs w:val="20"/>
        </w:rPr>
        <w:t xml:space="preserve">ppendix.  </w:t>
      </w:r>
    </w:p>
  </w:footnote>
  <w:footnote w:id="11">
    <w:p w14:paraId="6EE1D867" w14:textId="757C13DF" w:rsidR="00B94F8A" w:rsidRDefault="00B94F8A" w:rsidP="004F2FD8">
      <w:pPr>
        <w:pStyle w:val="FootnoteText"/>
        <w:spacing w:line="480" w:lineRule="auto"/>
        <w:ind w:firstLine="0"/>
        <w:jc w:val="left"/>
      </w:pPr>
      <w:r>
        <w:rPr>
          <w:rStyle w:val="FootnoteReference"/>
        </w:rPr>
        <w:footnoteRef/>
      </w:r>
      <w:r>
        <w:t xml:space="preserve"> While a natural criticism of such emigration willingness/intentions variables is that intentions do not necessarily follow actual moves, longitudinal studies suggest that the two are highly correlated. See Ivlevs (2015) for the summary of the evidence and limitations of emigration willingness/intentions variables. </w:t>
      </w:r>
    </w:p>
  </w:footnote>
  <w:footnote w:id="12">
    <w:p w14:paraId="6937ED03" w14:textId="55E37BDC" w:rsidR="00B94F8A" w:rsidRDefault="00B94F8A" w:rsidP="00F8487F">
      <w:pPr>
        <w:pStyle w:val="FootnoteText"/>
        <w:spacing w:line="480" w:lineRule="auto"/>
        <w:ind w:firstLine="0"/>
        <w:jc w:val="left"/>
      </w:pPr>
      <w:r>
        <w:rPr>
          <w:rStyle w:val="FootnoteReference"/>
        </w:rPr>
        <w:footnoteRef/>
      </w:r>
      <w:r>
        <w:t xml:space="preserve"> As a robustness check, we also included country-year fixed effects (a dichotomous variable for each country-year pair), which would account for the effect of temporal changes in country-level variables on attitudes toward joining the EU. Our results regarding the link between emigration and attitudes toward joining the EU remained essentially unchanged. </w:t>
      </w:r>
    </w:p>
  </w:footnote>
  <w:footnote w:id="13">
    <w:p w14:paraId="218C8733" w14:textId="2DAEC64A" w:rsidR="00B94F8A" w:rsidRDefault="00B94F8A" w:rsidP="004F2FD8">
      <w:pPr>
        <w:spacing w:line="480" w:lineRule="auto"/>
        <w:ind w:firstLine="0"/>
        <w:jc w:val="left"/>
      </w:pPr>
      <w:r>
        <w:rPr>
          <w:vertAlign w:val="superscript"/>
        </w:rPr>
        <w:footnoteRef/>
      </w:r>
      <w:r>
        <w:rPr>
          <w:sz w:val="20"/>
          <w:szCs w:val="20"/>
        </w:rPr>
        <w:t xml:space="preserve"> As a robustness check, we estimated our models with logit and OLS, and the results are consistent with the probit estimations. </w:t>
      </w:r>
    </w:p>
  </w:footnote>
  <w:footnote w:id="14">
    <w:p w14:paraId="272B73B7" w14:textId="77777777" w:rsidR="00B94F8A" w:rsidRDefault="00B94F8A" w:rsidP="004F2FD8">
      <w:pPr>
        <w:spacing w:line="480" w:lineRule="auto"/>
        <w:ind w:firstLine="0"/>
        <w:jc w:val="left"/>
      </w:pPr>
      <w:r>
        <w:rPr>
          <w:vertAlign w:val="superscript"/>
        </w:rPr>
        <w:footnoteRef/>
      </w:r>
      <w:r>
        <w:rPr>
          <w:sz w:val="20"/>
          <w:szCs w:val="20"/>
        </w:rPr>
        <w:t xml:space="preserve"> These marginal effects are based on the estimated coefficient of the </w:t>
      </w:r>
      <w:r>
        <w:rPr>
          <w:i/>
          <w:sz w:val="20"/>
          <w:szCs w:val="20"/>
        </w:rPr>
        <w:t>relatives in the EU</w:t>
      </w:r>
      <w:r>
        <w:rPr>
          <w:sz w:val="20"/>
          <w:szCs w:val="20"/>
        </w:rPr>
        <w:t xml:space="preserve"> variable in specification 8. </w:t>
      </w:r>
    </w:p>
  </w:footnote>
  <w:footnote w:id="15">
    <w:p w14:paraId="4902F232" w14:textId="77777777" w:rsidR="00B94F8A" w:rsidRDefault="00B94F8A" w:rsidP="004F2FD8">
      <w:pPr>
        <w:spacing w:line="480" w:lineRule="auto"/>
        <w:ind w:firstLine="0"/>
        <w:jc w:val="left"/>
      </w:pPr>
      <w:r>
        <w:rPr>
          <w:vertAlign w:val="superscript"/>
        </w:rPr>
        <w:footnoteRef/>
      </w:r>
      <w:r>
        <w:rPr>
          <w:sz w:val="20"/>
          <w:szCs w:val="20"/>
        </w:rPr>
        <w:t xml:space="preserve"> These marginal effects were calculated after estimating specification 8 of Table 3. </w:t>
      </w:r>
    </w:p>
  </w:footnote>
  <w:footnote w:id="16">
    <w:p w14:paraId="22950282" w14:textId="77BD04EC" w:rsidR="00B94F8A" w:rsidRPr="00DE4060" w:rsidRDefault="00B94F8A" w:rsidP="00DE4060">
      <w:pPr>
        <w:pStyle w:val="FootnoteText"/>
        <w:ind w:firstLine="0"/>
        <w:jc w:val="left"/>
      </w:pPr>
      <w:r w:rsidRPr="00DE4060">
        <w:rPr>
          <w:rStyle w:val="FootnoteReference"/>
        </w:rPr>
        <w:footnoteRef/>
      </w:r>
      <w:r w:rsidRPr="00DE4060">
        <w:t xml:space="preserve"> Levitt (1998) defines social remittances</w:t>
      </w:r>
      <w:r>
        <w:t xml:space="preserve"> </w:t>
      </w:r>
      <w:r w:rsidRPr="00DE4060">
        <w:t>as “ideas, practices, identities, and social capital that flow from receiving- to sending-country communities” (p.926)</w:t>
      </w:r>
      <w:r>
        <w:t>.</w:t>
      </w:r>
    </w:p>
  </w:footnote>
  <w:footnote w:id="17">
    <w:p w14:paraId="11124348" w14:textId="1FCFA3C0" w:rsidR="00B94F8A" w:rsidRDefault="00B94F8A" w:rsidP="004F2FD8">
      <w:pPr>
        <w:pStyle w:val="FootnoteText"/>
        <w:spacing w:line="480" w:lineRule="auto"/>
        <w:ind w:firstLine="0"/>
        <w:jc w:val="left"/>
      </w:pPr>
      <w:r>
        <w:rPr>
          <w:rStyle w:val="FootnoteReference"/>
        </w:rPr>
        <w:footnoteRef/>
      </w:r>
      <w:r w:rsidRPr="00441B83">
        <w:rPr>
          <w:lang w:val="nb-NO"/>
        </w:rPr>
        <w:t xml:space="preserve"> See</w:t>
      </w:r>
      <w:r>
        <w:rPr>
          <w:lang w:val="nb-NO"/>
        </w:rPr>
        <w:t xml:space="preserve"> </w:t>
      </w:r>
      <w:r w:rsidRPr="00441B83">
        <w:rPr>
          <w:lang w:val="nb-NO"/>
        </w:rPr>
        <w:t xml:space="preserve">Verhaegen et al. </w:t>
      </w:r>
      <w:r>
        <w:t xml:space="preserve">(2014) on how perceived economic benefits may affect European identity.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BF7"/>
    <w:multiLevelType w:val="multilevel"/>
    <w:tmpl w:val="581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E13F1"/>
    <w:multiLevelType w:val="multilevel"/>
    <w:tmpl w:val="574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37584"/>
    <w:multiLevelType w:val="multilevel"/>
    <w:tmpl w:val="10A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951FD"/>
    <w:multiLevelType w:val="multilevel"/>
    <w:tmpl w:val="340A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A6A8B"/>
    <w:multiLevelType w:val="multilevel"/>
    <w:tmpl w:val="26F2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147DE"/>
    <w:multiLevelType w:val="multilevel"/>
    <w:tmpl w:val="C176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7128C"/>
    <w:multiLevelType w:val="multilevel"/>
    <w:tmpl w:val="5E8C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928C5"/>
    <w:multiLevelType w:val="multilevel"/>
    <w:tmpl w:val="8136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905F4"/>
    <w:multiLevelType w:val="multilevel"/>
    <w:tmpl w:val="17A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14D58"/>
    <w:multiLevelType w:val="multilevel"/>
    <w:tmpl w:val="C548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46E29"/>
    <w:multiLevelType w:val="multilevel"/>
    <w:tmpl w:val="C1D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63A78"/>
    <w:multiLevelType w:val="multilevel"/>
    <w:tmpl w:val="AE40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075531"/>
    <w:multiLevelType w:val="multilevel"/>
    <w:tmpl w:val="700E59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A55DCC"/>
    <w:multiLevelType w:val="multilevel"/>
    <w:tmpl w:val="6370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75EF6"/>
    <w:multiLevelType w:val="multilevel"/>
    <w:tmpl w:val="BB94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C3021"/>
    <w:multiLevelType w:val="hybridMultilevel"/>
    <w:tmpl w:val="3A28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20BE1"/>
    <w:multiLevelType w:val="multilevel"/>
    <w:tmpl w:val="DEAE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C1AAC"/>
    <w:multiLevelType w:val="multilevel"/>
    <w:tmpl w:val="CE64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D345E"/>
    <w:multiLevelType w:val="multilevel"/>
    <w:tmpl w:val="6AA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33EE3"/>
    <w:multiLevelType w:val="multilevel"/>
    <w:tmpl w:val="B910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64F75"/>
    <w:multiLevelType w:val="multilevel"/>
    <w:tmpl w:val="F30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26050D"/>
    <w:multiLevelType w:val="hybridMultilevel"/>
    <w:tmpl w:val="0E2E5538"/>
    <w:lvl w:ilvl="0" w:tplc="097415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2240C"/>
    <w:multiLevelType w:val="multilevel"/>
    <w:tmpl w:val="40F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9"/>
  </w:num>
  <w:num w:numId="4">
    <w:abstractNumId w:val="12"/>
  </w:num>
  <w:num w:numId="5">
    <w:abstractNumId w:val="7"/>
  </w:num>
  <w:num w:numId="6">
    <w:abstractNumId w:val="16"/>
  </w:num>
  <w:num w:numId="7">
    <w:abstractNumId w:val="13"/>
  </w:num>
  <w:num w:numId="8">
    <w:abstractNumId w:val="2"/>
  </w:num>
  <w:num w:numId="9">
    <w:abstractNumId w:val="4"/>
  </w:num>
  <w:num w:numId="10">
    <w:abstractNumId w:val="3"/>
  </w:num>
  <w:num w:numId="11">
    <w:abstractNumId w:val="0"/>
  </w:num>
  <w:num w:numId="12">
    <w:abstractNumId w:val="22"/>
  </w:num>
  <w:num w:numId="13">
    <w:abstractNumId w:val="18"/>
  </w:num>
  <w:num w:numId="14">
    <w:abstractNumId w:val="17"/>
  </w:num>
  <w:num w:numId="15">
    <w:abstractNumId w:val="6"/>
  </w:num>
  <w:num w:numId="16">
    <w:abstractNumId w:val="8"/>
  </w:num>
  <w:num w:numId="17">
    <w:abstractNumId w:val="14"/>
  </w:num>
  <w:num w:numId="18">
    <w:abstractNumId w:val="5"/>
  </w:num>
  <w:num w:numId="19">
    <w:abstractNumId w:val="1"/>
  </w:num>
  <w:num w:numId="20">
    <w:abstractNumId w:val="11"/>
  </w:num>
  <w:num w:numId="21">
    <w:abstractNumId w:val="15"/>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FF"/>
    <w:rsid w:val="000010C4"/>
    <w:rsid w:val="00006A0A"/>
    <w:rsid w:val="00010817"/>
    <w:rsid w:val="00030C9B"/>
    <w:rsid w:val="00031AD7"/>
    <w:rsid w:val="00041D12"/>
    <w:rsid w:val="00044939"/>
    <w:rsid w:val="00044FE1"/>
    <w:rsid w:val="00047B90"/>
    <w:rsid w:val="00051EC1"/>
    <w:rsid w:val="00056746"/>
    <w:rsid w:val="00057F47"/>
    <w:rsid w:val="0006465A"/>
    <w:rsid w:val="00065B7A"/>
    <w:rsid w:val="000718E6"/>
    <w:rsid w:val="000838B5"/>
    <w:rsid w:val="000949F1"/>
    <w:rsid w:val="0009607B"/>
    <w:rsid w:val="000A0563"/>
    <w:rsid w:val="000A4BC9"/>
    <w:rsid w:val="000A7FD0"/>
    <w:rsid w:val="000B138E"/>
    <w:rsid w:val="000C3B00"/>
    <w:rsid w:val="000C7E3B"/>
    <w:rsid w:val="000D1AF4"/>
    <w:rsid w:val="000D7952"/>
    <w:rsid w:val="000E2DD3"/>
    <w:rsid w:val="000F03CA"/>
    <w:rsid w:val="000F6D07"/>
    <w:rsid w:val="00100B4D"/>
    <w:rsid w:val="001024D7"/>
    <w:rsid w:val="001033A4"/>
    <w:rsid w:val="0010397B"/>
    <w:rsid w:val="00103A67"/>
    <w:rsid w:val="0010573C"/>
    <w:rsid w:val="00106901"/>
    <w:rsid w:val="00116E1D"/>
    <w:rsid w:val="0012256B"/>
    <w:rsid w:val="00123284"/>
    <w:rsid w:val="001267B6"/>
    <w:rsid w:val="00130ACE"/>
    <w:rsid w:val="001357DB"/>
    <w:rsid w:val="00147536"/>
    <w:rsid w:val="001501DD"/>
    <w:rsid w:val="00154015"/>
    <w:rsid w:val="001656BA"/>
    <w:rsid w:val="00180050"/>
    <w:rsid w:val="00180707"/>
    <w:rsid w:val="00184B6B"/>
    <w:rsid w:val="00185B4C"/>
    <w:rsid w:val="0019729D"/>
    <w:rsid w:val="001A2D9F"/>
    <w:rsid w:val="001A4525"/>
    <w:rsid w:val="001B73DB"/>
    <w:rsid w:val="001C5E6B"/>
    <w:rsid w:val="001D74B4"/>
    <w:rsid w:val="001E0062"/>
    <w:rsid w:val="001E467F"/>
    <w:rsid w:val="001E4E9A"/>
    <w:rsid w:val="001F2D23"/>
    <w:rsid w:val="001F42BB"/>
    <w:rsid w:val="00212C74"/>
    <w:rsid w:val="00220630"/>
    <w:rsid w:val="00220E51"/>
    <w:rsid w:val="00231177"/>
    <w:rsid w:val="002327B6"/>
    <w:rsid w:val="00247A6B"/>
    <w:rsid w:val="00247A7C"/>
    <w:rsid w:val="00250923"/>
    <w:rsid w:val="00280BB3"/>
    <w:rsid w:val="00285039"/>
    <w:rsid w:val="00286BB1"/>
    <w:rsid w:val="00293E76"/>
    <w:rsid w:val="002A5906"/>
    <w:rsid w:val="002A6988"/>
    <w:rsid w:val="002A774C"/>
    <w:rsid w:val="002B0E18"/>
    <w:rsid w:val="002D2D11"/>
    <w:rsid w:val="002F08B3"/>
    <w:rsid w:val="002F11E9"/>
    <w:rsid w:val="002F7E62"/>
    <w:rsid w:val="00300510"/>
    <w:rsid w:val="003023DA"/>
    <w:rsid w:val="003060A6"/>
    <w:rsid w:val="00314342"/>
    <w:rsid w:val="003167AC"/>
    <w:rsid w:val="003168D7"/>
    <w:rsid w:val="00326949"/>
    <w:rsid w:val="00334AC1"/>
    <w:rsid w:val="0033544B"/>
    <w:rsid w:val="0036099C"/>
    <w:rsid w:val="00360E36"/>
    <w:rsid w:val="00362936"/>
    <w:rsid w:val="00362B5E"/>
    <w:rsid w:val="0036727F"/>
    <w:rsid w:val="00370E9D"/>
    <w:rsid w:val="003734E0"/>
    <w:rsid w:val="00382316"/>
    <w:rsid w:val="0039151F"/>
    <w:rsid w:val="003A1402"/>
    <w:rsid w:val="003A253A"/>
    <w:rsid w:val="003B2F37"/>
    <w:rsid w:val="003B71C5"/>
    <w:rsid w:val="003C37BF"/>
    <w:rsid w:val="003E1952"/>
    <w:rsid w:val="00400C16"/>
    <w:rsid w:val="00441B83"/>
    <w:rsid w:val="00442E11"/>
    <w:rsid w:val="00443B42"/>
    <w:rsid w:val="00460D87"/>
    <w:rsid w:val="00464CB3"/>
    <w:rsid w:val="00470439"/>
    <w:rsid w:val="00471428"/>
    <w:rsid w:val="00473A6A"/>
    <w:rsid w:val="0047629D"/>
    <w:rsid w:val="0048264D"/>
    <w:rsid w:val="00484244"/>
    <w:rsid w:val="004978CC"/>
    <w:rsid w:val="004A01E4"/>
    <w:rsid w:val="004A6E03"/>
    <w:rsid w:val="004D32B5"/>
    <w:rsid w:val="004D3A72"/>
    <w:rsid w:val="004D7E27"/>
    <w:rsid w:val="004E0864"/>
    <w:rsid w:val="004E2DDC"/>
    <w:rsid w:val="004E57A7"/>
    <w:rsid w:val="004F2FD8"/>
    <w:rsid w:val="005050FF"/>
    <w:rsid w:val="00514C52"/>
    <w:rsid w:val="00515E8A"/>
    <w:rsid w:val="00522237"/>
    <w:rsid w:val="00527157"/>
    <w:rsid w:val="005329F7"/>
    <w:rsid w:val="00540E4D"/>
    <w:rsid w:val="005425E4"/>
    <w:rsid w:val="00544F18"/>
    <w:rsid w:val="00552C1C"/>
    <w:rsid w:val="00557A06"/>
    <w:rsid w:val="0056415F"/>
    <w:rsid w:val="00567AEE"/>
    <w:rsid w:val="00572968"/>
    <w:rsid w:val="00580DE3"/>
    <w:rsid w:val="00582311"/>
    <w:rsid w:val="005957F6"/>
    <w:rsid w:val="005A629C"/>
    <w:rsid w:val="005B3212"/>
    <w:rsid w:val="005C054E"/>
    <w:rsid w:val="005C305B"/>
    <w:rsid w:val="005D1586"/>
    <w:rsid w:val="005D1B2C"/>
    <w:rsid w:val="005D1DF2"/>
    <w:rsid w:val="005D4A23"/>
    <w:rsid w:val="005D5CF3"/>
    <w:rsid w:val="005D6DC3"/>
    <w:rsid w:val="005E125C"/>
    <w:rsid w:val="005E7FA5"/>
    <w:rsid w:val="005F764D"/>
    <w:rsid w:val="005F7C08"/>
    <w:rsid w:val="00600A6A"/>
    <w:rsid w:val="006039A2"/>
    <w:rsid w:val="0061236D"/>
    <w:rsid w:val="00631370"/>
    <w:rsid w:val="006336DD"/>
    <w:rsid w:val="006457B5"/>
    <w:rsid w:val="00654639"/>
    <w:rsid w:val="00662497"/>
    <w:rsid w:val="006704C8"/>
    <w:rsid w:val="00680F89"/>
    <w:rsid w:val="00684130"/>
    <w:rsid w:val="006852C2"/>
    <w:rsid w:val="00690EB3"/>
    <w:rsid w:val="00697D06"/>
    <w:rsid w:val="006A049E"/>
    <w:rsid w:val="006A4C8B"/>
    <w:rsid w:val="006B2CA5"/>
    <w:rsid w:val="006B7F9F"/>
    <w:rsid w:val="006E2886"/>
    <w:rsid w:val="006E76D3"/>
    <w:rsid w:val="006F5A41"/>
    <w:rsid w:val="006F6B50"/>
    <w:rsid w:val="006F7219"/>
    <w:rsid w:val="0070175F"/>
    <w:rsid w:val="00704276"/>
    <w:rsid w:val="00710228"/>
    <w:rsid w:val="00711A01"/>
    <w:rsid w:val="00722683"/>
    <w:rsid w:val="007310D1"/>
    <w:rsid w:val="007358FA"/>
    <w:rsid w:val="00751597"/>
    <w:rsid w:val="0075471F"/>
    <w:rsid w:val="00756A95"/>
    <w:rsid w:val="007630DF"/>
    <w:rsid w:val="00767D5E"/>
    <w:rsid w:val="00775AAB"/>
    <w:rsid w:val="0077737A"/>
    <w:rsid w:val="00781F67"/>
    <w:rsid w:val="0078246D"/>
    <w:rsid w:val="00782949"/>
    <w:rsid w:val="0078683F"/>
    <w:rsid w:val="0079260B"/>
    <w:rsid w:val="007A357F"/>
    <w:rsid w:val="007A76E9"/>
    <w:rsid w:val="007B4F62"/>
    <w:rsid w:val="007C4BCA"/>
    <w:rsid w:val="007E12A6"/>
    <w:rsid w:val="007F16DC"/>
    <w:rsid w:val="00802CF6"/>
    <w:rsid w:val="008033F1"/>
    <w:rsid w:val="00806ED8"/>
    <w:rsid w:val="00807CBA"/>
    <w:rsid w:val="0081240B"/>
    <w:rsid w:val="0082005D"/>
    <w:rsid w:val="00821163"/>
    <w:rsid w:val="00821CE4"/>
    <w:rsid w:val="008244D9"/>
    <w:rsid w:val="008334E5"/>
    <w:rsid w:val="008417BB"/>
    <w:rsid w:val="0084322C"/>
    <w:rsid w:val="008536DF"/>
    <w:rsid w:val="00854D23"/>
    <w:rsid w:val="00855334"/>
    <w:rsid w:val="008571CA"/>
    <w:rsid w:val="00860108"/>
    <w:rsid w:val="00861031"/>
    <w:rsid w:val="0086427D"/>
    <w:rsid w:val="00866122"/>
    <w:rsid w:val="00875C01"/>
    <w:rsid w:val="00880194"/>
    <w:rsid w:val="0089141B"/>
    <w:rsid w:val="008A1E2D"/>
    <w:rsid w:val="008A3A4A"/>
    <w:rsid w:val="008A7F1F"/>
    <w:rsid w:val="008B1F36"/>
    <w:rsid w:val="008C2085"/>
    <w:rsid w:val="008C5E8C"/>
    <w:rsid w:val="008C6DD9"/>
    <w:rsid w:val="008D11AE"/>
    <w:rsid w:val="008D7B73"/>
    <w:rsid w:val="008E349B"/>
    <w:rsid w:val="008E72D8"/>
    <w:rsid w:val="008F5885"/>
    <w:rsid w:val="008F6168"/>
    <w:rsid w:val="008F7846"/>
    <w:rsid w:val="00901067"/>
    <w:rsid w:val="009045FC"/>
    <w:rsid w:val="00933E29"/>
    <w:rsid w:val="00936627"/>
    <w:rsid w:val="009373B8"/>
    <w:rsid w:val="009375D4"/>
    <w:rsid w:val="00944B9C"/>
    <w:rsid w:val="00950176"/>
    <w:rsid w:val="00952AC2"/>
    <w:rsid w:val="009532E9"/>
    <w:rsid w:val="00970BCA"/>
    <w:rsid w:val="00980D2C"/>
    <w:rsid w:val="00987880"/>
    <w:rsid w:val="009960B7"/>
    <w:rsid w:val="009A11EF"/>
    <w:rsid w:val="009A43E2"/>
    <w:rsid w:val="009B1BD5"/>
    <w:rsid w:val="009B5D9B"/>
    <w:rsid w:val="009B645B"/>
    <w:rsid w:val="009C207B"/>
    <w:rsid w:val="009D3D22"/>
    <w:rsid w:val="009E25EE"/>
    <w:rsid w:val="009E5F62"/>
    <w:rsid w:val="009F1F6D"/>
    <w:rsid w:val="00A03DE3"/>
    <w:rsid w:val="00A0514B"/>
    <w:rsid w:val="00A12A24"/>
    <w:rsid w:val="00A141EB"/>
    <w:rsid w:val="00A17C96"/>
    <w:rsid w:val="00A20E2A"/>
    <w:rsid w:val="00A24B6F"/>
    <w:rsid w:val="00A303A8"/>
    <w:rsid w:val="00A3187F"/>
    <w:rsid w:val="00A37698"/>
    <w:rsid w:val="00A41AC2"/>
    <w:rsid w:val="00A44470"/>
    <w:rsid w:val="00A4451F"/>
    <w:rsid w:val="00A60DE6"/>
    <w:rsid w:val="00A65939"/>
    <w:rsid w:val="00A66605"/>
    <w:rsid w:val="00A70E62"/>
    <w:rsid w:val="00A71F95"/>
    <w:rsid w:val="00A75160"/>
    <w:rsid w:val="00A8619B"/>
    <w:rsid w:val="00AA1238"/>
    <w:rsid w:val="00AA2CDF"/>
    <w:rsid w:val="00AB0883"/>
    <w:rsid w:val="00AB13A3"/>
    <w:rsid w:val="00AB15E8"/>
    <w:rsid w:val="00AB59E5"/>
    <w:rsid w:val="00AB67BF"/>
    <w:rsid w:val="00AC0DC2"/>
    <w:rsid w:val="00AC267E"/>
    <w:rsid w:val="00AC503B"/>
    <w:rsid w:val="00AD4335"/>
    <w:rsid w:val="00AF0CA4"/>
    <w:rsid w:val="00AF38A1"/>
    <w:rsid w:val="00AF4B32"/>
    <w:rsid w:val="00B06230"/>
    <w:rsid w:val="00B22A04"/>
    <w:rsid w:val="00B24950"/>
    <w:rsid w:val="00B259A8"/>
    <w:rsid w:val="00B25BC3"/>
    <w:rsid w:val="00B26F94"/>
    <w:rsid w:val="00B30B95"/>
    <w:rsid w:val="00B5163E"/>
    <w:rsid w:val="00B664D3"/>
    <w:rsid w:val="00B71B11"/>
    <w:rsid w:val="00B83838"/>
    <w:rsid w:val="00B94F8A"/>
    <w:rsid w:val="00BA2DC0"/>
    <w:rsid w:val="00BB0FB4"/>
    <w:rsid w:val="00BD0DF2"/>
    <w:rsid w:val="00BD256C"/>
    <w:rsid w:val="00BD459C"/>
    <w:rsid w:val="00BD5583"/>
    <w:rsid w:val="00BE0033"/>
    <w:rsid w:val="00BE5B7B"/>
    <w:rsid w:val="00BF325D"/>
    <w:rsid w:val="00C13ECE"/>
    <w:rsid w:val="00C34A46"/>
    <w:rsid w:val="00C44EE8"/>
    <w:rsid w:val="00C5108E"/>
    <w:rsid w:val="00C57FBE"/>
    <w:rsid w:val="00C602A4"/>
    <w:rsid w:val="00C634D3"/>
    <w:rsid w:val="00C671D5"/>
    <w:rsid w:val="00C701E4"/>
    <w:rsid w:val="00C752E4"/>
    <w:rsid w:val="00C76774"/>
    <w:rsid w:val="00C777CE"/>
    <w:rsid w:val="00C81FF5"/>
    <w:rsid w:val="00C823F5"/>
    <w:rsid w:val="00C850E7"/>
    <w:rsid w:val="00C85654"/>
    <w:rsid w:val="00CA1AC4"/>
    <w:rsid w:val="00CA291E"/>
    <w:rsid w:val="00CB6AB0"/>
    <w:rsid w:val="00CC10D2"/>
    <w:rsid w:val="00CE1126"/>
    <w:rsid w:val="00CE64CD"/>
    <w:rsid w:val="00D1480A"/>
    <w:rsid w:val="00D162D9"/>
    <w:rsid w:val="00D22A6A"/>
    <w:rsid w:val="00D26989"/>
    <w:rsid w:val="00D26B08"/>
    <w:rsid w:val="00D27501"/>
    <w:rsid w:val="00D426E8"/>
    <w:rsid w:val="00D42A35"/>
    <w:rsid w:val="00D61CB9"/>
    <w:rsid w:val="00D63482"/>
    <w:rsid w:val="00D635DE"/>
    <w:rsid w:val="00D7162C"/>
    <w:rsid w:val="00D74525"/>
    <w:rsid w:val="00D861CA"/>
    <w:rsid w:val="00D87A60"/>
    <w:rsid w:val="00D900CE"/>
    <w:rsid w:val="00DC18E2"/>
    <w:rsid w:val="00DC36FF"/>
    <w:rsid w:val="00DC400B"/>
    <w:rsid w:val="00DE4060"/>
    <w:rsid w:val="00DE7055"/>
    <w:rsid w:val="00DF0CFD"/>
    <w:rsid w:val="00DF1AB9"/>
    <w:rsid w:val="00E0026F"/>
    <w:rsid w:val="00E15A12"/>
    <w:rsid w:val="00E26044"/>
    <w:rsid w:val="00E276C9"/>
    <w:rsid w:val="00E310E0"/>
    <w:rsid w:val="00E32372"/>
    <w:rsid w:val="00E324D4"/>
    <w:rsid w:val="00E34DD9"/>
    <w:rsid w:val="00E406E6"/>
    <w:rsid w:val="00E42A46"/>
    <w:rsid w:val="00E50BD7"/>
    <w:rsid w:val="00E56020"/>
    <w:rsid w:val="00E61DD3"/>
    <w:rsid w:val="00E62E45"/>
    <w:rsid w:val="00E72203"/>
    <w:rsid w:val="00E763BD"/>
    <w:rsid w:val="00E8046B"/>
    <w:rsid w:val="00E918AF"/>
    <w:rsid w:val="00E96DB3"/>
    <w:rsid w:val="00EA01B1"/>
    <w:rsid w:val="00EA6558"/>
    <w:rsid w:val="00EA6C01"/>
    <w:rsid w:val="00EB370A"/>
    <w:rsid w:val="00EB3849"/>
    <w:rsid w:val="00EB7CCA"/>
    <w:rsid w:val="00EC1301"/>
    <w:rsid w:val="00EC13DC"/>
    <w:rsid w:val="00EC3B70"/>
    <w:rsid w:val="00EC6BE8"/>
    <w:rsid w:val="00EC7EA5"/>
    <w:rsid w:val="00ED3A05"/>
    <w:rsid w:val="00EF255F"/>
    <w:rsid w:val="00EF4C1E"/>
    <w:rsid w:val="00EF6DA2"/>
    <w:rsid w:val="00F07311"/>
    <w:rsid w:val="00F17842"/>
    <w:rsid w:val="00F236C8"/>
    <w:rsid w:val="00F255DE"/>
    <w:rsid w:val="00F31D1C"/>
    <w:rsid w:val="00F376E4"/>
    <w:rsid w:val="00F449A0"/>
    <w:rsid w:val="00F45E29"/>
    <w:rsid w:val="00F460CE"/>
    <w:rsid w:val="00F5745D"/>
    <w:rsid w:val="00F63DC9"/>
    <w:rsid w:val="00F648CC"/>
    <w:rsid w:val="00F7272A"/>
    <w:rsid w:val="00F73D89"/>
    <w:rsid w:val="00F74F7F"/>
    <w:rsid w:val="00F770D9"/>
    <w:rsid w:val="00F8487F"/>
    <w:rsid w:val="00F87284"/>
    <w:rsid w:val="00F93209"/>
    <w:rsid w:val="00F94122"/>
    <w:rsid w:val="00FA791C"/>
    <w:rsid w:val="00FA7F42"/>
    <w:rsid w:val="00FA7FB7"/>
    <w:rsid w:val="00FB2C23"/>
    <w:rsid w:val="00FB5177"/>
    <w:rsid w:val="00FC2014"/>
    <w:rsid w:val="00FC62AB"/>
    <w:rsid w:val="00FD2B85"/>
    <w:rsid w:val="00FD7B2B"/>
    <w:rsid w:val="00FE2067"/>
    <w:rsid w:val="00FE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DA112"/>
  <w15:docId w15:val="{88BBA018-A3E4-41E1-A178-1A0A6021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spacing w:line="432" w:lineRule="auto"/>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line="240" w:lineRule="auto"/>
      <w:ind w:firstLine="0"/>
      <w:outlineLvl w:val="0"/>
    </w:pPr>
    <w:rPr>
      <w:b/>
    </w:rPr>
  </w:style>
  <w:style w:type="paragraph" w:styleId="Heading2">
    <w:name w:val="heading 2"/>
    <w:basedOn w:val="Normal"/>
    <w:next w:val="Normal"/>
    <w:pPr>
      <w:keepNext/>
      <w:keepLines/>
      <w:spacing w:before="240" w:after="60" w:line="240" w:lineRule="auto"/>
      <w:ind w:firstLine="0"/>
      <w:outlineLvl w:val="1"/>
    </w:pPr>
    <w:rPr>
      <w:b/>
    </w:rPr>
  </w:style>
  <w:style w:type="paragraph" w:styleId="Heading3">
    <w:name w:val="heading 3"/>
    <w:basedOn w:val="Normal"/>
    <w:next w:val="Normal"/>
    <w:pPr>
      <w:keepNext/>
      <w:keepLines/>
      <w:spacing w:before="240" w:after="60" w:line="240" w:lineRule="auto"/>
      <w:ind w:firstLine="0"/>
      <w:outlineLvl w:val="2"/>
    </w:pPr>
    <w:rPr>
      <w:b/>
    </w:rPr>
  </w:style>
  <w:style w:type="paragraph" w:styleId="Heading4">
    <w:name w:val="heading 4"/>
    <w:basedOn w:val="Normal"/>
    <w:next w:val="Normal"/>
    <w:pPr>
      <w:keepNext/>
      <w:keepLines/>
      <w:spacing w:before="240" w:after="60" w:line="240" w:lineRule="auto"/>
      <w:ind w:firstLine="0"/>
      <w:outlineLvl w:val="3"/>
    </w:pPr>
    <w:rPr>
      <w:b/>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5" w:type="dxa"/>
        <w:right w:w="75" w:type="dxa"/>
      </w:tblCellMar>
    </w:tblPr>
  </w:style>
  <w:style w:type="table" w:customStyle="1" w:styleId="a0">
    <w:basedOn w:val="TableNormal"/>
    <w:tblPr>
      <w:tblStyleRowBandSize w:val="1"/>
      <w:tblStyleColBandSize w:val="1"/>
      <w:tblCellMar>
        <w:left w:w="75" w:type="dxa"/>
        <w:right w:w="75" w:type="dxa"/>
      </w:tblCellMar>
    </w:tblPr>
  </w:style>
  <w:style w:type="table" w:customStyle="1" w:styleId="a1">
    <w:basedOn w:val="TableNormal"/>
    <w:tblPr>
      <w:tblStyleRowBandSize w:val="1"/>
      <w:tblStyleColBandSize w:val="1"/>
      <w:tblCellMar>
        <w:left w:w="75" w:type="dxa"/>
        <w:right w:w="75" w:type="dxa"/>
      </w:tblCellMar>
    </w:tblPr>
  </w:style>
  <w:style w:type="paragraph" w:styleId="Header">
    <w:name w:val="header"/>
    <w:basedOn w:val="Normal"/>
    <w:link w:val="HeaderChar"/>
    <w:uiPriority w:val="99"/>
    <w:unhideWhenUsed/>
    <w:rsid w:val="00382316"/>
    <w:pPr>
      <w:tabs>
        <w:tab w:val="center" w:pos="4513"/>
        <w:tab w:val="right" w:pos="9026"/>
      </w:tabs>
      <w:spacing w:line="240" w:lineRule="auto"/>
    </w:pPr>
  </w:style>
  <w:style w:type="character" w:customStyle="1" w:styleId="HeaderChar">
    <w:name w:val="Header Char"/>
    <w:basedOn w:val="DefaultParagraphFont"/>
    <w:link w:val="Header"/>
    <w:uiPriority w:val="99"/>
    <w:rsid w:val="00382316"/>
  </w:style>
  <w:style w:type="paragraph" w:styleId="Footer">
    <w:name w:val="footer"/>
    <w:basedOn w:val="Normal"/>
    <w:link w:val="FooterChar"/>
    <w:uiPriority w:val="99"/>
    <w:unhideWhenUsed/>
    <w:rsid w:val="00382316"/>
    <w:pPr>
      <w:tabs>
        <w:tab w:val="center" w:pos="4513"/>
        <w:tab w:val="right" w:pos="9026"/>
      </w:tabs>
      <w:spacing w:line="240" w:lineRule="auto"/>
    </w:pPr>
  </w:style>
  <w:style w:type="character" w:customStyle="1" w:styleId="FooterChar">
    <w:name w:val="Footer Char"/>
    <w:basedOn w:val="DefaultParagraphFont"/>
    <w:link w:val="Footer"/>
    <w:uiPriority w:val="99"/>
    <w:rsid w:val="00382316"/>
  </w:style>
  <w:style w:type="character" w:styleId="Hyperlink">
    <w:name w:val="Hyperlink"/>
    <w:basedOn w:val="DefaultParagraphFont"/>
    <w:uiPriority w:val="99"/>
    <w:unhideWhenUsed/>
    <w:rsid w:val="00F648CC"/>
    <w:rPr>
      <w:color w:val="0000FF" w:themeColor="hyperlink"/>
      <w:u w:val="single"/>
    </w:rPr>
  </w:style>
  <w:style w:type="character" w:customStyle="1" w:styleId="apple-converted-space">
    <w:name w:val="apple-converted-space"/>
    <w:basedOn w:val="DefaultParagraphFont"/>
    <w:rsid w:val="00F648CC"/>
  </w:style>
  <w:style w:type="paragraph" w:styleId="FootnoteText">
    <w:name w:val="footnote text"/>
    <w:basedOn w:val="Normal"/>
    <w:link w:val="FootnoteTextChar"/>
    <w:uiPriority w:val="99"/>
    <w:semiHidden/>
    <w:unhideWhenUsed/>
    <w:rsid w:val="00970BCA"/>
    <w:pPr>
      <w:spacing w:line="240" w:lineRule="auto"/>
    </w:pPr>
    <w:rPr>
      <w:sz w:val="20"/>
      <w:szCs w:val="20"/>
    </w:rPr>
  </w:style>
  <w:style w:type="character" w:customStyle="1" w:styleId="FootnoteTextChar">
    <w:name w:val="Footnote Text Char"/>
    <w:basedOn w:val="DefaultParagraphFont"/>
    <w:link w:val="FootnoteText"/>
    <w:uiPriority w:val="99"/>
    <w:semiHidden/>
    <w:rsid w:val="00970BCA"/>
    <w:rPr>
      <w:sz w:val="20"/>
      <w:szCs w:val="20"/>
    </w:rPr>
  </w:style>
  <w:style w:type="character" w:styleId="FootnoteReference">
    <w:name w:val="footnote reference"/>
    <w:basedOn w:val="DefaultParagraphFont"/>
    <w:uiPriority w:val="99"/>
    <w:semiHidden/>
    <w:unhideWhenUsed/>
    <w:rsid w:val="00970BCA"/>
    <w:rPr>
      <w:vertAlign w:val="superscript"/>
    </w:rPr>
  </w:style>
  <w:style w:type="character" w:customStyle="1" w:styleId="current-selection">
    <w:name w:val="current-selection"/>
    <w:basedOn w:val="DefaultParagraphFont"/>
    <w:rsid w:val="00BD256C"/>
  </w:style>
  <w:style w:type="character" w:styleId="Emphasis">
    <w:name w:val="Emphasis"/>
    <w:basedOn w:val="DefaultParagraphFont"/>
    <w:uiPriority w:val="20"/>
    <w:qFormat/>
    <w:rsid w:val="00BD256C"/>
    <w:rPr>
      <w:i/>
      <w:iCs/>
    </w:rPr>
  </w:style>
  <w:style w:type="character" w:customStyle="1" w:styleId="nlmarticle-title">
    <w:name w:val="nlm_article-title"/>
    <w:basedOn w:val="DefaultParagraphFont"/>
    <w:rsid w:val="0019729D"/>
  </w:style>
  <w:style w:type="character" w:customStyle="1" w:styleId="singlehighlightclass">
    <w:name w:val="single_highlight_class"/>
    <w:basedOn w:val="DefaultParagraphFont"/>
    <w:rsid w:val="0019729D"/>
  </w:style>
  <w:style w:type="character" w:customStyle="1" w:styleId="contribdegrees">
    <w:name w:val="contribdegrees"/>
    <w:basedOn w:val="DefaultParagraphFont"/>
    <w:rsid w:val="0019729D"/>
  </w:style>
  <w:style w:type="paragraph" w:styleId="ListParagraph">
    <w:name w:val="List Paragraph"/>
    <w:basedOn w:val="Normal"/>
    <w:uiPriority w:val="34"/>
    <w:qFormat/>
    <w:rsid w:val="00861031"/>
    <w:pPr>
      <w:ind w:left="720"/>
      <w:contextualSpacing/>
    </w:pPr>
  </w:style>
  <w:style w:type="character" w:styleId="CommentReference">
    <w:name w:val="annotation reference"/>
    <w:basedOn w:val="DefaultParagraphFont"/>
    <w:uiPriority w:val="99"/>
    <w:semiHidden/>
    <w:unhideWhenUsed/>
    <w:rsid w:val="00B22A04"/>
    <w:rPr>
      <w:sz w:val="16"/>
      <w:szCs w:val="16"/>
    </w:rPr>
  </w:style>
  <w:style w:type="paragraph" w:styleId="CommentText">
    <w:name w:val="annotation text"/>
    <w:basedOn w:val="Normal"/>
    <w:link w:val="CommentTextChar"/>
    <w:uiPriority w:val="99"/>
    <w:semiHidden/>
    <w:unhideWhenUsed/>
    <w:rsid w:val="00B22A04"/>
    <w:pPr>
      <w:spacing w:line="240" w:lineRule="auto"/>
    </w:pPr>
    <w:rPr>
      <w:sz w:val="20"/>
      <w:szCs w:val="20"/>
    </w:rPr>
  </w:style>
  <w:style w:type="character" w:customStyle="1" w:styleId="CommentTextChar">
    <w:name w:val="Comment Text Char"/>
    <w:basedOn w:val="DefaultParagraphFont"/>
    <w:link w:val="CommentText"/>
    <w:uiPriority w:val="99"/>
    <w:semiHidden/>
    <w:rsid w:val="00B22A04"/>
    <w:rPr>
      <w:sz w:val="20"/>
      <w:szCs w:val="20"/>
    </w:rPr>
  </w:style>
  <w:style w:type="paragraph" w:styleId="CommentSubject">
    <w:name w:val="annotation subject"/>
    <w:basedOn w:val="CommentText"/>
    <w:next w:val="CommentText"/>
    <w:link w:val="CommentSubjectChar"/>
    <w:uiPriority w:val="99"/>
    <w:semiHidden/>
    <w:unhideWhenUsed/>
    <w:rsid w:val="00B22A04"/>
    <w:rPr>
      <w:b/>
      <w:bCs/>
    </w:rPr>
  </w:style>
  <w:style w:type="character" w:customStyle="1" w:styleId="CommentSubjectChar">
    <w:name w:val="Comment Subject Char"/>
    <w:basedOn w:val="CommentTextChar"/>
    <w:link w:val="CommentSubject"/>
    <w:uiPriority w:val="99"/>
    <w:semiHidden/>
    <w:rsid w:val="00B22A04"/>
    <w:rPr>
      <w:b/>
      <w:bCs/>
      <w:sz w:val="20"/>
      <w:szCs w:val="20"/>
    </w:rPr>
  </w:style>
  <w:style w:type="paragraph" w:styleId="BalloonText">
    <w:name w:val="Balloon Text"/>
    <w:basedOn w:val="Normal"/>
    <w:link w:val="BalloonTextChar"/>
    <w:uiPriority w:val="99"/>
    <w:semiHidden/>
    <w:unhideWhenUsed/>
    <w:rsid w:val="00B22A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04"/>
    <w:rPr>
      <w:rFonts w:ascii="Segoe UI" w:hAnsi="Segoe UI" w:cs="Segoe UI"/>
      <w:sz w:val="18"/>
      <w:szCs w:val="18"/>
    </w:rPr>
  </w:style>
  <w:style w:type="paragraph" w:styleId="Revision">
    <w:name w:val="Revision"/>
    <w:hidden/>
    <w:uiPriority w:val="99"/>
    <w:semiHidden/>
    <w:rsid w:val="000E2DD3"/>
    <w:pPr>
      <w:spacing w:line="240" w:lineRule="auto"/>
      <w:ind w:firstLine="0"/>
      <w:jc w:val="left"/>
    </w:pPr>
  </w:style>
  <w:style w:type="character" w:styleId="FollowedHyperlink">
    <w:name w:val="FollowedHyperlink"/>
    <w:basedOn w:val="DefaultParagraphFont"/>
    <w:uiPriority w:val="99"/>
    <w:semiHidden/>
    <w:unhideWhenUsed/>
    <w:rsid w:val="00C76774"/>
    <w:rPr>
      <w:color w:val="800080" w:themeColor="followedHyperlink"/>
      <w:u w:val="single"/>
    </w:rPr>
  </w:style>
  <w:style w:type="numbering" w:customStyle="1" w:styleId="NoList1">
    <w:name w:val="No List1"/>
    <w:next w:val="NoList"/>
    <w:uiPriority w:val="99"/>
    <w:semiHidden/>
    <w:unhideWhenUsed/>
    <w:rsid w:val="00184B6B"/>
  </w:style>
  <w:style w:type="paragraph" w:styleId="NormalWeb">
    <w:name w:val="Normal (Web)"/>
    <w:basedOn w:val="Normal"/>
    <w:uiPriority w:val="99"/>
    <w:unhideWhenUsed/>
    <w:rsid w:val="00184B6B"/>
    <w:pPr>
      <w:spacing w:before="100" w:beforeAutospacing="1" w:after="100" w:afterAutospacing="1" w:line="240" w:lineRule="auto"/>
      <w:ind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586">
      <w:bodyDiv w:val="1"/>
      <w:marLeft w:val="0"/>
      <w:marRight w:val="0"/>
      <w:marTop w:val="0"/>
      <w:marBottom w:val="0"/>
      <w:divBdr>
        <w:top w:val="none" w:sz="0" w:space="0" w:color="auto"/>
        <w:left w:val="none" w:sz="0" w:space="0" w:color="auto"/>
        <w:bottom w:val="none" w:sz="0" w:space="0" w:color="auto"/>
        <w:right w:val="none" w:sz="0" w:space="0" w:color="auto"/>
      </w:divBdr>
    </w:div>
    <w:div w:id="137311521">
      <w:bodyDiv w:val="1"/>
      <w:marLeft w:val="0"/>
      <w:marRight w:val="0"/>
      <w:marTop w:val="0"/>
      <w:marBottom w:val="0"/>
      <w:divBdr>
        <w:top w:val="none" w:sz="0" w:space="0" w:color="auto"/>
        <w:left w:val="none" w:sz="0" w:space="0" w:color="auto"/>
        <w:bottom w:val="none" w:sz="0" w:space="0" w:color="auto"/>
        <w:right w:val="none" w:sz="0" w:space="0" w:color="auto"/>
      </w:divBdr>
    </w:div>
    <w:div w:id="139032507">
      <w:bodyDiv w:val="1"/>
      <w:marLeft w:val="0"/>
      <w:marRight w:val="0"/>
      <w:marTop w:val="0"/>
      <w:marBottom w:val="0"/>
      <w:divBdr>
        <w:top w:val="none" w:sz="0" w:space="0" w:color="auto"/>
        <w:left w:val="none" w:sz="0" w:space="0" w:color="auto"/>
        <w:bottom w:val="none" w:sz="0" w:space="0" w:color="auto"/>
        <w:right w:val="none" w:sz="0" w:space="0" w:color="auto"/>
      </w:divBdr>
      <w:divsChild>
        <w:div w:id="1546718889">
          <w:marLeft w:val="0"/>
          <w:marRight w:val="0"/>
          <w:marTop w:val="0"/>
          <w:marBottom w:val="0"/>
          <w:divBdr>
            <w:top w:val="none" w:sz="0" w:space="0" w:color="auto"/>
            <w:left w:val="none" w:sz="0" w:space="0" w:color="auto"/>
            <w:bottom w:val="none" w:sz="0" w:space="0" w:color="auto"/>
            <w:right w:val="none" w:sz="0" w:space="0" w:color="auto"/>
          </w:divBdr>
        </w:div>
      </w:divsChild>
    </w:div>
    <w:div w:id="365179334">
      <w:bodyDiv w:val="1"/>
      <w:marLeft w:val="0"/>
      <w:marRight w:val="0"/>
      <w:marTop w:val="0"/>
      <w:marBottom w:val="0"/>
      <w:divBdr>
        <w:top w:val="none" w:sz="0" w:space="0" w:color="auto"/>
        <w:left w:val="none" w:sz="0" w:space="0" w:color="auto"/>
        <w:bottom w:val="none" w:sz="0" w:space="0" w:color="auto"/>
        <w:right w:val="none" w:sz="0" w:space="0" w:color="auto"/>
      </w:divBdr>
    </w:div>
    <w:div w:id="552542481">
      <w:bodyDiv w:val="1"/>
      <w:marLeft w:val="0"/>
      <w:marRight w:val="0"/>
      <w:marTop w:val="0"/>
      <w:marBottom w:val="0"/>
      <w:divBdr>
        <w:top w:val="none" w:sz="0" w:space="0" w:color="auto"/>
        <w:left w:val="none" w:sz="0" w:space="0" w:color="auto"/>
        <w:bottom w:val="none" w:sz="0" w:space="0" w:color="auto"/>
        <w:right w:val="none" w:sz="0" w:space="0" w:color="auto"/>
      </w:divBdr>
    </w:div>
    <w:div w:id="581723499">
      <w:bodyDiv w:val="1"/>
      <w:marLeft w:val="0"/>
      <w:marRight w:val="0"/>
      <w:marTop w:val="0"/>
      <w:marBottom w:val="0"/>
      <w:divBdr>
        <w:top w:val="none" w:sz="0" w:space="0" w:color="auto"/>
        <w:left w:val="none" w:sz="0" w:space="0" w:color="auto"/>
        <w:bottom w:val="none" w:sz="0" w:space="0" w:color="auto"/>
        <w:right w:val="none" w:sz="0" w:space="0" w:color="auto"/>
      </w:divBdr>
    </w:div>
    <w:div w:id="668556351">
      <w:bodyDiv w:val="1"/>
      <w:marLeft w:val="0"/>
      <w:marRight w:val="0"/>
      <w:marTop w:val="0"/>
      <w:marBottom w:val="0"/>
      <w:divBdr>
        <w:top w:val="none" w:sz="0" w:space="0" w:color="auto"/>
        <w:left w:val="none" w:sz="0" w:space="0" w:color="auto"/>
        <w:bottom w:val="none" w:sz="0" w:space="0" w:color="auto"/>
        <w:right w:val="none" w:sz="0" w:space="0" w:color="auto"/>
      </w:divBdr>
    </w:div>
    <w:div w:id="716970589">
      <w:bodyDiv w:val="1"/>
      <w:marLeft w:val="0"/>
      <w:marRight w:val="0"/>
      <w:marTop w:val="0"/>
      <w:marBottom w:val="0"/>
      <w:divBdr>
        <w:top w:val="none" w:sz="0" w:space="0" w:color="auto"/>
        <w:left w:val="none" w:sz="0" w:space="0" w:color="auto"/>
        <w:bottom w:val="none" w:sz="0" w:space="0" w:color="auto"/>
        <w:right w:val="none" w:sz="0" w:space="0" w:color="auto"/>
      </w:divBdr>
    </w:div>
    <w:div w:id="786891240">
      <w:bodyDiv w:val="1"/>
      <w:marLeft w:val="0"/>
      <w:marRight w:val="0"/>
      <w:marTop w:val="0"/>
      <w:marBottom w:val="0"/>
      <w:divBdr>
        <w:top w:val="none" w:sz="0" w:space="0" w:color="auto"/>
        <w:left w:val="none" w:sz="0" w:space="0" w:color="auto"/>
        <w:bottom w:val="none" w:sz="0" w:space="0" w:color="auto"/>
        <w:right w:val="none" w:sz="0" w:space="0" w:color="auto"/>
      </w:divBdr>
    </w:div>
    <w:div w:id="789512495">
      <w:bodyDiv w:val="1"/>
      <w:marLeft w:val="0"/>
      <w:marRight w:val="0"/>
      <w:marTop w:val="0"/>
      <w:marBottom w:val="0"/>
      <w:divBdr>
        <w:top w:val="none" w:sz="0" w:space="0" w:color="auto"/>
        <w:left w:val="none" w:sz="0" w:space="0" w:color="auto"/>
        <w:bottom w:val="none" w:sz="0" w:space="0" w:color="auto"/>
        <w:right w:val="none" w:sz="0" w:space="0" w:color="auto"/>
      </w:divBdr>
    </w:div>
    <w:div w:id="915242477">
      <w:bodyDiv w:val="1"/>
      <w:marLeft w:val="0"/>
      <w:marRight w:val="0"/>
      <w:marTop w:val="0"/>
      <w:marBottom w:val="0"/>
      <w:divBdr>
        <w:top w:val="none" w:sz="0" w:space="0" w:color="auto"/>
        <w:left w:val="none" w:sz="0" w:space="0" w:color="auto"/>
        <w:bottom w:val="none" w:sz="0" w:space="0" w:color="auto"/>
        <w:right w:val="none" w:sz="0" w:space="0" w:color="auto"/>
      </w:divBdr>
    </w:div>
    <w:div w:id="928277065">
      <w:bodyDiv w:val="1"/>
      <w:marLeft w:val="0"/>
      <w:marRight w:val="0"/>
      <w:marTop w:val="0"/>
      <w:marBottom w:val="0"/>
      <w:divBdr>
        <w:top w:val="none" w:sz="0" w:space="0" w:color="auto"/>
        <w:left w:val="none" w:sz="0" w:space="0" w:color="auto"/>
        <w:bottom w:val="none" w:sz="0" w:space="0" w:color="auto"/>
        <w:right w:val="none" w:sz="0" w:space="0" w:color="auto"/>
      </w:divBdr>
    </w:div>
    <w:div w:id="953173832">
      <w:bodyDiv w:val="1"/>
      <w:marLeft w:val="0"/>
      <w:marRight w:val="0"/>
      <w:marTop w:val="0"/>
      <w:marBottom w:val="0"/>
      <w:divBdr>
        <w:top w:val="none" w:sz="0" w:space="0" w:color="auto"/>
        <w:left w:val="none" w:sz="0" w:space="0" w:color="auto"/>
        <w:bottom w:val="none" w:sz="0" w:space="0" w:color="auto"/>
        <w:right w:val="none" w:sz="0" w:space="0" w:color="auto"/>
      </w:divBdr>
    </w:div>
    <w:div w:id="1113788682">
      <w:bodyDiv w:val="1"/>
      <w:marLeft w:val="0"/>
      <w:marRight w:val="0"/>
      <w:marTop w:val="0"/>
      <w:marBottom w:val="0"/>
      <w:divBdr>
        <w:top w:val="none" w:sz="0" w:space="0" w:color="auto"/>
        <w:left w:val="none" w:sz="0" w:space="0" w:color="auto"/>
        <w:bottom w:val="none" w:sz="0" w:space="0" w:color="auto"/>
        <w:right w:val="none" w:sz="0" w:space="0" w:color="auto"/>
      </w:divBdr>
      <w:divsChild>
        <w:div w:id="1587491415">
          <w:marLeft w:val="0"/>
          <w:marRight w:val="0"/>
          <w:marTop w:val="0"/>
          <w:marBottom w:val="0"/>
          <w:divBdr>
            <w:top w:val="none" w:sz="0" w:space="0" w:color="auto"/>
            <w:left w:val="none" w:sz="0" w:space="0" w:color="auto"/>
            <w:bottom w:val="none" w:sz="0" w:space="0" w:color="auto"/>
            <w:right w:val="none" w:sz="0" w:space="0" w:color="auto"/>
          </w:divBdr>
          <w:divsChild>
            <w:div w:id="1834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1757">
      <w:bodyDiv w:val="1"/>
      <w:marLeft w:val="0"/>
      <w:marRight w:val="0"/>
      <w:marTop w:val="0"/>
      <w:marBottom w:val="0"/>
      <w:divBdr>
        <w:top w:val="none" w:sz="0" w:space="0" w:color="auto"/>
        <w:left w:val="none" w:sz="0" w:space="0" w:color="auto"/>
        <w:bottom w:val="none" w:sz="0" w:space="0" w:color="auto"/>
        <w:right w:val="none" w:sz="0" w:space="0" w:color="auto"/>
      </w:divBdr>
    </w:div>
    <w:div w:id="1208493421">
      <w:bodyDiv w:val="1"/>
      <w:marLeft w:val="0"/>
      <w:marRight w:val="0"/>
      <w:marTop w:val="0"/>
      <w:marBottom w:val="0"/>
      <w:divBdr>
        <w:top w:val="none" w:sz="0" w:space="0" w:color="auto"/>
        <w:left w:val="none" w:sz="0" w:space="0" w:color="auto"/>
        <w:bottom w:val="none" w:sz="0" w:space="0" w:color="auto"/>
        <w:right w:val="none" w:sz="0" w:space="0" w:color="auto"/>
      </w:divBdr>
    </w:div>
    <w:div w:id="1277369115">
      <w:bodyDiv w:val="1"/>
      <w:marLeft w:val="0"/>
      <w:marRight w:val="0"/>
      <w:marTop w:val="0"/>
      <w:marBottom w:val="0"/>
      <w:divBdr>
        <w:top w:val="none" w:sz="0" w:space="0" w:color="auto"/>
        <w:left w:val="none" w:sz="0" w:space="0" w:color="auto"/>
        <w:bottom w:val="none" w:sz="0" w:space="0" w:color="auto"/>
        <w:right w:val="none" w:sz="0" w:space="0" w:color="auto"/>
      </w:divBdr>
    </w:div>
    <w:div w:id="1306548989">
      <w:bodyDiv w:val="1"/>
      <w:marLeft w:val="0"/>
      <w:marRight w:val="0"/>
      <w:marTop w:val="0"/>
      <w:marBottom w:val="0"/>
      <w:divBdr>
        <w:top w:val="none" w:sz="0" w:space="0" w:color="auto"/>
        <w:left w:val="none" w:sz="0" w:space="0" w:color="auto"/>
        <w:bottom w:val="none" w:sz="0" w:space="0" w:color="auto"/>
        <w:right w:val="none" w:sz="0" w:space="0" w:color="auto"/>
      </w:divBdr>
      <w:divsChild>
        <w:div w:id="1618440525">
          <w:marLeft w:val="0"/>
          <w:marRight w:val="0"/>
          <w:marTop w:val="0"/>
          <w:marBottom w:val="0"/>
          <w:divBdr>
            <w:top w:val="none" w:sz="0" w:space="0" w:color="auto"/>
            <w:left w:val="none" w:sz="0" w:space="0" w:color="auto"/>
            <w:bottom w:val="none" w:sz="0" w:space="0" w:color="auto"/>
            <w:right w:val="none" w:sz="0" w:space="0" w:color="auto"/>
          </w:divBdr>
          <w:divsChild>
            <w:div w:id="772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143">
      <w:bodyDiv w:val="1"/>
      <w:marLeft w:val="0"/>
      <w:marRight w:val="0"/>
      <w:marTop w:val="0"/>
      <w:marBottom w:val="0"/>
      <w:divBdr>
        <w:top w:val="none" w:sz="0" w:space="0" w:color="auto"/>
        <w:left w:val="none" w:sz="0" w:space="0" w:color="auto"/>
        <w:bottom w:val="none" w:sz="0" w:space="0" w:color="auto"/>
        <w:right w:val="none" w:sz="0" w:space="0" w:color="auto"/>
      </w:divBdr>
    </w:div>
    <w:div w:id="1416169340">
      <w:bodyDiv w:val="1"/>
      <w:marLeft w:val="0"/>
      <w:marRight w:val="0"/>
      <w:marTop w:val="0"/>
      <w:marBottom w:val="0"/>
      <w:divBdr>
        <w:top w:val="none" w:sz="0" w:space="0" w:color="auto"/>
        <w:left w:val="none" w:sz="0" w:space="0" w:color="auto"/>
        <w:bottom w:val="none" w:sz="0" w:space="0" w:color="auto"/>
        <w:right w:val="none" w:sz="0" w:space="0" w:color="auto"/>
      </w:divBdr>
    </w:div>
    <w:div w:id="1479879367">
      <w:bodyDiv w:val="1"/>
      <w:marLeft w:val="0"/>
      <w:marRight w:val="0"/>
      <w:marTop w:val="0"/>
      <w:marBottom w:val="0"/>
      <w:divBdr>
        <w:top w:val="none" w:sz="0" w:space="0" w:color="auto"/>
        <w:left w:val="none" w:sz="0" w:space="0" w:color="auto"/>
        <w:bottom w:val="none" w:sz="0" w:space="0" w:color="auto"/>
        <w:right w:val="none" w:sz="0" w:space="0" w:color="auto"/>
      </w:divBdr>
    </w:div>
    <w:div w:id="1505126046">
      <w:bodyDiv w:val="1"/>
      <w:marLeft w:val="0"/>
      <w:marRight w:val="0"/>
      <w:marTop w:val="0"/>
      <w:marBottom w:val="0"/>
      <w:divBdr>
        <w:top w:val="none" w:sz="0" w:space="0" w:color="auto"/>
        <w:left w:val="none" w:sz="0" w:space="0" w:color="auto"/>
        <w:bottom w:val="none" w:sz="0" w:space="0" w:color="auto"/>
        <w:right w:val="none" w:sz="0" w:space="0" w:color="auto"/>
      </w:divBdr>
    </w:div>
    <w:div w:id="1678773386">
      <w:bodyDiv w:val="1"/>
      <w:marLeft w:val="0"/>
      <w:marRight w:val="0"/>
      <w:marTop w:val="0"/>
      <w:marBottom w:val="0"/>
      <w:divBdr>
        <w:top w:val="none" w:sz="0" w:space="0" w:color="auto"/>
        <w:left w:val="none" w:sz="0" w:space="0" w:color="auto"/>
        <w:bottom w:val="none" w:sz="0" w:space="0" w:color="auto"/>
        <w:right w:val="none" w:sz="0" w:space="0" w:color="auto"/>
      </w:divBdr>
    </w:div>
    <w:div w:id="1732072578">
      <w:bodyDiv w:val="1"/>
      <w:marLeft w:val="0"/>
      <w:marRight w:val="0"/>
      <w:marTop w:val="0"/>
      <w:marBottom w:val="0"/>
      <w:divBdr>
        <w:top w:val="none" w:sz="0" w:space="0" w:color="auto"/>
        <w:left w:val="none" w:sz="0" w:space="0" w:color="auto"/>
        <w:bottom w:val="none" w:sz="0" w:space="0" w:color="auto"/>
        <w:right w:val="none" w:sz="0" w:space="0" w:color="auto"/>
      </w:divBdr>
    </w:div>
    <w:div w:id="1923101611">
      <w:bodyDiv w:val="1"/>
      <w:marLeft w:val="0"/>
      <w:marRight w:val="0"/>
      <w:marTop w:val="0"/>
      <w:marBottom w:val="0"/>
      <w:divBdr>
        <w:top w:val="none" w:sz="0" w:space="0" w:color="auto"/>
        <w:left w:val="none" w:sz="0" w:space="0" w:color="auto"/>
        <w:bottom w:val="none" w:sz="0" w:space="0" w:color="auto"/>
        <w:right w:val="none" w:sz="0" w:space="0" w:color="auto"/>
      </w:divBdr>
    </w:div>
    <w:div w:id="1923293226">
      <w:bodyDiv w:val="1"/>
      <w:marLeft w:val="0"/>
      <w:marRight w:val="0"/>
      <w:marTop w:val="0"/>
      <w:marBottom w:val="0"/>
      <w:divBdr>
        <w:top w:val="none" w:sz="0" w:space="0" w:color="auto"/>
        <w:left w:val="none" w:sz="0" w:space="0" w:color="auto"/>
        <w:bottom w:val="none" w:sz="0" w:space="0" w:color="auto"/>
        <w:right w:val="none" w:sz="0" w:space="0" w:color="auto"/>
      </w:divBdr>
      <w:divsChild>
        <w:div w:id="23097705">
          <w:marLeft w:val="0"/>
          <w:marRight w:val="0"/>
          <w:marTop w:val="0"/>
          <w:marBottom w:val="0"/>
          <w:divBdr>
            <w:top w:val="none" w:sz="0" w:space="0" w:color="auto"/>
            <w:left w:val="none" w:sz="0" w:space="0" w:color="auto"/>
            <w:bottom w:val="none" w:sz="0" w:space="0" w:color="auto"/>
            <w:right w:val="none" w:sz="0" w:space="0" w:color="auto"/>
          </w:divBdr>
          <w:divsChild>
            <w:div w:id="194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326">
      <w:bodyDiv w:val="1"/>
      <w:marLeft w:val="0"/>
      <w:marRight w:val="0"/>
      <w:marTop w:val="0"/>
      <w:marBottom w:val="0"/>
      <w:divBdr>
        <w:top w:val="none" w:sz="0" w:space="0" w:color="auto"/>
        <w:left w:val="none" w:sz="0" w:space="0" w:color="auto"/>
        <w:bottom w:val="none" w:sz="0" w:space="0" w:color="auto"/>
        <w:right w:val="none" w:sz="0" w:space="0" w:color="auto"/>
      </w:divBdr>
    </w:div>
    <w:div w:id="2072380581">
      <w:bodyDiv w:val="1"/>
      <w:marLeft w:val="0"/>
      <w:marRight w:val="0"/>
      <w:marTop w:val="0"/>
      <w:marBottom w:val="0"/>
      <w:divBdr>
        <w:top w:val="none" w:sz="0" w:space="0" w:color="auto"/>
        <w:left w:val="none" w:sz="0" w:space="0" w:color="auto"/>
        <w:bottom w:val="none" w:sz="0" w:space="0" w:color="auto"/>
        <w:right w:val="none" w:sz="0" w:space="0" w:color="auto"/>
      </w:divBdr>
    </w:div>
    <w:div w:id="2109344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166702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npoliticalreview.org/2017/05/serbian-subversion-european-union-failing-balk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llinews.com/euroscepticism-grows-in-richer-western-balkans-countries-1253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cleans.ca/politics/worldpolitics/in-an-english-market-town-a-political-battle-over-immigration/" TargetMode="External"/><Relationship Id="rId4" Type="http://schemas.openxmlformats.org/officeDocument/2006/relationships/settings" Target="settings.xml"/><Relationship Id="rId9" Type="http://schemas.openxmlformats.org/officeDocument/2006/relationships/hyperlink" Target="https://www.esiweb.org/enlargement/wp-content/uploads/2009/02/2010_Summary_of_Findings.pdf" TargetMode="Externa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mogenshobolth.dk/evd/default.aspx" TargetMode="External"/><Relationship Id="rId2" Type="http://schemas.openxmlformats.org/officeDocument/2006/relationships/hyperlink" Target="https://www.imi.ox.ac.uk/data/demig-data/demig-policy-1" TargetMode="External"/><Relationship Id="rId1" Type="http://schemas.openxmlformats.org/officeDocument/2006/relationships/hyperlink" Target="mailto:a.ivlev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FFC9-9B39-4054-BC16-D9944854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12598</Words>
  <Characters>71813</Characters>
  <Application>Microsoft Office Word</Application>
  <DocSecurity>0</DocSecurity>
  <Lines>598</Lines>
  <Paragraphs>168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artjoms</dc:creator>
  <cp:lastModifiedBy>Lisa Hacker</cp:lastModifiedBy>
  <cp:revision>2</cp:revision>
  <dcterms:created xsi:type="dcterms:W3CDTF">2019-04-29T10:14:00Z</dcterms:created>
  <dcterms:modified xsi:type="dcterms:W3CDTF">2019-04-29T10:14:00Z</dcterms:modified>
</cp:coreProperties>
</file>