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B6878" w14:textId="77777777" w:rsidR="0006529B" w:rsidRDefault="0006529B" w:rsidP="006D7E63">
      <w:pPr>
        <w:spacing w:after="0" w:line="240" w:lineRule="auto"/>
        <w:rPr>
          <w:rFonts w:asciiTheme="majorHAnsi" w:eastAsia="Times New Roman" w:hAnsiTheme="majorHAnsi" w:cs="Times New Roman"/>
          <w:b/>
          <w:bCs/>
          <w:color w:val="000000"/>
          <w:sz w:val="32"/>
          <w:szCs w:val="32"/>
          <w:highlight w:val="magenta"/>
          <w:lang w:eastAsia="en-GB"/>
        </w:rPr>
      </w:pPr>
    </w:p>
    <w:p w14:paraId="2734EBC4" w14:textId="0B0D5142" w:rsidR="00BF0199" w:rsidRDefault="00213686" w:rsidP="006D7E63">
      <w:pPr>
        <w:spacing w:after="0" w:line="240" w:lineRule="auto"/>
        <w:rPr>
          <w:rFonts w:ascii="Garamond" w:eastAsia="Times New Roman" w:hAnsi="Garamond" w:cs="Times New Roman"/>
          <w:sz w:val="24"/>
          <w:szCs w:val="24"/>
          <w:lang w:eastAsia="en-GB"/>
        </w:rPr>
      </w:pPr>
      <w:r w:rsidRPr="00411AE0">
        <w:rPr>
          <w:rFonts w:ascii="Garamond" w:eastAsia="Times New Roman" w:hAnsi="Garamond" w:cs="Times New Roman"/>
          <w:b/>
          <w:bCs/>
          <w:color w:val="000000"/>
          <w:sz w:val="32"/>
          <w:szCs w:val="32"/>
          <w:lang w:eastAsia="en-GB"/>
        </w:rPr>
        <w:t>Personhood</w:t>
      </w:r>
      <w:r w:rsidR="00BF0199" w:rsidRPr="00411AE0">
        <w:rPr>
          <w:rFonts w:ascii="Garamond" w:eastAsia="Times New Roman" w:hAnsi="Garamond" w:cs="Times New Roman"/>
          <w:b/>
          <w:bCs/>
          <w:color w:val="000000"/>
          <w:sz w:val="32"/>
          <w:szCs w:val="32"/>
          <w:lang w:eastAsia="en-GB"/>
        </w:rPr>
        <w:t>, Jurisdiction and Injustice: Law</w:t>
      </w:r>
      <w:r w:rsidR="008836D4">
        <w:rPr>
          <w:rFonts w:ascii="Garamond" w:eastAsia="Times New Roman" w:hAnsi="Garamond" w:cs="Times New Roman"/>
          <w:b/>
          <w:bCs/>
          <w:color w:val="000000"/>
          <w:sz w:val="32"/>
          <w:szCs w:val="32"/>
          <w:lang w:eastAsia="en-GB"/>
        </w:rPr>
        <w:t>, Colonialities and the Global Order</w:t>
      </w:r>
      <w:r w:rsidR="00E1706A">
        <w:rPr>
          <w:rStyle w:val="FootnoteReference"/>
          <w:rFonts w:ascii="Garamond" w:eastAsia="Times New Roman" w:hAnsi="Garamond" w:cs="Times New Roman"/>
          <w:b/>
          <w:bCs/>
          <w:color w:val="000000"/>
          <w:sz w:val="32"/>
          <w:szCs w:val="32"/>
          <w:lang w:eastAsia="en-GB"/>
        </w:rPr>
        <w:footnoteReference w:customMarkFollows="1" w:id="1"/>
        <w:t>*</w:t>
      </w:r>
      <w:r w:rsidR="00BF0199" w:rsidRPr="00411AE0">
        <w:rPr>
          <w:rFonts w:ascii="Garamond" w:eastAsia="Times New Roman" w:hAnsi="Garamond" w:cs="Times New Roman"/>
          <w:sz w:val="24"/>
          <w:szCs w:val="24"/>
          <w:lang w:eastAsia="en-GB"/>
        </w:rPr>
        <w:t> </w:t>
      </w:r>
    </w:p>
    <w:p w14:paraId="02F567DF" w14:textId="77777777" w:rsidR="009817A0" w:rsidRDefault="009817A0" w:rsidP="006D7E63">
      <w:pPr>
        <w:spacing w:after="0" w:line="240" w:lineRule="auto"/>
        <w:rPr>
          <w:rFonts w:ascii="Garamond" w:eastAsia="Times New Roman" w:hAnsi="Garamond" w:cs="Times New Roman"/>
          <w:sz w:val="24"/>
          <w:szCs w:val="24"/>
          <w:lang w:eastAsia="en-GB"/>
        </w:rPr>
      </w:pPr>
    </w:p>
    <w:p w14:paraId="1B9E93C1" w14:textId="23CF1DC3" w:rsidR="009817A0" w:rsidRDefault="00FF66B7" w:rsidP="006D7E63">
      <w:pPr>
        <w:spacing w:after="0" w:line="240" w:lineRule="auto"/>
        <w:rPr>
          <w:rFonts w:ascii="Garamond" w:eastAsia="Times New Roman" w:hAnsi="Garamond" w:cs="Times New Roman"/>
          <w:lang w:eastAsia="en-GB"/>
        </w:rPr>
      </w:pPr>
      <w:r w:rsidRPr="00411AE0">
        <w:rPr>
          <w:rFonts w:ascii="Garamond" w:eastAsia="Times New Roman" w:hAnsi="Garamond" w:cs="Times New Roman"/>
          <w:sz w:val="28"/>
          <w:szCs w:val="28"/>
          <w:lang w:eastAsia="en-GB"/>
        </w:rPr>
        <w:t>Elena Blanco</w:t>
      </w:r>
      <w:r>
        <w:rPr>
          <w:rFonts w:ascii="Garamond" w:eastAsia="Times New Roman" w:hAnsi="Garamond" w:cs="Times New Roman"/>
          <w:sz w:val="28"/>
          <w:szCs w:val="28"/>
          <w:lang w:eastAsia="en-GB"/>
        </w:rPr>
        <w:br/>
      </w:r>
      <w:r>
        <w:rPr>
          <w:rFonts w:ascii="Garamond" w:eastAsia="Times New Roman" w:hAnsi="Garamond" w:cs="Times New Roman"/>
          <w:lang w:eastAsia="en-GB"/>
        </w:rPr>
        <w:t>Associate Professor of International Economic Law, Bristol Law School, Bristol UWE, UK</w:t>
      </w:r>
    </w:p>
    <w:p w14:paraId="4BE4CE67" w14:textId="77777777" w:rsidR="00FF66B7" w:rsidRDefault="00FF66B7" w:rsidP="006D7E63">
      <w:pPr>
        <w:spacing w:after="0" w:line="240" w:lineRule="auto"/>
        <w:rPr>
          <w:rFonts w:ascii="Garamond" w:eastAsia="Times New Roman" w:hAnsi="Garamond" w:cs="Times New Roman"/>
          <w:lang w:eastAsia="en-GB"/>
        </w:rPr>
      </w:pPr>
    </w:p>
    <w:p w14:paraId="5BB57B3C" w14:textId="5C458BE1" w:rsidR="00FF66B7" w:rsidRDefault="00FF66B7" w:rsidP="006D7E63">
      <w:pPr>
        <w:spacing w:after="0" w:line="240" w:lineRule="auto"/>
        <w:rPr>
          <w:rFonts w:ascii="Garamond" w:eastAsia="Times New Roman" w:hAnsi="Garamond" w:cs="Times New Roman"/>
          <w:sz w:val="28"/>
          <w:szCs w:val="28"/>
          <w:lang w:eastAsia="en-GB"/>
        </w:rPr>
      </w:pPr>
      <w:r w:rsidRPr="00411AE0">
        <w:rPr>
          <w:rFonts w:ascii="Garamond" w:eastAsia="Times New Roman" w:hAnsi="Garamond" w:cs="Times New Roman"/>
          <w:sz w:val="28"/>
          <w:szCs w:val="28"/>
          <w:lang w:eastAsia="en-GB"/>
        </w:rPr>
        <w:t>Anna Grear</w:t>
      </w:r>
    </w:p>
    <w:p w14:paraId="731423D5" w14:textId="66AF8E33" w:rsidR="00FF66B7" w:rsidRPr="00411AE0" w:rsidRDefault="00FF66B7" w:rsidP="006D7E63">
      <w:pPr>
        <w:spacing w:after="0" w:line="240" w:lineRule="auto"/>
        <w:rPr>
          <w:rFonts w:ascii="Garamond" w:eastAsia="Times New Roman" w:hAnsi="Garamond" w:cs="Times New Roman"/>
          <w:lang w:eastAsia="en-GB"/>
        </w:rPr>
      </w:pPr>
      <w:r>
        <w:rPr>
          <w:rFonts w:ascii="Garamond" w:eastAsia="Times New Roman" w:hAnsi="Garamond" w:cs="Times New Roman"/>
          <w:lang w:eastAsia="en-GB"/>
        </w:rPr>
        <w:t>Professor of Law and Theory, Cardiff School of Law and Politics, Cardiff University, UK</w:t>
      </w:r>
    </w:p>
    <w:p w14:paraId="34457E91" w14:textId="77777777" w:rsidR="00BF0199" w:rsidRPr="00411AE0" w:rsidRDefault="00BF0199" w:rsidP="006D7E63">
      <w:pPr>
        <w:spacing w:after="0" w:line="240" w:lineRule="auto"/>
        <w:rPr>
          <w:rFonts w:ascii="Garamond" w:eastAsia="Times New Roman" w:hAnsi="Garamond" w:cs="Times New Roman"/>
          <w:sz w:val="24"/>
          <w:szCs w:val="24"/>
          <w:lang w:eastAsia="en-GB"/>
        </w:rPr>
      </w:pPr>
      <w:r w:rsidRPr="00411AE0">
        <w:rPr>
          <w:rFonts w:ascii="Garamond" w:eastAsia="Times New Roman" w:hAnsi="Garamond" w:cs="Times New Roman"/>
          <w:sz w:val="24"/>
          <w:szCs w:val="24"/>
          <w:lang w:eastAsia="en-GB"/>
        </w:rPr>
        <w:t> </w:t>
      </w:r>
    </w:p>
    <w:p w14:paraId="3DF9C511" w14:textId="646E7826" w:rsidR="00FC2633" w:rsidRPr="000324DA" w:rsidRDefault="00DF350F" w:rsidP="001D5EC1">
      <w:pPr>
        <w:rPr>
          <w:rFonts w:ascii="Garamond" w:eastAsia="Times New Roman" w:hAnsi="Garamond" w:cs="Times New Roman"/>
          <w:i/>
          <w:iCs/>
          <w:sz w:val="24"/>
          <w:szCs w:val="24"/>
          <w:lang w:eastAsia="en-GB"/>
        </w:rPr>
      </w:pPr>
      <w:bookmarkStart w:id="0" w:name="_GoBack"/>
      <w:r>
        <w:rPr>
          <w:rFonts w:ascii="Garamond" w:eastAsia="Times New Roman" w:hAnsi="Garamond" w:cs="Times New Roman"/>
          <w:i/>
          <w:iCs/>
          <w:color w:val="000000"/>
          <w:sz w:val="24"/>
          <w:szCs w:val="24"/>
          <w:lang w:eastAsia="en-GB"/>
        </w:rPr>
        <w:t>Set against the colonial and neo-colonial unevenness of the globalised neoliberal order, t</w:t>
      </w:r>
      <w:r w:rsidRPr="00411AE0">
        <w:rPr>
          <w:rFonts w:ascii="Garamond" w:eastAsia="Times New Roman" w:hAnsi="Garamond" w:cs="Times New Roman"/>
          <w:i/>
          <w:iCs/>
          <w:color w:val="000000"/>
          <w:sz w:val="24"/>
          <w:szCs w:val="24"/>
          <w:lang w:eastAsia="en-GB"/>
        </w:rPr>
        <w:t xml:space="preserve">his article offers a critical reading of legal personhood and jurisdiction as mechanisms of </w:t>
      </w:r>
      <w:r>
        <w:rPr>
          <w:rFonts w:ascii="Garamond" w:eastAsia="Times New Roman" w:hAnsi="Garamond" w:cs="Times New Roman"/>
          <w:i/>
          <w:iCs/>
          <w:color w:val="000000"/>
          <w:sz w:val="24"/>
          <w:szCs w:val="24"/>
          <w:lang w:eastAsia="en-GB"/>
        </w:rPr>
        <w:t>privilege and predation</w:t>
      </w:r>
      <w:r w:rsidRPr="00411AE0">
        <w:rPr>
          <w:rFonts w:ascii="Garamond" w:eastAsia="Times New Roman" w:hAnsi="Garamond" w:cs="Times New Roman"/>
          <w:i/>
          <w:iCs/>
          <w:color w:val="000000"/>
          <w:sz w:val="24"/>
          <w:szCs w:val="24"/>
          <w:lang w:eastAsia="en-GB"/>
        </w:rPr>
        <w:t>. Transnational corporations (TNCs) are, we suggest, the ultimate insider construct for the neoliberal capitalist-techno order. Meanwhile, increasing numbers of corporeal human beings on the move as the marginalised products of that same order (especially refugees and migrants) are confronted by boundaries and barriers all too material in their effect</w:t>
      </w:r>
      <w:r>
        <w:rPr>
          <w:rFonts w:ascii="Garamond" w:eastAsia="Times New Roman" w:hAnsi="Garamond" w:cs="Times New Roman"/>
          <w:i/>
          <w:iCs/>
          <w:color w:val="000000"/>
          <w:sz w:val="24"/>
          <w:szCs w:val="24"/>
          <w:lang w:eastAsia="en-GB"/>
        </w:rPr>
        <w:t>.</w:t>
      </w:r>
      <w:r w:rsidRPr="00411AE0">
        <w:rPr>
          <w:rFonts w:ascii="Garamond" w:eastAsia="Times New Roman" w:hAnsi="Garamond" w:cs="Times New Roman"/>
          <w:i/>
          <w:iCs/>
          <w:color w:val="000000"/>
          <w:sz w:val="24"/>
          <w:szCs w:val="24"/>
          <w:lang w:eastAsia="en-GB"/>
        </w:rPr>
        <w:br/>
      </w:r>
      <w:r w:rsidR="00BF0199" w:rsidRPr="00411AE0">
        <w:rPr>
          <w:rFonts w:ascii="Garamond" w:eastAsia="Times New Roman" w:hAnsi="Garamond" w:cs="Times New Roman"/>
          <w:i/>
          <w:iCs/>
          <w:color w:val="000000"/>
          <w:sz w:val="24"/>
          <w:szCs w:val="24"/>
          <w:lang w:eastAsia="en-GB"/>
        </w:rPr>
        <w:t xml:space="preserve">In an age of anxiety-driven border-hardening against mass human migration and </w:t>
      </w:r>
      <w:r w:rsidR="005133A1" w:rsidRPr="00411AE0">
        <w:rPr>
          <w:rFonts w:ascii="Garamond" w:eastAsia="Times New Roman" w:hAnsi="Garamond" w:cs="Times New Roman"/>
          <w:i/>
          <w:iCs/>
          <w:color w:val="000000"/>
          <w:sz w:val="24"/>
          <w:szCs w:val="24"/>
          <w:lang w:eastAsia="en-GB"/>
        </w:rPr>
        <w:t xml:space="preserve">of </w:t>
      </w:r>
      <w:r w:rsidR="00BF0199" w:rsidRPr="00411AE0">
        <w:rPr>
          <w:rFonts w:ascii="Garamond" w:eastAsia="Times New Roman" w:hAnsi="Garamond" w:cs="Times New Roman"/>
          <w:i/>
          <w:iCs/>
          <w:color w:val="000000"/>
          <w:sz w:val="24"/>
          <w:szCs w:val="24"/>
          <w:lang w:eastAsia="en-GB"/>
        </w:rPr>
        <w:t>seamless, instantaneous movements of transnational capital</w:t>
      </w:r>
      <w:r w:rsidR="005133A1" w:rsidRPr="00411AE0">
        <w:rPr>
          <w:rFonts w:ascii="Garamond" w:eastAsia="Times New Roman" w:hAnsi="Garamond" w:cs="Times New Roman"/>
          <w:i/>
          <w:iCs/>
          <w:color w:val="000000"/>
          <w:sz w:val="24"/>
          <w:szCs w:val="24"/>
          <w:lang w:eastAsia="en-GB"/>
        </w:rPr>
        <w:t xml:space="preserve"> and </w:t>
      </w:r>
      <w:r w:rsidR="00556BDA" w:rsidRPr="00411AE0">
        <w:rPr>
          <w:rFonts w:ascii="Garamond" w:eastAsia="Times New Roman" w:hAnsi="Garamond" w:cs="Times New Roman"/>
          <w:i/>
          <w:iCs/>
          <w:color w:val="000000"/>
          <w:sz w:val="24"/>
          <w:szCs w:val="24"/>
          <w:lang w:eastAsia="en-GB"/>
        </w:rPr>
        <w:t xml:space="preserve">corporate </w:t>
      </w:r>
      <w:r w:rsidR="005133A1" w:rsidRPr="00411AE0">
        <w:rPr>
          <w:rFonts w:ascii="Garamond" w:eastAsia="Times New Roman" w:hAnsi="Garamond" w:cs="Times New Roman"/>
          <w:i/>
          <w:iCs/>
          <w:color w:val="000000"/>
          <w:sz w:val="24"/>
          <w:szCs w:val="24"/>
          <w:lang w:eastAsia="en-GB"/>
        </w:rPr>
        <w:t>location across jurisdictional boundaries</w:t>
      </w:r>
      <w:r w:rsidR="00BF0199" w:rsidRPr="00411AE0">
        <w:rPr>
          <w:rFonts w:ascii="Garamond" w:eastAsia="Times New Roman" w:hAnsi="Garamond" w:cs="Times New Roman"/>
          <w:i/>
          <w:iCs/>
          <w:color w:val="000000"/>
          <w:sz w:val="24"/>
          <w:szCs w:val="24"/>
          <w:lang w:eastAsia="en-GB"/>
        </w:rPr>
        <w:t xml:space="preserve">, </w:t>
      </w:r>
      <w:r w:rsidR="0030392E">
        <w:rPr>
          <w:rFonts w:ascii="Garamond" w:eastAsia="Times New Roman" w:hAnsi="Garamond" w:cs="Times New Roman"/>
          <w:i/>
          <w:iCs/>
          <w:color w:val="000000"/>
          <w:sz w:val="24"/>
          <w:szCs w:val="24"/>
          <w:lang w:eastAsia="en-GB"/>
        </w:rPr>
        <w:t xml:space="preserve">we </w:t>
      </w:r>
      <w:r w:rsidR="00BF0199" w:rsidRPr="00411AE0">
        <w:rPr>
          <w:rFonts w:ascii="Garamond" w:eastAsia="Times New Roman" w:hAnsi="Garamond" w:cs="Times New Roman"/>
          <w:i/>
          <w:iCs/>
          <w:color w:val="000000"/>
          <w:sz w:val="24"/>
          <w:szCs w:val="24"/>
          <w:lang w:eastAsia="en-GB"/>
        </w:rPr>
        <w:t xml:space="preserve">examine the patterns of injustice </w:t>
      </w:r>
      <w:r w:rsidR="00F71910" w:rsidRPr="00411AE0">
        <w:rPr>
          <w:rFonts w:ascii="Garamond" w:eastAsia="Times New Roman" w:hAnsi="Garamond" w:cs="Times New Roman"/>
          <w:i/>
          <w:iCs/>
          <w:color w:val="000000"/>
          <w:sz w:val="24"/>
          <w:szCs w:val="24"/>
          <w:lang w:eastAsia="en-GB"/>
        </w:rPr>
        <w:t xml:space="preserve">implicated </w:t>
      </w:r>
      <w:r w:rsidR="00BF0199" w:rsidRPr="00411AE0">
        <w:rPr>
          <w:rFonts w:ascii="Garamond" w:eastAsia="Times New Roman" w:hAnsi="Garamond" w:cs="Times New Roman"/>
          <w:i/>
          <w:iCs/>
          <w:color w:val="000000"/>
          <w:sz w:val="24"/>
          <w:szCs w:val="24"/>
          <w:lang w:eastAsia="en-GB"/>
        </w:rPr>
        <w:t xml:space="preserve">in </w:t>
      </w:r>
      <w:r w:rsidR="00660ACD" w:rsidRPr="00411AE0">
        <w:rPr>
          <w:rFonts w:ascii="Garamond" w:eastAsia="Times New Roman" w:hAnsi="Garamond" w:cs="Times New Roman"/>
          <w:i/>
          <w:iCs/>
          <w:color w:val="000000"/>
          <w:sz w:val="24"/>
          <w:szCs w:val="24"/>
          <w:lang w:eastAsia="en-GB"/>
        </w:rPr>
        <w:t xml:space="preserve">and </w:t>
      </w:r>
      <w:r w:rsidR="00BF0199" w:rsidRPr="00411AE0">
        <w:rPr>
          <w:rFonts w:ascii="Garamond" w:eastAsia="Times New Roman" w:hAnsi="Garamond" w:cs="Times New Roman"/>
          <w:i/>
          <w:iCs/>
          <w:color w:val="000000"/>
          <w:sz w:val="24"/>
          <w:szCs w:val="24"/>
          <w:lang w:eastAsia="en-GB"/>
        </w:rPr>
        <w:t xml:space="preserve">between these </w:t>
      </w:r>
      <w:r w:rsidR="00BF0199" w:rsidRPr="001D5EC1">
        <w:rPr>
          <w:rFonts w:ascii="Garamond" w:eastAsia="Times New Roman" w:hAnsi="Garamond" w:cs="Times New Roman"/>
          <w:i/>
          <w:iCs/>
          <w:sz w:val="24"/>
          <w:szCs w:val="24"/>
          <w:lang w:eastAsia="en-GB"/>
        </w:rPr>
        <w:t>phenomena</w:t>
      </w:r>
      <w:r w:rsidR="00EC1D7E" w:rsidRPr="001D5EC1">
        <w:rPr>
          <w:rFonts w:ascii="Garamond" w:eastAsia="Times New Roman" w:hAnsi="Garamond" w:cs="Times New Roman"/>
          <w:i/>
          <w:iCs/>
          <w:sz w:val="24"/>
          <w:szCs w:val="24"/>
          <w:lang w:eastAsia="en-GB"/>
        </w:rPr>
        <w:t xml:space="preserve">, tracing a </w:t>
      </w:r>
      <w:r w:rsidR="00EE094A" w:rsidRPr="001D5EC1">
        <w:rPr>
          <w:rFonts w:ascii="Garamond" w:eastAsia="Times New Roman" w:hAnsi="Garamond" w:cs="Times New Roman"/>
          <w:i/>
          <w:iCs/>
          <w:sz w:val="24"/>
          <w:szCs w:val="24"/>
          <w:lang w:eastAsia="en-GB"/>
        </w:rPr>
        <w:t xml:space="preserve">Eurocentric </w:t>
      </w:r>
      <w:r w:rsidR="00EC1D7E" w:rsidRPr="001D5EC1">
        <w:rPr>
          <w:rFonts w:ascii="Garamond" w:eastAsia="Times New Roman" w:hAnsi="Garamond" w:cs="Times New Roman"/>
          <w:i/>
          <w:iCs/>
          <w:sz w:val="24"/>
          <w:szCs w:val="24"/>
          <w:lang w:eastAsia="en-GB"/>
        </w:rPr>
        <w:t xml:space="preserve">logic visible in the </w:t>
      </w:r>
      <w:r w:rsidR="00446EAF" w:rsidRPr="001D5EC1">
        <w:rPr>
          <w:rFonts w:ascii="Garamond" w:eastAsia="Times New Roman" w:hAnsi="Garamond" w:cs="Times New Roman"/>
          <w:i/>
          <w:iCs/>
          <w:sz w:val="24"/>
          <w:szCs w:val="24"/>
          <w:lang w:eastAsia="en-GB"/>
        </w:rPr>
        <w:t>complex continuities</w:t>
      </w:r>
      <w:r w:rsidR="00EC1D7E" w:rsidRPr="001D5EC1">
        <w:rPr>
          <w:rFonts w:ascii="Garamond" w:eastAsia="Times New Roman" w:hAnsi="Garamond" w:cs="Times New Roman"/>
          <w:i/>
          <w:iCs/>
          <w:sz w:val="24"/>
          <w:szCs w:val="24"/>
          <w:lang w:eastAsia="en-GB"/>
        </w:rPr>
        <w:t xml:space="preserve"> </w:t>
      </w:r>
      <w:r w:rsidR="0030392E" w:rsidRPr="001D5EC1">
        <w:rPr>
          <w:rFonts w:ascii="Garamond" w:eastAsia="Times New Roman" w:hAnsi="Garamond" w:cs="Times New Roman"/>
          <w:i/>
          <w:iCs/>
          <w:sz w:val="24"/>
          <w:szCs w:val="24"/>
          <w:lang w:eastAsia="en-GB"/>
        </w:rPr>
        <w:t xml:space="preserve">between coloniality, capitalism and the </w:t>
      </w:r>
      <w:r w:rsidR="007F0595" w:rsidRPr="001D5EC1">
        <w:rPr>
          <w:rFonts w:ascii="Garamond" w:eastAsia="Times New Roman" w:hAnsi="Garamond" w:cs="Times New Roman"/>
          <w:i/>
          <w:iCs/>
          <w:sz w:val="24"/>
          <w:szCs w:val="24"/>
          <w:lang w:eastAsia="en-GB"/>
        </w:rPr>
        <w:t>production of</w:t>
      </w:r>
      <w:r w:rsidR="0030392E" w:rsidRPr="001D5EC1">
        <w:rPr>
          <w:rFonts w:ascii="Garamond" w:eastAsia="Times New Roman" w:hAnsi="Garamond" w:cs="Times New Roman"/>
          <w:i/>
          <w:iCs/>
          <w:sz w:val="24"/>
          <w:szCs w:val="24"/>
          <w:lang w:eastAsia="en-GB"/>
        </w:rPr>
        <w:t xml:space="preserve"> precarity in the Ant</w:t>
      </w:r>
      <w:r w:rsidR="00310F50" w:rsidRPr="001D5EC1">
        <w:rPr>
          <w:rFonts w:ascii="Garamond" w:eastAsia="Times New Roman" w:hAnsi="Garamond" w:cs="Times New Roman"/>
          <w:i/>
          <w:iCs/>
          <w:sz w:val="24"/>
          <w:szCs w:val="24"/>
          <w:lang w:eastAsia="en-GB"/>
        </w:rPr>
        <w:t>h</w:t>
      </w:r>
      <w:r w:rsidR="0030392E" w:rsidRPr="001D5EC1">
        <w:rPr>
          <w:rFonts w:ascii="Garamond" w:eastAsia="Times New Roman" w:hAnsi="Garamond" w:cs="Times New Roman"/>
          <w:i/>
          <w:iCs/>
          <w:sz w:val="24"/>
          <w:szCs w:val="24"/>
          <w:lang w:eastAsia="en-GB"/>
        </w:rPr>
        <w:t>ropocene.</w:t>
      </w:r>
    </w:p>
    <w:bookmarkEnd w:id="0"/>
    <w:p w14:paraId="3209E4A9" w14:textId="1526A39D" w:rsidR="00FC2633" w:rsidRPr="00411AE0" w:rsidRDefault="00FC2633" w:rsidP="00E16067">
      <w:pPr>
        <w:spacing w:after="0" w:line="240" w:lineRule="auto"/>
        <w:rPr>
          <w:rFonts w:ascii="Garamond" w:eastAsia="Times New Roman" w:hAnsi="Garamond" w:cs="Times New Roman"/>
          <w:sz w:val="24"/>
          <w:szCs w:val="24"/>
          <w:lang w:eastAsia="en-GB"/>
        </w:rPr>
      </w:pPr>
      <w:r>
        <w:rPr>
          <w:rFonts w:ascii="Garamond" w:eastAsia="Times New Roman" w:hAnsi="Garamond" w:cs="Times New Roman"/>
          <w:b/>
          <w:iCs/>
          <w:color w:val="000000"/>
          <w:sz w:val="24"/>
          <w:szCs w:val="24"/>
          <w:lang w:eastAsia="en-GB"/>
        </w:rPr>
        <w:t xml:space="preserve">Keywords: </w:t>
      </w:r>
      <w:r w:rsidR="009D399C" w:rsidRPr="00411AE0">
        <w:rPr>
          <w:rFonts w:ascii="Garamond" w:eastAsia="Times New Roman" w:hAnsi="Garamond" w:cs="Times New Roman"/>
          <w:i/>
          <w:iCs/>
          <w:color w:val="000000"/>
          <w:sz w:val="24"/>
          <w:szCs w:val="24"/>
          <w:lang w:eastAsia="en-GB"/>
        </w:rPr>
        <w:t>Legal personhood; jurisdiction; walls; coloniality/neocoloniality; neoliberalism; transnational corporations</w:t>
      </w:r>
      <w:r w:rsidR="006D518B" w:rsidRPr="00411AE0">
        <w:rPr>
          <w:rFonts w:ascii="Garamond" w:eastAsia="Times New Roman" w:hAnsi="Garamond" w:cs="Times New Roman"/>
          <w:i/>
          <w:iCs/>
          <w:color w:val="000000"/>
          <w:sz w:val="24"/>
          <w:szCs w:val="24"/>
          <w:lang w:eastAsia="en-GB"/>
        </w:rPr>
        <w:t>; privilege; predation</w:t>
      </w:r>
      <w:r w:rsidR="006D518B">
        <w:rPr>
          <w:rFonts w:ascii="Garamond" w:eastAsia="Times New Roman" w:hAnsi="Garamond" w:cs="Times New Roman"/>
          <w:iCs/>
          <w:color w:val="000000"/>
          <w:sz w:val="24"/>
          <w:szCs w:val="24"/>
          <w:lang w:eastAsia="en-GB"/>
        </w:rPr>
        <w:t>.</w:t>
      </w:r>
    </w:p>
    <w:p w14:paraId="736969AF" w14:textId="77777777" w:rsidR="00BF0199" w:rsidRPr="00411AE0" w:rsidRDefault="00BF0199" w:rsidP="00EE5633">
      <w:pPr>
        <w:spacing w:after="0" w:line="240" w:lineRule="auto"/>
        <w:rPr>
          <w:rFonts w:ascii="Garamond" w:eastAsia="Times New Roman" w:hAnsi="Garamond" w:cs="Times New Roman"/>
          <w:sz w:val="24"/>
          <w:szCs w:val="24"/>
          <w:lang w:eastAsia="en-GB"/>
        </w:rPr>
      </w:pPr>
      <w:r w:rsidRPr="00411AE0">
        <w:rPr>
          <w:rFonts w:ascii="Garamond" w:eastAsia="Times New Roman" w:hAnsi="Garamond" w:cs="Times New Roman"/>
          <w:sz w:val="24"/>
          <w:szCs w:val="24"/>
          <w:lang w:eastAsia="en-GB"/>
        </w:rPr>
        <w:t> </w:t>
      </w:r>
    </w:p>
    <w:p w14:paraId="2E0846E0" w14:textId="2CC01A51" w:rsidR="00BF0199" w:rsidRPr="006347CD" w:rsidRDefault="00E2040C" w:rsidP="00EE5633">
      <w:pPr>
        <w:spacing w:after="0" w:line="240" w:lineRule="auto"/>
        <w:rPr>
          <w:rFonts w:ascii="Garamond" w:eastAsia="Times New Roman" w:hAnsi="Garamond" w:cs="Times New Roman"/>
          <w:sz w:val="24"/>
          <w:szCs w:val="24"/>
          <w:lang w:eastAsia="en-GB"/>
        </w:rPr>
      </w:pPr>
      <w:r w:rsidRPr="006347CD">
        <w:rPr>
          <w:rFonts w:ascii="Garamond" w:eastAsia="Times New Roman" w:hAnsi="Garamond" w:cs="Times New Roman"/>
          <w:color w:val="000000"/>
          <w:sz w:val="24"/>
          <w:szCs w:val="24"/>
          <w:lang w:eastAsia="en-GB"/>
        </w:rPr>
        <w:t xml:space="preserve">1 </w:t>
      </w:r>
      <w:r w:rsidR="00BF0199" w:rsidRPr="006347CD">
        <w:rPr>
          <w:rFonts w:ascii="Garamond" w:eastAsia="Times New Roman" w:hAnsi="Garamond" w:cs="Times New Roman"/>
          <w:color w:val="000000"/>
          <w:sz w:val="24"/>
          <w:szCs w:val="24"/>
          <w:lang w:eastAsia="en-GB"/>
        </w:rPr>
        <w:t>INTRODUCTION</w:t>
      </w:r>
    </w:p>
    <w:p w14:paraId="684D11FD" w14:textId="77777777" w:rsidR="00117358" w:rsidRDefault="00117358" w:rsidP="00F605DD">
      <w:pPr>
        <w:widowControl w:val="0"/>
        <w:autoSpaceDE w:val="0"/>
        <w:autoSpaceDN w:val="0"/>
        <w:adjustRightInd w:val="0"/>
        <w:spacing w:after="0" w:line="240" w:lineRule="auto"/>
        <w:rPr>
          <w:rFonts w:ascii="Garamond" w:eastAsia="Times New Roman" w:hAnsi="Garamond" w:cs="Times New Roman"/>
          <w:color w:val="000000"/>
          <w:sz w:val="24"/>
          <w:szCs w:val="24"/>
          <w:lang w:eastAsia="en-GB"/>
        </w:rPr>
      </w:pPr>
    </w:p>
    <w:p w14:paraId="3AD68554" w14:textId="1395EB87" w:rsidR="007D64FE" w:rsidRDefault="00DC3584" w:rsidP="00DF350F">
      <w:pPr>
        <w:widowControl w:val="0"/>
        <w:autoSpaceDE w:val="0"/>
        <w:autoSpaceDN w:val="0"/>
        <w:adjustRightInd w:val="0"/>
        <w:spacing w:after="0" w:line="240" w:lineRule="auto"/>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In this article, we offer</w:t>
      </w:r>
      <w:r w:rsidR="00161F5A">
        <w:rPr>
          <w:rFonts w:ascii="Garamond" w:hAnsi="Garamond" w:cs="Times New Roman"/>
          <w:color w:val="000000"/>
          <w:sz w:val="24"/>
          <w:szCs w:val="24"/>
          <w:lang w:val="en-US"/>
        </w:rPr>
        <w:t xml:space="preserve"> a critical reading of </w:t>
      </w:r>
      <w:r w:rsidR="00161F5A" w:rsidRPr="00411AE0">
        <w:rPr>
          <w:rFonts w:ascii="Garamond" w:eastAsia="Times New Roman" w:hAnsi="Garamond" w:cs="Times New Roman"/>
          <w:color w:val="000000"/>
          <w:sz w:val="24"/>
          <w:szCs w:val="24"/>
          <w:lang w:eastAsia="en-GB"/>
        </w:rPr>
        <w:t xml:space="preserve">personhood and jurisdiction set against the </w:t>
      </w:r>
      <w:r w:rsidR="00161F5A">
        <w:rPr>
          <w:rFonts w:ascii="Garamond" w:eastAsia="Times New Roman" w:hAnsi="Garamond" w:cs="Times New Roman"/>
          <w:color w:val="000000"/>
          <w:sz w:val="24"/>
          <w:szCs w:val="24"/>
          <w:lang w:eastAsia="en-GB"/>
        </w:rPr>
        <w:t>globalised</w:t>
      </w:r>
      <w:r w:rsidR="00161F5A" w:rsidRPr="00411AE0">
        <w:rPr>
          <w:rFonts w:ascii="Garamond" w:eastAsia="Times New Roman" w:hAnsi="Garamond" w:cs="Times New Roman"/>
          <w:color w:val="000000"/>
          <w:sz w:val="24"/>
          <w:szCs w:val="24"/>
          <w:lang w:eastAsia="en-GB"/>
        </w:rPr>
        <w:t xml:space="preserve"> </w:t>
      </w:r>
      <w:r w:rsidR="00161F5A">
        <w:rPr>
          <w:rFonts w:ascii="Garamond" w:eastAsia="Times New Roman" w:hAnsi="Garamond" w:cs="Times New Roman"/>
          <w:color w:val="000000"/>
          <w:sz w:val="24"/>
          <w:szCs w:val="24"/>
          <w:lang w:eastAsia="en-GB"/>
        </w:rPr>
        <w:t>juridical</w:t>
      </w:r>
      <w:r w:rsidR="00161F5A" w:rsidRPr="00411AE0">
        <w:rPr>
          <w:rFonts w:ascii="Garamond" w:eastAsia="Times New Roman" w:hAnsi="Garamond" w:cs="Times New Roman"/>
          <w:color w:val="000000"/>
          <w:sz w:val="24"/>
          <w:szCs w:val="24"/>
          <w:lang w:eastAsia="en-GB"/>
        </w:rPr>
        <w:t xml:space="preserve"> order </w:t>
      </w:r>
      <w:r w:rsidR="00422EF1">
        <w:rPr>
          <w:rFonts w:ascii="Garamond" w:eastAsia="Times New Roman" w:hAnsi="Garamond" w:cs="Times New Roman"/>
          <w:color w:val="000000"/>
          <w:sz w:val="24"/>
          <w:szCs w:val="24"/>
          <w:lang w:eastAsia="en-GB"/>
        </w:rPr>
        <w:t xml:space="preserve">and the </w:t>
      </w:r>
      <w:r w:rsidR="00422EF1" w:rsidRPr="00411AE0">
        <w:rPr>
          <w:rFonts w:ascii="Garamond" w:eastAsia="Times New Roman" w:hAnsi="Garamond" w:cs="Times New Roman"/>
          <w:color w:val="000000"/>
          <w:sz w:val="24"/>
          <w:szCs w:val="24"/>
          <w:lang w:eastAsia="en-GB"/>
        </w:rPr>
        <w:t xml:space="preserve">stark contrast </w:t>
      </w:r>
      <w:r w:rsidR="00161F5A" w:rsidRPr="00411AE0">
        <w:rPr>
          <w:rFonts w:ascii="Garamond" w:eastAsia="Times New Roman" w:hAnsi="Garamond" w:cs="Times New Roman"/>
          <w:color w:val="000000"/>
          <w:sz w:val="24"/>
          <w:szCs w:val="24"/>
          <w:lang w:eastAsia="en-GB"/>
        </w:rPr>
        <w:t>between the privilege of transnational corporations (TNCs)</w:t>
      </w:r>
      <w:r w:rsidR="00161F5A" w:rsidRPr="00411AE0">
        <w:rPr>
          <w:rStyle w:val="FootnoteReference"/>
          <w:rFonts w:ascii="Garamond" w:eastAsia="Times New Roman" w:hAnsi="Garamond" w:cs="Times New Roman"/>
          <w:color w:val="000000"/>
          <w:sz w:val="24"/>
          <w:szCs w:val="24"/>
          <w:lang w:eastAsia="en-GB"/>
        </w:rPr>
        <w:footnoteReference w:id="2"/>
      </w:r>
      <w:r w:rsidR="00161F5A" w:rsidRPr="00411AE0">
        <w:rPr>
          <w:rFonts w:ascii="Garamond" w:eastAsia="Times New Roman" w:hAnsi="Garamond" w:cs="Times New Roman"/>
          <w:color w:val="000000"/>
          <w:sz w:val="24"/>
          <w:szCs w:val="24"/>
          <w:lang w:eastAsia="en-GB"/>
        </w:rPr>
        <w:t xml:space="preserve"> and the barriers and exclusions facing marginalised</w:t>
      </w:r>
      <w:r w:rsidR="00161F5A">
        <w:rPr>
          <w:rFonts w:ascii="Garamond" w:eastAsia="Times New Roman" w:hAnsi="Garamond" w:cs="Times New Roman"/>
          <w:color w:val="000000"/>
          <w:sz w:val="24"/>
          <w:szCs w:val="24"/>
          <w:lang w:eastAsia="en-GB"/>
        </w:rPr>
        <w:t>, corporeally specific</w:t>
      </w:r>
      <w:r w:rsidR="00161F5A" w:rsidRPr="00411AE0">
        <w:rPr>
          <w:rFonts w:ascii="Garamond" w:eastAsia="Times New Roman" w:hAnsi="Garamond" w:cs="Times New Roman"/>
          <w:color w:val="000000"/>
          <w:sz w:val="24"/>
          <w:szCs w:val="24"/>
          <w:lang w:eastAsia="en-GB"/>
        </w:rPr>
        <w:t xml:space="preserve"> human beings.</w:t>
      </w:r>
      <w:r w:rsidR="00161F5A" w:rsidRPr="00411AE0">
        <w:rPr>
          <w:rStyle w:val="FootnoteReference"/>
          <w:rFonts w:ascii="Garamond" w:eastAsia="Times New Roman" w:hAnsi="Garamond" w:cs="Times New Roman"/>
          <w:color w:val="000000"/>
          <w:sz w:val="24"/>
          <w:szCs w:val="24"/>
          <w:lang w:eastAsia="en-GB"/>
        </w:rPr>
        <w:footnoteReference w:id="3"/>
      </w:r>
      <w:r w:rsidR="00161F5A">
        <w:rPr>
          <w:rFonts w:ascii="Garamond" w:hAnsi="Garamond" w:cs="Times New Roman"/>
          <w:color w:val="262626"/>
          <w:sz w:val="24"/>
          <w:szCs w:val="24"/>
          <w:lang w:val="en-US"/>
        </w:rPr>
        <w:t xml:space="preserve"> </w:t>
      </w:r>
      <w:r>
        <w:rPr>
          <w:rFonts w:ascii="Garamond" w:hAnsi="Garamond" w:cs="Times New Roman"/>
          <w:color w:val="262626"/>
          <w:sz w:val="24"/>
          <w:szCs w:val="24"/>
          <w:lang w:val="en-US"/>
        </w:rPr>
        <w:t xml:space="preserve">We </w:t>
      </w:r>
      <w:r w:rsidR="009975EE">
        <w:rPr>
          <w:rFonts w:ascii="Garamond" w:hAnsi="Garamond" w:cs="Times New Roman"/>
          <w:color w:val="262626"/>
          <w:sz w:val="24"/>
          <w:szCs w:val="24"/>
          <w:lang w:val="en-US"/>
        </w:rPr>
        <w:t>trace</w:t>
      </w:r>
      <w:r w:rsidR="00313E87">
        <w:rPr>
          <w:rFonts w:ascii="Garamond" w:hAnsi="Garamond" w:cs="Times New Roman"/>
          <w:color w:val="000000"/>
          <w:sz w:val="24"/>
          <w:szCs w:val="24"/>
          <w:lang w:val="en-US"/>
        </w:rPr>
        <w:t xml:space="preserve"> threads of continuity between </w:t>
      </w:r>
      <w:r w:rsidR="00C34BA6">
        <w:rPr>
          <w:rFonts w:ascii="Garamond" w:hAnsi="Garamond" w:cs="Times New Roman"/>
          <w:color w:val="000000"/>
          <w:sz w:val="24"/>
          <w:szCs w:val="24"/>
          <w:lang w:val="en-US"/>
        </w:rPr>
        <w:t>the colonial past</w:t>
      </w:r>
      <w:r w:rsidR="00313E87">
        <w:rPr>
          <w:rFonts w:ascii="Garamond" w:hAnsi="Garamond" w:cs="Times New Roman"/>
          <w:color w:val="000000"/>
          <w:sz w:val="24"/>
          <w:szCs w:val="24"/>
          <w:lang w:val="en-US"/>
        </w:rPr>
        <w:t xml:space="preserve">, </w:t>
      </w:r>
      <w:r w:rsidR="00C34BA6">
        <w:rPr>
          <w:rFonts w:ascii="Garamond" w:hAnsi="Garamond" w:cs="Times New Roman"/>
          <w:color w:val="000000"/>
          <w:sz w:val="24"/>
          <w:szCs w:val="24"/>
          <w:lang w:val="en-US"/>
        </w:rPr>
        <w:t>the neoliberal present</w:t>
      </w:r>
      <w:r w:rsidR="00313E87">
        <w:rPr>
          <w:rFonts w:ascii="Garamond" w:hAnsi="Garamond" w:cs="Times New Roman"/>
          <w:color w:val="000000"/>
          <w:sz w:val="24"/>
          <w:szCs w:val="24"/>
          <w:lang w:val="en-US"/>
        </w:rPr>
        <w:t xml:space="preserve">, and </w:t>
      </w:r>
      <w:r w:rsidR="00C34BA6">
        <w:rPr>
          <w:rFonts w:ascii="Garamond" w:hAnsi="Garamond" w:cs="Times New Roman"/>
          <w:color w:val="000000"/>
          <w:sz w:val="24"/>
          <w:szCs w:val="24"/>
          <w:lang w:val="en-US"/>
        </w:rPr>
        <w:t xml:space="preserve">the </w:t>
      </w:r>
      <w:r w:rsidR="00161F5A">
        <w:rPr>
          <w:rFonts w:ascii="Garamond" w:hAnsi="Garamond" w:cs="Times New Roman"/>
          <w:color w:val="000000"/>
          <w:sz w:val="24"/>
          <w:szCs w:val="24"/>
          <w:lang w:val="en-US"/>
        </w:rPr>
        <w:t>function</w:t>
      </w:r>
      <w:r w:rsidR="00313E87">
        <w:rPr>
          <w:rFonts w:ascii="Garamond" w:hAnsi="Garamond" w:cs="Times New Roman"/>
          <w:color w:val="000000"/>
          <w:sz w:val="24"/>
          <w:szCs w:val="24"/>
          <w:lang w:val="en-US"/>
        </w:rPr>
        <w:t>s</w:t>
      </w:r>
      <w:r w:rsidR="00D86CFF">
        <w:rPr>
          <w:rFonts w:ascii="Garamond" w:hAnsi="Garamond" w:cs="Times New Roman"/>
          <w:color w:val="000000"/>
          <w:sz w:val="24"/>
          <w:szCs w:val="24"/>
          <w:lang w:val="en-US"/>
        </w:rPr>
        <w:t xml:space="preserve"> </w:t>
      </w:r>
      <w:r w:rsidR="00161F5A">
        <w:rPr>
          <w:rFonts w:ascii="Garamond" w:hAnsi="Garamond" w:cs="Times New Roman"/>
          <w:color w:val="000000"/>
          <w:sz w:val="24"/>
          <w:szCs w:val="24"/>
          <w:lang w:val="en-US"/>
        </w:rPr>
        <w:t xml:space="preserve">of legal personhood </w:t>
      </w:r>
      <w:r w:rsidR="00313E87">
        <w:rPr>
          <w:rFonts w:ascii="Garamond" w:hAnsi="Garamond" w:cs="Times New Roman"/>
          <w:color w:val="000000"/>
          <w:sz w:val="24"/>
          <w:szCs w:val="24"/>
          <w:lang w:val="en-US"/>
        </w:rPr>
        <w:t xml:space="preserve">and jurisdiction as </w:t>
      </w:r>
      <w:r w:rsidR="00161F5A">
        <w:rPr>
          <w:rFonts w:ascii="Garamond" w:hAnsi="Garamond" w:cs="Times New Roman"/>
          <w:color w:val="000000"/>
          <w:sz w:val="24"/>
          <w:szCs w:val="24"/>
          <w:lang w:val="en-US"/>
        </w:rPr>
        <w:t>mechanism</w:t>
      </w:r>
      <w:r w:rsidR="00313E87">
        <w:rPr>
          <w:rFonts w:ascii="Garamond" w:hAnsi="Garamond" w:cs="Times New Roman"/>
          <w:color w:val="000000"/>
          <w:sz w:val="24"/>
          <w:szCs w:val="24"/>
          <w:lang w:val="en-US"/>
        </w:rPr>
        <w:t>s</w:t>
      </w:r>
      <w:r w:rsidR="00161F5A">
        <w:rPr>
          <w:rFonts w:ascii="Garamond" w:hAnsi="Garamond" w:cs="Times New Roman"/>
          <w:color w:val="000000"/>
          <w:sz w:val="24"/>
          <w:szCs w:val="24"/>
          <w:lang w:val="en-US"/>
        </w:rPr>
        <w:t xml:space="preserve"> of exclusion</w:t>
      </w:r>
      <w:r w:rsidR="00313E87">
        <w:rPr>
          <w:rFonts w:ascii="Garamond" w:hAnsi="Garamond" w:cs="Times New Roman"/>
          <w:color w:val="000000"/>
          <w:sz w:val="24"/>
          <w:szCs w:val="24"/>
          <w:lang w:val="en-US"/>
        </w:rPr>
        <w:t xml:space="preserve"> and control</w:t>
      </w:r>
      <w:r w:rsidR="00D1792C">
        <w:rPr>
          <w:rFonts w:ascii="Garamond" w:hAnsi="Garamond" w:cs="Times New Roman"/>
          <w:color w:val="000000"/>
          <w:sz w:val="24"/>
          <w:szCs w:val="24"/>
          <w:lang w:val="en-US"/>
        </w:rPr>
        <w:t xml:space="preserve">. </w:t>
      </w:r>
      <w:r w:rsidR="00396502">
        <w:rPr>
          <w:rFonts w:ascii="Garamond" w:hAnsi="Garamond" w:cs="Times New Roman"/>
          <w:color w:val="000000"/>
          <w:sz w:val="24"/>
          <w:szCs w:val="24"/>
          <w:lang w:val="en-US"/>
        </w:rPr>
        <w:br/>
        <w:t xml:space="preserve"> </w:t>
      </w:r>
      <w:r w:rsidR="00396502">
        <w:rPr>
          <w:rFonts w:ascii="Garamond" w:hAnsi="Garamond" w:cs="Times New Roman"/>
          <w:color w:val="000000"/>
          <w:sz w:val="24"/>
          <w:szCs w:val="24"/>
          <w:lang w:val="en-US"/>
        </w:rPr>
        <w:tab/>
      </w:r>
      <w:r w:rsidR="0030392E">
        <w:rPr>
          <w:rFonts w:ascii="Garamond" w:hAnsi="Garamond" w:cs="Times New Roman"/>
          <w:color w:val="000000"/>
          <w:sz w:val="24"/>
          <w:szCs w:val="24"/>
          <w:lang w:val="en-US"/>
        </w:rPr>
        <w:t xml:space="preserve"> </w:t>
      </w:r>
      <w:r w:rsidR="001440D2">
        <w:rPr>
          <w:rFonts w:ascii="Garamond" w:hAnsi="Garamond" w:cs="Times New Roman"/>
          <w:color w:val="000000"/>
          <w:sz w:val="24"/>
          <w:szCs w:val="24"/>
          <w:lang w:val="en-US"/>
        </w:rPr>
        <w:t>T</w:t>
      </w:r>
      <w:r w:rsidR="0066262B">
        <w:rPr>
          <w:rFonts w:ascii="Garamond" w:eastAsia="Times New Roman" w:hAnsi="Garamond" w:cs="Times New Roman"/>
          <w:color w:val="000000"/>
          <w:sz w:val="24"/>
          <w:szCs w:val="24"/>
          <w:lang w:eastAsia="en-GB"/>
        </w:rPr>
        <w:t>he scale of the global</w:t>
      </w:r>
      <w:r w:rsidR="00504C3B">
        <w:rPr>
          <w:rFonts w:ascii="Garamond" w:eastAsia="Times New Roman" w:hAnsi="Garamond" w:cs="Times New Roman"/>
          <w:color w:val="000000"/>
          <w:sz w:val="24"/>
          <w:szCs w:val="24"/>
          <w:lang w:eastAsia="en-GB"/>
        </w:rPr>
        <w:t xml:space="preserve"> </w:t>
      </w:r>
      <w:r w:rsidR="0066262B">
        <w:rPr>
          <w:rFonts w:ascii="Garamond" w:eastAsia="Times New Roman" w:hAnsi="Garamond" w:cs="Times New Roman"/>
          <w:color w:val="000000"/>
          <w:sz w:val="24"/>
          <w:szCs w:val="24"/>
          <w:lang w:eastAsia="en-GB"/>
        </w:rPr>
        <w:t>is</w:t>
      </w:r>
      <w:r w:rsidR="00E044DA">
        <w:rPr>
          <w:rFonts w:ascii="Garamond" w:eastAsia="Times New Roman" w:hAnsi="Garamond" w:cs="Times New Roman"/>
          <w:color w:val="000000"/>
          <w:sz w:val="24"/>
          <w:szCs w:val="24"/>
          <w:lang w:eastAsia="en-GB"/>
        </w:rPr>
        <w:t>, of course,</w:t>
      </w:r>
      <w:r w:rsidR="0066262B">
        <w:rPr>
          <w:rFonts w:ascii="Garamond" w:eastAsia="Times New Roman" w:hAnsi="Garamond" w:cs="Times New Roman"/>
          <w:color w:val="000000"/>
          <w:sz w:val="24"/>
          <w:szCs w:val="24"/>
          <w:lang w:eastAsia="en-GB"/>
        </w:rPr>
        <w:t xml:space="preserve"> central to Anthropocene, and Haraway—pointing this out, has also rightly argued that</w:t>
      </w:r>
      <w:r w:rsidR="0066262B">
        <w:rPr>
          <w:rFonts w:ascii="Garamond" w:hAnsi="Garamond" w:cs="Times New Roman"/>
          <w:color w:val="000000"/>
          <w:sz w:val="24"/>
          <w:szCs w:val="24"/>
          <w:lang w:val="en-US"/>
        </w:rPr>
        <w:t xml:space="preserve"> </w:t>
      </w:r>
      <w:r w:rsidR="0066262B" w:rsidRPr="00A903E5">
        <w:rPr>
          <w:rFonts w:ascii="Garamond" w:hAnsi="Garamond" w:cs="Times New Roman"/>
          <w:color w:val="000000"/>
          <w:sz w:val="24"/>
          <w:szCs w:val="24"/>
          <w:lang w:val="en-US"/>
        </w:rPr>
        <w:t>the global</w:t>
      </w:r>
      <w:r w:rsidR="0066262B" w:rsidRPr="00F63906">
        <w:rPr>
          <w:rFonts w:ascii="Garamond" w:hAnsi="Garamond" w:cs="Times New Roman"/>
          <w:color w:val="000000"/>
          <w:sz w:val="24"/>
          <w:szCs w:val="24"/>
          <w:lang w:val="en-US"/>
        </w:rPr>
        <w:t xml:space="preserve"> </w:t>
      </w:r>
      <w:r w:rsidR="0066262B" w:rsidRPr="00A903E5">
        <w:rPr>
          <w:rFonts w:ascii="Garamond" w:hAnsi="Garamond" w:cs="Times New Roman"/>
          <w:color w:val="000000"/>
          <w:sz w:val="24"/>
          <w:szCs w:val="24"/>
          <w:lang w:val="en-US"/>
        </w:rPr>
        <w:t xml:space="preserve">is </w:t>
      </w:r>
      <w:r w:rsidR="0066262B" w:rsidRPr="00A903E5">
        <w:rPr>
          <w:rFonts w:ascii="Garamond" w:hAnsi="Garamond" w:cs="Times New Roman"/>
          <w:i/>
          <w:color w:val="000000"/>
          <w:sz w:val="24"/>
          <w:szCs w:val="24"/>
          <w:lang w:val="en-US"/>
        </w:rPr>
        <w:t>highly specific</w:t>
      </w:r>
      <w:r w:rsidR="0066262B" w:rsidRPr="00A903E5">
        <w:rPr>
          <w:rFonts w:ascii="Garamond" w:hAnsi="Garamond" w:cs="Times New Roman"/>
          <w:color w:val="000000"/>
          <w:sz w:val="24"/>
          <w:szCs w:val="24"/>
          <w:lang w:val="en-US"/>
        </w:rPr>
        <w:t xml:space="preserve"> in its</w:t>
      </w:r>
      <w:r w:rsidR="0066262B" w:rsidRPr="00F63906">
        <w:rPr>
          <w:rFonts w:ascii="Garamond" w:hAnsi="Garamond" w:cs="Times New Roman"/>
          <w:color w:val="000000"/>
          <w:sz w:val="24"/>
          <w:szCs w:val="24"/>
          <w:lang w:val="en-US"/>
        </w:rPr>
        <w:t xml:space="preserve"> </w:t>
      </w:r>
      <w:r w:rsidR="0066262B" w:rsidRPr="00A903E5">
        <w:rPr>
          <w:rFonts w:ascii="Garamond" w:hAnsi="Garamond" w:cs="Times New Roman"/>
          <w:color w:val="000000"/>
          <w:sz w:val="24"/>
          <w:szCs w:val="24"/>
          <w:lang w:val="en-US"/>
        </w:rPr>
        <w:t>historical and material origins and development</w:t>
      </w:r>
      <w:r w:rsidR="0066262B" w:rsidRPr="00F63906">
        <w:rPr>
          <w:rFonts w:ascii="Garamond" w:hAnsi="Garamond" w:cs="Times New Roman"/>
          <w:color w:val="000000"/>
          <w:sz w:val="24"/>
          <w:szCs w:val="24"/>
          <w:lang w:val="en-US"/>
        </w:rPr>
        <w:t>.</w:t>
      </w:r>
      <w:r w:rsidR="0066262B" w:rsidRPr="00F63906">
        <w:rPr>
          <w:rStyle w:val="FootnoteReference"/>
          <w:rFonts w:ascii="Garamond" w:hAnsi="Garamond" w:cs="Times New Roman"/>
          <w:color w:val="000000"/>
          <w:sz w:val="24"/>
          <w:szCs w:val="24"/>
          <w:lang w:val="en-US"/>
        </w:rPr>
        <w:footnoteReference w:id="4"/>
      </w:r>
      <w:r w:rsidR="0066262B" w:rsidRPr="00A903E5">
        <w:rPr>
          <w:rFonts w:ascii="Garamond" w:hAnsi="Garamond" w:cs="Times New Roman"/>
          <w:color w:val="000000"/>
          <w:sz w:val="24"/>
          <w:szCs w:val="24"/>
          <w:lang w:val="en-US"/>
        </w:rPr>
        <w:t xml:space="preserve"> </w:t>
      </w:r>
      <w:r w:rsidR="0066262B" w:rsidRPr="00A903E5">
        <w:rPr>
          <w:rFonts w:ascii="Garamond" w:hAnsi="Garamond" w:cs="Times New Roman"/>
          <w:color w:val="262626"/>
          <w:sz w:val="24"/>
          <w:szCs w:val="24"/>
          <w:lang w:val="en-US"/>
        </w:rPr>
        <w:t xml:space="preserve">Folded into the </w:t>
      </w:r>
      <w:r w:rsidR="0066262B">
        <w:rPr>
          <w:rFonts w:ascii="Garamond" w:hAnsi="Garamond" w:cs="Times New Roman"/>
          <w:color w:val="262626"/>
          <w:sz w:val="24"/>
          <w:szCs w:val="24"/>
          <w:lang w:val="en-US"/>
        </w:rPr>
        <w:t>antecedents</w:t>
      </w:r>
      <w:r w:rsidR="003F1268">
        <w:rPr>
          <w:rFonts w:ascii="Garamond" w:hAnsi="Garamond" w:cs="Times New Roman"/>
          <w:color w:val="262626"/>
          <w:sz w:val="24"/>
          <w:szCs w:val="24"/>
          <w:lang w:val="en-US"/>
        </w:rPr>
        <w:t xml:space="preserve"> of </w:t>
      </w:r>
      <w:r w:rsidR="0066262B" w:rsidRPr="00A903E5">
        <w:rPr>
          <w:rFonts w:ascii="Garamond" w:hAnsi="Garamond" w:cs="Times New Roman"/>
          <w:color w:val="262626"/>
          <w:sz w:val="24"/>
          <w:szCs w:val="24"/>
          <w:lang w:val="en-US"/>
        </w:rPr>
        <w:t>Anthropocene cris</w:t>
      </w:r>
      <w:r w:rsidR="003F1268">
        <w:rPr>
          <w:rFonts w:ascii="Garamond" w:hAnsi="Garamond" w:cs="Times New Roman"/>
          <w:color w:val="262626"/>
          <w:sz w:val="24"/>
          <w:szCs w:val="24"/>
          <w:lang w:val="en-US"/>
        </w:rPr>
        <w:t>e</w:t>
      </w:r>
      <w:r w:rsidR="0066262B" w:rsidRPr="00A903E5">
        <w:rPr>
          <w:rFonts w:ascii="Garamond" w:hAnsi="Garamond" w:cs="Times New Roman"/>
          <w:color w:val="262626"/>
          <w:sz w:val="24"/>
          <w:szCs w:val="24"/>
          <w:lang w:val="en-US"/>
        </w:rPr>
        <w:t>s</w:t>
      </w:r>
      <w:r w:rsidR="0066262B" w:rsidRPr="00F63906">
        <w:rPr>
          <w:rFonts w:ascii="Garamond" w:hAnsi="Garamond" w:cs="Times New Roman"/>
          <w:color w:val="262626"/>
          <w:sz w:val="24"/>
          <w:szCs w:val="24"/>
          <w:lang w:val="en-US"/>
        </w:rPr>
        <w:t xml:space="preserve">—including climate </w:t>
      </w:r>
      <w:r w:rsidR="003F1268">
        <w:rPr>
          <w:rFonts w:ascii="Garamond" w:hAnsi="Garamond" w:cs="Times New Roman"/>
          <w:color w:val="262626"/>
          <w:sz w:val="24"/>
          <w:szCs w:val="24"/>
          <w:lang w:val="en-US"/>
        </w:rPr>
        <w:t>change</w:t>
      </w:r>
      <w:r w:rsidR="0066262B" w:rsidRPr="00F63906">
        <w:rPr>
          <w:rFonts w:ascii="Garamond" w:hAnsi="Garamond" w:cs="Times New Roman"/>
          <w:color w:val="262626"/>
          <w:sz w:val="24"/>
          <w:szCs w:val="24"/>
          <w:lang w:val="en-US"/>
        </w:rPr>
        <w:t xml:space="preserve"> as</w:t>
      </w:r>
      <w:r w:rsidR="0066262B" w:rsidRPr="002D5943">
        <w:rPr>
          <w:rFonts w:ascii="Garamond" w:hAnsi="Garamond" w:cs="Times New Roman"/>
          <w:color w:val="262626"/>
          <w:sz w:val="24"/>
          <w:szCs w:val="24"/>
          <w:lang w:val="en-US"/>
        </w:rPr>
        <w:t xml:space="preserve"> the</w:t>
      </w:r>
      <w:r w:rsidR="0066262B">
        <w:rPr>
          <w:rFonts w:ascii="Garamond" w:hAnsi="Garamond" w:cs="Times New Roman"/>
          <w:color w:val="262626"/>
          <w:sz w:val="24"/>
          <w:szCs w:val="24"/>
          <w:lang w:val="en-US"/>
        </w:rPr>
        <w:t xml:space="preserve"> Anthropocene’s</w:t>
      </w:r>
      <w:r w:rsidR="0066262B" w:rsidRPr="002D5943">
        <w:rPr>
          <w:rFonts w:ascii="Garamond" w:hAnsi="Garamond" w:cs="Times New Roman"/>
          <w:color w:val="262626"/>
          <w:sz w:val="24"/>
          <w:szCs w:val="24"/>
          <w:lang w:val="en-US"/>
        </w:rPr>
        <w:t xml:space="preserve"> </w:t>
      </w:r>
      <w:r w:rsidR="0066262B" w:rsidRPr="002D5943">
        <w:rPr>
          <w:rFonts w:ascii="Garamond" w:eastAsia="Times New Roman" w:hAnsi="Garamond" w:cs="Times New Roman"/>
          <w:color w:val="000000"/>
          <w:sz w:val="24"/>
          <w:szCs w:val="24"/>
          <w:lang w:eastAsia="en-GB"/>
        </w:rPr>
        <w:t xml:space="preserve">‘most salient and perilous transgression of Holocene </w:t>
      </w:r>
      <w:r w:rsidR="0066262B" w:rsidRPr="002D5943">
        <w:rPr>
          <w:rFonts w:ascii="Garamond" w:eastAsia="Times New Roman" w:hAnsi="Garamond" w:cs="Times New Roman"/>
          <w:color w:val="000000"/>
          <w:sz w:val="24"/>
          <w:szCs w:val="24"/>
          <w:lang w:eastAsia="en-GB"/>
        </w:rPr>
        <w:lastRenderedPageBreak/>
        <w:t>parameters’</w:t>
      </w:r>
      <w:r w:rsidR="0066262B" w:rsidRPr="00F63906">
        <w:rPr>
          <w:rStyle w:val="FootnoteReference"/>
          <w:rFonts w:ascii="Garamond" w:hAnsi="Garamond" w:cs="Times New Roman"/>
          <w:color w:val="262626"/>
          <w:sz w:val="24"/>
          <w:szCs w:val="24"/>
          <w:lang w:val="en-US"/>
        </w:rPr>
        <w:footnoteReference w:id="5"/>
      </w:r>
      <w:r w:rsidR="0066262B" w:rsidRPr="00F63906">
        <w:rPr>
          <w:rFonts w:ascii="Garamond" w:hAnsi="Garamond" w:cs="Times New Roman"/>
          <w:color w:val="262626"/>
          <w:sz w:val="24"/>
          <w:szCs w:val="24"/>
          <w:lang w:val="en-US"/>
        </w:rPr>
        <w:t xml:space="preserve">—lies </w:t>
      </w:r>
      <w:r w:rsidR="0066262B" w:rsidRPr="00A903E5">
        <w:rPr>
          <w:rFonts w:ascii="Garamond" w:hAnsi="Garamond" w:cs="Times New Roman"/>
          <w:color w:val="262626"/>
          <w:sz w:val="24"/>
          <w:szCs w:val="24"/>
          <w:lang w:val="en-US"/>
        </w:rPr>
        <w:t>the colonial past</w:t>
      </w:r>
      <w:r w:rsidR="00D77535">
        <w:rPr>
          <w:rFonts w:ascii="Garamond" w:hAnsi="Garamond" w:cs="Times New Roman"/>
          <w:color w:val="262626"/>
          <w:sz w:val="24"/>
          <w:szCs w:val="24"/>
          <w:lang w:val="en-US"/>
        </w:rPr>
        <w:t xml:space="preserve"> </w:t>
      </w:r>
      <w:r w:rsidR="0066262B" w:rsidRPr="00A903E5">
        <w:rPr>
          <w:rFonts w:ascii="Garamond" w:hAnsi="Garamond" w:cs="Times New Roman"/>
          <w:color w:val="262626"/>
          <w:sz w:val="24"/>
          <w:szCs w:val="24"/>
          <w:lang w:val="en-US"/>
        </w:rPr>
        <w:t>and a neocolonial present</w:t>
      </w:r>
      <w:r w:rsidR="00161F5A">
        <w:rPr>
          <w:rFonts w:ascii="Garamond" w:hAnsi="Garamond" w:cs="Times New Roman"/>
          <w:color w:val="262626"/>
          <w:sz w:val="24"/>
          <w:szCs w:val="24"/>
          <w:lang w:val="en-US"/>
        </w:rPr>
        <w:t>.</w:t>
      </w:r>
      <w:r w:rsidR="00AF6377">
        <w:rPr>
          <w:rStyle w:val="FootnoteReference"/>
          <w:rFonts w:ascii="Garamond" w:hAnsi="Garamond" w:cs="Times New Roman"/>
          <w:color w:val="262626"/>
          <w:sz w:val="24"/>
          <w:szCs w:val="24"/>
          <w:lang w:val="en-US"/>
        </w:rPr>
        <w:footnoteReference w:id="6"/>
      </w:r>
      <w:r w:rsidR="00E044DA">
        <w:rPr>
          <w:rFonts w:ascii="Garamond" w:hAnsi="Garamond" w:cs="Times New Roman"/>
          <w:color w:val="262626"/>
          <w:sz w:val="24"/>
          <w:szCs w:val="24"/>
          <w:lang w:val="en-US"/>
        </w:rPr>
        <w:t xml:space="preserve"> </w:t>
      </w:r>
      <w:r w:rsidR="00BA4923" w:rsidRPr="00411AE0">
        <w:rPr>
          <w:rFonts w:ascii="Garamond" w:eastAsia="Times New Roman" w:hAnsi="Garamond" w:cs="Times New Roman"/>
          <w:color w:val="000000"/>
          <w:sz w:val="24"/>
          <w:szCs w:val="24"/>
          <w:lang w:eastAsia="en-GB"/>
        </w:rPr>
        <w:t xml:space="preserve">Deepening </w:t>
      </w:r>
      <w:r w:rsidR="00BF0199" w:rsidRPr="00411AE0">
        <w:rPr>
          <w:rFonts w:ascii="Garamond" w:eastAsia="Times New Roman" w:hAnsi="Garamond" w:cs="Times New Roman"/>
          <w:color w:val="000000"/>
          <w:sz w:val="24"/>
          <w:szCs w:val="24"/>
          <w:lang w:eastAsia="en-GB"/>
        </w:rPr>
        <w:t xml:space="preserve">levels of human vulnerability have been directly related to </w:t>
      </w:r>
      <w:r w:rsidR="00E216F0">
        <w:rPr>
          <w:rFonts w:ascii="Garamond" w:eastAsia="Times New Roman" w:hAnsi="Garamond" w:cs="Times New Roman"/>
          <w:color w:val="000000"/>
          <w:sz w:val="24"/>
          <w:szCs w:val="24"/>
          <w:lang w:eastAsia="en-GB"/>
        </w:rPr>
        <w:t>neoliberal globalisation</w:t>
      </w:r>
      <w:r w:rsidR="009A6829">
        <w:rPr>
          <w:rFonts w:ascii="Garamond" w:eastAsia="Times New Roman" w:hAnsi="Garamond" w:cs="Times New Roman"/>
          <w:color w:val="000000"/>
          <w:sz w:val="24"/>
          <w:szCs w:val="24"/>
          <w:lang w:eastAsia="en-GB"/>
        </w:rPr>
        <w:t>,</w:t>
      </w:r>
      <w:r w:rsidR="00BF0199" w:rsidRPr="00411AE0">
        <w:rPr>
          <w:rStyle w:val="FootnoteReference"/>
          <w:rFonts w:ascii="Garamond" w:eastAsia="Times New Roman" w:hAnsi="Garamond" w:cs="Times New Roman"/>
          <w:color w:val="000000"/>
          <w:sz w:val="24"/>
          <w:szCs w:val="24"/>
          <w:lang w:eastAsia="en-GB"/>
        </w:rPr>
        <w:footnoteReference w:id="7"/>
      </w:r>
      <w:r w:rsidR="00BF0199" w:rsidRPr="00411AE0">
        <w:rPr>
          <w:rFonts w:ascii="Garamond" w:eastAsia="Times New Roman" w:hAnsi="Garamond" w:cs="Times New Roman"/>
          <w:color w:val="000000"/>
          <w:sz w:val="24"/>
          <w:szCs w:val="24"/>
          <w:lang w:eastAsia="en-GB"/>
        </w:rPr>
        <w:t xml:space="preserve"> </w:t>
      </w:r>
      <w:r w:rsidR="009A6829">
        <w:rPr>
          <w:rFonts w:ascii="Garamond" w:eastAsia="Times New Roman" w:hAnsi="Garamond" w:cs="Times New Roman"/>
          <w:color w:val="000000"/>
          <w:sz w:val="24"/>
          <w:szCs w:val="24"/>
          <w:lang w:eastAsia="en-GB"/>
        </w:rPr>
        <w:t>and t</w:t>
      </w:r>
      <w:r w:rsidR="00CE2474" w:rsidRPr="00411AE0">
        <w:rPr>
          <w:rFonts w:ascii="Garamond" w:eastAsia="Times New Roman" w:hAnsi="Garamond" w:cs="Times New Roman"/>
          <w:color w:val="000000"/>
          <w:sz w:val="24"/>
          <w:szCs w:val="24"/>
          <w:lang w:eastAsia="en-GB"/>
        </w:rPr>
        <w:t xml:space="preserve">he </w:t>
      </w:r>
      <w:r w:rsidR="00E216F0">
        <w:rPr>
          <w:rFonts w:ascii="Garamond" w:eastAsia="Times New Roman" w:hAnsi="Garamond" w:cs="Times New Roman"/>
          <w:color w:val="000000"/>
          <w:sz w:val="24"/>
          <w:szCs w:val="24"/>
          <w:lang w:eastAsia="en-GB"/>
        </w:rPr>
        <w:t>antecedents of</w:t>
      </w:r>
      <w:r w:rsidR="00CE2474" w:rsidRPr="00411AE0">
        <w:rPr>
          <w:rFonts w:ascii="Garamond" w:eastAsia="Times New Roman" w:hAnsi="Garamond" w:cs="Times New Roman"/>
          <w:color w:val="000000"/>
          <w:sz w:val="24"/>
          <w:szCs w:val="24"/>
          <w:lang w:eastAsia="en-GB"/>
        </w:rPr>
        <w:t xml:space="preserve"> contemporary injustice</w:t>
      </w:r>
      <w:r w:rsidR="00E216F0">
        <w:rPr>
          <w:rFonts w:ascii="Garamond" w:eastAsia="Times New Roman" w:hAnsi="Garamond" w:cs="Times New Roman"/>
          <w:color w:val="000000"/>
          <w:sz w:val="24"/>
          <w:szCs w:val="24"/>
          <w:lang w:eastAsia="en-GB"/>
        </w:rPr>
        <w:t>s</w:t>
      </w:r>
      <w:r w:rsidR="00B275A1">
        <w:rPr>
          <w:rFonts w:ascii="Garamond" w:eastAsia="Times New Roman" w:hAnsi="Garamond" w:cs="Times New Roman"/>
          <w:color w:val="000000"/>
          <w:sz w:val="24"/>
          <w:szCs w:val="24"/>
          <w:lang w:eastAsia="en-GB"/>
        </w:rPr>
        <w:t xml:space="preserve">—including climate injustices—have </w:t>
      </w:r>
      <w:r w:rsidR="00185DB8">
        <w:rPr>
          <w:rFonts w:ascii="Garamond" w:eastAsia="Times New Roman" w:hAnsi="Garamond" w:cs="Times New Roman"/>
          <w:color w:val="000000"/>
          <w:sz w:val="24"/>
          <w:szCs w:val="24"/>
          <w:lang w:eastAsia="en-GB"/>
        </w:rPr>
        <w:t>been</w:t>
      </w:r>
      <w:r w:rsidR="00CE2474" w:rsidRPr="00411AE0">
        <w:rPr>
          <w:rFonts w:ascii="Garamond" w:eastAsia="Times New Roman" w:hAnsi="Garamond" w:cs="Times New Roman"/>
          <w:color w:val="000000"/>
          <w:sz w:val="24"/>
          <w:szCs w:val="24"/>
          <w:lang w:eastAsia="en-GB"/>
        </w:rPr>
        <w:t xml:space="preserve"> </w:t>
      </w:r>
      <w:r w:rsidR="008426E6" w:rsidRPr="00411AE0">
        <w:rPr>
          <w:rFonts w:ascii="Garamond" w:eastAsia="Times New Roman" w:hAnsi="Garamond" w:cs="Times New Roman"/>
          <w:color w:val="000000"/>
          <w:sz w:val="24"/>
          <w:szCs w:val="24"/>
          <w:lang w:eastAsia="en-GB"/>
        </w:rPr>
        <w:t xml:space="preserve">directly </w:t>
      </w:r>
      <w:r w:rsidR="00CE2474" w:rsidRPr="00411AE0">
        <w:rPr>
          <w:rFonts w:ascii="Garamond" w:eastAsia="Times New Roman" w:hAnsi="Garamond" w:cs="Times New Roman"/>
          <w:color w:val="000000"/>
          <w:sz w:val="24"/>
          <w:szCs w:val="24"/>
          <w:lang w:eastAsia="en-GB"/>
        </w:rPr>
        <w:t>related to well-rehearsed</w:t>
      </w:r>
      <w:r w:rsidR="008426E6" w:rsidRPr="00411AE0">
        <w:rPr>
          <w:rFonts w:ascii="Garamond" w:eastAsia="Times New Roman" w:hAnsi="Garamond" w:cs="Times New Roman"/>
          <w:color w:val="000000"/>
          <w:sz w:val="24"/>
          <w:szCs w:val="24"/>
          <w:lang w:eastAsia="en-GB"/>
        </w:rPr>
        <w:t xml:space="preserve">, highly </w:t>
      </w:r>
      <w:r w:rsidR="00CE2474" w:rsidRPr="00411AE0">
        <w:rPr>
          <w:rFonts w:ascii="Garamond" w:eastAsia="Times New Roman" w:hAnsi="Garamond" w:cs="Times New Roman"/>
          <w:color w:val="000000"/>
          <w:sz w:val="24"/>
          <w:szCs w:val="24"/>
          <w:lang w:eastAsia="en-GB"/>
        </w:rPr>
        <w:t>uneven distribution</w:t>
      </w:r>
      <w:r w:rsidR="008426E6" w:rsidRPr="00411AE0">
        <w:rPr>
          <w:rFonts w:ascii="Garamond" w:eastAsia="Times New Roman" w:hAnsi="Garamond" w:cs="Times New Roman"/>
          <w:color w:val="000000"/>
          <w:sz w:val="24"/>
          <w:szCs w:val="24"/>
          <w:lang w:eastAsia="en-GB"/>
        </w:rPr>
        <w:t>s</w:t>
      </w:r>
      <w:r w:rsidR="00CE2474" w:rsidRPr="00411AE0">
        <w:rPr>
          <w:rFonts w:ascii="Garamond" w:eastAsia="Times New Roman" w:hAnsi="Garamond" w:cs="Times New Roman"/>
          <w:color w:val="000000"/>
          <w:sz w:val="24"/>
          <w:szCs w:val="24"/>
          <w:lang w:eastAsia="en-GB"/>
        </w:rPr>
        <w:t xml:space="preserve"> of life and death </w:t>
      </w:r>
      <w:r w:rsidR="008426E6" w:rsidRPr="00411AE0">
        <w:rPr>
          <w:rFonts w:ascii="Garamond" w:eastAsia="Times New Roman" w:hAnsi="Garamond" w:cs="Times New Roman"/>
          <w:color w:val="000000"/>
          <w:sz w:val="24"/>
          <w:szCs w:val="24"/>
          <w:lang w:eastAsia="en-GB"/>
        </w:rPr>
        <w:t>in</w:t>
      </w:r>
      <w:r w:rsidR="00CE2474" w:rsidRPr="00411AE0">
        <w:rPr>
          <w:rFonts w:ascii="Garamond" w:eastAsia="Times New Roman" w:hAnsi="Garamond" w:cs="Times New Roman"/>
          <w:color w:val="000000"/>
          <w:sz w:val="24"/>
          <w:szCs w:val="24"/>
          <w:lang w:eastAsia="en-GB"/>
        </w:rPr>
        <w:t xml:space="preserve"> </w:t>
      </w:r>
      <w:r w:rsidR="00B275A1">
        <w:rPr>
          <w:rFonts w:ascii="Garamond" w:eastAsia="Times New Roman" w:hAnsi="Garamond" w:cs="Times New Roman"/>
          <w:color w:val="000000"/>
          <w:sz w:val="24"/>
          <w:szCs w:val="24"/>
          <w:lang w:eastAsia="en-GB"/>
        </w:rPr>
        <w:t>patterns</w:t>
      </w:r>
      <w:r w:rsidR="00CE2474" w:rsidRPr="00411AE0">
        <w:rPr>
          <w:rFonts w:ascii="Garamond" w:eastAsia="Times New Roman" w:hAnsi="Garamond" w:cs="Times New Roman"/>
          <w:color w:val="000000"/>
          <w:sz w:val="24"/>
          <w:szCs w:val="24"/>
          <w:lang w:eastAsia="en-GB"/>
        </w:rPr>
        <w:t xml:space="preserve"> of </w:t>
      </w:r>
      <w:r w:rsidR="00E216F0">
        <w:rPr>
          <w:rFonts w:ascii="Garamond" w:eastAsia="Times New Roman" w:hAnsi="Garamond" w:cs="Times New Roman"/>
          <w:color w:val="000000"/>
          <w:sz w:val="24"/>
          <w:szCs w:val="24"/>
          <w:lang w:eastAsia="en-GB"/>
        </w:rPr>
        <w:t xml:space="preserve">capitalist </w:t>
      </w:r>
      <w:r w:rsidR="00CE2474" w:rsidRPr="00411AE0">
        <w:rPr>
          <w:rFonts w:ascii="Garamond" w:eastAsia="Times New Roman" w:hAnsi="Garamond" w:cs="Times New Roman"/>
          <w:color w:val="000000"/>
          <w:sz w:val="24"/>
          <w:szCs w:val="24"/>
          <w:lang w:eastAsia="en-GB"/>
        </w:rPr>
        <w:t>colonialit</w:t>
      </w:r>
      <w:r w:rsidR="008426E6" w:rsidRPr="00411AE0">
        <w:rPr>
          <w:rFonts w:ascii="Garamond" w:eastAsia="Times New Roman" w:hAnsi="Garamond" w:cs="Times New Roman"/>
          <w:color w:val="000000"/>
          <w:sz w:val="24"/>
          <w:szCs w:val="24"/>
          <w:lang w:eastAsia="en-GB"/>
        </w:rPr>
        <w:t>y</w:t>
      </w:r>
      <w:r w:rsidR="00602003">
        <w:rPr>
          <w:rFonts w:ascii="Garamond" w:eastAsia="Times New Roman" w:hAnsi="Garamond" w:cs="Times New Roman"/>
          <w:color w:val="000000"/>
          <w:sz w:val="24"/>
          <w:szCs w:val="24"/>
          <w:lang w:eastAsia="en-GB"/>
        </w:rPr>
        <w:t xml:space="preserve"> </w:t>
      </w:r>
      <w:r w:rsidR="004D6C93">
        <w:rPr>
          <w:rFonts w:ascii="Garamond" w:eastAsia="Times New Roman" w:hAnsi="Garamond" w:cs="Times New Roman"/>
          <w:color w:val="000000"/>
          <w:sz w:val="24"/>
          <w:szCs w:val="24"/>
          <w:lang w:eastAsia="en-GB"/>
        </w:rPr>
        <w:t>reflected in the</w:t>
      </w:r>
      <w:r w:rsidR="00602003">
        <w:rPr>
          <w:rFonts w:ascii="Garamond" w:eastAsia="Times New Roman" w:hAnsi="Garamond" w:cs="Times New Roman"/>
          <w:color w:val="000000"/>
          <w:sz w:val="24"/>
          <w:szCs w:val="24"/>
          <w:lang w:eastAsia="en-GB"/>
        </w:rPr>
        <w:t xml:space="preserve"> industrialisation </w:t>
      </w:r>
      <w:r w:rsidR="004D6C93">
        <w:rPr>
          <w:rFonts w:ascii="Garamond" w:eastAsia="Times New Roman" w:hAnsi="Garamond" w:cs="Times New Roman"/>
          <w:color w:val="000000"/>
          <w:sz w:val="24"/>
          <w:szCs w:val="24"/>
          <w:lang w:eastAsia="en-GB"/>
        </w:rPr>
        <w:t>and plunder</w:t>
      </w:r>
      <w:r w:rsidR="004D6C93">
        <w:rPr>
          <w:rStyle w:val="FootnoteReference"/>
          <w:rFonts w:ascii="Garamond" w:eastAsia="Times New Roman" w:hAnsi="Garamond" w:cs="Times New Roman"/>
          <w:color w:val="000000"/>
          <w:sz w:val="24"/>
          <w:szCs w:val="24"/>
          <w:lang w:eastAsia="en-GB"/>
        </w:rPr>
        <w:footnoteReference w:id="8"/>
      </w:r>
      <w:r w:rsidR="004D6C93">
        <w:rPr>
          <w:rFonts w:ascii="Garamond" w:eastAsia="Times New Roman" w:hAnsi="Garamond" w:cs="Times New Roman"/>
          <w:color w:val="000000"/>
          <w:sz w:val="24"/>
          <w:szCs w:val="24"/>
          <w:lang w:eastAsia="en-GB"/>
        </w:rPr>
        <w:t xml:space="preserve"> </w:t>
      </w:r>
      <w:r w:rsidR="006B4A7D">
        <w:rPr>
          <w:rFonts w:ascii="Garamond" w:eastAsia="Times New Roman" w:hAnsi="Garamond" w:cs="Times New Roman"/>
          <w:color w:val="000000"/>
          <w:sz w:val="24"/>
          <w:szCs w:val="24"/>
          <w:lang w:eastAsia="en-GB"/>
        </w:rPr>
        <w:t>intensifying</w:t>
      </w:r>
      <w:r w:rsidR="00602003">
        <w:rPr>
          <w:rFonts w:ascii="Garamond" w:eastAsia="Times New Roman" w:hAnsi="Garamond" w:cs="Times New Roman"/>
          <w:color w:val="000000"/>
          <w:sz w:val="24"/>
          <w:szCs w:val="24"/>
          <w:lang w:eastAsia="en-GB"/>
        </w:rPr>
        <w:t xml:space="preserve"> the trajectory towards the Anthropocene.</w:t>
      </w:r>
      <w:r w:rsidR="00D97447" w:rsidRPr="00411AE0">
        <w:rPr>
          <w:rStyle w:val="FootnoteReference"/>
          <w:rFonts w:ascii="Garamond" w:eastAsia="Times New Roman" w:hAnsi="Garamond" w:cs="Times New Roman"/>
          <w:color w:val="000000"/>
          <w:sz w:val="24"/>
          <w:szCs w:val="24"/>
          <w:lang w:eastAsia="en-GB"/>
        </w:rPr>
        <w:footnoteReference w:id="9"/>
      </w:r>
      <w:r w:rsidR="008426E6" w:rsidRPr="00411AE0">
        <w:rPr>
          <w:rFonts w:ascii="Garamond" w:eastAsia="Times New Roman" w:hAnsi="Garamond" w:cs="Times New Roman"/>
          <w:color w:val="000000"/>
          <w:sz w:val="24"/>
          <w:szCs w:val="24"/>
          <w:lang w:eastAsia="en-GB"/>
        </w:rPr>
        <w:t xml:space="preserve"> </w:t>
      </w:r>
      <w:r w:rsidR="006B4A7D">
        <w:rPr>
          <w:rFonts w:ascii="Garamond" w:eastAsia="Times New Roman" w:hAnsi="Garamond" w:cs="Times New Roman"/>
          <w:color w:val="000000"/>
          <w:sz w:val="24"/>
          <w:szCs w:val="24"/>
          <w:lang w:eastAsia="en-GB"/>
        </w:rPr>
        <w:br/>
        <w:t xml:space="preserve"> </w:t>
      </w:r>
      <w:r w:rsidR="006B4A7D">
        <w:rPr>
          <w:rFonts w:ascii="Garamond" w:eastAsia="Times New Roman" w:hAnsi="Garamond" w:cs="Times New Roman"/>
          <w:color w:val="000000"/>
          <w:sz w:val="24"/>
          <w:szCs w:val="24"/>
          <w:lang w:eastAsia="en-GB"/>
        </w:rPr>
        <w:tab/>
      </w:r>
      <w:r w:rsidR="00A4608F">
        <w:rPr>
          <w:rFonts w:ascii="Garamond" w:eastAsia="Times New Roman" w:hAnsi="Garamond" w:cs="Times New Roman"/>
          <w:color w:val="000000"/>
          <w:sz w:val="24"/>
          <w:szCs w:val="24"/>
          <w:lang w:eastAsia="en-GB"/>
        </w:rPr>
        <w:t>In this article w</w:t>
      </w:r>
      <w:r w:rsidR="00602003">
        <w:rPr>
          <w:rFonts w:ascii="Garamond" w:eastAsia="Times New Roman" w:hAnsi="Garamond" w:cs="Times New Roman"/>
          <w:color w:val="000000"/>
          <w:sz w:val="24"/>
          <w:szCs w:val="24"/>
          <w:lang w:eastAsia="en-GB"/>
        </w:rPr>
        <w:t xml:space="preserve">e are particularly concerned </w:t>
      </w:r>
      <w:r w:rsidR="00CE4C02">
        <w:rPr>
          <w:rFonts w:ascii="Garamond" w:eastAsia="Times New Roman" w:hAnsi="Garamond" w:cs="Times New Roman"/>
          <w:color w:val="000000"/>
          <w:sz w:val="24"/>
          <w:szCs w:val="24"/>
          <w:lang w:eastAsia="en-GB"/>
        </w:rPr>
        <w:t xml:space="preserve">to foreground the </w:t>
      </w:r>
      <w:r w:rsidR="00E216F0">
        <w:rPr>
          <w:rFonts w:ascii="Garamond" w:eastAsia="Times New Roman" w:hAnsi="Garamond" w:cs="Times New Roman"/>
          <w:color w:val="000000"/>
          <w:sz w:val="24"/>
          <w:szCs w:val="24"/>
          <w:lang w:eastAsia="en-GB"/>
        </w:rPr>
        <w:t>unevenness</w:t>
      </w:r>
      <w:r w:rsidR="00602003">
        <w:rPr>
          <w:rFonts w:ascii="Garamond" w:eastAsia="Times New Roman" w:hAnsi="Garamond" w:cs="Times New Roman"/>
          <w:color w:val="000000"/>
          <w:sz w:val="24"/>
          <w:szCs w:val="24"/>
          <w:lang w:eastAsia="en-GB"/>
        </w:rPr>
        <w:t xml:space="preserve"> </w:t>
      </w:r>
      <w:r w:rsidR="00422EF1">
        <w:rPr>
          <w:rFonts w:ascii="Garamond" w:eastAsia="Times New Roman" w:hAnsi="Garamond" w:cs="Times New Roman"/>
          <w:color w:val="000000"/>
          <w:sz w:val="24"/>
          <w:szCs w:val="24"/>
          <w:lang w:eastAsia="en-GB"/>
        </w:rPr>
        <w:t xml:space="preserve">of </w:t>
      </w:r>
      <w:r w:rsidR="00602003">
        <w:rPr>
          <w:rFonts w:ascii="Garamond" w:eastAsia="Times New Roman" w:hAnsi="Garamond" w:cs="Times New Roman"/>
          <w:color w:val="000000"/>
          <w:sz w:val="24"/>
          <w:szCs w:val="24"/>
          <w:lang w:eastAsia="en-GB"/>
        </w:rPr>
        <w:t>processes of neoliberal globalisation</w:t>
      </w:r>
      <w:r w:rsidR="00CE4C02">
        <w:rPr>
          <w:rFonts w:ascii="Garamond" w:eastAsia="Times New Roman" w:hAnsi="Garamond" w:cs="Times New Roman"/>
          <w:color w:val="000000"/>
          <w:sz w:val="24"/>
          <w:szCs w:val="24"/>
          <w:lang w:eastAsia="en-GB"/>
        </w:rPr>
        <w:t>,</w:t>
      </w:r>
      <w:r w:rsidR="00E216F0">
        <w:rPr>
          <w:rStyle w:val="FootnoteReference"/>
          <w:rFonts w:ascii="Garamond" w:eastAsia="Times New Roman" w:hAnsi="Garamond" w:cs="Times New Roman"/>
          <w:color w:val="000000"/>
          <w:sz w:val="24"/>
          <w:szCs w:val="24"/>
          <w:lang w:eastAsia="en-GB"/>
        </w:rPr>
        <w:footnoteReference w:id="10"/>
      </w:r>
      <w:r w:rsidR="00CE4C02">
        <w:rPr>
          <w:rFonts w:ascii="Garamond" w:eastAsia="Times New Roman" w:hAnsi="Garamond" w:cs="Times New Roman"/>
          <w:color w:val="000000"/>
          <w:sz w:val="24"/>
          <w:szCs w:val="24"/>
          <w:lang w:eastAsia="en-GB"/>
        </w:rPr>
        <w:t xml:space="preserve"> and it is against this unevenness that </w:t>
      </w:r>
      <w:r w:rsidR="007D64FE" w:rsidRPr="00411AE0">
        <w:rPr>
          <w:rFonts w:ascii="Garamond" w:eastAsia="Times New Roman" w:hAnsi="Garamond" w:cs="Times New Roman"/>
          <w:color w:val="000000"/>
          <w:sz w:val="24"/>
          <w:szCs w:val="24"/>
          <w:lang w:eastAsia="en-GB"/>
        </w:rPr>
        <w:t xml:space="preserve">we position our reflections on personhood and jurisdiction. Our </w:t>
      </w:r>
      <w:r w:rsidR="00CC7C0B">
        <w:rPr>
          <w:rFonts w:ascii="Garamond" w:eastAsia="Times New Roman" w:hAnsi="Garamond" w:cs="Times New Roman"/>
          <w:color w:val="000000"/>
          <w:sz w:val="24"/>
          <w:szCs w:val="24"/>
          <w:lang w:eastAsia="en-GB"/>
        </w:rPr>
        <w:t xml:space="preserve">particular </w:t>
      </w:r>
      <w:r w:rsidR="007D64FE" w:rsidRPr="00411AE0">
        <w:rPr>
          <w:rFonts w:ascii="Garamond" w:eastAsia="Times New Roman" w:hAnsi="Garamond" w:cs="Times New Roman"/>
          <w:color w:val="000000"/>
          <w:sz w:val="24"/>
          <w:szCs w:val="24"/>
          <w:lang w:eastAsia="en-GB"/>
        </w:rPr>
        <w:t>interest in writing this reflection first emerged from noting the marked contrast between TNC</w:t>
      </w:r>
      <w:r w:rsidR="00E14DC0">
        <w:rPr>
          <w:rFonts w:ascii="Garamond" w:eastAsia="Times New Roman" w:hAnsi="Garamond" w:cs="Times New Roman"/>
          <w:color w:val="000000"/>
          <w:sz w:val="24"/>
          <w:szCs w:val="24"/>
          <w:lang w:eastAsia="en-GB"/>
        </w:rPr>
        <w:t>s</w:t>
      </w:r>
      <w:r w:rsidR="007D64FE" w:rsidRPr="00411AE0">
        <w:rPr>
          <w:rFonts w:ascii="Garamond" w:eastAsia="Times New Roman" w:hAnsi="Garamond" w:cs="Times New Roman"/>
          <w:color w:val="000000"/>
          <w:sz w:val="24"/>
          <w:szCs w:val="24"/>
          <w:lang w:eastAsia="en-GB"/>
        </w:rPr>
        <w:t xml:space="preserve"> as highly mutable, mobile agents of the global order, and the rapid proliferation of walls and barriers </w:t>
      </w:r>
      <w:r w:rsidR="007D64FE">
        <w:rPr>
          <w:rFonts w:ascii="Garamond" w:eastAsia="Times New Roman" w:hAnsi="Garamond" w:cs="Times New Roman"/>
          <w:color w:val="000000"/>
          <w:sz w:val="24"/>
          <w:szCs w:val="24"/>
          <w:lang w:eastAsia="en-GB"/>
        </w:rPr>
        <w:t>confronting</w:t>
      </w:r>
      <w:r w:rsidR="007D64FE" w:rsidRPr="00411AE0">
        <w:rPr>
          <w:rFonts w:ascii="Garamond" w:eastAsia="Times New Roman" w:hAnsi="Garamond" w:cs="Times New Roman"/>
          <w:color w:val="000000"/>
          <w:sz w:val="24"/>
          <w:szCs w:val="24"/>
          <w:lang w:eastAsia="en-GB"/>
        </w:rPr>
        <w:t xml:space="preserve"> human beings</w:t>
      </w:r>
      <w:r w:rsidR="00607182">
        <w:rPr>
          <w:rFonts w:ascii="Garamond" w:eastAsia="Times New Roman" w:hAnsi="Garamond" w:cs="Times New Roman"/>
          <w:color w:val="000000"/>
          <w:sz w:val="24"/>
          <w:szCs w:val="24"/>
          <w:lang w:eastAsia="en-GB"/>
        </w:rPr>
        <w:t xml:space="preserve"> on the move</w:t>
      </w:r>
      <w:r w:rsidR="00CC7C0B">
        <w:rPr>
          <w:rFonts w:ascii="Garamond" w:eastAsia="Times New Roman" w:hAnsi="Garamond" w:cs="Times New Roman"/>
          <w:color w:val="000000"/>
          <w:sz w:val="24"/>
          <w:szCs w:val="24"/>
          <w:lang w:eastAsia="en-GB"/>
        </w:rPr>
        <w:t xml:space="preserve"> in the </w:t>
      </w:r>
      <w:r w:rsidR="00607182">
        <w:rPr>
          <w:rFonts w:ascii="Garamond" w:eastAsia="Times New Roman" w:hAnsi="Garamond" w:cs="Times New Roman"/>
          <w:color w:val="000000"/>
          <w:sz w:val="24"/>
          <w:szCs w:val="24"/>
          <w:lang w:eastAsia="en-GB"/>
        </w:rPr>
        <w:t>‘the age of walls’</w:t>
      </w:r>
      <w:r w:rsidR="00CC7C0B">
        <w:rPr>
          <w:rFonts w:ascii="Garamond" w:eastAsia="Times New Roman" w:hAnsi="Garamond" w:cs="Times New Roman"/>
          <w:color w:val="000000"/>
          <w:sz w:val="24"/>
          <w:szCs w:val="24"/>
          <w:lang w:eastAsia="en-GB"/>
        </w:rPr>
        <w:t>.</w:t>
      </w:r>
      <w:r w:rsidR="00607182">
        <w:rPr>
          <w:rStyle w:val="FootnoteReference"/>
          <w:rFonts w:ascii="Garamond" w:eastAsia="Times New Roman" w:hAnsi="Garamond" w:cs="Times New Roman"/>
          <w:color w:val="000000"/>
          <w:sz w:val="24"/>
          <w:szCs w:val="24"/>
          <w:lang w:eastAsia="en-GB"/>
        </w:rPr>
        <w:footnoteReference w:id="11"/>
      </w:r>
      <w:r w:rsidR="00A4608F">
        <w:rPr>
          <w:rFonts w:ascii="Garamond" w:eastAsia="Times New Roman" w:hAnsi="Garamond" w:cs="Times New Roman"/>
          <w:color w:val="000000"/>
          <w:sz w:val="24"/>
          <w:szCs w:val="24"/>
          <w:lang w:eastAsia="en-GB"/>
        </w:rPr>
        <w:t xml:space="preserve"> We </w:t>
      </w:r>
      <w:r w:rsidR="00FB0268">
        <w:rPr>
          <w:rFonts w:ascii="Garamond" w:eastAsia="Times New Roman" w:hAnsi="Garamond" w:cs="Times New Roman"/>
          <w:color w:val="000000"/>
          <w:sz w:val="24"/>
          <w:szCs w:val="24"/>
          <w:lang w:eastAsia="en-GB"/>
        </w:rPr>
        <w:t>refer to ‘</w:t>
      </w:r>
      <w:r w:rsidR="00A4608F">
        <w:rPr>
          <w:rFonts w:ascii="Garamond" w:eastAsia="Times New Roman" w:hAnsi="Garamond" w:cs="Times New Roman"/>
          <w:color w:val="000000"/>
          <w:sz w:val="24"/>
          <w:szCs w:val="24"/>
          <w:lang w:eastAsia="en-GB"/>
        </w:rPr>
        <w:t>TNC privilege</w:t>
      </w:r>
      <w:r w:rsidR="00FB0268">
        <w:rPr>
          <w:rFonts w:ascii="Garamond" w:eastAsia="Times New Roman" w:hAnsi="Garamond" w:cs="Times New Roman"/>
          <w:color w:val="000000"/>
          <w:sz w:val="24"/>
          <w:szCs w:val="24"/>
          <w:lang w:eastAsia="en-GB"/>
        </w:rPr>
        <w:t xml:space="preserve">’ as a </w:t>
      </w:r>
      <w:r w:rsidR="006E4D21">
        <w:rPr>
          <w:rFonts w:ascii="Garamond" w:eastAsia="Times New Roman" w:hAnsi="Garamond" w:cs="Times New Roman"/>
          <w:color w:val="000000"/>
          <w:sz w:val="24"/>
          <w:szCs w:val="24"/>
          <w:lang w:eastAsia="en-GB"/>
        </w:rPr>
        <w:t xml:space="preserve">way of </w:t>
      </w:r>
      <w:r w:rsidR="004F2A48">
        <w:rPr>
          <w:rFonts w:ascii="Garamond" w:eastAsia="Times New Roman" w:hAnsi="Garamond" w:cs="Times New Roman"/>
          <w:color w:val="000000"/>
          <w:sz w:val="24"/>
          <w:szCs w:val="24"/>
          <w:lang w:eastAsia="en-GB"/>
        </w:rPr>
        <w:t>expressing</w:t>
      </w:r>
      <w:r w:rsidR="006E4D21">
        <w:rPr>
          <w:rFonts w:ascii="Garamond" w:eastAsia="Times New Roman" w:hAnsi="Garamond" w:cs="Times New Roman"/>
          <w:color w:val="000000"/>
          <w:sz w:val="24"/>
          <w:szCs w:val="24"/>
          <w:lang w:eastAsia="en-GB"/>
        </w:rPr>
        <w:t xml:space="preserve"> the fact that</w:t>
      </w:r>
      <w:r w:rsidR="00607182">
        <w:rPr>
          <w:rFonts w:ascii="Garamond" w:eastAsia="Times New Roman" w:hAnsi="Garamond" w:cs="Times New Roman"/>
          <w:color w:val="000000"/>
          <w:sz w:val="24"/>
          <w:szCs w:val="24"/>
          <w:lang w:eastAsia="en-GB"/>
        </w:rPr>
        <w:t xml:space="preserve"> </w:t>
      </w:r>
      <w:r w:rsidR="00A4608F" w:rsidRPr="00411AE0">
        <w:rPr>
          <w:rFonts w:ascii="Garamond" w:eastAsia="Times New Roman" w:hAnsi="Garamond" w:cs="Times New Roman"/>
          <w:color w:val="000000"/>
          <w:sz w:val="24"/>
          <w:szCs w:val="24"/>
          <w:lang w:eastAsia="en-GB"/>
        </w:rPr>
        <w:t>TNCs</w:t>
      </w:r>
      <w:r w:rsidR="00A4608F">
        <w:rPr>
          <w:rFonts w:ascii="Garamond" w:eastAsia="Times New Roman" w:hAnsi="Garamond" w:cs="Times New Roman"/>
          <w:color w:val="000000"/>
          <w:sz w:val="24"/>
          <w:szCs w:val="24"/>
          <w:lang w:eastAsia="en-GB"/>
        </w:rPr>
        <w:t xml:space="preserve"> </w:t>
      </w:r>
      <w:r w:rsidR="00A4608F" w:rsidRPr="00411AE0">
        <w:rPr>
          <w:rFonts w:ascii="Garamond" w:eastAsia="Times New Roman" w:hAnsi="Garamond" w:cs="Times New Roman"/>
          <w:color w:val="000000"/>
          <w:sz w:val="24"/>
          <w:szCs w:val="24"/>
          <w:lang w:eastAsia="en-GB"/>
        </w:rPr>
        <w:t xml:space="preserve">have unrivalled levels of juridical privilege and power to evade </w:t>
      </w:r>
      <w:r w:rsidR="006E4D21">
        <w:rPr>
          <w:rFonts w:ascii="Garamond" w:eastAsia="Times New Roman" w:hAnsi="Garamond" w:cs="Times New Roman"/>
          <w:color w:val="000000"/>
          <w:sz w:val="24"/>
          <w:szCs w:val="24"/>
          <w:lang w:eastAsia="en-GB"/>
        </w:rPr>
        <w:t xml:space="preserve">jurisdictional </w:t>
      </w:r>
      <w:r w:rsidR="00A4608F" w:rsidRPr="00411AE0">
        <w:rPr>
          <w:rFonts w:ascii="Garamond" w:eastAsia="Times New Roman" w:hAnsi="Garamond" w:cs="Times New Roman"/>
          <w:color w:val="000000"/>
          <w:sz w:val="24"/>
          <w:szCs w:val="24"/>
          <w:lang w:eastAsia="en-GB"/>
        </w:rPr>
        <w:t>responsibility</w:t>
      </w:r>
      <w:r w:rsidR="00A4608F">
        <w:rPr>
          <w:rFonts w:ascii="Garamond" w:eastAsia="Times New Roman" w:hAnsi="Garamond" w:cs="Times New Roman"/>
          <w:color w:val="000000"/>
          <w:sz w:val="24"/>
          <w:szCs w:val="24"/>
          <w:lang w:eastAsia="en-GB"/>
        </w:rPr>
        <w:t>.</w:t>
      </w:r>
      <w:r w:rsidR="00A4608F" w:rsidRPr="00411AE0">
        <w:rPr>
          <w:rStyle w:val="FootnoteReference"/>
          <w:rFonts w:ascii="Garamond" w:eastAsia="Times New Roman" w:hAnsi="Garamond" w:cs="Times New Roman"/>
          <w:color w:val="000000"/>
          <w:sz w:val="24"/>
          <w:szCs w:val="24"/>
          <w:lang w:eastAsia="en-GB"/>
        </w:rPr>
        <w:footnoteReference w:id="12"/>
      </w:r>
      <w:r w:rsidR="006C39A2">
        <w:rPr>
          <w:rFonts w:ascii="Garamond" w:eastAsia="Times New Roman" w:hAnsi="Garamond" w:cs="Times New Roman"/>
          <w:color w:val="000000"/>
          <w:sz w:val="24"/>
          <w:szCs w:val="24"/>
          <w:lang w:eastAsia="en-GB"/>
        </w:rPr>
        <w:br/>
        <w:t xml:space="preserve"> </w:t>
      </w:r>
      <w:r w:rsidR="006C39A2">
        <w:rPr>
          <w:rFonts w:ascii="Garamond" w:eastAsia="Times New Roman" w:hAnsi="Garamond" w:cs="Times New Roman"/>
          <w:color w:val="000000"/>
          <w:sz w:val="24"/>
          <w:szCs w:val="24"/>
          <w:lang w:eastAsia="en-GB"/>
        </w:rPr>
        <w:tab/>
      </w:r>
      <w:r w:rsidR="00CC7C0B">
        <w:rPr>
          <w:rFonts w:ascii="Garamond" w:eastAsia="Times New Roman" w:hAnsi="Garamond" w:cs="Times New Roman"/>
          <w:color w:val="000000"/>
          <w:sz w:val="24"/>
          <w:szCs w:val="24"/>
          <w:lang w:eastAsia="en-GB"/>
        </w:rPr>
        <w:t xml:space="preserve">The link between globalisation and </w:t>
      </w:r>
      <w:r w:rsidR="006C39A2">
        <w:rPr>
          <w:rFonts w:ascii="Garamond" w:eastAsia="Times New Roman" w:hAnsi="Garamond" w:cs="Times New Roman"/>
          <w:color w:val="000000"/>
          <w:sz w:val="24"/>
          <w:szCs w:val="24"/>
          <w:lang w:eastAsia="en-GB"/>
        </w:rPr>
        <w:t>the proliferation of walls</w:t>
      </w:r>
      <w:r w:rsidR="00CC7C0B">
        <w:rPr>
          <w:rFonts w:ascii="Garamond" w:eastAsia="Times New Roman" w:hAnsi="Garamond" w:cs="Times New Roman"/>
          <w:color w:val="000000"/>
          <w:sz w:val="24"/>
          <w:szCs w:val="24"/>
          <w:lang w:eastAsia="en-GB"/>
        </w:rPr>
        <w:t xml:space="preserve"> </w:t>
      </w:r>
      <w:r w:rsidR="006B5F02">
        <w:rPr>
          <w:rFonts w:ascii="Garamond" w:eastAsia="Times New Roman" w:hAnsi="Garamond" w:cs="Times New Roman"/>
          <w:color w:val="000000"/>
          <w:sz w:val="24"/>
          <w:szCs w:val="24"/>
          <w:lang w:eastAsia="en-GB"/>
        </w:rPr>
        <w:t>is</w:t>
      </w:r>
      <w:r w:rsidR="005805FD">
        <w:rPr>
          <w:rFonts w:ascii="Garamond" w:eastAsia="Times New Roman" w:hAnsi="Garamond" w:cs="Times New Roman"/>
          <w:color w:val="000000"/>
          <w:sz w:val="24"/>
          <w:szCs w:val="24"/>
          <w:lang w:eastAsia="en-GB"/>
        </w:rPr>
        <w:t xml:space="preserve"> </w:t>
      </w:r>
      <w:r w:rsidR="00CC7C0B">
        <w:rPr>
          <w:rFonts w:ascii="Garamond" w:eastAsia="Times New Roman" w:hAnsi="Garamond" w:cs="Times New Roman"/>
          <w:color w:val="000000"/>
          <w:sz w:val="24"/>
          <w:szCs w:val="24"/>
          <w:lang w:eastAsia="en-GB"/>
        </w:rPr>
        <w:t xml:space="preserve">reflected </w:t>
      </w:r>
      <w:r w:rsidR="00607182">
        <w:rPr>
          <w:rFonts w:ascii="Garamond" w:eastAsia="Times New Roman" w:hAnsi="Garamond" w:cs="Times New Roman"/>
          <w:color w:val="000000"/>
          <w:sz w:val="24"/>
          <w:szCs w:val="24"/>
          <w:lang w:eastAsia="en-GB"/>
        </w:rPr>
        <w:t xml:space="preserve">by the recent success of ethno-nationalist </w:t>
      </w:r>
      <w:r w:rsidR="00607182" w:rsidRPr="00411AE0">
        <w:rPr>
          <w:rFonts w:ascii="Garamond" w:eastAsia="Times New Roman" w:hAnsi="Garamond" w:cs="Times New Roman"/>
          <w:color w:val="000000"/>
          <w:sz w:val="24"/>
          <w:szCs w:val="24"/>
          <w:lang w:eastAsia="en-GB"/>
        </w:rPr>
        <w:t>populist politicians capitalising on the sense that unaccountable transnational forces negatively impact upon livelihoods and life prospects</w:t>
      </w:r>
      <w:r w:rsidR="00607182">
        <w:rPr>
          <w:rFonts w:ascii="Garamond" w:eastAsia="Times New Roman" w:hAnsi="Garamond" w:cs="Times New Roman"/>
          <w:color w:val="000000"/>
          <w:sz w:val="24"/>
          <w:szCs w:val="24"/>
          <w:lang w:eastAsia="en-GB"/>
        </w:rPr>
        <w:t>.</w:t>
      </w:r>
      <w:r w:rsidR="00607182" w:rsidRPr="00411AE0">
        <w:rPr>
          <w:rStyle w:val="FootnoteReference"/>
          <w:rFonts w:ascii="Garamond" w:eastAsia="Times New Roman" w:hAnsi="Garamond" w:cs="Times New Roman"/>
          <w:color w:val="000000"/>
          <w:sz w:val="24"/>
          <w:szCs w:val="24"/>
          <w:lang w:eastAsia="en-GB"/>
        </w:rPr>
        <w:footnoteReference w:id="13"/>
      </w:r>
      <w:r w:rsidR="00607182" w:rsidRPr="00411AE0">
        <w:rPr>
          <w:rFonts w:ascii="Garamond" w:eastAsia="Times New Roman" w:hAnsi="Garamond" w:cs="Times New Roman"/>
          <w:color w:val="000000"/>
          <w:sz w:val="24"/>
          <w:szCs w:val="24"/>
          <w:lang w:eastAsia="en-GB"/>
        </w:rPr>
        <w:t xml:space="preserve"> </w:t>
      </w:r>
      <w:r w:rsidR="00607182">
        <w:rPr>
          <w:rFonts w:ascii="Garamond" w:eastAsia="Times New Roman" w:hAnsi="Garamond" w:cs="Times New Roman"/>
          <w:color w:val="000000"/>
          <w:sz w:val="24"/>
          <w:szCs w:val="24"/>
          <w:lang w:eastAsia="en-GB"/>
        </w:rPr>
        <w:t>R</w:t>
      </w:r>
      <w:r w:rsidR="00607182" w:rsidRPr="00411AE0">
        <w:rPr>
          <w:rFonts w:ascii="Garamond" w:eastAsia="Times New Roman" w:hAnsi="Garamond" w:cs="Times New Roman"/>
          <w:color w:val="000000"/>
          <w:sz w:val="24"/>
          <w:szCs w:val="24"/>
          <w:lang w:eastAsia="en-GB"/>
        </w:rPr>
        <w:t>esurgent forces of populist nationalism in Europe and the United States of America</w:t>
      </w:r>
      <w:r w:rsidR="00607182">
        <w:rPr>
          <w:rFonts w:ascii="Garamond" w:eastAsia="Times New Roman" w:hAnsi="Garamond" w:cs="Times New Roman"/>
          <w:color w:val="000000"/>
          <w:sz w:val="24"/>
          <w:szCs w:val="24"/>
          <w:lang w:eastAsia="en-GB"/>
        </w:rPr>
        <w:t xml:space="preserve"> have gained ground </w:t>
      </w:r>
      <w:r w:rsidR="00607182" w:rsidRPr="00411AE0">
        <w:rPr>
          <w:rFonts w:ascii="Garamond" w:eastAsia="Times New Roman" w:hAnsi="Garamond" w:cs="Times New Roman"/>
          <w:color w:val="000000"/>
          <w:sz w:val="24"/>
          <w:szCs w:val="24"/>
          <w:lang w:eastAsia="en-GB"/>
        </w:rPr>
        <w:t xml:space="preserve">in significant part by </w:t>
      </w:r>
      <w:r w:rsidR="00CC7C0B">
        <w:rPr>
          <w:rFonts w:ascii="Garamond" w:eastAsia="Times New Roman" w:hAnsi="Garamond" w:cs="Times New Roman"/>
          <w:color w:val="000000"/>
          <w:sz w:val="24"/>
          <w:szCs w:val="24"/>
          <w:lang w:eastAsia="en-GB"/>
        </w:rPr>
        <w:t xml:space="preserve">explicitly </w:t>
      </w:r>
      <w:r w:rsidR="00607182" w:rsidRPr="00411AE0">
        <w:rPr>
          <w:rFonts w:ascii="Garamond" w:eastAsia="Times New Roman" w:hAnsi="Garamond" w:cs="Times New Roman"/>
          <w:color w:val="000000"/>
          <w:sz w:val="24"/>
          <w:szCs w:val="24"/>
          <w:lang w:eastAsia="en-GB"/>
        </w:rPr>
        <w:t xml:space="preserve">appealing to </w:t>
      </w:r>
      <w:r w:rsidR="005A3AF2">
        <w:rPr>
          <w:rFonts w:ascii="Garamond" w:eastAsia="Times New Roman" w:hAnsi="Garamond" w:cs="Times New Roman"/>
          <w:color w:val="000000"/>
          <w:sz w:val="24"/>
          <w:szCs w:val="24"/>
          <w:lang w:eastAsia="en-GB"/>
        </w:rPr>
        <w:t xml:space="preserve">(selective) </w:t>
      </w:r>
      <w:r w:rsidR="00607182" w:rsidRPr="00411AE0">
        <w:rPr>
          <w:rFonts w:ascii="Garamond" w:eastAsia="Times New Roman" w:hAnsi="Garamond" w:cs="Times New Roman"/>
          <w:color w:val="000000"/>
          <w:sz w:val="24"/>
          <w:szCs w:val="24"/>
          <w:lang w:eastAsia="en-GB"/>
        </w:rPr>
        <w:t>critiques of globalisation</w:t>
      </w:r>
      <w:r w:rsidR="00607182" w:rsidRPr="00A234DE">
        <w:rPr>
          <w:rFonts w:ascii="Garamond" w:eastAsia="Times New Roman" w:hAnsi="Garamond" w:cs="Times New Roman"/>
          <w:color w:val="000000"/>
          <w:sz w:val="24"/>
          <w:szCs w:val="24"/>
          <w:lang w:eastAsia="en-GB"/>
        </w:rPr>
        <w:t>.</w:t>
      </w:r>
      <w:r w:rsidR="00607182" w:rsidRPr="00411AE0">
        <w:rPr>
          <w:rStyle w:val="FootnoteReference"/>
          <w:rFonts w:ascii="Garamond" w:eastAsia="Times New Roman" w:hAnsi="Garamond" w:cs="Times New Roman"/>
          <w:color w:val="000000"/>
          <w:sz w:val="24"/>
          <w:szCs w:val="24"/>
          <w:lang w:eastAsia="en-GB"/>
        </w:rPr>
        <w:footnoteReference w:id="14"/>
      </w:r>
      <w:r w:rsidR="00607182" w:rsidRPr="00411AE0">
        <w:rPr>
          <w:rFonts w:ascii="Garamond" w:eastAsia="Times New Roman" w:hAnsi="Garamond" w:cs="Times New Roman"/>
          <w:color w:val="000000"/>
          <w:sz w:val="24"/>
          <w:szCs w:val="24"/>
          <w:lang w:eastAsia="en-GB"/>
        </w:rPr>
        <w:t xml:space="preserve"> At the same time</w:t>
      </w:r>
      <w:r w:rsidR="00E14DC0">
        <w:rPr>
          <w:rFonts w:ascii="Garamond" w:eastAsia="Times New Roman" w:hAnsi="Garamond" w:cs="Times New Roman"/>
          <w:color w:val="000000"/>
          <w:sz w:val="24"/>
          <w:szCs w:val="24"/>
          <w:lang w:eastAsia="en-GB"/>
        </w:rPr>
        <w:t>,</w:t>
      </w:r>
      <w:r w:rsidR="00CC7C0B">
        <w:rPr>
          <w:rFonts w:ascii="Garamond" w:eastAsia="Times New Roman" w:hAnsi="Garamond" w:cs="Times New Roman"/>
          <w:color w:val="000000"/>
          <w:sz w:val="24"/>
          <w:szCs w:val="24"/>
          <w:lang w:eastAsia="en-GB"/>
        </w:rPr>
        <w:t xml:space="preserve"> there is </w:t>
      </w:r>
      <w:r w:rsidR="00607182" w:rsidRPr="00411AE0">
        <w:rPr>
          <w:rFonts w:ascii="Garamond" w:eastAsia="Times New Roman" w:hAnsi="Garamond" w:cs="Times New Roman"/>
          <w:color w:val="000000"/>
          <w:sz w:val="24"/>
          <w:szCs w:val="24"/>
          <w:lang w:eastAsia="en-GB"/>
        </w:rPr>
        <w:t xml:space="preserve">a </w:t>
      </w:r>
      <w:r w:rsidR="00607182">
        <w:rPr>
          <w:rFonts w:ascii="Garamond" w:eastAsia="Times New Roman" w:hAnsi="Garamond" w:cs="Times New Roman"/>
          <w:color w:val="000000"/>
          <w:sz w:val="24"/>
          <w:szCs w:val="24"/>
          <w:lang w:eastAsia="en-GB"/>
        </w:rPr>
        <w:t>growing</w:t>
      </w:r>
      <w:r w:rsidR="00607182" w:rsidRPr="00411AE0">
        <w:rPr>
          <w:rFonts w:ascii="Garamond" w:eastAsia="Times New Roman" w:hAnsi="Garamond" w:cs="Times New Roman"/>
          <w:color w:val="000000"/>
          <w:sz w:val="24"/>
          <w:szCs w:val="24"/>
          <w:lang w:eastAsia="en-GB"/>
        </w:rPr>
        <w:t xml:space="preserve"> collective sense that the current international order systematically favours the interests of a relatively small transnational neoliberal elite (the ‘1%’)</w:t>
      </w:r>
      <w:r w:rsidR="00607182" w:rsidRPr="00411AE0">
        <w:rPr>
          <w:rStyle w:val="FootnoteReference"/>
          <w:rFonts w:ascii="Garamond" w:eastAsia="Times New Roman" w:hAnsi="Garamond" w:cs="Times New Roman"/>
          <w:color w:val="000000"/>
          <w:sz w:val="24"/>
          <w:szCs w:val="24"/>
          <w:lang w:eastAsia="en-GB"/>
        </w:rPr>
        <w:footnoteReference w:id="15"/>
      </w:r>
      <w:r w:rsidR="00607182" w:rsidRPr="00411AE0">
        <w:rPr>
          <w:rFonts w:ascii="Garamond" w:eastAsia="Times New Roman" w:hAnsi="Garamond" w:cs="Times New Roman"/>
          <w:color w:val="000000"/>
          <w:sz w:val="24"/>
          <w:szCs w:val="24"/>
          <w:lang w:eastAsia="en-GB"/>
        </w:rPr>
        <w:t xml:space="preserve"> while producing unprecedented levels of precarity for the masses</w:t>
      </w:r>
      <w:r w:rsidR="003F0C12">
        <w:rPr>
          <w:rFonts w:ascii="Garamond" w:eastAsia="Times New Roman" w:hAnsi="Garamond" w:cs="Times New Roman"/>
          <w:color w:val="000000"/>
          <w:sz w:val="24"/>
          <w:szCs w:val="24"/>
          <w:lang w:eastAsia="en-GB"/>
        </w:rPr>
        <w:t>.</w:t>
      </w:r>
      <w:r w:rsidR="00607182" w:rsidRPr="00411AE0">
        <w:rPr>
          <w:rStyle w:val="FootnoteReference"/>
          <w:rFonts w:ascii="Garamond" w:eastAsia="Times New Roman" w:hAnsi="Garamond" w:cs="Times New Roman"/>
          <w:color w:val="000000"/>
          <w:sz w:val="24"/>
          <w:szCs w:val="24"/>
          <w:lang w:eastAsia="en-GB"/>
        </w:rPr>
        <w:footnoteReference w:id="16"/>
      </w:r>
      <w:r w:rsidR="00CC7C0B">
        <w:rPr>
          <w:rFonts w:ascii="Garamond" w:eastAsia="Times New Roman" w:hAnsi="Garamond" w:cs="Times New Roman"/>
          <w:color w:val="000000"/>
          <w:sz w:val="24"/>
          <w:szCs w:val="24"/>
          <w:lang w:eastAsia="en-GB"/>
        </w:rPr>
        <w:t xml:space="preserve"> </w:t>
      </w:r>
      <w:r w:rsidR="004025F0">
        <w:rPr>
          <w:rFonts w:ascii="Garamond" w:eastAsia="Times New Roman" w:hAnsi="Garamond" w:cs="Times New Roman"/>
          <w:color w:val="000000"/>
          <w:sz w:val="24"/>
          <w:szCs w:val="24"/>
          <w:lang w:eastAsia="en-GB"/>
        </w:rPr>
        <w:t xml:space="preserve">In the light of this particular, contemporary manifestation of global unevenness, we decided to explore the </w:t>
      </w:r>
      <w:r w:rsidR="007D64FE">
        <w:rPr>
          <w:rFonts w:ascii="Garamond" w:eastAsia="Times New Roman" w:hAnsi="Garamond" w:cs="Times New Roman"/>
          <w:color w:val="000000"/>
          <w:sz w:val="24"/>
          <w:szCs w:val="24"/>
          <w:lang w:eastAsia="en-GB"/>
        </w:rPr>
        <w:t>idea that</w:t>
      </w:r>
      <w:r w:rsidR="007D64FE" w:rsidRPr="00411AE0">
        <w:rPr>
          <w:rFonts w:ascii="Garamond" w:eastAsia="Times New Roman" w:hAnsi="Garamond" w:cs="Times New Roman"/>
          <w:color w:val="000000"/>
          <w:sz w:val="24"/>
          <w:szCs w:val="24"/>
          <w:lang w:eastAsia="en-GB"/>
        </w:rPr>
        <w:t xml:space="preserve"> the mechanisms of personhood and jurisdiction operate in favour of corporate capital at both structural and ideological levels—and that the contrast between TNC privilege and the relative excludability of marginalised human beings should be seen as </w:t>
      </w:r>
      <w:r w:rsidR="007D64FE">
        <w:rPr>
          <w:rFonts w:ascii="Garamond" w:eastAsia="Times New Roman" w:hAnsi="Garamond" w:cs="Times New Roman"/>
          <w:color w:val="000000"/>
          <w:sz w:val="24"/>
          <w:szCs w:val="24"/>
          <w:lang w:eastAsia="en-GB"/>
        </w:rPr>
        <w:t>a co-symptomatic dynamic with</w:t>
      </w:r>
      <w:r w:rsidR="007D64FE" w:rsidRPr="00411AE0">
        <w:rPr>
          <w:rFonts w:ascii="Garamond" w:eastAsia="Times New Roman" w:hAnsi="Garamond" w:cs="Times New Roman"/>
          <w:color w:val="000000"/>
          <w:sz w:val="24"/>
          <w:szCs w:val="24"/>
          <w:lang w:eastAsia="en-GB"/>
        </w:rPr>
        <w:t xml:space="preserve"> shared roots in a</w:t>
      </w:r>
      <w:r w:rsidR="004025F0">
        <w:rPr>
          <w:rFonts w:ascii="Garamond" w:eastAsia="Times New Roman" w:hAnsi="Garamond" w:cs="Times New Roman"/>
          <w:color w:val="000000"/>
          <w:sz w:val="24"/>
          <w:szCs w:val="24"/>
          <w:lang w:eastAsia="en-GB"/>
        </w:rPr>
        <w:t xml:space="preserve"> particular</w:t>
      </w:r>
      <w:r w:rsidR="007D64FE" w:rsidRPr="00411AE0">
        <w:rPr>
          <w:rFonts w:ascii="Garamond" w:eastAsia="Times New Roman" w:hAnsi="Garamond" w:cs="Times New Roman"/>
          <w:color w:val="000000"/>
          <w:sz w:val="24"/>
          <w:szCs w:val="24"/>
          <w:lang w:eastAsia="en-GB"/>
        </w:rPr>
        <w:t xml:space="preserve"> order of meaning and power</w:t>
      </w:r>
      <w:r w:rsidR="007D64FE">
        <w:rPr>
          <w:rFonts w:ascii="Garamond" w:eastAsia="Times New Roman" w:hAnsi="Garamond" w:cs="Times New Roman"/>
          <w:color w:val="000000"/>
          <w:sz w:val="24"/>
          <w:szCs w:val="24"/>
          <w:lang w:eastAsia="en-GB"/>
        </w:rPr>
        <w:t>.</w:t>
      </w:r>
    </w:p>
    <w:p w14:paraId="6A2D8868" w14:textId="6D2096D9" w:rsidR="00BF0199" w:rsidRPr="00411AE0" w:rsidRDefault="001440D2" w:rsidP="005F733C">
      <w:pPr>
        <w:widowControl w:val="0"/>
        <w:autoSpaceDE w:val="0"/>
        <w:autoSpaceDN w:val="0"/>
        <w:adjustRightInd w:val="0"/>
        <w:spacing w:after="0" w:line="240" w:lineRule="auto"/>
        <w:rPr>
          <w:rFonts w:ascii="Garamond" w:eastAsia="Times New Roman" w:hAnsi="Garamond" w:cs="Times New Roman"/>
          <w:sz w:val="24"/>
          <w:szCs w:val="24"/>
          <w:lang w:eastAsia="en-GB"/>
        </w:rPr>
      </w:pPr>
      <w:r>
        <w:rPr>
          <w:rFonts w:ascii="Garamond" w:hAnsi="Garamond" w:cs="Times New Roman"/>
          <w:color w:val="000000"/>
          <w:sz w:val="24"/>
          <w:szCs w:val="24"/>
          <w:lang w:val="en-US"/>
        </w:rPr>
        <w:lastRenderedPageBreak/>
        <w:t xml:space="preserve"> </w:t>
      </w:r>
      <w:r>
        <w:rPr>
          <w:rFonts w:ascii="Garamond" w:hAnsi="Garamond" w:cs="Times New Roman"/>
          <w:color w:val="000000"/>
          <w:sz w:val="24"/>
          <w:szCs w:val="24"/>
          <w:lang w:val="en-US"/>
        </w:rPr>
        <w:tab/>
        <w:t xml:space="preserve">Drawing—in part—on </w:t>
      </w:r>
      <w:r w:rsidR="00422EF1">
        <w:rPr>
          <w:rFonts w:ascii="Garamond" w:hAnsi="Garamond" w:cs="Times New Roman"/>
          <w:color w:val="000000"/>
          <w:sz w:val="24"/>
          <w:szCs w:val="24"/>
          <w:lang w:val="en-US"/>
        </w:rPr>
        <w:t>Third World Approaches to International Law (</w:t>
      </w:r>
      <w:r>
        <w:rPr>
          <w:rFonts w:ascii="Garamond" w:hAnsi="Garamond" w:cs="Times New Roman"/>
          <w:color w:val="000000"/>
          <w:sz w:val="24"/>
          <w:szCs w:val="24"/>
          <w:lang w:val="en-US"/>
        </w:rPr>
        <w:t>TWAIL</w:t>
      </w:r>
      <w:r w:rsidR="00422EF1">
        <w:rPr>
          <w:rFonts w:ascii="Garamond" w:hAnsi="Garamond" w:cs="Times New Roman"/>
          <w:color w:val="000000"/>
          <w:sz w:val="24"/>
          <w:szCs w:val="24"/>
          <w:lang w:val="en-US"/>
        </w:rPr>
        <w:t>)</w:t>
      </w:r>
      <w:r>
        <w:rPr>
          <w:rFonts w:ascii="Garamond" w:hAnsi="Garamond" w:cs="Times New Roman"/>
          <w:color w:val="000000"/>
          <w:sz w:val="24"/>
          <w:szCs w:val="24"/>
          <w:lang w:val="en-US"/>
        </w:rPr>
        <w:t xml:space="preserve">, postcolonial and decolonial critical scholarship, we examine personhood and jurisdiction as concepts and technologies intimately related to the intellectual, theological and political traditions of </w:t>
      </w:r>
      <w:r w:rsidRPr="00A903E5">
        <w:rPr>
          <w:rFonts w:ascii="Garamond" w:hAnsi="Garamond" w:cs="Times New Roman"/>
          <w:color w:val="000000"/>
          <w:sz w:val="24"/>
          <w:szCs w:val="24"/>
          <w:lang w:val="en-US"/>
        </w:rPr>
        <w:t>Europe</w:t>
      </w:r>
      <w:r>
        <w:rPr>
          <w:rFonts w:ascii="Garamond" w:hAnsi="Garamond" w:cs="Times New Roman"/>
          <w:color w:val="000000"/>
          <w:sz w:val="24"/>
          <w:szCs w:val="24"/>
          <w:lang w:val="en-US"/>
        </w:rPr>
        <w:t>.</w:t>
      </w:r>
      <w:r>
        <w:rPr>
          <w:rStyle w:val="FootnoteReference"/>
          <w:rFonts w:ascii="Garamond" w:hAnsi="Garamond" w:cs="Times New Roman"/>
          <w:color w:val="000000"/>
          <w:sz w:val="24"/>
          <w:szCs w:val="24"/>
          <w:lang w:val="en-US"/>
        </w:rPr>
        <w:footnoteReference w:id="17"/>
      </w:r>
      <w:r>
        <w:rPr>
          <w:rFonts w:ascii="Garamond" w:hAnsi="Garamond" w:cs="Times New Roman"/>
          <w:color w:val="000000"/>
          <w:sz w:val="24"/>
          <w:szCs w:val="24"/>
          <w:lang w:val="en-US"/>
        </w:rPr>
        <w:t xml:space="preserve">  </w:t>
      </w:r>
      <w:r w:rsidR="007D64FE" w:rsidRPr="00411AE0">
        <w:rPr>
          <w:rFonts w:ascii="Garamond" w:eastAsia="Times New Roman" w:hAnsi="Garamond" w:cs="Times New Roman"/>
          <w:color w:val="000000"/>
          <w:sz w:val="24"/>
          <w:szCs w:val="24"/>
          <w:lang w:eastAsia="en-GB"/>
        </w:rPr>
        <w:t xml:space="preserve">We do not here </w:t>
      </w:r>
      <w:r w:rsidR="007D64FE">
        <w:rPr>
          <w:rFonts w:ascii="Garamond" w:eastAsia="Times New Roman" w:hAnsi="Garamond" w:cs="Times New Roman"/>
          <w:color w:val="000000"/>
          <w:sz w:val="24"/>
          <w:szCs w:val="24"/>
          <w:lang w:eastAsia="en-GB"/>
        </w:rPr>
        <w:t xml:space="preserve">purport to </w:t>
      </w:r>
      <w:r w:rsidR="007D64FE" w:rsidRPr="00411AE0">
        <w:rPr>
          <w:rFonts w:ascii="Garamond" w:eastAsia="Times New Roman" w:hAnsi="Garamond" w:cs="Times New Roman"/>
          <w:color w:val="000000"/>
          <w:sz w:val="24"/>
          <w:szCs w:val="24"/>
          <w:lang w:eastAsia="en-GB"/>
        </w:rPr>
        <w:t xml:space="preserve">offer a close technical analysis of international law. Nor do we assume a hegemonic capitalist trajectory in which a single, monolithic form of corporate personhood assumes hypostatisation. We </w:t>
      </w:r>
      <w:r w:rsidR="00080E15">
        <w:rPr>
          <w:rFonts w:ascii="Garamond" w:eastAsia="Times New Roman" w:hAnsi="Garamond" w:cs="Times New Roman"/>
          <w:color w:val="000000"/>
          <w:sz w:val="24"/>
          <w:szCs w:val="24"/>
          <w:lang w:eastAsia="en-GB"/>
        </w:rPr>
        <w:t>read</w:t>
      </w:r>
      <w:r w:rsidR="007D64FE" w:rsidRPr="00411AE0">
        <w:rPr>
          <w:rFonts w:ascii="Garamond" w:eastAsia="Times New Roman" w:hAnsi="Garamond" w:cs="Times New Roman"/>
          <w:color w:val="000000"/>
          <w:sz w:val="24"/>
          <w:szCs w:val="24"/>
          <w:lang w:eastAsia="en-GB"/>
        </w:rPr>
        <w:t xml:space="preserve"> the thread of hegemony traceable in patterns of coloniality and neocoloniality in the global order </w:t>
      </w:r>
      <w:r w:rsidR="007D64FE">
        <w:rPr>
          <w:rFonts w:ascii="Garamond" w:eastAsia="Times New Roman" w:hAnsi="Garamond" w:cs="Times New Roman"/>
          <w:color w:val="000000"/>
          <w:sz w:val="24"/>
          <w:szCs w:val="24"/>
          <w:lang w:eastAsia="en-GB"/>
        </w:rPr>
        <w:t xml:space="preserve">as </w:t>
      </w:r>
      <w:r w:rsidR="00080E15">
        <w:rPr>
          <w:rFonts w:ascii="Garamond" w:eastAsia="Times New Roman" w:hAnsi="Garamond" w:cs="Times New Roman"/>
          <w:color w:val="000000"/>
          <w:sz w:val="24"/>
          <w:szCs w:val="24"/>
          <w:lang w:eastAsia="en-GB"/>
        </w:rPr>
        <w:t xml:space="preserve">being </w:t>
      </w:r>
      <w:r w:rsidR="007D64FE">
        <w:rPr>
          <w:rFonts w:ascii="Garamond" w:eastAsia="Times New Roman" w:hAnsi="Garamond" w:cs="Times New Roman"/>
          <w:color w:val="000000"/>
          <w:sz w:val="24"/>
          <w:szCs w:val="24"/>
          <w:lang w:eastAsia="en-GB"/>
        </w:rPr>
        <w:t xml:space="preserve">a reflection of a complex convergence between </w:t>
      </w:r>
      <w:r w:rsidR="007D64FE" w:rsidRPr="00411AE0">
        <w:rPr>
          <w:rFonts w:ascii="Garamond" w:eastAsia="Times New Roman" w:hAnsi="Garamond" w:cs="Times New Roman"/>
          <w:color w:val="000000"/>
          <w:sz w:val="24"/>
          <w:szCs w:val="24"/>
          <w:lang w:eastAsia="en-GB"/>
        </w:rPr>
        <w:t xml:space="preserve">multiple, heterogeneous forces and actors. </w:t>
      </w:r>
      <w:r w:rsidR="007D64FE">
        <w:rPr>
          <w:rFonts w:ascii="Garamond" w:eastAsia="Times New Roman" w:hAnsi="Garamond" w:cs="Times New Roman"/>
          <w:color w:val="000000"/>
          <w:sz w:val="24"/>
          <w:szCs w:val="24"/>
          <w:lang w:eastAsia="en-GB"/>
        </w:rPr>
        <w:t xml:space="preserve">Despite complexities, however, </w:t>
      </w:r>
      <w:r w:rsidR="007D64FE" w:rsidRPr="00411AE0">
        <w:rPr>
          <w:rFonts w:ascii="Garamond" w:eastAsia="Times New Roman" w:hAnsi="Garamond" w:cs="Times New Roman"/>
          <w:color w:val="000000"/>
          <w:sz w:val="24"/>
          <w:szCs w:val="24"/>
          <w:lang w:eastAsia="en-GB"/>
        </w:rPr>
        <w:t xml:space="preserve">we </w:t>
      </w:r>
      <w:r w:rsidR="007D64FE">
        <w:rPr>
          <w:rFonts w:ascii="Garamond" w:eastAsia="Times New Roman" w:hAnsi="Garamond" w:cs="Times New Roman"/>
          <w:color w:val="000000"/>
          <w:sz w:val="24"/>
          <w:szCs w:val="24"/>
          <w:lang w:eastAsia="en-GB"/>
        </w:rPr>
        <w:t xml:space="preserve">do </w:t>
      </w:r>
      <w:r w:rsidR="007D64FE" w:rsidRPr="00411AE0">
        <w:rPr>
          <w:rFonts w:ascii="Garamond" w:eastAsia="Times New Roman" w:hAnsi="Garamond" w:cs="Times New Roman"/>
          <w:color w:val="000000"/>
          <w:sz w:val="24"/>
          <w:szCs w:val="24"/>
          <w:lang w:eastAsia="en-GB"/>
        </w:rPr>
        <w:t xml:space="preserve">see a recognisable, familiar dynamic in the contrast between TNC privilege and the vulnerability of corporeally specific human beings driven against national borders. This contrast, we suggest, gains renewed critical salience in an </w:t>
      </w:r>
      <w:r w:rsidR="00080E15">
        <w:rPr>
          <w:rFonts w:ascii="Garamond" w:eastAsia="Times New Roman" w:hAnsi="Garamond" w:cs="Times New Roman"/>
          <w:color w:val="000000"/>
          <w:sz w:val="24"/>
          <w:szCs w:val="24"/>
          <w:lang w:eastAsia="en-GB"/>
        </w:rPr>
        <w:t>age</w:t>
      </w:r>
      <w:r w:rsidR="007D64FE" w:rsidRPr="00411AE0">
        <w:rPr>
          <w:rFonts w:ascii="Garamond" w:eastAsia="Times New Roman" w:hAnsi="Garamond" w:cs="Times New Roman"/>
          <w:color w:val="000000"/>
          <w:sz w:val="24"/>
          <w:szCs w:val="24"/>
          <w:lang w:eastAsia="en-GB"/>
        </w:rPr>
        <w:t xml:space="preserve"> marked by the </w:t>
      </w:r>
      <w:r w:rsidR="007D64FE">
        <w:rPr>
          <w:rFonts w:ascii="Garamond" w:eastAsia="Times New Roman" w:hAnsi="Garamond" w:cs="Times New Roman"/>
          <w:color w:val="000000"/>
          <w:sz w:val="24"/>
          <w:szCs w:val="24"/>
          <w:lang w:eastAsia="en-GB"/>
        </w:rPr>
        <w:t xml:space="preserve">rapid </w:t>
      </w:r>
      <w:r w:rsidR="007D64FE" w:rsidRPr="00411AE0">
        <w:rPr>
          <w:rFonts w:ascii="Garamond" w:eastAsia="Times New Roman" w:hAnsi="Garamond" w:cs="Times New Roman"/>
          <w:color w:val="000000"/>
          <w:sz w:val="24"/>
          <w:szCs w:val="24"/>
          <w:lang w:eastAsia="en-GB"/>
        </w:rPr>
        <w:t>proliferation of walls</w:t>
      </w:r>
      <w:r w:rsidR="007D64FE">
        <w:rPr>
          <w:rFonts w:ascii="Garamond" w:eastAsia="Times New Roman" w:hAnsi="Garamond" w:cs="Times New Roman"/>
          <w:color w:val="000000"/>
          <w:sz w:val="24"/>
          <w:szCs w:val="24"/>
          <w:lang w:eastAsia="en-GB"/>
        </w:rPr>
        <w:t>—and in the face of the increasing likelihood of climate change-driven displacements</w:t>
      </w:r>
      <w:r w:rsidR="007D64FE" w:rsidRPr="00411AE0">
        <w:rPr>
          <w:rFonts w:ascii="Garamond" w:eastAsia="Times New Roman" w:hAnsi="Garamond" w:cs="Times New Roman"/>
          <w:color w:val="000000"/>
          <w:sz w:val="24"/>
          <w:szCs w:val="24"/>
          <w:lang w:eastAsia="en-GB"/>
        </w:rPr>
        <w:t>.</w:t>
      </w:r>
      <w:r w:rsidR="007D64FE">
        <w:rPr>
          <w:rStyle w:val="FootnoteReference"/>
          <w:rFonts w:ascii="Garamond" w:eastAsia="Times New Roman" w:hAnsi="Garamond" w:cs="Times New Roman"/>
          <w:color w:val="000000"/>
          <w:sz w:val="24"/>
          <w:szCs w:val="24"/>
          <w:lang w:eastAsia="en-GB"/>
        </w:rPr>
        <w:footnoteReference w:id="18"/>
      </w:r>
      <w:r w:rsidR="007D64FE" w:rsidRPr="00411AE0">
        <w:rPr>
          <w:rFonts w:ascii="Garamond" w:eastAsia="Times New Roman" w:hAnsi="Garamond" w:cs="Times New Roman"/>
          <w:color w:val="000000"/>
          <w:sz w:val="24"/>
          <w:szCs w:val="24"/>
          <w:lang w:eastAsia="en-GB"/>
        </w:rPr>
        <w:br/>
      </w:r>
      <w:r w:rsidR="003A604E">
        <w:rPr>
          <w:rFonts w:ascii="Garamond" w:eastAsia="Times New Roman" w:hAnsi="Garamond" w:cs="Times New Roman"/>
          <w:color w:val="000000"/>
          <w:sz w:val="24"/>
          <w:szCs w:val="24"/>
          <w:lang w:eastAsia="en-GB"/>
        </w:rPr>
        <w:t xml:space="preserve"> </w:t>
      </w:r>
      <w:r w:rsidR="003A604E">
        <w:rPr>
          <w:rFonts w:ascii="Garamond" w:eastAsia="Times New Roman" w:hAnsi="Garamond" w:cs="Times New Roman"/>
          <w:color w:val="000000"/>
          <w:sz w:val="24"/>
          <w:szCs w:val="24"/>
          <w:lang w:eastAsia="en-GB"/>
        </w:rPr>
        <w:tab/>
        <w:t xml:space="preserve">We </w:t>
      </w:r>
      <w:r w:rsidR="00BF0199" w:rsidRPr="00411AE0">
        <w:rPr>
          <w:rFonts w:ascii="Garamond" w:eastAsia="Times New Roman" w:hAnsi="Garamond" w:cs="Times New Roman"/>
          <w:color w:val="000000"/>
          <w:sz w:val="24"/>
          <w:szCs w:val="24"/>
          <w:lang w:eastAsia="en-GB"/>
        </w:rPr>
        <w:t>begin by tracing the nature of the contemporary neoliberal legal order and its colonial roots. We then examine the constructs of legal personhood and jurisdiction</w:t>
      </w:r>
      <w:r w:rsidR="006241F7">
        <w:rPr>
          <w:rFonts w:ascii="Garamond" w:eastAsia="Times New Roman" w:hAnsi="Garamond" w:cs="Times New Roman"/>
          <w:color w:val="000000"/>
          <w:sz w:val="24"/>
          <w:szCs w:val="24"/>
          <w:lang w:eastAsia="en-GB"/>
        </w:rPr>
        <w:t xml:space="preserve"> as </w:t>
      </w:r>
      <w:r w:rsidR="00592708">
        <w:rPr>
          <w:rFonts w:ascii="Garamond" w:eastAsia="Times New Roman" w:hAnsi="Garamond" w:cs="Times New Roman"/>
          <w:color w:val="000000"/>
          <w:sz w:val="24"/>
          <w:szCs w:val="24"/>
          <w:lang w:eastAsia="en-GB"/>
        </w:rPr>
        <w:t xml:space="preserve">techniques </w:t>
      </w:r>
      <w:r w:rsidR="006241F7">
        <w:rPr>
          <w:rFonts w:ascii="Garamond" w:eastAsia="Times New Roman" w:hAnsi="Garamond" w:cs="Times New Roman"/>
          <w:color w:val="000000"/>
          <w:sz w:val="24"/>
          <w:szCs w:val="24"/>
          <w:lang w:eastAsia="en-GB"/>
        </w:rPr>
        <w:t>of privilege</w:t>
      </w:r>
      <w:r w:rsidR="00A74FF5">
        <w:rPr>
          <w:rFonts w:ascii="Garamond" w:eastAsia="Times New Roman" w:hAnsi="Garamond" w:cs="Times New Roman"/>
          <w:color w:val="000000"/>
          <w:sz w:val="24"/>
          <w:szCs w:val="24"/>
          <w:lang w:eastAsia="en-GB"/>
        </w:rPr>
        <w:t xml:space="preserve"> and predation</w:t>
      </w:r>
      <w:r w:rsidR="00BF0199" w:rsidRPr="00411AE0">
        <w:rPr>
          <w:rFonts w:ascii="Garamond" w:eastAsia="Times New Roman" w:hAnsi="Garamond" w:cs="Times New Roman"/>
          <w:color w:val="000000"/>
          <w:sz w:val="24"/>
          <w:szCs w:val="24"/>
          <w:lang w:eastAsia="en-GB"/>
        </w:rPr>
        <w:t>, reveal</w:t>
      </w:r>
      <w:r w:rsidR="006459B3">
        <w:rPr>
          <w:rFonts w:ascii="Garamond" w:eastAsia="Times New Roman" w:hAnsi="Garamond" w:cs="Times New Roman"/>
          <w:color w:val="000000"/>
          <w:sz w:val="24"/>
          <w:szCs w:val="24"/>
          <w:lang w:eastAsia="en-GB"/>
        </w:rPr>
        <w:t>ing</w:t>
      </w:r>
      <w:r w:rsidR="00BF0199" w:rsidRPr="00411AE0">
        <w:rPr>
          <w:rFonts w:ascii="Garamond" w:eastAsia="Times New Roman" w:hAnsi="Garamond" w:cs="Times New Roman"/>
          <w:color w:val="000000"/>
          <w:sz w:val="24"/>
          <w:szCs w:val="24"/>
          <w:lang w:eastAsia="en-GB"/>
        </w:rPr>
        <w:t xml:space="preserve"> their </w:t>
      </w:r>
      <w:r w:rsidR="00F2723B" w:rsidRPr="00411AE0">
        <w:rPr>
          <w:rFonts w:ascii="Garamond" w:eastAsia="Times New Roman" w:hAnsi="Garamond" w:cs="Times New Roman"/>
          <w:color w:val="000000"/>
          <w:sz w:val="24"/>
          <w:szCs w:val="24"/>
          <w:lang w:eastAsia="en-GB"/>
        </w:rPr>
        <w:t xml:space="preserve">threads of </w:t>
      </w:r>
      <w:r w:rsidR="00BF0199" w:rsidRPr="00411AE0">
        <w:rPr>
          <w:rFonts w:ascii="Garamond" w:eastAsia="Times New Roman" w:hAnsi="Garamond" w:cs="Times New Roman"/>
          <w:color w:val="000000"/>
          <w:sz w:val="24"/>
          <w:szCs w:val="24"/>
          <w:lang w:eastAsia="en-GB"/>
        </w:rPr>
        <w:t xml:space="preserve">continuity with </w:t>
      </w:r>
      <w:r w:rsidR="00480E4A" w:rsidRPr="00411AE0">
        <w:rPr>
          <w:rFonts w:ascii="Garamond" w:eastAsia="Times New Roman" w:hAnsi="Garamond" w:cs="Times New Roman"/>
          <w:color w:val="000000"/>
          <w:sz w:val="24"/>
          <w:szCs w:val="24"/>
          <w:lang w:eastAsia="en-GB"/>
        </w:rPr>
        <w:t xml:space="preserve">fundamentally colonising </w:t>
      </w:r>
      <w:r w:rsidR="008C158E" w:rsidRPr="00411AE0">
        <w:rPr>
          <w:rFonts w:ascii="Garamond" w:eastAsia="Times New Roman" w:hAnsi="Garamond" w:cs="Times New Roman"/>
          <w:color w:val="000000"/>
          <w:sz w:val="24"/>
          <w:szCs w:val="24"/>
          <w:lang w:eastAsia="en-GB"/>
        </w:rPr>
        <w:t xml:space="preserve">capitalist </w:t>
      </w:r>
      <w:r w:rsidR="00BF0199" w:rsidRPr="00411AE0">
        <w:rPr>
          <w:rFonts w:ascii="Garamond" w:eastAsia="Times New Roman" w:hAnsi="Garamond" w:cs="Times New Roman"/>
          <w:color w:val="000000"/>
          <w:sz w:val="24"/>
          <w:szCs w:val="24"/>
          <w:lang w:eastAsia="en-GB"/>
        </w:rPr>
        <w:t>impulses and assumptions</w:t>
      </w:r>
      <w:r w:rsidR="002D4A36" w:rsidRPr="00411AE0">
        <w:rPr>
          <w:rFonts w:ascii="Garamond" w:eastAsia="Times New Roman" w:hAnsi="Garamond" w:cs="Times New Roman"/>
          <w:color w:val="000000"/>
          <w:sz w:val="24"/>
          <w:szCs w:val="24"/>
          <w:lang w:eastAsia="en-GB"/>
        </w:rPr>
        <w:t xml:space="preserve">. </w:t>
      </w:r>
      <w:r w:rsidR="00BF0199" w:rsidRPr="00411AE0">
        <w:rPr>
          <w:rFonts w:ascii="Garamond" w:eastAsia="Times New Roman" w:hAnsi="Garamond" w:cs="Times New Roman"/>
          <w:color w:val="000000"/>
          <w:sz w:val="24"/>
          <w:szCs w:val="24"/>
          <w:lang w:eastAsia="en-GB"/>
        </w:rPr>
        <w:t xml:space="preserve">Finally, we suggest some modest future research directions. </w:t>
      </w:r>
    </w:p>
    <w:p w14:paraId="6FD6E242" w14:textId="3F2EC6BE" w:rsidR="00BF0199" w:rsidRPr="00411AE0" w:rsidRDefault="00BF0199" w:rsidP="00EE5633">
      <w:pPr>
        <w:spacing w:after="0" w:line="240" w:lineRule="auto"/>
        <w:rPr>
          <w:rFonts w:ascii="Garamond" w:eastAsia="Times New Roman" w:hAnsi="Garamond" w:cs="Times New Roman"/>
          <w:sz w:val="24"/>
          <w:szCs w:val="24"/>
          <w:lang w:eastAsia="en-GB"/>
        </w:rPr>
      </w:pPr>
    </w:p>
    <w:p w14:paraId="436573EB" w14:textId="79795A67" w:rsidR="00BF0199" w:rsidRPr="002C1558" w:rsidRDefault="00E2040C" w:rsidP="00EE5633">
      <w:pPr>
        <w:spacing w:after="0" w:line="240" w:lineRule="auto"/>
        <w:rPr>
          <w:rFonts w:ascii="Garamond" w:eastAsia="Times New Roman" w:hAnsi="Garamond" w:cs="Times New Roman"/>
          <w:sz w:val="24"/>
          <w:szCs w:val="24"/>
          <w:lang w:eastAsia="en-GB"/>
        </w:rPr>
      </w:pPr>
      <w:r w:rsidRPr="002C1558">
        <w:rPr>
          <w:rFonts w:ascii="Garamond" w:eastAsia="Times New Roman" w:hAnsi="Garamond" w:cs="Times New Roman"/>
          <w:color w:val="000000"/>
          <w:sz w:val="24"/>
          <w:szCs w:val="24"/>
          <w:lang w:eastAsia="en-GB"/>
        </w:rPr>
        <w:t xml:space="preserve">2 </w:t>
      </w:r>
      <w:r w:rsidR="00BF0199" w:rsidRPr="002C1558">
        <w:rPr>
          <w:rFonts w:ascii="Garamond" w:eastAsia="Times New Roman" w:hAnsi="Garamond" w:cs="Times New Roman"/>
          <w:color w:val="000000"/>
          <w:sz w:val="24"/>
          <w:szCs w:val="24"/>
          <w:lang w:eastAsia="en-GB"/>
        </w:rPr>
        <w:t>THE INTERNA</w:t>
      </w:r>
      <w:r w:rsidR="00953880" w:rsidRPr="002C1558">
        <w:rPr>
          <w:rFonts w:ascii="Garamond" w:eastAsia="Times New Roman" w:hAnsi="Garamond" w:cs="Times New Roman"/>
          <w:color w:val="000000"/>
          <w:sz w:val="24"/>
          <w:szCs w:val="24"/>
          <w:lang w:eastAsia="en-GB"/>
        </w:rPr>
        <w:t>TIONAL LEGAL ORDER: COLO</w:t>
      </w:r>
      <w:r w:rsidR="006942B2" w:rsidRPr="002C1558">
        <w:rPr>
          <w:rFonts w:ascii="Garamond" w:eastAsia="Times New Roman" w:hAnsi="Garamond" w:cs="Times New Roman"/>
          <w:color w:val="000000"/>
          <w:sz w:val="24"/>
          <w:szCs w:val="24"/>
          <w:lang w:eastAsia="en-GB"/>
        </w:rPr>
        <w:t>N</w:t>
      </w:r>
      <w:r w:rsidR="00953880" w:rsidRPr="002C1558">
        <w:rPr>
          <w:rFonts w:ascii="Garamond" w:eastAsia="Times New Roman" w:hAnsi="Garamond" w:cs="Times New Roman"/>
          <w:color w:val="000000"/>
          <w:sz w:val="24"/>
          <w:szCs w:val="24"/>
          <w:lang w:eastAsia="en-GB"/>
        </w:rPr>
        <w:t xml:space="preserve">IALITY </w:t>
      </w:r>
      <w:r w:rsidR="00BF0199" w:rsidRPr="002C1558">
        <w:rPr>
          <w:rFonts w:ascii="Garamond" w:eastAsia="Times New Roman" w:hAnsi="Garamond" w:cs="Times New Roman"/>
          <w:color w:val="000000"/>
          <w:sz w:val="24"/>
          <w:szCs w:val="24"/>
          <w:lang w:eastAsia="en-GB"/>
        </w:rPr>
        <w:t xml:space="preserve">AND NEOLIBERALISM </w:t>
      </w:r>
    </w:p>
    <w:p w14:paraId="20C59C69" w14:textId="0BA3A0BE" w:rsidR="00E865E4" w:rsidRPr="00F605DD" w:rsidRDefault="006365C0" w:rsidP="00F605DD">
      <w:pPr>
        <w:pStyle w:val="FootnoteText"/>
        <w:rPr>
          <w:rFonts w:ascii="Garamond" w:hAnsi="Garamond"/>
          <w:b/>
          <w:i/>
          <w:sz w:val="24"/>
          <w:szCs w:val="24"/>
        </w:rPr>
      </w:pPr>
      <w:r w:rsidRPr="00411AE0">
        <w:rPr>
          <w:rFonts w:ascii="Garamond" w:eastAsia="Times New Roman" w:hAnsi="Garamond" w:cs="Times New Roman"/>
          <w:sz w:val="24"/>
          <w:szCs w:val="24"/>
          <w:lang w:eastAsia="en-GB"/>
        </w:rPr>
        <w:t>W</w:t>
      </w:r>
      <w:r w:rsidR="00941434" w:rsidRPr="00411AE0">
        <w:rPr>
          <w:rFonts w:ascii="Garamond" w:eastAsia="Times New Roman" w:hAnsi="Garamond" w:cs="Times New Roman"/>
          <w:sz w:val="24"/>
          <w:szCs w:val="24"/>
          <w:lang w:eastAsia="en-GB"/>
        </w:rPr>
        <w:t xml:space="preserve">hile </w:t>
      </w:r>
      <w:r w:rsidR="00FE73DA" w:rsidRPr="00411AE0">
        <w:rPr>
          <w:rFonts w:ascii="Garamond" w:eastAsia="Times New Roman" w:hAnsi="Garamond" w:cs="Times New Roman"/>
          <w:sz w:val="24"/>
          <w:szCs w:val="24"/>
          <w:lang w:eastAsia="en-GB"/>
        </w:rPr>
        <w:t xml:space="preserve">the contemporary era is </w:t>
      </w:r>
      <w:r w:rsidR="00941434" w:rsidRPr="00411AE0">
        <w:rPr>
          <w:rFonts w:ascii="Garamond" w:eastAsia="Times New Roman" w:hAnsi="Garamond" w:cs="Times New Roman"/>
          <w:sz w:val="24"/>
          <w:szCs w:val="24"/>
          <w:lang w:eastAsia="en-GB"/>
        </w:rPr>
        <w:t xml:space="preserve">predominantly </w:t>
      </w:r>
      <w:r w:rsidR="00FE73DA" w:rsidRPr="00411AE0">
        <w:rPr>
          <w:rFonts w:ascii="Garamond" w:eastAsia="Times New Roman" w:hAnsi="Garamond" w:cs="Times New Roman"/>
          <w:sz w:val="24"/>
          <w:szCs w:val="24"/>
          <w:lang w:eastAsia="en-GB"/>
        </w:rPr>
        <w:t>characterised by globalised and globalising forces and relations</w:t>
      </w:r>
      <w:r w:rsidR="00941434" w:rsidRPr="00411AE0">
        <w:rPr>
          <w:rFonts w:ascii="Garamond" w:eastAsia="Times New Roman" w:hAnsi="Garamond" w:cs="Times New Roman"/>
          <w:sz w:val="24"/>
          <w:szCs w:val="24"/>
          <w:lang w:eastAsia="en-GB"/>
        </w:rPr>
        <w:t xml:space="preserve"> </w:t>
      </w:r>
      <w:r w:rsidR="00965D4C" w:rsidRPr="00411AE0">
        <w:rPr>
          <w:rFonts w:ascii="Garamond" w:eastAsia="Times New Roman" w:hAnsi="Garamond" w:cs="Times New Roman"/>
          <w:sz w:val="24"/>
          <w:szCs w:val="24"/>
          <w:lang w:eastAsia="en-GB"/>
        </w:rPr>
        <w:t>and by a profound and growing sense of an unevenly distributed Anthropocene predicament,</w:t>
      </w:r>
      <w:r w:rsidR="00965D4C" w:rsidRPr="00411AE0">
        <w:rPr>
          <w:rStyle w:val="FootnoteReference"/>
          <w:rFonts w:ascii="Garamond" w:eastAsia="Times New Roman" w:hAnsi="Garamond" w:cs="Times New Roman"/>
          <w:sz w:val="24"/>
          <w:szCs w:val="24"/>
          <w:lang w:eastAsia="en-GB"/>
        </w:rPr>
        <w:footnoteReference w:id="19"/>
      </w:r>
      <w:r w:rsidR="00965D4C" w:rsidRPr="00411AE0">
        <w:rPr>
          <w:rFonts w:ascii="Garamond" w:eastAsia="Times New Roman" w:hAnsi="Garamond" w:cs="Times New Roman"/>
          <w:sz w:val="24"/>
          <w:szCs w:val="24"/>
          <w:lang w:eastAsia="en-GB"/>
        </w:rPr>
        <w:t xml:space="preserve"> </w:t>
      </w:r>
      <w:r w:rsidR="00C9003D" w:rsidRPr="00411AE0">
        <w:rPr>
          <w:rFonts w:ascii="Garamond" w:eastAsia="Times New Roman" w:hAnsi="Garamond" w:cs="Times New Roman"/>
          <w:sz w:val="24"/>
          <w:szCs w:val="24"/>
          <w:lang w:eastAsia="en-GB"/>
        </w:rPr>
        <w:t>there is</w:t>
      </w:r>
      <w:r w:rsidR="004B271C">
        <w:rPr>
          <w:rFonts w:ascii="Garamond" w:eastAsia="Times New Roman" w:hAnsi="Garamond" w:cs="Times New Roman"/>
          <w:sz w:val="24"/>
          <w:szCs w:val="24"/>
          <w:lang w:eastAsia="en-GB"/>
        </w:rPr>
        <w:t xml:space="preserve"> </w:t>
      </w:r>
      <w:r w:rsidR="00C9003D" w:rsidRPr="00411AE0">
        <w:rPr>
          <w:rFonts w:ascii="Garamond" w:eastAsia="Times New Roman" w:hAnsi="Garamond" w:cs="Times New Roman"/>
          <w:sz w:val="24"/>
          <w:szCs w:val="24"/>
          <w:lang w:eastAsia="en-GB"/>
        </w:rPr>
        <w:t xml:space="preserve">nothing new about globalisation. </w:t>
      </w:r>
      <w:r w:rsidR="00203547" w:rsidRPr="00411AE0">
        <w:rPr>
          <w:rFonts w:ascii="Garamond" w:eastAsia="Times New Roman" w:hAnsi="Garamond" w:cs="Times New Roman"/>
          <w:sz w:val="24"/>
          <w:szCs w:val="24"/>
          <w:lang w:eastAsia="en-GB"/>
        </w:rPr>
        <w:t>Abu</w:t>
      </w:r>
      <w:r w:rsidR="00203547" w:rsidRPr="00411AE0">
        <w:rPr>
          <w:rFonts w:ascii="Garamond" w:hAnsi="Garamond"/>
          <w:sz w:val="24"/>
          <w:szCs w:val="24"/>
        </w:rPr>
        <w:t>-Lughod traces early globalisation back to the thirteenth century Mongol Empire,</w:t>
      </w:r>
      <w:r w:rsidR="00203547" w:rsidRPr="00411AE0">
        <w:rPr>
          <w:rStyle w:val="FootnoteReference"/>
          <w:rFonts w:ascii="Garamond" w:hAnsi="Garamond"/>
          <w:sz w:val="24"/>
          <w:szCs w:val="24"/>
        </w:rPr>
        <w:t xml:space="preserve"> </w:t>
      </w:r>
      <w:r w:rsidR="00203547" w:rsidRPr="00411AE0">
        <w:rPr>
          <w:rStyle w:val="FootnoteReference"/>
          <w:rFonts w:ascii="Garamond" w:hAnsi="Garamond"/>
          <w:sz w:val="24"/>
          <w:szCs w:val="24"/>
        </w:rPr>
        <w:footnoteReference w:id="20"/>
      </w:r>
      <w:r w:rsidR="00203547" w:rsidRPr="00411AE0">
        <w:rPr>
          <w:rFonts w:ascii="Garamond" w:hAnsi="Garamond"/>
          <w:sz w:val="24"/>
          <w:szCs w:val="24"/>
        </w:rPr>
        <w:t xml:space="preserve"> while Twining </w:t>
      </w:r>
      <w:r w:rsidR="00941434" w:rsidRPr="00411AE0">
        <w:rPr>
          <w:rFonts w:ascii="Garamond" w:hAnsi="Garamond"/>
          <w:sz w:val="24"/>
          <w:szCs w:val="24"/>
        </w:rPr>
        <w:t xml:space="preserve">locates globalising dynamics in the </w:t>
      </w:r>
      <w:r w:rsidR="00203547" w:rsidRPr="00411AE0">
        <w:rPr>
          <w:rFonts w:ascii="Garamond" w:hAnsi="Garamond"/>
          <w:sz w:val="24"/>
          <w:szCs w:val="24"/>
        </w:rPr>
        <w:t>well-established transnational flow of people, goods and ideas from at least the sixteenth century</w:t>
      </w:r>
      <w:r w:rsidR="00547494" w:rsidRPr="00411AE0">
        <w:rPr>
          <w:rFonts w:ascii="Garamond" w:hAnsi="Garamond"/>
          <w:sz w:val="24"/>
          <w:szCs w:val="24"/>
        </w:rPr>
        <w:t xml:space="preserve"> onwards</w:t>
      </w:r>
      <w:r w:rsidR="00203547" w:rsidRPr="00411AE0">
        <w:rPr>
          <w:rFonts w:ascii="Garamond" w:hAnsi="Garamond"/>
          <w:sz w:val="24"/>
          <w:szCs w:val="24"/>
        </w:rPr>
        <w:t>.</w:t>
      </w:r>
      <w:r w:rsidR="00203547" w:rsidRPr="00411AE0">
        <w:rPr>
          <w:rStyle w:val="FootnoteReference"/>
          <w:rFonts w:ascii="Garamond" w:hAnsi="Garamond"/>
          <w:sz w:val="24"/>
          <w:szCs w:val="24"/>
        </w:rPr>
        <w:footnoteReference w:id="21"/>
      </w:r>
      <w:r w:rsidR="00203547" w:rsidRPr="00411AE0">
        <w:rPr>
          <w:rFonts w:ascii="Garamond" w:hAnsi="Garamond"/>
          <w:sz w:val="24"/>
          <w:szCs w:val="24"/>
        </w:rPr>
        <w:t xml:space="preserve"> </w:t>
      </w:r>
      <w:r w:rsidR="00D709AA" w:rsidRPr="00411AE0">
        <w:rPr>
          <w:rFonts w:ascii="Garamond" w:hAnsi="Garamond"/>
          <w:sz w:val="24"/>
          <w:szCs w:val="24"/>
        </w:rPr>
        <w:t xml:space="preserve">Nevertheless, </w:t>
      </w:r>
      <w:r w:rsidR="008335B7" w:rsidRPr="00411AE0">
        <w:rPr>
          <w:rFonts w:ascii="Garamond" w:hAnsi="Garamond"/>
          <w:sz w:val="24"/>
          <w:szCs w:val="24"/>
        </w:rPr>
        <w:t xml:space="preserve">contemporary </w:t>
      </w:r>
      <w:r w:rsidR="002F2621" w:rsidRPr="00411AE0">
        <w:rPr>
          <w:rFonts w:ascii="Garamond" w:hAnsi="Garamond"/>
          <w:sz w:val="24"/>
          <w:szCs w:val="24"/>
        </w:rPr>
        <w:t xml:space="preserve">globalisation marks a </w:t>
      </w:r>
      <w:r w:rsidR="00DB1B70" w:rsidRPr="00411AE0">
        <w:rPr>
          <w:rFonts w:ascii="Garamond" w:hAnsi="Garamond"/>
          <w:sz w:val="24"/>
          <w:szCs w:val="24"/>
        </w:rPr>
        <w:t xml:space="preserve">mutation and </w:t>
      </w:r>
      <w:r w:rsidR="008335B7" w:rsidRPr="00411AE0">
        <w:rPr>
          <w:rFonts w:ascii="Garamond" w:hAnsi="Garamond"/>
          <w:sz w:val="24"/>
          <w:szCs w:val="24"/>
        </w:rPr>
        <w:t xml:space="preserve">intensification of </w:t>
      </w:r>
      <w:r w:rsidR="00547494" w:rsidRPr="00411AE0">
        <w:rPr>
          <w:rFonts w:ascii="Garamond" w:hAnsi="Garamond"/>
          <w:sz w:val="24"/>
          <w:szCs w:val="24"/>
        </w:rPr>
        <w:t xml:space="preserve">earlier </w:t>
      </w:r>
      <w:r w:rsidR="008335B7" w:rsidRPr="00411AE0">
        <w:rPr>
          <w:rFonts w:ascii="Garamond" w:hAnsi="Garamond"/>
          <w:sz w:val="24"/>
          <w:szCs w:val="24"/>
        </w:rPr>
        <w:t xml:space="preserve">transnational </w:t>
      </w:r>
      <w:r w:rsidR="00547494" w:rsidRPr="00411AE0">
        <w:rPr>
          <w:rFonts w:ascii="Garamond" w:hAnsi="Garamond"/>
          <w:sz w:val="24"/>
          <w:szCs w:val="24"/>
        </w:rPr>
        <w:t>dynamics</w:t>
      </w:r>
      <w:r w:rsidR="005061AF" w:rsidRPr="00411AE0">
        <w:rPr>
          <w:rFonts w:ascii="Garamond" w:hAnsi="Garamond"/>
          <w:sz w:val="24"/>
          <w:szCs w:val="24"/>
        </w:rPr>
        <w:t>: the speed, density and content</w:t>
      </w:r>
      <w:r w:rsidR="00022189" w:rsidRPr="00411AE0">
        <w:rPr>
          <w:rStyle w:val="FootnoteReference"/>
          <w:rFonts w:ascii="Garamond" w:hAnsi="Garamond"/>
          <w:sz w:val="24"/>
          <w:szCs w:val="24"/>
        </w:rPr>
        <w:footnoteReference w:id="22"/>
      </w:r>
      <w:r w:rsidR="005061AF" w:rsidRPr="00411AE0">
        <w:rPr>
          <w:rFonts w:ascii="Garamond" w:hAnsi="Garamond"/>
          <w:sz w:val="24"/>
          <w:szCs w:val="24"/>
        </w:rPr>
        <w:t xml:space="preserve"> of transnational flows </w:t>
      </w:r>
      <w:r w:rsidR="00586909" w:rsidRPr="00411AE0">
        <w:rPr>
          <w:rFonts w:ascii="Garamond" w:hAnsi="Garamond"/>
          <w:sz w:val="24"/>
          <w:szCs w:val="24"/>
        </w:rPr>
        <w:t xml:space="preserve">is so marked that </w:t>
      </w:r>
      <w:r w:rsidR="00D709AA" w:rsidRPr="00411AE0">
        <w:rPr>
          <w:rFonts w:ascii="Garamond" w:hAnsi="Garamond"/>
          <w:sz w:val="24"/>
          <w:szCs w:val="24"/>
        </w:rPr>
        <w:t>it</w:t>
      </w:r>
      <w:r w:rsidR="00586909" w:rsidRPr="00411AE0">
        <w:rPr>
          <w:rFonts w:ascii="Garamond" w:hAnsi="Garamond"/>
          <w:sz w:val="24"/>
          <w:szCs w:val="24"/>
        </w:rPr>
        <w:t xml:space="preserve"> represents a qualitative shift from earlier forms</w:t>
      </w:r>
      <w:r w:rsidR="00E14DC0">
        <w:rPr>
          <w:rFonts w:ascii="Garamond" w:hAnsi="Garamond"/>
          <w:sz w:val="24"/>
          <w:szCs w:val="24"/>
        </w:rPr>
        <w:t>,</w:t>
      </w:r>
      <w:r w:rsidR="00586909" w:rsidRPr="00411AE0">
        <w:rPr>
          <w:rStyle w:val="FootnoteReference"/>
          <w:rFonts w:ascii="Garamond" w:hAnsi="Garamond"/>
          <w:sz w:val="24"/>
          <w:szCs w:val="24"/>
        </w:rPr>
        <w:footnoteReference w:id="23"/>
      </w:r>
      <w:r w:rsidR="00586909" w:rsidRPr="00411AE0">
        <w:rPr>
          <w:rFonts w:ascii="Garamond" w:hAnsi="Garamond"/>
          <w:sz w:val="24"/>
          <w:szCs w:val="24"/>
        </w:rPr>
        <w:t xml:space="preserve"> </w:t>
      </w:r>
      <w:r w:rsidR="00D709AA" w:rsidRPr="00411AE0">
        <w:rPr>
          <w:rFonts w:ascii="Garamond" w:hAnsi="Garamond"/>
          <w:sz w:val="24"/>
          <w:szCs w:val="24"/>
        </w:rPr>
        <w:t xml:space="preserve">and is </w:t>
      </w:r>
      <w:r w:rsidR="00586909" w:rsidRPr="00411AE0">
        <w:rPr>
          <w:rFonts w:ascii="Garamond" w:hAnsi="Garamond"/>
          <w:sz w:val="24"/>
          <w:szCs w:val="24"/>
        </w:rPr>
        <w:t xml:space="preserve">a highly </w:t>
      </w:r>
      <w:r w:rsidR="005061AF" w:rsidRPr="00411AE0">
        <w:rPr>
          <w:rFonts w:ascii="Garamond" w:hAnsi="Garamond"/>
          <w:sz w:val="24"/>
          <w:szCs w:val="24"/>
        </w:rPr>
        <w:t>complex assemblage of ‘economic, social, political, cultural, religious and legal dimensions’,</w:t>
      </w:r>
      <w:r w:rsidR="005061AF" w:rsidRPr="00411AE0">
        <w:rPr>
          <w:rStyle w:val="FootnoteReference"/>
          <w:rFonts w:ascii="Garamond" w:hAnsi="Garamond"/>
          <w:sz w:val="24"/>
          <w:szCs w:val="24"/>
        </w:rPr>
        <w:footnoteReference w:id="24"/>
      </w:r>
      <w:r w:rsidR="005061AF" w:rsidRPr="00411AE0">
        <w:rPr>
          <w:rFonts w:ascii="Garamond" w:hAnsi="Garamond"/>
          <w:sz w:val="24"/>
          <w:szCs w:val="24"/>
        </w:rPr>
        <w:t xml:space="preserve"> </w:t>
      </w:r>
      <w:r w:rsidR="00586909" w:rsidRPr="00411AE0">
        <w:rPr>
          <w:rFonts w:ascii="Garamond" w:hAnsi="Garamond"/>
          <w:sz w:val="24"/>
          <w:szCs w:val="24"/>
        </w:rPr>
        <w:t>made up of a</w:t>
      </w:r>
      <w:r w:rsidR="005061AF" w:rsidRPr="00411AE0">
        <w:rPr>
          <w:rFonts w:ascii="Garamond" w:hAnsi="Garamond"/>
          <w:sz w:val="24"/>
          <w:szCs w:val="24"/>
        </w:rPr>
        <w:t xml:space="preserve"> diverse set of processes, events and developments, some of which may be contradictory</w:t>
      </w:r>
      <w:r w:rsidR="008D0D77" w:rsidRPr="00411AE0">
        <w:rPr>
          <w:rFonts w:ascii="Garamond" w:hAnsi="Garamond"/>
          <w:sz w:val="24"/>
          <w:szCs w:val="24"/>
        </w:rPr>
        <w:t>.</w:t>
      </w:r>
      <w:r w:rsidR="005061AF" w:rsidRPr="00411AE0">
        <w:rPr>
          <w:rStyle w:val="FootnoteReference"/>
          <w:rFonts w:ascii="Garamond" w:hAnsi="Garamond"/>
          <w:sz w:val="24"/>
          <w:szCs w:val="24"/>
        </w:rPr>
        <w:footnoteReference w:id="25"/>
      </w:r>
      <w:r w:rsidR="005061AF" w:rsidRPr="00411AE0">
        <w:rPr>
          <w:rFonts w:ascii="Garamond" w:hAnsi="Garamond"/>
          <w:sz w:val="24"/>
          <w:szCs w:val="24"/>
        </w:rPr>
        <w:t xml:space="preserve"> </w:t>
      </w:r>
      <w:r w:rsidR="008D0D77" w:rsidRPr="00411AE0">
        <w:rPr>
          <w:rFonts w:ascii="Garamond" w:hAnsi="Garamond"/>
          <w:sz w:val="24"/>
          <w:szCs w:val="24"/>
        </w:rPr>
        <w:t xml:space="preserve">For all this complexity, </w:t>
      </w:r>
      <w:r w:rsidR="005C3706" w:rsidRPr="00411AE0">
        <w:rPr>
          <w:rFonts w:ascii="Garamond" w:hAnsi="Garamond"/>
          <w:sz w:val="24"/>
          <w:szCs w:val="24"/>
        </w:rPr>
        <w:t xml:space="preserve">however, </w:t>
      </w:r>
      <w:r w:rsidR="00BD50BA" w:rsidRPr="00411AE0">
        <w:rPr>
          <w:rFonts w:ascii="Garamond" w:hAnsi="Garamond"/>
          <w:sz w:val="24"/>
          <w:szCs w:val="24"/>
        </w:rPr>
        <w:t>the ‘</w:t>
      </w:r>
      <w:r w:rsidR="00BD50BA" w:rsidRPr="00411AE0">
        <w:rPr>
          <w:rFonts w:ascii="Garamond" w:hAnsi="Garamond"/>
          <w:color w:val="000000"/>
          <w:sz w:val="24"/>
          <w:szCs w:val="24"/>
        </w:rPr>
        <w:t xml:space="preserve">collective impact of very heterogeneous actors, markets, capital flows, supranational organisations and so forth, each of which understands itself to be making decisions in its own interest on the basis of economic </w:t>
      </w:r>
      <w:r w:rsidR="00BD50BA" w:rsidRPr="00411AE0">
        <w:rPr>
          <w:rFonts w:ascii="Garamond" w:hAnsi="Garamond"/>
          <w:color w:val="000000"/>
          <w:sz w:val="24"/>
          <w:szCs w:val="24"/>
        </w:rPr>
        <w:lastRenderedPageBreak/>
        <w:t>considerations’</w:t>
      </w:r>
      <w:r w:rsidR="00BD50BA" w:rsidRPr="00411AE0">
        <w:rPr>
          <w:rStyle w:val="FootnoteReference"/>
          <w:rFonts w:ascii="Garamond" w:hAnsi="Garamond"/>
          <w:color w:val="000000"/>
          <w:sz w:val="24"/>
          <w:szCs w:val="24"/>
        </w:rPr>
        <w:footnoteReference w:id="26"/>
      </w:r>
      <w:r w:rsidR="00BD50BA" w:rsidRPr="00411AE0">
        <w:rPr>
          <w:rFonts w:ascii="Garamond" w:hAnsi="Garamond"/>
          <w:color w:val="000000"/>
          <w:sz w:val="24"/>
          <w:szCs w:val="24"/>
        </w:rPr>
        <w:t xml:space="preserve"> produces a high degree of ideological homogenisation—especially in the policy choices of governments.</w:t>
      </w:r>
      <w:r w:rsidR="00BD50BA" w:rsidRPr="00411AE0">
        <w:rPr>
          <w:rStyle w:val="FootnoteReference"/>
          <w:rFonts w:ascii="Garamond" w:hAnsi="Garamond"/>
          <w:color w:val="000000"/>
          <w:sz w:val="24"/>
          <w:szCs w:val="24"/>
        </w:rPr>
        <w:footnoteReference w:id="27"/>
      </w:r>
      <w:r w:rsidR="000A54B7" w:rsidRPr="00411AE0">
        <w:rPr>
          <w:rFonts w:ascii="Garamond" w:hAnsi="Garamond"/>
          <w:sz w:val="24"/>
          <w:szCs w:val="24"/>
        </w:rPr>
        <w:br/>
        <w:t xml:space="preserve"> </w:t>
      </w:r>
      <w:r w:rsidR="000A54B7" w:rsidRPr="00411AE0">
        <w:rPr>
          <w:rFonts w:ascii="Garamond" w:hAnsi="Garamond"/>
          <w:sz w:val="24"/>
          <w:szCs w:val="24"/>
        </w:rPr>
        <w:tab/>
      </w:r>
      <w:r w:rsidR="00A52B99" w:rsidRPr="00411AE0">
        <w:rPr>
          <w:rFonts w:ascii="Garamond" w:hAnsi="Garamond"/>
          <w:sz w:val="24"/>
          <w:szCs w:val="24"/>
        </w:rPr>
        <w:t xml:space="preserve">Such homogenisation </w:t>
      </w:r>
      <w:r w:rsidR="00EE4DEF" w:rsidRPr="00411AE0">
        <w:rPr>
          <w:rFonts w:ascii="Garamond" w:hAnsi="Garamond"/>
          <w:sz w:val="24"/>
          <w:szCs w:val="24"/>
        </w:rPr>
        <w:t>has been</w:t>
      </w:r>
      <w:r w:rsidR="00A52B99" w:rsidRPr="00411AE0">
        <w:rPr>
          <w:rFonts w:ascii="Garamond" w:hAnsi="Garamond"/>
          <w:sz w:val="24"/>
          <w:szCs w:val="24"/>
        </w:rPr>
        <w:t xml:space="preserve"> particularly marked </w:t>
      </w:r>
      <w:r w:rsidR="00151B3B" w:rsidRPr="00411AE0">
        <w:rPr>
          <w:rFonts w:ascii="Garamond" w:hAnsi="Garamond"/>
          <w:sz w:val="24"/>
          <w:szCs w:val="24"/>
        </w:rPr>
        <w:t>since</w:t>
      </w:r>
      <w:r w:rsidR="003E0BB6" w:rsidRPr="00411AE0">
        <w:rPr>
          <w:rFonts w:ascii="Garamond" w:hAnsi="Garamond"/>
          <w:sz w:val="24"/>
          <w:szCs w:val="24"/>
        </w:rPr>
        <w:t xml:space="preserve"> the collapse of the Soviet Union</w:t>
      </w:r>
      <w:r w:rsidR="00151B3B" w:rsidRPr="00411AE0">
        <w:rPr>
          <w:rFonts w:ascii="Garamond" w:hAnsi="Garamond"/>
          <w:sz w:val="24"/>
          <w:szCs w:val="24"/>
        </w:rPr>
        <w:t xml:space="preserve"> in the late 1980s</w:t>
      </w:r>
      <w:r w:rsidR="00723CF4" w:rsidRPr="00411AE0">
        <w:rPr>
          <w:rFonts w:ascii="Garamond" w:hAnsi="Garamond"/>
          <w:sz w:val="24"/>
          <w:szCs w:val="24"/>
        </w:rPr>
        <w:t>. Market-</w:t>
      </w:r>
      <w:r w:rsidR="00F77670" w:rsidRPr="00411AE0">
        <w:rPr>
          <w:rFonts w:ascii="Garamond" w:hAnsi="Garamond"/>
          <w:sz w:val="24"/>
          <w:szCs w:val="24"/>
        </w:rPr>
        <w:t xml:space="preserve">driven </w:t>
      </w:r>
      <w:r w:rsidR="0023727E" w:rsidRPr="00411AE0">
        <w:rPr>
          <w:rFonts w:ascii="Garamond" w:hAnsi="Garamond"/>
          <w:sz w:val="24"/>
          <w:szCs w:val="24"/>
        </w:rPr>
        <w:t xml:space="preserve">ideology </w:t>
      </w:r>
      <w:r w:rsidR="00F77670" w:rsidRPr="00411AE0">
        <w:rPr>
          <w:rFonts w:ascii="Garamond" w:hAnsi="Garamond"/>
          <w:sz w:val="24"/>
          <w:szCs w:val="24"/>
        </w:rPr>
        <w:t xml:space="preserve">has </w:t>
      </w:r>
      <w:r w:rsidR="0023727E" w:rsidRPr="00411AE0">
        <w:rPr>
          <w:rFonts w:ascii="Garamond" w:hAnsi="Garamond"/>
          <w:sz w:val="24"/>
          <w:szCs w:val="24"/>
        </w:rPr>
        <w:t>extended</w:t>
      </w:r>
      <w:r w:rsidR="00F77670" w:rsidRPr="00411AE0">
        <w:rPr>
          <w:rFonts w:ascii="Garamond" w:hAnsi="Garamond"/>
          <w:sz w:val="24"/>
          <w:szCs w:val="24"/>
        </w:rPr>
        <w:t xml:space="preserve"> liberal capitalism into a system of global reach favouring </w:t>
      </w:r>
      <w:r w:rsidR="0023727E" w:rsidRPr="00411AE0">
        <w:rPr>
          <w:rFonts w:ascii="Garamond" w:hAnsi="Garamond"/>
          <w:sz w:val="24"/>
          <w:szCs w:val="24"/>
        </w:rPr>
        <w:t>a</w:t>
      </w:r>
      <w:r w:rsidR="007E4C0E" w:rsidRPr="00411AE0">
        <w:rPr>
          <w:rFonts w:ascii="Garamond" w:hAnsi="Garamond"/>
          <w:sz w:val="24"/>
          <w:szCs w:val="24"/>
        </w:rPr>
        <w:t xml:space="preserve"> uniquely</w:t>
      </w:r>
      <w:r w:rsidR="0023727E" w:rsidRPr="00411AE0">
        <w:rPr>
          <w:rFonts w:ascii="Garamond" w:hAnsi="Garamond"/>
          <w:sz w:val="24"/>
          <w:szCs w:val="24"/>
        </w:rPr>
        <w:t xml:space="preserve"> </w:t>
      </w:r>
      <w:r w:rsidR="004E2454" w:rsidRPr="00411AE0">
        <w:rPr>
          <w:rFonts w:ascii="Garamond" w:hAnsi="Garamond"/>
          <w:sz w:val="24"/>
          <w:szCs w:val="24"/>
        </w:rPr>
        <w:t>privileged</w:t>
      </w:r>
      <w:r w:rsidR="00FE20F4" w:rsidRPr="00411AE0">
        <w:rPr>
          <w:rFonts w:ascii="Garamond" w:hAnsi="Garamond"/>
          <w:sz w:val="24"/>
          <w:szCs w:val="24"/>
        </w:rPr>
        <w:t xml:space="preserve"> dominant</w:t>
      </w:r>
      <w:r w:rsidR="005C3706" w:rsidRPr="00411AE0">
        <w:rPr>
          <w:rFonts w:ascii="Garamond" w:hAnsi="Garamond"/>
          <w:sz w:val="24"/>
          <w:szCs w:val="24"/>
        </w:rPr>
        <w:t xml:space="preserve"> </w:t>
      </w:r>
      <w:r w:rsidR="00F77670" w:rsidRPr="00411AE0">
        <w:rPr>
          <w:rFonts w:ascii="Garamond" w:hAnsi="Garamond"/>
          <w:sz w:val="24"/>
          <w:szCs w:val="24"/>
        </w:rPr>
        <w:t>agent</w:t>
      </w:r>
      <w:r w:rsidR="0023727E" w:rsidRPr="00411AE0">
        <w:rPr>
          <w:rFonts w:ascii="Garamond" w:hAnsi="Garamond"/>
          <w:sz w:val="24"/>
          <w:szCs w:val="24"/>
        </w:rPr>
        <w:t>—</w:t>
      </w:r>
      <w:r w:rsidR="00F77670" w:rsidRPr="00411AE0">
        <w:rPr>
          <w:rFonts w:ascii="Garamond" w:hAnsi="Garamond"/>
          <w:sz w:val="24"/>
          <w:szCs w:val="24"/>
        </w:rPr>
        <w:t xml:space="preserve">the </w:t>
      </w:r>
      <w:r w:rsidR="00BE709B" w:rsidRPr="00411AE0">
        <w:rPr>
          <w:rFonts w:ascii="Garamond" w:hAnsi="Garamond"/>
          <w:sz w:val="24"/>
          <w:szCs w:val="24"/>
        </w:rPr>
        <w:t>TNC</w:t>
      </w:r>
      <w:r w:rsidR="005304FB" w:rsidRPr="00411AE0">
        <w:rPr>
          <w:rFonts w:ascii="Garamond" w:hAnsi="Garamond"/>
          <w:sz w:val="24"/>
          <w:szCs w:val="24"/>
        </w:rPr>
        <w:t>.</w:t>
      </w:r>
      <w:r w:rsidR="003A3B33" w:rsidRPr="00411AE0">
        <w:rPr>
          <w:rStyle w:val="FootnoteReference"/>
          <w:rFonts w:ascii="Garamond" w:hAnsi="Garamond"/>
          <w:sz w:val="24"/>
          <w:szCs w:val="24"/>
        </w:rPr>
        <w:footnoteReference w:id="28"/>
      </w:r>
      <w:r w:rsidR="00F77670" w:rsidRPr="00411AE0">
        <w:rPr>
          <w:rFonts w:ascii="Garamond" w:hAnsi="Garamond"/>
          <w:sz w:val="24"/>
          <w:szCs w:val="24"/>
        </w:rPr>
        <w:t xml:space="preserve"> </w:t>
      </w:r>
      <w:r w:rsidR="006D3430" w:rsidRPr="00411AE0">
        <w:rPr>
          <w:rFonts w:ascii="Garamond" w:hAnsi="Garamond"/>
          <w:sz w:val="24"/>
          <w:szCs w:val="24"/>
        </w:rPr>
        <w:t>TNC</w:t>
      </w:r>
      <w:r w:rsidR="00393BAC">
        <w:rPr>
          <w:rFonts w:ascii="Garamond" w:hAnsi="Garamond"/>
          <w:sz w:val="24"/>
          <w:szCs w:val="24"/>
        </w:rPr>
        <w:t xml:space="preserve"> dominance is so marked that</w:t>
      </w:r>
      <w:r w:rsidR="006C4A33" w:rsidRPr="00411AE0">
        <w:rPr>
          <w:rFonts w:ascii="Garamond" w:hAnsi="Garamond"/>
          <w:sz w:val="24"/>
          <w:szCs w:val="24"/>
        </w:rPr>
        <w:t xml:space="preserve"> </w:t>
      </w:r>
      <w:r w:rsidR="00393BAC">
        <w:rPr>
          <w:rFonts w:ascii="Garamond" w:hAnsi="Garamond"/>
          <w:sz w:val="24"/>
          <w:szCs w:val="24"/>
        </w:rPr>
        <w:t xml:space="preserve">some </w:t>
      </w:r>
      <w:r w:rsidR="006C4A33" w:rsidRPr="00411AE0">
        <w:rPr>
          <w:rFonts w:ascii="Garamond" w:hAnsi="Garamond"/>
          <w:sz w:val="24"/>
          <w:szCs w:val="24"/>
        </w:rPr>
        <w:t xml:space="preserve">scholars </w:t>
      </w:r>
      <w:r w:rsidR="00393BAC">
        <w:rPr>
          <w:rFonts w:ascii="Garamond" w:hAnsi="Garamond"/>
          <w:sz w:val="24"/>
          <w:szCs w:val="24"/>
        </w:rPr>
        <w:t xml:space="preserve">identify </w:t>
      </w:r>
      <w:r w:rsidR="000A4A18">
        <w:rPr>
          <w:rFonts w:ascii="Garamond" w:hAnsi="Garamond"/>
          <w:sz w:val="24"/>
          <w:szCs w:val="24"/>
        </w:rPr>
        <w:t>it</w:t>
      </w:r>
      <w:r w:rsidR="00393BAC">
        <w:rPr>
          <w:rFonts w:ascii="Garamond" w:hAnsi="Garamond"/>
          <w:sz w:val="24"/>
          <w:szCs w:val="24"/>
        </w:rPr>
        <w:t xml:space="preserve"> as globalisation’s</w:t>
      </w:r>
      <w:r w:rsidR="00393BAC" w:rsidRPr="00411AE0">
        <w:rPr>
          <w:rFonts w:ascii="Garamond" w:hAnsi="Garamond"/>
          <w:sz w:val="24"/>
          <w:szCs w:val="24"/>
        </w:rPr>
        <w:t xml:space="preserve"> </w:t>
      </w:r>
      <w:r w:rsidR="006D3430" w:rsidRPr="00411AE0">
        <w:rPr>
          <w:rFonts w:ascii="Garamond" w:hAnsi="Garamond"/>
          <w:sz w:val="24"/>
          <w:szCs w:val="24"/>
        </w:rPr>
        <w:t>defining characteristic.</w:t>
      </w:r>
      <w:r w:rsidR="006D3430" w:rsidRPr="00411AE0">
        <w:rPr>
          <w:rStyle w:val="FootnoteReference"/>
          <w:rFonts w:ascii="Garamond" w:hAnsi="Garamond"/>
          <w:sz w:val="24"/>
          <w:szCs w:val="24"/>
        </w:rPr>
        <w:footnoteReference w:id="29"/>
      </w:r>
      <w:r w:rsidR="006C4A33" w:rsidRPr="00411AE0">
        <w:rPr>
          <w:rFonts w:ascii="Garamond" w:hAnsi="Garamond"/>
          <w:sz w:val="24"/>
          <w:szCs w:val="24"/>
        </w:rPr>
        <w:t xml:space="preserve"> </w:t>
      </w:r>
      <w:r w:rsidR="00EE0297" w:rsidRPr="00411AE0">
        <w:rPr>
          <w:rFonts w:ascii="Garamond" w:hAnsi="Garamond"/>
          <w:sz w:val="24"/>
          <w:szCs w:val="24"/>
        </w:rPr>
        <w:t xml:space="preserve">Indeed, </w:t>
      </w:r>
      <w:r w:rsidR="00CB5568" w:rsidRPr="00411AE0">
        <w:rPr>
          <w:rFonts w:ascii="Garamond" w:hAnsi="Garamond"/>
          <w:sz w:val="24"/>
          <w:szCs w:val="24"/>
        </w:rPr>
        <w:t xml:space="preserve">some scholars </w:t>
      </w:r>
      <w:r w:rsidR="00091ABC">
        <w:rPr>
          <w:rFonts w:ascii="Garamond" w:hAnsi="Garamond"/>
          <w:sz w:val="24"/>
          <w:szCs w:val="24"/>
        </w:rPr>
        <w:t>now</w:t>
      </w:r>
      <w:r w:rsidR="004C0EC3" w:rsidRPr="00411AE0">
        <w:rPr>
          <w:rFonts w:ascii="Garamond" w:hAnsi="Garamond"/>
          <w:sz w:val="24"/>
          <w:szCs w:val="24"/>
        </w:rPr>
        <w:t xml:space="preserve"> </w:t>
      </w:r>
      <w:r w:rsidR="006C4A33" w:rsidRPr="00411AE0">
        <w:rPr>
          <w:rFonts w:ascii="Garamond" w:hAnsi="Garamond"/>
          <w:sz w:val="24"/>
          <w:szCs w:val="24"/>
        </w:rPr>
        <w:t>identify the</w:t>
      </w:r>
      <w:r w:rsidR="00CB5568" w:rsidRPr="00411AE0">
        <w:rPr>
          <w:rFonts w:ascii="Garamond" w:hAnsi="Garamond"/>
          <w:sz w:val="24"/>
          <w:szCs w:val="24"/>
        </w:rPr>
        <w:t xml:space="preserve"> existence</w:t>
      </w:r>
      <w:r w:rsidR="006C4A33" w:rsidRPr="00411AE0">
        <w:rPr>
          <w:rFonts w:ascii="Garamond" w:hAnsi="Garamond"/>
          <w:sz w:val="24"/>
          <w:szCs w:val="24"/>
        </w:rPr>
        <w:t xml:space="preserve"> of</w:t>
      </w:r>
      <w:r w:rsidR="00CB5568" w:rsidRPr="00411AE0">
        <w:rPr>
          <w:rFonts w:ascii="Garamond" w:hAnsi="Garamond"/>
          <w:sz w:val="24"/>
          <w:szCs w:val="24"/>
        </w:rPr>
        <w:t xml:space="preserve"> a </w:t>
      </w:r>
      <w:r w:rsidR="00CB5568" w:rsidRPr="00411AE0">
        <w:rPr>
          <w:rFonts w:ascii="Garamond" w:hAnsi="Garamond"/>
          <w:i/>
          <w:sz w:val="24"/>
          <w:szCs w:val="24"/>
        </w:rPr>
        <w:t>de facto</w:t>
      </w:r>
      <w:r w:rsidR="00CB5568" w:rsidRPr="00411AE0">
        <w:rPr>
          <w:rFonts w:ascii="Garamond" w:hAnsi="Garamond"/>
          <w:sz w:val="24"/>
          <w:szCs w:val="24"/>
        </w:rPr>
        <w:t xml:space="preserve"> global constitution for corporate capital</w:t>
      </w:r>
      <w:r w:rsidR="00CB5568" w:rsidRPr="00411AE0">
        <w:rPr>
          <w:rStyle w:val="FootnoteReference"/>
          <w:rFonts w:ascii="Garamond" w:hAnsi="Garamond"/>
          <w:sz w:val="24"/>
          <w:szCs w:val="24"/>
        </w:rPr>
        <w:footnoteReference w:id="30"/>
      </w:r>
      <w:r w:rsidR="00BE709B" w:rsidRPr="00411AE0">
        <w:rPr>
          <w:rFonts w:ascii="Garamond" w:hAnsi="Garamond"/>
          <w:sz w:val="24"/>
          <w:szCs w:val="24"/>
        </w:rPr>
        <w:t xml:space="preserve"> </w:t>
      </w:r>
      <w:r w:rsidR="00F920E9" w:rsidRPr="00411AE0">
        <w:rPr>
          <w:rFonts w:ascii="Garamond" w:hAnsi="Garamond"/>
          <w:sz w:val="24"/>
          <w:szCs w:val="24"/>
        </w:rPr>
        <w:t xml:space="preserve">in the form of </w:t>
      </w:r>
      <w:r w:rsidR="00BE709B" w:rsidRPr="00411AE0">
        <w:rPr>
          <w:rFonts w:ascii="Garamond" w:hAnsi="Garamond"/>
          <w:sz w:val="24"/>
          <w:szCs w:val="24"/>
        </w:rPr>
        <w:t>a ‘new (global) constitutionalism’</w:t>
      </w:r>
      <w:r w:rsidR="0070542A" w:rsidRPr="00411AE0">
        <w:rPr>
          <w:rFonts w:ascii="Garamond" w:hAnsi="Garamond"/>
          <w:sz w:val="24"/>
          <w:szCs w:val="24"/>
        </w:rPr>
        <w:t>.</w:t>
      </w:r>
      <w:r w:rsidR="00894094" w:rsidRPr="00411AE0">
        <w:rPr>
          <w:rStyle w:val="FootnoteReference"/>
          <w:rFonts w:ascii="Garamond" w:hAnsi="Garamond"/>
          <w:sz w:val="24"/>
          <w:szCs w:val="24"/>
        </w:rPr>
        <w:footnoteReference w:id="31"/>
      </w:r>
      <w:r w:rsidR="00E21ADB" w:rsidRPr="00411AE0">
        <w:rPr>
          <w:rFonts w:ascii="Garamond" w:hAnsi="Garamond"/>
          <w:sz w:val="24"/>
          <w:szCs w:val="24"/>
        </w:rPr>
        <w:t xml:space="preserve"> </w:t>
      </w:r>
      <w:r w:rsidR="0070542A" w:rsidRPr="00411AE0">
        <w:rPr>
          <w:rFonts w:ascii="Garamond" w:hAnsi="Garamond"/>
          <w:sz w:val="24"/>
          <w:szCs w:val="24"/>
        </w:rPr>
        <w:t xml:space="preserve">This is </w:t>
      </w:r>
      <w:r w:rsidR="0023727E" w:rsidRPr="00411AE0">
        <w:rPr>
          <w:rFonts w:ascii="Garamond" w:hAnsi="Garamond"/>
          <w:sz w:val="24"/>
          <w:szCs w:val="24"/>
        </w:rPr>
        <w:t xml:space="preserve">an order </w:t>
      </w:r>
      <w:r w:rsidR="00636537">
        <w:rPr>
          <w:rFonts w:ascii="Garamond" w:hAnsi="Garamond"/>
          <w:sz w:val="24"/>
          <w:szCs w:val="24"/>
        </w:rPr>
        <w:t xml:space="preserve">of power </w:t>
      </w:r>
      <w:r w:rsidR="0023727E" w:rsidRPr="00411AE0">
        <w:rPr>
          <w:rFonts w:ascii="Garamond" w:hAnsi="Garamond"/>
          <w:sz w:val="24"/>
          <w:szCs w:val="24"/>
        </w:rPr>
        <w:t>in which nation</w:t>
      </w:r>
      <w:r w:rsidR="00F920E9" w:rsidRPr="00411AE0">
        <w:rPr>
          <w:rFonts w:ascii="Garamond" w:hAnsi="Garamond"/>
          <w:sz w:val="24"/>
          <w:szCs w:val="24"/>
        </w:rPr>
        <w:t>-</w:t>
      </w:r>
      <w:r w:rsidR="006C4A33" w:rsidRPr="00411AE0">
        <w:rPr>
          <w:rFonts w:ascii="Garamond" w:hAnsi="Garamond"/>
          <w:sz w:val="24"/>
          <w:szCs w:val="24"/>
        </w:rPr>
        <w:t>s</w:t>
      </w:r>
      <w:r w:rsidR="00E21ADB" w:rsidRPr="00411AE0">
        <w:rPr>
          <w:rFonts w:ascii="Garamond" w:hAnsi="Garamond"/>
          <w:sz w:val="24"/>
          <w:szCs w:val="24"/>
        </w:rPr>
        <w:t>tates are assessed as</w:t>
      </w:r>
      <w:r w:rsidR="006C4A33" w:rsidRPr="00411AE0">
        <w:rPr>
          <w:rFonts w:ascii="Garamond" w:hAnsi="Garamond"/>
          <w:sz w:val="24"/>
          <w:szCs w:val="24"/>
        </w:rPr>
        <w:t xml:space="preserve"> </w:t>
      </w:r>
      <w:r w:rsidR="00E21ADB" w:rsidRPr="00411AE0">
        <w:rPr>
          <w:rFonts w:ascii="Garamond" w:hAnsi="Garamond"/>
          <w:sz w:val="24"/>
          <w:szCs w:val="24"/>
        </w:rPr>
        <w:t xml:space="preserve">‘good’ or ‘bad’ on the basis of whether </w:t>
      </w:r>
      <w:r w:rsidR="0077229E" w:rsidRPr="00411AE0">
        <w:rPr>
          <w:rFonts w:ascii="Garamond" w:hAnsi="Garamond"/>
          <w:sz w:val="24"/>
          <w:szCs w:val="24"/>
        </w:rPr>
        <w:t xml:space="preserve">or not they </w:t>
      </w:r>
      <w:r w:rsidR="00F920E9" w:rsidRPr="00411AE0">
        <w:rPr>
          <w:rFonts w:ascii="Garamond" w:hAnsi="Garamond"/>
          <w:sz w:val="24"/>
          <w:szCs w:val="24"/>
        </w:rPr>
        <w:t>are favourable</w:t>
      </w:r>
      <w:r w:rsidR="00E21ADB" w:rsidRPr="00411AE0">
        <w:rPr>
          <w:rFonts w:ascii="Garamond" w:hAnsi="Garamond"/>
          <w:sz w:val="24"/>
          <w:szCs w:val="24"/>
        </w:rPr>
        <w:t xml:space="preserve"> </w:t>
      </w:r>
      <w:r w:rsidR="006C4A33" w:rsidRPr="00411AE0">
        <w:rPr>
          <w:rFonts w:ascii="Garamond" w:hAnsi="Garamond"/>
          <w:sz w:val="24"/>
          <w:szCs w:val="24"/>
        </w:rPr>
        <w:t>‘</w:t>
      </w:r>
      <w:r w:rsidR="00E21ADB" w:rsidRPr="00411AE0">
        <w:rPr>
          <w:rFonts w:ascii="Garamond" w:hAnsi="Garamond"/>
          <w:sz w:val="24"/>
          <w:szCs w:val="24"/>
        </w:rPr>
        <w:t xml:space="preserve">host states for </w:t>
      </w:r>
      <w:r w:rsidR="0023727E" w:rsidRPr="00411AE0">
        <w:rPr>
          <w:rFonts w:ascii="Garamond" w:hAnsi="Garamond"/>
          <w:sz w:val="24"/>
          <w:szCs w:val="24"/>
        </w:rPr>
        <w:t xml:space="preserve">global </w:t>
      </w:r>
      <w:r w:rsidR="00E21ADB" w:rsidRPr="00411AE0">
        <w:rPr>
          <w:rFonts w:ascii="Garamond" w:hAnsi="Garamond"/>
          <w:sz w:val="24"/>
          <w:szCs w:val="24"/>
        </w:rPr>
        <w:t>capital</w:t>
      </w:r>
      <w:r w:rsidR="006C4A33" w:rsidRPr="00411AE0">
        <w:rPr>
          <w:rFonts w:ascii="Garamond" w:hAnsi="Garamond"/>
          <w:sz w:val="24"/>
          <w:szCs w:val="24"/>
        </w:rPr>
        <w:t>’</w:t>
      </w:r>
      <w:r w:rsidR="0023727E" w:rsidRPr="00411AE0">
        <w:rPr>
          <w:rFonts w:ascii="Garamond" w:hAnsi="Garamond"/>
          <w:sz w:val="24"/>
          <w:szCs w:val="24"/>
        </w:rPr>
        <w:t xml:space="preserve">—an assessment reflecting the ascendancy of a </w:t>
      </w:r>
      <w:r w:rsidR="00E21ADB" w:rsidRPr="00411AE0">
        <w:rPr>
          <w:rFonts w:ascii="Garamond" w:hAnsi="Garamond"/>
          <w:sz w:val="24"/>
          <w:szCs w:val="24"/>
        </w:rPr>
        <w:t xml:space="preserve">virulent market ‘morality’ </w:t>
      </w:r>
      <w:r w:rsidR="00582C5C" w:rsidRPr="00411AE0">
        <w:rPr>
          <w:rFonts w:ascii="Garamond" w:hAnsi="Garamond"/>
          <w:sz w:val="24"/>
          <w:szCs w:val="24"/>
        </w:rPr>
        <w:t xml:space="preserve">that has overwhelmed </w:t>
      </w:r>
      <w:r w:rsidR="00E21ADB" w:rsidRPr="00411AE0">
        <w:rPr>
          <w:rFonts w:ascii="Garamond" w:hAnsi="Garamond"/>
          <w:sz w:val="24"/>
          <w:szCs w:val="24"/>
        </w:rPr>
        <w:t xml:space="preserve">older notions </w:t>
      </w:r>
      <w:r w:rsidR="006C4A33" w:rsidRPr="00411AE0">
        <w:rPr>
          <w:rFonts w:ascii="Garamond" w:hAnsi="Garamond"/>
          <w:sz w:val="24"/>
          <w:szCs w:val="24"/>
        </w:rPr>
        <w:t xml:space="preserve">and </w:t>
      </w:r>
      <w:r w:rsidR="0023727E" w:rsidRPr="00411AE0">
        <w:rPr>
          <w:rFonts w:ascii="Garamond" w:hAnsi="Garamond"/>
          <w:sz w:val="24"/>
          <w:szCs w:val="24"/>
        </w:rPr>
        <w:t xml:space="preserve">measures </w:t>
      </w:r>
      <w:r w:rsidR="00E21ADB" w:rsidRPr="00411AE0">
        <w:rPr>
          <w:rFonts w:ascii="Garamond" w:hAnsi="Garamond"/>
          <w:sz w:val="24"/>
          <w:szCs w:val="24"/>
        </w:rPr>
        <w:t xml:space="preserve">of state responsibility and </w:t>
      </w:r>
      <w:r w:rsidR="006C4A33" w:rsidRPr="00411AE0">
        <w:rPr>
          <w:rFonts w:ascii="Garamond" w:hAnsi="Garamond"/>
          <w:sz w:val="24"/>
          <w:szCs w:val="24"/>
        </w:rPr>
        <w:t>conduct</w:t>
      </w:r>
      <w:r w:rsidR="00E21ADB" w:rsidRPr="00411AE0">
        <w:rPr>
          <w:rFonts w:ascii="Garamond" w:hAnsi="Garamond"/>
          <w:sz w:val="24"/>
          <w:szCs w:val="24"/>
        </w:rPr>
        <w:t>.</w:t>
      </w:r>
      <w:r w:rsidR="00E21ADB" w:rsidRPr="00411AE0">
        <w:rPr>
          <w:rStyle w:val="FootnoteReference"/>
          <w:rFonts w:ascii="Garamond" w:hAnsi="Garamond"/>
          <w:sz w:val="24"/>
          <w:szCs w:val="24"/>
        </w:rPr>
        <w:footnoteReference w:id="32"/>
      </w:r>
      <w:r w:rsidR="004C0EC3" w:rsidRPr="00411AE0">
        <w:rPr>
          <w:rFonts w:ascii="Garamond" w:hAnsi="Garamond"/>
          <w:sz w:val="24"/>
          <w:szCs w:val="24"/>
        </w:rPr>
        <w:t xml:space="preserve"> </w:t>
      </w:r>
      <w:r w:rsidR="00422EF1">
        <w:rPr>
          <w:rFonts w:ascii="Garamond" w:hAnsi="Garamond"/>
          <w:sz w:val="24"/>
          <w:szCs w:val="24"/>
        </w:rPr>
        <w:t>Moreover</w:t>
      </w:r>
      <w:r w:rsidR="00091ABC">
        <w:rPr>
          <w:rFonts w:ascii="Garamond" w:hAnsi="Garamond"/>
          <w:sz w:val="24"/>
          <w:szCs w:val="24"/>
        </w:rPr>
        <w:t>, a</w:t>
      </w:r>
      <w:r w:rsidR="007E5546" w:rsidRPr="00411AE0">
        <w:rPr>
          <w:rFonts w:ascii="Garamond" w:hAnsi="Garamond"/>
          <w:sz w:val="24"/>
          <w:szCs w:val="24"/>
        </w:rPr>
        <w:t xml:space="preserve">s </w:t>
      </w:r>
      <w:r w:rsidR="004C0EC3" w:rsidRPr="00411AE0">
        <w:rPr>
          <w:rFonts w:ascii="Garamond" w:hAnsi="Garamond"/>
          <w:sz w:val="24"/>
          <w:szCs w:val="24"/>
        </w:rPr>
        <w:t xml:space="preserve">Baxi </w:t>
      </w:r>
      <w:r w:rsidR="007E5546" w:rsidRPr="00411AE0">
        <w:rPr>
          <w:rFonts w:ascii="Garamond" w:hAnsi="Garamond"/>
          <w:sz w:val="24"/>
          <w:szCs w:val="24"/>
        </w:rPr>
        <w:t xml:space="preserve">points out, the </w:t>
      </w:r>
      <w:r w:rsidR="004C0EC3" w:rsidRPr="00411AE0">
        <w:rPr>
          <w:rFonts w:ascii="Garamond" w:hAnsi="Garamond"/>
          <w:color w:val="000000"/>
          <w:sz w:val="24"/>
          <w:szCs w:val="24"/>
        </w:rPr>
        <w:t>much-discussed ‘end of the nation-state’</w:t>
      </w:r>
      <w:r w:rsidR="007E5546" w:rsidRPr="00411AE0">
        <w:rPr>
          <w:rFonts w:ascii="Garamond" w:hAnsi="Garamond"/>
          <w:color w:val="000000"/>
          <w:sz w:val="24"/>
          <w:szCs w:val="24"/>
        </w:rPr>
        <w:t xml:space="preserve"> thematic in discussions of globalisation really only means the </w:t>
      </w:r>
      <w:r w:rsidR="004C0EC3" w:rsidRPr="00411AE0">
        <w:rPr>
          <w:rFonts w:ascii="Garamond" w:hAnsi="Garamond"/>
          <w:color w:val="000000"/>
          <w:sz w:val="24"/>
          <w:szCs w:val="24"/>
        </w:rPr>
        <w:t xml:space="preserve">end of the </w:t>
      </w:r>
      <w:r w:rsidR="004C0EC3" w:rsidRPr="00411AE0">
        <w:rPr>
          <w:rFonts w:ascii="Garamond" w:hAnsi="Garamond"/>
          <w:i/>
          <w:color w:val="000000"/>
          <w:sz w:val="24"/>
          <w:szCs w:val="24"/>
        </w:rPr>
        <w:t>‘</w:t>
      </w:r>
      <w:r w:rsidR="004C0EC3" w:rsidRPr="00B95701">
        <w:rPr>
          <w:rFonts w:ascii="Garamond" w:hAnsi="Garamond"/>
          <w:i/>
          <w:color w:val="000000"/>
          <w:sz w:val="24"/>
          <w:szCs w:val="24"/>
        </w:rPr>
        <w:t>re-distributive state</w:t>
      </w:r>
      <w:r w:rsidR="004C0EC3" w:rsidRPr="00411AE0">
        <w:rPr>
          <w:rFonts w:ascii="Garamond" w:hAnsi="Garamond"/>
          <w:color w:val="000000"/>
          <w:sz w:val="24"/>
          <w:szCs w:val="24"/>
        </w:rPr>
        <w:t xml:space="preserve">’, marking ‘in some important ways … the end of the processes and regimes of </w:t>
      </w:r>
      <w:r w:rsidR="004C0EC3" w:rsidRPr="00411AE0">
        <w:rPr>
          <w:rFonts w:ascii="Garamond" w:hAnsi="Garamond"/>
          <w:i/>
          <w:color w:val="000000"/>
          <w:sz w:val="24"/>
          <w:szCs w:val="24"/>
        </w:rPr>
        <w:t>human rights-oriented, redistributionist governance practices</w:t>
      </w:r>
      <w:r w:rsidR="004C0EC3" w:rsidRPr="00411AE0">
        <w:rPr>
          <w:rFonts w:ascii="Garamond" w:hAnsi="Garamond"/>
          <w:color w:val="000000"/>
          <w:sz w:val="24"/>
          <w:szCs w:val="24"/>
        </w:rPr>
        <w:t>’</w:t>
      </w:r>
      <w:r w:rsidR="007E5546" w:rsidRPr="00411AE0">
        <w:rPr>
          <w:rFonts w:ascii="Garamond" w:hAnsi="Garamond"/>
          <w:color w:val="000000"/>
          <w:sz w:val="24"/>
          <w:szCs w:val="24"/>
        </w:rPr>
        <w:t>.</w:t>
      </w:r>
      <w:r w:rsidR="004C0EC3" w:rsidRPr="00411AE0">
        <w:rPr>
          <w:rStyle w:val="FootnoteReference"/>
          <w:rFonts w:ascii="Garamond" w:hAnsi="Garamond"/>
          <w:color w:val="000000"/>
          <w:sz w:val="24"/>
          <w:szCs w:val="24"/>
        </w:rPr>
        <w:footnoteReference w:id="33"/>
      </w:r>
      <w:r w:rsidR="004C0EC3" w:rsidRPr="00411AE0">
        <w:rPr>
          <w:rFonts w:ascii="Garamond" w:hAnsi="Garamond"/>
          <w:color w:val="000000"/>
          <w:sz w:val="24"/>
          <w:szCs w:val="24"/>
        </w:rPr>
        <w:t xml:space="preserve"> </w:t>
      </w:r>
      <w:r w:rsidR="007E5546" w:rsidRPr="00636537">
        <w:rPr>
          <w:rFonts w:ascii="Garamond" w:hAnsi="Garamond"/>
          <w:color w:val="000000"/>
          <w:sz w:val="24"/>
          <w:szCs w:val="24"/>
        </w:rPr>
        <w:t xml:space="preserve">This is a situation in which </w:t>
      </w:r>
      <w:r w:rsidR="004C0EC3" w:rsidRPr="003C03FC">
        <w:rPr>
          <w:rFonts w:ascii="Garamond" w:hAnsi="Garamond"/>
          <w:color w:val="000000"/>
          <w:sz w:val="24"/>
          <w:szCs w:val="24"/>
        </w:rPr>
        <w:t>‘the state becomes a point, perhaps, not even a nodal one, in the network of intensified international economic relations in a “borderless world”’</w:t>
      </w:r>
      <w:r w:rsidR="009F5032" w:rsidRPr="00C17C5B">
        <w:rPr>
          <w:rFonts w:ascii="Garamond" w:hAnsi="Garamond"/>
          <w:color w:val="000000"/>
          <w:sz w:val="24"/>
          <w:szCs w:val="24"/>
        </w:rPr>
        <w:t xml:space="preserve"> </w:t>
      </w:r>
      <w:r w:rsidR="004C0EC3" w:rsidRPr="00C17C5B">
        <w:rPr>
          <w:rFonts w:ascii="Garamond" w:hAnsi="Garamond"/>
          <w:color w:val="000000"/>
          <w:sz w:val="24"/>
          <w:szCs w:val="24"/>
        </w:rPr>
        <w:t>for global capital</w:t>
      </w:r>
      <w:r w:rsidR="009F5032" w:rsidRPr="00C17C5B">
        <w:rPr>
          <w:rFonts w:ascii="Garamond" w:hAnsi="Garamond"/>
          <w:color w:val="000000"/>
          <w:sz w:val="24"/>
          <w:szCs w:val="24"/>
        </w:rPr>
        <w:t>.</w:t>
      </w:r>
      <w:r w:rsidR="009F5032" w:rsidRPr="00DC348A">
        <w:rPr>
          <w:rStyle w:val="FootnoteReference"/>
          <w:rFonts w:ascii="Garamond" w:hAnsi="Garamond"/>
          <w:color w:val="000000"/>
          <w:sz w:val="24"/>
          <w:szCs w:val="24"/>
        </w:rPr>
        <w:footnoteReference w:id="34"/>
      </w:r>
      <w:r w:rsidR="00636537" w:rsidRPr="00DC348A">
        <w:rPr>
          <w:rFonts w:ascii="Garamond" w:hAnsi="Garamond"/>
          <w:color w:val="000000"/>
          <w:sz w:val="24"/>
          <w:szCs w:val="24"/>
        </w:rPr>
        <w:t xml:space="preserve"> </w:t>
      </w:r>
      <w:r w:rsidR="0038569B" w:rsidRPr="00F605DD">
        <w:rPr>
          <w:rFonts w:ascii="Garamond" w:hAnsi="Garamond"/>
          <w:sz w:val="24"/>
          <w:szCs w:val="24"/>
        </w:rPr>
        <w:t>T</w:t>
      </w:r>
      <w:r w:rsidR="00413394" w:rsidRPr="00F605DD">
        <w:rPr>
          <w:rFonts w:ascii="Garamond" w:hAnsi="Garamond"/>
          <w:sz w:val="24"/>
          <w:szCs w:val="24"/>
        </w:rPr>
        <w:t xml:space="preserve">he </w:t>
      </w:r>
      <w:r w:rsidR="00582C5C" w:rsidRPr="00F605DD">
        <w:rPr>
          <w:rFonts w:ascii="Garamond" w:hAnsi="Garamond"/>
          <w:sz w:val="24"/>
          <w:szCs w:val="24"/>
        </w:rPr>
        <w:t>‘</w:t>
      </w:r>
      <w:r w:rsidR="00413394" w:rsidRPr="00F605DD">
        <w:rPr>
          <w:rFonts w:ascii="Garamond" w:hAnsi="Garamond"/>
          <w:sz w:val="24"/>
          <w:szCs w:val="24"/>
        </w:rPr>
        <w:t>new</w:t>
      </w:r>
      <w:r w:rsidR="00582C5C" w:rsidRPr="00F605DD">
        <w:rPr>
          <w:rFonts w:ascii="Garamond" w:hAnsi="Garamond"/>
          <w:sz w:val="24"/>
          <w:szCs w:val="24"/>
        </w:rPr>
        <w:t>’</w:t>
      </w:r>
      <w:r w:rsidR="00413394" w:rsidRPr="00F605DD">
        <w:rPr>
          <w:rFonts w:ascii="Garamond" w:hAnsi="Garamond"/>
          <w:sz w:val="24"/>
          <w:szCs w:val="24"/>
        </w:rPr>
        <w:t xml:space="preserve"> global constitutionalism</w:t>
      </w:r>
      <w:r w:rsidR="003C03FC">
        <w:rPr>
          <w:rFonts w:ascii="Garamond" w:hAnsi="Garamond"/>
          <w:sz w:val="24"/>
          <w:szCs w:val="24"/>
        </w:rPr>
        <w:t>—and its ‘borderless world for global capital’—</w:t>
      </w:r>
      <w:r w:rsidR="0038569B" w:rsidRPr="00F605DD">
        <w:rPr>
          <w:rFonts w:ascii="Garamond" w:hAnsi="Garamond"/>
          <w:sz w:val="24"/>
          <w:szCs w:val="24"/>
        </w:rPr>
        <w:t>is legible</w:t>
      </w:r>
      <w:r w:rsidR="007E5546" w:rsidRPr="00F605DD">
        <w:rPr>
          <w:rFonts w:ascii="Garamond" w:hAnsi="Garamond"/>
          <w:sz w:val="24"/>
          <w:szCs w:val="24"/>
        </w:rPr>
        <w:t xml:space="preserve">, however, </w:t>
      </w:r>
      <w:r w:rsidR="0038569B" w:rsidRPr="00F605DD">
        <w:rPr>
          <w:rFonts w:ascii="Garamond" w:hAnsi="Garamond"/>
          <w:sz w:val="24"/>
          <w:szCs w:val="24"/>
        </w:rPr>
        <w:t xml:space="preserve">as the </w:t>
      </w:r>
      <w:r w:rsidR="00217168" w:rsidRPr="00F605DD">
        <w:rPr>
          <w:rFonts w:ascii="Garamond" w:hAnsi="Garamond"/>
          <w:sz w:val="24"/>
          <w:szCs w:val="24"/>
        </w:rPr>
        <w:t xml:space="preserve">culmination </w:t>
      </w:r>
      <w:r w:rsidR="0038569B" w:rsidRPr="00F605DD">
        <w:rPr>
          <w:rFonts w:ascii="Garamond" w:hAnsi="Garamond"/>
          <w:sz w:val="24"/>
          <w:szCs w:val="24"/>
        </w:rPr>
        <w:t>of a pre-existing logic</w:t>
      </w:r>
      <w:r w:rsidR="0077229E" w:rsidRPr="00F605DD">
        <w:rPr>
          <w:rFonts w:ascii="Garamond" w:hAnsi="Garamond"/>
          <w:sz w:val="24"/>
          <w:szCs w:val="24"/>
        </w:rPr>
        <w:t xml:space="preserve">. </w:t>
      </w:r>
      <w:r w:rsidR="00391737">
        <w:rPr>
          <w:rFonts w:ascii="Garamond" w:hAnsi="Garamond"/>
          <w:sz w:val="24"/>
          <w:szCs w:val="24"/>
        </w:rPr>
        <w:t>It is possible to read n</w:t>
      </w:r>
      <w:r w:rsidR="00EB66D9" w:rsidRPr="00F605DD">
        <w:rPr>
          <w:rFonts w:ascii="Garamond" w:hAnsi="Garamond"/>
          <w:sz w:val="24"/>
          <w:szCs w:val="24"/>
        </w:rPr>
        <w:t>eoliberal globalisation</w:t>
      </w:r>
      <w:r w:rsidR="00413394" w:rsidRPr="00F605DD">
        <w:rPr>
          <w:rFonts w:ascii="Garamond" w:hAnsi="Garamond"/>
          <w:sz w:val="24"/>
          <w:szCs w:val="24"/>
        </w:rPr>
        <w:t xml:space="preserve"> </w:t>
      </w:r>
      <w:r w:rsidR="00C626EC">
        <w:rPr>
          <w:rFonts w:ascii="Garamond" w:hAnsi="Garamond"/>
          <w:sz w:val="24"/>
          <w:szCs w:val="24"/>
        </w:rPr>
        <w:t xml:space="preserve">as </w:t>
      </w:r>
      <w:r w:rsidR="00EB66D9" w:rsidRPr="00F605DD">
        <w:rPr>
          <w:rFonts w:ascii="Garamond" w:hAnsi="Garamond"/>
          <w:sz w:val="24"/>
          <w:szCs w:val="24"/>
        </w:rPr>
        <w:t xml:space="preserve">a </w:t>
      </w:r>
      <w:r w:rsidR="00EA152D" w:rsidRPr="00F605DD">
        <w:rPr>
          <w:rFonts w:ascii="Garamond" w:hAnsi="Garamond"/>
          <w:sz w:val="24"/>
          <w:szCs w:val="24"/>
        </w:rPr>
        <w:t xml:space="preserve">fundamentally </w:t>
      </w:r>
      <w:r w:rsidR="00EB66D9" w:rsidRPr="00F605DD">
        <w:rPr>
          <w:rFonts w:ascii="Garamond" w:hAnsi="Garamond"/>
          <w:sz w:val="24"/>
          <w:szCs w:val="24"/>
        </w:rPr>
        <w:t>neo</w:t>
      </w:r>
      <w:r w:rsidR="00C872A1" w:rsidRPr="00F605DD">
        <w:rPr>
          <w:rFonts w:ascii="Garamond" w:hAnsi="Garamond"/>
          <w:sz w:val="24"/>
          <w:szCs w:val="24"/>
        </w:rPr>
        <w:t>-</w:t>
      </w:r>
      <w:r w:rsidR="00EB66D9" w:rsidRPr="00F605DD">
        <w:rPr>
          <w:rFonts w:ascii="Garamond" w:hAnsi="Garamond"/>
          <w:sz w:val="24"/>
          <w:szCs w:val="24"/>
        </w:rPr>
        <w:t>colonial enterprise</w:t>
      </w:r>
      <w:r w:rsidR="00796A53" w:rsidRPr="00F605DD">
        <w:rPr>
          <w:rFonts w:ascii="Garamond" w:hAnsi="Garamond"/>
          <w:sz w:val="24"/>
          <w:szCs w:val="24"/>
        </w:rPr>
        <w:t xml:space="preserve"> by exposing </w:t>
      </w:r>
      <w:r w:rsidR="00EB66D9" w:rsidRPr="00F605DD">
        <w:rPr>
          <w:rFonts w:ascii="Garamond" w:hAnsi="Garamond"/>
          <w:sz w:val="24"/>
          <w:szCs w:val="24"/>
        </w:rPr>
        <w:t>complex but visible</w:t>
      </w:r>
      <w:r w:rsidR="00A00721">
        <w:rPr>
          <w:rFonts w:ascii="Garamond" w:hAnsi="Garamond"/>
          <w:sz w:val="24"/>
          <w:szCs w:val="24"/>
        </w:rPr>
        <w:t xml:space="preserve"> </w:t>
      </w:r>
      <w:r w:rsidR="00EB66D9" w:rsidRPr="00F605DD">
        <w:rPr>
          <w:rFonts w:ascii="Garamond" w:hAnsi="Garamond"/>
          <w:sz w:val="24"/>
          <w:szCs w:val="24"/>
        </w:rPr>
        <w:t>trajectories of continuity with earlier periods of primitive capital accumulation</w:t>
      </w:r>
      <w:r w:rsidR="008E4C75" w:rsidRPr="00F605DD">
        <w:rPr>
          <w:rFonts w:ascii="Garamond" w:hAnsi="Garamond"/>
          <w:sz w:val="24"/>
          <w:szCs w:val="24"/>
        </w:rPr>
        <w:t>, colonialism</w:t>
      </w:r>
      <w:r w:rsidR="00EB66D9" w:rsidRPr="00F605DD">
        <w:rPr>
          <w:rFonts w:ascii="Garamond" w:hAnsi="Garamond"/>
          <w:sz w:val="24"/>
          <w:szCs w:val="24"/>
        </w:rPr>
        <w:t xml:space="preserve"> and imperialism</w:t>
      </w:r>
      <w:r w:rsidR="00391737">
        <w:rPr>
          <w:rFonts w:ascii="Garamond" w:hAnsi="Garamond"/>
          <w:sz w:val="24"/>
          <w:szCs w:val="24"/>
        </w:rPr>
        <w:t>—linked by critical scholars to the genesis of the Anthropocene</w:t>
      </w:r>
      <w:r w:rsidR="00EB66D9" w:rsidRPr="00F605DD">
        <w:rPr>
          <w:rFonts w:ascii="Garamond" w:hAnsi="Garamond"/>
          <w:sz w:val="24"/>
          <w:szCs w:val="24"/>
        </w:rPr>
        <w:t>.</w:t>
      </w:r>
      <w:r w:rsidR="00391737">
        <w:rPr>
          <w:rStyle w:val="FootnoteReference"/>
          <w:rFonts w:ascii="Garamond" w:hAnsi="Garamond"/>
          <w:sz w:val="24"/>
          <w:szCs w:val="24"/>
        </w:rPr>
        <w:footnoteReference w:id="35"/>
      </w:r>
      <w:r w:rsidR="008578ED" w:rsidRPr="00F605DD">
        <w:rPr>
          <w:rFonts w:ascii="Garamond" w:hAnsi="Garamond"/>
          <w:sz w:val="24"/>
          <w:szCs w:val="24"/>
        </w:rPr>
        <w:t xml:space="preserve"> </w:t>
      </w:r>
      <w:r w:rsidR="00BD5EE5" w:rsidRPr="00F605DD">
        <w:rPr>
          <w:rFonts w:ascii="Garamond" w:hAnsi="Garamond"/>
          <w:sz w:val="24"/>
          <w:szCs w:val="24"/>
        </w:rPr>
        <w:t xml:space="preserve">This is the particular thread of continuity that we </w:t>
      </w:r>
      <w:r w:rsidR="00EA152D" w:rsidRPr="00F605DD">
        <w:rPr>
          <w:rFonts w:ascii="Garamond" w:hAnsi="Garamond"/>
          <w:sz w:val="24"/>
          <w:szCs w:val="24"/>
        </w:rPr>
        <w:t>will bring into our consideration</w:t>
      </w:r>
      <w:r w:rsidR="00BD5EE5" w:rsidRPr="00F605DD">
        <w:rPr>
          <w:rFonts w:ascii="Garamond" w:hAnsi="Garamond"/>
          <w:sz w:val="24"/>
          <w:szCs w:val="24"/>
        </w:rPr>
        <w:t xml:space="preserve"> of the role of personhood and jurisdiction. We therefore </w:t>
      </w:r>
      <w:r w:rsidR="00EA152D" w:rsidRPr="00F605DD">
        <w:rPr>
          <w:rFonts w:ascii="Garamond" w:hAnsi="Garamond"/>
          <w:sz w:val="24"/>
          <w:szCs w:val="24"/>
        </w:rPr>
        <w:t>introduce that thread</w:t>
      </w:r>
      <w:r w:rsidR="00BD5EE5" w:rsidRPr="00F605DD">
        <w:rPr>
          <w:rFonts w:ascii="Garamond" w:hAnsi="Garamond"/>
          <w:sz w:val="24"/>
          <w:szCs w:val="24"/>
        </w:rPr>
        <w:t xml:space="preserve"> first. </w:t>
      </w:r>
    </w:p>
    <w:p w14:paraId="70295BD0" w14:textId="77777777" w:rsidR="003C03FC" w:rsidRDefault="003C03FC" w:rsidP="00CB0DFA">
      <w:pPr>
        <w:spacing w:line="240" w:lineRule="auto"/>
        <w:rPr>
          <w:rFonts w:ascii="Garamond" w:hAnsi="Garamond"/>
          <w:b/>
          <w:sz w:val="24"/>
          <w:szCs w:val="24"/>
        </w:rPr>
      </w:pPr>
    </w:p>
    <w:p w14:paraId="36DA0B97" w14:textId="0849F973" w:rsidR="001B0EF3" w:rsidRPr="00411AE0" w:rsidRDefault="00E2040C" w:rsidP="00CB0DFA">
      <w:pPr>
        <w:spacing w:line="240" w:lineRule="auto"/>
        <w:rPr>
          <w:rFonts w:ascii="Garamond" w:hAnsi="Garamond"/>
          <w:sz w:val="24"/>
          <w:szCs w:val="24"/>
        </w:rPr>
      </w:pPr>
      <w:r w:rsidRPr="00636537">
        <w:rPr>
          <w:rFonts w:ascii="Garamond" w:hAnsi="Garamond"/>
          <w:b/>
          <w:sz w:val="24"/>
          <w:szCs w:val="24"/>
        </w:rPr>
        <w:t xml:space="preserve">2a </w:t>
      </w:r>
      <w:r w:rsidR="00796A53" w:rsidRPr="003C03FC">
        <w:rPr>
          <w:rFonts w:ascii="Garamond" w:hAnsi="Garamond"/>
          <w:b/>
          <w:sz w:val="24"/>
          <w:szCs w:val="24"/>
        </w:rPr>
        <w:t>Coloniality</w:t>
      </w:r>
      <w:r w:rsidR="0080575D" w:rsidRPr="003C03FC">
        <w:rPr>
          <w:rFonts w:ascii="Garamond" w:hAnsi="Garamond"/>
          <w:b/>
          <w:sz w:val="24"/>
          <w:szCs w:val="24"/>
        </w:rPr>
        <w:t>: The Story of Capitalist Imperialism</w:t>
      </w:r>
      <w:r w:rsidR="00AF440B" w:rsidRPr="003C03FC">
        <w:rPr>
          <w:rFonts w:ascii="Garamond" w:hAnsi="Garamond"/>
          <w:sz w:val="24"/>
          <w:szCs w:val="24"/>
        </w:rPr>
        <w:br/>
      </w:r>
      <w:r w:rsidR="00685254" w:rsidRPr="00C17C5B">
        <w:rPr>
          <w:rFonts w:ascii="Garamond" w:hAnsi="Garamond"/>
          <w:sz w:val="24"/>
          <w:szCs w:val="24"/>
        </w:rPr>
        <w:t>N</w:t>
      </w:r>
      <w:r w:rsidR="00562842" w:rsidRPr="00C17C5B">
        <w:rPr>
          <w:rFonts w:ascii="Garamond" w:hAnsi="Garamond"/>
          <w:sz w:val="24"/>
          <w:szCs w:val="24"/>
        </w:rPr>
        <w:t xml:space="preserve">eoliberal </w:t>
      </w:r>
      <w:r w:rsidR="00F77670" w:rsidRPr="00C17C5B">
        <w:rPr>
          <w:rFonts w:ascii="Garamond" w:hAnsi="Garamond"/>
          <w:sz w:val="24"/>
          <w:szCs w:val="24"/>
        </w:rPr>
        <w:t xml:space="preserve">corporate globalisation </w:t>
      </w:r>
      <w:r w:rsidR="00006955" w:rsidRPr="00C17C5B">
        <w:rPr>
          <w:rFonts w:ascii="Garamond" w:hAnsi="Garamond"/>
          <w:sz w:val="24"/>
          <w:szCs w:val="24"/>
        </w:rPr>
        <w:t xml:space="preserve">is, in a central sense, a Eurocentric matrix of power with its </w:t>
      </w:r>
      <w:r w:rsidR="00634D90" w:rsidRPr="00C17C5B">
        <w:rPr>
          <w:rFonts w:ascii="Garamond" w:hAnsi="Garamond"/>
          <w:sz w:val="24"/>
          <w:szCs w:val="24"/>
        </w:rPr>
        <w:t>roots in the history of Europe</w:t>
      </w:r>
      <w:r w:rsidR="00A94B40" w:rsidRPr="00DC348A">
        <w:rPr>
          <w:rFonts w:ascii="Garamond" w:hAnsi="Garamond"/>
          <w:sz w:val="24"/>
          <w:szCs w:val="24"/>
        </w:rPr>
        <w:t xml:space="preserve">an </w:t>
      </w:r>
      <w:r w:rsidR="00A94B40" w:rsidRPr="00C17C5B">
        <w:rPr>
          <w:rFonts w:ascii="Garamond" w:hAnsi="Garamond"/>
          <w:sz w:val="24"/>
          <w:szCs w:val="24"/>
        </w:rPr>
        <w:t>colonialism</w:t>
      </w:r>
      <w:r w:rsidR="00212E7E" w:rsidRPr="00411AE0">
        <w:rPr>
          <w:rStyle w:val="FootnoteReference"/>
          <w:rFonts w:ascii="Garamond" w:hAnsi="Garamond"/>
          <w:sz w:val="24"/>
          <w:szCs w:val="24"/>
        </w:rPr>
        <w:footnoteReference w:id="36"/>
      </w:r>
      <w:r w:rsidR="00D53A99" w:rsidRPr="00411AE0">
        <w:rPr>
          <w:rFonts w:ascii="Garamond" w:hAnsi="Garamond"/>
          <w:sz w:val="24"/>
          <w:szCs w:val="24"/>
        </w:rPr>
        <w:t xml:space="preserve"> </w:t>
      </w:r>
      <w:r w:rsidR="00EC68B4">
        <w:rPr>
          <w:rFonts w:ascii="Garamond" w:hAnsi="Garamond"/>
          <w:sz w:val="24"/>
          <w:szCs w:val="24"/>
        </w:rPr>
        <w:t>e</w:t>
      </w:r>
      <w:r w:rsidR="006D6CC6">
        <w:rPr>
          <w:rFonts w:ascii="Garamond" w:hAnsi="Garamond"/>
          <w:sz w:val="24"/>
          <w:szCs w:val="24"/>
        </w:rPr>
        <w:t xml:space="preserve">nabled and legitimised by (early) </w:t>
      </w:r>
      <w:r w:rsidR="00A15E14" w:rsidRPr="00411AE0">
        <w:rPr>
          <w:rFonts w:ascii="Garamond" w:hAnsi="Garamond"/>
          <w:sz w:val="24"/>
          <w:szCs w:val="24"/>
        </w:rPr>
        <w:t xml:space="preserve">international law </w:t>
      </w:r>
      <w:r w:rsidR="005E5B42" w:rsidRPr="00411AE0">
        <w:rPr>
          <w:rFonts w:ascii="Garamond" w:hAnsi="Garamond"/>
          <w:sz w:val="24"/>
          <w:szCs w:val="24"/>
        </w:rPr>
        <w:t>doctrines and structures</w:t>
      </w:r>
      <w:r w:rsidR="00EC68B4">
        <w:rPr>
          <w:rFonts w:ascii="Garamond" w:hAnsi="Garamond"/>
          <w:sz w:val="24"/>
          <w:szCs w:val="24"/>
        </w:rPr>
        <w:t>,</w:t>
      </w:r>
      <w:r w:rsidR="005E5B42" w:rsidRPr="00411AE0">
        <w:rPr>
          <w:rFonts w:ascii="Garamond" w:hAnsi="Garamond"/>
          <w:sz w:val="24"/>
          <w:szCs w:val="24"/>
        </w:rPr>
        <w:t xml:space="preserve"> </w:t>
      </w:r>
      <w:r w:rsidR="00A15E14" w:rsidRPr="00411AE0">
        <w:rPr>
          <w:rFonts w:ascii="Garamond" w:hAnsi="Garamond"/>
          <w:sz w:val="24"/>
          <w:szCs w:val="24"/>
        </w:rPr>
        <w:t xml:space="preserve">the pillage and destruction of other cultures and the advancement of </w:t>
      </w:r>
      <w:r w:rsidR="00A15E14" w:rsidRPr="00411AE0">
        <w:rPr>
          <w:rFonts w:ascii="Garamond" w:hAnsi="Garamond"/>
          <w:sz w:val="24"/>
          <w:szCs w:val="24"/>
        </w:rPr>
        <w:lastRenderedPageBreak/>
        <w:t>appropriative European culture and power</w:t>
      </w:r>
      <w:r w:rsidR="00A15E14" w:rsidRPr="00411AE0">
        <w:rPr>
          <w:rStyle w:val="FootnoteReference"/>
          <w:rFonts w:ascii="Garamond" w:hAnsi="Garamond"/>
          <w:sz w:val="24"/>
          <w:szCs w:val="24"/>
        </w:rPr>
        <w:footnoteReference w:id="37"/>
      </w:r>
      <w:r w:rsidR="000754E6">
        <w:rPr>
          <w:rFonts w:ascii="Garamond" w:hAnsi="Garamond"/>
          <w:sz w:val="24"/>
          <w:szCs w:val="24"/>
        </w:rPr>
        <w:t>—and linked by some scholarly and scientific accounts to colonial antecedents of the Anthropocene.</w:t>
      </w:r>
      <w:r w:rsidR="000754E6">
        <w:rPr>
          <w:rStyle w:val="FootnoteReference"/>
          <w:rFonts w:ascii="Garamond" w:hAnsi="Garamond"/>
          <w:sz w:val="24"/>
          <w:szCs w:val="24"/>
        </w:rPr>
        <w:footnoteReference w:id="38"/>
      </w:r>
      <w:r w:rsidR="003D5871">
        <w:rPr>
          <w:rFonts w:ascii="Garamond" w:hAnsi="Garamond"/>
          <w:sz w:val="24"/>
          <w:szCs w:val="24"/>
        </w:rPr>
        <w:t xml:space="preserve"> </w:t>
      </w:r>
      <w:r w:rsidR="00DB2B51">
        <w:rPr>
          <w:rFonts w:ascii="Garamond" w:hAnsi="Garamond"/>
          <w:sz w:val="24"/>
          <w:szCs w:val="24"/>
        </w:rPr>
        <w:br/>
        <w:t xml:space="preserve"> </w:t>
      </w:r>
      <w:r w:rsidR="00DB2B51">
        <w:rPr>
          <w:rFonts w:ascii="Garamond" w:hAnsi="Garamond"/>
          <w:sz w:val="24"/>
          <w:szCs w:val="24"/>
        </w:rPr>
        <w:tab/>
        <w:t>T</w:t>
      </w:r>
      <w:r w:rsidR="00DB2B51" w:rsidRPr="00411AE0">
        <w:rPr>
          <w:rFonts w:ascii="Garamond" w:hAnsi="Garamond"/>
          <w:sz w:val="24"/>
          <w:szCs w:val="24"/>
        </w:rPr>
        <w:t>he discovery of the Americas</w:t>
      </w:r>
      <w:r w:rsidR="00C75766">
        <w:rPr>
          <w:rFonts w:ascii="Garamond" w:hAnsi="Garamond"/>
          <w:sz w:val="24"/>
          <w:szCs w:val="24"/>
        </w:rPr>
        <w:t>,</w:t>
      </w:r>
      <w:r w:rsidR="00DB2B51" w:rsidRPr="00411AE0">
        <w:rPr>
          <w:rFonts w:ascii="Garamond" w:hAnsi="Garamond"/>
          <w:sz w:val="24"/>
          <w:szCs w:val="24"/>
        </w:rPr>
        <w:t xml:space="preserve"> and their conquest by the Spanish and Portuguese monarchies</w:t>
      </w:r>
      <w:r w:rsidR="00C75766">
        <w:rPr>
          <w:rFonts w:ascii="Garamond" w:hAnsi="Garamond"/>
          <w:sz w:val="24"/>
          <w:szCs w:val="24"/>
        </w:rPr>
        <w:t>,</w:t>
      </w:r>
      <w:r w:rsidR="00DB2B51">
        <w:rPr>
          <w:rFonts w:ascii="Garamond" w:hAnsi="Garamond"/>
          <w:sz w:val="24"/>
          <w:szCs w:val="24"/>
        </w:rPr>
        <w:t xml:space="preserve"> signalled the demise of the pre-existing </w:t>
      </w:r>
      <w:r w:rsidR="0085440C">
        <w:rPr>
          <w:rFonts w:ascii="Garamond" w:hAnsi="Garamond"/>
          <w:sz w:val="24"/>
          <w:szCs w:val="24"/>
        </w:rPr>
        <w:t>‘</w:t>
      </w:r>
      <w:r w:rsidR="00253F38">
        <w:rPr>
          <w:rFonts w:ascii="Garamond" w:hAnsi="Garamond"/>
          <w:sz w:val="24"/>
          <w:szCs w:val="24"/>
          <w:lang w:val="en"/>
        </w:rPr>
        <w:t>polycentric</w:t>
      </w:r>
      <w:r w:rsidR="00E25636">
        <w:rPr>
          <w:rFonts w:ascii="Garamond" w:hAnsi="Garamond"/>
          <w:sz w:val="24"/>
          <w:szCs w:val="24"/>
          <w:lang w:val="en"/>
        </w:rPr>
        <w:t xml:space="preserve">’ </w:t>
      </w:r>
      <w:r w:rsidR="00997964">
        <w:rPr>
          <w:rFonts w:ascii="Garamond" w:hAnsi="Garamond"/>
          <w:sz w:val="24"/>
          <w:szCs w:val="24"/>
        </w:rPr>
        <w:t>world</w:t>
      </w:r>
      <w:r w:rsidR="00085606">
        <w:rPr>
          <w:rFonts w:ascii="Garamond" w:hAnsi="Garamond"/>
          <w:sz w:val="24"/>
          <w:szCs w:val="24"/>
        </w:rPr>
        <w:t xml:space="preserve"> of ‘several coexisting civilizations’</w:t>
      </w:r>
      <w:r w:rsidR="00DA3BE0">
        <w:rPr>
          <w:rFonts w:ascii="Garamond" w:hAnsi="Garamond"/>
          <w:sz w:val="24"/>
          <w:szCs w:val="24"/>
        </w:rPr>
        <w:t>.</w:t>
      </w:r>
      <w:r w:rsidR="00997964" w:rsidRPr="00411AE0">
        <w:rPr>
          <w:rStyle w:val="FootnoteReference"/>
          <w:rFonts w:ascii="Garamond" w:hAnsi="Garamond"/>
          <w:sz w:val="24"/>
          <w:szCs w:val="24"/>
        </w:rPr>
        <w:footnoteReference w:id="39"/>
      </w:r>
      <w:r w:rsidR="00DB2B51">
        <w:rPr>
          <w:rFonts w:ascii="Garamond" w:hAnsi="Garamond"/>
          <w:sz w:val="24"/>
          <w:szCs w:val="24"/>
        </w:rPr>
        <w:t xml:space="preserve"> </w:t>
      </w:r>
      <w:r w:rsidR="00D53A99" w:rsidRPr="00411AE0">
        <w:rPr>
          <w:rFonts w:ascii="Garamond" w:hAnsi="Garamond"/>
          <w:sz w:val="24"/>
          <w:szCs w:val="24"/>
        </w:rPr>
        <w:t>The discovery of</w:t>
      </w:r>
      <w:r w:rsidR="00642F0A" w:rsidRPr="00411AE0">
        <w:rPr>
          <w:rFonts w:ascii="Garamond" w:hAnsi="Garamond"/>
          <w:sz w:val="24"/>
          <w:szCs w:val="24"/>
        </w:rPr>
        <w:t xml:space="preserve"> </w:t>
      </w:r>
      <w:r w:rsidR="00D53A99" w:rsidRPr="00411AE0">
        <w:rPr>
          <w:rFonts w:ascii="Garamond" w:hAnsi="Garamond"/>
          <w:sz w:val="24"/>
          <w:szCs w:val="24"/>
        </w:rPr>
        <w:t>America by Columbus</w:t>
      </w:r>
      <w:r w:rsidR="00DA3BE0">
        <w:rPr>
          <w:rFonts w:ascii="Garamond" w:hAnsi="Garamond"/>
          <w:sz w:val="24"/>
          <w:szCs w:val="24"/>
        </w:rPr>
        <w:t xml:space="preserve"> </w:t>
      </w:r>
      <w:r w:rsidR="00D53A99" w:rsidRPr="00411AE0">
        <w:rPr>
          <w:rFonts w:ascii="Garamond" w:hAnsi="Garamond"/>
          <w:sz w:val="24"/>
          <w:szCs w:val="24"/>
        </w:rPr>
        <w:t>opened the gates through which Europe entered the world economy</w:t>
      </w:r>
      <w:r w:rsidR="00FC7677" w:rsidRPr="00411AE0">
        <w:rPr>
          <w:rFonts w:ascii="Garamond" w:hAnsi="Garamond"/>
          <w:sz w:val="24"/>
          <w:szCs w:val="24"/>
        </w:rPr>
        <w:t xml:space="preserve"> as a decisive force</w:t>
      </w:r>
      <w:r w:rsidR="00D53A99" w:rsidRPr="00411AE0">
        <w:rPr>
          <w:rFonts w:ascii="Garamond" w:hAnsi="Garamond"/>
          <w:sz w:val="24"/>
          <w:szCs w:val="24"/>
        </w:rPr>
        <w:t>. America’s gold and silver enabled the</w:t>
      </w:r>
      <w:r w:rsidR="00C2024C" w:rsidRPr="00411AE0">
        <w:rPr>
          <w:rFonts w:ascii="Garamond" w:hAnsi="Garamond"/>
          <w:sz w:val="24"/>
          <w:szCs w:val="24"/>
        </w:rPr>
        <w:t xml:space="preserve"> expansion of the Spanish </w:t>
      </w:r>
      <w:r w:rsidR="00D53A99" w:rsidRPr="00411AE0">
        <w:rPr>
          <w:rFonts w:ascii="Garamond" w:hAnsi="Garamond"/>
          <w:sz w:val="24"/>
          <w:szCs w:val="24"/>
        </w:rPr>
        <w:t>Empire</w:t>
      </w:r>
      <w:r w:rsidR="00FC7677" w:rsidRPr="00411AE0">
        <w:rPr>
          <w:rFonts w:ascii="Garamond" w:hAnsi="Garamond"/>
          <w:sz w:val="24"/>
          <w:szCs w:val="24"/>
        </w:rPr>
        <w:t xml:space="preserve">, </w:t>
      </w:r>
      <w:r w:rsidR="00D53A99" w:rsidRPr="00411AE0">
        <w:rPr>
          <w:rFonts w:ascii="Garamond" w:hAnsi="Garamond"/>
          <w:sz w:val="24"/>
          <w:szCs w:val="24"/>
        </w:rPr>
        <w:t xml:space="preserve">while </w:t>
      </w:r>
      <w:r w:rsidR="00C2024C" w:rsidRPr="00411AE0">
        <w:rPr>
          <w:rFonts w:ascii="Garamond" w:hAnsi="Garamond"/>
          <w:sz w:val="24"/>
          <w:szCs w:val="24"/>
        </w:rPr>
        <w:t>the establishment</w:t>
      </w:r>
      <w:r w:rsidR="00997964">
        <w:rPr>
          <w:rFonts w:ascii="Garamond" w:hAnsi="Garamond"/>
          <w:sz w:val="24"/>
          <w:szCs w:val="24"/>
        </w:rPr>
        <w:t>,</w:t>
      </w:r>
      <w:r w:rsidR="00C2024C" w:rsidRPr="00411AE0">
        <w:rPr>
          <w:rFonts w:ascii="Garamond" w:hAnsi="Garamond"/>
          <w:sz w:val="24"/>
          <w:szCs w:val="24"/>
        </w:rPr>
        <w:t xml:space="preserve"> </w:t>
      </w:r>
      <w:r w:rsidR="00997964">
        <w:rPr>
          <w:rFonts w:ascii="Garamond" w:hAnsi="Garamond"/>
          <w:sz w:val="24"/>
          <w:szCs w:val="24"/>
        </w:rPr>
        <w:t xml:space="preserve">a century later, </w:t>
      </w:r>
      <w:r w:rsidR="00C2024C" w:rsidRPr="00411AE0">
        <w:rPr>
          <w:rFonts w:ascii="Garamond" w:hAnsi="Garamond"/>
          <w:sz w:val="24"/>
          <w:szCs w:val="24"/>
        </w:rPr>
        <w:t>of a</w:t>
      </w:r>
      <w:r w:rsidR="00D53A99" w:rsidRPr="00411AE0">
        <w:rPr>
          <w:rFonts w:ascii="Garamond" w:hAnsi="Garamond"/>
          <w:sz w:val="24"/>
          <w:szCs w:val="24"/>
        </w:rPr>
        <w:t xml:space="preserve"> tran</w:t>
      </w:r>
      <w:r w:rsidR="00797A16" w:rsidRPr="00411AE0">
        <w:rPr>
          <w:rFonts w:ascii="Garamond" w:hAnsi="Garamond"/>
          <w:sz w:val="24"/>
          <w:szCs w:val="24"/>
        </w:rPr>
        <w:t xml:space="preserve">satlantic trade in </w:t>
      </w:r>
      <w:r w:rsidR="00D53A99" w:rsidRPr="00411AE0">
        <w:rPr>
          <w:rFonts w:ascii="Garamond" w:hAnsi="Garamond"/>
          <w:sz w:val="24"/>
          <w:szCs w:val="24"/>
        </w:rPr>
        <w:t xml:space="preserve">commodities brought a new affluence to </w:t>
      </w:r>
      <w:r w:rsidR="00F936A5" w:rsidRPr="00411AE0">
        <w:rPr>
          <w:rFonts w:ascii="Garamond" w:hAnsi="Garamond"/>
          <w:sz w:val="24"/>
          <w:szCs w:val="24"/>
        </w:rPr>
        <w:t xml:space="preserve">the Netherlands </w:t>
      </w:r>
      <w:r w:rsidR="00D53A99" w:rsidRPr="00411AE0">
        <w:rPr>
          <w:rFonts w:ascii="Garamond" w:hAnsi="Garamond"/>
          <w:sz w:val="24"/>
          <w:szCs w:val="24"/>
        </w:rPr>
        <w:t>and England</w:t>
      </w:r>
      <w:r w:rsidR="00C2024C" w:rsidRPr="00411AE0">
        <w:rPr>
          <w:rFonts w:ascii="Garamond" w:hAnsi="Garamond"/>
          <w:sz w:val="24"/>
          <w:szCs w:val="24"/>
        </w:rPr>
        <w:t xml:space="preserve"> through banking</w:t>
      </w:r>
      <w:r w:rsidR="00797A16" w:rsidRPr="00411AE0">
        <w:rPr>
          <w:rFonts w:ascii="Garamond" w:hAnsi="Garamond"/>
          <w:sz w:val="24"/>
          <w:szCs w:val="24"/>
        </w:rPr>
        <w:t xml:space="preserve">, </w:t>
      </w:r>
      <w:r w:rsidR="00C2024C" w:rsidRPr="00411AE0">
        <w:rPr>
          <w:rFonts w:ascii="Garamond" w:hAnsi="Garamond"/>
          <w:sz w:val="24"/>
          <w:szCs w:val="24"/>
        </w:rPr>
        <w:t xml:space="preserve">finance </w:t>
      </w:r>
      <w:r w:rsidR="00797A16" w:rsidRPr="00411AE0">
        <w:rPr>
          <w:rFonts w:ascii="Garamond" w:hAnsi="Garamond"/>
          <w:sz w:val="24"/>
          <w:szCs w:val="24"/>
        </w:rPr>
        <w:t>and shipping</w:t>
      </w:r>
      <w:r w:rsidR="00D53A99" w:rsidRPr="00411AE0">
        <w:rPr>
          <w:rFonts w:ascii="Garamond" w:hAnsi="Garamond"/>
          <w:sz w:val="24"/>
          <w:szCs w:val="24"/>
        </w:rPr>
        <w:t xml:space="preserve"> and established the foundations of </w:t>
      </w:r>
      <w:r w:rsidR="006E5B75">
        <w:rPr>
          <w:rFonts w:ascii="Garamond" w:hAnsi="Garamond"/>
          <w:sz w:val="24"/>
          <w:szCs w:val="24"/>
        </w:rPr>
        <w:t xml:space="preserve">early mercantile </w:t>
      </w:r>
      <w:r w:rsidR="00D53A99" w:rsidRPr="00411AE0">
        <w:rPr>
          <w:rFonts w:ascii="Garamond" w:hAnsi="Garamond"/>
          <w:sz w:val="24"/>
          <w:szCs w:val="24"/>
        </w:rPr>
        <w:t>capitalism.</w:t>
      </w:r>
      <w:r w:rsidR="00D53A99" w:rsidRPr="00411AE0">
        <w:rPr>
          <w:rStyle w:val="FootnoteReference"/>
          <w:rFonts w:ascii="Garamond" w:hAnsi="Garamond"/>
          <w:sz w:val="24"/>
          <w:szCs w:val="24"/>
        </w:rPr>
        <w:footnoteReference w:id="40"/>
      </w:r>
      <w:r w:rsidR="00D53A99" w:rsidRPr="00411AE0">
        <w:rPr>
          <w:rFonts w:ascii="Garamond" w:hAnsi="Garamond"/>
          <w:sz w:val="24"/>
          <w:szCs w:val="24"/>
        </w:rPr>
        <w:t xml:space="preserve"> </w:t>
      </w:r>
      <w:r w:rsidR="00562842" w:rsidRPr="00411AE0">
        <w:rPr>
          <w:rFonts w:ascii="Garamond" w:hAnsi="Garamond"/>
          <w:sz w:val="24"/>
          <w:szCs w:val="24"/>
        </w:rPr>
        <w:t xml:space="preserve">The early </w:t>
      </w:r>
      <w:r w:rsidR="00C626EC">
        <w:rPr>
          <w:rFonts w:ascii="Garamond" w:hAnsi="Garamond"/>
          <w:sz w:val="24"/>
          <w:szCs w:val="24"/>
        </w:rPr>
        <w:t>TNC</w:t>
      </w:r>
      <w:r w:rsidR="00562842" w:rsidRPr="00411AE0">
        <w:rPr>
          <w:rFonts w:ascii="Garamond" w:hAnsi="Garamond"/>
          <w:sz w:val="24"/>
          <w:szCs w:val="24"/>
        </w:rPr>
        <w:t xml:space="preserve"> was key to such developments</w:t>
      </w:r>
      <w:r w:rsidR="00562842" w:rsidRPr="00411AE0">
        <w:rPr>
          <w:rStyle w:val="FootnoteReference"/>
          <w:rFonts w:ascii="Garamond" w:hAnsi="Garamond"/>
          <w:sz w:val="24"/>
          <w:szCs w:val="24"/>
        </w:rPr>
        <w:footnoteReference w:id="41"/>
      </w:r>
      <w:r w:rsidR="00016522">
        <w:rPr>
          <w:rFonts w:ascii="Garamond" w:hAnsi="Garamond"/>
          <w:sz w:val="24"/>
          <w:szCs w:val="24"/>
        </w:rPr>
        <w:t xml:space="preserve">and our selective genealogical account of transnational privilege begins with the </w:t>
      </w:r>
      <w:r w:rsidR="00253F38">
        <w:rPr>
          <w:rFonts w:ascii="Garamond" w:hAnsi="Garamond"/>
          <w:sz w:val="24"/>
          <w:szCs w:val="24"/>
        </w:rPr>
        <w:t>early</w:t>
      </w:r>
      <w:r w:rsidR="00016522">
        <w:rPr>
          <w:rFonts w:ascii="Garamond" w:hAnsi="Garamond"/>
          <w:sz w:val="24"/>
          <w:szCs w:val="24"/>
        </w:rPr>
        <w:t xml:space="preserve"> mercantile corporations. </w:t>
      </w:r>
      <w:r w:rsidR="003D6A24" w:rsidRPr="00411AE0">
        <w:rPr>
          <w:rFonts w:ascii="Garamond" w:hAnsi="Garamond"/>
          <w:sz w:val="24"/>
          <w:szCs w:val="24"/>
        </w:rPr>
        <w:t xml:space="preserve"> </w:t>
      </w:r>
      <w:r w:rsidR="00655869">
        <w:rPr>
          <w:rFonts w:ascii="Garamond" w:hAnsi="Garamond"/>
          <w:sz w:val="24"/>
          <w:szCs w:val="24"/>
        </w:rPr>
        <w:t xml:space="preserve">Indeed, </w:t>
      </w:r>
      <w:r w:rsidR="006B359F" w:rsidRPr="00411AE0">
        <w:rPr>
          <w:rFonts w:ascii="Garamond" w:hAnsi="Garamond"/>
          <w:sz w:val="24"/>
          <w:szCs w:val="24"/>
        </w:rPr>
        <w:t xml:space="preserve">McLean </w:t>
      </w:r>
      <w:r w:rsidR="00C15A53" w:rsidRPr="00411AE0">
        <w:rPr>
          <w:rFonts w:ascii="Garamond" w:hAnsi="Garamond"/>
          <w:sz w:val="24"/>
          <w:szCs w:val="24"/>
        </w:rPr>
        <w:t>argues</w:t>
      </w:r>
      <w:r w:rsidR="00291B1C" w:rsidRPr="00411AE0">
        <w:rPr>
          <w:rFonts w:ascii="Garamond" w:hAnsi="Garamond"/>
          <w:sz w:val="24"/>
          <w:szCs w:val="24"/>
        </w:rPr>
        <w:t xml:space="preserve"> that</w:t>
      </w:r>
      <w:r w:rsidR="006B359F" w:rsidRPr="00411AE0">
        <w:rPr>
          <w:rFonts w:ascii="Garamond" w:hAnsi="Garamond"/>
          <w:sz w:val="24"/>
          <w:szCs w:val="24"/>
        </w:rPr>
        <w:t xml:space="preserve"> ‘the history of colonial expansion is </w:t>
      </w:r>
      <w:r w:rsidR="00BB581C" w:rsidRPr="00411AE0">
        <w:rPr>
          <w:rFonts w:ascii="Garamond" w:hAnsi="Garamond"/>
          <w:sz w:val="24"/>
          <w:szCs w:val="24"/>
        </w:rPr>
        <w:t>[also]</w:t>
      </w:r>
      <w:r w:rsidR="006B359F" w:rsidRPr="00411AE0">
        <w:rPr>
          <w:rFonts w:ascii="Garamond" w:hAnsi="Garamond"/>
          <w:sz w:val="24"/>
          <w:szCs w:val="24"/>
        </w:rPr>
        <w:t xml:space="preserve"> a history of the corporate form’</w:t>
      </w:r>
      <w:r w:rsidR="006B359F" w:rsidRPr="00411AE0">
        <w:rPr>
          <w:rStyle w:val="FootnoteReference"/>
          <w:rFonts w:ascii="Garamond" w:hAnsi="Garamond"/>
          <w:sz w:val="24"/>
          <w:szCs w:val="24"/>
        </w:rPr>
        <w:footnoteReference w:id="42"/>
      </w:r>
      <w:r w:rsidR="00291B1C" w:rsidRPr="00411AE0">
        <w:rPr>
          <w:rFonts w:ascii="Garamond" w:hAnsi="Garamond"/>
          <w:sz w:val="24"/>
          <w:szCs w:val="24"/>
        </w:rPr>
        <w:t xml:space="preserve">—a point with considerable significance for </w:t>
      </w:r>
      <w:r w:rsidR="007E35DD" w:rsidRPr="00411AE0">
        <w:rPr>
          <w:rFonts w:ascii="Garamond" w:hAnsi="Garamond"/>
          <w:sz w:val="24"/>
          <w:szCs w:val="24"/>
        </w:rPr>
        <w:t>understanding the</w:t>
      </w:r>
      <w:r w:rsidR="0085433A">
        <w:rPr>
          <w:rFonts w:ascii="Garamond" w:hAnsi="Garamond"/>
          <w:sz w:val="24"/>
          <w:szCs w:val="24"/>
        </w:rPr>
        <w:t xml:space="preserve"> unevenness of the</w:t>
      </w:r>
      <w:r w:rsidR="00291B1C" w:rsidRPr="00411AE0">
        <w:rPr>
          <w:rFonts w:ascii="Garamond" w:hAnsi="Garamond"/>
          <w:sz w:val="24"/>
          <w:szCs w:val="24"/>
        </w:rPr>
        <w:t xml:space="preserve"> present </w:t>
      </w:r>
      <w:r w:rsidR="007E35DD" w:rsidRPr="00411AE0">
        <w:rPr>
          <w:rFonts w:ascii="Garamond" w:hAnsi="Garamond"/>
          <w:sz w:val="24"/>
          <w:szCs w:val="24"/>
        </w:rPr>
        <w:t>international order</w:t>
      </w:r>
      <w:r w:rsidR="00291B1C" w:rsidRPr="00411AE0">
        <w:rPr>
          <w:rFonts w:ascii="Garamond" w:hAnsi="Garamond"/>
          <w:sz w:val="24"/>
          <w:szCs w:val="24"/>
        </w:rPr>
        <w:t>.</w:t>
      </w:r>
      <w:r w:rsidR="00DA3BE0">
        <w:rPr>
          <w:rFonts w:ascii="Garamond" w:hAnsi="Garamond"/>
          <w:sz w:val="24"/>
          <w:szCs w:val="24"/>
        </w:rPr>
        <w:t xml:space="preserve"> </w:t>
      </w:r>
      <w:r w:rsidR="00DA3BE0">
        <w:rPr>
          <w:rFonts w:ascii="Garamond" w:hAnsi="Garamond"/>
          <w:sz w:val="24"/>
          <w:szCs w:val="24"/>
        </w:rPr>
        <w:br/>
        <w:t xml:space="preserve"> </w:t>
      </w:r>
      <w:r w:rsidR="00DA3BE0">
        <w:rPr>
          <w:rFonts w:ascii="Garamond" w:hAnsi="Garamond"/>
          <w:sz w:val="24"/>
          <w:szCs w:val="24"/>
        </w:rPr>
        <w:tab/>
      </w:r>
      <w:r w:rsidR="00DA3BE0">
        <w:rPr>
          <w:rFonts w:ascii="Garamond" w:hAnsi="Garamond" w:cs="Times New Roman"/>
          <w:color w:val="262626"/>
          <w:sz w:val="24"/>
          <w:szCs w:val="24"/>
          <w:lang w:val="en-US"/>
        </w:rPr>
        <w:t>Chakrabarty has argued that t</w:t>
      </w:r>
      <w:r w:rsidR="00DA3BE0" w:rsidRPr="00A903E5">
        <w:rPr>
          <w:rFonts w:ascii="Garamond" w:hAnsi="Garamond" w:cs="Times New Roman"/>
          <w:color w:val="000000"/>
          <w:sz w:val="24"/>
          <w:szCs w:val="24"/>
          <w:lang w:val="en-US"/>
        </w:rPr>
        <w:t xml:space="preserve">he </w:t>
      </w:r>
      <w:r w:rsidR="00DA3BE0">
        <w:rPr>
          <w:rFonts w:ascii="Garamond" w:hAnsi="Garamond" w:cs="Times New Roman"/>
          <w:color w:val="000000"/>
          <w:sz w:val="24"/>
          <w:szCs w:val="24"/>
          <w:lang w:val="en-US"/>
        </w:rPr>
        <w:t xml:space="preserve">entire </w:t>
      </w:r>
      <w:r w:rsidR="00DA3BE0" w:rsidRPr="00A903E5">
        <w:rPr>
          <w:rFonts w:ascii="Garamond" w:hAnsi="Garamond" w:cs="Times New Roman"/>
          <w:color w:val="000000"/>
          <w:sz w:val="24"/>
          <w:szCs w:val="24"/>
          <w:lang w:val="en-US"/>
        </w:rPr>
        <w:t>phenomenon of ‘political modernity’, namely the rule by modern</w:t>
      </w:r>
      <w:r w:rsidR="00DA3BE0">
        <w:rPr>
          <w:rFonts w:ascii="Garamond" w:hAnsi="Garamond" w:cs="Times New Roman"/>
          <w:color w:val="262626"/>
          <w:sz w:val="24"/>
          <w:szCs w:val="24"/>
          <w:lang w:val="en-US"/>
        </w:rPr>
        <w:t xml:space="preserve"> </w:t>
      </w:r>
      <w:r w:rsidR="00DA3BE0" w:rsidRPr="00A903E5">
        <w:rPr>
          <w:rFonts w:ascii="Garamond" w:hAnsi="Garamond" w:cs="Times New Roman"/>
          <w:color w:val="000000"/>
          <w:sz w:val="24"/>
          <w:szCs w:val="24"/>
          <w:lang w:val="en-US"/>
        </w:rPr>
        <w:t>institutions of the state, bureaucracy, and capitalist enterprise—is</w:t>
      </w:r>
      <w:r w:rsidR="00DA3BE0">
        <w:rPr>
          <w:rFonts w:ascii="Garamond" w:hAnsi="Garamond" w:cs="Times New Roman"/>
          <w:color w:val="262626"/>
          <w:sz w:val="24"/>
          <w:szCs w:val="24"/>
          <w:lang w:val="en-US"/>
        </w:rPr>
        <w:t xml:space="preserve"> </w:t>
      </w:r>
      <w:r w:rsidR="00DA3BE0" w:rsidRPr="00A903E5">
        <w:rPr>
          <w:rFonts w:ascii="Garamond" w:hAnsi="Garamond" w:cs="Times New Roman"/>
          <w:color w:val="000000"/>
          <w:sz w:val="24"/>
          <w:szCs w:val="24"/>
          <w:lang w:val="en-US"/>
        </w:rPr>
        <w:t xml:space="preserve">impossible to think of </w:t>
      </w:r>
      <w:r w:rsidR="00DA3BE0" w:rsidRPr="00A903E5">
        <w:rPr>
          <w:rFonts w:ascii="Garamond" w:hAnsi="Garamond" w:cs="Times New Roman"/>
          <w:i/>
          <w:color w:val="000000"/>
          <w:sz w:val="24"/>
          <w:szCs w:val="24"/>
          <w:lang w:val="en-US"/>
        </w:rPr>
        <w:t>anywhere in the world</w:t>
      </w:r>
      <w:r w:rsidR="00DA3BE0" w:rsidRPr="00A903E5">
        <w:rPr>
          <w:rFonts w:ascii="Garamond" w:hAnsi="Garamond" w:cs="Times New Roman"/>
          <w:color w:val="000000"/>
          <w:sz w:val="24"/>
          <w:szCs w:val="24"/>
          <w:lang w:val="en-US"/>
        </w:rPr>
        <w:t xml:space="preserve"> without invoking certain</w:t>
      </w:r>
      <w:r w:rsidR="00DA3BE0">
        <w:rPr>
          <w:rFonts w:ascii="Garamond" w:hAnsi="Garamond" w:cs="Times New Roman"/>
          <w:color w:val="262626"/>
          <w:sz w:val="24"/>
          <w:szCs w:val="24"/>
          <w:lang w:val="en-US"/>
        </w:rPr>
        <w:t xml:space="preserve"> </w:t>
      </w:r>
      <w:r w:rsidR="00DA3BE0" w:rsidRPr="00A903E5">
        <w:rPr>
          <w:rFonts w:ascii="Garamond" w:hAnsi="Garamond" w:cs="Times New Roman"/>
          <w:color w:val="000000"/>
          <w:sz w:val="24"/>
          <w:szCs w:val="24"/>
          <w:lang w:val="en-US"/>
        </w:rPr>
        <w:t>categories and concepts, the genealogies of which go deep into the</w:t>
      </w:r>
      <w:r w:rsidR="00DA3BE0">
        <w:rPr>
          <w:rFonts w:ascii="Garamond" w:hAnsi="Garamond" w:cs="Times New Roman"/>
          <w:color w:val="262626"/>
          <w:sz w:val="24"/>
          <w:szCs w:val="24"/>
          <w:lang w:val="en-US"/>
        </w:rPr>
        <w:t xml:space="preserve"> </w:t>
      </w:r>
      <w:r w:rsidR="00DA3BE0" w:rsidRPr="00A903E5">
        <w:rPr>
          <w:rFonts w:ascii="Garamond" w:hAnsi="Garamond" w:cs="Times New Roman"/>
          <w:color w:val="000000"/>
          <w:sz w:val="24"/>
          <w:szCs w:val="24"/>
          <w:lang w:val="en-US"/>
        </w:rPr>
        <w:t>intellectual and even theological traditions of Europe</w:t>
      </w:r>
      <w:r w:rsidR="00DA3BE0">
        <w:rPr>
          <w:rFonts w:ascii="Garamond" w:hAnsi="Garamond" w:cs="Times New Roman"/>
          <w:color w:val="000000"/>
          <w:sz w:val="24"/>
          <w:szCs w:val="24"/>
          <w:lang w:val="en-US"/>
        </w:rPr>
        <w:t>.</w:t>
      </w:r>
      <w:r w:rsidR="00DA3BE0">
        <w:rPr>
          <w:rStyle w:val="FootnoteReference"/>
          <w:rFonts w:ascii="Garamond" w:hAnsi="Garamond" w:cs="Times New Roman"/>
          <w:color w:val="000000"/>
          <w:sz w:val="24"/>
          <w:szCs w:val="24"/>
          <w:lang w:val="en-US"/>
        </w:rPr>
        <w:footnoteReference w:id="43"/>
      </w:r>
      <w:r w:rsidR="00DA3BE0">
        <w:rPr>
          <w:rFonts w:ascii="Garamond" w:hAnsi="Garamond" w:cs="Times New Roman"/>
          <w:color w:val="000000"/>
          <w:sz w:val="24"/>
          <w:szCs w:val="24"/>
          <w:lang w:val="en-US"/>
        </w:rPr>
        <w:t xml:space="preserve"> </w:t>
      </w:r>
      <w:r w:rsidR="00DA3BE0">
        <w:rPr>
          <w:rFonts w:ascii="Garamond" w:hAnsi="Garamond"/>
          <w:sz w:val="24"/>
          <w:szCs w:val="24"/>
        </w:rPr>
        <w:t>T</w:t>
      </w:r>
      <w:r w:rsidR="004A3856" w:rsidRPr="00411AE0">
        <w:rPr>
          <w:rFonts w:ascii="Garamond" w:hAnsi="Garamond"/>
          <w:sz w:val="24"/>
          <w:szCs w:val="24"/>
        </w:rPr>
        <w:t xml:space="preserve">he obliteration of pre-existing diversity was an impulse expressing a fundamentally hegemonic </w:t>
      </w:r>
      <w:r w:rsidR="00922647">
        <w:rPr>
          <w:rFonts w:ascii="Garamond" w:hAnsi="Garamond"/>
          <w:sz w:val="24"/>
          <w:szCs w:val="24"/>
        </w:rPr>
        <w:t xml:space="preserve">European </w:t>
      </w:r>
      <w:r w:rsidR="00EB04FA">
        <w:rPr>
          <w:rFonts w:ascii="Garamond" w:hAnsi="Garamond"/>
          <w:sz w:val="24"/>
          <w:szCs w:val="24"/>
        </w:rPr>
        <w:t>ambition</w:t>
      </w:r>
      <w:r w:rsidR="00EB04FA" w:rsidRPr="00411AE0">
        <w:rPr>
          <w:rFonts w:ascii="Garamond" w:hAnsi="Garamond"/>
          <w:sz w:val="24"/>
          <w:szCs w:val="24"/>
        </w:rPr>
        <w:t xml:space="preserve"> </w:t>
      </w:r>
      <w:r w:rsidR="004A3856" w:rsidRPr="00411AE0">
        <w:rPr>
          <w:rFonts w:ascii="Garamond" w:hAnsi="Garamond"/>
          <w:sz w:val="24"/>
          <w:szCs w:val="24"/>
        </w:rPr>
        <w:t>with violent</w:t>
      </w:r>
      <w:r w:rsidR="00F57A78" w:rsidRPr="00411AE0">
        <w:rPr>
          <w:rFonts w:ascii="Garamond" w:hAnsi="Garamond"/>
          <w:sz w:val="24"/>
          <w:szCs w:val="24"/>
        </w:rPr>
        <w:t xml:space="preserve"> hierarchical</w:t>
      </w:r>
      <w:r w:rsidR="004A3856" w:rsidRPr="00411AE0">
        <w:rPr>
          <w:rFonts w:ascii="Garamond" w:hAnsi="Garamond"/>
          <w:sz w:val="24"/>
          <w:szCs w:val="24"/>
        </w:rPr>
        <w:t xml:space="preserve"> implications.</w:t>
      </w:r>
      <w:r w:rsidR="00C566CE" w:rsidRPr="00411AE0">
        <w:rPr>
          <w:rStyle w:val="FootnoteReference"/>
          <w:rFonts w:ascii="Garamond" w:hAnsi="Garamond"/>
          <w:sz w:val="24"/>
          <w:szCs w:val="24"/>
        </w:rPr>
        <w:footnoteReference w:id="44"/>
      </w:r>
      <w:r w:rsidR="004A3856" w:rsidRPr="00411AE0">
        <w:rPr>
          <w:rFonts w:ascii="Garamond" w:hAnsi="Garamond"/>
          <w:sz w:val="24"/>
          <w:szCs w:val="24"/>
        </w:rPr>
        <w:t xml:space="preserve"> </w:t>
      </w:r>
      <w:r w:rsidR="00B843D8" w:rsidRPr="00411AE0">
        <w:rPr>
          <w:rFonts w:ascii="Garamond" w:hAnsi="Garamond"/>
          <w:sz w:val="24"/>
          <w:szCs w:val="24"/>
        </w:rPr>
        <w:t xml:space="preserve">A variety of </w:t>
      </w:r>
      <w:r w:rsidR="001955B2" w:rsidRPr="00411AE0">
        <w:rPr>
          <w:rFonts w:ascii="Garamond" w:hAnsi="Garamond"/>
          <w:sz w:val="24"/>
          <w:szCs w:val="24"/>
        </w:rPr>
        <w:t xml:space="preserve">mystifications </w:t>
      </w:r>
      <w:r w:rsidR="00B843D8" w:rsidRPr="00411AE0">
        <w:rPr>
          <w:rFonts w:ascii="Garamond" w:hAnsi="Garamond"/>
          <w:sz w:val="24"/>
          <w:szCs w:val="24"/>
        </w:rPr>
        <w:t>enable</w:t>
      </w:r>
      <w:r w:rsidR="00FF3BD4" w:rsidRPr="00411AE0">
        <w:rPr>
          <w:rFonts w:ascii="Garamond" w:hAnsi="Garamond"/>
          <w:sz w:val="24"/>
          <w:szCs w:val="24"/>
        </w:rPr>
        <w:t>d</w:t>
      </w:r>
      <w:r w:rsidR="00B843D8" w:rsidRPr="00411AE0">
        <w:rPr>
          <w:rFonts w:ascii="Garamond" w:hAnsi="Garamond"/>
          <w:sz w:val="24"/>
          <w:szCs w:val="24"/>
        </w:rPr>
        <w:t xml:space="preserve"> E</w:t>
      </w:r>
      <w:r w:rsidR="005D45EB" w:rsidRPr="00411AE0">
        <w:rPr>
          <w:rFonts w:ascii="Garamond" w:hAnsi="Garamond"/>
          <w:sz w:val="24"/>
          <w:szCs w:val="24"/>
        </w:rPr>
        <w:t>uropean</w:t>
      </w:r>
      <w:r w:rsidR="00B843D8" w:rsidRPr="00411AE0">
        <w:rPr>
          <w:rFonts w:ascii="Garamond" w:hAnsi="Garamond"/>
          <w:sz w:val="24"/>
          <w:szCs w:val="24"/>
        </w:rPr>
        <w:t xml:space="preserve"> mastery: </w:t>
      </w:r>
      <w:r w:rsidR="001E278B">
        <w:rPr>
          <w:rFonts w:ascii="Garamond" w:hAnsi="Garamond"/>
          <w:sz w:val="24"/>
          <w:szCs w:val="24"/>
        </w:rPr>
        <w:t xml:space="preserve">gender, </w:t>
      </w:r>
      <w:r w:rsidR="00B843D8" w:rsidRPr="00411AE0">
        <w:rPr>
          <w:rFonts w:ascii="Garamond" w:hAnsi="Garamond"/>
          <w:sz w:val="24"/>
          <w:szCs w:val="24"/>
        </w:rPr>
        <w:t>race, time, subjectivity and Christianity</w:t>
      </w:r>
      <w:r w:rsidR="00732C78" w:rsidRPr="00411AE0">
        <w:rPr>
          <w:rFonts w:ascii="Garamond" w:hAnsi="Garamond"/>
          <w:sz w:val="24"/>
          <w:szCs w:val="24"/>
        </w:rPr>
        <w:t xml:space="preserve"> </w:t>
      </w:r>
      <w:r w:rsidR="00B843D8" w:rsidRPr="00411AE0">
        <w:rPr>
          <w:rFonts w:ascii="Garamond" w:hAnsi="Garamond"/>
          <w:sz w:val="24"/>
          <w:szCs w:val="24"/>
        </w:rPr>
        <w:t xml:space="preserve">converged into </w:t>
      </w:r>
      <w:r w:rsidR="0030422E">
        <w:rPr>
          <w:rFonts w:ascii="Garamond" w:hAnsi="Garamond"/>
          <w:sz w:val="24"/>
          <w:szCs w:val="24"/>
        </w:rPr>
        <w:t>the</w:t>
      </w:r>
      <w:r w:rsidR="0030422E" w:rsidRPr="00411AE0">
        <w:rPr>
          <w:rFonts w:ascii="Garamond" w:hAnsi="Garamond"/>
          <w:sz w:val="24"/>
          <w:szCs w:val="24"/>
        </w:rPr>
        <w:t xml:space="preserve"> </w:t>
      </w:r>
      <w:r w:rsidR="00B843D8" w:rsidRPr="00411AE0">
        <w:rPr>
          <w:rFonts w:ascii="Garamond" w:hAnsi="Garamond"/>
          <w:sz w:val="24"/>
          <w:szCs w:val="24"/>
        </w:rPr>
        <w:t xml:space="preserve">matrix of power </w:t>
      </w:r>
      <w:r w:rsidR="00363BB5" w:rsidRPr="00411AE0">
        <w:rPr>
          <w:rFonts w:ascii="Garamond" w:hAnsi="Garamond"/>
          <w:sz w:val="24"/>
          <w:szCs w:val="24"/>
        </w:rPr>
        <w:t xml:space="preserve">described by </w:t>
      </w:r>
      <w:r w:rsidR="005D45EB" w:rsidRPr="00411AE0">
        <w:rPr>
          <w:rFonts w:ascii="Garamond" w:hAnsi="Garamond"/>
          <w:sz w:val="24"/>
          <w:szCs w:val="24"/>
        </w:rPr>
        <w:t>Quijano</w:t>
      </w:r>
      <w:r w:rsidR="00363BB5" w:rsidRPr="00411AE0">
        <w:rPr>
          <w:rFonts w:ascii="Garamond" w:hAnsi="Garamond"/>
          <w:sz w:val="24"/>
          <w:szCs w:val="24"/>
        </w:rPr>
        <w:t xml:space="preserve"> </w:t>
      </w:r>
      <w:r w:rsidR="00B843D8" w:rsidRPr="00411AE0">
        <w:rPr>
          <w:rFonts w:ascii="Garamond" w:hAnsi="Garamond"/>
          <w:sz w:val="24"/>
          <w:szCs w:val="24"/>
        </w:rPr>
        <w:t xml:space="preserve">as </w:t>
      </w:r>
      <w:r w:rsidR="00363BB5" w:rsidRPr="00411AE0">
        <w:rPr>
          <w:rFonts w:ascii="Garamond" w:hAnsi="Garamond"/>
          <w:sz w:val="24"/>
          <w:szCs w:val="24"/>
        </w:rPr>
        <w:t>‘</w:t>
      </w:r>
      <w:r w:rsidR="00B843D8" w:rsidRPr="00411AE0">
        <w:rPr>
          <w:rFonts w:ascii="Garamond" w:hAnsi="Garamond"/>
          <w:sz w:val="24"/>
          <w:szCs w:val="24"/>
        </w:rPr>
        <w:t>coloniality</w:t>
      </w:r>
      <w:r w:rsidR="00363BB5" w:rsidRPr="00411AE0">
        <w:rPr>
          <w:rFonts w:ascii="Garamond" w:hAnsi="Garamond"/>
          <w:sz w:val="24"/>
          <w:szCs w:val="24"/>
        </w:rPr>
        <w:t>’</w:t>
      </w:r>
      <w:r w:rsidR="00B843D8" w:rsidRPr="00411AE0">
        <w:rPr>
          <w:rFonts w:ascii="Garamond" w:hAnsi="Garamond"/>
          <w:sz w:val="24"/>
          <w:szCs w:val="24"/>
        </w:rPr>
        <w:t>.</w:t>
      </w:r>
      <w:r w:rsidR="00B843D8" w:rsidRPr="00411AE0">
        <w:rPr>
          <w:rStyle w:val="FootnoteReference"/>
          <w:rFonts w:ascii="Garamond" w:hAnsi="Garamond"/>
          <w:sz w:val="24"/>
          <w:szCs w:val="24"/>
        </w:rPr>
        <w:footnoteReference w:id="45"/>
      </w:r>
      <w:r w:rsidR="00B843D8" w:rsidRPr="00411AE0">
        <w:rPr>
          <w:rFonts w:ascii="Garamond" w:hAnsi="Garamond"/>
          <w:sz w:val="24"/>
          <w:szCs w:val="24"/>
        </w:rPr>
        <w:t xml:space="preserve"> In this process, which </w:t>
      </w:r>
      <w:r w:rsidR="000A5E86" w:rsidRPr="00411AE0">
        <w:rPr>
          <w:rFonts w:ascii="Garamond" w:hAnsi="Garamond"/>
          <w:sz w:val="24"/>
          <w:szCs w:val="24"/>
        </w:rPr>
        <w:t>was</w:t>
      </w:r>
      <w:r w:rsidR="00F57A78" w:rsidRPr="00411AE0">
        <w:rPr>
          <w:rFonts w:ascii="Garamond" w:hAnsi="Garamond"/>
          <w:sz w:val="24"/>
          <w:szCs w:val="24"/>
        </w:rPr>
        <w:t>—again—</w:t>
      </w:r>
      <w:r w:rsidR="00016522">
        <w:rPr>
          <w:rFonts w:ascii="Garamond" w:hAnsi="Garamond"/>
          <w:sz w:val="24"/>
          <w:szCs w:val="24"/>
        </w:rPr>
        <w:t>largely</w:t>
      </w:r>
      <w:r w:rsidR="00284B10">
        <w:rPr>
          <w:rFonts w:ascii="Garamond" w:hAnsi="Garamond"/>
          <w:sz w:val="24"/>
          <w:szCs w:val="24"/>
        </w:rPr>
        <w:t xml:space="preserve"> </w:t>
      </w:r>
      <w:r w:rsidR="000A5E86" w:rsidRPr="00411AE0">
        <w:rPr>
          <w:rFonts w:ascii="Garamond" w:hAnsi="Garamond"/>
          <w:sz w:val="24"/>
          <w:szCs w:val="24"/>
        </w:rPr>
        <w:t>a process</w:t>
      </w:r>
      <w:r w:rsidR="00B843D8" w:rsidRPr="00411AE0">
        <w:rPr>
          <w:rFonts w:ascii="Garamond" w:hAnsi="Garamond"/>
          <w:sz w:val="24"/>
          <w:szCs w:val="24"/>
        </w:rPr>
        <w:t xml:space="preserve"> of </w:t>
      </w:r>
      <w:r w:rsidR="00F57A78" w:rsidRPr="00411AE0">
        <w:rPr>
          <w:rFonts w:ascii="Garamond" w:hAnsi="Garamond"/>
          <w:sz w:val="24"/>
          <w:szCs w:val="24"/>
        </w:rPr>
        <w:t>state-</w:t>
      </w:r>
      <w:r w:rsidR="00B843D8" w:rsidRPr="00411AE0">
        <w:rPr>
          <w:rFonts w:ascii="Garamond" w:hAnsi="Garamond"/>
          <w:sz w:val="24"/>
          <w:szCs w:val="24"/>
        </w:rPr>
        <w:t>corporate colonisation,</w:t>
      </w:r>
      <w:r w:rsidR="000A5E86" w:rsidRPr="00411AE0">
        <w:rPr>
          <w:rStyle w:val="FootnoteReference"/>
          <w:rFonts w:ascii="Garamond" w:hAnsi="Garamond"/>
          <w:sz w:val="24"/>
          <w:szCs w:val="24"/>
        </w:rPr>
        <w:footnoteReference w:id="46"/>
      </w:r>
      <w:r w:rsidR="00B843D8" w:rsidRPr="00411AE0">
        <w:rPr>
          <w:rFonts w:ascii="Garamond" w:hAnsi="Garamond"/>
          <w:sz w:val="24"/>
          <w:szCs w:val="24"/>
        </w:rPr>
        <w:t xml:space="preserve"> </w:t>
      </w:r>
      <w:r w:rsidR="00B56BB1">
        <w:rPr>
          <w:rFonts w:ascii="Garamond" w:hAnsi="Garamond"/>
          <w:sz w:val="24"/>
          <w:szCs w:val="24"/>
        </w:rPr>
        <w:t xml:space="preserve">the homogenising </w:t>
      </w:r>
      <w:r w:rsidR="00B843D8" w:rsidRPr="00411AE0">
        <w:rPr>
          <w:rFonts w:ascii="Garamond" w:hAnsi="Garamond"/>
          <w:sz w:val="24"/>
          <w:szCs w:val="24"/>
        </w:rPr>
        <w:t xml:space="preserve">changes imposed </w:t>
      </w:r>
      <w:r w:rsidR="00CD04A9" w:rsidRPr="00411AE0">
        <w:rPr>
          <w:rFonts w:ascii="Garamond" w:hAnsi="Garamond"/>
          <w:sz w:val="24"/>
          <w:szCs w:val="24"/>
        </w:rPr>
        <w:t>by European</w:t>
      </w:r>
      <w:r w:rsidR="0017435E" w:rsidRPr="00411AE0">
        <w:rPr>
          <w:rFonts w:ascii="Garamond" w:hAnsi="Garamond"/>
          <w:sz w:val="24"/>
          <w:szCs w:val="24"/>
        </w:rPr>
        <w:t>s</w:t>
      </w:r>
      <w:r w:rsidR="00CD04A9" w:rsidRPr="00411AE0">
        <w:rPr>
          <w:rFonts w:ascii="Garamond" w:hAnsi="Garamond"/>
          <w:sz w:val="24"/>
          <w:szCs w:val="24"/>
        </w:rPr>
        <w:t xml:space="preserve"> </w:t>
      </w:r>
      <w:r w:rsidR="00B843D8" w:rsidRPr="00411AE0">
        <w:rPr>
          <w:rFonts w:ascii="Garamond" w:hAnsi="Garamond"/>
          <w:sz w:val="24"/>
          <w:szCs w:val="24"/>
        </w:rPr>
        <w:t xml:space="preserve">resulted in a wave of </w:t>
      </w:r>
      <w:r w:rsidR="00693EB4" w:rsidRPr="00411AE0">
        <w:rPr>
          <w:rFonts w:ascii="Garamond" w:hAnsi="Garamond"/>
          <w:sz w:val="24"/>
          <w:szCs w:val="24"/>
        </w:rPr>
        <w:t xml:space="preserve">material and semiotic </w:t>
      </w:r>
      <w:r w:rsidR="00B843D8" w:rsidRPr="00411AE0">
        <w:rPr>
          <w:rFonts w:ascii="Garamond" w:hAnsi="Garamond"/>
          <w:sz w:val="24"/>
          <w:szCs w:val="24"/>
        </w:rPr>
        <w:t>dispossessi</w:t>
      </w:r>
      <w:r w:rsidR="00CD04A9" w:rsidRPr="00411AE0">
        <w:rPr>
          <w:rFonts w:ascii="Garamond" w:hAnsi="Garamond"/>
          <w:sz w:val="24"/>
          <w:szCs w:val="24"/>
        </w:rPr>
        <w:t>ons</w:t>
      </w:r>
      <w:r w:rsidR="003831DE" w:rsidRPr="00411AE0">
        <w:rPr>
          <w:rFonts w:ascii="Garamond" w:hAnsi="Garamond"/>
          <w:sz w:val="24"/>
          <w:szCs w:val="24"/>
        </w:rPr>
        <w:t>:</w:t>
      </w:r>
      <w:r w:rsidR="00363BB5" w:rsidRPr="00411AE0">
        <w:rPr>
          <w:rFonts w:ascii="Garamond" w:hAnsi="Garamond"/>
          <w:sz w:val="24"/>
          <w:szCs w:val="24"/>
        </w:rPr>
        <w:t xml:space="preserve"> </w:t>
      </w:r>
    </w:p>
    <w:p w14:paraId="796A6B00" w14:textId="27DEB167" w:rsidR="001B0EF3" w:rsidRPr="00411AE0" w:rsidRDefault="00F2509C" w:rsidP="00F2509C">
      <w:pPr>
        <w:spacing w:line="240" w:lineRule="auto"/>
        <w:ind w:left="720"/>
        <w:rPr>
          <w:rFonts w:ascii="Garamond" w:hAnsi="Garamond"/>
          <w:sz w:val="24"/>
          <w:szCs w:val="24"/>
        </w:rPr>
      </w:pPr>
      <w:r w:rsidRPr="00411AE0">
        <w:rPr>
          <w:rFonts w:ascii="Garamond" w:hAnsi="Garamond"/>
        </w:rPr>
        <w:t>T</w:t>
      </w:r>
      <w:r w:rsidR="00B843D8" w:rsidRPr="00411AE0">
        <w:rPr>
          <w:rFonts w:ascii="Garamond" w:hAnsi="Garamond"/>
        </w:rPr>
        <w:t xml:space="preserve">he dispossessed frequently </w:t>
      </w:r>
      <w:r w:rsidR="00B843D8" w:rsidRPr="00411AE0">
        <w:rPr>
          <w:rFonts w:ascii="Garamond" w:hAnsi="Garamond"/>
          <w:lang w:val="en-US"/>
        </w:rPr>
        <w:t>faced poverty and starvation, and the original accommodated relations between environment, humans and animals were fractured, sometimes beyond repair. European hegemony replaced such broken communities with hierarchical interventions, ontologies and European</w:t>
      </w:r>
      <w:r w:rsidR="00B843D8" w:rsidRPr="00411AE0">
        <w:rPr>
          <w:rFonts w:ascii="Garamond" w:hAnsi="Garamond"/>
        </w:rPr>
        <w:t xml:space="preserve"> </w:t>
      </w:r>
      <w:r w:rsidR="00B843D8" w:rsidRPr="00411AE0">
        <w:rPr>
          <w:rFonts w:ascii="Garamond" w:hAnsi="Garamond"/>
          <w:lang w:val="en-US"/>
        </w:rPr>
        <w:t>epistemologies imposed or imbibed through colonial institutions</w:t>
      </w:r>
      <w:r w:rsidR="00B843D8" w:rsidRPr="00411AE0">
        <w:rPr>
          <w:rFonts w:ascii="Garamond" w:hAnsi="Garamond"/>
          <w:sz w:val="24"/>
          <w:szCs w:val="24"/>
          <w:lang w:val="en-US"/>
        </w:rPr>
        <w:t>.</w:t>
      </w:r>
      <w:r w:rsidR="00B843D8" w:rsidRPr="00411AE0">
        <w:rPr>
          <w:rStyle w:val="FootnoteReference"/>
          <w:rFonts w:ascii="Garamond" w:hAnsi="Garamond"/>
          <w:sz w:val="24"/>
          <w:szCs w:val="24"/>
          <w:lang w:val="en-US"/>
        </w:rPr>
        <w:footnoteReference w:id="47"/>
      </w:r>
      <w:r w:rsidR="00CD04A9" w:rsidRPr="00411AE0">
        <w:rPr>
          <w:rFonts w:ascii="Garamond" w:hAnsi="Garamond"/>
          <w:sz w:val="24"/>
          <w:szCs w:val="24"/>
          <w:lang w:val="en-US"/>
        </w:rPr>
        <w:t xml:space="preserve"> </w:t>
      </w:r>
    </w:p>
    <w:p w14:paraId="7248FF5E" w14:textId="0B2EB1E5" w:rsidR="00CD04A9" w:rsidRPr="00411AE0" w:rsidRDefault="001B0EF3" w:rsidP="001B0EF3">
      <w:pPr>
        <w:spacing w:line="240" w:lineRule="auto"/>
        <w:rPr>
          <w:rFonts w:ascii="Garamond" w:hAnsi="Garamond"/>
          <w:b/>
          <w:i/>
          <w:sz w:val="24"/>
          <w:szCs w:val="24"/>
        </w:rPr>
      </w:pPr>
      <w:r w:rsidRPr="00411AE0">
        <w:rPr>
          <w:rFonts w:ascii="Garamond" w:hAnsi="Garamond"/>
          <w:sz w:val="24"/>
          <w:szCs w:val="24"/>
        </w:rPr>
        <w:tab/>
      </w:r>
      <w:r w:rsidR="00B843D8" w:rsidRPr="00411AE0">
        <w:rPr>
          <w:rFonts w:ascii="Garamond" w:hAnsi="Garamond"/>
          <w:sz w:val="24"/>
          <w:szCs w:val="24"/>
        </w:rPr>
        <w:t>European epistemological imperialism took control of ‘the writing of history’ and of ‘time’</w:t>
      </w:r>
      <w:r w:rsidR="009F73BB" w:rsidRPr="00411AE0">
        <w:rPr>
          <w:rFonts w:ascii="Garamond" w:hAnsi="Garamond"/>
          <w:sz w:val="24"/>
          <w:szCs w:val="24"/>
        </w:rPr>
        <w:t xml:space="preserve">, </w:t>
      </w:r>
      <w:r w:rsidR="00B843D8" w:rsidRPr="00411AE0">
        <w:rPr>
          <w:rFonts w:ascii="Garamond" w:hAnsi="Garamond"/>
          <w:sz w:val="24"/>
          <w:szCs w:val="24"/>
        </w:rPr>
        <w:t>which became linear, notionally objective</w:t>
      </w:r>
      <w:r w:rsidR="007801E4">
        <w:rPr>
          <w:rFonts w:ascii="Garamond" w:hAnsi="Garamond"/>
          <w:sz w:val="24"/>
          <w:szCs w:val="24"/>
        </w:rPr>
        <w:t>,</w:t>
      </w:r>
      <w:r w:rsidR="00B843D8" w:rsidRPr="00411AE0">
        <w:rPr>
          <w:rStyle w:val="FootnoteReference"/>
          <w:rFonts w:ascii="Garamond" w:hAnsi="Garamond"/>
          <w:sz w:val="24"/>
          <w:szCs w:val="24"/>
        </w:rPr>
        <w:footnoteReference w:id="48"/>
      </w:r>
      <w:r w:rsidR="00B843D8" w:rsidRPr="00411AE0">
        <w:rPr>
          <w:rFonts w:ascii="Garamond" w:hAnsi="Garamond"/>
          <w:sz w:val="24"/>
          <w:szCs w:val="24"/>
        </w:rPr>
        <w:t xml:space="preserve"> </w:t>
      </w:r>
      <w:r w:rsidR="00CB020F" w:rsidRPr="00411AE0">
        <w:rPr>
          <w:rFonts w:ascii="Garamond" w:hAnsi="Garamond"/>
          <w:sz w:val="24"/>
          <w:szCs w:val="24"/>
        </w:rPr>
        <w:t>suppress</w:t>
      </w:r>
      <w:r w:rsidR="007801E4">
        <w:rPr>
          <w:rFonts w:ascii="Garamond" w:hAnsi="Garamond"/>
          <w:sz w:val="24"/>
          <w:szCs w:val="24"/>
        </w:rPr>
        <w:t>ing</w:t>
      </w:r>
      <w:r w:rsidR="00CB020F" w:rsidRPr="00411AE0">
        <w:rPr>
          <w:rFonts w:ascii="Garamond" w:hAnsi="Garamond"/>
          <w:sz w:val="24"/>
          <w:szCs w:val="24"/>
        </w:rPr>
        <w:t xml:space="preserve"> </w:t>
      </w:r>
      <w:r w:rsidR="009F73BB" w:rsidRPr="00411AE0">
        <w:rPr>
          <w:rFonts w:ascii="Garamond" w:hAnsi="Garamond"/>
          <w:sz w:val="24"/>
          <w:szCs w:val="24"/>
        </w:rPr>
        <w:t>other</w:t>
      </w:r>
      <w:r w:rsidR="00F2509C" w:rsidRPr="00411AE0">
        <w:rPr>
          <w:rFonts w:ascii="Garamond" w:hAnsi="Garamond"/>
          <w:sz w:val="24"/>
          <w:szCs w:val="24"/>
        </w:rPr>
        <w:t xml:space="preserve"> temporalities and</w:t>
      </w:r>
      <w:r w:rsidR="00B843D8" w:rsidRPr="00411AE0">
        <w:rPr>
          <w:rFonts w:ascii="Garamond" w:hAnsi="Garamond"/>
          <w:sz w:val="24"/>
          <w:szCs w:val="24"/>
        </w:rPr>
        <w:t xml:space="preserve"> </w:t>
      </w:r>
      <w:r w:rsidR="00693EB4" w:rsidRPr="00411AE0">
        <w:rPr>
          <w:rFonts w:ascii="Garamond" w:hAnsi="Garamond"/>
          <w:sz w:val="24"/>
          <w:szCs w:val="24"/>
        </w:rPr>
        <w:t xml:space="preserve">the </w:t>
      </w:r>
      <w:r w:rsidR="00693EB4" w:rsidRPr="00411AE0">
        <w:rPr>
          <w:rFonts w:ascii="Garamond" w:hAnsi="Garamond"/>
          <w:sz w:val="24"/>
          <w:szCs w:val="24"/>
        </w:rPr>
        <w:lastRenderedPageBreak/>
        <w:t xml:space="preserve">multiple </w:t>
      </w:r>
      <w:r w:rsidR="00B843D8" w:rsidRPr="00411AE0">
        <w:rPr>
          <w:rFonts w:ascii="Garamond" w:hAnsi="Garamond"/>
          <w:sz w:val="24"/>
          <w:szCs w:val="24"/>
        </w:rPr>
        <w:t xml:space="preserve">‘stories’ </w:t>
      </w:r>
      <w:r w:rsidR="00CB020F" w:rsidRPr="00411AE0">
        <w:rPr>
          <w:rFonts w:ascii="Garamond" w:hAnsi="Garamond"/>
          <w:sz w:val="24"/>
          <w:szCs w:val="24"/>
        </w:rPr>
        <w:t>expressing</w:t>
      </w:r>
      <w:r w:rsidR="00B843D8" w:rsidRPr="00411AE0">
        <w:rPr>
          <w:rFonts w:ascii="Garamond" w:hAnsi="Garamond"/>
          <w:sz w:val="24"/>
          <w:szCs w:val="24"/>
        </w:rPr>
        <w:t xml:space="preserve"> different world conceptions</w:t>
      </w:r>
      <w:r w:rsidR="003831DE" w:rsidRPr="00411AE0">
        <w:rPr>
          <w:rFonts w:ascii="Garamond" w:hAnsi="Garamond"/>
          <w:sz w:val="24"/>
          <w:szCs w:val="24"/>
        </w:rPr>
        <w:t xml:space="preserve"> and histories</w:t>
      </w:r>
      <w:r w:rsidR="00B843D8" w:rsidRPr="00411AE0">
        <w:rPr>
          <w:rFonts w:ascii="Garamond" w:hAnsi="Garamond"/>
          <w:sz w:val="24"/>
          <w:szCs w:val="24"/>
        </w:rPr>
        <w:t>.</w:t>
      </w:r>
      <w:r w:rsidR="00B843D8" w:rsidRPr="00411AE0">
        <w:rPr>
          <w:rStyle w:val="FootnoteReference"/>
          <w:rFonts w:ascii="Garamond" w:hAnsi="Garamond"/>
          <w:sz w:val="24"/>
          <w:szCs w:val="24"/>
        </w:rPr>
        <w:footnoteReference w:id="49"/>
      </w:r>
      <w:r w:rsidR="00B843D8" w:rsidRPr="00411AE0">
        <w:rPr>
          <w:rFonts w:ascii="Garamond" w:hAnsi="Garamond"/>
          <w:sz w:val="24"/>
          <w:szCs w:val="24"/>
        </w:rPr>
        <w:t xml:space="preserve"> </w:t>
      </w:r>
      <w:r w:rsidR="00CD04A9" w:rsidRPr="00411AE0">
        <w:rPr>
          <w:rFonts w:ascii="Garamond" w:hAnsi="Garamond"/>
          <w:sz w:val="24"/>
          <w:szCs w:val="24"/>
        </w:rPr>
        <w:t xml:space="preserve">Over time, </w:t>
      </w:r>
      <w:r w:rsidR="00B843D8" w:rsidRPr="00411AE0">
        <w:rPr>
          <w:rFonts w:ascii="Garamond" w:hAnsi="Garamond"/>
          <w:sz w:val="24"/>
          <w:szCs w:val="24"/>
        </w:rPr>
        <w:t xml:space="preserve">European ‘modernity’ </w:t>
      </w:r>
      <w:r w:rsidR="003831DE" w:rsidRPr="00411AE0">
        <w:rPr>
          <w:rFonts w:ascii="Garamond" w:hAnsi="Garamond"/>
          <w:sz w:val="24"/>
          <w:szCs w:val="24"/>
        </w:rPr>
        <w:t>converged</w:t>
      </w:r>
      <w:r w:rsidR="00B843D8" w:rsidRPr="00411AE0">
        <w:rPr>
          <w:rFonts w:ascii="Garamond" w:hAnsi="Garamond"/>
          <w:sz w:val="24"/>
          <w:szCs w:val="24"/>
        </w:rPr>
        <w:t xml:space="preserve"> with colonialism in a </w:t>
      </w:r>
      <w:r w:rsidR="007801E4">
        <w:rPr>
          <w:rFonts w:ascii="Garamond" w:hAnsi="Garamond"/>
          <w:sz w:val="24"/>
          <w:szCs w:val="24"/>
        </w:rPr>
        <w:t xml:space="preserve">totalising </w:t>
      </w:r>
      <w:r w:rsidR="00B843D8" w:rsidRPr="00411AE0">
        <w:rPr>
          <w:rFonts w:ascii="Garamond" w:hAnsi="Garamond"/>
          <w:sz w:val="24"/>
          <w:szCs w:val="24"/>
        </w:rPr>
        <w:t>matrix of power controlling economy, knowledge and subjectivity</w:t>
      </w:r>
      <w:r w:rsidR="005E6B10" w:rsidRPr="00411AE0">
        <w:rPr>
          <w:rFonts w:ascii="Garamond" w:hAnsi="Garamond"/>
          <w:sz w:val="24"/>
          <w:szCs w:val="24"/>
        </w:rPr>
        <w:t>,</w:t>
      </w:r>
      <w:r w:rsidR="00B843D8" w:rsidRPr="00411AE0">
        <w:rPr>
          <w:rStyle w:val="FootnoteReference"/>
          <w:rFonts w:ascii="Garamond" w:hAnsi="Garamond"/>
          <w:sz w:val="24"/>
          <w:szCs w:val="24"/>
        </w:rPr>
        <w:footnoteReference w:id="50"/>
      </w:r>
      <w:r w:rsidR="005E6B10" w:rsidRPr="00411AE0">
        <w:rPr>
          <w:rFonts w:ascii="Garamond" w:hAnsi="Garamond"/>
          <w:sz w:val="24"/>
          <w:szCs w:val="24"/>
        </w:rPr>
        <w:t xml:space="preserve"> </w:t>
      </w:r>
      <w:r w:rsidR="003831DE" w:rsidRPr="00411AE0">
        <w:rPr>
          <w:rFonts w:ascii="Garamond" w:hAnsi="Garamond"/>
          <w:sz w:val="24"/>
          <w:szCs w:val="24"/>
        </w:rPr>
        <w:t xml:space="preserve">and from the </w:t>
      </w:r>
      <w:r w:rsidR="00CD04A9" w:rsidRPr="00411AE0">
        <w:rPr>
          <w:rFonts w:ascii="Garamond" w:hAnsi="Garamond"/>
          <w:sz w:val="24"/>
          <w:szCs w:val="24"/>
          <w:lang w:val="en-US"/>
        </w:rPr>
        <w:t>19</w:t>
      </w:r>
      <w:r w:rsidR="00CD04A9" w:rsidRPr="00411AE0">
        <w:rPr>
          <w:rFonts w:ascii="Garamond" w:hAnsi="Garamond"/>
          <w:sz w:val="24"/>
          <w:szCs w:val="24"/>
          <w:vertAlign w:val="superscript"/>
          <w:lang w:val="en-US"/>
        </w:rPr>
        <w:t>th</w:t>
      </w:r>
      <w:r w:rsidR="00CD04A9" w:rsidRPr="00411AE0">
        <w:rPr>
          <w:rFonts w:ascii="Garamond" w:hAnsi="Garamond"/>
          <w:sz w:val="24"/>
          <w:szCs w:val="24"/>
          <w:lang w:val="en-US"/>
        </w:rPr>
        <w:t xml:space="preserve"> century onwards</w:t>
      </w:r>
      <w:r w:rsidR="001155CD" w:rsidRPr="00411AE0">
        <w:rPr>
          <w:rFonts w:ascii="Garamond" w:hAnsi="Garamond"/>
          <w:sz w:val="24"/>
          <w:szCs w:val="24"/>
          <w:lang w:val="en-US"/>
        </w:rPr>
        <w:t xml:space="preserve"> </w:t>
      </w:r>
      <w:r w:rsidR="00376899">
        <w:rPr>
          <w:rFonts w:ascii="Garamond" w:hAnsi="Garamond"/>
          <w:sz w:val="24"/>
          <w:szCs w:val="24"/>
          <w:lang w:val="en-US"/>
        </w:rPr>
        <w:t xml:space="preserve">shaped </w:t>
      </w:r>
      <w:r w:rsidR="0034154E" w:rsidRPr="00411AE0">
        <w:rPr>
          <w:rFonts w:ascii="Garamond" w:hAnsi="Garamond"/>
          <w:sz w:val="24"/>
          <w:szCs w:val="24"/>
          <w:lang w:val="en-US"/>
        </w:rPr>
        <w:t>the</w:t>
      </w:r>
      <w:r w:rsidR="003831DE" w:rsidRPr="00411AE0">
        <w:rPr>
          <w:rFonts w:ascii="Garamond" w:hAnsi="Garamond"/>
          <w:sz w:val="24"/>
          <w:szCs w:val="24"/>
          <w:lang w:val="en-US"/>
        </w:rPr>
        <w:t xml:space="preserve"> industrialised</w:t>
      </w:r>
      <w:r w:rsidR="00067B54">
        <w:rPr>
          <w:rFonts w:ascii="Garamond" w:hAnsi="Garamond"/>
          <w:sz w:val="24"/>
          <w:szCs w:val="24"/>
          <w:lang w:val="en-US"/>
        </w:rPr>
        <w:t xml:space="preserve"> </w:t>
      </w:r>
      <w:r w:rsidR="003831DE" w:rsidRPr="00411AE0">
        <w:rPr>
          <w:rFonts w:ascii="Garamond" w:hAnsi="Garamond"/>
          <w:sz w:val="24"/>
          <w:szCs w:val="24"/>
          <w:lang w:val="en-US"/>
        </w:rPr>
        <w:t>capitalist</w:t>
      </w:r>
      <w:r w:rsidR="00CD04A9" w:rsidRPr="00411AE0">
        <w:rPr>
          <w:rFonts w:ascii="Garamond" w:hAnsi="Garamond"/>
          <w:sz w:val="24"/>
          <w:szCs w:val="24"/>
          <w:lang w:val="en-US"/>
        </w:rPr>
        <w:t xml:space="preserve"> foundations of the </w:t>
      </w:r>
      <w:r w:rsidR="004B2E61" w:rsidRPr="00411AE0">
        <w:rPr>
          <w:rFonts w:ascii="Garamond" w:hAnsi="Garamond"/>
          <w:sz w:val="24"/>
          <w:szCs w:val="24"/>
          <w:lang w:val="en-US"/>
        </w:rPr>
        <w:t xml:space="preserve">present </w:t>
      </w:r>
      <w:r w:rsidR="00CD04A9" w:rsidRPr="00411AE0">
        <w:rPr>
          <w:rFonts w:ascii="Garamond" w:hAnsi="Garamond"/>
          <w:sz w:val="24"/>
          <w:szCs w:val="24"/>
          <w:lang w:val="en-US"/>
        </w:rPr>
        <w:t>fossil fuel economy</w:t>
      </w:r>
      <w:r w:rsidR="00047DE1" w:rsidRPr="00411AE0">
        <w:rPr>
          <w:rStyle w:val="FootnoteReference"/>
          <w:rFonts w:ascii="Garamond" w:hAnsi="Garamond"/>
          <w:sz w:val="24"/>
          <w:szCs w:val="24"/>
          <w:lang w:val="en-US"/>
        </w:rPr>
        <w:footnoteReference w:id="51"/>
      </w:r>
      <w:r w:rsidR="00B80D9B" w:rsidRPr="00246B8C">
        <w:rPr>
          <w:rFonts w:ascii="Garamond" w:hAnsi="Garamond"/>
          <w:sz w:val="24"/>
          <w:szCs w:val="24"/>
          <w:lang w:val="en-US"/>
        </w:rPr>
        <w:t xml:space="preserve"> </w:t>
      </w:r>
      <w:r w:rsidR="00CC3B10" w:rsidRPr="00411AE0">
        <w:rPr>
          <w:rFonts w:ascii="Garamond" w:hAnsi="Garamond"/>
          <w:sz w:val="24"/>
          <w:szCs w:val="24"/>
          <w:lang w:val="en-US"/>
        </w:rPr>
        <w:t>and the intensification of the trajectory towards the Anthropocene horizon.</w:t>
      </w:r>
      <w:r w:rsidR="00CC3B10" w:rsidRPr="00411AE0">
        <w:rPr>
          <w:rStyle w:val="FootnoteReference"/>
          <w:rFonts w:ascii="Garamond" w:hAnsi="Garamond"/>
          <w:sz w:val="24"/>
          <w:szCs w:val="24"/>
          <w:lang w:val="en-US"/>
        </w:rPr>
        <w:footnoteReference w:id="52"/>
      </w:r>
      <w:r w:rsidR="00CD04A9" w:rsidRPr="00411AE0">
        <w:rPr>
          <w:rFonts w:ascii="Garamond" w:hAnsi="Garamond"/>
          <w:sz w:val="24"/>
          <w:szCs w:val="24"/>
          <w:lang w:val="en-US"/>
        </w:rPr>
        <w:t xml:space="preserve"> </w:t>
      </w:r>
      <w:r w:rsidR="0034154E" w:rsidRPr="00411AE0">
        <w:rPr>
          <w:rFonts w:ascii="Garamond" w:hAnsi="Garamond"/>
          <w:sz w:val="24"/>
          <w:szCs w:val="24"/>
          <w:lang w:val="en-US"/>
        </w:rPr>
        <w:t>Indeed, it was t</w:t>
      </w:r>
      <w:r w:rsidR="00CD04A9" w:rsidRPr="00411AE0">
        <w:rPr>
          <w:rFonts w:ascii="Garamond" w:hAnsi="Garamond"/>
          <w:sz w:val="24"/>
          <w:szCs w:val="24"/>
          <w:lang w:val="en-US"/>
        </w:rPr>
        <w:t>he opportunities provided by colonialism—the chance to accumulate land and raw materials to feed the Industrial Revolution unfolding in 19</w:t>
      </w:r>
      <w:r w:rsidR="00CD04A9" w:rsidRPr="00411AE0">
        <w:rPr>
          <w:rFonts w:ascii="Garamond" w:hAnsi="Garamond"/>
          <w:sz w:val="24"/>
          <w:szCs w:val="24"/>
          <w:vertAlign w:val="superscript"/>
          <w:lang w:val="en-US"/>
        </w:rPr>
        <w:t>th</w:t>
      </w:r>
      <w:r w:rsidR="00CD04A9" w:rsidRPr="00411AE0">
        <w:rPr>
          <w:rFonts w:ascii="Garamond" w:hAnsi="Garamond"/>
          <w:sz w:val="24"/>
          <w:szCs w:val="24"/>
          <w:lang w:val="en-US"/>
        </w:rPr>
        <w:t xml:space="preserve"> century Britain in particular, </w:t>
      </w:r>
      <w:r w:rsidR="0034154E" w:rsidRPr="00411AE0">
        <w:rPr>
          <w:rFonts w:ascii="Garamond" w:hAnsi="Garamond"/>
          <w:sz w:val="24"/>
          <w:szCs w:val="24"/>
          <w:lang w:val="en-US"/>
        </w:rPr>
        <w:t xml:space="preserve">that </w:t>
      </w:r>
      <w:r w:rsidR="00CD04A9" w:rsidRPr="00411AE0">
        <w:rPr>
          <w:rFonts w:ascii="Garamond" w:hAnsi="Garamond"/>
          <w:sz w:val="24"/>
          <w:szCs w:val="24"/>
          <w:lang w:val="en-US"/>
        </w:rPr>
        <w:t>provided the ‘rationale for investing in steam technology’</w:t>
      </w:r>
      <w:r w:rsidR="0010422E" w:rsidRPr="00411AE0">
        <w:rPr>
          <w:rFonts w:ascii="Garamond" w:hAnsi="Garamond"/>
          <w:sz w:val="24"/>
          <w:szCs w:val="24"/>
          <w:lang w:val="en-US"/>
        </w:rPr>
        <w:t>,</w:t>
      </w:r>
      <w:r w:rsidR="00CD04A9" w:rsidRPr="00411AE0">
        <w:rPr>
          <w:rStyle w:val="FootnoteReference"/>
          <w:rFonts w:ascii="Garamond" w:hAnsi="Garamond"/>
          <w:sz w:val="24"/>
          <w:szCs w:val="24"/>
          <w:lang w:val="en-US"/>
        </w:rPr>
        <w:footnoteReference w:id="53"/>
      </w:r>
      <w:r w:rsidR="00CD04A9" w:rsidRPr="00411AE0">
        <w:rPr>
          <w:rFonts w:ascii="Garamond" w:hAnsi="Garamond"/>
          <w:sz w:val="24"/>
          <w:szCs w:val="24"/>
          <w:lang w:val="en-US"/>
        </w:rPr>
        <w:t xml:space="preserve"> </w:t>
      </w:r>
      <w:r w:rsidR="0010422E" w:rsidRPr="00411AE0">
        <w:rPr>
          <w:rFonts w:ascii="Garamond" w:hAnsi="Garamond"/>
          <w:sz w:val="24"/>
          <w:szCs w:val="24"/>
          <w:lang w:val="en-US"/>
        </w:rPr>
        <w:t>a technology key to the spread of colonialism itself</w:t>
      </w:r>
      <w:r w:rsidR="0010422E" w:rsidRPr="00411AE0">
        <w:rPr>
          <w:rStyle w:val="FootnoteReference"/>
          <w:rFonts w:ascii="Garamond" w:hAnsi="Garamond"/>
          <w:sz w:val="24"/>
          <w:szCs w:val="24"/>
          <w:lang w:val="en-US"/>
        </w:rPr>
        <w:footnoteReference w:id="54"/>
      </w:r>
      <w:r w:rsidR="00EB3808" w:rsidRPr="00411AE0">
        <w:rPr>
          <w:rFonts w:ascii="Garamond" w:hAnsi="Garamond"/>
          <w:sz w:val="24"/>
          <w:szCs w:val="24"/>
          <w:lang w:val="en-US"/>
        </w:rPr>
        <w:t>—and famously linked by Crutzen to the inauguration of the Anthropocene epoch.</w:t>
      </w:r>
      <w:r w:rsidR="00EB3808" w:rsidRPr="00411AE0">
        <w:rPr>
          <w:rStyle w:val="FootnoteReference"/>
          <w:rFonts w:ascii="Garamond" w:hAnsi="Garamond"/>
          <w:sz w:val="24"/>
          <w:szCs w:val="24"/>
          <w:lang w:val="en-US"/>
        </w:rPr>
        <w:footnoteReference w:id="55"/>
      </w:r>
      <w:r w:rsidR="006B64B4" w:rsidRPr="00411AE0">
        <w:rPr>
          <w:rFonts w:ascii="Garamond" w:hAnsi="Garamond"/>
          <w:sz w:val="24"/>
          <w:szCs w:val="24"/>
          <w:lang w:val="en-US"/>
        </w:rPr>
        <w:t xml:space="preserve"> </w:t>
      </w:r>
      <w:r w:rsidR="000D5874" w:rsidRPr="00411AE0">
        <w:rPr>
          <w:rFonts w:ascii="Garamond" w:hAnsi="Garamond"/>
          <w:sz w:val="24"/>
          <w:szCs w:val="24"/>
          <w:lang w:val="en-US"/>
        </w:rPr>
        <w:t xml:space="preserve">As Malm and Hornborg point out, </w:t>
      </w:r>
    </w:p>
    <w:p w14:paraId="2DC0B4FE" w14:textId="1E4BED93" w:rsidR="006B64B4" w:rsidRPr="00411AE0" w:rsidRDefault="000D5874" w:rsidP="00CB0DFA">
      <w:pPr>
        <w:widowControl w:val="0"/>
        <w:autoSpaceDE w:val="0"/>
        <w:autoSpaceDN w:val="0"/>
        <w:adjustRightInd w:val="0"/>
        <w:spacing w:after="0" w:line="240" w:lineRule="auto"/>
        <w:ind w:left="720"/>
        <w:rPr>
          <w:rFonts w:ascii="Garamond" w:hAnsi="Garamond"/>
          <w:sz w:val="24"/>
          <w:szCs w:val="24"/>
        </w:rPr>
      </w:pPr>
      <w:r w:rsidRPr="00411AE0">
        <w:rPr>
          <w:rFonts w:ascii="Garamond" w:hAnsi="Garamond" w:cs="Times New Roman"/>
          <w:lang w:val="en-US"/>
        </w:rPr>
        <w:t xml:space="preserve">. . . </w:t>
      </w:r>
      <w:r w:rsidR="006B64B4" w:rsidRPr="00411AE0">
        <w:rPr>
          <w:rFonts w:ascii="Garamond" w:hAnsi="Garamond" w:cs="Times New Roman"/>
          <w:lang w:val="en-US"/>
        </w:rPr>
        <w:t xml:space="preserve">a clique of white British men literally pointed steam-power as a weapon </w:t>
      </w:r>
      <w:r w:rsidR="006B64B4" w:rsidRPr="00411AE0">
        <w:rPr>
          <w:rFonts w:ascii="Garamond" w:hAnsi="Garamond" w:cs="ˇıøW¸Á"/>
          <w:lang w:val="en-US"/>
        </w:rPr>
        <w:t xml:space="preserve">— </w:t>
      </w:r>
      <w:r w:rsidR="006B64B4" w:rsidRPr="00411AE0">
        <w:rPr>
          <w:rFonts w:ascii="Garamond" w:hAnsi="Garamond" w:cs="Times New Roman"/>
          <w:lang w:val="en-US"/>
        </w:rPr>
        <w:t xml:space="preserve">on sea and land, boats and rails </w:t>
      </w:r>
      <w:r w:rsidR="006B64B4" w:rsidRPr="00411AE0">
        <w:rPr>
          <w:rFonts w:ascii="Garamond" w:hAnsi="Garamond" w:cs="ˇıøW¸Á"/>
          <w:lang w:val="en-US"/>
        </w:rPr>
        <w:t xml:space="preserve">— </w:t>
      </w:r>
      <w:r w:rsidR="006B64B4" w:rsidRPr="00411AE0">
        <w:rPr>
          <w:rFonts w:ascii="Garamond" w:hAnsi="Garamond" w:cs="Times New Roman"/>
          <w:lang w:val="en-US"/>
        </w:rPr>
        <w:t>against the best part of humankind, from the Niger delta to the Yangzi delta, the Levant to Latin America. Capitalists in a small corner of the Western world invested in steam, laying the foundation stone for the fossil economy</w:t>
      </w:r>
      <w:r w:rsidR="006B64B4" w:rsidRPr="00411AE0">
        <w:rPr>
          <w:rFonts w:ascii="Garamond" w:hAnsi="Garamond" w:cs="Times New Roman"/>
          <w:sz w:val="24"/>
          <w:szCs w:val="24"/>
          <w:lang w:val="en-US"/>
        </w:rPr>
        <w:t>.</w:t>
      </w:r>
      <w:r w:rsidR="006B64B4" w:rsidRPr="00411AE0">
        <w:rPr>
          <w:rStyle w:val="FootnoteReference"/>
          <w:rFonts w:ascii="Garamond" w:hAnsi="Garamond" w:cs="Times New Roman"/>
          <w:sz w:val="24"/>
          <w:szCs w:val="24"/>
          <w:lang w:val="en-US"/>
        </w:rPr>
        <w:footnoteReference w:id="56"/>
      </w:r>
    </w:p>
    <w:p w14:paraId="54EC3B15" w14:textId="77777777" w:rsidR="006B64B4" w:rsidRPr="00411AE0" w:rsidRDefault="006B64B4" w:rsidP="00CB0DFA">
      <w:pPr>
        <w:widowControl w:val="0"/>
        <w:autoSpaceDE w:val="0"/>
        <w:autoSpaceDN w:val="0"/>
        <w:adjustRightInd w:val="0"/>
        <w:spacing w:after="0" w:line="240" w:lineRule="auto"/>
        <w:rPr>
          <w:rFonts w:ascii="Garamond" w:hAnsi="Garamond"/>
          <w:sz w:val="24"/>
          <w:szCs w:val="24"/>
        </w:rPr>
      </w:pPr>
    </w:p>
    <w:p w14:paraId="05A37810" w14:textId="04626048" w:rsidR="006B64B4" w:rsidRPr="00411AE0" w:rsidRDefault="006B64B4" w:rsidP="00CB0DFA">
      <w:pPr>
        <w:widowControl w:val="0"/>
        <w:autoSpaceDE w:val="0"/>
        <w:autoSpaceDN w:val="0"/>
        <w:adjustRightInd w:val="0"/>
        <w:spacing w:after="0" w:line="240" w:lineRule="auto"/>
        <w:rPr>
          <w:rFonts w:ascii="Garamond" w:hAnsi="Garamond" w:cs="ˇıøW¸Á"/>
          <w:sz w:val="24"/>
          <w:szCs w:val="24"/>
          <w:lang w:val="en-US"/>
        </w:rPr>
      </w:pPr>
      <w:r w:rsidRPr="00411AE0">
        <w:rPr>
          <w:rFonts w:ascii="Garamond" w:hAnsi="Garamond"/>
          <w:sz w:val="24"/>
          <w:szCs w:val="24"/>
        </w:rPr>
        <w:tab/>
        <w:t>As Anghie has argued, it was precisely this</w:t>
      </w:r>
      <w:r w:rsidRPr="00411AE0">
        <w:rPr>
          <w:rFonts w:ascii="Garamond" w:hAnsi="Garamond" w:cs="ˇıøW¸Á"/>
          <w:sz w:val="24"/>
          <w:szCs w:val="24"/>
          <w:lang w:val="en-US"/>
        </w:rPr>
        <w:t xml:space="preserve"> combination of colonial suppression and the </w:t>
      </w:r>
      <w:r w:rsidR="00B44C34" w:rsidRPr="00411AE0">
        <w:rPr>
          <w:rFonts w:ascii="Garamond" w:hAnsi="Garamond" w:cs="ˇıøW¸Á"/>
          <w:sz w:val="24"/>
          <w:szCs w:val="24"/>
          <w:lang w:val="en-US"/>
        </w:rPr>
        <w:t>competition between</w:t>
      </w:r>
      <w:r w:rsidRPr="00411AE0">
        <w:rPr>
          <w:rFonts w:ascii="Garamond" w:hAnsi="Garamond" w:cs="ˇıøW¸Á"/>
          <w:sz w:val="24"/>
          <w:szCs w:val="24"/>
          <w:lang w:val="en-US"/>
        </w:rPr>
        <w:t xml:space="preserve"> Northern states for natural resources that </w:t>
      </w:r>
      <w:r w:rsidR="00B44C34" w:rsidRPr="00411AE0">
        <w:rPr>
          <w:rFonts w:ascii="Garamond" w:hAnsi="Garamond" w:cs="ˇıøW¸Á"/>
          <w:sz w:val="24"/>
          <w:szCs w:val="24"/>
          <w:lang w:val="en-US"/>
        </w:rPr>
        <w:t xml:space="preserve">laid </w:t>
      </w:r>
      <w:r w:rsidRPr="00411AE0">
        <w:rPr>
          <w:rFonts w:ascii="Garamond" w:hAnsi="Garamond" w:cs="ˇıøW¸Á"/>
          <w:sz w:val="24"/>
          <w:szCs w:val="24"/>
          <w:lang w:val="en-US"/>
        </w:rPr>
        <w:t xml:space="preserve">the foundations of </w:t>
      </w:r>
      <w:r w:rsidRPr="00411AE0">
        <w:rPr>
          <w:rFonts w:ascii="Garamond" w:hAnsi="Garamond"/>
          <w:sz w:val="24"/>
          <w:szCs w:val="24"/>
        </w:rPr>
        <w:t xml:space="preserve">the </w:t>
      </w:r>
      <w:r w:rsidR="00F164DD" w:rsidRPr="00411AE0">
        <w:rPr>
          <w:rFonts w:ascii="Garamond" w:hAnsi="Garamond"/>
          <w:sz w:val="24"/>
          <w:szCs w:val="24"/>
        </w:rPr>
        <w:t xml:space="preserve">contemporary </w:t>
      </w:r>
      <w:r w:rsidRPr="00411AE0">
        <w:rPr>
          <w:rFonts w:ascii="Garamond" w:hAnsi="Garamond"/>
          <w:sz w:val="24"/>
          <w:szCs w:val="24"/>
        </w:rPr>
        <w:t>international legal order</w:t>
      </w:r>
      <w:r w:rsidRPr="00411AE0">
        <w:rPr>
          <w:rStyle w:val="FootnoteReference"/>
          <w:rFonts w:ascii="Garamond" w:hAnsi="Garamond"/>
          <w:sz w:val="24"/>
          <w:szCs w:val="24"/>
        </w:rPr>
        <w:footnoteReference w:id="57"/>
      </w:r>
      <w:r w:rsidR="00971641" w:rsidRPr="00411AE0">
        <w:rPr>
          <w:rFonts w:ascii="Garamond" w:hAnsi="Garamond"/>
          <w:sz w:val="24"/>
          <w:szCs w:val="24"/>
        </w:rPr>
        <w:t xml:space="preserve"> </w:t>
      </w:r>
      <w:r w:rsidR="001155CD" w:rsidRPr="00411AE0">
        <w:rPr>
          <w:rFonts w:ascii="Garamond" w:hAnsi="Garamond"/>
          <w:sz w:val="24"/>
          <w:szCs w:val="24"/>
        </w:rPr>
        <w:t xml:space="preserve">in </w:t>
      </w:r>
      <w:r w:rsidR="00CE326F" w:rsidRPr="00411AE0">
        <w:rPr>
          <w:rFonts w:ascii="Garamond" w:hAnsi="Garamond"/>
          <w:sz w:val="24"/>
          <w:szCs w:val="24"/>
        </w:rPr>
        <w:t>appropriative impulses</w:t>
      </w:r>
      <w:r w:rsidR="00E23CFB" w:rsidRPr="00411AE0">
        <w:rPr>
          <w:rFonts w:ascii="Garamond" w:hAnsi="Garamond"/>
          <w:sz w:val="24"/>
          <w:szCs w:val="24"/>
        </w:rPr>
        <w:t xml:space="preserve"> re-enacting </w:t>
      </w:r>
      <w:r w:rsidR="00CE326F" w:rsidRPr="00411AE0">
        <w:rPr>
          <w:rFonts w:ascii="Garamond" w:hAnsi="Garamond"/>
          <w:sz w:val="24"/>
          <w:szCs w:val="24"/>
        </w:rPr>
        <w:t>earlier colonising dynamics</w:t>
      </w:r>
      <w:r w:rsidR="00E23CFB" w:rsidRPr="00411AE0">
        <w:rPr>
          <w:rFonts w:ascii="Garamond" w:hAnsi="Garamond"/>
          <w:sz w:val="24"/>
          <w:szCs w:val="24"/>
        </w:rPr>
        <w:t xml:space="preserve"> and </w:t>
      </w:r>
      <w:r w:rsidR="00CE326F" w:rsidRPr="00411AE0">
        <w:rPr>
          <w:rFonts w:ascii="Garamond" w:hAnsi="Garamond"/>
          <w:sz w:val="24"/>
          <w:szCs w:val="24"/>
        </w:rPr>
        <w:t xml:space="preserve">extending the underlying ideology of </w:t>
      </w:r>
      <w:r w:rsidR="00E23CFB" w:rsidRPr="00411AE0">
        <w:rPr>
          <w:rFonts w:ascii="Garamond" w:hAnsi="Garamond"/>
          <w:sz w:val="24"/>
          <w:szCs w:val="24"/>
        </w:rPr>
        <w:t xml:space="preserve">Eurocentric </w:t>
      </w:r>
      <w:r w:rsidR="00CE326F" w:rsidRPr="00411AE0">
        <w:rPr>
          <w:rFonts w:ascii="Garamond" w:hAnsi="Garamond"/>
          <w:sz w:val="24"/>
          <w:szCs w:val="24"/>
        </w:rPr>
        <w:t>mastery</w:t>
      </w:r>
      <w:r w:rsidR="00C1790D" w:rsidRPr="00411AE0">
        <w:rPr>
          <w:rFonts w:ascii="Garamond" w:hAnsi="Garamond"/>
          <w:sz w:val="24"/>
          <w:szCs w:val="24"/>
        </w:rPr>
        <w:t>.</w:t>
      </w:r>
      <w:r w:rsidR="000D5874" w:rsidRPr="00411AE0">
        <w:rPr>
          <w:rFonts w:ascii="Garamond" w:hAnsi="Garamond"/>
          <w:sz w:val="24"/>
          <w:szCs w:val="24"/>
        </w:rPr>
        <w:t xml:space="preserve"> </w:t>
      </w:r>
    </w:p>
    <w:p w14:paraId="7DE472BD" w14:textId="45B9FD7C" w:rsidR="00970329" w:rsidRPr="00411AE0" w:rsidRDefault="00CE326F" w:rsidP="00DB4D50">
      <w:pPr>
        <w:widowControl w:val="0"/>
        <w:autoSpaceDE w:val="0"/>
        <w:autoSpaceDN w:val="0"/>
        <w:adjustRightInd w:val="0"/>
        <w:spacing w:after="0" w:line="240" w:lineRule="auto"/>
        <w:rPr>
          <w:rFonts w:ascii="Garamond" w:hAnsi="Garamond" w:cs="Times New Roman"/>
          <w:sz w:val="24"/>
          <w:szCs w:val="24"/>
          <w:lang w:val="en-US"/>
        </w:rPr>
      </w:pPr>
      <w:r w:rsidRPr="00411AE0">
        <w:rPr>
          <w:rFonts w:ascii="Garamond" w:hAnsi="Garamond"/>
          <w:sz w:val="24"/>
          <w:szCs w:val="24"/>
        </w:rPr>
        <w:tab/>
        <w:t>Law</w:t>
      </w:r>
      <w:r w:rsidR="00B00C2B" w:rsidRPr="00411AE0">
        <w:rPr>
          <w:rFonts w:ascii="Garamond" w:hAnsi="Garamond"/>
          <w:sz w:val="24"/>
          <w:szCs w:val="24"/>
        </w:rPr>
        <w:t xml:space="preserve"> was central to such trajectories</w:t>
      </w:r>
      <w:r w:rsidR="00D72E25" w:rsidRPr="00411AE0">
        <w:rPr>
          <w:rFonts w:ascii="Garamond" w:hAnsi="Garamond"/>
          <w:sz w:val="24"/>
          <w:szCs w:val="24"/>
        </w:rPr>
        <w:t xml:space="preserve">, defining </w:t>
      </w:r>
      <w:r w:rsidRPr="00411AE0">
        <w:rPr>
          <w:rFonts w:ascii="Garamond" w:hAnsi="Garamond"/>
          <w:sz w:val="24"/>
          <w:szCs w:val="24"/>
        </w:rPr>
        <w:t xml:space="preserve">the ‘subject’ through personhood and </w:t>
      </w:r>
      <w:r w:rsidR="00B00C2B" w:rsidRPr="00411AE0">
        <w:rPr>
          <w:rFonts w:ascii="Garamond" w:hAnsi="Garamond"/>
          <w:sz w:val="24"/>
          <w:szCs w:val="24"/>
        </w:rPr>
        <w:t xml:space="preserve">law’s </w:t>
      </w:r>
      <w:r w:rsidRPr="00411AE0">
        <w:rPr>
          <w:rFonts w:ascii="Garamond" w:hAnsi="Garamond"/>
          <w:sz w:val="24"/>
          <w:szCs w:val="24"/>
        </w:rPr>
        <w:t>reach through jurisdiction. The</w:t>
      </w:r>
      <w:r w:rsidR="000D5874" w:rsidRPr="00411AE0">
        <w:rPr>
          <w:rFonts w:ascii="Garamond" w:hAnsi="Garamond"/>
          <w:sz w:val="24"/>
          <w:szCs w:val="24"/>
        </w:rPr>
        <w:t xml:space="preserve"> legal </w:t>
      </w:r>
      <w:r w:rsidRPr="00411AE0">
        <w:rPr>
          <w:rFonts w:ascii="Garamond" w:hAnsi="Garamond"/>
          <w:sz w:val="24"/>
          <w:szCs w:val="24"/>
        </w:rPr>
        <w:t>constructs</w:t>
      </w:r>
      <w:r w:rsidR="000D5874" w:rsidRPr="00411AE0">
        <w:rPr>
          <w:rFonts w:ascii="Garamond" w:hAnsi="Garamond"/>
          <w:sz w:val="24"/>
          <w:szCs w:val="24"/>
        </w:rPr>
        <w:t xml:space="preserve"> legitimating Eurocentric power</w:t>
      </w:r>
      <w:r w:rsidRPr="00411AE0">
        <w:rPr>
          <w:rFonts w:ascii="Garamond" w:hAnsi="Garamond"/>
          <w:sz w:val="24"/>
          <w:szCs w:val="24"/>
        </w:rPr>
        <w:t xml:space="preserve"> were initially embedded in the premises of ‘natural law’ and of Christianity. Vitoria,</w:t>
      </w:r>
      <w:r w:rsidRPr="00411AE0">
        <w:rPr>
          <w:rStyle w:val="FootnoteReference"/>
          <w:rFonts w:ascii="Garamond" w:hAnsi="Garamond"/>
          <w:sz w:val="24"/>
          <w:szCs w:val="24"/>
        </w:rPr>
        <w:footnoteReference w:id="58"/>
      </w:r>
      <w:r w:rsidRPr="00411AE0">
        <w:rPr>
          <w:rFonts w:ascii="Garamond" w:hAnsi="Garamond"/>
          <w:sz w:val="24"/>
          <w:szCs w:val="24"/>
        </w:rPr>
        <w:t xml:space="preserve"> Suarez and the philosophers of the Spanish School of Salamanca found in natural law the expression of God’s will and</w:t>
      </w:r>
      <w:r w:rsidR="006B481E">
        <w:rPr>
          <w:rFonts w:ascii="Garamond" w:hAnsi="Garamond"/>
          <w:sz w:val="24"/>
          <w:szCs w:val="24"/>
        </w:rPr>
        <w:t xml:space="preserve"> thus constructed a</w:t>
      </w:r>
      <w:r w:rsidRPr="00411AE0">
        <w:rPr>
          <w:rFonts w:ascii="Garamond" w:hAnsi="Garamond"/>
          <w:sz w:val="24"/>
          <w:szCs w:val="24"/>
        </w:rPr>
        <w:t xml:space="preserve"> </w:t>
      </w:r>
      <w:r w:rsidR="000D5874" w:rsidRPr="00411AE0">
        <w:rPr>
          <w:rFonts w:ascii="Garamond" w:hAnsi="Garamond"/>
          <w:sz w:val="24"/>
          <w:szCs w:val="24"/>
        </w:rPr>
        <w:t>‘</w:t>
      </w:r>
      <w:r w:rsidRPr="00411AE0">
        <w:rPr>
          <w:rFonts w:ascii="Garamond" w:hAnsi="Garamond"/>
          <w:sz w:val="24"/>
          <w:szCs w:val="24"/>
        </w:rPr>
        <w:t>justification</w:t>
      </w:r>
      <w:r w:rsidR="000D5874" w:rsidRPr="00411AE0">
        <w:rPr>
          <w:rFonts w:ascii="Garamond" w:hAnsi="Garamond"/>
          <w:sz w:val="24"/>
          <w:szCs w:val="24"/>
        </w:rPr>
        <w:t>’</w:t>
      </w:r>
      <w:r w:rsidRPr="00411AE0">
        <w:rPr>
          <w:rFonts w:ascii="Garamond" w:hAnsi="Garamond"/>
          <w:sz w:val="24"/>
          <w:szCs w:val="24"/>
        </w:rPr>
        <w:t xml:space="preserve"> for the imposition of </w:t>
      </w:r>
      <w:r w:rsidR="00D72E25" w:rsidRPr="00411AE0">
        <w:rPr>
          <w:rFonts w:ascii="Garamond" w:hAnsi="Garamond"/>
          <w:sz w:val="24"/>
          <w:szCs w:val="24"/>
        </w:rPr>
        <w:t xml:space="preserve">the </w:t>
      </w:r>
      <w:r w:rsidR="000D5874" w:rsidRPr="00411AE0">
        <w:rPr>
          <w:rFonts w:ascii="Garamond" w:hAnsi="Garamond"/>
          <w:sz w:val="24"/>
          <w:szCs w:val="24"/>
        </w:rPr>
        <w:t xml:space="preserve">European </w:t>
      </w:r>
      <w:r w:rsidRPr="00411AE0">
        <w:rPr>
          <w:rFonts w:ascii="Garamond" w:hAnsi="Garamond"/>
          <w:sz w:val="24"/>
          <w:szCs w:val="24"/>
        </w:rPr>
        <w:t xml:space="preserve">systems of dominium, private property, serfdom and mercantilism </w:t>
      </w:r>
      <w:r w:rsidR="00D72E25" w:rsidRPr="00411AE0">
        <w:rPr>
          <w:rFonts w:ascii="Garamond" w:hAnsi="Garamond"/>
          <w:sz w:val="24"/>
          <w:szCs w:val="24"/>
        </w:rPr>
        <w:t>so</w:t>
      </w:r>
      <w:r w:rsidRPr="00411AE0">
        <w:rPr>
          <w:rFonts w:ascii="Garamond" w:hAnsi="Garamond"/>
          <w:sz w:val="24"/>
          <w:szCs w:val="24"/>
        </w:rPr>
        <w:t xml:space="preserve"> alien to aboriginal social and communal tenure systems</w:t>
      </w:r>
      <w:r w:rsidR="000032C0">
        <w:rPr>
          <w:rFonts w:ascii="Garamond" w:hAnsi="Garamond"/>
          <w:sz w:val="24"/>
          <w:szCs w:val="24"/>
        </w:rPr>
        <w:t>.</w:t>
      </w:r>
      <w:r w:rsidRPr="00411AE0">
        <w:rPr>
          <w:rStyle w:val="FootnoteReference"/>
          <w:rFonts w:ascii="Garamond" w:hAnsi="Garamond"/>
          <w:sz w:val="24"/>
          <w:szCs w:val="24"/>
        </w:rPr>
        <w:footnoteReference w:id="59"/>
      </w:r>
      <w:r w:rsidR="000032C0">
        <w:rPr>
          <w:rFonts w:ascii="Garamond" w:hAnsi="Garamond"/>
          <w:sz w:val="24"/>
          <w:szCs w:val="24"/>
        </w:rPr>
        <w:t xml:space="preserve"> </w:t>
      </w:r>
      <w:r w:rsidR="00376899">
        <w:rPr>
          <w:rFonts w:ascii="Garamond" w:hAnsi="Garamond" w:cs="Times New Roman"/>
          <w:color w:val="000000"/>
          <w:sz w:val="24"/>
          <w:szCs w:val="24"/>
          <w:lang w:val="en-US"/>
        </w:rPr>
        <w:t>Eurocentric intellectual and theological</w:t>
      </w:r>
      <w:r w:rsidR="00376899">
        <w:rPr>
          <w:rFonts w:ascii="Garamond" w:hAnsi="Garamond" w:cs="Times New Roman"/>
          <w:color w:val="262626"/>
          <w:sz w:val="24"/>
          <w:szCs w:val="24"/>
          <w:lang w:val="en-US"/>
        </w:rPr>
        <w:t xml:space="preserve"> </w:t>
      </w:r>
      <w:r w:rsidR="00376899" w:rsidRPr="00A903E5">
        <w:rPr>
          <w:rFonts w:ascii="Garamond" w:hAnsi="Garamond" w:cs="Times New Roman"/>
          <w:color w:val="000000"/>
          <w:sz w:val="24"/>
          <w:szCs w:val="24"/>
          <w:lang w:val="en-US"/>
        </w:rPr>
        <w:t>categories and concepts</w:t>
      </w:r>
      <w:r w:rsidR="00BF368D">
        <w:rPr>
          <w:rFonts w:ascii="Garamond" w:hAnsi="Garamond" w:cs="Times New Roman"/>
          <w:color w:val="000000"/>
          <w:sz w:val="24"/>
          <w:szCs w:val="24"/>
          <w:lang w:val="en-US"/>
        </w:rPr>
        <w:t xml:space="preserve"> decisively</w:t>
      </w:r>
      <w:r w:rsidR="00376899">
        <w:rPr>
          <w:rFonts w:ascii="Garamond" w:hAnsi="Garamond" w:cs="Times New Roman"/>
          <w:color w:val="000000"/>
          <w:sz w:val="24"/>
          <w:szCs w:val="24"/>
          <w:lang w:val="en-US"/>
        </w:rPr>
        <w:t xml:space="preserve"> </w:t>
      </w:r>
      <w:r w:rsidR="00BF368D">
        <w:rPr>
          <w:rFonts w:ascii="Garamond" w:hAnsi="Garamond" w:cs="Times New Roman"/>
          <w:color w:val="000000"/>
          <w:sz w:val="24"/>
          <w:szCs w:val="24"/>
          <w:lang w:val="en-US"/>
        </w:rPr>
        <w:t xml:space="preserve">shaped </w:t>
      </w:r>
      <w:r w:rsidR="00376899">
        <w:rPr>
          <w:rFonts w:ascii="Garamond" w:hAnsi="Garamond" w:cs="Times New Roman"/>
          <w:color w:val="000000"/>
          <w:sz w:val="24"/>
          <w:szCs w:val="24"/>
          <w:lang w:val="en-US"/>
        </w:rPr>
        <w:t>the juridical history of coloniality.</w:t>
      </w:r>
      <w:r w:rsidR="00376899">
        <w:rPr>
          <w:rStyle w:val="FootnoteReference"/>
          <w:rFonts w:ascii="Garamond" w:hAnsi="Garamond" w:cs="Times New Roman"/>
          <w:color w:val="000000"/>
          <w:sz w:val="24"/>
          <w:szCs w:val="24"/>
          <w:lang w:val="en-US"/>
        </w:rPr>
        <w:footnoteReference w:id="60"/>
      </w:r>
      <w:r w:rsidR="00293AC1" w:rsidRPr="00411AE0">
        <w:rPr>
          <w:rFonts w:ascii="Garamond" w:hAnsi="Garamond"/>
          <w:sz w:val="24"/>
          <w:szCs w:val="24"/>
        </w:rPr>
        <w:br/>
      </w:r>
      <w:r w:rsidR="00293AC1" w:rsidRPr="00411AE0">
        <w:rPr>
          <w:rFonts w:ascii="Garamond" w:hAnsi="Garamond"/>
          <w:sz w:val="24"/>
          <w:szCs w:val="24"/>
        </w:rPr>
        <w:tab/>
      </w:r>
      <w:r w:rsidR="0059495E">
        <w:rPr>
          <w:rFonts w:ascii="Garamond" w:hAnsi="Garamond"/>
          <w:sz w:val="24"/>
          <w:szCs w:val="24"/>
        </w:rPr>
        <w:t>Yet, w</w:t>
      </w:r>
      <w:r w:rsidRPr="00411AE0">
        <w:rPr>
          <w:rFonts w:ascii="Garamond" w:hAnsi="Garamond"/>
          <w:sz w:val="24"/>
          <w:szCs w:val="24"/>
        </w:rPr>
        <w:t>hile the Spanish colonies established a complex form of serfdom attached to the land in a quasi-feudal system, the English colonies</w:t>
      </w:r>
      <w:r w:rsidR="009C201C" w:rsidRPr="00411AE0">
        <w:rPr>
          <w:rFonts w:ascii="Garamond" w:hAnsi="Garamond"/>
          <w:sz w:val="24"/>
          <w:szCs w:val="24"/>
        </w:rPr>
        <w:t xml:space="preserve"> </w:t>
      </w:r>
      <w:r w:rsidRPr="00411AE0">
        <w:rPr>
          <w:rFonts w:ascii="Garamond" w:hAnsi="Garamond"/>
          <w:sz w:val="24"/>
          <w:szCs w:val="24"/>
        </w:rPr>
        <w:t xml:space="preserve">were administered by a corporate structure </w:t>
      </w:r>
      <w:r w:rsidRPr="00411AE0">
        <w:rPr>
          <w:rFonts w:ascii="Garamond" w:hAnsi="Garamond"/>
          <w:sz w:val="24"/>
          <w:szCs w:val="24"/>
        </w:rPr>
        <w:lastRenderedPageBreak/>
        <w:t>driven by the pursuit of profit from as early as the sixteenth century.</w:t>
      </w:r>
      <w:r w:rsidRPr="00411AE0">
        <w:rPr>
          <w:rStyle w:val="FootnoteReference"/>
          <w:rFonts w:ascii="Garamond" w:hAnsi="Garamond"/>
          <w:sz w:val="24"/>
          <w:szCs w:val="24"/>
        </w:rPr>
        <w:footnoteReference w:id="61"/>
      </w:r>
      <w:r w:rsidRPr="00411AE0">
        <w:rPr>
          <w:rFonts w:ascii="Garamond" w:hAnsi="Garamond"/>
          <w:sz w:val="24"/>
          <w:szCs w:val="24"/>
        </w:rPr>
        <w:t xml:space="preserve"> </w:t>
      </w:r>
      <w:r w:rsidR="000D5874" w:rsidRPr="00411AE0">
        <w:rPr>
          <w:rFonts w:ascii="Garamond" w:hAnsi="Garamond"/>
          <w:sz w:val="24"/>
          <w:szCs w:val="24"/>
        </w:rPr>
        <w:t xml:space="preserve">Mercantilism </w:t>
      </w:r>
      <w:r w:rsidRPr="00411AE0">
        <w:rPr>
          <w:rFonts w:ascii="Garamond" w:hAnsi="Garamond"/>
          <w:sz w:val="24"/>
          <w:szCs w:val="24"/>
        </w:rPr>
        <w:t xml:space="preserve">was thus embedded in, and dominated, the English colonial territories from </w:t>
      </w:r>
      <w:r w:rsidRPr="001A05D6">
        <w:rPr>
          <w:rFonts w:ascii="Garamond" w:hAnsi="Garamond"/>
          <w:sz w:val="24"/>
          <w:szCs w:val="24"/>
        </w:rPr>
        <w:t>their very early phases</w:t>
      </w:r>
      <w:r w:rsidR="000D5874" w:rsidRPr="00735F20">
        <w:rPr>
          <w:rFonts w:ascii="Garamond" w:hAnsi="Garamond"/>
          <w:sz w:val="24"/>
          <w:szCs w:val="24"/>
        </w:rPr>
        <w:t>—with the corporation playing a central role in the acquisition of state and private power</w:t>
      </w:r>
      <w:r w:rsidRPr="00735F20">
        <w:rPr>
          <w:rFonts w:ascii="Garamond" w:hAnsi="Garamond"/>
          <w:sz w:val="24"/>
          <w:szCs w:val="24"/>
        </w:rPr>
        <w:t xml:space="preserve">. </w:t>
      </w:r>
      <w:r w:rsidR="001A05D6" w:rsidRPr="008B75D4">
        <w:rPr>
          <w:rFonts w:ascii="Garamond" w:hAnsi="Garamond"/>
          <w:sz w:val="24"/>
          <w:szCs w:val="24"/>
        </w:rPr>
        <w:t>McLean demonstrates how corporations first became ‘for profit’ trading entities in the sixteenth century</w:t>
      </w:r>
      <w:r w:rsidR="00735F20">
        <w:rPr>
          <w:rFonts w:ascii="Garamond" w:hAnsi="Garamond"/>
          <w:sz w:val="24"/>
          <w:szCs w:val="24"/>
        </w:rPr>
        <w:t>.</w:t>
      </w:r>
      <w:r w:rsidR="00735F20">
        <w:rPr>
          <w:rStyle w:val="FootnoteReference"/>
          <w:rFonts w:ascii="Garamond" w:hAnsi="Garamond"/>
          <w:sz w:val="24"/>
          <w:szCs w:val="24"/>
        </w:rPr>
        <w:footnoteReference w:id="62"/>
      </w:r>
      <w:r w:rsidR="001A05D6" w:rsidRPr="008B75D4">
        <w:rPr>
          <w:rFonts w:ascii="Garamond" w:hAnsi="Garamond"/>
          <w:sz w:val="24"/>
          <w:szCs w:val="24"/>
        </w:rPr>
        <w:t xml:space="preserve"> Tellingly, she notes that in ‘the first two decades of the seventeenth century, some forty companies were granted trading monopolies by their respective governments over</w:t>
      </w:r>
      <w:r w:rsidR="00BA5B5A" w:rsidRPr="00BA5B5A">
        <w:rPr>
          <w:rFonts w:ascii="Garamond" w:hAnsi="Garamond"/>
          <w:sz w:val="24"/>
          <w:szCs w:val="24"/>
        </w:rPr>
        <w:t xml:space="preserve"> much of the known world’</w:t>
      </w:r>
      <w:r w:rsidR="001A05D6" w:rsidRPr="008B75D4">
        <w:rPr>
          <w:rFonts w:ascii="Garamond" w:hAnsi="Garamond"/>
          <w:sz w:val="24"/>
          <w:szCs w:val="24"/>
        </w:rPr>
        <w:t>.</w:t>
      </w:r>
      <w:r w:rsidR="00BA5B5A">
        <w:rPr>
          <w:rStyle w:val="FootnoteReference"/>
          <w:rFonts w:ascii="Garamond" w:hAnsi="Garamond"/>
          <w:sz w:val="24"/>
          <w:szCs w:val="24"/>
        </w:rPr>
        <w:footnoteReference w:id="63"/>
      </w:r>
      <w:r w:rsidR="001A05D6" w:rsidRPr="008B75D4">
        <w:rPr>
          <w:rFonts w:ascii="Garamond" w:hAnsi="Garamond"/>
          <w:sz w:val="24"/>
          <w:szCs w:val="24"/>
        </w:rPr>
        <w:t xml:space="preserve"> These monopoly powers covered trade and rights over national citizens abroad, and were an important source of national revenue as well as powerful corporate expressions of imperial and colonial ambition</w:t>
      </w:r>
      <w:r w:rsidR="008B75D4">
        <w:rPr>
          <w:rFonts w:ascii="Garamond" w:hAnsi="Garamond"/>
          <w:sz w:val="24"/>
          <w:szCs w:val="24"/>
        </w:rPr>
        <w:t xml:space="preserve">. </w:t>
      </w:r>
      <w:r w:rsidRPr="001A05D6">
        <w:rPr>
          <w:rFonts w:ascii="Garamond" w:hAnsi="Garamond"/>
          <w:sz w:val="24"/>
          <w:szCs w:val="24"/>
        </w:rPr>
        <w:t>The o</w:t>
      </w:r>
      <w:r w:rsidRPr="00411AE0">
        <w:rPr>
          <w:rFonts w:ascii="Garamond" w:hAnsi="Garamond"/>
          <w:sz w:val="24"/>
          <w:szCs w:val="24"/>
        </w:rPr>
        <w:t xml:space="preserve">rigin of international law is </w:t>
      </w:r>
      <w:r w:rsidR="00BE4C6A" w:rsidRPr="00411AE0">
        <w:rPr>
          <w:rFonts w:ascii="Garamond" w:hAnsi="Garamond"/>
          <w:sz w:val="24"/>
          <w:szCs w:val="24"/>
        </w:rPr>
        <w:t xml:space="preserve">thus </w:t>
      </w:r>
      <w:r w:rsidRPr="00411AE0">
        <w:rPr>
          <w:rFonts w:ascii="Garamond" w:hAnsi="Garamond"/>
          <w:sz w:val="24"/>
          <w:szCs w:val="24"/>
        </w:rPr>
        <w:t xml:space="preserve">closely connected to </w:t>
      </w:r>
      <w:r w:rsidR="00853B60">
        <w:rPr>
          <w:rFonts w:ascii="Garamond" w:hAnsi="Garamond"/>
          <w:sz w:val="24"/>
          <w:szCs w:val="24"/>
        </w:rPr>
        <w:t xml:space="preserve">Eurocentric </w:t>
      </w:r>
      <w:r w:rsidRPr="00411AE0">
        <w:rPr>
          <w:rFonts w:ascii="Garamond" w:hAnsi="Garamond"/>
          <w:sz w:val="24"/>
          <w:szCs w:val="24"/>
        </w:rPr>
        <w:t>Christendom</w:t>
      </w:r>
      <w:r w:rsidR="00551677">
        <w:rPr>
          <w:rFonts w:ascii="Garamond" w:hAnsi="Garamond"/>
          <w:sz w:val="24"/>
          <w:szCs w:val="24"/>
        </w:rPr>
        <w:t>,</w:t>
      </w:r>
      <w:r w:rsidRPr="00411AE0">
        <w:rPr>
          <w:rFonts w:ascii="Garamond" w:hAnsi="Garamond"/>
          <w:sz w:val="24"/>
          <w:szCs w:val="24"/>
        </w:rPr>
        <w:t xml:space="preserve"> </w:t>
      </w:r>
      <w:r w:rsidR="00853B60">
        <w:rPr>
          <w:rFonts w:ascii="Garamond" w:hAnsi="Garamond"/>
          <w:sz w:val="24"/>
          <w:szCs w:val="24"/>
        </w:rPr>
        <w:t>and</w:t>
      </w:r>
      <w:r w:rsidR="00853B60" w:rsidRPr="00411AE0">
        <w:rPr>
          <w:rFonts w:ascii="Garamond" w:hAnsi="Garamond"/>
          <w:sz w:val="24"/>
          <w:szCs w:val="24"/>
        </w:rPr>
        <w:t xml:space="preserve"> </w:t>
      </w:r>
      <w:r w:rsidRPr="00411AE0">
        <w:rPr>
          <w:rFonts w:ascii="Garamond" w:hAnsi="Garamond"/>
          <w:sz w:val="24"/>
          <w:szCs w:val="24"/>
        </w:rPr>
        <w:t xml:space="preserve">to </w:t>
      </w:r>
      <w:r w:rsidR="00853B60">
        <w:rPr>
          <w:rFonts w:ascii="Garamond" w:hAnsi="Garamond"/>
          <w:sz w:val="24"/>
          <w:szCs w:val="24"/>
        </w:rPr>
        <w:t xml:space="preserve">Eurocentric </w:t>
      </w:r>
      <w:r w:rsidRPr="00411AE0">
        <w:rPr>
          <w:rFonts w:ascii="Garamond" w:hAnsi="Garamond"/>
          <w:sz w:val="24"/>
          <w:szCs w:val="24"/>
        </w:rPr>
        <w:t>trade, mercantilism, capitalism</w:t>
      </w:r>
      <w:r w:rsidR="008B75D4">
        <w:rPr>
          <w:rFonts w:ascii="Garamond" w:hAnsi="Garamond"/>
          <w:sz w:val="24"/>
          <w:szCs w:val="24"/>
        </w:rPr>
        <w:t>, corporate power</w:t>
      </w:r>
      <w:r w:rsidRPr="00411AE0">
        <w:rPr>
          <w:rFonts w:ascii="Garamond" w:hAnsi="Garamond"/>
          <w:sz w:val="24"/>
          <w:szCs w:val="24"/>
        </w:rPr>
        <w:t xml:space="preserve"> and resource extraction, </w:t>
      </w:r>
      <w:r w:rsidR="00B77E02" w:rsidRPr="00411AE0">
        <w:rPr>
          <w:rFonts w:ascii="Garamond" w:hAnsi="Garamond"/>
          <w:sz w:val="24"/>
          <w:szCs w:val="24"/>
        </w:rPr>
        <w:t xml:space="preserve">all of which were </w:t>
      </w:r>
      <w:r w:rsidR="000D5874" w:rsidRPr="00411AE0">
        <w:rPr>
          <w:rFonts w:ascii="Garamond" w:hAnsi="Garamond"/>
          <w:sz w:val="24"/>
          <w:szCs w:val="24"/>
        </w:rPr>
        <w:t>facilitated</w:t>
      </w:r>
      <w:r w:rsidRPr="00411AE0">
        <w:rPr>
          <w:rFonts w:ascii="Garamond" w:hAnsi="Garamond"/>
          <w:sz w:val="24"/>
          <w:szCs w:val="24"/>
        </w:rPr>
        <w:t xml:space="preserve"> by law’s calculat</w:t>
      </w:r>
      <w:r w:rsidR="007044BE" w:rsidRPr="00411AE0">
        <w:rPr>
          <w:rFonts w:ascii="Garamond" w:hAnsi="Garamond"/>
          <w:sz w:val="24"/>
          <w:szCs w:val="24"/>
        </w:rPr>
        <w:t>ive</w:t>
      </w:r>
      <w:r w:rsidRPr="00411AE0">
        <w:rPr>
          <w:rFonts w:ascii="Garamond" w:hAnsi="Garamond"/>
          <w:sz w:val="24"/>
          <w:szCs w:val="24"/>
        </w:rPr>
        <w:t xml:space="preserve"> imperial design and philosophical underpinnings. </w:t>
      </w:r>
      <w:r w:rsidR="001A10DF">
        <w:rPr>
          <w:rFonts w:ascii="Garamond" w:hAnsi="Garamond"/>
          <w:sz w:val="24"/>
          <w:szCs w:val="24"/>
        </w:rPr>
        <w:br/>
        <w:t xml:space="preserve"> </w:t>
      </w:r>
      <w:r w:rsidR="001A10DF">
        <w:rPr>
          <w:rFonts w:ascii="Garamond" w:hAnsi="Garamond"/>
          <w:sz w:val="24"/>
          <w:szCs w:val="24"/>
        </w:rPr>
        <w:tab/>
        <w:t xml:space="preserve">The fundamentally racist assumptions of Eurocentric intellectual and theological traditions were key to these developments. </w:t>
      </w:r>
      <w:r w:rsidR="00B77E02" w:rsidRPr="00411AE0">
        <w:rPr>
          <w:rFonts w:ascii="Garamond" w:hAnsi="Garamond"/>
          <w:sz w:val="24"/>
          <w:szCs w:val="24"/>
        </w:rPr>
        <w:t>R</w:t>
      </w:r>
      <w:r w:rsidR="00D62379" w:rsidRPr="00411AE0">
        <w:rPr>
          <w:rFonts w:ascii="Garamond" w:hAnsi="Garamond"/>
          <w:sz w:val="24"/>
          <w:szCs w:val="24"/>
        </w:rPr>
        <w:t>ace was used to decide and to define who could own property and who had to work on the land</w:t>
      </w:r>
      <w:r w:rsidR="005A18AF">
        <w:rPr>
          <w:rFonts w:ascii="Garamond" w:hAnsi="Garamond"/>
          <w:sz w:val="24"/>
          <w:szCs w:val="24"/>
        </w:rPr>
        <w:t>,</w:t>
      </w:r>
      <w:r w:rsidR="0064548B" w:rsidRPr="00411AE0">
        <w:rPr>
          <w:rFonts w:ascii="Garamond" w:hAnsi="Garamond"/>
          <w:sz w:val="24"/>
          <w:szCs w:val="24"/>
        </w:rPr>
        <w:t xml:space="preserve"> and raciali</w:t>
      </w:r>
      <w:r w:rsidR="00970329" w:rsidRPr="00411AE0">
        <w:rPr>
          <w:rFonts w:ascii="Garamond" w:hAnsi="Garamond"/>
          <w:sz w:val="24"/>
          <w:szCs w:val="24"/>
        </w:rPr>
        <w:t>s</w:t>
      </w:r>
      <w:r w:rsidR="0064548B" w:rsidRPr="00411AE0">
        <w:rPr>
          <w:rFonts w:ascii="Garamond" w:hAnsi="Garamond"/>
          <w:sz w:val="24"/>
          <w:szCs w:val="24"/>
        </w:rPr>
        <w:t xml:space="preserve">ation was used to circumscribe </w:t>
      </w:r>
      <w:r w:rsidR="00D62379" w:rsidRPr="00411AE0">
        <w:rPr>
          <w:rFonts w:ascii="Garamond" w:hAnsi="Garamond"/>
          <w:sz w:val="24"/>
          <w:szCs w:val="24"/>
        </w:rPr>
        <w:t xml:space="preserve">identities of the ‘other’, the alien, the stranger, and to </w:t>
      </w:r>
      <w:r w:rsidR="00333F80" w:rsidRPr="00411AE0">
        <w:rPr>
          <w:rFonts w:ascii="Garamond" w:hAnsi="Garamond"/>
          <w:sz w:val="24"/>
          <w:szCs w:val="24"/>
        </w:rPr>
        <w:t xml:space="preserve">legitimate </w:t>
      </w:r>
      <w:r w:rsidR="00D62379" w:rsidRPr="00411AE0">
        <w:rPr>
          <w:rFonts w:ascii="Garamond" w:hAnsi="Garamond"/>
          <w:sz w:val="24"/>
          <w:szCs w:val="24"/>
        </w:rPr>
        <w:t xml:space="preserve">the </w:t>
      </w:r>
      <w:r w:rsidR="000D5874" w:rsidRPr="00411AE0">
        <w:rPr>
          <w:rFonts w:ascii="Garamond" w:hAnsi="Garamond"/>
          <w:sz w:val="24"/>
          <w:szCs w:val="24"/>
        </w:rPr>
        <w:t xml:space="preserve">racist </w:t>
      </w:r>
      <w:r w:rsidR="00D62379" w:rsidRPr="00411AE0">
        <w:rPr>
          <w:rFonts w:ascii="Garamond" w:hAnsi="Garamond"/>
          <w:sz w:val="24"/>
          <w:szCs w:val="24"/>
        </w:rPr>
        <w:t xml:space="preserve">domination and classification of humans </w:t>
      </w:r>
      <w:r w:rsidR="0064548B" w:rsidRPr="00411AE0">
        <w:rPr>
          <w:rFonts w:ascii="Garamond" w:hAnsi="Garamond"/>
          <w:sz w:val="24"/>
          <w:szCs w:val="24"/>
        </w:rPr>
        <w:t xml:space="preserve">according to presumed markers of </w:t>
      </w:r>
      <w:r w:rsidR="00D62379" w:rsidRPr="00411AE0">
        <w:rPr>
          <w:rFonts w:ascii="Garamond" w:hAnsi="Garamond"/>
          <w:sz w:val="24"/>
          <w:szCs w:val="24"/>
        </w:rPr>
        <w:t>European rationality.</w:t>
      </w:r>
      <w:r w:rsidR="00D62379" w:rsidRPr="00411AE0">
        <w:rPr>
          <w:rStyle w:val="FootnoteReference"/>
          <w:rFonts w:ascii="Garamond" w:hAnsi="Garamond"/>
          <w:sz w:val="24"/>
          <w:szCs w:val="24"/>
        </w:rPr>
        <w:footnoteReference w:id="64"/>
      </w:r>
      <w:r w:rsidR="00A063DD">
        <w:rPr>
          <w:rFonts w:ascii="Garamond" w:hAnsi="Garamond"/>
          <w:sz w:val="24"/>
          <w:szCs w:val="24"/>
        </w:rPr>
        <w:t xml:space="preserve"> </w:t>
      </w:r>
      <w:r w:rsidR="00314256" w:rsidRPr="00411AE0">
        <w:rPr>
          <w:rFonts w:ascii="Garamond" w:hAnsi="Garamond"/>
          <w:sz w:val="24"/>
          <w:szCs w:val="24"/>
        </w:rPr>
        <w:t>In</w:t>
      </w:r>
      <w:r w:rsidR="002D4B4D" w:rsidRPr="00411AE0">
        <w:rPr>
          <w:rFonts w:ascii="Garamond" w:hAnsi="Garamond"/>
          <w:sz w:val="24"/>
          <w:szCs w:val="24"/>
        </w:rPr>
        <w:t xml:space="preserve"> the nineteenth century</w:t>
      </w:r>
      <w:r w:rsidR="00633919" w:rsidRPr="00411AE0">
        <w:rPr>
          <w:rFonts w:ascii="Garamond" w:hAnsi="Garamond"/>
          <w:sz w:val="24"/>
          <w:szCs w:val="24"/>
        </w:rPr>
        <w:t>,</w:t>
      </w:r>
      <w:r w:rsidR="002D4B4D" w:rsidRPr="00411AE0">
        <w:rPr>
          <w:rFonts w:ascii="Garamond" w:hAnsi="Garamond"/>
          <w:sz w:val="24"/>
          <w:szCs w:val="24"/>
        </w:rPr>
        <w:t xml:space="preserve"> </w:t>
      </w:r>
      <w:r w:rsidR="00EF71F9">
        <w:rPr>
          <w:rFonts w:ascii="Garamond" w:hAnsi="Garamond"/>
          <w:sz w:val="24"/>
          <w:szCs w:val="24"/>
        </w:rPr>
        <w:t xml:space="preserve">a systematic racialised agenda took </w:t>
      </w:r>
      <w:r w:rsidR="00551677">
        <w:rPr>
          <w:rFonts w:ascii="Garamond" w:hAnsi="Garamond"/>
          <w:sz w:val="24"/>
          <w:szCs w:val="24"/>
        </w:rPr>
        <w:t xml:space="preserve">hold </w:t>
      </w:r>
      <w:r w:rsidR="00EF71F9">
        <w:rPr>
          <w:rFonts w:ascii="Garamond" w:hAnsi="Garamond"/>
          <w:sz w:val="24"/>
          <w:szCs w:val="24"/>
        </w:rPr>
        <w:t xml:space="preserve">in </w:t>
      </w:r>
      <w:r w:rsidR="006A2D70" w:rsidRPr="00411AE0">
        <w:rPr>
          <w:rFonts w:ascii="Garamond" w:hAnsi="Garamond"/>
          <w:sz w:val="24"/>
          <w:szCs w:val="24"/>
        </w:rPr>
        <w:t xml:space="preserve">the </w:t>
      </w:r>
      <w:r w:rsidR="00EF71F9">
        <w:rPr>
          <w:rFonts w:ascii="Garamond" w:hAnsi="Garamond"/>
          <w:sz w:val="24"/>
          <w:szCs w:val="24"/>
        </w:rPr>
        <w:t xml:space="preserve">same </w:t>
      </w:r>
      <w:r w:rsidR="00BC717B" w:rsidRPr="00411AE0">
        <w:rPr>
          <w:rFonts w:ascii="Garamond" w:hAnsi="Garamond"/>
          <w:sz w:val="24"/>
          <w:szCs w:val="24"/>
        </w:rPr>
        <w:t>broad</w:t>
      </w:r>
      <w:r w:rsidR="006A2D70" w:rsidRPr="00411AE0">
        <w:rPr>
          <w:rFonts w:ascii="Garamond" w:hAnsi="Garamond"/>
          <w:sz w:val="24"/>
          <w:szCs w:val="24"/>
        </w:rPr>
        <w:t xml:space="preserve"> timeframe </w:t>
      </w:r>
      <w:r w:rsidR="00EF71F9">
        <w:rPr>
          <w:rFonts w:ascii="Garamond" w:hAnsi="Garamond"/>
          <w:sz w:val="24"/>
          <w:szCs w:val="24"/>
        </w:rPr>
        <w:t>with</w:t>
      </w:r>
      <w:r w:rsidR="006A2D70" w:rsidRPr="00411AE0">
        <w:rPr>
          <w:rFonts w:ascii="Garamond" w:hAnsi="Garamond"/>
          <w:sz w:val="24"/>
          <w:szCs w:val="24"/>
        </w:rPr>
        <w:t xml:space="preserve">in which the </w:t>
      </w:r>
      <w:r w:rsidR="00BC717B" w:rsidRPr="00411AE0">
        <w:rPr>
          <w:rFonts w:ascii="Garamond" w:hAnsi="Garamond"/>
          <w:sz w:val="24"/>
          <w:szCs w:val="24"/>
        </w:rPr>
        <w:t xml:space="preserve">capitalist </w:t>
      </w:r>
      <w:r w:rsidR="006A2D70" w:rsidRPr="00411AE0">
        <w:rPr>
          <w:rFonts w:ascii="Garamond" w:hAnsi="Garamond"/>
          <w:sz w:val="24"/>
          <w:szCs w:val="24"/>
        </w:rPr>
        <w:t>corporation broke away from the state to emerge as a fully independent juridical personality</w:t>
      </w:r>
      <w:r w:rsidR="005937BF">
        <w:rPr>
          <w:rFonts w:ascii="Garamond" w:hAnsi="Garamond"/>
          <w:sz w:val="24"/>
          <w:szCs w:val="24"/>
        </w:rPr>
        <w:t>.</w:t>
      </w:r>
      <w:r w:rsidR="006A2D70" w:rsidRPr="00411AE0">
        <w:rPr>
          <w:rStyle w:val="FootnoteReference"/>
          <w:rFonts w:ascii="Garamond" w:hAnsi="Garamond"/>
          <w:sz w:val="24"/>
          <w:szCs w:val="24"/>
        </w:rPr>
        <w:footnoteReference w:id="65"/>
      </w:r>
      <w:r w:rsidR="006A2D70" w:rsidRPr="00411AE0">
        <w:rPr>
          <w:rFonts w:ascii="Garamond" w:hAnsi="Garamond"/>
          <w:sz w:val="24"/>
          <w:szCs w:val="24"/>
        </w:rPr>
        <w:t xml:space="preserve"> </w:t>
      </w:r>
      <w:r w:rsidR="00EF71F9">
        <w:rPr>
          <w:rFonts w:ascii="Garamond" w:hAnsi="Garamond"/>
          <w:sz w:val="24"/>
          <w:szCs w:val="24"/>
        </w:rPr>
        <w:t>C</w:t>
      </w:r>
      <w:r w:rsidR="002D4B4D" w:rsidRPr="00411AE0">
        <w:rPr>
          <w:rFonts w:ascii="Garamond" w:hAnsi="Garamond"/>
          <w:sz w:val="24"/>
          <w:szCs w:val="24"/>
        </w:rPr>
        <w:t xml:space="preserve">olonisation through trade </w:t>
      </w:r>
      <w:r w:rsidR="00BC717B" w:rsidRPr="00411AE0">
        <w:rPr>
          <w:rFonts w:ascii="Garamond" w:hAnsi="Garamond"/>
          <w:sz w:val="24"/>
          <w:szCs w:val="24"/>
        </w:rPr>
        <w:t xml:space="preserve">continued to express </w:t>
      </w:r>
      <w:r w:rsidR="002D4B4D" w:rsidRPr="00411AE0">
        <w:rPr>
          <w:rFonts w:ascii="Garamond" w:hAnsi="Garamond"/>
          <w:sz w:val="24"/>
          <w:szCs w:val="24"/>
        </w:rPr>
        <w:t xml:space="preserve">the </w:t>
      </w:r>
      <w:r w:rsidR="00E02556" w:rsidRPr="00411AE0">
        <w:rPr>
          <w:rFonts w:ascii="Garamond" w:hAnsi="Garamond"/>
          <w:sz w:val="24"/>
          <w:szCs w:val="24"/>
        </w:rPr>
        <w:t xml:space="preserve">racist </w:t>
      </w:r>
      <w:r w:rsidR="00FE0E25" w:rsidRPr="00411AE0">
        <w:rPr>
          <w:rFonts w:ascii="Garamond" w:hAnsi="Garamond"/>
          <w:sz w:val="24"/>
          <w:szCs w:val="24"/>
        </w:rPr>
        <w:t>logic of colonialism by other means</w:t>
      </w:r>
      <w:r w:rsidR="005D2719" w:rsidRPr="005D2719">
        <w:rPr>
          <w:rFonts w:ascii="Garamond" w:hAnsi="Garamond"/>
          <w:sz w:val="24"/>
          <w:szCs w:val="24"/>
        </w:rPr>
        <w:t xml:space="preserve"> </w:t>
      </w:r>
      <w:r w:rsidR="00314256" w:rsidRPr="00411AE0">
        <w:rPr>
          <w:rFonts w:ascii="Garamond" w:hAnsi="Garamond"/>
          <w:sz w:val="24"/>
          <w:szCs w:val="24"/>
        </w:rPr>
        <w:t xml:space="preserve">in a period that </w:t>
      </w:r>
      <w:r w:rsidR="00BC717B" w:rsidRPr="00411AE0">
        <w:rPr>
          <w:rFonts w:ascii="Garamond" w:hAnsi="Garamond"/>
          <w:sz w:val="24"/>
          <w:szCs w:val="24"/>
        </w:rPr>
        <w:t xml:space="preserve">also </w:t>
      </w:r>
      <w:r w:rsidR="00314256" w:rsidRPr="00411AE0">
        <w:rPr>
          <w:rFonts w:ascii="Garamond" w:hAnsi="Garamond"/>
          <w:sz w:val="24"/>
          <w:szCs w:val="24"/>
        </w:rPr>
        <w:t>saw the crystallisation of the public-private divide</w:t>
      </w:r>
      <w:r w:rsidR="00B116A7" w:rsidRPr="00411AE0">
        <w:rPr>
          <w:rFonts w:ascii="Garamond" w:hAnsi="Garamond"/>
          <w:sz w:val="24"/>
          <w:szCs w:val="24"/>
        </w:rPr>
        <w:t>.</w:t>
      </w:r>
      <w:r w:rsidR="00EB0D96" w:rsidRPr="00411AE0">
        <w:rPr>
          <w:rStyle w:val="FootnoteReference"/>
          <w:rFonts w:ascii="Garamond" w:hAnsi="Garamond"/>
          <w:sz w:val="24"/>
          <w:szCs w:val="24"/>
        </w:rPr>
        <w:footnoteReference w:id="66"/>
      </w:r>
      <w:r w:rsidR="00314256" w:rsidRPr="00411AE0">
        <w:rPr>
          <w:rFonts w:ascii="Garamond" w:hAnsi="Garamond"/>
          <w:sz w:val="24"/>
          <w:szCs w:val="24"/>
        </w:rPr>
        <w:t xml:space="preserve"> </w:t>
      </w:r>
      <w:r w:rsidR="00B116A7" w:rsidRPr="00411AE0">
        <w:rPr>
          <w:rFonts w:ascii="Garamond" w:hAnsi="Garamond"/>
          <w:sz w:val="24"/>
          <w:szCs w:val="24"/>
        </w:rPr>
        <w:t>This divide</w:t>
      </w:r>
      <w:r w:rsidR="00BC717B" w:rsidRPr="00411AE0">
        <w:rPr>
          <w:rFonts w:ascii="Garamond" w:hAnsi="Garamond"/>
          <w:sz w:val="24"/>
          <w:szCs w:val="24"/>
        </w:rPr>
        <w:t>, as is well known,</w:t>
      </w:r>
      <w:r w:rsidR="00B116A7" w:rsidRPr="00411AE0">
        <w:rPr>
          <w:rFonts w:ascii="Garamond" w:hAnsi="Garamond"/>
          <w:sz w:val="24"/>
          <w:szCs w:val="24"/>
        </w:rPr>
        <w:t xml:space="preserve"> is central to </w:t>
      </w:r>
      <w:r w:rsidR="001A4AA4" w:rsidRPr="00411AE0">
        <w:rPr>
          <w:rFonts w:ascii="Garamond" w:hAnsi="Garamond"/>
          <w:sz w:val="24"/>
          <w:szCs w:val="24"/>
        </w:rPr>
        <w:t xml:space="preserve">the </w:t>
      </w:r>
      <w:r w:rsidR="00B116A7" w:rsidRPr="00411AE0">
        <w:rPr>
          <w:rFonts w:ascii="Garamond" w:hAnsi="Garamond"/>
          <w:sz w:val="24"/>
          <w:szCs w:val="24"/>
        </w:rPr>
        <w:t xml:space="preserve">liberal legal mythos </w:t>
      </w:r>
      <w:r w:rsidR="001A4AA4" w:rsidRPr="00411AE0">
        <w:rPr>
          <w:rFonts w:ascii="Garamond" w:hAnsi="Garamond"/>
          <w:sz w:val="24"/>
          <w:szCs w:val="24"/>
        </w:rPr>
        <w:t>that enabled</w:t>
      </w:r>
      <w:r w:rsidR="00B116A7" w:rsidRPr="00411AE0">
        <w:rPr>
          <w:rFonts w:ascii="Garamond" w:hAnsi="Garamond"/>
          <w:sz w:val="24"/>
          <w:szCs w:val="24"/>
        </w:rPr>
        <w:t xml:space="preserve"> </w:t>
      </w:r>
      <w:r w:rsidR="00C24E40" w:rsidRPr="00411AE0">
        <w:rPr>
          <w:rFonts w:ascii="Garamond" w:hAnsi="Garamond"/>
          <w:sz w:val="24"/>
          <w:szCs w:val="24"/>
        </w:rPr>
        <w:t xml:space="preserve">European corporations </w:t>
      </w:r>
      <w:r w:rsidR="001A4AA4" w:rsidRPr="00411AE0">
        <w:rPr>
          <w:rFonts w:ascii="Garamond" w:hAnsi="Garamond"/>
          <w:sz w:val="24"/>
          <w:szCs w:val="24"/>
        </w:rPr>
        <w:t xml:space="preserve">to take </w:t>
      </w:r>
      <w:r w:rsidR="00C24E40" w:rsidRPr="00411AE0">
        <w:rPr>
          <w:rFonts w:ascii="Garamond" w:hAnsi="Garamond"/>
          <w:sz w:val="24"/>
          <w:szCs w:val="24"/>
        </w:rPr>
        <w:t xml:space="preserve">advantage of a legal framework that falsely reduced the power relations between corporations and </w:t>
      </w:r>
      <w:r w:rsidR="00785D44" w:rsidRPr="00411AE0">
        <w:rPr>
          <w:rFonts w:ascii="Garamond" w:hAnsi="Garamond"/>
          <w:sz w:val="24"/>
          <w:szCs w:val="24"/>
        </w:rPr>
        <w:t xml:space="preserve">the </w:t>
      </w:r>
      <w:r w:rsidR="00D9656E">
        <w:rPr>
          <w:rFonts w:ascii="Garamond" w:hAnsi="Garamond"/>
          <w:sz w:val="24"/>
          <w:szCs w:val="24"/>
        </w:rPr>
        <w:t xml:space="preserve">racialised </w:t>
      </w:r>
      <w:r w:rsidR="00C24E40" w:rsidRPr="00411AE0">
        <w:rPr>
          <w:rFonts w:ascii="Garamond" w:hAnsi="Garamond"/>
          <w:sz w:val="24"/>
          <w:szCs w:val="24"/>
        </w:rPr>
        <w:t>indigenous inhabitants of colonised lands to an exchange between individuals</w:t>
      </w:r>
      <w:r w:rsidR="00E02556" w:rsidRPr="00411AE0">
        <w:rPr>
          <w:rFonts w:ascii="Garamond" w:hAnsi="Garamond"/>
          <w:sz w:val="24"/>
          <w:szCs w:val="24"/>
        </w:rPr>
        <w:t xml:space="preserve">. Such patterns are </w:t>
      </w:r>
      <w:r w:rsidR="00333F80" w:rsidRPr="00411AE0">
        <w:rPr>
          <w:rFonts w:ascii="Garamond" w:hAnsi="Garamond"/>
          <w:sz w:val="24"/>
          <w:szCs w:val="24"/>
        </w:rPr>
        <w:t>central</w:t>
      </w:r>
      <w:r w:rsidR="005D2719">
        <w:rPr>
          <w:rFonts w:ascii="Garamond" w:hAnsi="Garamond"/>
          <w:sz w:val="24"/>
          <w:szCs w:val="24"/>
        </w:rPr>
        <w:t>, indeed,</w:t>
      </w:r>
      <w:r w:rsidR="00333F80" w:rsidRPr="00411AE0">
        <w:rPr>
          <w:rFonts w:ascii="Garamond" w:hAnsi="Garamond"/>
          <w:sz w:val="24"/>
          <w:szCs w:val="24"/>
        </w:rPr>
        <w:t xml:space="preserve"> </w:t>
      </w:r>
      <w:r w:rsidR="00E02556" w:rsidRPr="00411AE0">
        <w:rPr>
          <w:rFonts w:ascii="Garamond" w:hAnsi="Garamond"/>
          <w:sz w:val="24"/>
          <w:szCs w:val="24"/>
        </w:rPr>
        <w:t xml:space="preserve">to </w:t>
      </w:r>
      <w:r w:rsidR="00711C45" w:rsidRPr="00411AE0">
        <w:rPr>
          <w:rFonts w:ascii="Garamond" w:hAnsi="Garamond"/>
          <w:sz w:val="24"/>
          <w:szCs w:val="24"/>
        </w:rPr>
        <w:t>what Woods describe</w:t>
      </w:r>
      <w:r w:rsidR="00BC717B" w:rsidRPr="00411AE0">
        <w:rPr>
          <w:rFonts w:ascii="Garamond" w:hAnsi="Garamond"/>
          <w:sz w:val="24"/>
          <w:szCs w:val="24"/>
        </w:rPr>
        <w:t>s</w:t>
      </w:r>
      <w:r w:rsidR="00711C45" w:rsidRPr="00411AE0">
        <w:rPr>
          <w:rFonts w:ascii="Garamond" w:hAnsi="Garamond"/>
          <w:sz w:val="24"/>
          <w:szCs w:val="24"/>
        </w:rPr>
        <w:t xml:space="preserve"> </w:t>
      </w:r>
      <w:r w:rsidR="00E2746F" w:rsidRPr="00411AE0">
        <w:rPr>
          <w:rFonts w:ascii="Garamond" w:hAnsi="Garamond"/>
          <w:sz w:val="24"/>
          <w:szCs w:val="24"/>
        </w:rPr>
        <w:t xml:space="preserve">as </w:t>
      </w:r>
      <w:r w:rsidR="00711C45" w:rsidRPr="00411AE0">
        <w:rPr>
          <w:rFonts w:ascii="Garamond" w:hAnsi="Garamond"/>
          <w:sz w:val="24"/>
          <w:szCs w:val="24"/>
        </w:rPr>
        <w:t>‘</w:t>
      </w:r>
      <w:r w:rsidR="00E2746F" w:rsidRPr="00411AE0">
        <w:rPr>
          <w:rFonts w:ascii="Garamond" w:hAnsi="Garamond"/>
          <w:sz w:val="24"/>
          <w:szCs w:val="24"/>
        </w:rPr>
        <w:t>imperial capitalism</w:t>
      </w:r>
      <w:r w:rsidR="00711C45" w:rsidRPr="00411AE0">
        <w:rPr>
          <w:rFonts w:ascii="Garamond" w:hAnsi="Garamond"/>
          <w:sz w:val="24"/>
          <w:szCs w:val="24"/>
        </w:rPr>
        <w:t>’</w:t>
      </w:r>
      <w:r w:rsidR="00E2746F" w:rsidRPr="00411AE0">
        <w:rPr>
          <w:rStyle w:val="FootnoteReference"/>
          <w:rFonts w:ascii="Garamond" w:hAnsi="Garamond"/>
          <w:sz w:val="24"/>
          <w:szCs w:val="24"/>
        </w:rPr>
        <w:footnoteReference w:id="67"/>
      </w:r>
      <w:r w:rsidR="00E56962" w:rsidRPr="00411AE0">
        <w:rPr>
          <w:rFonts w:ascii="Garamond" w:hAnsi="Garamond"/>
          <w:sz w:val="24"/>
          <w:szCs w:val="24"/>
        </w:rPr>
        <w:t>or what Banerjee</w:t>
      </w:r>
      <w:r w:rsidR="00E02556" w:rsidRPr="00411AE0">
        <w:rPr>
          <w:rFonts w:ascii="Garamond" w:hAnsi="Garamond"/>
          <w:sz w:val="24"/>
          <w:szCs w:val="24"/>
        </w:rPr>
        <w:t xml:space="preserve">, addressing the </w:t>
      </w:r>
      <w:r w:rsidR="005B5E02" w:rsidRPr="00411AE0">
        <w:rPr>
          <w:rFonts w:ascii="Garamond" w:hAnsi="Garamond"/>
          <w:sz w:val="24"/>
          <w:szCs w:val="24"/>
        </w:rPr>
        <w:t xml:space="preserve">continuities </w:t>
      </w:r>
      <w:r w:rsidR="00E02556" w:rsidRPr="00411AE0">
        <w:rPr>
          <w:rFonts w:ascii="Garamond" w:hAnsi="Garamond"/>
          <w:sz w:val="24"/>
          <w:szCs w:val="24"/>
        </w:rPr>
        <w:t>between colonialism and neoliberalism,</w:t>
      </w:r>
      <w:r w:rsidR="00E56962" w:rsidRPr="00411AE0">
        <w:rPr>
          <w:rFonts w:ascii="Garamond" w:hAnsi="Garamond"/>
          <w:sz w:val="24"/>
          <w:szCs w:val="24"/>
        </w:rPr>
        <w:t xml:space="preserve"> names ‘necrocapitalism’.</w:t>
      </w:r>
      <w:r w:rsidR="0006590F" w:rsidRPr="00411AE0">
        <w:rPr>
          <w:rStyle w:val="FootnoteReference"/>
          <w:rFonts w:ascii="Garamond" w:hAnsi="Garamond"/>
          <w:sz w:val="24"/>
          <w:szCs w:val="24"/>
        </w:rPr>
        <w:footnoteReference w:id="68"/>
      </w:r>
      <w:r w:rsidR="005B05C5" w:rsidRPr="00411AE0">
        <w:rPr>
          <w:rFonts w:ascii="Garamond" w:hAnsi="Garamond"/>
          <w:sz w:val="24"/>
          <w:szCs w:val="24"/>
        </w:rPr>
        <w:br/>
      </w:r>
      <w:r w:rsidR="005B05C5" w:rsidRPr="00411AE0">
        <w:rPr>
          <w:rFonts w:ascii="Garamond" w:hAnsi="Garamond"/>
          <w:sz w:val="24"/>
          <w:szCs w:val="24"/>
        </w:rPr>
        <w:tab/>
      </w:r>
      <w:r w:rsidR="00333F80" w:rsidRPr="00411AE0">
        <w:rPr>
          <w:rFonts w:ascii="Garamond" w:hAnsi="Garamond"/>
          <w:sz w:val="24"/>
          <w:szCs w:val="24"/>
        </w:rPr>
        <w:t>The distribution</w:t>
      </w:r>
      <w:r w:rsidR="00F055FF" w:rsidRPr="00411AE0">
        <w:rPr>
          <w:rFonts w:ascii="Garamond" w:hAnsi="Garamond"/>
          <w:sz w:val="24"/>
          <w:szCs w:val="24"/>
        </w:rPr>
        <w:t>s</w:t>
      </w:r>
      <w:r w:rsidR="00333F80" w:rsidRPr="00411AE0">
        <w:rPr>
          <w:rFonts w:ascii="Garamond" w:hAnsi="Garamond"/>
          <w:sz w:val="24"/>
          <w:szCs w:val="24"/>
        </w:rPr>
        <w:t xml:space="preserve"> of life and death operationalised by these continuities are central to the neoliberal order: </w:t>
      </w:r>
      <w:r w:rsidR="005B05C5" w:rsidRPr="00411AE0">
        <w:rPr>
          <w:rFonts w:ascii="Garamond" w:hAnsi="Garamond"/>
          <w:sz w:val="24"/>
          <w:szCs w:val="24"/>
        </w:rPr>
        <w:t xml:space="preserve">Banerjee points out that the </w:t>
      </w:r>
      <w:r w:rsidR="00007D20" w:rsidRPr="00411AE0">
        <w:rPr>
          <w:rFonts w:ascii="Garamond" w:hAnsi="Garamond"/>
          <w:sz w:val="24"/>
          <w:szCs w:val="24"/>
        </w:rPr>
        <w:t>‘</w:t>
      </w:r>
      <w:r w:rsidR="005B05C5" w:rsidRPr="00411AE0">
        <w:rPr>
          <w:rFonts w:ascii="Garamond" w:hAnsi="Garamond" w:cs="Times New Roman"/>
          <w:sz w:val="24"/>
          <w:szCs w:val="24"/>
          <w:lang w:val="en-US"/>
        </w:rPr>
        <w:t>practices of organizational accumulation</w:t>
      </w:r>
      <w:r w:rsidR="006962C5" w:rsidRPr="00411AE0">
        <w:rPr>
          <w:rFonts w:ascii="Garamond" w:hAnsi="Garamond" w:cs="Times New Roman"/>
          <w:sz w:val="24"/>
          <w:szCs w:val="24"/>
          <w:lang w:val="en-US"/>
        </w:rPr>
        <w:t>’</w:t>
      </w:r>
      <w:r w:rsidR="005B05C5" w:rsidRPr="00411AE0">
        <w:rPr>
          <w:rFonts w:ascii="Garamond" w:hAnsi="Garamond" w:cs="Times New Roman"/>
          <w:sz w:val="24"/>
          <w:szCs w:val="24"/>
          <w:lang w:val="en-US"/>
        </w:rPr>
        <w:t xml:space="preserve"> that </w:t>
      </w:r>
      <w:r w:rsidR="005B05C5" w:rsidRPr="00411AE0">
        <w:rPr>
          <w:rFonts w:ascii="Garamond" w:hAnsi="Garamond" w:cs="Times New Roman"/>
          <w:sz w:val="24"/>
          <w:szCs w:val="24"/>
          <w:lang w:val="en-US"/>
        </w:rPr>
        <w:lastRenderedPageBreak/>
        <w:t xml:space="preserve">represent </w:t>
      </w:r>
      <w:r w:rsidR="00292A6A" w:rsidRPr="00411AE0">
        <w:rPr>
          <w:rFonts w:ascii="Garamond" w:hAnsi="Garamond" w:cs="Times New Roman"/>
          <w:sz w:val="24"/>
          <w:szCs w:val="24"/>
          <w:lang w:val="en-US"/>
        </w:rPr>
        <w:t>‘</w:t>
      </w:r>
      <w:r w:rsidR="005B05C5" w:rsidRPr="00411AE0">
        <w:rPr>
          <w:rFonts w:ascii="Garamond" w:hAnsi="Garamond" w:cs="Times New Roman"/>
          <w:sz w:val="24"/>
          <w:szCs w:val="24"/>
          <w:lang w:val="en-US"/>
        </w:rPr>
        <w:t>necrocapitalism’</w:t>
      </w:r>
      <w:r w:rsidR="00BB2E84" w:rsidRPr="00411AE0">
        <w:rPr>
          <w:rStyle w:val="FootnoteReference"/>
          <w:rFonts w:ascii="Garamond" w:hAnsi="Garamond" w:cs="Times New Roman"/>
          <w:sz w:val="24"/>
          <w:szCs w:val="24"/>
          <w:lang w:val="en-US"/>
        </w:rPr>
        <w:footnoteReference w:id="69"/>
      </w:r>
      <w:r w:rsidR="005B05C5" w:rsidRPr="00411AE0">
        <w:rPr>
          <w:rFonts w:ascii="Garamond" w:hAnsi="Garamond" w:cs="Times New Roman"/>
          <w:sz w:val="24"/>
          <w:szCs w:val="24"/>
          <w:lang w:val="en-US"/>
        </w:rPr>
        <w:t xml:space="preserve"> </w:t>
      </w:r>
      <w:r w:rsidR="00212CB0" w:rsidRPr="00411AE0">
        <w:rPr>
          <w:rFonts w:ascii="Garamond" w:hAnsi="Garamond" w:cs="Times New Roman"/>
          <w:sz w:val="24"/>
          <w:szCs w:val="24"/>
          <w:lang w:val="en-US"/>
        </w:rPr>
        <w:t>emerge</w:t>
      </w:r>
      <w:r w:rsidR="00333F80" w:rsidRPr="00411AE0">
        <w:rPr>
          <w:rFonts w:ascii="Garamond" w:hAnsi="Garamond" w:cs="Times New Roman"/>
          <w:sz w:val="24"/>
          <w:szCs w:val="24"/>
          <w:lang w:val="en-US"/>
        </w:rPr>
        <w:t xml:space="preserve"> </w:t>
      </w:r>
      <w:r w:rsidR="006A3DD0" w:rsidRPr="00411AE0">
        <w:rPr>
          <w:rFonts w:ascii="Garamond" w:hAnsi="Garamond" w:cs="Times New Roman"/>
          <w:sz w:val="24"/>
          <w:szCs w:val="24"/>
          <w:lang w:val="en-US"/>
        </w:rPr>
        <w:t>from the intersection of necropolitics and necroeconomics</w:t>
      </w:r>
      <w:r w:rsidR="000145B0" w:rsidRPr="00411AE0">
        <w:rPr>
          <w:rFonts w:ascii="Garamond" w:hAnsi="Garamond" w:cs="Times New Roman"/>
          <w:sz w:val="24"/>
          <w:szCs w:val="24"/>
          <w:lang w:val="en-US"/>
        </w:rPr>
        <w:t xml:space="preserve"> in forms</w:t>
      </w:r>
      <w:r w:rsidR="00212CB0" w:rsidRPr="00411AE0">
        <w:rPr>
          <w:rFonts w:ascii="Garamond" w:hAnsi="Garamond" w:cs="Times New Roman"/>
          <w:sz w:val="24"/>
          <w:szCs w:val="24"/>
          <w:lang w:val="en-US"/>
        </w:rPr>
        <w:t xml:space="preserve"> of accumulation </w:t>
      </w:r>
      <w:r w:rsidR="006962C5" w:rsidRPr="00411AE0">
        <w:rPr>
          <w:rFonts w:ascii="Garamond" w:hAnsi="Garamond" w:cs="Times New Roman"/>
          <w:sz w:val="24"/>
          <w:szCs w:val="24"/>
          <w:lang w:val="en-US"/>
        </w:rPr>
        <w:t xml:space="preserve">by specific economic actors </w:t>
      </w:r>
      <w:r w:rsidR="00212CB0" w:rsidRPr="00411AE0">
        <w:rPr>
          <w:rFonts w:ascii="Garamond" w:hAnsi="Garamond" w:cs="Times New Roman"/>
          <w:sz w:val="24"/>
          <w:szCs w:val="24"/>
          <w:lang w:val="en-US"/>
        </w:rPr>
        <w:t xml:space="preserve">in </w:t>
      </w:r>
      <w:r w:rsidR="006A3DD0" w:rsidRPr="00411AE0">
        <w:rPr>
          <w:rFonts w:ascii="Garamond" w:hAnsi="Garamond" w:cs="Times New Roman"/>
          <w:sz w:val="24"/>
          <w:szCs w:val="24"/>
          <w:lang w:val="en-US"/>
        </w:rPr>
        <w:t>(</w:t>
      </w:r>
      <w:r w:rsidR="00CB06CD">
        <w:rPr>
          <w:rFonts w:ascii="Garamond" w:hAnsi="Garamond" w:cs="Times New Roman"/>
          <w:sz w:val="24"/>
          <w:szCs w:val="24"/>
          <w:lang w:val="en-US"/>
        </w:rPr>
        <w:t>‘</w:t>
      </w:r>
      <w:r w:rsidR="006A3DD0" w:rsidRPr="00411AE0">
        <w:rPr>
          <w:rFonts w:ascii="Garamond" w:hAnsi="Garamond" w:cs="Times New Roman"/>
          <w:sz w:val="24"/>
          <w:szCs w:val="24"/>
          <w:lang w:val="en-US"/>
        </w:rPr>
        <w:t>post</w:t>
      </w:r>
      <w:r w:rsidR="00CB06CD">
        <w:rPr>
          <w:rFonts w:ascii="Garamond" w:hAnsi="Garamond" w:cs="Times New Roman"/>
          <w:sz w:val="24"/>
          <w:szCs w:val="24"/>
          <w:lang w:val="en-US"/>
        </w:rPr>
        <w:t>’</w:t>
      </w:r>
      <w:r w:rsidR="006A3DD0" w:rsidRPr="00411AE0">
        <w:rPr>
          <w:rFonts w:ascii="Garamond" w:hAnsi="Garamond" w:cs="Times New Roman"/>
          <w:sz w:val="24"/>
          <w:szCs w:val="24"/>
          <w:lang w:val="en-US"/>
        </w:rPr>
        <w:t>)colonial contexts</w:t>
      </w:r>
      <w:r w:rsidR="006D7E63" w:rsidRPr="00411AE0">
        <w:rPr>
          <w:rFonts w:ascii="Garamond" w:hAnsi="Garamond" w:cs="Times New Roman"/>
          <w:sz w:val="24"/>
          <w:szCs w:val="24"/>
          <w:lang w:val="en-US"/>
        </w:rPr>
        <w:t>—</w:t>
      </w:r>
      <w:r w:rsidR="006A3DD0" w:rsidRPr="00411AE0">
        <w:rPr>
          <w:rFonts w:ascii="Garamond" w:hAnsi="Garamond" w:cs="Times New Roman"/>
          <w:sz w:val="24"/>
          <w:szCs w:val="24"/>
          <w:lang w:val="en-US"/>
        </w:rPr>
        <w:t>transnatio</w:t>
      </w:r>
      <w:r w:rsidR="006D7E63" w:rsidRPr="00411AE0">
        <w:rPr>
          <w:rFonts w:ascii="Garamond" w:hAnsi="Garamond" w:cs="Times New Roman"/>
          <w:sz w:val="24"/>
          <w:szCs w:val="24"/>
          <w:lang w:val="en-US"/>
        </w:rPr>
        <w:t>nal corporations</w:t>
      </w:r>
      <w:r w:rsidR="00FE7613" w:rsidRPr="00411AE0">
        <w:rPr>
          <w:rFonts w:ascii="Garamond" w:hAnsi="Garamond" w:cs="Times New Roman"/>
          <w:sz w:val="24"/>
          <w:szCs w:val="24"/>
          <w:lang w:val="en-US"/>
        </w:rPr>
        <w:t xml:space="preserve"> being the paradigmatic example</w:t>
      </w:r>
      <w:r w:rsidR="006D7E63" w:rsidRPr="00411AE0">
        <w:rPr>
          <w:rFonts w:ascii="Garamond" w:hAnsi="Garamond" w:cs="Times New Roman"/>
          <w:sz w:val="24"/>
          <w:szCs w:val="24"/>
          <w:lang w:val="en-US"/>
        </w:rPr>
        <w:t>—</w:t>
      </w:r>
      <w:r w:rsidR="006A3DD0" w:rsidRPr="00411AE0">
        <w:rPr>
          <w:rFonts w:ascii="Garamond" w:hAnsi="Garamond" w:cs="Times New Roman"/>
          <w:sz w:val="24"/>
          <w:szCs w:val="24"/>
          <w:lang w:val="en-US"/>
        </w:rPr>
        <w:t>that involve dispossession,</w:t>
      </w:r>
      <w:r w:rsidR="006D7E63" w:rsidRPr="00411AE0">
        <w:rPr>
          <w:rFonts w:ascii="Garamond" w:hAnsi="Garamond" w:cs="Times New Roman"/>
          <w:sz w:val="24"/>
          <w:szCs w:val="24"/>
          <w:lang w:val="en-US"/>
        </w:rPr>
        <w:t xml:space="preserve"> </w:t>
      </w:r>
      <w:r w:rsidR="006A3DD0" w:rsidRPr="00411AE0">
        <w:rPr>
          <w:rFonts w:ascii="Garamond" w:hAnsi="Garamond" w:cs="Times New Roman"/>
          <w:sz w:val="24"/>
          <w:szCs w:val="24"/>
          <w:lang w:val="en-US"/>
        </w:rPr>
        <w:t>death, torture, suicide, slavery, destruction of livelihoods, and the</w:t>
      </w:r>
      <w:r w:rsidR="00212CB0" w:rsidRPr="00411AE0">
        <w:rPr>
          <w:rFonts w:ascii="Garamond" w:hAnsi="Garamond" w:cs="Times New Roman"/>
          <w:sz w:val="24"/>
          <w:szCs w:val="24"/>
          <w:lang w:val="en-US"/>
        </w:rPr>
        <w:t xml:space="preserve"> </w:t>
      </w:r>
      <w:r w:rsidR="006A3DD0" w:rsidRPr="00411AE0">
        <w:rPr>
          <w:rFonts w:ascii="Garamond" w:hAnsi="Garamond" w:cs="Times New Roman"/>
          <w:sz w:val="24"/>
          <w:szCs w:val="24"/>
          <w:lang w:val="en-US"/>
        </w:rPr>
        <w:t xml:space="preserve">general management of violence. </w:t>
      </w:r>
      <w:r w:rsidR="00FE7613" w:rsidRPr="00411AE0">
        <w:rPr>
          <w:rFonts w:ascii="Garamond" w:hAnsi="Garamond" w:cs="Times New Roman"/>
          <w:sz w:val="24"/>
          <w:szCs w:val="24"/>
          <w:lang w:val="en-US"/>
        </w:rPr>
        <w:t xml:space="preserve">This </w:t>
      </w:r>
      <w:r w:rsidR="006A3DD0" w:rsidRPr="00411AE0">
        <w:rPr>
          <w:rFonts w:ascii="Garamond" w:hAnsi="Garamond" w:cs="Times New Roman"/>
          <w:sz w:val="24"/>
          <w:szCs w:val="24"/>
          <w:lang w:val="en-US"/>
        </w:rPr>
        <w:t xml:space="preserve">is a </w:t>
      </w:r>
      <w:r w:rsidR="00FE7613" w:rsidRPr="00411AE0">
        <w:rPr>
          <w:rFonts w:ascii="Garamond" w:hAnsi="Garamond" w:cs="Times New Roman"/>
          <w:sz w:val="24"/>
          <w:szCs w:val="24"/>
          <w:lang w:val="en-US"/>
        </w:rPr>
        <w:t xml:space="preserve">newer </w:t>
      </w:r>
      <w:r w:rsidR="006A3DD0" w:rsidRPr="00411AE0">
        <w:rPr>
          <w:rFonts w:ascii="Garamond" w:hAnsi="Garamond" w:cs="Times New Roman"/>
          <w:sz w:val="24"/>
          <w:szCs w:val="24"/>
          <w:lang w:val="en-US"/>
        </w:rPr>
        <w:t>form of imperialism, an imperialism</w:t>
      </w:r>
      <w:r w:rsidR="00212CB0" w:rsidRPr="00411AE0">
        <w:rPr>
          <w:rFonts w:ascii="Garamond" w:hAnsi="Garamond" w:cs="Times New Roman"/>
          <w:sz w:val="24"/>
          <w:szCs w:val="24"/>
          <w:lang w:val="en-US"/>
        </w:rPr>
        <w:t xml:space="preserve"> </w:t>
      </w:r>
      <w:r w:rsidR="006A3DD0" w:rsidRPr="00411AE0">
        <w:rPr>
          <w:rFonts w:ascii="Garamond" w:hAnsi="Garamond" w:cs="Times New Roman"/>
          <w:sz w:val="24"/>
          <w:szCs w:val="24"/>
          <w:lang w:val="en-US"/>
        </w:rPr>
        <w:t>that has learned to ‘manage things better’.</w:t>
      </w:r>
      <w:r w:rsidR="00A95E93" w:rsidRPr="00411AE0">
        <w:rPr>
          <w:rStyle w:val="FootnoteReference"/>
          <w:rFonts w:ascii="Garamond" w:hAnsi="Garamond" w:cs="Times New Roman"/>
          <w:sz w:val="24"/>
          <w:szCs w:val="24"/>
          <w:lang w:val="en-US"/>
        </w:rPr>
        <w:footnoteReference w:id="70"/>
      </w:r>
    </w:p>
    <w:p w14:paraId="05BEC5C4" w14:textId="77777777" w:rsidR="006D2B3A" w:rsidRPr="00411AE0" w:rsidRDefault="006D2B3A" w:rsidP="00970329">
      <w:pPr>
        <w:widowControl w:val="0"/>
        <w:autoSpaceDE w:val="0"/>
        <w:autoSpaceDN w:val="0"/>
        <w:adjustRightInd w:val="0"/>
        <w:spacing w:after="0" w:line="240" w:lineRule="auto"/>
        <w:rPr>
          <w:rFonts w:ascii="Garamond" w:hAnsi="Garamond"/>
          <w:sz w:val="24"/>
          <w:szCs w:val="24"/>
        </w:rPr>
      </w:pPr>
    </w:p>
    <w:p w14:paraId="6AA6B80D" w14:textId="4EA448E7" w:rsidR="00E07199" w:rsidRDefault="00E2040C" w:rsidP="00E07199">
      <w:pPr>
        <w:widowControl w:val="0"/>
        <w:autoSpaceDE w:val="0"/>
        <w:autoSpaceDN w:val="0"/>
        <w:adjustRightInd w:val="0"/>
        <w:spacing w:after="0" w:line="240" w:lineRule="auto"/>
        <w:rPr>
          <w:rFonts w:ascii="Garamond" w:hAnsi="Garamond" w:cs="Times New Roman"/>
          <w:sz w:val="24"/>
          <w:szCs w:val="24"/>
        </w:rPr>
      </w:pPr>
      <w:r w:rsidRPr="00140D89">
        <w:rPr>
          <w:rFonts w:ascii="Garamond" w:eastAsia="Times New Roman" w:hAnsi="Garamond" w:cs="Times New Roman"/>
          <w:b/>
          <w:sz w:val="24"/>
          <w:szCs w:val="24"/>
          <w:lang w:eastAsia="en-GB"/>
        </w:rPr>
        <w:t>2</w:t>
      </w:r>
      <w:r w:rsidR="00396C87" w:rsidRPr="00140D89">
        <w:rPr>
          <w:rFonts w:ascii="Garamond" w:eastAsia="Times New Roman" w:hAnsi="Garamond" w:cs="Times New Roman"/>
          <w:b/>
          <w:sz w:val="24"/>
          <w:szCs w:val="24"/>
          <w:lang w:eastAsia="en-GB"/>
        </w:rPr>
        <w:t>b</w:t>
      </w:r>
      <w:r w:rsidRPr="00140D89">
        <w:rPr>
          <w:rFonts w:ascii="Garamond" w:eastAsia="Times New Roman" w:hAnsi="Garamond" w:cs="Times New Roman"/>
          <w:b/>
          <w:sz w:val="24"/>
          <w:szCs w:val="24"/>
          <w:lang w:eastAsia="en-GB"/>
        </w:rPr>
        <w:t xml:space="preserve"> </w:t>
      </w:r>
      <w:r w:rsidR="00634D90" w:rsidRPr="00140D89">
        <w:rPr>
          <w:rFonts w:ascii="Garamond" w:eastAsia="Times New Roman" w:hAnsi="Garamond" w:cs="Times New Roman"/>
          <w:b/>
          <w:sz w:val="24"/>
          <w:szCs w:val="24"/>
          <w:lang w:eastAsia="en-GB"/>
        </w:rPr>
        <w:t>Neoliberalism</w:t>
      </w:r>
      <w:r w:rsidR="00F77175" w:rsidRPr="00411AE0">
        <w:rPr>
          <w:rFonts w:ascii="Garamond" w:eastAsia="Times New Roman" w:hAnsi="Garamond" w:cs="Times New Roman"/>
          <w:sz w:val="24"/>
          <w:szCs w:val="24"/>
          <w:lang w:eastAsia="en-GB"/>
        </w:rPr>
        <w:br/>
      </w:r>
      <w:r w:rsidR="00791BE4" w:rsidRPr="00411AE0">
        <w:rPr>
          <w:rFonts w:ascii="Garamond" w:eastAsia="Times New Roman" w:hAnsi="Garamond" w:cs="Times New Roman"/>
          <w:sz w:val="24"/>
          <w:szCs w:val="24"/>
          <w:lang w:eastAsia="en-GB"/>
        </w:rPr>
        <w:t xml:space="preserve">A necrocapitalist </w:t>
      </w:r>
      <w:r w:rsidR="00F055FF" w:rsidRPr="00411AE0">
        <w:rPr>
          <w:rFonts w:ascii="Garamond" w:eastAsia="Times New Roman" w:hAnsi="Garamond" w:cs="Times New Roman"/>
          <w:sz w:val="24"/>
          <w:szCs w:val="24"/>
          <w:lang w:eastAsia="en-GB"/>
        </w:rPr>
        <w:t xml:space="preserve">analysis </w:t>
      </w:r>
      <w:r w:rsidR="009A7538" w:rsidRPr="00411AE0">
        <w:rPr>
          <w:rFonts w:ascii="Garamond" w:eastAsia="Times New Roman" w:hAnsi="Garamond" w:cs="Times New Roman"/>
          <w:sz w:val="24"/>
          <w:szCs w:val="24"/>
          <w:lang w:eastAsia="en-GB"/>
        </w:rPr>
        <w:t>draws out</w:t>
      </w:r>
      <w:r w:rsidR="00791BE4" w:rsidRPr="00411AE0">
        <w:rPr>
          <w:rFonts w:ascii="Garamond" w:eastAsia="Times New Roman" w:hAnsi="Garamond" w:cs="Times New Roman"/>
          <w:sz w:val="24"/>
          <w:szCs w:val="24"/>
          <w:lang w:eastAsia="en-GB"/>
        </w:rPr>
        <w:t xml:space="preserve"> </w:t>
      </w:r>
      <w:r w:rsidR="008B0873" w:rsidRPr="00411AE0">
        <w:rPr>
          <w:rFonts w:ascii="Garamond" w:eastAsia="Times New Roman" w:hAnsi="Garamond" w:cs="Times New Roman"/>
          <w:sz w:val="24"/>
          <w:szCs w:val="24"/>
          <w:lang w:eastAsia="en-GB"/>
        </w:rPr>
        <w:t>neoliberalism</w:t>
      </w:r>
      <w:r w:rsidR="009A7538" w:rsidRPr="00411AE0">
        <w:rPr>
          <w:rFonts w:ascii="Garamond" w:eastAsia="Times New Roman" w:hAnsi="Garamond" w:cs="Times New Roman"/>
          <w:sz w:val="24"/>
          <w:szCs w:val="24"/>
          <w:lang w:eastAsia="en-GB"/>
        </w:rPr>
        <w:t>’s</w:t>
      </w:r>
      <w:r w:rsidR="008B0873" w:rsidRPr="00411AE0">
        <w:rPr>
          <w:rFonts w:ascii="Garamond" w:eastAsia="Times New Roman" w:hAnsi="Garamond" w:cs="Times New Roman"/>
          <w:sz w:val="24"/>
          <w:szCs w:val="24"/>
          <w:lang w:eastAsia="en-GB"/>
        </w:rPr>
        <w:t xml:space="preserve"> </w:t>
      </w:r>
      <w:r w:rsidR="00473BBC" w:rsidRPr="00411AE0">
        <w:rPr>
          <w:rFonts w:ascii="Garamond" w:eastAsia="Times New Roman" w:hAnsi="Garamond" w:cs="Times New Roman"/>
          <w:sz w:val="24"/>
          <w:szCs w:val="24"/>
          <w:lang w:eastAsia="en-GB"/>
        </w:rPr>
        <w:t xml:space="preserve">complex </w:t>
      </w:r>
      <w:r w:rsidR="003F32E8" w:rsidRPr="00411AE0">
        <w:rPr>
          <w:rFonts w:ascii="Garamond" w:eastAsia="Times New Roman" w:hAnsi="Garamond" w:cs="Times New Roman"/>
          <w:sz w:val="24"/>
          <w:szCs w:val="24"/>
          <w:lang w:eastAsia="en-GB"/>
        </w:rPr>
        <w:t xml:space="preserve">perpetuation of </w:t>
      </w:r>
      <w:r w:rsidR="00F055FF" w:rsidRPr="00411AE0">
        <w:rPr>
          <w:rFonts w:ascii="Garamond" w:eastAsia="Times New Roman" w:hAnsi="Garamond" w:cs="Times New Roman"/>
          <w:sz w:val="24"/>
          <w:szCs w:val="24"/>
          <w:lang w:eastAsia="en-GB"/>
        </w:rPr>
        <w:t>coloniality, in the light of which n</w:t>
      </w:r>
      <w:r w:rsidR="003F32E8" w:rsidRPr="00411AE0">
        <w:rPr>
          <w:rFonts w:ascii="Garamond" w:eastAsia="Times New Roman" w:hAnsi="Garamond" w:cs="Times New Roman"/>
          <w:sz w:val="24"/>
          <w:szCs w:val="24"/>
          <w:lang w:eastAsia="en-GB"/>
        </w:rPr>
        <w:t xml:space="preserve">eoliberalism </w:t>
      </w:r>
      <w:r w:rsidR="008E614A">
        <w:rPr>
          <w:rFonts w:ascii="Garamond" w:eastAsia="Times New Roman" w:hAnsi="Garamond" w:cs="Times New Roman"/>
          <w:sz w:val="24"/>
          <w:szCs w:val="24"/>
          <w:lang w:eastAsia="en-GB"/>
        </w:rPr>
        <w:t xml:space="preserve">itself </w:t>
      </w:r>
      <w:r w:rsidR="002E0EF8" w:rsidRPr="00411AE0">
        <w:rPr>
          <w:rFonts w:ascii="Garamond" w:eastAsia="Times New Roman" w:hAnsi="Garamond" w:cs="Times New Roman"/>
          <w:sz w:val="24"/>
          <w:szCs w:val="24"/>
          <w:lang w:eastAsia="en-GB"/>
        </w:rPr>
        <w:t>emerges</w:t>
      </w:r>
      <w:r w:rsidR="00F055FF" w:rsidRPr="00411AE0">
        <w:rPr>
          <w:rFonts w:ascii="Garamond" w:eastAsia="Times New Roman" w:hAnsi="Garamond" w:cs="Times New Roman"/>
          <w:sz w:val="24"/>
          <w:szCs w:val="24"/>
          <w:lang w:eastAsia="en-GB"/>
        </w:rPr>
        <w:t xml:space="preserve"> </w:t>
      </w:r>
      <w:r w:rsidR="002E0EF8" w:rsidRPr="00411AE0">
        <w:rPr>
          <w:rFonts w:ascii="Garamond" w:eastAsia="Times New Roman" w:hAnsi="Garamond" w:cs="Times New Roman"/>
          <w:sz w:val="24"/>
          <w:szCs w:val="24"/>
          <w:lang w:eastAsia="en-GB"/>
        </w:rPr>
        <w:t>as</w:t>
      </w:r>
      <w:r w:rsidR="003F32E8" w:rsidRPr="00411AE0">
        <w:rPr>
          <w:rFonts w:ascii="Garamond" w:eastAsia="Times New Roman" w:hAnsi="Garamond" w:cs="Times New Roman"/>
          <w:sz w:val="24"/>
          <w:szCs w:val="24"/>
          <w:lang w:eastAsia="en-GB"/>
        </w:rPr>
        <w:t xml:space="preserve"> a</w:t>
      </w:r>
      <w:r w:rsidR="009A7538" w:rsidRPr="00411AE0">
        <w:rPr>
          <w:rFonts w:ascii="Garamond" w:eastAsia="Times New Roman" w:hAnsi="Garamond" w:cs="Times New Roman"/>
          <w:sz w:val="24"/>
          <w:szCs w:val="24"/>
          <w:lang w:eastAsia="en-GB"/>
        </w:rPr>
        <w:t xml:space="preserve">n </w:t>
      </w:r>
      <w:r w:rsidR="003F32E8" w:rsidRPr="00411AE0">
        <w:rPr>
          <w:rFonts w:ascii="Garamond" w:eastAsia="Times New Roman" w:hAnsi="Garamond" w:cs="Times New Roman"/>
          <w:sz w:val="24"/>
          <w:szCs w:val="24"/>
          <w:lang w:eastAsia="en-GB"/>
        </w:rPr>
        <w:t>imperialistic project</w:t>
      </w:r>
      <w:r w:rsidR="009A7538" w:rsidRPr="00411AE0">
        <w:rPr>
          <w:rFonts w:ascii="Garamond" w:eastAsia="Times New Roman" w:hAnsi="Garamond" w:cs="Times New Roman"/>
          <w:sz w:val="24"/>
          <w:szCs w:val="24"/>
          <w:lang w:eastAsia="en-GB"/>
        </w:rPr>
        <w:t xml:space="preserve"> </w:t>
      </w:r>
      <w:r w:rsidR="003F32E8" w:rsidRPr="00411AE0">
        <w:rPr>
          <w:rFonts w:ascii="Garamond" w:eastAsia="Times New Roman" w:hAnsi="Garamond" w:cs="Times New Roman"/>
          <w:sz w:val="24"/>
          <w:szCs w:val="24"/>
          <w:lang w:eastAsia="en-GB"/>
        </w:rPr>
        <w:t>exercising</w:t>
      </w:r>
      <w:r w:rsidR="009A7538" w:rsidRPr="00411AE0">
        <w:rPr>
          <w:rFonts w:ascii="Garamond" w:eastAsia="Times New Roman" w:hAnsi="Garamond" w:cs="Times New Roman"/>
          <w:sz w:val="24"/>
          <w:szCs w:val="24"/>
          <w:lang w:eastAsia="en-GB"/>
        </w:rPr>
        <w:t xml:space="preserve"> </w:t>
      </w:r>
      <w:r w:rsidR="003F32E8" w:rsidRPr="00411AE0">
        <w:rPr>
          <w:rFonts w:ascii="Garamond" w:eastAsia="Times New Roman" w:hAnsi="Garamond" w:cs="Times New Roman"/>
          <w:sz w:val="24"/>
          <w:szCs w:val="24"/>
          <w:lang w:eastAsia="en-GB"/>
        </w:rPr>
        <w:t xml:space="preserve">power through juridical structures originally designed to facilitate European and then Western </w:t>
      </w:r>
      <w:r w:rsidR="00043571">
        <w:rPr>
          <w:rFonts w:ascii="Garamond" w:eastAsia="Times New Roman" w:hAnsi="Garamond" w:cs="Times New Roman"/>
          <w:sz w:val="24"/>
          <w:szCs w:val="24"/>
          <w:lang w:eastAsia="en-GB"/>
        </w:rPr>
        <w:t xml:space="preserve">capitalistic </w:t>
      </w:r>
      <w:r w:rsidR="003F32E8" w:rsidRPr="00411AE0">
        <w:rPr>
          <w:rFonts w:ascii="Garamond" w:eastAsia="Times New Roman" w:hAnsi="Garamond" w:cs="Times New Roman"/>
          <w:sz w:val="24"/>
          <w:szCs w:val="24"/>
          <w:lang w:eastAsia="en-GB"/>
        </w:rPr>
        <w:t>dominance.</w:t>
      </w:r>
      <w:r w:rsidR="00473BBC" w:rsidRPr="00411AE0">
        <w:rPr>
          <w:rStyle w:val="FootnoteReference"/>
          <w:rFonts w:ascii="Garamond" w:eastAsia="Times New Roman" w:hAnsi="Garamond" w:cs="Times New Roman"/>
          <w:sz w:val="24"/>
          <w:szCs w:val="24"/>
          <w:lang w:eastAsia="en-GB"/>
        </w:rPr>
        <w:footnoteReference w:id="71"/>
      </w:r>
      <w:r w:rsidR="003F32E8" w:rsidRPr="00411AE0">
        <w:rPr>
          <w:rFonts w:ascii="Garamond" w:eastAsia="Times New Roman" w:hAnsi="Garamond" w:cs="Times New Roman"/>
          <w:sz w:val="24"/>
          <w:szCs w:val="24"/>
          <w:lang w:eastAsia="en-GB"/>
        </w:rPr>
        <w:br/>
      </w:r>
      <w:r w:rsidR="003F32E8" w:rsidRPr="00411AE0">
        <w:rPr>
          <w:rFonts w:ascii="Garamond" w:eastAsia="Times New Roman" w:hAnsi="Garamond" w:cs="Times New Roman"/>
          <w:sz w:val="24"/>
          <w:szCs w:val="24"/>
          <w:lang w:eastAsia="en-GB"/>
        </w:rPr>
        <w:tab/>
      </w:r>
      <w:r w:rsidR="00DF1219" w:rsidRPr="00411AE0">
        <w:rPr>
          <w:rFonts w:ascii="Garamond" w:eastAsia="Times New Roman" w:hAnsi="Garamond" w:cs="Times New Roman"/>
          <w:sz w:val="24"/>
          <w:szCs w:val="24"/>
          <w:lang w:eastAsia="en-GB"/>
        </w:rPr>
        <w:t xml:space="preserve">The central project of neoliberalism </w:t>
      </w:r>
      <w:r w:rsidR="00F61384" w:rsidRPr="00411AE0">
        <w:rPr>
          <w:rFonts w:ascii="Garamond" w:eastAsia="Times New Roman" w:hAnsi="Garamond" w:cs="Times New Roman"/>
          <w:sz w:val="24"/>
          <w:szCs w:val="24"/>
          <w:lang w:eastAsia="en-GB"/>
        </w:rPr>
        <w:t xml:space="preserve">has </w:t>
      </w:r>
      <w:r w:rsidR="00A13213">
        <w:rPr>
          <w:rFonts w:ascii="Garamond" w:eastAsia="Times New Roman" w:hAnsi="Garamond" w:cs="Times New Roman"/>
          <w:sz w:val="24"/>
          <w:szCs w:val="24"/>
          <w:lang w:eastAsia="en-GB"/>
        </w:rPr>
        <w:t xml:space="preserve">always </w:t>
      </w:r>
      <w:r w:rsidR="00F61384" w:rsidRPr="00411AE0">
        <w:rPr>
          <w:rFonts w:ascii="Garamond" w:eastAsia="Times New Roman" w:hAnsi="Garamond" w:cs="Times New Roman"/>
          <w:sz w:val="24"/>
          <w:szCs w:val="24"/>
          <w:lang w:eastAsia="en-GB"/>
        </w:rPr>
        <w:t xml:space="preserve">been </w:t>
      </w:r>
      <w:r w:rsidR="00DF1219" w:rsidRPr="00411AE0">
        <w:rPr>
          <w:rFonts w:ascii="Garamond" w:eastAsia="Times New Roman" w:hAnsi="Garamond" w:cs="Times New Roman"/>
          <w:sz w:val="24"/>
          <w:szCs w:val="24"/>
          <w:lang w:eastAsia="en-GB"/>
        </w:rPr>
        <w:t>to ‘disembed capital’</w:t>
      </w:r>
      <w:r w:rsidR="006F7F79" w:rsidRPr="00411AE0">
        <w:rPr>
          <w:rStyle w:val="FootnoteReference"/>
          <w:rFonts w:ascii="Garamond" w:eastAsia="Times New Roman" w:hAnsi="Garamond" w:cs="Times New Roman"/>
          <w:sz w:val="24"/>
          <w:szCs w:val="24"/>
          <w:lang w:eastAsia="en-GB"/>
        </w:rPr>
        <w:footnoteReference w:id="72"/>
      </w:r>
      <w:r w:rsidR="00DF1219" w:rsidRPr="00411AE0">
        <w:rPr>
          <w:rFonts w:ascii="Garamond" w:eastAsia="Times New Roman" w:hAnsi="Garamond" w:cs="Times New Roman"/>
          <w:sz w:val="24"/>
          <w:szCs w:val="24"/>
          <w:lang w:eastAsia="en-GB"/>
        </w:rPr>
        <w:t xml:space="preserve"> from ‘a web of social and political constraints and a regulatory environment that sometimes restrained but in other instances led the way in economic and industrial strategy’.</w:t>
      </w:r>
      <w:r w:rsidR="00DF1219" w:rsidRPr="00411AE0">
        <w:rPr>
          <w:rStyle w:val="FootnoteReference"/>
          <w:rFonts w:ascii="Garamond" w:eastAsia="Times New Roman" w:hAnsi="Garamond" w:cs="Times New Roman"/>
          <w:sz w:val="24"/>
          <w:szCs w:val="24"/>
          <w:lang w:eastAsia="en-GB"/>
        </w:rPr>
        <w:footnoteReference w:id="73"/>
      </w:r>
      <w:r w:rsidR="00DF1219" w:rsidRPr="00411AE0">
        <w:rPr>
          <w:rFonts w:ascii="Garamond" w:eastAsia="Times New Roman" w:hAnsi="Garamond" w:cs="Times New Roman"/>
          <w:sz w:val="24"/>
          <w:szCs w:val="24"/>
          <w:lang w:eastAsia="en-GB"/>
        </w:rPr>
        <w:t xml:space="preserve"> </w:t>
      </w:r>
      <w:r w:rsidR="0026186C">
        <w:rPr>
          <w:rFonts w:ascii="Garamond" w:eastAsia="Times New Roman" w:hAnsi="Garamond" w:cs="Times New Roman"/>
          <w:sz w:val="24"/>
          <w:szCs w:val="24"/>
          <w:lang w:eastAsia="en-GB"/>
        </w:rPr>
        <w:t>D</w:t>
      </w:r>
      <w:r w:rsidR="00DF1219" w:rsidRPr="00411AE0">
        <w:rPr>
          <w:rFonts w:ascii="Garamond" w:eastAsia="Times New Roman" w:hAnsi="Garamond" w:cs="Times New Roman"/>
          <w:sz w:val="24"/>
          <w:szCs w:val="24"/>
          <w:lang w:eastAsia="en-GB"/>
        </w:rPr>
        <w:t>isembedding capital</w:t>
      </w:r>
      <w:r w:rsidR="00BB28E6" w:rsidRPr="00411AE0">
        <w:rPr>
          <w:rFonts w:ascii="Garamond" w:eastAsia="Times New Roman" w:hAnsi="Garamond" w:cs="Times New Roman"/>
          <w:sz w:val="24"/>
          <w:szCs w:val="24"/>
          <w:lang w:eastAsia="en-GB"/>
        </w:rPr>
        <w:t xml:space="preserve"> </w:t>
      </w:r>
      <w:r w:rsidR="00BC6932" w:rsidRPr="00411AE0">
        <w:rPr>
          <w:rFonts w:ascii="Garamond" w:eastAsia="Times New Roman" w:hAnsi="Garamond" w:cs="Times New Roman"/>
          <w:sz w:val="24"/>
          <w:szCs w:val="24"/>
          <w:lang w:eastAsia="en-GB"/>
        </w:rPr>
        <w:t>has</w:t>
      </w:r>
      <w:r w:rsidR="0091029E" w:rsidRPr="00411AE0">
        <w:rPr>
          <w:rFonts w:ascii="Garamond" w:eastAsia="Times New Roman" w:hAnsi="Garamond" w:cs="Times New Roman"/>
          <w:sz w:val="24"/>
          <w:szCs w:val="24"/>
          <w:lang w:eastAsia="en-GB"/>
        </w:rPr>
        <w:t xml:space="preserve"> driven </w:t>
      </w:r>
      <w:r w:rsidR="00AA446E">
        <w:rPr>
          <w:rFonts w:ascii="Garamond" w:eastAsia="Times New Roman" w:hAnsi="Garamond" w:cs="Times New Roman"/>
          <w:sz w:val="24"/>
          <w:szCs w:val="24"/>
          <w:lang w:eastAsia="en-GB"/>
        </w:rPr>
        <w:t xml:space="preserve">forward </w:t>
      </w:r>
      <w:r w:rsidR="0091029E" w:rsidRPr="00411AE0">
        <w:rPr>
          <w:rFonts w:ascii="Garamond" w:eastAsia="Times New Roman" w:hAnsi="Garamond" w:cs="Times New Roman"/>
          <w:sz w:val="24"/>
          <w:szCs w:val="24"/>
          <w:lang w:eastAsia="en-GB"/>
        </w:rPr>
        <w:t xml:space="preserve">a </w:t>
      </w:r>
      <w:r w:rsidR="00AA446E">
        <w:rPr>
          <w:rFonts w:ascii="Garamond" w:eastAsia="Times New Roman" w:hAnsi="Garamond" w:cs="Times New Roman"/>
          <w:sz w:val="24"/>
          <w:szCs w:val="24"/>
          <w:lang w:eastAsia="en-GB"/>
        </w:rPr>
        <w:t xml:space="preserve">global </w:t>
      </w:r>
      <w:r w:rsidR="0091029E" w:rsidRPr="00411AE0">
        <w:rPr>
          <w:rFonts w:ascii="Garamond" w:eastAsia="Times New Roman" w:hAnsi="Garamond" w:cs="Times New Roman"/>
          <w:sz w:val="24"/>
          <w:szCs w:val="24"/>
          <w:lang w:eastAsia="en-GB"/>
        </w:rPr>
        <w:t xml:space="preserve">policy of </w:t>
      </w:r>
      <w:r w:rsidR="00DF1219" w:rsidRPr="00411AE0">
        <w:rPr>
          <w:rFonts w:ascii="Garamond" w:eastAsia="Times New Roman" w:hAnsi="Garamond" w:cs="Times New Roman"/>
          <w:sz w:val="24"/>
          <w:szCs w:val="24"/>
          <w:lang w:eastAsia="en-GB"/>
        </w:rPr>
        <w:t xml:space="preserve">liberating market forces and corporations in a wave of privatisation, deregulation and </w:t>
      </w:r>
      <w:r w:rsidR="0091029E" w:rsidRPr="00411AE0">
        <w:rPr>
          <w:rFonts w:ascii="Garamond" w:eastAsia="Times New Roman" w:hAnsi="Garamond" w:cs="Times New Roman"/>
          <w:sz w:val="24"/>
          <w:szCs w:val="24"/>
          <w:lang w:eastAsia="en-GB"/>
        </w:rPr>
        <w:t xml:space="preserve">through </w:t>
      </w:r>
      <w:r w:rsidR="009E32DC" w:rsidRPr="00411AE0">
        <w:rPr>
          <w:rFonts w:ascii="Garamond" w:eastAsia="Times New Roman" w:hAnsi="Garamond" w:cs="Times New Roman"/>
          <w:sz w:val="24"/>
          <w:szCs w:val="24"/>
          <w:lang w:eastAsia="en-GB"/>
        </w:rPr>
        <w:t xml:space="preserve">the </w:t>
      </w:r>
      <w:r w:rsidR="00667D8D" w:rsidRPr="00411AE0">
        <w:rPr>
          <w:rFonts w:ascii="Garamond" w:eastAsia="Times New Roman" w:hAnsi="Garamond" w:cs="Times New Roman"/>
          <w:sz w:val="24"/>
          <w:szCs w:val="24"/>
          <w:lang w:eastAsia="en-GB"/>
        </w:rPr>
        <w:t>selective hollowing out</w:t>
      </w:r>
      <w:r w:rsidR="00DF1219" w:rsidRPr="00411AE0">
        <w:rPr>
          <w:rFonts w:ascii="Garamond" w:eastAsia="Times New Roman" w:hAnsi="Garamond" w:cs="Times New Roman"/>
          <w:sz w:val="24"/>
          <w:szCs w:val="24"/>
          <w:lang w:eastAsia="en-GB"/>
        </w:rPr>
        <w:t xml:space="preserve"> of the state</w:t>
      </w:r>
      <w:r w:rsidR="00AA446E">
        <w:rPr>
          <w:rFonts w:ascii="Garamond" w:eastAsia="Times New Roman" w:hAnsi="Garamond" w:cs="Times New Roman"/>
          <w:sz w:val="24"/>
          <w:szCs w:val="24"/>
          <w:lang w:eastAsia="en-GB"/>
        </w:rPr>
        <w:t>.</w:t>
      </w:r>
      <w:r w:rsidR="00F61384" w:rsidRPr="00411AE0">
        <w:rPr>
          <w:rStyle w:val="FootnoteReference"/>
          <w:rFonts w:ascii="Garamond" w:eastAsia="Times New Roman" w:hAnsi="Garamond" w:cs="Times New Roman"/>
          <w:sz w:val="24"/>
          <w:szCs w:val="24"/>
          <w:lang w:eastAsia="en-GB"/>
        </w:rPr>
        <w:footnoteReference w:id="74"/>
      </w:r>
      <w:r w:rsidR="00DF1219" w:rsidRPr="00411AE0">
        <w:rPr>
          <w:rFonts w:ascii="Garamond" w:eastAsia="Times New Roman" w:hAnsi="Garamond" w:cs="Times New Roman"/>
          <w:sz w:val="24"/>
          <w:szCs w:val="24"/>
          <w:lang w:eastAsia="en-GB"/>
        </w:rPr>
        <w:t xml:space="preserve"> </w:t>
      </w:r>
      <w:r w:rsidR="00AA446E" w:rsidRPr="00AA446E">
        <w:rPr>
          <w:rFonts w:ascii="Garamond" w:eastAsia="Times New Roman" w:hAnsi="Garamond" w:cs="Times New Roman"/>
          <w:sz w:val="24"/>
          <w:szCs w:val="24"/>
          <w:lang w:eastAsia="en-GB"/>
        </w:rPr>
        <w:t>At the ball</w:t>
      </w:r>
      <w:r w:rsidR="00AA446E" w:rsidRPr="003A722A">
        <w:rPr>
          <w:rFonts w:ascii="Garamond" w:eastAsia="Times New Roman" w:hAnsi="Garamond" w:cs="Times New Roman"/>
          <w:sz w:val="24"/>
          <w:szCs w:val="24"/>
          <w:lang w:eastAsia="en-GB"/>
        </w:rPr>
        <w:t>ot box, e</w:t>
      </w:r>
      <w:r w:rsidR="00DF1219" w:rsidRPr="00411AE0">
        <w:rPr>
          <w:rFonts w:ascii="Garamond" w:eastAsia="Times New Roman" w:hAnsi="Garamond" w:cs="Times New Roman"/>
          <w:sz w:val="24"/>
          <w:szCs w:val="24"/>
          <w:lang w:eastAsia="en-GB"/>
        </w:rPr>
        <w:t>arly neoliberalism appealed to vot</w:t>
      </w:r>
      <w:r w:rsidR="0096195D" w:rsidRPr="00411AE0">
        <w:rPr>
          <w:rFonts w:ascii="Garamond" w:eastAsia="Times New Roman" w:hAnsi="Garamond" w:cs="Times New Roman"/>
          <w:sz w:val="24"/>
          <w:szCs w:val="24"/>
          <w:lang w:eastAsia="en-GB"/>
        </w:rPr>
        <w:t>ers</w:t>
      </w:r>
      <w:r w:rsidR="00DF1219" w:rsidRPr="00411AE0">
        <w:rPr>
          <w:rFonts w:ascii="Garamond" w:eastAsia="Times New Roman" w:hAnsi="Garamond" w:cs="Times New Roman"/>
          <w:sz w:val="24"/>
          <w:szCs w:val="24"/>
          <w:lang w:eastAsia="en-GB"/>
        </w:rPr>
        <w:t xml:space="preserve"> </w:t>
      </w:r>
      <w:r w:rsidR="000741C9" w:rsidRPr="00411AE0">
        <w:rPr>
          <w:rFonts w:ascii="Garamond" w:eastAsia="Times New Roman" w:hAnsi="Garamond" w:cs="Times New Roman"/>
          <w:sz w:val="24"/>
          <w:szCs w:val="24"/>
          <w:lang w:eastAsia="en-GB"/>
        </w:rPr>
        <w:t xml:space="preserve">in large part </w:t>
      </w:r>
      <w:r w:rsidR="00DF1219" w:rsidRPr="00411AE0">
        <w:rPr>
          <w:rFonts w:ascii="Garamond" w:eastAsia="Times New Roman" w:hAnsi="Garamond" w:cs="Times New Roman"/>
          <w:sz w:val="24"/>
          <w:szCs w:val="24"/>
          <w:lang w:eastAsia="en-GB"/>
        </w:rPr>
        <w:t xml:space="preserve">because it </w:t>
      </w:r>
      <w:r w:rsidR="00B6795B" w:rsidRPr="00411AE0">
        <w:rPr>
          <w:rFonts w:ascii="Garamond" w:eastAsia="Times New Roman" w:hAnsi="Garamond" w:cs="Times New Roman"/>
          <w:sz w:val="24"/>
          <w:szCs w:val="24"/>
          <w:lang w:eastAsia="en-GB"/>
        </w:rPr>
        <w:t xml:space="preserve">successfully </w:t>
      </w:r>
      <w:r w:rsidR="00DF1219" w:rsidRPr="00411AE0">
        <w:rPr>
          <w:rFonts w:ascii="Garamond" w:eastAsia="Times New Roman" w:hAnsi="Garamond" w:cs="Times New Roman"/>
          <w:sz w:val="24"/>
          <w:szCs w:val="24"/>
          <w:lang w:eastAsia="en-GB"/>
        </w:rPr>
        <w:t>drew on the rhetoric of individual freedom and dignity</w:t>
      </w:r>
      <w:r w:rsidR="003C32D4">
        <w:rPr>
          <w:rFonts w:ascii="Garamond" w:eastAsia="Times New Roman" w:hAnsi="Garamond" w:cs="Times New Roman"/>
          <w:sz w:val="24"/>
          <w:szCs w:val="24"/>
          <w:lang w:eastAsia="en-GB"/>
        </w:rPr>
        <w:t>,</w:t>
      </w:r>
      <w:r w:rsidR="00DF1219" w:rsidRPr="00411AE0">
        <w:rPr>
          <w:rStyle w:val="FootnoteReference"/>
          <w:rFonts w:ascii="Garamond" w:eastAsia="Times New Roman" w:hAnsi="Garamond" w:cs="Times New Roman"/>
          <w:sz w:val="24"/>
          <w:szCs w:val="24"/>
          <w:lang w:eastAsia="en-GB"/>
        </w:rPr>
        <w:footnoteReference w:id="75"/>
      </w:r>
      <w:r w:rsidR="003C32D4">
        <w:rPr>
          <w:rFonts w:ascii="Garamond" w:eastAsia="Times New Roman" w:hAnsi="Garamond" w:cs="Times New Roman"/>
          <w:sz w:val="24"/>
          <w:szCs w:val="24"/>
          <w:lang w:eastAsia="en-GB"/>
        </w:rPr>
        <w:t xml:space="preserve"> and </w:t>
      </w:r>
      <w:r w:rsidR="00DF1219" w:rsidRPr="00411AE0">
        <w:rPr>
          <w:rFonts w:ascii="Garamond" w:eastAsia="Times New Roman" w:hAnsi="Garamond" w:cs="Times New Roman"/>
          <w:sz w:val="24"/>
          <w:szCs w:val="24"/>
          <w:lang w:eastAsia="en-GB"/>
        </w:rPr>
        <w:t>neoliberalism</w:t>
      </w:r>
      <w:r w:rsidR="00177EB9" w:rsidRPr="00411AE0">
        <w:rPr>
          <w:rFonts w:ascii="Garamond" w:eastAsia="Times New Roman" w:hAnsi="Garamond" w:cs="Times New Roman"/>
          <w:sz w:val="24"/>
          <w:szCs w:val="24"/>
          <w:lang w:eastAsia="en-GB"/>
        </w:rPr>
        <w:t>,</w:t>
      </w:r>
      <w:r w:rsidR="006F7F79" w:rsidRPr="00411AE0">
        <w:rPr>
          <w:rFonts w:ascii="Garamond" w:eastAsia="Times New Roman" w:hAnsi="Garamond" w:cs="Times New Roman"/>
          <w:sz w:val="24"/>
          <w:szCs w:val="24"/>
          <w:lang w:eastAsia="en-GB"/>
        </w:rPr>
        <w:t xml:space="preserve"> </w:t>
      </w:r>
      <w:r w:rsidR="00DF1219" w:rsidRPr="00411AE0">
        <w:rPr>
          <w:rFonts w:ascii="Garamond" w:eastAsia="Times New Roman" w:hAnsi="Garamond" w:cs="Times New Roman"/>
          <w:sz w:val="24"/>
          <w:szCs w:val="24"/>
          <w:lang w:eastAsia="en-GB"/>
        </w:rPr>
        <w:t>operationalised through the double-edged strategy of austerity and competition</w:t>
      </w:r>
      <w:r w:rsidR="00177EB9" w:rsidRPr="00411AE0">
        <w:rPr>
          <w:rFonts w:ascii="Garamond" w:eastAsia="Times New Roman" w:hAnsi="Garamond" w:cs="Times New Roman"/>
          <w:sz w:val="24"/>
          <w:szCs w:val="24"/>
          <w:lang w:eastAsia="en-GB"/>
        </w:rPr>
        <w:t xml:space="preserve">, </w:t>
      </w:r>
      <w:r w:rsidR="00DF1219" w:rsidRPr="00411AE0">
        <w:rPr>
          <w:rFonts w:ascii="Garamond" w:eastAsia="Times New Roman" w:hAnsi="Garamond" w:cs="Times New Roman"/>
          <w:sz w:val="24"/>
          <w:szCs w:val="24"/>
          <w:lang w:eastAsia="en-GB"/>
        </w:rPr>
        <w:t>has expanded worldwide under the guise of rational fiscal control</w:t>
      </w:r>
      <w:r w:rsidR="009E32DC" w:rsidRPr="00411AE0">
        <w:rPr>
          <w:rFonts w:ascii="Garamond" w:eastAsia="Times New Roman" w:hAnsi="Garamond" w:cs="Times New Roman"/>
          <w:sz w:val="24"/>
          <w:szCs w:val="24"/>
          <w:lang w:eastAsia="en-GB"/>
        </w:rPr>
        <w:t xml:space="preserve"> and</w:t>
      </w:r>
      <w:r w:rsidR="00DF1219" w:rsidRPr="00411AE0">
        <w:rPr>
          <w:rFonts w:ascii="Garamond" w:eastAsia="Times New Roman" w:hAnsi="Garamond" w:cs="Times New Roman"/>
          <w:sz w:val="24"/>
          <w:szCs w:val="24"/>
          <w:lang w:eastAsia="en-GB"/>
        </w:rPr>
        <w:t xml:space="preserve"> market driven reforms</w:t>
      </w:r>
      <w:r w:rsidR="0091029E" w:rsidRPr="00411AE0">
        <w:rPr>
          <w:rFonts w:ascii="Garamond" w:eastAsia="Times New Roman" w:hAnsi="Garamond" w:cs="Times New Roman"/>
          <w:sz w:val="24"/>
          <w:szCs w:val="24"/>
          <w:lang w:eastAsia="en-GB"/>
        </w:rPr>
        <w:t xml:space="preserve"> in significant part </w:t>
      </w:r>
      <w:r w:rsidR="000741C9" w:rsidRPr="00411AE0">
        <w:rPr>
          <w:rFonts w:ascii="Garamond" w:eastAsia="Times New Roman" w:hAnsi="Garamond" w:cs="Times New Roman"/>
          <w:sz w:val="24"/>
          <w:szCs w:val="24"/>
          <w:lang w:eastAsia="en-GB"/>
        </w:rPr>
        <w:t xml:space="preserve">by calling on </w:t>
      </w:r>
      <w:r w:rsidR="00DF1219" w:rsidRPr="00411AE0">
        <w:rPr>
          <w:rFonts w:ascii="Garamond" w:eastAsia="Times New Roman" w:hAnsi="Garamond" w:cs="Times New Roman"/>
          <w:sz w:val="24"/>
          <w:szCs w:val="24"/>
          <w:lang w:eastAsia="en-GB"/>
        </w:rPr>
        <w:t>the name and cause of democracy and human rights.</w:t>
      </w:r>
      <w:r w:rsidR="00DF1219" w:rsidRPr="00411AE0">
        <w:rPr>
          <w:rStyle w:val="FootnoteReference"/>
          <w:rFonts w:ascii="Garamond" w:eastAsia="Times New Roman" w:hAnsi="Garamond" w:cs="Times New Roman"/>
          <w:sz w:val="24"/>
          <w:szCs w:val="24"/>
          <w:lang w:eastAsia="en-GB"/>
        </w:rPr>
        <w:footnoteReference w:id="76"/>
      </w:r>
      <w:r w:rsidR="000741C9" w:rsidRPr="00411AE0">
        <w:rPr>
          <w:rFonts w:ascii="Garamond" w:eastAsia="Times New Roman" w:hAnsi="Garamond" w:cs="Times New Roman"/>
          <w:sz w:val="24"/>
          <w:szCs w:val="24"/>
          <w:lang w:eastAsia="en-GB"/>
        </w:rPr>
        <w:t xml:space="preserve"> </w:t>
      </w:r>
      <w:r w:rsidR="00923486" w:rsidRPr="00411AE0">
        <w:rPr>
          <w:rFonts w:ascii="Garamond" w:eastAsia="Times New Roman" w:hAnsi="Garamond" w:cs="Times New Roman"/>
          <w:sz w:val="24"/>
          <w:szCs w:val="24"/>
          <w:lang w:eastAsia="en-GB"/>
        </w:rPr>
        <w:t xml:space="preserve">It is only belatedly that international organisations such as the </w:t>
      </w:r>
      <w:r w:rsidR="00CF37BD">
        <w:rPr>
          <w:rFonts w:ascii="Garamond" w:eastAsia="Times New Roman" w:hAnsi="Garamond" w:cs="Times New Roman"/>
          <w:sz w:val="24"/>
          <w:szCs w:val="24"/>
          <w:lang w:eastAsia="en-GB"/>
        </w:rPr>
        <w:t xml:space="preserve">International Monetary Fund </w:t>
      </w:r>
      <w:r w:rsidR="00864784">
        <w:rPr>
          <w:rFonts w:ascii="Garamond" w:eastAsia="Times New Roman" w:hAnsi="Garamond" w:cs="Times New Roman"/>
          <w:sz w:val="24"/>
          <w:szCs w:val="24"/>
          <w:lang w:eastAsia="en-GB"/>
        </w:rPr>
        <w:t xml:space="preserve">(IMF) </w:t>
      </w:r>
      <w:r w:rsidR="00CF37BD">
        <w:rPr>
          <w:rFonts w:ascii="Garamond" w:eastAsia="Times New Roman" w:hAnsi="Garamond" w:cs="Times New Roman"/>
          <w:sz w:val="24"/>
          <w:szCs w:val="24"/>
          <w:lang w:eastAsia="en-GB"/>
        </w:rPr>
        <w:t xml:space="preserve">and the World Bank </w:t>
      </w:r>
      <w:r w:rsidR="00923486" w:rsidRPr="00411AE0">
        <w:rPr>
          <w:rFonts w:ascii="Garamond" w:eastAsia="Times New Roman" w:hAnsi="Garamond" w:cs="Times New Roman"/>
          <w:sz w:val="24"/>
          <w:szCs w:val="24"/>
          <w:lang w:eastAsia="en-GB"/>
        </w:rPr>
        <w:t>have acknowledged neoliberalism’s fallouts in terms of increasing levels of inequality</w:t>
      </w:r>
      <w:r w:rsidR="008044B0" w:rsidRPr="00411AE0">
        <w:rPr>
          <w:rFonts w:ascii="Garamond" w:eastAsia="Times New Roman" w:hAnsi="Garamond" w:cs="Times New Roman"/>
          <w:sz w:val="24"/>
          <w:szCs w:val="24"/>
          <w:lang w:eastAsia="en-GB"/>
        </w:rPr>
        <w:t>,</w:t>
      </w:r>
      <w:r w:rsidR="00923486" w:rsidRPr="00411AE0">
        <w:rPr>
          <w:rFonts w:ascii="Garamond" w:eastAsia="Times New Roman" w:hAnsi="Garamond" w:cs="Times New Roman"/>
          <w:sz w:val="24"/>
          <w:szCs w:val="24"/>
          <w:lang w:eastAsia="en-GB"/>
        </w:rPr>
        <w:t xml:space="preserve"> </w:t>
      </w:r>
      <w:r w:rsidR="003340B7">
        <w:rPr>
          <w:rFonts w:ascii="Garamond" w:eastAsia="Times New Roman" w:hAnsi="Garamond" w:cs="Times New Roman"/>
          <w:sz w:val="24"/>
          <w:szCs w:val="24"/>
          <w:lang w:eastAsia="en-GB"/>
        </w:rPr>
        <w:t xml:space="preserve">but sadly </w:t>
      </w:r>
      <w:r w:rsidR="009B0F3C">
        <w:rPr>
          <w:rFonts w:ascii="Garamond" w:eastAsia="Times New Roman" w:hAnsi="Garamond" w:cs="Times New Roman"/>
          <w:sz w:val="24"/>
          <w:szCs w:val="24"/>
          <w:lang w:eastAsia="en-GB"/>
        </w:rPr>
        <w:t xml:space="preserve">this concern responds primarily to the effects of inequality on </w:t>
      </w:r>
      <w:r w:rsidR="00923486" w:rsidRPr="00411AE0">
        <w:rPr>
          <w:rFonts w:ascii="Garamond" w:eastAsia="Times New Roman" w:hAnsi="Garamond" w:cs="Times New Roman"/>
          <w:sz w:val="24"/>
          <w:szCs w:val="24"/>
          <w:lang w:eastAsia="en-GB"/>
        </w:rPr>
        <w:t>economic growth.</w:t>
      </w:r>
      <w:r w:rsidR="00923486" w:rsidRPr="00411AE0">
        <w:rPr>
          <w:rStyle w:val="FootnoteReference"/>
          <w:rFonts w:ascii="Garamond" w:eastAsia="Times New Roman" w:hAnsi="Garamond" w:cs="Times New Roman"/>
          <w:sz w:val="24"/>
          <w:szCs w:val="24"/>
          <w:lang w:eastAsia="en-GB"/>
        </w:rPr>
        <w:footnoteReference w:id="77"/>
      </w:r>
      <w:r w:rsidR="00936551">
        <w:rPr>
          <w:rFonts w:ascii="Garamond" w:eastAsia="Times New Roman" w:hAnsi="Garamond" w:cs="Times New Roman"/>
          <w:sz w:val="24"/>
          <w:szCs w:val="24"/>
          <w:lang w:eastAsia="en-GB"/>
        </w:rPr>
        <w:t xml:space="preserve"> </w:t>
      </w:r>
      <w:r w:rsidR="000A79ED">
        <w:rPr>
          <w:rFonts w:ascii="Garamond" w:eastAsia="Times New Roman" w:hAnsi="Garamond" w:cs="Times New Roman"/>
          <w:sz w:val="24"/>
          <w:szCs w:val="24"/>
          <w:lang w:eastAsia="en-GB"/>
        </w:rPr>
        <w:t xml:space="preserve">Meanwhile, </w:t>
      </w:r>
      <w:r w:rsidR="00936551">
        <w:rPr>
          <w:rFonts w:ascii="Garamond" w:eastAsia="Times New Roman" w:hAnsi="Garamond" w:cs="Times New Roman"/>
          <w:sz w:val="24"/>
          <w:szCs w:val="24"/>
          <w:lang w:eastAsia="en-GB"/>
        </w:rPr>
        <w:t xml:space="preserve">unfettered </w:t>
      </w:r>
      <w:r w:rsidR="00DB7A9B" w:rsidRPr="00411AE0">
        <w:rPr>
          <w:rFonts w:ascii="Garamond" w:eastAsia="Times New Roman" w:hAnsi="Garamond" w:cs="Times New Roman"/>
          <w:sz w:val="24"/>
          <w:szCs w:val="24"/>
          <w:lang w:eastAsia="en-GB"/>
        </w:rPr>
        <w:t>market openness, in combination with the ravages of neoliberal austerity doctrine</w:t>
      </w:r>
      <w:r w:rsidR="0091029E" w:rsidRPr="00411AE0">
        <w:rPr>
          <w:rFonts w:ascii="Garamond" w:eastAsia="Times New Roman" w:hAnsi="Garamond" w:cs="Times New Roman"/>
          <w:sz w:val="24"/>
          <w:szCs w:val="24"/>
          <w:lang w:eastAsia="en-GB"/>
        </w:rPr>
        <w:t xml:space="preserve">—essentially a </w:t>
      </w:r>
      <w:r w:rsidR="005C5349" w:rsidRPr="00411AE0">
        <w:rPr>
          <w:rFonts w:ascii="Garamond" w:eastAsia="Times New Roman" w:hAnsi="Garamond" w:cs="Times New Roman"/>
          <w:sz w:val="24"/>
          <w:szCs w:val="24"/>
          <w:lang w:eastAsia="en-GB"/>
        </w:rPr>
        <w:t>state-</w:t>
      </w:r>
      <w:r w:rsidR="005C5349" w:rsidRPr="00411AE0">
        <w:rPr>
          <w:rFonts w:ascii="Garamond" w:eastAsia="Times New Roman" w:hAnsi="Garamond" w:cs="Times New Roman"/>
          <w:sz w:val="24"/>
          <w:szCs w:val="24"/>
          <w:lang w:eastAsia="en-GB"/>
        </w:rPr>
        <w:lastRenderedPageBreak/>
        <w:t xml:space="preserve">facilitated </w:t>
      </w:r>
      <w:r w:rsidR="0091029E" w:rsidRPr="00411AE0">
        <w:rPr>
          <w:rFonts w:ascii="Garamond" w:eastAsia="Times New Roman" w:hAnsi="Garamond" w:cs="Times New Roman"/>
          <w:sz w:val="24"/>
          <w:szCs w:val="24"/>
          <w:lang w:eastAsia="en-GB"/>
        </w:rPr>
        <w:t xml:space="preserve">method for socialising </w:t>
      </w:r>
      <w:r w:rsidR="005C5349" w:rsidRPr="00411AE0">
        <w:rPr>
          <w:rFonts w:ascii="Garamond" w:eastAsia="Times New Roman" w:hAnsi="Garamond" w:cs="Times New Roman"/>
          <w:sz w:val="24"/>
          <w:szCs w:val="24"/>
          <w:lang w:eastAsia="en-GB"/>
        </w:rPr>
        <w:t xml:space="preserve">the </w:t>
      </w:r>
      <w:r w:rsidR="0091029E" w:rsidRPr="00411AE0">
        <w:rPr>
          <w:rFonts w:ascii="Garamond" w:eastAsia="Times New Roman" w:hAnsi="Garamond" w:cs="Times New Roman"/>
          <w:sz w:val="24"/>
          <w:szCs w:val="24"/>
          <w:lang w:eastAsia="en-GB"/>
        </w:rPr>
        <w:t>debt</w:t>
      </w:r>
      <w:r w:rsidR="005C5349" w:rsidRPr="00411AE0">
        <w:rPr>
          <w:rFonts w:ascii="Garamond" w:eastAsia="Times New Roman" w:hAnsi="Garamond" w:cs="Times New Roman"/>
          <w:sz w:val="24"/>
          <w:szCs w:val="24"/>
          <w:lang w:eastAsia="en-GB"/>
        </w:rPr>
        <w:t xml:space="preserve"> generated by risky banking sector behaviour</w:t>
      </w:r>
      <w:r w:rsidR="0091029E" w:rsidRPr="00411AE0">
        <w:rPr>
          <w:rStyle w:val="FootnoteReference"/>
          <w:rFonts w:ascii="Garamond" w:eastAsia="Times New Roman" w:hAnsi="Garamond" w:cs="Times New Roman"/>
          <w:sz w:val="24"/>
          <w:szCs w:val="24"/>
          <w:lang w:eastAsia="en-GB"/>
        </w:rPr>
        <w:footnoteReference w:id="78"/>
      </w:r>
      <w:r w:rsidR="0091029E" w:rsidRPr="00411AE0">
        <w:rPr>
          <w:rFonts w:ascii="Garamond" w:eastAsia="Times New Roman" w:hAnsi="Garamond" w:cs="Times New Roman"/>
          <w:sz w:val="24"/>
          <w:szCs w:val="24"/>
          <w:lang w:eastAsia="en-GB"/>
        </w:rPr>
        <w:t>—</w:t>
      </w:r>
      <w:r w:rsidR="000A79ED">
        <w:rPr>
          <w:rFonts w:ascii="Garamond" w:eastAsia="Times New Roman" w:hAnsi="Garamond" w:cs="Times New Roman"/>
          <w:sz w:val="24"/>
          <w:szCs w:val="24"/>
          <w:lang w:eastAsia="en-GB"/>
        </w:rPr>
        <w:t xml:space="preserve">has </w:t>
      </w:r>
      <w:r w:rsidR="00DB7A9B" w:rsidRPr="00411AE0">
        <w:rPr>
          <w:rFonts w:ascii="Garamond" w:eastAsia="Times New Roman" w:hAnsi="Garamond" w:cs="Times New Roman"/>
          <w:sz w:val="24"/>
          <w:szCs w:val="24"/>
          <w:lang w:eastAsia="en-GB"/>
        </w:rPr>
        <w:t>created the deepening income inequality</w:t>
      </w:r>
      <w:r w:rsidR="00936551">
        <w:rPr>
          <w:rFonts w:ascii="Garamond" w:eastAsia="Times New Roman" w:hAnsi="Garamond" w:cs="Times New Roman"/>
          <w:sz w:val="24"/>
          <w:szCs w:val="24"/>
          <w:lang w:eastAsia="en-GB"/>
        </w:rPr>
        <w:t xml:space="preserve"> and the increased</w:t>
      </w:r>
      <w:r w:rsidR="00DB7A9B" w:rsidRPr="00411AE0">
        <w:rPr>
          <w:rFonts w:ascii="Garamond" w:eastAsia="Times New Roman" w:hAnsi="Garamond" w:cs="Times New Roman"/>
          <w:sz w:val="24"/>
          <w:szCs w:val="24"/>
          <w:lang w:eastAsia="en-GB"/>
        </w:rPr>
        <w:t xml:space="preserve"> precarity </w:t>
      </w:r>
      <w:r w:rsidR="00936551">
        <w:rPr>
          <w:rFonts w:ascii="Garamond" w:eastAsia="Times New Roman" w:hAnsi="Garamond" w:cs="Times New Roman"/>
          <w:sz w:val="24"/>
          <w:szCs w:val="24"/>
          <w:lang w:eastAsia="en-GB"/>
        </w:rPr>
        <w:t xml:space="preserve">that </w:t>
      </w:r>
      <w:r w:rsidR="00C144B6">
        <w:rPr>
          <w:rFonts w:ascii="Garamond" w:eastAsia="Times New Roman" w:hAnsi="Garamond" w:cs="Times New Roman"/>
          <w:sz w:val="24"/>
          <w:szCs w:val="24"/>
          <w:lang w:eastAsia="en-GB"/>
        </w:rPr>
        <w:t>now feeds</w:t>
      </w:r>
      <w:r w:rsidR="00C144B6" w:rsidRPr="00411AE0">
        <w:rPr>
          <w:rFonts w:ascii="Garamond" w:eastAsia="Times New Roman" w:hAnsi="Garamond" w:cs="Times New Roman"/>
          <w:sz w:val="24"/>
          <w:szCs w:val="24"/>
          <w:lang w:eastAsia="en-GB"/>
        </w:rPr>
        <w:t xml:space="preserve"> </w:t>
      </w:r>
      <w:r w:rsidR="00DB7A9B" w:rsidRPr="00411AE0">
        <w:rPr>
          <w:rFonts w:ascii="Garamond" w:eastAsia="Times New Roman" w:hAnsi="Garamond" w:cs="Times New Roman"/>
          <w:sz w:val="24"/>
          <w:szCs w:val="24"/>
          <w:lang w:eastAsia="en-GB"/>
        </w:rPr>
        <w:t>a rejection of both globalisation and elite power</w:t>
      </w:r>
      <w:r w:rsidR="00B72740" w:rsidRPr="00411AE0">
        <w:rPr>
          <w:rFonts w:ascii="Garamond" w:eastAsia="Times New Roman" w:hAnsi="Garamond" w:cs="Times New Roman"/>
          <w:sz w:val="24"/>
          <w:szCs w:val="24"/>
          <w:lang w:eastAsia="en-GB"/>
        </w:rPr>
        <w:t>.</w:t>
      </w:r>
      <w:r w:rsidR="00833378" w:rsidRPr="00411AE0">
        <w:rPr>
          <w:rStyle w:val="FootnoteReference"/>
          <w:rFonts w:ascii="Garamond" w:eastAsia="Times New Roman" w:hAnsi="Garamond" w:cs="Times New Roman"/>
          <w:sz w:val="24"/>
          <w:szCs w:val="24"/>
          <w:lang w:eastAsia="en-GB"/>
        </w:rPr>
        <w:footnoteReference w:id="79"/>
      </w:r>
      <w:r w:rsidR="0006095C">
        <w:rPr>
          <w:rFonts w:ascii="Garamond" w:eastAsia="Times New Roman" w:hAnsi="Garamond" w:cs="Times New Roman"/>
          <w:sz w:val="24"/>
          <w:szCs w:val="24"/>
          <w:lang w:eastAsia="en-GB"/>
        </w:rPr>
        <w:t xml:space="preserve"> </w:t>
      </w:r>
      <w:r w:rsidR="0006095C" w:rsidRPr="00A903E5">
        <w:rPr>
          <w:rFonts w:ascii="Garamond" w:hAnsi="Garamond"/>
          <w:sz w:val="24"/>
          <w:szCs w:val="24"/>
        </w:rPr>
        <w:t>Gill notes that ‘</w:t>
      </w:r>
      <w:r w:rsidR="0006095C" w:rsidRPr="00A903E5">
        <w:rPr>
          <w:rFonts w:ascii="Garamond" w:hAnsi="Garamond" w:cs="Times New Roman"/>
          <w:sz w:val="24"/>
          <w:szCs w:val="24"/>
          <w:lang w:val="en-US"/>
        </w:rPr>
        <w:t xml:space="preserve">one of the principal costs of the neoliberal, market-monetarist austerity policies, is persistent mass unemployment. Concentrated heavily among younger and less skilled workers, it partly explains tough immigration and asylum policies </w:t>
      </w:r>
      <w:r w:rsidR="0006095C" w:rsidRPr="002354AD">
        <w:rPr>
          <w:rFonts w:ascii="Garamond" w:hAnsi="Garamond" w:cs="Times New Roman"/>
          <w:sz w:val="24"/>
          <w:szCs w:val="24"/>
          <w:lang w:val="en-US"/>
        </w:rPr>
        <w:t>and . . . contributes to a potent mixture of social and economic dislocation, physical risks, racism and xenophobia’.</w:t>
      </w:r>
      <w:r w:rsidR="0006095C" w:rsidRPr="002354AD">
        <w:rPr>
          <w:rStyle w:val="FootnoteReference"/>
          <w:rFonts w:ascii="Garamond" w:eastAsia="Times New Roman" w:hAnsi="Garamond" w:cs="Times New Roman"/>
          <w:sz w:val="24"/>
          <w:szCs w:val="24"/>
          <w:lang w:eastAsia="en-GB"/>
        </w:rPr>
        <w:footnoteReference w:id="80"/>
      </w:r>
      <w:r w:rsidR="0006095C">
        <w:rPr>
          <w:rFonts w:ascii="Garamond" w:hAnsi="Garamond" w:cs="Times New Roman"/>
          <w:sz w:val="24"/>
          <w:szCs w:val="24"/>
          <w:lang w:val="en-US"/>
        </w:rPr>
        <w:t xml:space="preserve"> </w:t>
      </w:r>
      <w:r w:rsidR="0006095C">
        <w:rPr>
          <w:rFonts w:ascii="Garamond" w:hAnsi="Garamond" w:cs="Times New Roman"/>
          <w:sz w:val="24"/>
          <w:szCs w:val="24"/>
          <w:lang w:val="en-US"/>
        </w:rPr>
        <w:tab/>
      </w:r>
      <w:r w:rsidR="0006095C" w:rsidRPr="005C244B">
        <w:rPr>
          <w:rFonts w:ascii="Garamond" w:eastAsia="Times New Roman" w:hAnsi="Garamond" w:cs="Times New Roman"/>
          <w:sz w:val="24"/>
          <w:szCs w:val="24"/>
          <w:lang w:eastAsia="en-GB"/>
        </w:rPr>
        <w:br/>
      </w:r>
      <w:r w:rsidR="0006095C">
        <w:rPr>
          <w:rFonts w:ascii="Garamond" w:eastAsia="Times New Roman" w:hAnsi="Garamond" w:cs="Times New Roman"/>
          <w:sz w:val="24"/>
          <w:szCs w:val="24"/>
          <w:lang w:eastAsia="en-GB"/>
        </w:rPr>
        <w:t xml:space="preserve"> </w:t>
      </w:r>
      <w:r w:rsidR="0006095C">
        <w:rPr>
          <w:rFonts w:ascii="Garamond" w:eastAsia="Times New Roman" w:hAnsi="Garamond" w:cs="Times New Roman"/>
          <w:sz w:val="24"/>
          <w:szCs w:val="24"/>
          <w:lang w:eastAsia="en-GB"/>
        </w:rPr>
        <w:tab/>
      </w:r>
      <w:r w:rsidR="003041B3">
        <w:rPr>
          <w:rFonts w:ascii="Garamond" w:eastAsia="Times New Roman" w:hAnsi="Garamond" w:cs="Times New Roman"/>
          <w:sz w:val="24"/>
          <w:szCs w:val="24"/>
          <w:lang w:eastAsia="en-GB"/>
        </w:rPr>
        <w:t>N</w:t>
      </w:r>
      <w:r w:rsidR="00DD2CB3" w:rsidRPr="00411AE0">
        <w:rPr>
          <w:rFonts w:ascii="Garamond" w:eastAsia="Times New Roman" w:hAnsi="Garamond" w:cs="Times New Roman"/>
          <w:sz w:val="24"/>
          <w:szCs w:val="24"/>
          <w:lang w:eastAsia="en-GB"/>
        </w:rPr>
        <w:t xml:space="preserve">eoliberalism </w:t>
      </w:r>
      <w:r w:rsidR="00D17825" w:rsidRPr="00411AE0">
        <w:rPr>
          <w:rFonts w:ascii="Garamond" w:eastAsia="Times New Roman" w:hAnsi="Garamond" w:cs="Times New Roman"/>
          <w:sz w:val="24"/>
          <w:szCs w:val="24"/>
          <w:lang w:eastAsia="en-GB"/>
        </w:rPr>
        <w:t>imposes</w:t>
      </w:r>
      <w:r w:rsidR="00DD2CB3" w:rsidRPr="00411AE0">
        <w:rPr>
          <w:rFonts w:ascii="Garamond" w:eastAsia="Times New Roman" w:hAnsi="Garamond" w:cs="Times New Roman"/>
          <w:sz w:val="24"/>
          <w:szCs w:val="24"/>
          <w:lang w:eastAsia="en-GB"/>
        </w:rPr>
        <w:t xml:space="preserve"> economic and political </w:t>
      </w:r>
      <w:r w:rsidR="00D17825" w:rsidRPr="00411AE0">
        <w:rPr>
          <w:rFonts w:ascii="Garamond" w:eastAsia="Times New Roman" w:hAnsi="Garamond" w:cs="Times New Roman"/>
          <w:sz w:val="24"/>
          <w:szCs w:val="24"/>
          <w:lang w:eastAsia="en-GB"/>
        </w:rPr>
        <w:t>subjection</w:t>
      </w:r>
      <w:r w:rsidR="00DD2CB3" w:rsidRPr="00411AE0">
        <w:rPr>
          <w:rFonts w:ascii="Garamond" w:eastAsia="Times New Roman" w:hAnsi="Garamond" w:cs="Times New Roman"/>
          <w:sz w:val="24"/>
          <w:szCs w:val="24"/>
          <w:lang w:eastAsia="en-GB"/>
        </w:rPr>
        <w:t xml:space="preserve"> </w:t>
      </w:r>
      <w:r w:rsidR="005C5349" w:rsidRPr="00411AE0">
        <w:rPr>
          <w:rFonts w:ascii="Garamond" w:eastAsia="Times New Roman" w:hAnsi="Garamond" w:cs="Times New Roman"/>
          <w:sz w:val="24"/>
          <w:szCs w:val="24"/>
          <w:lang w:eastAsia="en-GB"/>
        </w:rPr>
        <w:t xml:space="preserve">precisely </w:t>
      </w:r>
      <w:r w:rsidR="00DD2CB3" w:rsidRPr="00411AE0">
        <w:rPr>
          <w:rFonts w:ascii="Garamond" w:eastAsia="Times New Roman" w:hAnsi="Garamond" w:cs="Times New Roman"/>
          <w:sz w:val="24"/>
          <w:szCs w:val="24"/>
          <w:lang w:eastAsia="en-GB"/>
        </w:rPr>
        <w:t xml:space="preserve">by </w:t>
      </w:r>
      <w:r w:rsidR="00001B64" w:rsidRPr="00411AE0">
        <w:rPr>
          <w:rFonts w:ascii="Garamond" w:eastAsia="Times New Roman" w:hAnsi="Garamond" w:cs="Times New Roman"/>
          <w:sz w:val="24"/>
          <w:szCs w:val="24"/>
          <w:lang w:eastAsia="en-GB"/>
        </w:rPr>
        <w:t>reca</w:t>
      </w:r>
      <w:r w:rsidR="0006529B" w:rsidRPr="00411AE0">
        <w:rPr>
          <w:rFonts w:ascii="Garamond" w:eastAsia="Times New Roman" w:hAnsi="Garamond" w:cs="Times New Roman"/>
          <w:sz w:val="24"/>
          <w:szCs w:val="24"/>
          <w:lang w:eastAsia="en-GB"/>
        </w:rPr>
        <w:t>sting</w:t>
      </w:r>
      <w:r w:rsidR="00001B64" w:rsidRPr="00411AE0">
        <w:rPr>
          <w:rFonts w:ascii="Garamond" w:eastAsia="Times New Roman" w:hAnsi="Garamond" w:cs="Times New Roman"/>
          <w:sz w:val="24"/>
          <w:szCs w:val="24"/>
          <w:lang w:eastAsia="en-GB"/>
        </w:rPr>
        <w:t xml:space="preserve"> coloniality</w:t>
      </w:r>
      <w:r w:rsidR="008B0EE0" w:rsidRPr="00411AE0">
        <w:rPr>
          <w:rFonts w:ascii="Garamond" w:eastAsia="Times New Roman" w:hAnsi="Garamond" w:cs="Times New Roman"/>
          <w:sz w:val="24"/>
          <w:szCs w:val="24"/>
          <w:lang w:eastAsia="en-GB"/>
        </w:rPr>
        <w:t xml:space="preserve"> </w:t>
      </w:r>
      <w:r w:rsidR="00001B64" w:rsidRPr="00411AE0">
        <w:rPr>
          <w:rFonts w:ascii="Garamond" w:eastAsia="Times New Roman" w:hAnsi="Garamond" w:cs="Times New Roman"/>
          <w:sz w:val="24"/>
          <w:szCs w:val="24"/>
          <w:lang w:eastAsia="en-GB"/>
        </w:rPr>
        <w:t>through the imposition of</w:t>
      </w:r>
      <w:r w:rsidR="008B0EE0" w:rsidRPr="00411AE0">
        <w:rPr>
          <w:rFonts w:ascii="Garamond" w:eastAsia="Times New Roman" w:hAnsi="Garamond" w:cs="Times New Roman"/>
          <w:sz w:val="24"/>
          <w:szCs w:val="24"/>
          <w:lang w:eastAsia="en-GB"/>
        </w:rPr>
        <w:t xml:space="preserve"> monetary policies, conditional loans and structural adjustment programmes</w:t>
      </w:r>
      <w:r w:rsidR="005C5349" w:rsidRPr="00411AE0">
        <w:rPr>
          <w:rFonts w:ascii="Garamond" w:eastAsia="Times New Roman" w:hAnsi="Garamond" w:cs="Times New Roman"/>
          <w:sz w:val="24"/>
          <w:szCs w:val="24"/>
          <w:lang w:eastAsia="en-GB"/>
        </w:rPr>
        <w:t xml:space="preserve"> operationalised by a</w:t>
      </w:r>
      <w:r w:rsidR="008B0EE0" w:rsidRPr="00411AE0">
        <w:rPr>
          <w:rFonts w:ascii="Garamond" w:eastAsia="Times New Roman" w:hAnsi="Garamond" w:cs="Times New Roman"/>
          <w:sz w:val="24"/>
          <w:szCs w:val="24"/>
          <w:lang w:eastAsia="en-GB"/>
        </w:rPr>
        <w:t xml:space="preserve"> </w:t>
      </w:r>
      <w:r w:rsidR="00634D90" w:rsidRPr="00411AE0">
        <w:rPr>
          <w:rFonts w:ascii="Garamond" w:eastAsia="Times New Roman" w:hAnsi="Garamond" w:cs="Times New Roman"/>
          <w:sz w:val="24"/>
          <w:szCs w:val="24"/>
          <w:lang w:eastAsia="en-GB"/>
        </w:rPr>
        <w:t>sophisticated</w:t>
      </w:r>
      <w:r w:rsidR="008B0EE0" w:rsidRPr="00411AE0">
        <w:rPr>
          <w:rFonts w:ascii="Garamond" w:eastAsia="Times New Roman" w:hAnsi="Garamond" w:cs="Times New Roman"/>
          <w:sz w:val="24"/>
          <w:szCs w:val="24"/>
          <w:lang w:eastAsia="en-GB"/>
        </w:rPr>
        <w:t xml:space="preserve"> </w:t>
      </w:r>
      <w:r w:rsidR="005C5349" w:rsidRPr="00411AE0">
        <w:rPr>
          <w:rFonts w:ascii="Garamond" w:eastAsia="Times New Roman" w:hAnsi="Garamond" w:cs="Times New Roman"/>
          <w:sz w:val="24"/>
          <w:szCs w:val="24"/>
          <w:lang w:eastAsia="en-GB"/>
        </w:rPr>
        <w:t xml:space="preserve">meshwork </w:t>
      </w:r>
      <w:r w:rsidR="008B0EE0" w:rsidRPr="00411AE0">
        <w:rPr>
          <w:rFonts w:ascii="Garamond" w:eastAsia="Times New Roman" w:hAnsi="Garamond" w:cs="Times New Roman"/>
          <w:sz w:val="24"/>
          <w:szCs w:val="24"/>
          <w:lang w:eastAsia="en-GB"/>
        </w:rPr>
        <w:t xml:space="preserve">of </w:t>
      </w:r>
      <w:r w:rsidR="00634D90" w:rsidRPr="00411AE0">
        <w:rPr>
          <w:rFonts w:ascii="Garamond" w:eastAsia="Times New Roman" w:hAnsi="Garamond" w:cs="Times New Roman"/>
          <w:sz w:val="24"/>
          <w:szCs w:val="24"/>
          <w:lang w:eastAsia="en-GB"/>
        </w:rPr>
        <w:t xml:space="preserve">laws </w:t>
      </w:r>
      <w:r w:rsidR="00DD2CB3" w:rsidRPr="00411AE0">
        <w:rPr>
          <w:rFonts w:ascii="Garamond" w:eastAsia="Times New Roman" w:hAnsi="Garamond" w:cs="Times New Roman"/>
          <w:sz w:val="24"/>
          <w:szCs w:val="24"/>
          <w:lang w:eastAsia="en-GB"/>
        </w:rPr>
        <w:t xml:space="preserve">governing </w:t>
      </w:r>
      <w:r w:rsidR="00634D90" w:rsidRPr="00411AE0">
        <w:rPr>
          <w:rFonts w:ascii="Garamond" w:eastAsia="Times New Roman" w:hAnsi="Garamond" w:cs="Times New Roman"/>
          <w:sz w:val="24"/>
          <w:szCs w:val="24"/>
          <w:lang w:eastAsia="en-GB"/>
        </w:rPr>
        <w:t>property</w:t>
      </w:r>
      <w:r w:rsidR="0037359B" w:rsidRPr="00411AE0">
        <w:rPr>
          <w:rFonts w:ascii="Garamond" w:eastAsia="Times New Roman" w:hAnsi="Garamond" w:cs="Times New Roman"/>
          <w:sz w:val="24"/>
          <w:szCs w:val="24"/>
          <w:lang w:eastAsia="en-GB"/>
        </w:rPr>
        <w:t>,</w:t>
      </w:r>
      <w:r w:rsidR="00634D90" w:rsidRPr="00411AE0">
        <w:rPr>
          <w:rFonts w:ascii="Garamond" w:eastAsia="Times New Roman" w:hAnsi="Garamond" w:cs="Times New Roman"/>
          <w:sz w:val="24"/>
          <w:szCs w:val="24"/>
          <w:lang w:eastAsia="en-GB"/>
        </w:rPr>
        <w:t xml:space="preserve"> contracts </w:t>
      </w:r>
      <w:r w:rsidR="0037359B" w:rsidRPr="00411AE0">
        <w:rPr>
          <w:rFonts w:ascii="Garamond" w:eastAsia="Times New Roman" w:hAnsi="Garamond" w:cs="Times New Roman"/>
          <w:sz w:val="24"/>
          <w:szCs w:val="24"/>
          <w:lang w:eastAsia="en-GB"/>
        </w:rPr>
        <w:t>and foreign direct investment.</w:t>
      </w:r>
      <w:r w:rsidR="00001B64" w:rsidRPr="00411AE0">
        <w:rPr>
          <w:rStyle w:val="FootnoteReference"/>
          <w:rFonts w:ascii="Garamond" w:eastAsia="Times New Roman" w:hAnsi="Garamond" w:cs="Times New Roman"/>
          <w:sz w:val="24"/>
          <w:szCs w:val="24"/>
          <w:lang w:eastAsia="en-GB"/>
        </w:rPr>
        <w:footnoteReference w:id="81"/>
      </w:r>
      <w:r w:rsidR="006E3657" w:rsidRPr="00411AE0">
        <w:rPr>
          <w:rFonts w:ascii="Garamond" w:eastAsia="Times New Roman" w:hAnsi="Garamond" w:cs="Times New Roman"/>
          <w:sz w:val="24"/>
          <w:szCs w:val="24"/>
          <w:lang w:eastAsia="en-GB"/>
        </w:rPr>
        <w:t xml:space="preserve"> Questions of elite power—central to the unfolding of colonialism in earlier periods—were always central</w:t>
      </w:r>
      <w:r w:rsidR="00DA12C4">
        <w:rPr>
          <w:rFonts w:ascii="Garamond" w:eastAsia="Times New Roman" w:hAnsi="Garamond" w:cs="Times New Roman"/>
          <w:sz w:val="24"/>
          <w:szCs w:val="24"/>
          <w:lang w:eastAsia="en-GB"/>
        </w:rPr>
        <w:t>—and remain central—</w:t>
      </w:r>
      <w:r w:rsidR="006E3657" w:rsidRPr="00411AE0">
        <w:rPr>
          <w:rFonts w:ascii="Garamond" w:eastAsia="Times New Roman" w:hAnsi="Garamond" w:cs="Times New Roman"/>
          <w:sz w:val="24"/>
          <w:szCs w:val="24"/>
          <w:lang w:eastAsia="en-GB"/>
        </w:rPr>
        <w:t xml:space="preserve">to </w:t>
      </w:r>
      <w:r w:rsidR="000A5779">
        <w:rPr>
          <w:rFonts w:ascii="Garamond" w:eastAsia="Times New Roman" w:hAnsi="Garamond" w:cs="Times New Roman"/>
          <w:sz w:val="24"/>
          <w:szCs w:val="24"/>
          <w:lang w:eastAsia="en-GB"/>
        </w:rPr>
        <w:t>neoliberalism</w:t>
      </w:r>
      <w:r w:rsidR="006E3657" w:rsidRPr="00411AE0">
        <w:rPr>
          <w:rFonts w:ascii="Garamond" w:eastAsia="Times New Roman" w:hAnsi="Garamond" w:cs="Times New Roman"/>
          <w:sz w:val="24"/>
          <w:szCs w:val="24"/>
          <w:lang w:eastAsia="en-GB"/>
        </w:rPr>
        <w:t>. Harvey notes</w:t>
      </w:r>
      <w:r w:rsidR="002D0988" w:rsidRPr="00411AE0">
        <w:rPr>
          <w:rFonts w:ascii="Garamond" w:eastAsia="Times New Roman" w:hAnsi="Garamond" w:cs="Times New Roman"/>
          <w:sz w:val="24"/>
          <w:szCs w:val="24"/>
          <w:lang w:eastAsia="en-GB"/>
        </w:rPr>
        <w:t>, in this regard,</w:t>
      </w:r>
      <w:r w:rsidR="006E3657" w:rsidRPr="00411AE0">
        <w:rPr>
          <w:rFonts w:ascii="Garamond" w:eastAsia="Times New Roman" w:hAnsi="Garamond" w:cs="Times New Roman"/>
          <w:sz w:val="24"/>
          <w:szCs w:val="24"/>
          <w:lang w:eastAsia="en-GB"/>
        </w:rPr>
        <w:t xml:space="preserve"> that ‘neoliberalization was from the very beginning a project to achieve the restoration of class power’.</w:t>
      </w:r>
      <w:r w:rsidR="006E3657" w:rsidRPr="00411AE0">
        <w:rPr>
          <w:rStyle w:val="FootnoteReference"/>
          <w:rFonts w:ascii="Garamond" w:eastAsia="Times New Roman" w:hAnsi="Garamond" w:cs="Times New Roman"/>
          <w:sz w:val="24"/>
          <w:szCs w:val="24"/>
          <w:lang w:eastAsia="en-GB"/>
        </w:rPr>
        <w:footnoteReference w:id="82"/>
      </w:r>
      <w:r w:rsidR="006E3657" w:rsidRPr="00411AE0">
        <w:rPr>
          <w:rFonts w:ascii="Garamond" w:eastAsia="Times New Roman" w:hAnsi="Garamond" w:cs="Times New Roman"/>
          <w:sz w:val="24"/>
          <w:szCs w:val="24"/>
          <w:lang w:eastAsia="en-GB"/>
        </w:rPr>
        <w:t xml:space="preserve"> </w:t>
      </w:r>
      <w:r w:rsidR="004068D5" w:rsidRPr="00411AE0">
        <w:rPr>
          <w:rFonts w:ascii="Garamond" w:eastAsia="Times New Roman" w:hAnsi="Garamond" w:cs="Times New Roman"/>
          <w:sz w:val="24"/>
          <w:szCs w:val="24"/>
          <w:lang w:eastAsia="en-GB"/>
        </w:rPr>
        <w:t xml:space="preserve">Indeed, Harvey argues that </w:t>
      </w:r>
      <w:r w:rsidR="00FE288F" w:rsidRPr="00411AE0">
        <w:rPr>
          <w:rFonts w:ascii="Garamond" w:eastAsia="Times New Roman" w:hAnsi="Garamond" w:cs="Times New Roman"/>
          <w:sz w:val="24"/>
          <w:szCs w:val="24"/>
          <w:lang w:eastAsia="en-GB"/>
        </w:rPr>
        <w:t xml:space="preserve">the most compelling interpretation of </w:t>
      </w:r>
      <w:r w:rsidR="004068D5" w:rsidRPr="00411AE0">
        <w:rPr>
          <w:rFonts w:ascii="Garamond" w:eastAsia="Times New Roman" w:hAnsi="Garamond" w:cs="Times New Roman"/>
          <w:sz w:val="24"/>
          <w:szCs w:val="24"/>
          <w:lang w:eastAsia="en-GB"/>
        </w:rPr>
        <w:t xml:space="preserve">neoliberalism is </w:t>
      </w:r>
      <w:r w:rsidR="00FE288F" w:rsidRPr="00411AE0">
        <w:rPr>
          <w:rFonts w:ascii="Garamond" w:eastAsia="Times New Roman" w:hAnsi="Garamond" w:cs="Times New Roman"/>
          <w:sz w:val="24"/>
          <w:szCs w:val="24"/>
          <w:lang w:eastAsia="en-GB"/>
        </w:rPr>
        <w:t xml:space="preserve">as </w:t>
      </w:r>
      <w:r w:rsidR="004068D5" w:rsidRPr="00411AE0">
        <w:rPr>
          <w:rFonts w:ascii="Garamond" w:eastAsia="Times New Roman" w:hAnsi="Garamond" w:cs="Times New Roman"/>
          <w:sz w:val="24"/>
          <w:szCs w:val="24"/>
          <w:lang w:eastAsia="en-GB"/>
        </w:rPr>
        <w:t>a ‘political project to re-establish the conditions for capital accumulation and to restore the power of economic elites’</w:t>
      </w:r>
      <w:r w:rsidR="007346A0" w:rsidRPr="00411AE0">
        <w:rPr>
          <w:rFonts w:ascii="Garamond" w:eastAsia="Times New Roman" w:hAnsi="Garamond" w:cs="Times New Roman"/>
          <w:sz w:val="24"/>
          <w:szCs w:val="24"/>
          <w:lang w:eastAsia="en-GB"/>
        </w:rPr>
        <w:t>.</w:t>
      </w:r>
      <w:r w:rsidR="00FE288F" w:rsidRPr="00411AE0">
        <w:rPr>
          <w:rStyle w:val="FootnoteReference"/>
          <w:rFonts w:ascii="Garamond" w:eastAsia="Times New Roman" w:hAnsi="Garamond" w:cs="Times New Roman"/>
          <w:sz w:val="24"/>
          <w:szCs w:val="24"/>
          <w:lang w:eastAsia="en-GB"/>
        </w:rPr>
        <w:footnoteReference w:id="83"/>
      </w:r>
      <w:r w:rsidR="00CB61FA" w:rsidRPr="00411AE0">
        <w:rPr>
          <w:rFonts w:ascii="Garamond" w:eastAsia="Times New Roman" w:hAnsi="Garamond" w:cs="Times New Roman"/>
          <w:sz w:val="24"/>
          <w:szCs w:val="24"/>
          <w:lang w:eastAsia="en-GB"/>
        </w:rPr>
        <w:t xml:space="preserve"> </w:t>
      </w:r>
      <w:r w:rsidR="00CB61FA" w:rsidRPr="00411AE0">
        <w:rPr>
          <w:rFonts w:ascii="Garamond" w:hAnsi="Garamond" w:cs="Times New Roman"/>
          <w:sz w:val="24"/>
          <w:szCs w:val="24"/>
        </w:rPr>
        <w:t xml:space="preserve">Neoliberalism </w:t>
      </w:r>
      <w:r w:rsidR="005D2569" w:rsidRPr="00411AE0">
        <w:rPr>
          <w:rFonts w:ascii="Garamond" w:hAnsi="Garamond" w:cs="Times New Roman"/>
          <w:sz w:val="24"/>
          <w:szCs w:val="24"/>
        </w:rPr>
        <w:t xml:space="preserve">thus </w:t>
      </w:r>
      <w:r w:rsidR="00CB61FA" w:rsidRPr="00411AE0">
        <w:rPr>
          <w:rFonts w:ascii="Garamond" w:hAnsi="Garamond" w:cs="Times New Roman"/>
          <w:sz w:val="24"/>
          <w:szCs w:val="24"/>
        </w:rPr>
        <w:t>aims at managing</w:t>
      </w:r>
      <w:r w:rsidR="00EB1CE8" w:rsidRPr="00411AE0">
        <w:rPr>
          <w:rFonts w:ascii="Garamond" w:hAnsi="Garamond" w:cs="Times New Roman"/>
          <w:sz w:val="24"/>
          <w:szCs w:val="24"/>
        </w:rPr>
        <w:t xml:space="preserve"> and legitimating</w:t>
      </w:r>
      <w:r w:rsidR="00CB61FA" w:rsidRPr="00411AE0">
        <w:rPr>
          <w:rFonts w:ascii="Garamond" w:hAnsi="Garamond" w:cs="Times New Roman"/>
          <w:sz w:val="24"/>
          <w:szCs w:val="24"/>
        </w:rPr>
        <w:t xml:space="preserve"> inequality</w:t>
      </w:r>
      <w:r w:rsidR="009D5433">
        <w:rPr>
          <w:rFonts w:ascii="Garamond" w:hAnsi="Garamond" w:cs="Times New Roman"/>
          <w:sz w:val="24"/>
          <w:szCs w:val="24"/>
        </w:rPr>
        <w:t>,</w:t>
      </w:r>
      <w:r w:rsidR="00CB61FA" w:rsidRPr="00411AE0">
        <w:rPr>
          <w:rFonts w:ascii="Garamond" w:hAnsi="Garamond" w:cs="Times New Roman"/>
          <w:sz w:val="24"/>
          <w:szCs w:val="24"/>
        </w:rPr>
        <w:t xml:space="preserve"> not at addressing it</w:t>
      </w:r>
      <w:r w:rsidR="00913002">
        <w:rPr>
          <w:rFonts w:ascii="Garamond" w:hAnsi="Garamond" w:cs="Times New Roman"/>
          <w:sz w:val="24"/>
          <w:szCs w:val="24"/>
        </w:rPr>
        <w:t>.</w:t>
      </w:r>
      <w:r w:rsidR="003340B7" w:rsidRPr="00411AE0">
        <w:rPr>
          <w:rStyle w:val="FootnoteReference"/>
          <w:rFonts w:ascii="Garamond" w:hAnsi="Garamond" w:cs="Times New Roman"/>
          <w:sz w:val="24"/>
          <w:szCs w:val="24"/>
        </w:rPr>
        <w:footnoteReference w:id="84"/>
      </w:r>
      <w:r w:rsidR="00CB61FA" w:rsidRPr="00411AE0">
        <w:rPr>
          <w:rFonts w:ascii="Garamond" w:hAnsi="Garamond" w:cs="Times New Roman"/>
          <w:sz w:val="24"/>
          <w:szCs w:val="24"/>
        </w:rPr>
        <w:t xml:space="preserve"> </w:t>
      </w:r>
      <w:r w:rsidR="00D464C0">
        <w:rPr>
          <w:rFonts w:ascii="Garamond" w:hAnsi="Garamond" w:cs="Times New Roman"/>
          <w:sz w:val="24"/>
          <w:szCs w:val="24"/>
        </w:rPr>
        <w:t>Indeed, d</w:t>
      </w:r>
      <w:r w:rsidR="00D464C0" w:rsidRPr="00411AE0">
        <w:rPr>
          <w:rFonts w:ascii="Garamond" w:hAnsi="Garamond" w:cs="Times New Roman"/>
          <w:sz w:val="24"/>
          <w:szCs w:val="24"/>
        </w:rPr>
        <w:t>espite its apparently economic roots and the centrality of the market to its ideology,</w:t>
      </w:r>
      <w:r w:rsidR="00D464C0" w:rsidRPr="00863430">
        <w:rPr>
          <w:rFonts w:ascii="Garamond" w:hAnsi="Garamond" w:cs="Times New Roman"/>
          <w:sz w:val="24"/>
          <w:szCs w:val="24"/>
        </w:rPr>
        <w:t xml:space="preserve"> </w:t>
      </w:r>
      <w:r w:rsidR="00D464C0">
        <w:rPr>
          <w:rFonts w:ascii="Garamond" w:hAnsi="Garamond" w:cs="Times New Roman"/>
          <w:sz w:val="24"/>
          <w:szCs w:val="24"/>
        </w:rPr>
        <w:t xml:space="preserve">neoliberalism has intensified legal and regulatory controls in the service of extending economistic logics through all social spheres and </w:t>
      </w:r>
      <w:r w:rsidR="00D464C0" w:rsidRPr="00411AE0">
        <w:rPr>
          <w:rFonts w:ascii="Garamond" w:hAnsi="Garamond" w:cs="Times New Roman"/>
          <w:sz w:val="24"/>
          <w:szCs w:val="24"/>
        </w:rPr>
        <w:t xml:space="preserve">is legible as a normative </w:t>
      </w:r>
      <w:r w:rsidR="00D464C0">
        <w:rPr>
          <w:rFonts w:ascii="Garamond" w:hAnsi="Garamond" w:cs="Times New Roman"/>
          <w:sz w:val="24"/>
          <w:szCs w:val="24"/>
        </w:rPr>
        <w:t>project concerning</w:t>
      </w:r>
      <w:r w:rsidR="00D464C0" w:rsidRPr="00411AE0">
        <w:rPr>
          <w:rFonts w:ascii="Garamond" w:hAnsi="Garamond" w:cs="Times New Roman"/>
          <w:sz w:val="24"/>
          <w:szCs w:val="24"/>
        </w:rPr>
        <w:t xml:space="preserve"> the nature of freedom and democracy</w:t>
      </w:r>
      <w:r w:rsidR="00D464C0">
        <w:rPr>
          <w:rFonts w:ascii="Garamond" w:hAnsi="Garamond" w:cs="Times New Roman"/>
          <w:sz w:val="24"/>
          <w:szCs w:val="24"/>
        </w:rPr>
        <w:t>, for which law is central</w:t>
      </w:r>
      <w:r w:rsidR="00D464C0" w:rsidRPr="00411AE0">
        <w:rPr>
          <w:rFonts w:ascii="Garamond" w:hAnsi="Garamond" w:cs="Times New Roman"/>
          <w:sz w:val="24"/>
          <w:szCs w:val="24"/>
        </w:rPr>
        <w:t>.</w:t>
      </w:r>
      <w:r w:rsidR="00D464C0" w:rsidRPr="00411AE0">
        <w:rPr>
          <w:rStyle w:val="FootnoteReference"/>
          <w:rFonts w:ascii="Garamond" w:hAnsi="Garamond" w:cs="Times New Roman"/>
          <w:sz w:val="24"/>
          <w:szCs w:val="24"/>
        </w:rPr>
        <w:footnoteReference w:id="85"/>
      </w:r>
      <w:r w:rsidR="00D464C0" w:rsidRPr="00411AE0">
        <w:rPr>
          <w:rFonts w:ascii="Garamond" w:hAnsi="Garamond" w:cs="Times New Roman"/>
          <w:sz w:val="24"/>
          <w:szCs w:val="24"/>
        </w:rPr>
        <w:t xml:space="preserve"> </w:t>
      </w:r>
      <w:r w:rsidR="00D464C0">
        <w:rPr>
          <w:rFonts w:ascii="Garamond" w:hAnsi="Garamond" w:cs="Times New Roman"/>
          <w:sz w:val="24"/>
          <w:szCs w:val="24"/>
        </w:rPr>
        <w:t>Neoliberalism is, in other words, an inherently juridical project and t</w:t>
      </w:r>
      <w:r w:rsidR="00565F23" w:rsidRPr="00411AE0">
        <w:rPr>
          <w:rFonts w:ascii="Garamond" w:hAnsi="Garamond" w:cs="Times New Roman"/>
          <w:sz w:val="24"/>
          <w:szCs w:val="24"/>
        </w:rPr>
        <w:t xml:space="preserve">he </w:t>
      </w:r>
      <w:r w:rsidR="000F79F4" w:rsidRPr="00411AE0">
        <w:rPr>
          <w:rFonts w:ascii="Garamond" w:hAnsi="Garamond" w:cs="Times New Roman"/>
          <w:sz w:val="24"/>
          <w:szCs w:val="24"/>
        </w:rPr>
        <w:t xml:space="preserve">mythic function </w:t>
      </w:r>
      <w:r w:rsidR="00565F23" w:rsidRPr="00411AE0">
        <w:rPr>
          <w:rFonts w:ascii="Garamond" w:hAnsi="Garamond" w:cs="Times New Roman"/>
          <w:sz w:val="24"/>
          <w:szCs w:val="24"/>
        </w:rPr>
        <w:t xml:space="preserve">of law </w:t>
      </w:r>
      <w:r w:rsidR="009C0F77" w:rsidRPr="00411AE0">
        <w:rPr>
          <w:rFonts w:ascii="Garamond" w:hAnsi="Garamond" w:cs="Times New Roman"/>
          <w:sz w:val="24"/>
          <w:szCs w:val="24"/>
        </w:rPr>
        <w:t xml:space="preserve">under neoliberalism is </w:t>
      </w:r>
      <w:r w:rsidR="008C6FFE" w:rsidRPr="00411AE0">
        <w:rPr>
          <w:rFonts w:ascii="Garamond" w:hAnsi="Garamond" w:cs="Times New Roman"/>
          <w:sz w:val="24"/>
          <w:szCs w:val="24"/>
        </w:rPr>
        <w:t xml:space="preserve">relatively </w:t>
      </w:r>
      <w:r w:rsidR="00565F23" w:rsidRPr="00411AE0">
        <w:rPr>
          <w:rFonts w:ascii="Garamond" w:hAnsi="Garamond" w:cs="Times New Roman"/>
          <w:sz w:val="24"/>
          <w:szCs w:val="24"/>
        </w:rPr>
        <w:t xml:space="preserve">consistent with </w:t>
      </w:r>
      <w:r w:rsidR="00CB61FA" w:rsidRPr="00411AE0">
        <w:rPr>
          <w:rFonts w:ascii="Garamond" w:hAnsi="Garamond" w:cs="Times New Roman"/>
          <w:sz w:val="24"/>
          <w:szCs w:val="24"/>
        </w:rPr>
        <w:t xml:space="preserve">earlier </w:t>
      </w:r>
      <w:r w:rsidR="00565F23" w:rsidRPr="00411AE0">
        <w:rPr>
          <w:rFonts w:ascii="Garamond" w:hAnsi="Garamond" w:cs="Times New Roman"/>
          <w:sz w:val="24"/>
          <w:szCs w:val="24"/>
        </w:rPr>
        <w:t>liberal capitalist conceptions of law</w:t>
      </w:r>
      <w:r w:rsidR="00344E43" w:rsidRPr="00411AE0">
        <w:rPr>
          <w:rFonts w:ascii="Garamond" w:hAnsi="Garamond" w:cs="Times New Roman"/>
          <w:sz w:val="24"/>
          <w:szCs w:val="24"/>
        </w:rPr>
        <w:t>,</w:t>
      </w:r>
      <w:r w:rsidR="00565F23" w:rsidRPr="00411AE0">
        <w:rPr>
          <w:rFonts w:ascii="Garamond" w:hAnsi="Garamond" w:cs="Times New Roman"/>
          <w:sz w:val="24"/>
          <w:szCs w:val="24"/>
        </w:rPr>
        <w:t xml:space="preserve"> with claims of neutrality, equality and </w:t>
      </w:r>
      <w:r w:rsidR="008C317A" w:rsidRPr="00411AE0">
        <w:rPr>
          <w:rFonts w:ascii="Garamond" w:hAnsi="Garamond" w:cs="Times New Roman"/>
          <w:sz w:val="24"/>
          <w:szCs w:val="24"/>
        </w:rPr>
        <w:t xml:space="preserve">formal </w:t>
      </w:r>
      <w:r w:rsidR="00565F23" w:rsidRPr="00411AE0">
        <w:rPr>
          <w:rFonts w:ascii="Garamond" w:hAnsi="Garamond" w:cs="Times New Roman"/>
          <w:sz w:val="24"/>
          <w:szCs w:val="24"/>
        </w:rPr>
        <w:t xml:space="preserve">rationality remaining </w:t>
      </w:r>
      <w:r w:rsidR="009F0512" w:rsidRPr="00411AE0">
        <w:rPr>
          <w:rFonts w:ascii="Garamond" w:hAnsi="Garamond" w:cs="Times New Roman"/>
          <w:sz w:val="24"/>
          <w:szCs w:val="24"/>
        </w:rPr>
        <w:t xml:space="preserve">ideologically </w:t>
      </w:r>
      <w:r w:rsidR="00565F23" w:rsidRPr="00411AE0">
        <w:rPr>
          <w:rFonts w:ascii="Garamond" w:hAnsi="Garamond" w:cs="Times New Roman"/>
          <w:sz w:val="24"/>
          <w:szCs w:val="24"/>
        </w:rPr>
        <w:t>central</w:t>
      </w:r>
      <w:r w:rsidR="00AB0825">
        <w:rPr>
          <w:rFonts w:ascii="Garamond" w:hAnsi="Garamond" w:cs="Times New Roman"/>
          <w:sz w:val="24"/>
          <w:szCs w:val="24"/>
        </w:rPr>
        <w:t>.</w:t>
      </w:r>
      <w:r w:rsidR="00565F23" w:rsidRPr="00411AE0">
        <w:rPr>
          <w:rStyle w:val="FootnoteReference"/>
          <w:rFonts w:ascii="Garamond" w:hAnsi="Garamond" w:cs="Times New Roman"/>
          <w:sz w:val="24"/>
          <w:szCs w:val="24"/>
        </w:rPr>
        <w:footnoteReference w:id="86"/>
      </w:r>
      <w:r w:rsidR="00AB0825">
        <w:rPr>
          <w:rFonts w:ascii="Garamond" w:hAnsi="Garamond" w:cs="Times New Roman"/>
          <w:sz w:val="24"/>
          <w:szCs w:val="24"/>
        </w:rPr>
        <w:t xml:space="preserve"> </w:t>
      </w:r>
      <w:r w:rsidR="00A64124">
        <w:rPr>
          <w:rFonts w:ascii="Garamond" w:hAnsi="Garamond" w:cs="Times New Roman"/>
          <w:sz w:val="24"/>
          <w:szCs w:val="24"/>
        </w:rPr>
        <w:t>U</w:t>
      </w:r>
      <w:r w:rsidR="009F0512" w:rsidRPr="00411AE0">
        <w:rPr>
          <w:rFonts w:ascii="Garamond" w:hAnsi="Garamond" w:cs="Times New Roman"/>
          <w:sz w:val="24"/>
          <w:szCs w:val="24"/>
        </w:rPr>
        <w:t>nder neoliberalism,</w:t>
      </w:r>
      <w:r w:rsidR="00565F23" w:rsidRPr="00411AE0">
        <w:rPr>
          <w:rFonts w:ascii="Garamond" w:hAnsi="Garamond" w:cs="Times New Roman"/>
          <w:sz w:val="24"/>
          <w:szCs w:val="24"/>
        </w:rPr>
        <w:t xml:space="preserve"> these </w:t>
      </w:r>
      <w:r w:rsidR="007465C2" w:rsidRPr="00411AE0">
        <w:rPr>
          <w:rFonts w:ascii="Garamond" w:hAnsi="Garamond" w:cs="Times New Roman"/>
          <w:sz w:val="24"/>
          <w:szCs w:val="24"/>
        </w:rPr>
        <w:t xml:space="preserve">normative </w:t>
      </w:r>
      <w:r w:rsidR="00565F23" w:rsidRPr="00411AE0">
        <w:rPr>
          <w:rFonts w:ascii="Garamond" w:hAnsi="Garamond" w:cs="Times New Roman"/>
          <w:sz w:val="24"/>
          <w:szCs w:val="24"/>
        </w:rPr>
        <w:t xml:space="preserve">claims are </w:t>
      </w:r>
      <w:r w:rsidR="00CA461D" w:rsidRPr="00227AFD">
        <w:rPr>
          <w:rFonts w:ascii="Garamond" w:hAnsi="Garamond" w:cs="Times New Roman"/>
          <w:i/>
          <w:sz w:val="24"/>
          <w:szCs w:val="24"/>
        </w:rPr>
        <w:t>more</w:t>
      </w:r>
      <w:r w:rsidR="00CA461D" w:rsidRPr="00411AE0">
        <w:rPr>
          <w:rFonts w:ascii="Garamond" w:hAnsi="Garamond" w:cs="Times New Roman"/>
          <w:sz w:val="24"/>
          <w:szCs w:val="24"/>
        </w:rPr>
        <w:t xml:space="preserve"> destructively</w:t>
      </w:r>
      <w:r w:rsidR="008E75B6" w:rsidRPr="00411AE0">
        <w:rPr>
          <w:rFonts w:ascii="Garamond" w:hAnsi="Garamond" w:cs="Times New Roman"/>
          <w:sz w:val="24"/>
          <w:szCs w:val="24"/>
        </w:rPr>
        <w:t xml:space="preserve"> </w:t>
      </w:r>
      <w:r w:rsidR="00AD3099" w:rsidRPr="00411AE0">
        <w:rPr>
          <w:rFonts w:ascii="Garamond" w:hAnsi="Garamond" w:cs="Times New Roman"/>
          <w:sz w:val="24"/>
          <w:szCs w:val="24"/>
        </w:rPr>
        <w:t xml:space="preserve">instrumentalised </w:t>
      </w:r>
      <w:r w:rsidR="00565F23" w:rsidRPr="00411AE0">
        <w:rPr>
          <w:rFonts w:ascii="Garamond" w:hAnsi="Garamond" w:cs="Times New Roman"/>
          <w:sz w:val="24"/>
          <w:szCs w:val="24"/>
        </w:rPr>
        <w:t xml:space="preserve">than </w:t>
      </w:r>
      <w:r w:rsidR="005C332D" w:rsidRPr="00411AE0">
        <w:rPr>
          <w:rFonts w:ascii="Garamond" w:hAnsi="Garamond" w:cs="Times New Roman"/>
          <w:sz w:val="24"/>
          <w:szCs w:val="24"/>
        </w:rPr>
        <w:t xml:space="preserve">in </w:t>
      </w:r>
      <w:r w:rsidR="00565F23" w:rsidRPr="00411AE0">
        <w:rPr>
          <w:rFonts w:ascii="Garamond" w:hAnsi="Garamond" w:cs="Times New Roman"/>
          <w:sz w:val="24"/>
          <w:szCs w:val="24"/>
        </w:rPr>
        <w:t xml:space="preserve">previous </w:t>
      </w:r>
      <w:r w:rsidR="005C332D" w:rsidRPr="00411AE0">
        <w:rPr>
          <w:rFonts w:ascii="Garamond" w:hAnsi="Garamond" w:cs="Times New Roman"/>
          <w:sz w:val="24"/>
          <w:szCs w:val="24"/>
        </w:rPr>
        <w:t xml:space="preserve">regulatory </w:t>
      </w:r>
      <w:r w:rsidR="00565F23" w:rsidRPr="00411AE0">
        <w:rPr>
          <w:rFonts w:ascii="Garamond" w:hAnsi="Garamond" w:cs="Times New Roman"/>
          <w:sz w:val="24"/>
          <w:szCs w:val="24"/>
        </w:rPr>
        <w:t>projects</w:t>
      </w:r>
      <w:r w:rsidR="000F79F4" w:rsidRPr="00411AE0">
        <w:rPr>
          <w:rFonts w:ascii="Garamond" w:hAnsi="Garamond" w:cs="Times New Roman"/>
          <w:sz w:val="24"/>
          <w:szCs w:val="24"/>
        </w:rPr>
        <w:t xml:space="preserve">, deployed in order to </w:t>
      </w:r>
      <w:r w:rsidR="00CA461D" w:rsidRPr="00411AE0">
        <w:rPr>
          <w:rFonts w:ascii="Garamond" w:hAnsi="Garamond" w:cs="Times New Roman"/>
          <w:sz w:val="24"/>
          <w:szCs w:val="24"/>
        </w:rPr>
        <w:t>legitimat</w:t>
      </w:r>
      <w:r w:rsidR="000F79F4" w:rsidRPr="00411AE0">
        <w:rPr>
          <w:rFonts w:ascii="Garamond" w:hAnsi="Garamond" w:cs="Times New Roman"/>
          <w:sz w:val="24"/>
          <w:szCs w:val="24"/>
        </w:rPr>
        <w:t>e</w:t>
      </w:r>
      <w:r w:rsidR="007465C2" w:rsidRPr="00411AE0">
        <w:rPr>
          <w:rFonts w:ascii="Garamond" w:hAnsi="Garamond" w:cs="Times New Roman"/>
          <w:sz w:val="24"/>
          <w:szCs w:val="24"/>
        </w:rPr>
        <w:t xml:space="preserve"> stultifying levels of </w:t>
      </w:r>
      <w:r w:rsidR="00AD3099" w:rsidRPr="00411AE0">
        <w:rPr>
          <w:rFonts w:ascii="Garamond" w:hAnsi="Garamond" w:cs="Times New Roman"/>
          <w:sz w:val="24"/>
          <w:szCs w:val="24"/>
        </w:rPr>
        <w:t xml:space="preserve">state </w:t>
      </w:r>
      <w:r w:rsidR="007465C2" w:rsidRPr="00411AE0">
        <w:rPr>
          <w:rFonts w:ascii="Garamond" w:hAnsi="Garamond" w:cs="Times New Roman"/>
          <w:sz w:val="24"/>
          <w:szCs w:val="24"/>
        </w:rPr>
        <w:t>control</w:t>
      </w:r>
      <w:r w:rsidR="001A0626" w:rsidRPr="00411AE0">
        <w:rPr>
          <w:rFonts w:ascii="Garamond" w:hAnsi="Garamond" w:cs="Times New Roman"/>
          <w:sz w:val="24"/>
          <w:szCs w:val="24"/>
        </w:rPr>
        <w:t xml:space="preserve"> </w:t>
      </w:r>
      <w:r w:rsidR="008E75B6" w:rsidRPr="00411AE0">
        <w:rPr>
          <w:rFonts w:ascii="Garamond" w:hAnsi="Garamond" w:cs="Times New Roman"/>
          <w:sz w:val="24"/>
          <w:szCs w:val="24"/>
        </w:rPr>
        <w:t xml:space="preserve">in </w:t>
      </w:r>
      <w:r w:rsidR="000F79F4" w:rsidRPr="00411AE0">
        <w:rPr>
          <w:rFonts w:ascii="Garamond" w:hAnsi="Garamond" w:cs="Times New Roman"/>
          <w:sz w:val="24"/>
          <w:szCs w:val="24"/>
        </w:rPr>
        <w:t>the service of</w:t>
      </w:r>
      <w:r w:rsidR="00AD3099" w:rsidRPr="00411AE0">
        <w:rPr>
          <w:rFonts w:ascii="Garamond" w:hAnsi="Garamond" w:cs="Times New Roman"/>
          <w:sz w:val="24"/>
          <w:szCs w:val="24"/>
        </w:rPr>
        <w:t xml:space="preserve"> </w:t>
      </w:r>
      <w:r w:rsidR="001C1BB2" w:rsidRPr="00411AE0">
        <w:rPr>
          <w:rFonts w:ascii="Garamond" w:hAnsi="Garamond" w:cs="Times New Roman"/>
          <w:sz w:val="24"/>
          <w:szCs w:val="24"/>
        </w:rPr>
        <w:t xml:space="preserve">extensive </w:t>
      </w:r>
      <w:r w:rsidR="00344E43" w:rsidRPr="00411AE0">
        <w:rPr>
          <w:rFonts w:ascii="Garamond" w:hAnsi="Garamond" w:cs="Times New Roman"/>
          <w:sz w:val="24"/>
          <w:szCs w:val="24"/>
        </w:rPr>
        <w:t>neoliberal appropriation</w:t>
      </w:r>
      <w:r w:rsidR="008E75B6" w:rsidRPr="00411AE0">
        <w:rPr>
          <w:rFonts w:ascii="Garamond" w:hAnsi="Garamond" w:cs="Times New Roman"/>
          <w:sz w:val="24"/>
          <w:szCs w:val="24"/>
        </w:rPr>
        <w:t>.</w:t>
      </w:r>
      <w:r w:rsidR="009369F2" w:rsidRPr="00411AE0">
        <w:rPr>
          <w:rFonts w:ascii="Garamond" w:hAnsi="Garamond" w:cs="Times New Roman"/>
          <w:sz w:val="24"/>
          <w:szCs w:val="24"/>
        </w:rPr>
        <w:t xml:space="preserve"> </w:t>
      </w:r>
      <w:r w:rsidR="00432102" w:rsidRPr="00411AE0">
        <w:rPr>
          <w:rFonts w:ascii="Garamond" w:hAnsi="Garamond" w:cs="Times New Roman"/>
          <w:sz w:val="24"/>
          <w:szCs w:val="24"/>
        </w:rPr>
        <w:t>Dardot and Laval</w:t>
      </w:r>
      <w:r w:rsidR="000F79F4" w:rsidRPr="00411AE0">
        <w:rPr>
          <w:rFonts w:ascii="Garamond" w:hAnsi="Garamond" w:cs="Times New Roman"/>
          <w:sz w:val="24"/>
          <w:szCs w:val="24"/>
        </w:rPr>
        <w:t>, for example,</w:t>
      </w:r>
      <w:r w:rsidR="00432102" w:rsidRPr="00411AE0">
        <w:rPr>
          <w:rFonts w:ascii="Garamond" w:hAnsi="Garamond" w:cs="Times New Roman"/>
          <w:sz w:val="24"/>
          <w:szCs w:val="24"/>
        </w:rPr>
        <w:t xml:space="preserve"> argue that t</w:t>
      </w:r>
      <w:r w:rsidR="00432102" w:rsidRPr="00411AE0">
        <w:rPr>
          <w:rFonts w:ascii="Garamond" w:hAnsi="Garamond"/>
          <w:sz w:val="24"/>
          <w:szCs w:val="24"/>
        </w:rPr>
        <w:t xml:space="preserve">he deepening regulatory control of life </w:t>
      </w:r>
      <w:r w:rsidR="000F79F4" w:rsidRPr="00411AE0">
        <w:rPr>
          <w:rFonts w:ascii="Garamond" w:hAnsi="Garamond"/>
          <w:sz w:val="24"/>
          <w:szCs w:val="24"/>
        </w:rPr>
        <w:t xml:space="preserve">under neoliberalism </w:t>
      </w:r>
      <w:r w:rsidR="00432102" w:rsidRPr="00411AE0">
        <w:rPr>
          <w:rFonts w:ascii="Garamond" w:hAnsi="Garamond"/>
          <w:sz w:val="24"/>
          <w:szCs w:val="24"/>
        </w:rPr>
        <w:t xml:space="preserve">is a key </w:t>
      </w:r>
      <w:r w:rsidR="00432102" w:rsidRPr="00411AE0">
        <w:rPr>
          <w:rFonts w:ascii="Garamond" w:hAnsi="Garamond"/>
          <w:sz w:val="24"/>
          <w:szCs w:val="24"/>
        </w:rPr>
        <w:lastRenderedPageBreak/>
        <w:t xml:space="preserve">characteristic of a  ‘totalising rationality … </w:t>
      </w:r>
      <w:r w:rsidR="00432102" w:rsidRPr="00411AE0">
        <w:rPr>
          <w:rFonts w:ascii="Garamond" w:hAnsi="Garamond" w:cs="Times New Roman"/>
          <w:sz w:val="24"/>
          <w:szCs w:val="24"/>
        </w:rPr>
        <w:t>destructive of the welfare state apparatus’</w:t>
      </w:r>
      <w:r w:rsidR="00432102" w:rsidRPr="00411AE0">
        <w:rPr>
          <w:rStyle w:val="FootnoteReference"/>
          <w:rFonts w:ascii="Garamond" w:hAnsi="Garamond" w:cs="Times New Roman"/>
          <w:sz w:val="24"/>
          <w:szCs w:val="24"/>
        </w:rPr>
        <w:footnoteReference w:id="87"/>
      </w:r>
      <w:r w:rsidR="009B210B">
        <w:rPr>
          <w:rFonts w:ascii="Garamond" w:hAnsi="Garamond" w:cs="Times New Roman"/>
          <w:sz w:val="24"/>
          <w:szCs w:val="24"/>
        </w:rPr>
        <w:t xml:space="preserve"> </w:t>
      </w:r>
      <w:r w:rsidR="003942C6" w:rsidRPr="00411AE0">
        <w:rPr>
          <w:rFonts w:ascii="Garamond" w:hAnsi="Garamond" w:cs="Times New Roman"/>
          <w:sz w:val="24"/>
          <w:szCs w:val="24"/>
        </w:rPr>
        <w:t xml:space="preserve">that </w:t>
      </w:r>
      <w:r w:rsidR="000F79F4" w:rsidRPr="00411AE0">
        <w:rPr>
          <w:rFonts w:ascii="Garamond" w:hAnsi="Garamond" w:cs="Times New Roman"/>
          <w:sz w:val="24"/>
          <w:szCs w:val="24"/>
        </w:rPr>
        <w:t xml:space="preserve">had </w:t>
      </w:r>
      <w:r w:rsidR="003942C6" w:rsidRPr="00411AE0">
        <w:rPr>
          <w:rFonts w:ascii="Garamond" w:hAnsi="Garamond" w:cs="Times New Roman"/>
          <w:sz w:val="24"/>
          <w:szCs w:val="24"/>
        </w:rPr>
        <w:t>briefly interrupted elite accumulation of profit during the post-war period.</w:t>
      </w:r>
      <w:r w:rsidR="000F79F4" w:rsidRPr="00411AE0">
        <w:rPr>
          <w:rFonts w:ascii="Garamond" w:hAnsi="Garamond" w:cs="Times New Roman"/>
          <w:sz w:val="24"/>
          <w:szCs w:val="24"/>
        </w:rPr>
        <w:t xml:space="preserve"> </w:t>
      </w:r>
      <w:r w:rsidR="00E07199">
        <w:rPr>
          <w:rFonts w:ascii="Garamond" w:hAnsi="Garamond" w:cs="Times New Roman"/>
          <w:sz w:val="24"/>
          <w:szCs w:val="24"/>
        </w:rPr>
        <w:t>Brabazon has argued</w:t>
      </w:r>
      <w:r w:rsidR="009B210B">
        <w:rPr>
          <w:rFonts w:ascii="Garamond" w:hAnsi="Garamond" w:cs="Times New Roman"/>
          <w:sz w:val="24"/>
          <w:szCs w:val="24"/>
        </w:rPr>
        <w:t xml:space="preserve"> that</w:t>
      </w:r>
      <w:r w:rsidR="00E07199">
        <w:rPr>
          <w:rFonts w:ascii="Garamond" w:hAnsi="Garamond" w:cs="Times New Roman"/>
          <w:sz w:val="24"/>
          <w:szCs w:val="24"/>
        </w:rPr>
        <w:t xml:space="preserve"> </w:t>
      </w:r>
    </w:p>
    <w:p w14:paraId="18EFADA1" w14:textId="77777777" w:rsidR="00E07199" w:rsidRDefault="00E07199" w:rsidP="00E07199">
      <w:pPr>
        <w:widowControl w:val="0"/>
        <w:autoSpaceDE w:val="0"/>
        <w:autoSpaceDN w:val="0"/>
        <w:adjustRightInd w:val="0"/>
        <w:spacing w:after="0" w:line="240" w:lineRule="auto"/>
        <w:rPr>
          <w:rFonts w:ascii="Garamond" w:hAnsi="Garamond" w:cs="Times New Roman"/>
          <w:sz w:val="24"/>
          <w:szCs w:val="24"/>
        </w:rPr>
      </w:pPr>
    </w:p>
    <w:p w14:paraId="5631655C" w14:textId="56DB3019" w:rsidR="00E07199" w:rsidRDefault="00E07199" w:rsidP="00F605DD">
      <w:pPr>
        <w:widowControl w:val="0"/>
        <w:autoSpaceDE w:val="0"/>
        <w:autoSpaceDN w:val="0"/>
        <w:adjustRightInd w:val="0"/>
        <w:spacing w:after="0" w:line="240" w:lineRule="auto"/>
        <w:ind w:left="720"/>
        <w:rPr>
          <w:rFonts w:ascii="Garamond" w:hAnsi="Garamond" w:cs="Times New Roman"/>
          <w:sz w:val="24"/>
          <w:szCs w:val="24"/>
        </w:rPr>
      </w:pPr>
      <w:r w:rsidRPr="00A903E5">
        <w:rPr>
          <w:rFonts w:ascii="Garamond" w:hAnsi="Garamond" w:cs="Times New Roman"/>
          <w:lang w:val="en-US"/>
        </w:rPr>
        <w:t>neoliberalism as an ideological and theoretical project can be seen as the</w:t>
      </w:r>
      <w:r>
        <w:rPr>
          <w:rFonts w:ascii="Garamond" w:hAnsi="Garamond" w:cs="Times New Roman"/>
          <w:lang w:val="en-US"/>
        </w:rPr>
        <w:t xml:space="preserve"> </w:t>
      </w:r>
      <w:r w:rsidRPr="00A903E5">
        <w:rPr>
          <w:rFonts w:ascii="Garamond" w:hAnsi="Garamond" w:cs="Times New Roman"/>
          <w:lang w:val="en-US"/>
        </w:rPr>
        <w:t>creation of a particular kind of society and subjectivity rooted in a very limited</w:t>
      </w:r>
      <w:r>
        <w:rPr>
          <w:rFonts w:ascii="Garamond" w:hAnsi="Garamond" w:cs="Times New Roman"/>
          <w:lang w:val="en-US"/>
        </w:rPr>
        <w:t xml:space="preserve"> </w:t>
      </w:r>
      <w:r w:rsidRPr="00A903E5">
        <w:rPr>
          <w:rFonts w:ascii="Garamond" w:hAnsi="Garamond" w:cs="Times New Roman"/>
          <w:lang w:val="en-US"/>
        </w:rPr>
        <w:t>conception of individuality, democracy, and social life, in which public</w:t>
      </w:r>
      <w:r>
        <w:rPr>
          <w:rFonts w:ascii="Garamond" w:hAnsi="Garamond" w:cs="Times New Roman"/>
          <w:lang w:val="en-US"/>
        </w:rPr>
        <w:t xml:space="preserve"> </w:t>
      </w:r>
      <w:r w:rsidRPr="00A903E5">
        <w:rPr>
          <w:rFonts w:ascii="Garamond" w:hAnsi="Garamond" w:cs="Times New Roman"/>
          <w:lang w:val="en-US"/>
        </w:rPr>
        <w:t>debate and dissent are minimal and contained, collective action discouraged,</w:t>
      </w:r>
      <w:r>
        <w:rPr>
          <w:rFonts w:ascii="Garamond" w:hAnsi="Garamond" w:cs="Times New Roman"/>
          <w:lang w:val="en-US"/>
        </w:rPr>
        <w:t xml:space="preserve"> </w:t>
      </w:r>
      <w:r w:rsidRPr="00A903E5">
        <w:rPr>
          <w:rFonts w:ascii="Garamond" w:hAnsi="Garamond" w:cs="Times New Roman"/>
          <w:lang w:val="en-US"/>
        </w:rPr>
        <w:t>and substantive inequalities are ignored or celebrated as convenient.</w:t>
      </w:r>
      <w:r>
        <w:rPr>
          <w:rStyle w:val="FootnoteReference"/>
          <w:rFonts w:ascii="Garamond" w:hAnsi="Garamond" w:cs="Times New Roman"/>
          <w:lang w:val="en-US"/>
        </w:rPr>
        <w:footnoteReference w:id="88"/>
      </w:r>
      <w:r w:rsidRPr="00CF6101">
        <w:rPr>
          <w:rFonts w:ascii="Garamond" w:hAnsi="Garamond" w:cs="Times New Roman"/>
          <w:sz w:val="24"/>
          <w:szCs w:val="24"/>
        </w:rPr>
        <w:br/>
      </w:r>
      <w:r w:rsidR="00C27D8E">
        <w:rPr>
          <w:rFonts w:ascii="Garamond" w:hAnsi="Garamond" w:cs="Times New Roman"/>
          <w:sz w:val="24"/>
          <w:szCs w:val="24"/>
        </w:rPr>
        <w:t xml:space="preserve"> </w:t>
      </w:r>
    </w:p>
    <w:p w14:paraId="3059CD04" w14:textId="434CD846" w:rsidR="007B1830" w:rsidRPr="00411AE0" w:rsidRDefault="009B210B" w:rsidP="00677C43">
      <w:pPr>
        <w:widowControl w:val="0"/>
        <w:autoSpaceDE w:val="0"/>
        <w:autoSpaceDN w:val="0"/>
        <w:adjustRightInd w:val="0"/>
        <w:spacing w:after="0" w:line="240" w:lineRule="auto"/>
        <w:rPr>
          <w:rFonts w:ascii="Garamond" w:eastAsia="Times New Roman" w:hAnsi="Garamond" w:cs="Times New Roman"/>
          <w:sz w:val="24"/>
          <w:szCs w:val="24"/>
          <w:lang w:eastAsia="en-GB"/>
        </w:rPr>
      </w:pPr>
      <w:r>
        <w:rPr>
          <w:rFonts w:ascii="Garamond" w:hAnsi="Garamond" w:cs="Times New Roman"/>
          <w:sz w:val="24"/>
          <w:szCs w:val="24"/>
        </w:rPr>
        <w:t xml:space="preserve"> </w:t>
      </w:r>
      <w:r>
        <w:rPr>
          <w:rFonts w:ascii="Garamond" w:hAnsi="Garamond" w:cs="Times New Roman"/>
          <w:sz w:val="24"/>
          <w:szCs w:val="24"/>
        </w:rPr>
        <w:tab/>
      </w:r>
      <w:r w:rsidR="00463C8D" w:rsidRPr="00CF6101">
        <w:rPr>
          <w:rFonts w:ascii="Garamond" w:hAnsi="Garamond" w:cs="Times New Roman"/>
          <w:sz w:val="24"/>
          <w:szCs w:val="24"/>
        </w:rPr>
        <w:t>The state</w:t>
      </w:r>
      <w:r w:rsidR="00463C8D" w:rsidRPr="00AC0F0C">
        <w:rPr>
          <w:rFonts w:ascii="Garamond" w:hAnsi="Garamond" w:cs="Times New Roman"/>
          <w:sz w:val="24"/>
          <w:szCs w:val="24"/>
        </w:rPr>
        <w:t>’s role</w:t>
      </w:r>
      <w:r w:rsidR="00463C8D">
        <w:rPr>
          <w:rFonts w:ascii="Garamond" w:hAnsi="Garamond" w:cs="Times New Roman"/>
          <w:sz w:val="24"/>
          <w:szCs w:val="24"/>
        </w:rPr>
        <w:t xml:space="preserve"> in this </w:t>
      </w:r>
      <w:r w:rsidR="004A7DA4">
        <w:rPr>
          <w:rFonts w:ascii="Garamond" w:hAnsi="Garamond" w:cs="Times New Roman"/>
          <w:sz w:val="24"/>
          <w:szCs w:val="24"/>
        </w:rPr>
        <w:t xml:space="preserve">process </w:t>
      </w:r>
      <w:r w:rsidR="00463C8D">
        <w:rPr>
          <w:rFonts w:ascii="Garamond" w:hAnsi="Garamond" w:cs="Times New Roman"/>
          <w:sz w:val="24"/>
          <w:szCs w:val="24"/>
        </w:rPr>
        <w:t>is complex</w:t>
      </w:r>
      <w:r w:rsidR="00AE03B0">
        <w:rPr>
          <w:rFonts w:ascii="Garamond" w:hAnsi="Garamond" w:cs="Times New Roman"/>
          <w:sz w:val="24"/>
          <w:szCs w:val="24"/>
        </w:rPr>
        <w:t>:</w:t>
      </w:r>
      <w:r w:rsidR="004A7DA4">
        <w:rPr>
          <w:rFonts w:ascii="Garamond" w:hAnsi="Garamond" w:cs="Times New Roman"/>
          <w:sz w:val="24"/>
          <w:szCs w:val="24"/>
        </w:rPr>
        <w:t xml:space="preserve"> the</w:t>
      </w:r>
      <w:r w:rsidR="00463C8D">
        <w:rPr>
          <w:rFonts w:ascii="Garamond" w:hAnsi="Garamond" w:cs="Times New Roman"/>
          <w:sz w:val="24"/>
          <w:szCs w:val="24"/>
        </w:rPr>
        <w:t xml:space="preserve"> </w:t>
      </w:r>
      <w:r w:rsidR="004A7DA4" w:rsidRPr="00CF6101">
        <w:rPr>
          <w:rFonts w:ascii="Garamond" w:hAnsi="Garamond" w:cs="Times New Roman"/>
          <w:sz w:val="24"/>
          <w:szCs w:val="24"/>
        </w:rPr>
        <w:t>state</w:t>
      </w:r>
      <w:r>
        <w:rPr>
          <w:rFonts w:ascii="Garamond" w:hAnsi="Garamond" w:cs="Times New Roman"/>
          <w:sz w:val="24"/>
          <w:szCs w:val="24"/>
        </w:rPr>
        <w:t xml:space="preserve"> is</w:t>
      </w:r>
      <w:r w:rsidR="004A7DA4" w:rsidRPr="00CF6101">
        <w:rPr>
          <w:rFonts w:ascii="Garamond" w:hAnsi="Garamond" w:cs="Times New Roman"/>
          <w:sz w:val="24"/>
          <w:szCs w:val="24"/>
        </w:rPr>
        <w:t xml:space="preserve"> </w:t>
      </w:r>
      <w:r w:rsidR="004A7DA4" w:rsidRPr="00AC0F0C">
        <w:rPr>
          <w:rFonts w:ascii="Garamond" w:hAnsi="Garamond" w:cs="Times New Roman"/>
          <w:sz w:val="24"/>
          <w:szCs w:val="24"/>
        </w:rPr>
        <w:t>‘restructured . . . rather than restrained’</w:t>
      </w:r>
      <w:r>
        <w:rPr>
          <w:rFonts w:ascii="Garamond" w:hAnsi="Garamond" w:cs="Times New Roman"/>
          <w:sz w:val="24"/>
          <w:szCs w:val="24"/>
        </w:rPr>
        <w:t>,</w:t>
      </w:r>
      <w:r w:rsidR="004A7DA4" w:rsidRPr="00CF6101">
        <w:rPr>
          <w:rStyle w:val="FootnoteReference"/>
          <w:rFonts w:ascii="Garamond" w:hAnsi="Garamond" w:cs="Times New Roman"/>
          <w:sz w:val="24"/>
          <w:szCs w:val="24"/>
        </w:rPr>
        <w:footnoteReference w:id="89"/>
      </w:r>
      <w:r w:rsidR="004A7DA4" w:rsidRPr="00CF6101">
        <w:rPr>
          <w:rFonts w:ascii="Garamond" w:hAnsi="Garamond" w:cs="Times New Roman"/>
          <w:sz w:val="24"/>
          <w:szCs w:val="24"/>
        </w:rPr>
        <w:t xml:space="preserve"> </w:t>
      </w:r>
      <w:r w:rsidR="004A7DA4">
        <w:rPr>
          <w:rFonts w:ascii="Garamond" w:hAnsi="Garamond" w:cs="Times New Roman"/>
          <w:sz w:val="24"/>
          <w:szCs w:val="24"/>
        </w:rPr>
        <w:t xml:space="preserve">and </w:t>
      </w:r>
      <w:r w:rsidR="00463C8D" w:rsidRPr="00AC0F0C">
        <w:rPr>
          <w:rFonts w:ascii="Garamond" w:hAnsi="Garamond" w:cs="Times New Roman"/>
          <w:sz w:val="24"/>
          <w:szCs w:val="24"/>
        </w:rPr>
        <w:t>reoriented towards facilitating and protecting market transactions</w:t>
      </w:r>
      <w:r w:rsidR="004A7DA4">
        <w:rPr>
          <w:rFonts w:ascii="Garamond" w:hAnsi="Garamond" w:cs="Times New Roman"/>
          <w:sz w:val="24"/>
          <w:szCs w:val="24"/>
        </w:rPr>
        <w:t>,</w:t>
      </w:r>
      <w:r w:rsidR="00463C8D" w:rsidRPr="00AC0F0C">
        <w:rPr>
          <w:rFonts w:ascii="Garamond" w:hAnsi="Garamond" w:cs="Times New Roman"/>
          <w:sz w:val="24"/>
          <w:szCs w:val="24"/>
        </w:rPr>
        <w:t xml:space="preserve"> away from social concerns</w:t>
      </w:r>
      <w:r w:rsidR="004A7DA4">
        <w:rPr>
          <w:rFonts w:ascii="Garamond" w:hAnsi="Garamond" w:cs="Times New Roman"/>
          <w:sz w:val="24"/>
          <w:szCs w:val="24"/>
        </w:rPr>
        <w:t>.</w:t>
      </w:r>
      <w:r w:rsidR="00463C8D" w:rsidRPr="00CF6101">
        <w:rPr>
          <w:rStyle w:val="FootnoteReference"/>
          <w:rFonts w:ascii="Garamond" w:hAnsi="Garamond" w:cs="Times New Roman"/>
          <w:sz w:val="24"/>
          <w:szCs w:val="24"/>
        </w:rPr>
        <w:footnoteReference w:id="90"/>
      </w:r>
      <w:r>
        <w:rPr>
          <w:rFonts w:ascii="Garamond" w:hAnsi="Garamond" w:cs="Times New Roman"/>
          <w:sz w:val="24"/>
          <w:szCs w:val="24"/>
        </w:rPr>
        <w:t xml:space="preserve"> </w:t>
      </w:r>
      <w:r w:rsidR="006B52A2">
        <w:rPr>
          <w:rFonts w:ascii="Garamond" w:hAnsi="Garamond" w:cs="Times New Roman"/>
          <w:sz w:val="24"/>
          <w:szCs w:val="24"/>
        </w:rPr>
        <w:t>‘</w:t>
      </w:r>
      <w:r w:rsidR="004A7DA4">
        <w:rPr>
          <w:rFonts w:ascii="Garamond" w:hAnsi="Garamond" w:cs="Times New Roman"/>
          <w:sz w:val="24"/>
          <w:szCs w:val="24"/>
        </w:rPr>
        <w:t>P</w:t>
      </w:r>
      <w:r w:rsidR="00463C8D" w:rsidRPr="00411AE0">
        <w:rPr>
          <w:rFonts w:ascii="Garamond" w:hAnsi="Garamond" w:cs="Times New Roman"/>
          <w:sz w:val="24"/>
          <w:szCs w:val="24"/>
        </w:rPr>
        <w:t>articular subjects and social relations’</w:t>
      </w:r>
      <w:r w:rsidR="00463C8D" w:rsidRPr="00411AE0">
        <w:rPr>
          <w:rStyle w:val="FootnoteReference"/>
          <w:rFonts w:ascii="Garamond" w:hAnsi="Garamond" w:cs="Times New Roman"/>
          <w:sz w:val="24"/>
          <w:szCs w:val="24"/>
        </w:rPr>
        <w:footnoteReference w:id="91"/>
      </w:r>
      <w:r w:rsidR="00463C8D" w:rsidRPr="00411AE0">
        <w:rPr>
          <w:rFonts w:ascii="Garamond" w:hAnsi="Garamond" w:cs="Times New Roman"/>
          <w:sz w:val="24"/>
          <w:szCs w:val="24"/>
        </w:rPr>
        <w:t xml:space="preserve"> </w:t>
      </w:r>
      <w:r w:rsidR="004A7DA4">
        <w:rPr>
          <w:rFonts w:ascii="Garamond" w:hAnsi="Garamond" w:cs="Times New Roman"/>
          <w:sz w:val="24"/>
          <w:szCs w:val="24"/>
        </w:rPr>
        <w:t>emerge from this process</w:t>
      </w:r>
      <w:r w:rsidR="006B52A2">
        <w:rPr>
          <w:rFonts w:ascii="Garamond" w:hAnsi="Garamond" w:cs="Times New Roman"/>
          <w:sz w:val="24"/>
          <w:szCs w:val="24"/>
        </w:rPr>
        <w:t>,</w:t>
      </w:r>
      <w:r w:rsidR="004A7DA4">
        <w:rPr>
          <w:rFonts w:ascii="Garamond" w:hAnsi="Garamond" w:cs="Times New Roman"/>
          <w:sz w:val="24"/>
          <w:szCs w:val="24"/>
        </w:rPr>
        <w:t xml:space="preserve"> entrenching</w:t>
      </w:r>
      <w:r w:rsidR="00463C8D" w:rsidRPr="00411AE0">
        <w:rPr>
          <w:rFonts w:ascii="Garamond" w:hAnsi="Garamond" w:cs="Times New Roman"/>
          <w:sz w:val="24"/>
          <w:szCs w:val="24"/>
        </w:rPr>
        <w:t xml:space="preserve"> coloniality in new, </w:t>
      </w:r>
      <w:r w:rsidR="004A7DA4">
        <w:rPr>
          <w:rFonts w:ascii="Garamond" w:hAnsi="Garamond" w:cs="Times New Roman"/>
          <w:sz w:val="24"/>
          <w:szCs w:val="24"/>
        </w:rPr>
        <w:t xml:space="preserve">arguably </w:t>
      </w:r>
      <w:r w:rsidR="00463C8D" w:rsidRPr="00411AE0">
        <w:rPr>
          <w:rFonts w:ascii="Garamond" w:hAnsi="Garamond" w:cs="Times New Roman"/>
          <w:sz w:val="24"/>
          <w:szCs w:val="24"/>
        </w:rPr>
        <w:t>more complex</w:t>
      </w:r>
      <w:r w:rsidR="006A7342">
        <w:rPr>
          <w:rFonts w:ascii="Garamond" w:hAnsi="Garamond" w:cs="Times New Roman"/>
          <w:sz w:val="24"/>
          <w:szCs w:val="24"/>
        </w:rPr>
        <w:t>,</w:t>
      </w:r>
      <w:r w:rsidR="00463C8D" w:rsidRPr="00411AE0">
        <w:rPr>
          <w:rFonts w:ascii="Garamond" w:hAnsi="Garamond" w:cs="Times New Roman"/>
          <w:sz w:val="24"/>
          <w:szCs w:val="24"/>
        </w:rPr>
        <w:t xml:space="preserve"> forms</w:t>
      </w:r>
      <w:r w:rsidR="00463C8D">
        <w:rPr>
          <w:rFonts w:ascii="Garamond" w:hAnsi="Garamond" w:cs="Times New Roman"/>
          <w:sz w:val="24"/>
          <w:szCs w:val="24"/>
        </w:rPr>
        <w:t>.</w:t>
      </w:r>
      <w:r w:rsidR="00463C8D" w:rsidRPr="00411AE0">
        <w:rPr>
          <w:rStyle w:val="FootnoteReference"/>
          <w:rFonts w:ascii="Garamond" w:eastAsia="Times New Roman" w:hAnsi="Garamond" w:cs="Times New Roman"/>
          <w:sz w:val="24"/>
          <w:szCs w:val="24"/>
          <w:lang w:eastAsia="en-GB"/>
        </w:rPr>
        <w:footnoteReference w:id="92"/>
      </w:r>
      <w:r w:rsidR="00463C8D">
        <w:rPr>
          <w:rFonts w:ascii="Garamond" w:hAnsi="Garamond" w:cs="Times New Roman"/>
          <w:sz w:val="24"/>
          <w:szCs w:val="24"/>
        </w:rPr>
        <w:t xml:space="preserve"> N</w:t>
      </w:r>
      <w:r w:rsidR="00451F79">
        <w:rPr>
          <w:rFonts w:ascii="Garamond" w:eastAsia="Times New Roman" w:hAnsi="Garamond" w:cs="Times New Roman"/>
          <w:sz w:val="24"/>
          <w:szCs w:val="24"/>
          <w:lang w:eastAsia="en-GB"/>
        </w:rPr>
        <w:t xml:space="preserve">eoliberal </w:t>
      </w:r>
      <w:r w:rsidR="00463C8D" w:rsidRPr="00411AE0">
        <w:rPr>
          <w:rFonts w:ascii="Garamond" w:eastAsia="Times New Roman" w:hAnsi="Garamond" w:cs="Times New Roman"/>
          <w:sz w:val="24"/>
          <w:szCs w:val="24"/>
          <w:lang w:eastAsia="en-GB"/>
        </w:rPr>
        <w:t>globalisation</w:t>
      </w:r>
      <w:r w:rsidR="00463C8D">
        <w:rPr>
          <w:rFonts w:ascii="Garamond" w:eastAsia="Times New Roman" w:hAnsi="Garamond" w:cs="Times New Roman"/>
          <w:sz w:val="24"/>
          <w:szCs w:val="24"/>
          <w:lang w:eastAsia="en-GB"/>
        </w:rPr>
        <w:t xml:space="preserve"> </w:t>
      </w:r>
      <w:r w:rsidR="00463C8D" w:rsidRPr="00411AE0">
        <w:rPr>
          <w:rFonts w:ascii="Garamond" w:eastAsia="Times New Roman" w:hAnsi="Garamond" w:cs="Times New Roman"/>
          <w:sz w:val="24"/>
          <w:szCs w:val="24"/>
          <w:lang w:eastAsia="en-GB"/>
        </w:rPr>
        <w:t xml:space="preserve">can </w:t>
      </w:r>
      <w:r w:rsidR="00463C8D">
        <w:rPr>
          <w:rFonts w:ascii="Garamond" w:eastAsia="Times New Roman" w:hAnsi="Garamond" w:cs="Times New Roman"/>
          <w:sz w:val="24"/>
          <w:szCs w:val="24"/>
          <w:lang w:eastAsia="en-GB"/>
        </w:rPr>
        <w:t xml:space="preserve">thus </w:t>
      </w:r>
      <w:r w:rsidR="00463C8D" w:rsidRPr="00411AE0">
        <w:rPr>
          <w:rFonts w:ascii="Garamond" w:eastAsia="Times New Roman" w:hAnsi="Garamond" w:cs="Times New Roman"/>
          <w:sz w:val="24"/>
          <w:szCs w:val="24"/>
          <w:lang w:eastAsia="en-GB"/>
        </w:rPr>
        <w:t>be viewed as a non-monolithic</w:t>
      </w:r>
      <w:r w:rsidR="00C872E3">
        <w:rPr>
          <w:rFonts w:ascii="Garamond" w:eastAsia="Times New Roman" w:hAnsi="Garamond" w:cs="Times New Roman"/>
          <w:sz w:val="24"/>
          <w:szCs w:val="24"/>
          <w:lang w:eastAsia="en-GB"/>
        </w:rPr>
        <w:t>,</w:t>
      </w:r>
      <w:r w:rsidR="00463C8D" w:rsidRPr="00411AE0">
        <w:rPr>
          <w:rStyle w:val="FootnoteReference"/>
          <w:rFonts w:ascii="Garamond" w:eastAsia="Times New Roman" w:hAnsi="Garamond" w:cs="Times New Roman"/>
          <w:sz w:val="24"/>
          <w:szCs w:val="24"/>
          <w:lang w:eastAsia="en-GB"/>
        </w:rPr>
        <w:footnoteReference w:id="93"/>
      </w:r>
      <w:r w:rsidR="00463C8D" w:rsidRPr="00411AE0">
        <w:rPr>
          <w:rFonts w:ascii="Garamond" w:eastAsia="Times New Roman" w:hAnsi="Garamond" w:cs="Times New Roman"/>
          <w:sz w:val="24"/>
          <w:szCs w:val="24"/>
          <w:lang w:eastAsia="en-GB"/>
        </w:rPr>
        <w:t xml:space="preserve"> hegemonic ideological project inseparably bound to the earlier European colonial project</w:t>
      </w:r>
      <w:r w:rsidR="00C052C6">
        <w:rPr>
          <w:rFonts w:ascii="Garamond" w:eastAsia="Times New Roman" w:hAnsi="Garamond" w:cs="Times New Roman"/>
          <w:sz w:val="24"/>
          <w:szCs w:val="24"/>
          <w:lang w:eastAsia="en-GB"/>
        </w:rPr>
        <w:t xml:space="preserve"> and co-productive in the </w:t>
      </w:r>
      <w:r w:rsidR="006B52A2">
        <w:rPr>
          <w:rFonts w:ascii="Garamond" w:eastAsia="Times New Roman" w:hAnsi="Garamond" w:cs="Times New Roman"/>
          <w:sz w:val="24"/>
          <w:szCs w:val="24"/>
          <w:lang w:eastAsia="en-GB"/>
        </w:rPr>
        <w:t xml:space="preserve">rising </w:t>
      </w:r>
      <w:r w:rsidR="00C052C6">
        <w:rPr>
          <w:rFonts w:ascii="Garamond" w:eastAsia="Times New Roman" w:hAnsi="Garamond" w:cs="Times New Roman"/>
          <w:sz w:val="24"/>
          <w:szCs w:val="24"/>
          <w:lang w:eastAsia="en-GB"/>
        </w:rPr>
        <w:t xml:space="preserve">precarity and </w:t>
      </w:r>
      <w:r w:rsidR="006B52A2">
        <w:rPr>
          <w:rFonts w:ascii="Garamond" w:eastAsia="Times New Roman" w:hAnsi="Garamond" w:cs="Times New Roman"/>
          <w:sz w:val="24"/>
          <w:szCs w:val="24"/>
          <w:lang w:eastAsia="en-GB"/>
        </w:rPr>
        <w:t>m</w:t>
      </w:r>
      <w:r w:rsidR="00C052C6">
        <w:rPr>
          <w:rFonts w:ascii="Garamond" w:eastAsia="Times New Roman" w:hAnsi="Garamond" w:cs="Times New Roman"/>
          <w:sz w:val="24"/>
          <w:szCs w:val="24"/>
          <w:lang w:eastAsia="en-GB"/>
        </w:rPr>
        <w:t>ultiple crises of the Ant</w:t>
      </w:r>
      <w:r w:rsidR="006B52A2">
        <w:rPr>
          <w:rFonts w:ascii="Garamond" w:eastAsia="Times New Roman" w:hAnsi="Garamond" w:cs="Times New Roman"/>
          <w:sz w:val="24"/>
          <w:szCs w:val="24"/>
          <w:lang w:eastAsia="en-GB"/>
        </w:rPr>
        <w:t>h</w:t>
      </w:r>
      <w:r w:rsidR="00C052C6">
        <w:rPr>
          <w:rFonts w:ascii="Garamond" w:eastAsia="Times New Roman" w:hAnsi="Garamond" w:cs="Times New Roman"/>
          <w:sz w:val="24"/>
          <w:szCs w:val="24"/>
          <w:lang w:eastAsia="en-GB"/>
        </w:rPr>
        <w:t>ropocene</w:t>
      </w:r>
      <w:r w:rsidR="00463C8D">
        <w:rPr>
          <w:rFonts w:ascii="Garamond" w:eastAsia="Times New Roman" w:hAnsi="Garamond" w:cs="Times New Roman"/>
          <w:sz w:val="24"/>
          <w:szCs w:val="24"/>
          <w:lang w:eastAsia="en-GB"/>
        </w:rPr>
        <w:t>.</w:t>
      </w:r>
      <w:r w:rsidR="00463C8D" w:rsidRPr="00411AE0">
        <w:rPr>
          <w:rStyle w:val="FootnoteReference"/>
          <w:rFonts w:ascii="Garamond" w:eastAsia="Times New Roman" w:hAnsi="Garamond" w:cs="Times New Roman"/>
          <w:sz w:val="24"/>
          <w:szCs w:val="24"/>
          <w:lang w:eastAsia="en-GB"/>
        </w:rPr>
        <w:footnoteReference w:id="94"/>
      </w:r>
      <w:r w:rsidR="00463C8D">
        <w:rPr>
          <w:rFonts w:ascii="Garamond" w:eastAsia="Times New Roman" w:hAnsi="Garamond" w:cs="Times New Roman"/>
          <w:sz w:val="24"/>
          <w:szCs w:val="24"/>
          <w:lang w:eastAsia="en-GB"/>
        </w:rPr>
        <w:t xml:space="preserve"> </w:t>
      </w:r>
      <w:r w:rsidR="00463C8D">
        <w:rPr>
          <w:rFonts w:ascii="Garamond" w:eastAsia="Times New Roman" w:hAnsi="Garamond" w:cs="Times New Roman"/>
          <w:sz w:val="24"/>
          <w:szCs w:val="24"/>
          <w:lang w:eastAsia="en-GB"/>
        </w:rPr>
        <w:br/>
        <w:t xml:space="preserve"> </w:t>
      </w:r>
      <w:r w:rsidR="00463C8D">
        <w:rPr>
          <w:rFonts w:ascii="Garamond" w:eastAsia="Times New Roman" w:hAnsi="Garamond" w:cs="Times New Roman"/>
          <w:sz w:val="24"/>
          <w:szCs w:val="24"/>
          <w:lang w:eastAsia="en-GB"/>
        </w:rPr>
        <w:tab/>
      </w:r>
      <w:r w:rsidR="00463C8D">
        <w:rPr>
          <w:rFonts w:ascii="Garamond" w:eastAsia="Times New Roman" w:hAnsi="Garamond" w:cs="Times New Roman"/>
          <w:color w:val="000000" w:themeColor="text1"/>
          <w:sz w:val="24"/>
          <w:szCs w:val="24"/>
          <w:lang w:eastAsia="en-GB"/>
        </w:rPr>
        <w:t>As we will argue in the next two sections,</w:t>
      </w:r>
      <w:r w:rsidR="00463C8D" w:rsidRPr="00411AE0">
        <w:rPr>
          <w:rFonts w:ascii="Garamond" w:eastAsia="Times New Roman" w:hAnsi="Garamond" w:cs="Times New Roman"/>
          <w:color w:val="000000" w:themeColor="text1"/>
          <w:sz w:val="24"/>
          <w:szCs w:val="24"/>
          <w:lang w:eastAsia="en-GB"/>
        </w:rPr>
        <w:t xml:space="preserve"> </w:t>
      </w:r>
      <w:r w:rsidR="00463C8D">
        <w:rPr>
          <w:rFonts w:ascii="Garamond" w:eastAsia="Times New Roman" w:hAnsi="Garamond" w:cs="Times New Roman"/>
          <w:color w:val="000000" w:themeColor="text1"/>
          <w:sz w:val="24"/>
          <w:szCs w:val="24"/>
          <w:lang w:eastAsia="en-GB"/>
        </w:rPr>
        <w:t>p</w:t>
      </w:r>
      <w:r w:rsidR="00463C8D" w:rsidRPr="00411AE0">
        <w:rPr>
          <w:rFonts w:ascii="Garamond" w:eastAsia="Times New Roman" w:hAnsi="Garamond" w:cs="Times New Roman"/>
          <w:color w:val="000000" w:themeColor="text1"/>
          <w:sz w:val="24"/>
          <w:szCs w:val="24"/>
          <w:lang w:eastAsia="en-GB"/>
        </w:rPr>
        <w:t>ersonhood and jurisdiction</w:t>
      </w:r>
      <w:r w:rsidR="00463C8D">
        <w:rPr>
          <w:rFonts w:ascii="Garamond" w:eastAsia="Times New Roman" w:hAnsi="Garamond" w:cs="Times New Roman"/>
          <w:color w:val="000000" w:themeColor="text1"/>
          <w:sz w:val="24"/>
          <w:szCs w:val="24"/>
          <w:lang w:eastAsia="en-GB"/>
        </w:rPr>
        <w:t xml:space="preserve"> </w:t>
      </w:r>
      <w:r w:rsidR="00463C8D" w:rsidRPr="00411AE0">
        <w:rPr>
          <w:rFonts w:ascii="Garamond" w:eastAsia="Times New Roman" w:hAnsi="Garamond" w:cs="Times New Roman"/>
          <w:color w:val="000000" w:themeColor="text1"/>
          <w:sz w:val="24"/>
          <w:szCs w:val="24"/>
          <w:lang w:eastAsia="en-GB"/>
        </w:rPr>
        <w:t>played important roles in the evolution of coloniality and remain influential conduits for the expression and further accumulation of power in the neoliberal global order</w:t>
      </w:r>
      <w:r w:rsidR="00463C8D">
        <w:rPr>
          <w:rFonts w:ascii="Garamond" w:eastAsia="Times New Roman" w:hAnsi="Garamond" w:cs="Times New Roman"/>
          <w:color w:val="000000" w:themeColor="text1"/>
          <w:sz w:val="24"/>
          <w:szCs w:val="24"/>
          <w:lang w:eastAsia="en-GB"/>
        </w:rPr>
        <w:t xml:space="preserve">—as well as continuing to present complex challenges in the </w:t>
      </w:r>
      <w:r w:rsidR="00CA196F">
        <w:rPr>
          <w:rFonts w:ascii="Garamond" w:eastAsia="Times New Roman" w:hAnsi="Garamond" w:cs="Times New Roman"/>
          <w:color w:val="000000" w:themeColor="text1"/>
          <w:sz w:val="24"/>
          <w:szCs w:val="24"/>
          <w:lang w:eastAsia="en-GB"/>
        </w:rPr>
        <w:t>Anthropocene</w:t>
      </w:r>
      <w:r w:rsidR="00463C8D">
        <w:rPr>
          <w:rFonts w:ascii="Garamond" w:eastAsia="Times New Roman" w:hAnsi="Garamond" w:cs="Times New Roman"/>
          <w:color w:val="000000" w:themeColor="text1"/>
          <w:sz w:val="24"/>
          <w:szCs w:val="24"/>
          <w:lang w:eastAsia="en-GB"/>
        </w:rPr>
        <w:t>.</w:t>
      </w:r>
    </w:p>
    <w:p w14:paraId="001AEE18" w14:textId="77777777" w:rsidR="00FA7EBF" w:rsidRPr="00411AE0" w:rsidRDefault="00FA7EBF" w:rsidP="00AF440B">
      <w:pPr>
        <w:spacing w:after="0" w:line="240" w:lineRule="auto"/>
        <w:rPr>
          <w:rFonts w:ascii="Garamond" w:eastAsia="Times New Roman" w:hAnsi="Garamond" w:cs="Times New Roman"/>
          <w:color w:val="000000"/>
          <w:sz w:val="24"/>
          <w:szCs w:val="24"/>
          <w:lang w:eastAsia="en-GB"/>
        </w:rPr>
      </w:pPr>
    </w:p>
    <w:p w14:paraId="1BA1F341" w14:textId="0F8DA29C" w:rsidR="00830FE5" w:rsidRPr="00404BD8" w:rsidRDefault="00E2040C" w:rsidP="00DB4D50">
      <w:pPr>
        <w:spacing w:after="0" w:line="240" w:lineRule="auto"/>
        <w:rPr>
          <w:rFonts w:ascii="Garamond" w:eastAsia="Times New Roman" w:hAnsi="Garamond" w:cs="Times New Roman"/>
          <w:color w:val="000000" w:themeColor="text1"/>
          <w:sz w:val="24"/>
          <w:szCs w:val="24"/>
          <w:lang w:eastAsia="en-GB"/>
        </w:rPr>
      </w:pPr>
      <w:r w:rsidRPr="00404BD8">
        <w:rPr>
          <w:rFonts w:ascii="Garamond" w:eastAsia="Times New Roman" w:hAnsi="Garamond" w:cs="Times New Roman"/>
          <w:color w:val="000000" w:themeColor="text1"/>
          <w:sz w:val="24"/>
          <w:szCs w:val="24"/>
          <w:lang w:eastAsia="en-GB"/>
        </w:rPr>
        <w:t xml:space="preserve">3 </w:t>
      </w:r>
      <w:r w:rsidR="00830FE5" w:rsidRPr="00404BD8">
        <w:rPr>
          <w:rFonts w:ascii="Garamond" w:eastAsia="Times New Roman" w:hAnsi="Garamond" w:cs="Times New Roman"/>
          <w:color w:val="000000" w:themeColor="text1"/>
          <w:sz w:val="24"/>
          <w:szCs w:val="24"/>
          <w:lang w:eastAsia="en-GB"/>
        </w:rPr>
        <w:t>LEGAL PERSONHOOD: PATTERNS OF PRIVILEGE AND MARGINALISATION</w:t>
      </w:r>
    </w:p>
    <w:p w14:paraId="2C290F1E" w14:textId="77777777" w:rsidR="00D91BCF" w:rsidRDefault="00D91BCF" w:rsidP="00404BD8">
      <w:pPr>
        <w:spacing w:after="0" w:line="240" w:lineRule="auto"/>
        <w:rPr>
          <w:rFonts w:ascii="Garamond" w:eastAsia="Times New Roman" w:hAnsi="Garamond" w:cs="Times New Roman"/>
          <w:color w:val="000000" w:themeColor="text1"/>
          <w:sz w:val="24"/>
          <w:szCs w:val="24"/>
          <w:lang w:eastAsia="en-GB"/>
        </w:rPr>
      </w:pPr>
      <w:r w:rsidRPr="00411AE0">
        <w:rPr>
          <w:rFonts w:ascii="Garamond" w:eastAsia="Times New Roman" w:hAnsi="Garamond" w:cs="Times New Roman"/>
          <w:color w:val="000000" w:themeColor="text1"/>
          <w:sz w:val="24"/>
          <w:szCs w:val="24"/>
          <w:lang w:eastAsia="en-GB"/>
        </w:rPr>
        <w:t xml:space="preserve">This section of our argument will position legal personhood as a construct that, despite its putative neutrality, forms a conduit for the continuing influence of a Eurocentric rationalistic trope </w:t>
      </w:r>
      <w:r>
        <w:rPr>
          <w:rFonts w:ascii="Garamond" w:eastAsia="Times New Roman" w:hAnsi="Garamond" w:cs="Times New Roman"/>
          <w:color w:val="000000" w:themeColor="text1"/>
          <w:sz w:val="24"/>
          <w:szCs w:val="24"/>
          <w:lang w:eastAsia="en-GB"/>
        </w:rPr>
        <w:t xml:space="preserve">of ‘man’ </w:t>
      </w:r>
      <w:r w:rsidRPr="00411AE0">
        <w:rPr>
          <w:rFonts w:ascii="Garamond" w:eastAsia="Times New Roman" w:hAnsi="Garamond" w:cs="Times New Roman"/>
          <w:color w:val="000000" w:themeColor="text1"/>
          <w:sz w:val="24"/>
          <w:szCs w:val="24"/>
          <w:lang w:eastAsia="en-GB"/>
        </w:rPr>
        <w:t>that brings corporate juridical privilege and the privation and vulnerability of corporeally specific human ‘outsiders’ or ‘others’ into direct and problematic relation</w:t>
      </w:r>
      <w:r>
        <w:rPr>
          <w:rFonts w:ascii="Garamond" w:eastAsia="Times New Roman" w:hAnsi="Garamond" w:cs="Times New Roman"/>
          <w:color w:val="000000" w:themeColor="text1"/>
          <w:sz w:val="24"/>
          <w:szCs w:val="24"/>
          <w:lang w:eastAsia="en-GB"/>
        </w:rPr>
        <w:t>s</w:t>
      </w:r>
      <w:r w:rsidRPr="00411AE0">
        <w:rPr>
          <w:rFonts w:ascii="Garamond" w:eastAsia="Times New Roman" w:hAnsi="Garamond" w:cs="Times New Roman"/>
          <w:color w:val="000000" w:themeColor="text1"/>
          <w:sz w:val="24"/>
          <w:szCs w:val="24"/>
          <w:lang w:eastAsia="en-GB"/>
        </w:rPr>
        <w:t xml:space="preserve"> of injustice. Core to this analysis is a </w:t>
      </w:r>
      <w:r>
        <w:rPr>
          <w:rFonts w:ascii="Garamond" w:eastAsia="Times New Roman" w:hAnsi="Garamond" w:cs="Times New Roman"/>
          <w:color w:val="000000" w:themeColor="text1"/>
          <w:sz w:val="24"/>
          <w:szCs w:val="24"/>
          <w:lang w:eastAsia="en-GB"/>
        </w:rPr>
        <w:t xml:space="preserve">patterned </w:t>
      </w:r>
      <w:r w:rsidRPr="00411AE0">
        <w:rPr>
          <w:rFonts w:ascii="Garamond" w:eastAsia="Times New Roman" w:hAnsi="Garamond" w:cs="Times New Roman"/>
          <w:color w:val="000000" w:themeColor="text1"/>
          <w:sz w:val="24"/>
          <w:szCs w:val="24"/>
          <w:lang w:eastAsia="en-GB"/>
        </w:rPr>
        <w:t xml:space="preserve">politics of disembodiment central to the operation of TNCs as cloaking devices for the accumulation of elite capitalist power. </w:t>
      </w:r>
    </w:p>
    <w:p w14:paraId="0062667B" w14:textId="36D4A007" w:rsidR="00844581" w:rsidRDefault="00BB0A25" w:rsidP="00F605DD">
      <w:pPr>
        <w:spacing w:after="0" w:line="240" w:lineRule="auto"/>
        <w:ind w:firstLine="720"/>
        <w:rPr>
          <w:rFonts w:ascii="Garamond" w:hAnsi="Garamond"/>
        </w:rPr>
      </w:pPr>
      <w:r>
        <w:rPr>
          <w:rFonts w:ascii="Garamond" w:eastAsia="Times New Roman" w:hAnsi="Garamond" w:cs="Times New Roman"/>
          <w:color w:val="000000"/>
          <w:sz w:val="24"/>
          <w:szCs w:val="24"/>
          <w:lang w:eastAsia="en-GB"/>
        </w:rPr>
        <w:t xml:space="preserve">Before beginning our critical account of legal personhood as a technique of dominance, it is important to note that </w:t>
      </w:r>
      <w:r w:rsidRPr="00411AE0">
        <w:rPr>
          <w:rFonts w:ascii="Garamond" w:eastAsia="Times New Roman" w:hAnsi="Garamond" w:cs="Times New Roman"/>
          <w:color w:val="000000"/>
          <w:sz w:val="24"/>
          <w:szCs w:val="24"/>
          <w:lang w:eastAsia="en-GB"/>
        </w:rPr>
        <w:t>posthuman developments</w:t>
      </w:r>
      <w:r>
        <w:rPr>
          <w:rFonts w:ascii="Garamond" w:eastAsia="Times New Roman" w:hAnsi="Garamond" w:cs="Times New Roman"/>
          <w:color w:val="000000"/>
          <w:sz w:val="24"/>
          <w:szCs w:val="24"/>
          <w:lang w:eastAsia="en-GB"/>
        </w:rPr>
        <w:t xml:space="preserve"> and the pressures of ecological breakdown</w:t>
      </w:r>
      <w:r w:rsidRPr="00411AE0">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 xml:space="preserve">make it increasingly </w:t>
      </w:r>
      <w:r w:rsidRPr="00411AE0">
        <w:rPr>
          <w:rFonts w:ascii="Garamond" w:eastAsia="Times New Roman" w:hAnsi="Garamond" w:cs="Times New Roman"/>
          <w:color w:val="000000"/>
          <w:sz w:val="24"/>
          <w:szCs w:val="24"/>
          <w:lang w:eastAsia="en-GB"/>
        </w:rPr>
        <w:t xml:space="preserve">necessary to </w:t>
      </w:r>
      <w:r>
        <w:rPr>
          <w:rFonts w:ascii="Garamond" w:eastAsia="Times New Roman" w:hAnsi="Garamond" w:cs="Times New Roman"/>
          <w:color w:val="000000"/>
          <w:sz w:val="24"/>
          <w:szCs w:val="24"/>
          <w:lang w:eastAsia="en-GB"/>
        </w:rPr>
        <w:t xml:space="preserve">imagine </w:t>
      </w:r>
      <w:r w:rsidRPr="00411AE0">
        <w:rPr>
          <w:rFonts w:ascii="Garamond" w:eastAsia="Times New Roman" w:hAnsi="Garamond" w:cs="Times New Roman"/>
          <w:color w:val="000000"/>
          <w:sz w:val="24"/>
          <w:szCs w:val="24"/>
          <w:lang w:eastAsia="en-GB"/>
        </w:rPr>
        <w:t xml:space="preserve">potential new recipients of legal personhood and/or </w:t>
      </w:r>
      <w:r>
        <w:rPr>
          <w:rFonts w:ascii="Garamond" w:eastAsia="Times New Roman" w:hAnsi="Garamond" w:cs="Times New Roman"/>
          <w:color w:val="000000"/>
          <w:sz w:val="24"/>
          <w:szCs w:val="24"/>
          <w:lang w:eastAsia="en-GB"/>
        </w:rPr>
        <w:t xml:space="preserve">rights of </w:t>
      </w:r>
      <w:r w:rsidRPr="00411AE0">
        <w:rPr>
          <w:rFonts w:ascii="Garamond" w:eastAsia="Times New Roman" w:hAnsi="Garamond" w:cs="Times New Roman"/>
          <w:color w:val="000000"/>
          <w:sz w:val="24"/>
          <w:szCs w:val="24"/>
          <w:lang w:eastAsia="en-GB"/>
        </w:rPr>
        <w:t>standing</w:t>
      </w:r>
      <w:r>
        <w:rPr>
          <w:rFonts w:ascii="Garamond" w:eastAsia="Times New Roman" w:hAnsi="Garamond" w:cs="Times New Roman"/>
          <w:color w:val="000000"/>
          <w:sz w:val="24"/>
          <w:szCs w:val="24"/>
          <w:lang w:eastAsia="en-GB"/>
        </w:rPr>
        <w:t>.</w:t>
      </w:r>
      <w:r w:rsidRPr="00411AE0">
        <w:rPr>
          <w:rStyle w:val="FootnoteReference"/>
          <w:rFonts w:ascii="Garamond" w:eastAsia="Times New Roman" w:hAnsi="Garamond" w:cs="Times New Roman"/>
          <w:color w:val="000000"/>
          <w:sz w:val="24"/>
          <w:szCs w:val="24"/>
          <w:lang w:eastAsia="en-GB"/>
        </w:rPr>
        <w:footnoteReference w:id="95"/>
      </w:r>
      <w:r w:rsidRPr="00411AE0">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 xml:space="preserve">Indeed, such arguments are already passionately made by a range of </w:t>
      </w:r>
      <w:r>
        <w:rPr>
          <w:rFonts w:ascii="Garamond" w:eastAsia="Times New Roman" w:hAnsi="Garamond" w:cs="Times New Roman"/>
          <w:color w:val="000000"/>
          <w:sz w:val="24"/>
          <w:szCs w:val="24"/>
          <w:lang w:eastAsia="en-GB"/>
        </w:rPr>
        <w:lastRenderedPageBreak/>
        <w:t>advocates, scholars and activists, and novel approaches, such as the granting of legal personhood to rivers, animals and other non-human natural systems and entities,</w:t>
      </w:r>
      <w:r>
        <w:rPr>
          <w:rStyle w:val="FootnoteReference"/>
          <w:rFonts w:ascii="Garamond" w:eastAsia="Times New Roman" w:hAnsi="Garamond" w:cs="Times New Roman"/>
          <w:color w:val="000000"/>
          <w:sz w:val="24"/>
          <w:szCs w:val="24"/>
          <w:lang w:eastAsia="en-GB"/>
        </w:rPr>
        <w:footnoteReference w:id="96"/>
      </w:r>
      <w:r>
        <w:rPr>
          <w:rFonts w:ascii="Garamond" w:eastAsia="Times New Roman" w:hAnsi="Garamond" w:cs="Times New Roman"/>
          <w:color w:val="000000"/>
          <w:sz w:val="24"/>
          <w:szCs w:val="24"/>
          <w:lang w:eastAsia="en-GB"/>
        </w:rPr>
        <w:t xml:space="preserve"> already exist. However, despite such developments, and despite</w:t>
      </w:r>
      <w:r w:rsidR="00C177D9">
        <w:rPr>
          <w:rFonts w:ascii="Garamond" w:eastAsia="Times New Roman" w:hAnsi="Garamond" w:cs="Times New Roman"/>
          <w:color w:val="000000"/>
          <w:sz w:val="24"/>
          <w:szCs w:val="24"/>
          <w:lang w:eastAsia="en-GB"/>
        </w:rPr>
        <w:t xml:space="preserve"> the undoubted potential of legal personhood for imaginative, future-facing deployments,</w:t>
      </w:r>
      <w:r w:rsidR="00C177D9">
        <w:rPr>
          <w:rStyle w:val="FootnoteReference"/>
          <w:rFonts w:ascii="Garamond" w:eastAsia="Times New Roman" w:hAnsi="Garamond" w:cs="Times New Roman"/>
          <w:color w:val="000000"/>
          <w:sz w:val="24"/>
          <w:szCs w:val="24"/>
          <w:lang w:eastAsia="en-GB"/>
        </w:rPr>
        <w:footnoteReference w:id="97"/>
      </w:r>
      <w:r w:rsidR="00C177D9">
        <w:rPr>
          <w:rFonts w:ascii="Garamond" w:eastAsia="Times New Roman" w:hAnsi="Garamond" w:cs="Times New Roman"/>
          <w:color w:val="000000"/>
          <w:sz w:val="24"/>
          <w:szCs w:val="24"/>
          <w:lang w:eastAsia="en-GB"/>
        </w:rPr>
        <w:t xml:space="preserve"> it remains </w:t>
      </w:r>
      <w:r w:rsidR="00C61ACA">
        <w:rPr>
          <w:rFonts w:ascii="Garamond" w:eastAsia="Times New Roman" w:hAnsi="Garamond" w:cs="Times New Roman"/>
          <w:color w:val="000000"/>
          <w:sz w:val="24"/>
          <w:szCs w:val="24"/>
          <w:lang w:eastAsia="en-GB"/>
        </w:rPr>
        <w:t xml:space="preserve">essential </w:t>
      </w:r>
      <w:r w:rsidR="00C177D9">
        <w:rPr>
          <w:rFonts w:ascii="Garamond" w:eastAsia="Times New Roman" w:hAnsi="Garamond" w:cs="Times New Roman"/>
          <w:color w:val="000000"/>
          <w:sz w:val="24"/>
          <w:szCs w:val="24"/>
          <w:lang w:eastAsia="en-GB"/>
        </w:rPr>
        <w:t>not to underestimate the traction of Eurocentric, rationalistic assumptions underwriting law and legal personhood</w:t>
      </w:r>
      <w:r w:rsidRPr="00411AE0">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 xml:space="preserve">Even when new forms of legal person are generated, there is nothing to guarantee </w:t>
      </w:r>
      <w:r w:rsidR="00C177D9">
        <w:rPr>
          <w:rFonts w:ascii="Garamond" w:eastAsia="Times New Roman" w:hAnsi="Garamond" w:cs="Times New Roman"/>
          <w:color w:val="000000"/>
          <w:sz w:val="24"/>
          <w:szCs w:val="24"/>
          <w:lang w:eastAsia="en-GB"/>
        </w:rPr>
        <w:t>immunity from</w:t>
      </w:r>
      <w:r>
        <w:rPr>
          <w:rFonts w:ascii="Garamond" w:eastAsia="Times New Roman" w:hAnsi="Garamond" w:cs="Times New Roman"/>
          <w:color w:val="000000"/>
          <w:sz w:val="24"/>
          <w:szCs w:val="24"/>
          <w:lang w:eastAsia="en-GB"/>
        </w:rPr>
        <w:t xml:space="preserve"> the continuing ideological </w:t>
      </w:r>
      <w:r w:rsidR="000406DC">
        <w:rPr>
          <w:rFonts w:ascii="Garamond" w:eastAsia="Times New Roman" w:hAnsi="Garamond" w:cs="Times New Roman"/>
          <w:color w:val="000000"/>
          <w:sz w:val="24"/>
          <w:szCs w:val="24"/>
          <w:lang w:eastAsia="en-GB"/>
        </w:rPr>
        <w:t xml:space="preserve">traction </w:t>
      </w:r>
      <w:r>
        <w:rPr>
          <w:rFonts w:ascii="Garamond" w:eastAsia="Times New Roman" w:hAnsi="Garamond" w:cs="Times New Roman"/>
          <w:color w:val="000000"/>
          <w:sz w:val="24"/>
          <w:szCs w:val="24"/>
          <w:lang w:eastAsia="en-GB"/>
        </w:rPr>
        <w:t xml:space="preserve">of law’s </w:t>
      </w:r>
      <w:r w:rsidR="00C177D9">
        <w:rPr>
          <w:rFonts w:ascii="Garamond" w:eastAsia="Times New Roman" w:hAnsi="Garamond" w:cs="Times New Roman"/>
          <w:color w:val="000000"/>
          <w:sz w:val="24"/>
          <w:szCs w:val="24"/>
          <w:lang w:eastAsia="en-GB"/>
        </w:rPr>
        <w:t xml:space="preserve">well-rehearsed </w:t>
      </w:r>
      <w:r>
        <w:rPr>
          <w:rFonts w:ascii="Garamond" w:eastAsia="Times New Roman" w:hAnsi="Garamond" w:cs="Times New Roman"/>
          <w:color w:val="000000"/>
          <w:sz w:val="24"/>
          <w:szCs w:val="24"/>
          <w:lang w:eastAsia="en-GB"/>
        </w:rPr>
        <w:t>patterns of privilege and predation. It is perfectly possible</w:t>
      </w:r>
      <w:r w:rsidR="00C177D9">
        <w:rPr>
          <w:rFonts w:ascii="Garamond" w:eastAsia="Times New Roman" w:hAnsi="Garamond" w:cs="Times New Roman"/>
          <w:color w:val="000000"/>
          <w:sz w:val="24"/>
          <w:szCs w:val="24"/>
          <w:lang w:eastAsia="en-GB"/>
        </w:rPr>
        <w:t xml:space="preserve"> </w:t>
      </w:r>
      <w:r>
        <w:rPr>
          <w:rFonts w:ascii="Garamond" w:eastAsia="Times New Roman" w:hAnsi="Garamond" w:cs="Times New Roman"/>
          <w:color w:val="000000"/>
          <w:sz w:val="24"/>
          <w:szCs w:val="24"/>
          <w:lang w:eastAsia="en-GB"/>
        </w:rPr>
        <w:t>to for</w:t>
      </w:r>
      <w:r w:rsidR="00C177D9">
        <w:rPr>
          <w:rFonts w:ascii="Garamond" w:eastAsia="Times New Roman" w:hAnsi="Garamond" w:cs="Times New Roman"/>
          <w:color w:val="000000"/>
          <w:sz w:val="24"/>
          <w:szCs w:val="24"/>
          <w:lang w:eastAsia="en-GB"/>
        </w:rPr>
        <w:t>e</w:t>
      </w:r>
      <w:r>
        <w:rPr>
          <w:rFonts w:ascii="Garamond" w:eastAsia="Times New Roman" w:hAnsi="Garamond" w:cs="Times New Roman"/>
          <w:color w:val="000000"/>
          <w:sz w:val="24"/>
          <w:szCs w:val="24"/>
          <w:lang w:eastAsia="en-GB"/>
        </w:rPr>
        <w:t>see a world populated by myriad forms of legal person</w:t>
      </w:r>
      <w:r w:rsidR="009C2F2D">
        <w:rPr>
          <w:rFonts w:ascii="Garamond" w:eastAsia="Times New Roman" w:hAnsi="Garamond" w:cs="Times New Roman"/>
          <w:color w:val="000000"/>
          <w:sz w:val="24"/>
          <w:szCs w:val="24"/>
          <w:lang w:eastAsia="en-GB"/>
        </w:rPr>
        <w:t>s</w:t>
      </w:r>
      <w:r>
        <w:rPr>
          <w:rFonts w:ascii="Garamond" w:eastAsia="Times New Roman" w:hAnsi="Garamond" w:cs="Times New Roman"/>
          <w:color w:val="000000"/>
          <w:sz w:val="24"/>
          <w:szCs w:val="24"/>
          <w:lang w:eastAsia="en-GB"/>
        </w:rPr>
        <w:t xml:space="preserve">/entities, in which familiar and long-standing patterns of marginalisation and predation </w:t>
      </w:r>
      <w:r w:rsidRPr="00F605DD">
        <w:rPr>
          <w:rFonts w:ascii="Garamond" w:eastAsia="Times New Roman" w:hAnsi="Garamond" w:cs="Times New Roman"/>
          <w:i/>
          <w:color w:val="000000"/>
          <w:sz w:val="24"/>
          <w:szCs w:val="24"/>
          <w:lang w:eastAsia="en-GB"/>
        </w:rPr>
        <w:t>persist</w:t>
      </w:r>
      <w:r>
        <w:rPr>
          <w:rFonts w:ascii="Garamond" w:eastAsia="Times New Roman" w:hAnsi="Garamond" w:cs="Times New Roman"/>
          <w:color w:val="000000"/>
          <w:sz w:val="24"/>
          <w:szCs w:val="24"/>
          <w:lang w:eastAsia="en-GB"/>
        </w:rPr>
        <w:t xml:space="preserve">. </w:t>
      </w:r>
      <w:r w:rsidR="00C177D9">
        <w:rPr>
          <w:rFonts w:ascii="Garamond" w:eastAsia="Times New Roman" w:hAnsi="Garamond" w:cs="Times New Roman"/>
          <w:color w:val="000000"/>
          <w:sz w:val="24"/>
          <w:szCs w:val="24"/>
          <w:lang w:eastAsia="en-GB"/>
        </w:rPr>
        <w:t>Even ‘rights and personhood for nature’, an increasingly popular approach, can continue to operate forms of coloniality</w:t>
      </w:r>
      <w:r>
        <w:rPr>
          <w:rFonts w:ascii="Garamond" w:eastAsia="Times New Roman" w:hAnsi="Garamond" w:cs="Times New Roman"/>
          <w:color w:val="000000"/>
          <w:sz w:val="24"/>
          <w:szCs w:val="24"/>
          <w:lang w:eastAsia="en-GB"/>
        </w:rPr>
        <w:t xml:space="preserve"> by universalising ‘colonial modes of existence as natural’, as Rawson and Mansfield have argued that they do.</w:t>
      </w:r>
      <w:r>
        <w:rPr>
          <w:rStyle w:val="FootnoteReference"/>
          <w:rFonts w:ascii="Garamond" w:eastAsia="Times New Roman" w:hAnsi="Garamond" w:cs="Times New Roman"/>
          <w:color w:val="000000"/>
          <w:sz w:val="24"/>
          <w:szCs w:val="24"/>
          <w:lang w:eastAsia="en-GB"/>
        </w:rPr>
        <w:footnoteReference w:id="98"/>
      </w:r>
      <w:r>
        <w:rPr>
          <w:rFonts w:ascii="Garamond" w:eastAsia="Times New Roman" w:hAnsi="Garamond" w:cs="Times New Roman"/>
          <w:color w:val="000000"/>
          <w:sz w:val="24"/>
          <w:szCs w:val="24"/>
          <w:lang w:eastAsia="en-GB"/>
        </w:rPr>
        <w:t xml:space="preserve"> </w:t>
      </w:r>
      <w:r w:rsidR="007F71B0">
        <w:rPr>
          <w:rFonts w:ascii="Garamond" w:eastAsia="Times New Roman" w:hAnsi="Garamond" w:cs="Times New Roman"/>
          <w:color w:val="000000"/>
          <w:sz w:val="24"/>
          <w:szCs w:val="24"/>
          <w:lang w:eastAsia="en-GB"/>
        </w:rPr>
        <w:t>In short, l</w:t>
      </w:r>
      <w:r w:rsidR="00830FE5" w:rsidRPr="00411AE0">
        <w:rPr>
          <w:rFonts w:ascii="Garamond" w:eastAsia="Times New Roman" w:hAnsi="Garamond" w:cs="Times New Roman"/>
          <w:color w:val="000000" w:themeColor="text1"/>
          <w:sz w:val="24"/>
          <w:szCs w:val="24"/>
          <w:lang w:eastAsia="en-GB"/>
        </w:rPr>
        <w:t xml:space="preserve">egal personhood </w:t>
      </w:r>
      <w:r w:rsidR="007F71B0">
        <w:rPr>
          <w:rFonts w:ascii="Garamond" w:eastAsia="Times New Roman" w:hAnsi="Garamond" w:cs="Times New Roman"/>
          <w:color w:val="000000" w:themeColor="text1"/>
          <w:sz w:val="24"/>
          <w:szCs w:val="24"/>
          <w:lang w:eastAsia="en-GB"/>
        </w:rPr>
        <w:t xml:space="preserve">is </w:t>
      </w:r>
      <w:r w:rsidR="0040257F" w:rsidRPr="00411AE0">
        <w:rPr>
          <w:rFonts w:ascii="Garamond" w:eastAsia="Times New Roman" w:hAnsi="Garamond" w:cs="Times New Roman"/>
          <w:color w:val="000000" w:themeColor="text1"/>
          <w:sz w:val="24"/>
          <w:szCs w:val="24"/>
          <w:lang w:eastAsia="en-GB"/>
        </w:rPr>
        <w:t xml:space="preserve">long </w:t>
      </w:r>
      <w:r w:rsidR="00830FE5" w:rsidRPr="00411AE0">
        <w:rPr>
          <w:rFonts w:ascii="Garamond" w:eastAsia="Times New Roman" w:hAnsi="Garamond" w:cs="Times New Roman"/>
          <w:color w:val="000000" w:themeColor="text1"/>
          <w:sz w:val="24"/>
          <w:szCs w:val="24"/>
          <w:lang w:eastAsia="en-GB"/>
        </w:rPr>
        <w:t>central to law’s tilted distribution of power and privilege, marginalisation and dispossession</w:t>
      </w:r>
      <w:r w:rsidR="007F71B0">
        <w:rPr>
          <w:rFonts w:ascii="Garamond" w:eastAsia="Times New Roman" w:hAnsi="Garamond" w:cs="Times New Roman"/>
          <w:color w:val="000000" w:themeColor="text1"/>
          <w:sz w:val="24"/>
          <w:szCs w:val="24"/>
          <w:lang w:eastAsia="en-GB"/>
        </w:rPr>
        <w:t xml:space="preserve">—and it remains vital to retain critical suspicion, perhaps </w:t>
      </w:r>
      <w:r w:rsidR="007F71B0" w:rsidRPr="00F605DD">
        <w:rPr>
          <w:rFonts w:ascii="Garamond" w:eastAsia="Times New Roman" w:hAnsi="Garamond" w:cs="Times New Roman"/>
          <w:i/>
          <w:color w:val="000000" w:themeColor="text1"/>
          <w:sz w:val="24"/>
          <w:szCs w:val="24"/>
          <w:lang w:eastAsia="en-GB"/>
        </w:rPr>
        <w:t>especially</w:t>
      </w:r>
      <w:r w:rsidR="000006C1">
        <w:rPr>
          <w:rFonts w:ascii="Garamond" w:eastAsia="Times New Roman" w:hAnsi="Garamond" w:cs="Times New Roman"/>
          <w:color w:val="000000" w:themeColor="text1"/>
          <w:sz w:val="24"/>
          <w:szCs w:val="24"/>
          <w:lang w:eastAsia="en-GB"/>
        </w:rPr>
        <w:t xml:space="preserve"> when calling on it</w:t>
      </w:r>
      <w:r w:rsidR="007F71B0">
        <w:rPr>
          <w:rFonts w:ascii="Garamond" w:eastAsia="Times New Roman" w:hAnsi="Garamond" w:cs="Times New Roman"/>
          <w:color w:val="000000" w:themeColor="text1"/>
          <w:sz w:val="24"/>
          <w:szCs w:val="24"/>
          <w:lang w:eastAsia="en-GB"/>
        </w:rPr>
        <w:t xml:space="preserve"> for new, imaginative juridical projects</w:t>
      </w:r>
      <w:r w:rsidR="00830FE5" w:rsidRPr="00411AE0">
        <w:rPr>
          <w:rFonts w:ascii="Garamond" w:eastAsia="Times New Roman" w:hAnsi="Garamond" w:cs="Times New Roman"/>
          <w:color w:val="000000" w:themeColor="text1"/>
          <w:sz w:val="24"/>
          <w:szCs w:val="24"/>
          <w:lang w:eastAsia="en-GB"/>
        </w:rPr>
        <w:t xml:space="preserve">. </w:t>
      </w:r>
      <w:r w:rsidR="007F71B0">
        <w:rPr>
          <w:rFonts w:ascii="Garamond" w:eastAsia="Times New Roman" w:hAnsi="Garamond" w:cs="Times New Roman"/>
          <w:color w:val="000000" w:themeColor="text1"/>
          <w:sz w:val="24"/>
          <w:szCs w:val="24"/>
          <w:lang w:eastAsia="en-GB"/>
        </w:rPr>
        <w:br/>
        <w:t xml:space="preserve"> </w:t>
      </w:r>
      <w:r w:rsidR="007F71B0">
        <w:rPr>
          <w:rFonts w:ascii="Garamond" w:eastAsia="Times New Roman" w:hAnsi="Garamond" w:cs="Times New Roman"/>
          <w:color w:val="000000" w:themeColor="text1"/>
          <w:sz w:val="24"/>
          <w:szCs w:val="24"/>
          <w:lang w:eastAsia="en-GB"/>
        </w:rPr>
        <w:tab/>
      </w:r>
      <w:r w:rsidR="00830FE5" w:rsidRPr="00411AE0">
        <w:rPr>
          <w:rFonts w:ascii="Garamond" w:eastAsia="Times New Roman" w:hAnsi="Garamond" w:cs="Times New Roman"/>
          <w:color w:val="000000" w:themeColor="text1"/>
          <w:sz w:val="24"/>
          <w:szCs w:val="24"/>
          <w:lang w:eastAsia="en-GB"/>
        </w:rPr>
        <w:t>We have already briefly noted</w:t>
      </w:r>
      <w:r w:rsidR="001E105F"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the importance of the legal form of the corporation in colonial distributions of power</w:t>
      </w:r>
      <w:r w:rsidR="001E105F" w:rsidRPr="00411AE0">
        <w:rPr>
          <w:rFonts w:ascii="Garamond" w:eastAsia="Times New Roman" w:hAnsi="Garamond" w:cs="Times New Roman"/>
          <w:color w:val="000000" w:themeColor="text1"/>
          <w:sz w:val="24"/>
          <w:szCs w:val="24"/>
          <w:lang w:eastAsia="en-GB"/>
        </w:rPr>
        <w:t>,</w:t>
      </w:r>
      <w:r w:rsidR="00830FE5" w:rsidRPr="00411AE0">
        <w:rPr>
          <w:rFonts w:ascii="Garamond" w:eastAsia="Times New Roman" w:hAnsi="Garamond" w:cs="Times New Roman"/>
          <w:color w:val="000000" w:themeColor="text1"/>
          <w:sz w:val="24"/>
          <w:szCs w:val="24"/>
          <w:lang w:eastAsia="en-GB"/>
        </w:rPr>
        <w:t xml:space="preserve"> </w:t>
      </w:r>
      <w:r w:rsidR="001E105F" w:rsidRPr="00411AE0">
        <w:rPr>
          <w:rFonts w:ascii="Garamond" w:eastAsia="Times New Roman" w:hAnsi="Garamond" w:cs="Times New Roman"/>
          <w:color w:val="000000" w:themeColor="text1"/>
          <w:sz w:val="24"/>
          <w:szCs w:val="24"/>
          <w:lang w:eastAsia="en-GB"/>
        </w:rPr>
        <w:t xml:space="preserve">but </w:t>
      </w:r>
      <w:r w:rsidR="006A7AF0" w:rsidRPr="00411AE0">
        <w:rPr>
          <w:rFonts w:ascii="Garamond" w:eastAsia="Times New Roman" w:hAnsi="Garamond" w:cs="Times New Roman"/>
          <w:color w:val="000000" w:themeColor="text1"/>
          <w:sz w:val="24"/>
          <w:szCs w:val="24"/>
          <w:lang w:eastAsia="en-GB"/>
        </w:rPr>
        <w:t xml:space="preserve">we </w:t>
      </w:r>
      <w:r w:rsidR="001E105F" w:rsidRPr="00411AE0">
        <w:rPr>
          <w:rFonts w:ascii="Garamond" w:eastAsia="Times New Roman" w:hAnsi="Garamond" w:cs="Times New Roman"/>
          <w:color w:val="000000" w:themeColor="text1"/>
          <w:sz w:val="24"/>
          <w:szCs w:val="24"/>
          <w:lang w:eastAsia="en-GB"/>
        </w:rPr>
        <w:t xml:space="preserve">now </w:t>
      </w:r>
      <w:r w:rsidR="00830FE5" w:rsidRPr="00411AE0">
        <w:rPr>
          <w:rFonts w:ascii="Garamond" w:eastAsia="Times New Roman" w:hAnsi="Garamond" w:cs="Times New Roman"/>
          <w:color w:val="000000" w:themeColor="text1"/>
          <w:sz w:val="24"/>
          <w:szCs w:val="24"/>
          <w:lang w:eastAsia="en-GB"/>
        </w:rPr>
        <w:t xml:space="preserve">turn to </w:t>
      </w:r>
      <w:r w:rsidR="008B7409" w:rsidRPr="00411AE0">
        <w:rPr>
          <w:rFonts w:ascii="Garamond" w:eastAsia="Times New Roman" w:hAnsi="Garamond" w:cs="Times New Roman"/>
          <w:color w:val="000000" w:themeColor="text1"/>
          <w:sz w:val="24"/>
          <w:szCs w:val="24"/>
          <w:lang w:eastAsia="en-GB"/>
        </w:rPr>
        <w:t>introduce</w:t>
      </w:r>
      <w:r w:rsidR="005D10B0" w:rsidRPr="00411AE0">
        <w:rPr>
          <w:rFonts w:ascii="Garamond" w:eastAsia="Times New Roman" w:hAnsi="Garamond" w:cs="Times New Roman"/>
          <w:color w:val="000000" w:themeColor="text1"/>
          <w:sz w:val="24"/>
          <w:szCs w:val="24"/>
          <w:lang w:eastAsia="en-GB"/>
        </w:rPr>
        <w:t xml:space="preserve"> in a little more depth</w:t>
      </w:r>
      <w:r w:rsidR="00830FE5" w:rsidRPr="00411AE0">
        <w:rPr>
          <w:rFonts w:ascii="Garamond" w:eastAsia="Times New Roman" w:hAnsi="Garamond" w:cs="Times New Roman"/>
          <w:color w:val="000000" w:themeColor="text1"/>
          <w:sz w:val="24"/>
          <w:szCs w:val="24"/>
          <w:lang w:eastAsia="en-GB"/>
        </w:rPr>
        <w:t xml:space="preserve"> the role</w:t>
      </w:r>
      <w:r w:rsidR="002509D4">
        <w:rPr>
          <w:rFonts w:ascii="Garamond" w:eastAsia="Times New Roman" w:hAnsi="Garamond" w:cs="Times New Roman"/>
          <w:color w:val="000000" w:themeColor="text1"/>
          <w:sz w:val="24"/>
          <w:szCs w:val="24"/>
          <w:lang w:eastAsia="en-GB"/>
        </w:rPr>
        <w:t xml:space="preserve"> and ideological structure</w:t>
      </w:r>
      <w:r w:rsidR="00830FE5" w:rsidRPr="00411AE0">
        <w:rPr>
          <w:rFonts w:ascii="Garamond" w:eastAsia="Times New Roman" w:hAnsi="Garamond" w:cs="Times New Roman"/>
          <w:color w:val="000000" w:themeColor="text1"/>
          <w:sz w:val="24"/>
          <w:szCs w:val="24"/>
          <w:lang w:eastAsia="en-GB"/>
        </w:rPr>
        <w:t xml:space="preserve"> of the form of law’s persons—including law’s ‘human’ persons—in the dynamics of privilege and predation at issue in the neoliberal global order.</w:t>
      </w:r>
    </w:p>
    <w:p w14:paraId="1E8849D3" w14:textId="5A022E49" w:rsidR="00D178E2" w:rsidRPr="00411AE0" w:rsidRDefault="001E105F" w:rsidP="00DB4D50">
      <w:pPr>
        <w:spacing w:after="0" w:line="240" w:lineRule="auto"/>
        <w:rPr>
          <w:rFonts w:ascii="Garamond" w:eastAsia="Times New Roman" w:hAnsi="Garamond" w:cs="Times New Roman"/>
          <w:b/>
          <w:i/>
          <w:color w:val="000000" w:themeColor="text1"/>
          <w:sz w:val="24"/>
          <w:szCs w:val="24"/>
          <w:lang w:eastAsia="en-GB"/>
        </w:rPr>
      </w:pPr>
      <w:r w:rsidRPr="00411AE0">
        <w:rPr>
          <w:rFonts w:ascii="Garamond" w:eastAsia="Times New Roman" w:hAnsi="Garamond" w:cs="Times New Roman"/>
          <w:color w:val="000000" w:themeColor="text1"/>
          <w:sz w:val="24"/>
          <w:szCs w:val="24"/>
          <w:lang w:eastAsia="en-GB"/>
        </w:rPr>
        <w:tab/>
      </w:r>
    </w:p>
    <w:p w14:paraId="37EF14C7" w14:textId="47A3E23C" w:rsidR="009062D8" w:rsidRPr="008F6FB5" w:rsidRDefault="00E2040C" w:rsidP="00DB4D50">
      <w:pPr>
        <w:spacing w:after="0" w:line="240" w:lineRule="auto"/>
        <w:rPr>
          <w:rFonts w:ascii="Garamond" w:eastAsia="Times New Roman" w:hAnsi="Garamond" w:cs="Times New Roman"/>
          <w:b/>
          <w:color w:val="000000" w:themeColor="text1"/>
          <w:sz w:val="24"/>
          <w:szCs w:val="24"/>
          <w:lang w:eastAsia="en-GB"/>
        </w:rPr>
      </w:pPr>
      <w:r w:rsidRPr="008F6FB5">
        <w:rPr>
          <w:rFonts w:ascii="Garamond" w:eastAsia="Times New Roman" w:hAnsi="Garamond" w:cs="Times New Roman"/>
          <w:b/>
          <w:color w:val="000000" w:themeColor="text1"/>
          <w:sz w:val="24"/>
          <w:szCs w:val="24"/>
          <w:lang w:eastAsia="en-GB"/>
        </w:rPr>
        <w:t xml:space="preserve">3a </w:t>
      </w:r>
      <w:r w:rsidR="00830FE5" w:rsidRPr="008F6FB5">
        <w:rPr>
          <w:rFonts w:ascii="Garamond" w:eastAsia="Times New Roman" w:hAnsi="Garamond" w:cs="Times New Roman"/>
          <w:b/>
          <w:color w:val="000000" w:themeColor="text1"/>
          <w:sz w:val="24"/>
          <w:szCs w:val="24"/>
          <w:lang w:eastAsia="en-GB"/>
        </w:rPr>
        <w:t>‘Persons’, property and exclusion</w:t>
      </w:r>
    </w:p>
    <w:p w14:paraId="56BF49A2" w14:textId="377676B7" w:rsidR="00830FE5" w:rsidRPr="00411AE0" w:rsidRDefault="00830FE5" w:rsidP="001E47C3">
      <w:pPr>
        <w:spacing w:after="0" w:line="240" w:lineRule="auto"/>
        <w:rPr>
          <w:rFonts w:ascii="Garamond" w:eastAsia="Times New Roman" w:hAnsi="Garamond" w:cs="Times New Roman"/>
          <w:color w:val="000000" w:themeColor="text1"/>
          <w:sz w:val="24"/>
          <w:szCs w:val="24"/>
          <w:lang w:eastAsia="en-GB"/>
        </w:rPr>
      </w:pPr>
      <w:r w:rsidRPr="00411AE0">
        <w:rPr>
          <w:rFonts w:ascii="Garamond" w:eastAsia="Times New Roman" w:hAnsi="Garamond" w:cs="Times New Roman"/>
          <w:color w:val="000000" w:themeColor="text1"/>
          <w:sz w:val="24"/>
          <w:szCs w:val="24"/>
          <w:lang w:eastAsia="en-GB"/>
        </w:rPr>
        <w:t xml:space="preserve">The construct of the ‘person’ has always performed a political function, and has been deployed in </w:t>
      </w:r>
      <w:r w:rsidR="00507806" w:rsidRPr="00411AE0">
        <w:rPr>
          <w:rFonts w:ascii="Garamond" w:eastAsia="Times New Roman" w:hAnsi="Garamond" w:cs="Times New Roman"/>
          <w:color w:val="000000" w:themeColor="text1"/>
          <w:sz w:val="24"/>
          <w:szCs w:val="24"/>
          <w:lang w:eastAsia="en-GB"/>
        </w:rPr>
        <w:t xml:space="preserve">Eurocentric </w:t>
      </w:r>
      <w:r w:rsidRPr="00411AE0">
        <w:rPr>
          <w:rFonts w:ascii="Garamond" w:eastAsia="Times New Roman" w:hAnsi="Garamond" w:cs="Times New Roman"/>
          <w:color w:val="000000" w:themeColor="text1"/>
          <w:sz w:val="24"/>
          <w:szCs w:val="24"/>
          <w:lang w:eastAsia="en-GB"/>
        </w:rPr>
        <w:t xml:space="preserve">philosophy, ethics and law to denote beings or entities considered worthy of moral and/or legal concern, to the (admittedly complex) exclusion of others. </w:t>
      </w:r>
      <w:r w:rsidR="00C80ACA">
        <w:rPr>
          <w:rFonts w:ascii="Garamond" w:eastAsia="Times New Roman" w:hAnsi="Garamond" w:cs="Times New Roman"/>
          <w:color w:val="000000" w:themeColor="text1"/>
          <w:sz w:val="24"/>
          <w:szCs w:val="24"/>
          <w:lang w:eastAsia="en-GB"/>
        </w:rPr>
        <w:t>While s</w:t>
      </w:r>
      <w:r w:rsidRPr="00411AE0">
        <w:rPr>
          <w:rFonts w:ascii="Garamond" w:eastAsia="Times New Roman" w:hAnsi="Garamond" w:cs="Times New Roman"/>
          <w:color w:val="000000" w:themeColor="text1"/>
          <w:sz w:val="24"/>
          <w:szCs w:val="24"/>
          <w:lang w:eastAsia="en-GB"/>
        </w:rPr>
        <w:t xml:space="preserve">tructurally, ‘law’s person’ is analytically co-constitutive with the attribution of </w:t>
      </w:r>
      <w:r w:rsidR="007A14CB" w:rsidRPr="00411AE0">
        <w:rPr>
          <w:rFonts w:ascii="Garamond" w:eastAsia="Times New Roman" w:hAnsi="Garamond" w:cs="Times New Roman"/>
          <w:color w:val="000000" w:themeColor="text1"/>
          <w:sz w:val="24"/>
          <w:szCs w:val="24"/>
          <w:lang w:eastAsia="en-GB"/>
        </w:rPr>
        <w:t xml:space="preserve">legal </w:t>
      </w:r>
      <w:r w:rsidRPr="00411AE0">
        <w:rPr>
          <w:rFonts w:ascii="Garamond" w:eastAsia="Times New Roman" w:hAnsi="Garamond" w:cs="Times New Roman"/>
          <w:color w:val="000000" w:themeColor="text1"/>
          <w:sz w:val="24"/>
          <w:szCs w:val="24"/>
          <w:lang w:eastAsia="en-GB"/>
        </w:rPr>
        <w:t>rights</w:t>
      </w:r>
      <w:r w:rsidR="00C80ACA">
        <w:rPr>
          <w:rFonts w:ascii="Garamond" w:eastAsia="Times New Roman" w:hAnsi="Garamond" w:cs="Times New Roman"/>
          <w:color w:val="000000" w:themeColor="text1"/>
          <w:sz w:val="24"/>
          <w:szCs w:val="24"/>
          <w:lang w:eastAsia="en-GB"/>
        </w:rPr>
        <w:t>,</w:t>
      </w:r>
      <w:r w:rsidRPr="00411AE0">
        <w:rPr>
          <w:rStyle w:val="FootnoteReference"/>
          <w:rFonts w:ascii="Garamond" w:eastAsia="Times New Roman" w:hAnsi="Garamond" w:cs="Times New Roman"/>
          <w:color w:val="000000" w:themeColor="text1"/>
          <w:sz w:val="24"/>
          <w:szCs w:val="24"/>
          <w:lang w:eastAsia="en-GB"/>
        </w:rPr>
        <w:footnoteReference w:id="99"/>
      </w:r>
      <w:r w:rsidR="00C80ACA">
        <w:rPr>
          <w:rFonts w:ascii="Garamond" w:eastAsia="Times New Roman" w:hAnsi="Garamond" w:cs="Times New Roman"/>
          <w:color w:val="000000" w:themeColor="text1"/>
          <w:sz w:val="24"/>
          <w:szCs w:val="24"/>
          <w:lang w:eastAsia="en-GB"/>
        </w:rPr>
        <w:t xml:space="preserve"> r</w:t>
      </w:r>
      <w:r w:rsidRPr="00411AE0">
        <w:rPr>
          <w:rFonts w:ascii="Garamond" w:eastAsia="Times New Roman" w:hAnsi="Garamond" w:cs="Times New Roman"/>
          <w:color w:val="000000" w:themeColor="text1"/>
          <w:sz w:val="24"/>
          <w:szCs w:val="24"/>
          <w:lang w:eastAsia="en-GB"/>
        </w:rPr>
        <w:t>ights—including rights as politico-moral claims—</w:t>
      </w:r>
      <w:r w:rsidR="00D84FB3" w:rsidRPr="00411AE0">
        <w:rPr>
          <w:rFonts w:ascii="Garamond" w:eastAsia="Times New Roman" w:hAnsi="Garamond" w:cs="Times New Roman"/>
          <w:color w:val="000000" w:themeColor="text1"/>
          <w:sz w:val="24"/>
          <w:szCs w:val="24"/>
          <w:lang w:eastAsia="en-GB"/>
        </w:rPr>
        <w:t xml:space="preserve">have </w:t>
      </w:r>
      <w:r w:rsidR="00140D7F">
        <w:rPr>
          <w:rFonts w:ascii="Garamond" w:eastAsia="Times New Roman" w:hAnsi="Garamond" w:cs="Times New Roman"/>
          <w:color w:val="000000" w:themeColor="text1"/>
          <w:sz w:val="24"/>
          <w:szCs w:val="24"/>
          <w:lang w:eastAsia="en-GB"/>
        </w:rPr>
        <w:t xml:space="preserve">always </w:t>
      </w:r>
      <w:r w:rsidRPr="00411AE0">
        <w:rPr>
          <w:rFonts w:ascii="Garamond" w:eastAsia="Times New Roman" w:hAnsi="Garamond" w:cs="Times New Roman"/>
          <w:color w:val="000000" w:themeColor="text1"/>
          <w:sz w:val="24"/>
          <w:szCs w:val="24"/>
          <w:lang w:eastAsia="en-GB"/>
        </w:rPr>
        <w:t>historically tended</w:t>
      </w:r>
      <w:r w:rsidR="00D84FB3"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to privilege propertied elite</w:t>
      </w:r>
      <w:r w:rsidR="00D84FB3" w:rsidRPr="00411AE0">
        <w:rPr>
          <w:rFonts w:ascii="Garamond" w:eastAsia="Times New Roman" w:hAnsi="Garamond" w:cs="Times New Roman"/>
          <w:color w:val="000000" w:themeColor="text1"/>
          <w:sz w:val="24"/>
          <w:szCs w:val="24"/>
          <w:lang w:eastAsia="en-GB"/>
        </w:rPr>
        <w:t>s</w:t>
      </w:r>
      <w:r w:rsidRPr="00411AE0">
        <w:rPr>
          <w:rStyle w:val="FootnoteReference"/>
          <w:rFonts w:ascii="Garamond" w:eastAsia="Times New Roman" w:hAnsi="Garamond" w:cs="Times New Roman"/>
          <w:color w:val="000000" w:themeColor="text1"/>
          <w:sz w:val="24"/>
          <w:szCs w:val="24"/>
          <w:lang w:eastAsia="en-GB"/>
        </w:rPr>
        <w:footnoteReference w:id="100"/>
      </w:r>
      <w:r w:rsidR="00140D7F">
        <w:rPr>
          <w:rFonts w:ascii="Garamond" w:eastAsia="Times New Roman" w:hAnsi="Garamond" w:cs="Times New Roman"/>
          <w:color w:val="000000" w:themeColor="text1"/>
          <w:sz w:val="24"/>
          <w:szCs w:val="24"/>
          <w:lang w:eastAsia="en-GB"/>
        </w:rPr>
        <w:t>—a fact underlining the importance of retaining a certain wariness when brandishing the meta-ethical appeal of claims to rights and personhood.</w:t>
      </w:r>
      <w:r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br/>
      </w:r>
      <w:r w:rsidRPr="00411AE0">
        <w:rPr>
          <w:rFonts w:ascii="Garamond" w:eastAsia="Times New Roman" w:hAnsi="Garamond" w:cs="Times New Roman"/>
          <w:color w:val="000000" w:themeColor="text1"/>
          <w:sz w:val="24"/>
          <w:szCs w:val="24"/>
          <w:lang w:eastAsia="en-GB"/>
        </w:rPr>
        <w:tab/>
        <w:t xml:space="preserve">The long history of </w:t>
      </w:r>
      <w:r w:rsidR="00D84FB3" w:rsidRPr="00411AE0">
        <w:rPr>
          <w:rFonts w:ascii="Garamond" w:eastAsia="Times New Roman" w:hAnsi="Garamond" w:cs="Times New Roman"/>
          <w:color w:val="000000" w:themeColor="text1"/>
          <w:sz w:val="24"/>
          <w:szCs w:val="24"/>
          <w:lang w:eastAsia="en-GB"/>
        </w:rPr>
        <w:t xml:space="preserve">struggles for </w:t>
      </w:r>
      <w:r w:rsidRPr="00411AE0">
        <w:rPr>
          <w:rFonts w:ascii="Garamond" w:eastAsia="Times New Roman" w:hAnsi="Garamond" w:cs="Times New Roman"/>
          <w:color w:val="000000" w:themeColor="text1"/>
          <w:sz w:val="24"/>
          <w:szCs w:val="24"/>
          <w:lang w:eastAsia="en-GB"/>
        </w:rPr>
        <w:t xml:space="preserve">legal recognition </w:t>
      </w:r>
      <w:r w:rsidR="00D97AC0" w:rsidRPr="00411AE0">
        <w:rPr>
          <w:rFonts w:ascii="Garamond" w:eastAsia="Times New Roman" w:hAnsi="Garamond" w:cs="Times New Roman"/>
          <w:color w:val="000000" w:themeColor="text1"/>
          <w:sz w:val="24"/>
          <w:szCs w:val="24"/>
          <w:lang w:eastAsia="en-GB"/>
        </w:rPr>
        <w:t xml:space="preserve">by marginalised human groups </w:t>
      </w:r>
      <w:r w:rsidRPr="00411AE0">
        <w:rPr>
          <w:rFonts w:ascii="Garamond" w:eastAsia="Times New Roman" w:hAnsi="Garamond" w:cs="Times New Roman"/>
          <w:color w:val="000000" w:themeColor="text1"/>
          <w:sz w:val="24"/>
          <w:szCs w:val="24"/>
          <w:lang w:eastAsia="en-GB"/>
        </w:rPr>
        <w:t xml:space="preserve">reveals </w:t>
      </w:r>
      <w:r w:rsidR="00D96C07">
        <w:rPr>
          <w:rFonts w:ascii="Garamond" w:eastAsia="Times New Roman" w:hAnsi="Garamond" w:cs="Times New Roman"/>
          <w:color w:val="000000" w:themeColor="text1"/>
          <w:sz w:val="24"/>
          <w:szCs w:val="24"/>
          <w:lang w:eastAsia="en-GB"/>
        </w:rPr>
        <w:t>the degree to which</w:t>
      </w:r>
      <w:r w:rsidR="00D96C07"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 xml:space="preserve">rights and personhood were </w:t>
      </w:r>
      <w:r w:rsidR="008D6703" w:rsidRPr="00411AE0">
        <w:rPr>
          <w:rFonts w:ascii="Garamond" w:eastAsia="Times New Roman" w:hAnsi="Garamond" w:cs="Times New Roman"/>
          <w:color w:val="000000" w:themeColor="text1"/>
          <w:sz w:val="24"/>
          <w:szCs w:val="24"/>
          <w:lang w:eastAsia="en-GB"/>
        </w:rPr>
        <w:t>always</w:t>
      </w:r>
      <w:r w:rsidRPr="00411AE0">
        <w:rPr>
          <w:rFonts w:ascii="Garamond" w:eastAsia="Times New Roman" w:hAnsi="Garamond" w:cs="Times New Roman"/>
          <w:color w:val="000000" w:themeColor="text1"/>
          <w:sz w:val="24"/>
          <w:szCs w:val="24"/>
          <w:lang w:eastAsia="en-GB"/>
        </w:rPr>
        <w:t xml:space="preserve"> reluctantly </w:t>
      </w:r>
      <w:r w:rsidR="005A4A9C">
        <w:rPr>
          <w:rFonts w:ascii="Garamond" w:eastAsia="Times New Roman" w:hAnsi="Garamond" w:cs="Times New Roman"/>
          <w:color w:val="000000" w:themeColor="text1"/>
          <w:sz w:val="24"/>
          <w:szCs w:val="24"/>
          <w:lang w:eastAsia="en-GB"/>
        </w:rPr>
        <w:t xml:space="preserve">and incompletely </w:t>
      </w:r>
      <w:r w:rsidR="008D6703" w:rsidRPr="00411AE0">
        <w:rPr>
          <w:rFonts w:ascii="Garamond" w:eastAsia="Times New Roman" w:hAnsi="Garamond" w:cs="Times New Roman"/>
          <w:color w:val="000000" w:themeColor="text1"/>
          <w:sz w:val="24"/>
          <w:szCs w:val="24"/>
          <w:lang w:eastAsia="en-GB"/>
        </w:rPr>
        <w:t>conceded</w:t>
      </w:r>
      <w:r w:rsidRPr="00411AE0">
        <w:rPr>
          <w:rFonts w:ascii="Garamond" w:eastAsia="Times New Roman" w:hAnsi="Garamond" w:cs="Times New Roman"/>
          <w:color w:val="000000" w:themeColor="text1"/>
          <w:sz w:val="24"/>
          <w:szCs w:val="24"/>
          <w:lang w:eastAsia="en-GB"/>
        </w:rPr>
        <w:t>.</w:t>
      </w:r>
      <w:r w:rsidRPr="00411AE0">
        <w:rPr>
          <w:rStyle w:val="FootnoteReference"/>
          <w:rFonts w:ascii="Garamond" w:eastAsia="Times New Roman" w:hAnsi="Garamond" w:cs="Times New Roman"/>
          <w:color w:val="000000" w:themeColor="text1"/>
          <w:sz w:val="24"/>
          <w:szCs w:val="24"/>
          <w:lang w:eastAsia="en-GB"/>
        </w:rPr>
        <w:footnoteReference w:id="101"/>
      </w:r>
      <w:r w:rsidR="005F6F8B"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lastRenderedPageBreak/>
        <w:t>A wide range of critical scholarship exposes the fact that the gradual historical expansion of the legal categories of rights-bearers carries with it a</w:t>
      </w:r>
      <w:r w:rsidR="00D24B4E">
        <w:rPr>
          <w:rFonts w:ascii="Garamond" w:eastAsia="Times New Roman" w:hAnsi="Garamond" w:cs="Times New Roman"/>
          <w:color w:val="000000" w:themeColor="text1"/>
          <w:sz w:val="24"/>
          <w:szCs w:val="24"/>
          <w:lang w:eastAsia="en-GB"/>
        </w:rPr>
        <w:t>n entirely</w:t>
      </w:r>
      <w:r w:rsidRPr="00411AE0">
        <w:rPr>
          <w:rFonts w:ascii="Garamond" w:eastAsia="Times New Roman" w:hAnsi="Garamond" w:cs="Times New Roman"/>
          <w:color w:val="000000" w:themeColor="text1"/>
          <w:sz w:val="24"/>
          <w:szCs w:val="24"/>
          <w:lang w:eastAsia="en-GB"/>
        </w:rPr>
        <w:t xml:space="preserve"> predictable set of marginalisations.</w:t>
      </w:r>
      <w:r w:rsidRPr="00411AE0">
        <w:rPr>
          <w:rStyle w:val="FootnoteReference"/>
          <w:rFonts w:ascii="Garamond" w:eastAsia="Times New Roman" w:hAnsi="Garamond" w:cs="Times New Roman"/>
          <w:color w:val="000000" w:themeColor="text1"/>
          <w:sz w:val="24"/>
          <w:szCs w:val="24"/>
          <w:lang w:eastAsia="en-GB"/>
        </w:rPr>
        <w:footnoteReference w:id="102"/>
      </w:r>
      <w:r w:rsidRPr="00411AE0">
        <w:rPr>
          <w:rFonts w:ascii="Garamond" w:eastAsia="Times New Roman" w:hAnsi="Garamond" w:cs="Times New Roman"/>
          <w:color w:val="000000" w:themeColor="text1"/>
          <w:sz w:val="24"/>
          <w:szCs w:val="24"/>
          <w:lang w:eastAsia="en-GB"/>
        </w:rPr>
        <w:t xml:space="preserve"> And while contemporary marginalised human subjects (women, children, indigenous</w:t>
      </w:r>
      <w:r w:rsidR="000605AE">
        <w:rPr>
          <w:rFonts w:ascii="Garamond" w:eastAsia="Times New Roman" w:hAnsi="Garamond" w:cs="Times New Roman"/>
          <w:color w:val="000000" w:themeColor="text1"/>
          <w:sz w:val="24"/>
          <w:szCs w:val="24"/>
          <w:lang w:eastAsia="en-GB"/>
        </w:rPr>
        <w:t xml:space="preserve"> people</w:t>
      </w:r>
      <w:r w:rsidR="00C66F1B">
        <w:rPr>
          <w:rFonts w:ascii="Garamond" w:eastAsia="Times New Roman" w:hAnsi="Garamond" w:cs="Times New Roman"/>
          <w:color w:val="000000" w:themeColor="text1"/>
          <w:sz w:val="24"/>
          <w:szCs w:val="24"/>
          <w:lang w:eastAsia="en-GB"/>
        </w:rPr>
        <w:t>, refuge</w:t>
      </w:r>
      <w:r w:rsidR="001F3D28">
        <w:rPr>
          <w:rFonts w:ascii="Garamond" w:eastAsia="Times New Roman" w:hAnsi="Garamond" w:cs="Times New Roman"/>
          <w:color w:val="000000" w:themeColor="text1"/>
          <w:sz w:val="24"/>
          <w:szCs w:val="24"/>
          <w:lang w:eastAsia="en-GB"/>
        </w:rPr>
        <w:t>e</w:t>
      </w:r>
      <w:r w:rsidR="00C66F1B">
        <w:rPr>
          <w:rFonts w:ascii="Garamond" w:eastAsia="Times New Roman" w:hAnsi="Garamond" w:cs="Times New Roman"/>
          <w:color w:val="000000" w:themeColor="text1"/>
          <w:sz w:val="24"/>
          <w:szCs w:val="24"/>
          <w:lang w:eastAsia="en-GB"/>
        </w:rPr>
        <w:t>s, climate migrants</w:t>
      </w:r>
      <w:r w:rsidRPr="00411AE0">
        <w:rPr>
          <w:rFonts w:ascii="Garamond" w:eastAsia="Times New Roman" w:hAnsi="Garamond" w:cs="Times New Roman"/>
          <w:color w:val="000000" w:themeColor="text1"/>
          <w:sz w:val="24"/>
          <w:szCs w:val="24"/>
          <w:lang w:eastAsia="en-GB"/>
        </w:rPr>
        <w:t xml:space="preserve"> etc.) stand in more complex relation to law’s inclusion, </w:t>
      </w:r>
      <w:r w:rsidR="008E1308">
        <w:rPr>
          <w:rFonts w:ascii="Garamond" w:eastAsia="Times New Roman" w:hAnsi="Garamond" w:cs="Times New Roman"/>
          <w:color w:val="000000" w:themeColor="text1"/>
          <w:sz w:val="24"/>
          <w:szCs w:val="24"/>
          <w:lang w:eastAsia="en-GB"/>
        </w:rPr>
        <w:t xml:space="preserve">neither the universal human of human rights, nor </w:t>
      </w:r>
      <w:r w:rsidRPr="00411AE0">
        <w:rPr>
          <w:rFonts w:ascii="Garamond" w:eastAsia="Times New Roman" w:hAnsi="Garamond" w:cs="Times New Roman"/>
          <w:color w:val="000000" w:themeColor="text1"/>
          <w:sz w:val="24"/>
          <w:szCs w:val="24"/>
          <w:lang w:eastAsia="en-GB"/>
        </w:rPr>
        <w:t>the legal person</w:t>
      </w:r>
      <w:r w:rsidR="008E1308">
        <w:rPr>
          <w:rFonts w:ascii="Garamond" w:eastAsia="Times New Roman" w:hAnsi="Garamond" w:cs="Times New Roman"/>
          <w:color w:val="000000" w:themeColor="text1"/>
          <w:sz w:val="24"/>
          <w:szCs w:val="24"/>
          <w:lang w:eastAsia="en-GB"/>
        </w:rPr>
        <w:t>,</w:t>
      </w:r>
      <w:r w:rsidRPr="00411AE0">
        <w:rPr>
          <w:rFonts w:ascii="Garamond" w:eastAsia="Times New Roman" w:hAnsi="Garamond" w:cs="Times New Roman"/>
          <w:color w:val="000000" w:themeColor="text1"/>
          <w:sz w:val="24"/>
          <w:szCs w:val="24"/>
          <w:lang w:eastAsia="en-GB"/>
        </w:rPr>
        <w:t xml:space="preserve"> </w:t>
      </w:r>
      <w:r w:rsidR="00EC14AD">
        <w:rPr>
          <w:rFonts w:ascii="Garamond" w:eastAsia="Times New Roman" w:hAnsi="Garamond" w:cs="Times New Roman"/>
          <w:color w:val="000000" w:themeColor="text1"/>
          <w:sz w:val="24"/>
          <w:szCs w:val="24"/>
          <w:lang w:eastAsia="en-GB"/>
        </w:rPr>
        <w:t>have ever</w:t>
      </w:r>
      <w:r w:rsidRPr="00411AE0">
        <w:rPr>
          <w:rFonts w:ascii="Garamond" w:eastAsia="Times New Roman" w:hAnsi="Garamond" w:cs="Times New Roman"/>
          <w:color w:val="000000" w:themeColor="text1"/>
          <w:sz w:val="24"/>
          <w:szCs w:val="24"/>
          <w:lang w:eastAsia="en-GB"/>
        </w:rPr>
        <w:t xml:space="preserve"> cast off </w:t>
      </w:r>
      <w:r w:rsidR="00EC14AD">
        <w:rPr>
          <w:rFonts w:ascii="Garamond" w:eastAsia="Times New Roman" w:hAnsi="Garamond" w:cs="Times New Roman"/>
          <w:color w:val="000000" w:themeColor="text1"/>
          <w:sz w:val="24"/>
          <w:szCs w:val="24"/>
          <w:lang w:eastAsia="en-GB"/>
        </w:rPr>
        <w:t xml:space="preserve">a </w:t>
      </w:r>
      <w:r w:rsidRPr="00411AE0">
        <w:rPr>
          <w:rFonts w:ascii="Garamond" w:eastAsia="Times New Roman" w:hAnsi="Garamond" w:cs="Times New Roman"/>
          <w:color w:val="000000" w:themeColor="text1"/>
          <w:sz w:val="24"/>
          <w:szCs w:val="24"/>
          <w:lang w:eastAsia="en-GB"/>
        </w:rPr>
        <w:t xml:space="preserve">centripetal </w:t>
      </w:r>
      <w:r w:rsidR="00255D64" w:rsidRPr="00411AE0">
        <w:rPr>
          <w:rFonts w:ascii="Garamond" w:eastAsia="Times New Roman" w:hAnsi="Garamond" w:cs="Times New Roman"/>
          <w:color w:val="000000" w:themeColor="text1"/>
          <w:sz w:val="24"/>
          <w:szCs w:val="24"/>
          <w:lang w:eastAsia="en-GB"/>
        </w:rPr>
        <w:t>tendency</w:t>
      </w:r>
      <w:r w:rsidRPr="00411AE0">
        <w:rPr>
          <w:rFonts w:ascii="Garamond" w:eastAsia="Times New Roman" w:hAnsi="Garamond" w:cs="Times New Roman"/>
          <w:color w:val="000000" w:themeColor="text1"/>
          <w:sz w:val="24"/>
          <w:szCs w:val="24"/>
          <w:lang w:eastAsia="en-GB"/>
        </w:rPr>
        <w:t xml:space="preserve"> towards </w:t>
      </w:r>
      <w:r w:rsidR="002B0ED9" w:rsidRPr="00411AE0">
        <w:rPr>
          <w:rFonts w:ascii="Garamond" w:eastAsia="Times New Roman" w:hAnsi="Garamond" w:cs="Times New Roman"/>
          <w:color w:val="000000" w:themeColor="text1"/>
          <w:sz w:val="24"/>
          <w:szCs w:val="24"/>
          <w:lang w:eastAsia="en-GB"/>
        </w:rPr>
        <w:t xml:space="preserve">an intrinsically Eurocentric construct </w:t>
      </w:r>
      <w:r w:rsidRPr="00411AE0">
        <w:rPr>
          <w:rFonts w:ascii="Garamond" w:eastAsia="Times New Roman" w:hAnsi="Garamond" w:cs="Times New Roman"/>
          <w:color w:val="000000" w:themeColor="text1"/>
          <w:sz w:val="24"/>
          <w:szCs w:val="24"/>
          <w:lang w:eastAsia="en-GB"/>
        </w:rPr>
        <w:t xml:space="preserve">prioritising the putatively rational, property owning, </w:t>
      </w:r>
      <w:r w:rsidR="002B0ED9" w:rsidRPr="00411AE0">
        <w:rPr>
          <w:rFonts w:ascii="Garamond" w:eastAsia="Times New Roman" w:hAnsi="Garamond" w:cs="Times New Roman"/>
          <w:color w:val="000000" w:themeColor="text1"/>
          <w:sz w:val="24"/>
          <w:szCs w:val="24"/>
          <w:lang w:eastAsia="en-GB"/>
        </w:rPr>
        <w:t>white</w:t>
      </w:r>
      <w:r w:rsidRPr="00411AE0">
        <w:rPr>
          <w:rFonts w:ascii="Garamond" w:eastAsia="Times New Roman" w:hAnsi="Garamond" w:cs="Times New Roman"/>
          <w:color w:val="000000" w:themeColor="text1"/>
          <w:sz w:val="24"/>
          <w:szCs w:val="24"/>
          <w:lang w:eastAsia="en-GB"/>
        </w:rPr>
        <w:t xml:space="preserve"> male. </w:t>
      </w:r>
      <w:r w:rsidR="00785BC8">
        <w:rPr>
          <w:rFonts w:ascii="Garamond" w:eastAsia="Times New Roman" w:hAnsi="Garamond" w:cs="Times New Roman"/>
          <w:color w:val="000000" w:themeColor="text1"/>
          <w:sz w:val="24"/>
          <w:szCs w:val="24"/>
          <w:lang w:eastAsia="en-GB"/>
        </w:rPr>
        <w:t>Such a centripetal tendency is evident in the fact that all</w:t>
      </w:r>
      <w:r w:rsidR="00785BC8"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‘others’ to this trope—including indigenous peoples—and ‘nature’ itself—are complexly objectified, and feminised,</w:t>
      </w:r>
      <w:r w:rsidRPr="00411AE0">
        <w:rPr>
          <w:rStyle w:val="FootnoteReference"/>
          <w:rFonts w:ascii="Garamond" w:eastAsia="Times New Roman" w:hAnsi="Garamond" w:cs="Times New Roman"/>
          <w:color w:val="000000" w:themeColor="text1"/>
          <w:sz w:val="24"/>
          <w:szCs w:val="24"/>
          <w:lang w:eastAsia="en-GB"/>
        </w:rPr>
        <w:footnoteReference w:id="103"/>
      </w:r>
      <w:r w:rsidRPr="00411AE0">
        <w:rPr>
          <w:rFonts w:ascii="Garamond" w:eastAsia="Times New Roman" w:hAnsi="Garamond" w:cs="Times New Roman"/>
          <w:color w:val="000000" w:themeColor="text1"/>
          <w:sz w:val="24"/>
          <w:szCs w:val="24"/>
          <w:lang w:eastAsia="en-GB"/>
        </w:rPr>
        <w:t xml:space="preserve"> and cannot form central case instances of the human legal person.</w:t>
      </w:r>
      <w:r w:rsidRPr="00411AE0">
        <w:rPr>
          <w:rStyle w:val="FootnoteReference"/>
          <w:rFonts w:ascii="Garamond" w:eastAsia="Times New Roman" w:hAnsi="Garamond" w:cs="Times New Roman"/>
          <w:color w:val="000000" w:themeColor="text1"/>
          <w:sz w:val="24"/>
          <w:szCs w:val="24"/>
          <w:lang w:eastAsia="en-GB"/>
        </w:rPr>
        <w:footnoteReference w:id="104"/>
      </w:r>
    </w:p>
    <w:p w14:paraId="4908AB7C" w14:textId="56B51329" w:rsidR="00830FE5" w:rsidRPr="00411AE0" w:rsidRDefault="00830FE5" w:rsidP="00DB4D50">
      <w:pPr>
        <w:widowControl w:val="0"/>
        <w:autoSpaceDE w:val="0"/>
        <w:autoSpaceDN w:val="0"/>
        <w:adjustRightInd w:val="0"/>
        <w:spacing w:after="0" w:line="240" w:lineRule="auto"/>
        <w:rPr>
          <w:rFonts w:ascii="Garamond" w:hAnsi="Garamond" w:cs="Times New Roman"/>
          <w:sz w:val="24"/>
          <w:szCs w:val="24"/>
          <w:lang w:val="en-US"/>
        </w:rPr>
      </w:pPr>
      <w:r w:rsidRPr="00411AE0">
        <w:rPr>
          <w:rFonts w:ascii="Garamond" w:eastAsia="Times New Roman" w:hAnsi="Garamond" w:cs="Times New Roman"/>
          <w:color w:val="000000" w:themeColor="text1"/>
          <w:sz w:val="24"/>
          <w:szCs w:val="24"/>
          <w:lang w:eastAsia="en-GB"/>
        </w:rPr>
        <w:tab/>
      </w:r>
      <w:r w:rsidR="00FB43DD" w:rsidRPr="00411AE0">
        <w:rPr>
          <w:rFonts w:ascii="Garamond" w:eastAsia="Times New Roman" w:hAnsi="Garamond" w:cs="Times New Roman"/>
          <w:color w:val="000000" w:themeColor="text1"/>
          <w:sz w:val="24"/>
          <w:szCs w:val="24"/>
          <w:lang w:eastAsia="en-GB"/>
        </w:rPr>
        <w:t xml:space="preserve">These archetypal conceptual </w:t>
      </w:r>
      <w:r w:rsidRPr="00411AE0">
        <w:rPr>
          <w:rFonts w:ascii="Garamond" w:eastAsia="Times New Roman" w:hAnsi="Garamond" w:cs="Times New Roman"/>
          <w:color w:val="000000" w:themeColor="text1"/>
          <w:sz w:val="24"/>
          <w:szCs w:val="24"/>
          <w:lang w:eastAsia="en-GB"/>
        </w:rPr>
        <w:t>patterns</w:t>
      </w:r>
      <w:r w:rsidR="00FB43DD" w:rsidRPr="00411AE0">
        <w:rPr>
          <w:rFonts w:ascii="Garamond" w:eastAsia="Times New Roman" w:hAnsi="Garamond" w:cs="Times New Roman"/>
          <w:color w:val="000000" w:themeColor="text1"/>
          <w:sz w:val="24"/>
          <w:szCs w:val="24"/>
          <w:lang w:eastAsia="en-GB"/>
        </w:rPr>
        <w:t xml:space="preserve"> and their material expression</w:t>
      </w:r>
      <w:r w:rsidR="00ED4202">
        <w:rPr>
          <w:rFonts w:ascii="Garamond" w:eastAsia="Times New Roman" w:hAnsi="Garamond" w:cs="Times New Roman"/>
          <w:color w:val="000000" w:themeColor="text1"/>
          <w:sz w:val="24"/>
          <w:szCs w:val="24"/>
          <w:lang w:eastAsia="en-GB"/>
        </w:rPr>
        <w:t>s</w:t>
      </w:r>
      <w:r w:rsidR="00FB43DD" w:rsidRPr="00411AE0">
        <w:rPr>
          <w:rFonts w:ascii="Garamond" w:eastAsia="Times New Roman" w:hAnsi="Garamond" w:cs="Times New Roman"/>
          <w:color w:val="000000" w:themeColor="text1"/>
          <w:sz w:val="24"/>
          <w:szCs w:val="24"/>
          <w:lang w:eastAsia="en-GB"/>
        </w:rPr>
        <w:t xml:space="preserve"> of power</w:t>
      </w:r>
      <w:r w:rsidRPr="00411AE0">
        <w:rPr>
          <w:rFonts w:ascii="Garamond" w:eastAsia="Times New Roman" w:hAnsi="Garamond" w:cs="Times New Roman"/>
          <w:color w:val="000000" w:themeColor="text1"/>
          <w:sz w:val="24"/>
          <w:szCs w:val="24"/>
          <w:lang w:eastAsia="en-GB"/>
        </w:rPr>
        <w:t xml:space="preserve"> are </w:t>
      </w:r>
      <w:r w:rsidR="00B603FD" w:rsidRPr="00411AE0">
        <w:rPr>
          <w:rFonts w:ascii="Garamond" w:eastAsia="Times New Roman" w:hAnsi="Garamond" w:cs="Times New Roman"/>
          <w:color w:val="000000" w:themeColor="text1"/>
          <w:sz w:val="24"/>
          <w:szCs w:val="24"/>
          <w:lang w:eastAsia="en-GB"/>
        </w:rPr>
        <w:t xml:space="preserve">also </w:t>
      </w:r>
      <w:r w:rsidR="00FB43DD" w:rsidRPr="00411AE0">
        <w:rPr>
          <w:rFonts w:ascii="Garamond" w:eastAsia="Times New Roman" w:hAnsi="Garamond" w:cs="Times New Roman"/>
          <w:color w:val="000000" w:themeColor="text1"/>
          <w:sz w:val="24"/>
          <w:szCs w:val="24"/>
          <w:lang w:eastAsia="en-GB"/>
        </w:rPr>
        <w:t xml:space="preserve">firmly </w:t>
      </w:r>
      <w:r w:rsidR="00DB0525" w:rsidRPr="00411AE0">
        <w:rPr>
          <w:rFonts w:ascii="Garamond" w:eastAsia="Times New Roman" w:hAnsi="Garamond" w:cs="Times New Roman"/>
          <w:color w:val="000000" w:themeColor="text1"/>
          <w:sz w:val="24"/>
          <w:szCs w:val="24"/>
          <w:lang w:eastAsia="en-GB"/>
        </w:rPr>
        <w:t>embedded</w:t>
      </w:r>
      <w:r w:rsidRPr="00411AE0">
        <w:rPr>
          <w:rFonts w:ascii="Garamond" w:eastAsia="Times New Roman" w:hAnsi="Garamond" w:cs="Times New Roman"/>
          <w:color w:val="000000" w:themeColor="text1"/>
          <w:sz w:val="24"/>
          <w:szCs w:val="24"/>
          <w:lang w:eastAsia="en-GB"/>
        </w:rPr>
        <w:t xml:space="preserve"> in </w:t>
      </w:r>
      <w:r w:rsidR="00FB43DD" w:rsidRPr="00411AE0">
        <w:rPr>
          <w:rFonts w:ascii="Garamond" w:eastAsia="Times New Roman" w:hAnsi="Garamond" w:cs="Times New Roman"/>
          <w:color w:val="000000" w:themeColor="text1"/>
          <w:sz w:val="24"/>
          <w:szCs w:val="24"/>
          <w:lang w:eastAsia="en-GB"/>
        </w:rPr>
        <w:t xml:space="preserve">constructs of </w:t>
      </w:r>
      <w:r w:rsidRPr="00411AE0">
        <w:rPr>
          <w:rFonts w:ascii="Garamond" w:eastAsia="Times New Roman" w:hAnsi="Garamond" w:cs="Times New Roman"/>
          <w:color w:val="000000" w:themeColor="text1"/>
          <w:sz w:val="24"/>
          <w:szCs w:val="24"/>
          <w:lang w:eastAsia="en-GB"/>
        </w:rPr>
        <w:t>international legal personhood</w:t>
      </w:r>
      <w:r w:rsidR="00FB43DD" w:rsidRPr="00411AE0">
        <w:rPr>
          <w:rFonts w:ascii="Garamond" w:eastAsia="Times New Roman" w:hAnsi="Garamond" w:cs="Times New Roman"/>
          <w:color w:val="000000" w:themeColor="text1"/>
          <w:sz w:val="24"/>
          <w:szCs w:val="24"/>
          <w:lang w:eastAsia="en-GB"/>
        </w:rPr>
        <w:t>.</w:t>
      </w:r>
      <w:r w:rsidRPr="00411AE0">
        <w:rPr>
          <w:rStyle w:val="FootnoteReference"/>
          <w:rFonts w:ascii="Garamond" w:hAnsi="Garamond" w:cs="Times New Roman"/>
          <w:sz w:val="24"/>
          <w:szCs w:val="24"/>
          <w:lang w:val="en-US"/>
        </w:rPr>
        <w:footnoteReference w:id="105"/>
      </w:r>
      <w:r w:rsidR="002D4A30" w:rsidRPr="00411AE0">
        <w:rPr>
          <w:rFonts w:ascii="Garamond" w:hAnsi="Garamond" w:cs="Times New Roman"/>
          <w:sz w:val="24"/>
          <w:szCs w:val="24"/>
          <w:lang w:val="en-US"/>
        </w:rPr>
        <w:t xml:space="preserve"> </w:t>
      </w:r>
      <w:r w:rsidRPr="00411AE0">
        <w:rPr>
          <w:rFonts w:ascii="Garamond" w:hAnsi="Garamond" w:cs="Times New Roman"/>
          <w:sz w:val="24"/>
          <w:szCs w:val="24"/>
          <w:lang w:val="en-US"/>
        </w:rPr>
        <w:t>Koskenni</w:t>
      </w:r>
      <w:r w:rsidR="000605AE">
        <w:rPr>
          <w:rFonts w:ascii="Garamond" w:hAnsi="Garamond" w:cs="Times New Roman"/>
          <w:sz w:val="24"/>
          <w:szCs w:val="24"/>
          <w:lang w:val="en-US"/>
        </w:rPr>
        <w:t>e</w:t>
      </w:r>
      <w:r w:rsidRPr="00411AE0">
        <w:rPr>
          <w:rFonts w:ascii="Garamond" w:hAnsi="Garamond" w:cs="Times New Roman"/>
          <w:sz w:val="24"/>
          <w:szCs w:val="24"/>
          <w:lang w:val="en-US"/>
        </w:rPr>
        <w:t>mi</w:t>
      </w:r>
      <w:r w:rsidR="00FB43DD" w:rsidRPr="00411AE0">
        <w:rPr>
          <w:rFonts w:ascii="Garamond" w:hAnsi="Garamond" w:cs="Times New Roman"/>
          <w:sz w:val="24"/>
          <w:szCs w:val="24"/>
          <w:lang w:val="en-US"/>
        </w:rPr>
        <w:t xml:space="preserve"> </w:t>
      </w:r>
      <w:r w:rsidR="0065493D" w:rsidRPr="00411AE0">
        <w:rPr>
          <w:rFonts w:ascii="Garamond" w:hAnsi="Garamond" w:cs="Times New Roman"/>
          <w:sz w:val="24"/>
          <w:szCs w:val="24"/>
          <w:lang w:val="en-US"/>
        </w:rPr>
        <w:t>argues</w:t>
      </w:r>
      <w:r w:rsidR="00FB43DD" w:rsidRPr="00411AE0">
        <w:rPr>
          <w:rFonts w:ascii="Garamond" w:hAnsi="Garamond" w:cs="Times New Roman"/>
          <w:sz w:val="24"/>
          <w:szCs w:val="24"/>
          <w:lang w:val="en-US"/>
        </w:rPr>
        <w:t xml:space="preserve"> that </w:t>
      </w:r>
      <w:r w:rsidRPr="00411AE0">
        <w:rPr>
          <w:rFonts w:ascii="Garamond" w:hAnsi="Garamond" w:cs="Times New Roman"/>
          <w:sz w:val="24"/>
          <w:szCs w:val="24"/>
          <w:lang w:val="en-US"/>
        </w:rPr>
        <w:t>‘the international doctrine of State sovereignty bears an obvious resemblance to the domestic-liberal doctrine of individual liberty’</w:t>
      </w:r>
      <w:r w:rsidR="0065493D" w:rsidRPr="00411AE0">
        <w:rPr>
          <w:rFonts w:ascii="Garamond" w:hAnsi="Garamond" w:cs="Times New Roman"/>
          <w:sz w:val="24"/>
          <w:szCs w:val="24"/>
          <w:lang w:val="en-US"/>
        </w:rPr>
        <w:t>,</w:t>
      </w:r>
      <w:r w:rsidRPr="00411AE0">
        <w:rPr>
          <w:rStyle w:val="FootnoteReference"/>
          <w:rFonts w:ascii="Garamond" w:hAnsi="Garamond" w:cs="Times New Roman"/>
          <w:sz w:val="24"/>
          <w:szCs w:val="24"/>
          <w:lang w:val="en-US"/>
        </w:rPr>
        <w:footnoteReference w:id="106"/>
      </w:r>
      <w:r w:rsidRPr="00411AE0">
        <w:rPr>
          <w:rFonts w:ascii="Garamond" w:hAnsi="Garamond" w:cs="Times New Roman"/>
          <w:sz w:val="24"/>
          <w:szCs w:val="24"/>
          <w:lang w:val="en-US"/>
        </w:rPr>
        <w:t xml:space="preserve"> </w:t>
      </w:r>
      <w:r w:rsidR="0065493D" w:rsidRPr="00411AE0">
        <w:rPr>
          <w:rFonts w:ascii="Garamond" w:hAnsi="Garamond" w:cs="Times New Roman"/>
          <w:sz w:val="24"/>
          <w:szCs w:val="24"/>
          <w:lang w:val="en-US"/>
        </w:rPr>
        <w:t xml:space="preserve">while </w:t>
      </w:r>
      <w:r w:rsidR="0065493D" w:rsidRPr="00411AE0">
        <w:rPr>
          <w:rFonts w:ascii="Garamond" w:eastAsia="Times New Roman" w:hAnsi="Garamond" w:cs="Times New Roman"/>
          <w:color w:val="000000" w:themeColor="text1"/>
          <w:sz w:val="24"/>
          <w:szCs w:val="24"/>
          <w:lang w:eastAsia="en-GB"/>
        </w:rPr>
        <w:t>Nijman argues that the ‘</w:t>
      </w:r>
      <w:r w:rsidR="0065493D" w:rsidRPr="00411AE0">
        <w:rPr>
          <w:rFonts w:ascii="Garamond" w:hAnsi="Garamond" w:cs="Times New Roman"/>
          <w:sz w:val="24"/>
          <w:szCs w:val="24"/>
          <w:lang w:val="en-US"/>
        </w:rPr>
        <w:t>individual and the collective (e.g. the state) Self are (philosophically) intertwined [and that t]his is self-evident as the individualist, subjectivist perspective has marked the deep structure of international law’—including, of course, the structure of</w:t>
      </w:r>
      <w:r w:rsidR="008D3E3D" w:rsidRPr="00411AE0">
        <w:rPr>
          <w:rFonts w:ascii="Garamond" w:hAnsi="Garamond" w:cs="Times New Roman"/>
          <w:sz w:val="24"/>
          <w:szCs w:val="24"/>
          <w:lang w:val="en-US"/>
        </w:rPr>
        <w:t xml:space="preserve"> international legal personhood.</w:t>
      </w:r>
      <w:r w:rsidR="008D3E3D" w:rsidRPr="00411AE0">
        <w:rPr>
          <w:rStyle w:val="FootnoteReference"/>
          <w:rFonts w:ascii="Garamond" w:hAnsi="Garamond" w:cs="Times New Roman"/>
          <w:sz w:val="24"/>
          <w:szCs w:val="24"/>
          <w:lang w:val="en-US"/>
        </w:rPr>
        <w:footnoteReference w:id="107"/>
      </w:r>
      <w:r w:rsidR="0065493D" w:rsidRPr="00411AE0">
        <w:rPr>
          <w:rFonts w:ascii="Garamond" w:hAnsi="Garamond" w:cs="Times New Roman"/>
          <w:sz w:val="24"/>
          <w:szCs w:val="24"/>
          <w:lang w:val="en-US"/>
        </w:rPr>
        <w:t xml:space="preserve"> </w:t>
      </w:r>
      <w:r w:rsidR="000D0C38" w:rsidRPr="00411AE0">
        <w:rPr>
          <w:rFonts w:ascii="Garamond" w:hAnsi="Garamond" w:cs="Times New Roman"/>
          <w:sz w:val="24"/>
          <w:szCs w:val="24"/>
          <w:lang w:val="en-US"/>
        </w:rPr>
        <w:t>The state is, in many senses, the individual writ large—</w:t>
      </w:r>
      <w:r w:rsidR="005E6518">
        <w:rPr>
          <w:rFonts w:ascii="Garamond" w:hAnsi="Garamond" w:cs="Times New Roman"/>
          <w:sz w:val="24"/>
          <w:szCs w:val="24"/>
          <w:lang w:val="en-US"/>
        </w:rPr>
        <w:t>a continuity that comes</w:t>
      </w:r>
      <w:r w:rsidR="000D0C38" w:rsidRPr="00411AE0">
        <w:rPr>
          <w:rFonts w:ascii="Garamond" w:eastAsia="Times New Roman" w:hAnsi="Garamond" w:cs="Times New Roman"/>
          <w:color w:val="000000" w:themeColor="text1"/>
          <w:sz w:val="24"/>
          <w:szCs w:val="24"/>
          <w:lang w:eastAsia="en-GB"/>
        </w:rPr>
        <w:t xml:space="preserve"> as</w:t>
      </w:r>
      <w:r w:rsidRPr="00411AE0">
        <w:rPr>
          <w:rFonts w:ascii="Garamond" w:eastAsia="Times New Roman" w:hAnsi="Garamond" w:cs="Times New Roman"/>
          <w:color w:val="000000" w:themeColor="text1"/>
          <w:sz w:val="24"/>
          <w:szCs w:val="24"/>
          <w:lang w:eastAsia="en-GB"/>
        </w:rPr>
        <w:t xml:space="preserve"> no surprise</w:t>
      </w:r>
      <w:r w:rsidR="000D0C38" w:rsidRPr="00411AE0">
        <w:rPr>
          <w:rFonts w:ascii="Garamond" w:eastAsia="Times New Roman" w:hAnsi="Garamond" w:cs="Times New Roman"/>
          <w:color w:val="000000" w:themeColor="text1"/>
          <w:sz w:val="24"/>
          <w:szCs w:val="24"/>
          <w:lang w:eastAsia="en-GB"/>
        </w:rPr>
        <w:t xml:space="preserve">, notwithstanding the importance of rejecting a </w:t>
      </w:r>
      <w:r w:rsidR="001E5024" w:rsidRPr="00411AE0">
        <w:rPr>
          <w:rFonts w:ascii="Garamond" w:eastAsia="Times New Roman" w:hAnsi="Garamond" w:cs="Times New Roman"/>
          <w:color w:val="000000" w:themeColor="text1"/>
          <w:sz w:val="24"/>
          <w:szCs w:val="24"/>
          <w:lang w:eastAsia="en-GB"/>
        </w:rPr>
        <w:t>reductive</w:t>
      </w:r>
      <w:r w:rsidR="000F3C6F" w:rsidRPr="00411AE0">
        <w:rPr>
          <w:rFonts w:ascii="Garamond" w:eastAsia="Times New Roman" w:hAnsi="Garamond" w:cs="Times New Roman"/>
          <w:color w:val="000000" w:themeColor="text1"/>
          <w:sz w:val="24"/>
          <w:szCs w:val="24"/>
          <w:lang w:eastAsia="en-GB"/>
        </w:rPr>
        <w:t xml:space="preserve"> equivalence between the sovereign state and the individual</w:t>
      </w:r>
      <w:r w:rsidR="000D0C38" w:rsidRPr="00411AE0">
        <w:rPr>
          <w:rFonts w:ascii="Garamond" w:eastAsia="Times New Roman" w:hAnsi="Garamond" w:cs="Times New Roman"/>
          <w:color w:val="000000" w:themeColor="text1"/>
          <w:sz w:val="24"/>
          <w:szCs w:val="24"/>
          <w:lang w:eastAsia="en-GB"/>
        </w:rPr>
        <w:t>.</w:t>
      </w:r>
      <w:r w:rsidR="000F3C6F" w:rsidRPr="00411AE0">
        <w:rPr>
          <w:rStyle w:val="FootnoteReference"/>
          <w:rFonts w:ascii="Garamond" w:eastAsia="Times New Roman" w:hAnsi="Garamond" w:cs="Times New Roman"/>
          <w:color w:val="000000" w:themeColor="text1"/>
          <w:sz w:val="24"/>
          <w:szCs w:val="24"/>
          <w:lang w:eastAsia="en-GB"/>
        </w:rPr>
        <w:footnoteReference w:id="108"/>
      </w:r>
      <w:r w:rsidR="00967FD1" w:rsidRPr="00411AE0">
        <w:rPr>
          <w:rFonts w:ascii="Garamond" w:eastAsia="Times New Roman" w:hAnsi="Garamond" w:cs="Times New Roman"/>
          <w:color w:val="000000" w:themeColor="text1"/>
          <w:sz w:val="24"/>
          <w:szCs w:val="24"/>
          <w:lang w:eastAsia="en-GB"/>
        </w:rPr>
        <w:t xml:space="preserve"> </w:t>
      </w:r>
      <w:r w:rsidR="000D0C38" w:rsidRPr="00411AE0">
        <w:rPr>
          <w:rFonts w:ascii="Garamond" w:eastAsia="Times New Roman" w:hAnsi="Garamond" w:cs="Times New Roman"/>
          <w:color w:val="000000" w:themeColor="text1"/>
          <w:sz w:val="24"/>
          <w:szCs w:val="24"/>
          <w:lang w:eastAsia="en-GB"/>
        </w:rPr>
        <w:t>Despite complexities</w:t>
      </w:r>
      <w:r w:rsidR="00967FD1" w:rsidRPr="00411AE0">
        <w:rPr>
          <w:rFonts w:ascii="Garamond" w:eastAsia="Times New Roman" w:hAnsi="Garamond" w:cs="Times New Roman"/>
          <w:color w:val="000000" w:themeColor="text1"/>
          <w:sz w:val="24"/>
          <w:szCs w:val="24"/>
          <w:lang w:eastAsia="en-GB"/>
        </w:rPr>
        <w:t xml:space="preserve"> and distinctions, </w:t>
      </w:r>
      <w:r w:rsidR="005E6518">
        <w:rPr>
          <w:rFonts w:ascii="Garamond" w:eastAsia="Times New Roman" w:hAnsi="Garamond" w:cs="Times New Roman"/>
          <w:color w:val="000000" w:themeColor="text1"/>
          <w:sz w:val="24"/>
          <w:szCs w:val="24"/>
          <w:lang w:eastAsia="en-GB"/>
        </w:rPr>
        <w:t xml:space="preserve">a range of scholarship makes clear the fact </w:t>
      </w:r>
      <w:r w:rsidR="000F3C6F" w:rsidRPr="00411AE0">
        <w:rPr>
          <w:rFonts w:ascii="Garamond" w:eastAsia="Times New Roman" w:hAnsi="Garamond" w:cs="Times New Roman"/>
          <w:color w:val="000000" w:themeColor="text1"/>
          <w:sz w:val="24"/>
          <w:szCs w:val="24"/>
          <w:lang w:eastAsia="en-GB"/>
        </w:rPr>
        <w:t>that t</w:t>
      </w:r>
      <w:r w:rsidRPr="00411AE0">
        <w:rPr>
          <w:rFonts w:ascii="Garamond" w:eastAsia="Times New Roman" w:hAnsi="Garamond" w:cs="Times New Roman"/>
          <w:color w:val="000000" w:themeColor="text1"/>
          <w:sz w:val="24"/>
          <w:szCs w:val="24"/>
          <w:lang w:eastAsia="en-GB"/>
        </w:rPr>
        <w:t xml:space="preserve">he ultimate subject </w:t>
      </w:r>
      <w:r w:rsidR="00FD7D95" w:rsidRPr="00411AE0">
        <w:rPr>
          <w:rFonts w:ascii="Garamond" w:eastAsia="Times New Roman" w:hAnsi="Garamond" w:cs="Times New Roman"/>
          <w:color w:val="000000" w:themeColor="text1"/>
          <w:sz w:val="24"/>
          <w:szCs w:val="24"/>
          <w:lang w:eastAsia="en-GB"/>
        </w:rPr>
        <w:t xml:space="preserve">of all forms of </w:t>
      </w:r>
      <w:r w:rsidRPr="00411AE0">
        <w:rPr>
          <w:rFonts w:ascii="Garamond" w:eastAsia="Times New Roman" w:hAnsi="Garamond" w:cs="Times New Roman"/>
          <w:color w:val="000000" w:themeColor="text1"/>
          <w:sz w:val="24"/>
          <w:szCs w:val="24"/>
          <w:lang w:eastAsia="en-GB"/>
        </w:rPr>
        <w:t>law</w:t>
      </w:r>
      <w:r w:rsidR="002D4A30" w:rsidRPr="00411AE0">
        <w:rPr>
          <w:rFonts w:ascii="Garamond" w:eastAsia="Times New Roman" w:hAnsi="Garamond" w:cs="Times New Roman"/>
          <w:color w:val="000000" w:themeColor="text1"/>
          <w:sz w:val="24"/>
          <w:szCs w:val="24"/>
          <w:lang w:eastAsia="en-GB"/>
        </w:rPr>
        <w:t xml:space="preserve"> </w:t>
      </w:r>
      <w:r w:rsidR="00FD7D95" w:rsidRPr="00411AE0">
        <w:rPr>
          <w:rFonts w:ascii="Garamond" w:eastAsia="Times New Roman" w:hAnsi="Garamond" w:cs="Times New Roman"/>
          <w:color w:val="000000" w:themeColor="text1"/>
          <w:sz w:val="24"/>
          <w:szCs w:val="24"/>
          <w:lang w:eastAsia="en-GB"/>
        </w:rPr>
        <w:t>is</w:t>
      </w:r>
      <w:r w:rsidRPr="00411AE0">
        <w:rPr>
          <w:rFonts w:ascii="Garamond" w:eastAsia="Times New Roman" w:hAnsi="Garamond" w:cs="Times New Roman"/>
          <w:color w:val="000000" w:themeColor="text1"/>
          <w:sz w:val="24"/>
          <w:szCs w:val="24"/>
          <w:lang w:eastAsia="en-GB"/>
        </w:rPr>
        <w:t xml:space="preserve"> </w:t>
      </w:r>
      <w:r w:rsidR="007E5359" w:rsidRPr="00411AE0">
        <w:rPr>
          <w:rFonts w:ascii="Garamond" w:eastAsia="Times New Roman" w:hAnsi="Garamond" w:cs="Times New Roman"/>
          <w:color w:val="000000" w:themeColor="text1"/>
          <w:sz w:val="24"/>
          <w:szCs w:val="24"/>
          <w:lang w:eastAsia="en-GB"/>
        </w:rPr>
        <w:t xml:space="preserve">the </w:t>
      </w:r>
      <w:r w:rsidRPr="00411AE0">
        <w:rPr>
          <w:rFonts w:ascii="Garamond" w:eastAsia="Times New Roman" w:hAnsi="Garamond" w:cs="Times New Roman"/>
          <w:color w:val="000000" w:themeColor="text1"/>
          <w:sz w:val="24"/>
          <w:szCs w:val="24"/>
          <w:lang w:eastAsia="en-GB"/>
        </w:rPr>
        <w:t>privilege</w:t>
      </w:r>
      <w:r w:rsidR="0066603D" w:rsidRPr="00411AE0">
        <w:rPr>
          <w:rFonts w:ascii="Garamond" w:eastAsia="Times New Roman" w:hAnsi="Garamond" w:cs="Times New Roman"/>
          <w:color w:val="000000" w:themeColor="text1"/>
          <w:sz w:val="24"/>
          <w:szCs w:val="24"/>
          <w:lang w:eastAsia="en-GB"/>
        </w:rPr>
        <w:t xml:space="preserve">d, </w:t>
      </w:r>
      <w:r w:rsidR="00FD7D95" w:rsidRPr="00411AE0">
        <w:rPr>
          <w:rFonts w:ascii="Garamond" w:eastAsia="Times New Roman" w:hAnsi="Garamond" w:cs="Times New Roman"/>
          <w:color w:val="000000" w:themeColor="text1"/>
          <w:sz w:val="24"/>
          <w:szCs w:val="24"/>
          <w:lang w:eastAsia="en-GB"/>
        </w:rPr>
        <w:t xml:space="preserve">‘rational’, </w:t>
      </w:r>
      <w:r w:rsidRPr="00411AE0">
        <w:rPr>
          <w:rFonts w:ascii="Garamond" w:eastAsia="Times New Roman" w:hAnsi="Garamond" w:cs="Times New Roman"/>
          <w:color w:val="000000" w:themeColor="text1"/>
          <w:sz w:val="24"/>
          <w:szCs w:val="24"/>
          <w:lang w:eastAsia="en-GB"/>
        </w:rPr>
        <w:t xml:space="preserve">white male </w:t>
      </w:r>
      <w:r w:rsidR="007E5359" w:rsidRPr="00411AE0">
        <w:rPr>
          <w:rFonts w:ascii="Garamond" w:eastAsia="Times New Roman" w:hAnsi="Garamond" w:cs="Times New Roman"/>
          <w:color w:val="000000" w:themeColor="text1"/>
          <w:sz w:val="24"/>
          <w:szCs w:val="24"/>
          <w:lang w:eastAsia="en-GB"/>
        </w:rPr>
        <w:t>template</w:t>
      </w:r>
      <w:r w:rsidR="00FD7D95" w:rsidRPr="00411AE0">
        <w:rPr>
          <w:rFonts w:ascii="Garamond" w:eastAsia="Times New Roman" w:hAnsi="Garamond" w:cs="Times New Roman"/>
          <w:color w:val="000000" w:themeColor="text1"/>
          <w:sz w:val="24"/>
          <w:szCs w:val="24"/>
          <w:lang w:eastAsia="en-GB"/>
        </w:rPr>
        <w:t xml:space="preserve"> central </w:t>
      </w:r>
      <w:r w:rsidR="007E5359" w:rsidRPr="00411AE0">
        <w:rPr>
          <w:rFonts w:ascii="Garamond" w:eastAsia="Times New Roman" w:hAnsi="Garamond" w:cs="Times New Roman"/>
          <w:color w:val="000000" w:themeColor="text1"/>
          <w:sz w:val="24"/>
          <w:szCs w:val="24"/>
          <w:lang w:eastAsia="en-GB"/>
        </w:rPr>
        <w:t>to</w:t>
      </w:r>
      <w:r w:rsidRPr="00411AE0">
        <w:rPr>
          <w:rFonts w:ascii="Garamond" w:eastAsia="Times New Roman" w:hAnsi="Garamond" w:cs="Times New Roman"/>
          <w:color w:val="000000" w:themeColor="text1"/>
          <w:sz w:val="24"/>
          <w:szCs w:val="24"/>
          <w:lang w:eastAsia="en-GB"/>
        </w:rPr>
        <w:t xml:space="preserve"> Eurocentric law</w:t>
      </w:r>
      <w:r w:rsidR="00967FD1" w:rsidRPr="00411AE0">
        <w:rPr>
          <w:rFonts w:ascii="Garamond" w:eastAsia="Times New Roman" w:hAnsi="Garamond" w:cs="Times New Roman"/>
          <w:color w:val="000000" w:themeColor="text1"/>
          <w:sz w:val="24"/>
          <w:szCs w:val="24"/>
          <w:lang w:eastAsia="en-GB"/>
        </w:rPr>
        <w:t>, politics, economics</w:t>
      </w:r>
      <w:r w:rsidRPr="00411AE0">
        <w:rPr>
          <w:rFonts w:ascii="Garamond" w:eastAsia="Times New Roman" w:hAnsi="Garamond" w:cs="Times New Roman"/>
          <w:color w:val="000000" w:themeColor="text1"/>
          <w:sz w:val="24"/>
          <w:szCs w:val="24"/>
          <w:lang w:eastAsia="en-GB"/>
        </w:rPr>
        <w:t xml:space="preserve"> and philosophy.</w:t>
      </w:r>
      <w:r w:rsidRPr="00411AE0">
        <w:rPr>
          <w:rStyle w:val="FootnoteReference"/>
          <w:rFonts w:ascii="Garamond" w:eastAsia="Times New Roman" w:hAnsi="Garamond" w:cs="Times New Roman"/>
          <w:color w:val="000000" w:themeColor="text1"/>
          <w:sz w:val="24"/>
          <w:szCs w:val="24"/>
          <w:lang w:eastAsia="en-GB"/>
        </w:rPr>
        <w:footnoteReference w:id="109"/>
      </w:r>
      <w:r w:rsidRPr="00411AE0">
        <w:rPr>
          <w:rFonts w:ascii="Garamond" w:eastAsia="Times New Roman" w:hAnsi="Garamond" w:cs="Times New Roman"/>
          <w:color w:val="000000" w:themeColor="text1"/>
          <w:sz w:val="24"/>
          <w:szCs w:val="24"/>
          <w:lang w:eastAsia="en-GB"/>
        </w:rPr>
        <w:t xml:space="preserve"> </w:t>
      </w:r>
      <w:r w:rsidR="007655A1" w:rsidRPr="00411AE0">
        <w:rPr>
          <w:rFonts w:ascii="Garamond" w:eastAsia="Times New Roman" w:hAnsi="Garamond" w:cs="Times New Roman"/>
          <w:color w:val="000000" w:themeColor="text1"/>
          <w:sz w:val="24"/>
          <w:szCs w:val="24"/>
          <w:lang w:eastAsia="en-GB"/>
        </w:rPr>
        <w:br/>
      </w:r>
      <w:r w:rsidR="007655A1" w:rsidRPr="00411AE0">
        <w:rPr>
          <w:rFonts w:ascii="Garamond" w:eastAsia="Times New Roman" w:hAnsi="Garamond" w:cs="Times New Roman"/>
          <w:color w:val="000000" w:themeColor="text1"/>
          <w:sz w:val="24"/>
          <w:szCs w:val="24"/>
          <w:lang w:eastAsia="en-GB"/>
        </w:rPr>
        <w:tab/>
      </w:r>
      <w:r w:rsidRPr="00411AE0">
        <w:rPr>
          <w:rFonts w:ascii="Garamond" w:eastAsia="Times New Roman" w:hAnsi="Garamond" w:cs="Times New Roman"/>
          <w:color w:val="000000" w:themeColor="text1"/>
          <w:sz w:val="24"/>
          <w:szCs w:val="24"/>
          <w:lang w:eastAsia="en-GB"/>
        </w:rPr>
        <w:t xml:space="preserve">This </w:t>
      </w:r>
      <w:r w:rsidR="007B1E9D" w:rsidRPr="00411AE0">
        <w:rPr>
          <w:rFonts w:ascii="Garamond" w:eastAsia="Times New Roman" w:hAnsi="Garamond" w:cs="Times New Roman"/>
          <w:color w:val="000000" w:themeColor="text1"/>
          <w:sz w:val="24"/>
          <w:szCs w:val="24"/>
          <w:lang w:eastAsia="en-GB"/>
        </w:rPr>
        <w:t>master-</w:t>
      </w:r>
      <w:r w:rsidR="007E5359" w:rsidRPr="00411AE0">
        <w:rPr>
          <w:rFonts w:ascii="Garamond" w:eastAsia="Times New Roman" w:hAnsi="Garamond" w:cs="Times New Roman"/>
          <w:color w:val="000000" w:themeColor="text1"/>
          <w:sz w:val="24"/>
          <w:szCs w:val="24"/>
          <w:lang w:eastAsia="en-GB"/>
        </w:rPr>
        <w:t>trope</w:t>
      </w:r>
      <w:r w:rsidR="00227464"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 xml:space="preserve">reflects a particular set of subject-object relations </w:t>
      </w:r>
      <w:r w:rsidR="00227464" w:rsidRPr="00411AE0">
        <w:rPr>
          <w:rFonts w:ascii="Garamond" w:eastAsia="Times New Roman" w:hAnsi="Garamond" w:cs="Times New Roman"/>
          <w:color w:val="000000" w:themeColor="text1"/>
          <w:sz w:val="24"/>
          <w:szCs w:val="24"/>
          <w:lang w:eastAsia="en-GB"/>
        </w:rPr>
        <w:t xml:space="preserve">that </w:t>
      </w:r>
      <w:r w:rsidRPr="00411AE0">
        <w:rPr>
          <w:rFonts w:ascii="Garamond" w:eastAsia="Times New Roman" w:hAnsi="Garamond" w:cs="Times New Roman"/>
          <w:color w:val="000000" w:themeColor="text1"/>
          <w:sz w:val="24"/>
          <w:szCs w:val="24"/>
          <w:lang w:eastAsia="en-GB"/>
        </w:rPr>
        <w:t xml:space="preserve">undergird the boundary function of liberal law’s two central ontological categories: persons and property. The binary contradiction between personhood and property is, however, </w:t>
      </w:r>
      <w:r w:rsidR="000F7A92">
        <w:rPr>
          <w:rFonts w:ascii="Garamond" w:eastAsia="Times New Roman" w:hAnsi="Garamond" w:cs="Times New Roman"/>
          <w:color w:val="000000" w:themeColor="text1"/>
          <w:sz w:val="24"/>
          <w:szCs w:val="24"/>
          <w:lang w:eastAsia="en-GB"/>
        </w:rPr>
        <w:t xml:space="preserve">rather </w:t>
      </w:r>
      <w:r w:rsidRPr="00411AE0">
        <w:rPr>
          <w:rFonts w:ascii="Garamond" w:eastAsia="Times New Roman" w:hAnsi="Garamond" w:cs="Times New Roman"/>
          <w:color w:val="000000" w:themeColor="text1"/>
          <w:sz w:val="24"/>
          <w:szCs w:val="24"/>
          <w:lang w:eastAsia="en-GB"/>
        </w:rPr>
        <w:t>more apparent than real</w:t>
      </w:r>
      <w:r w:rsidR="007B1E9D" w:rsidRPr="00411AE0">
        <w:rPr>
          <w:rFonts w:ascii="Garamond" w:eastAsia="Times New Roman" w:hAnsi="Garamond" w:cs="Times New Roman"/>
          <w:color w:val="000000" w:themeColor="text1"/>
          <w:sz w:val="24"/>
          <w:szCs w:val="24"/>
          <w:lang w:eastAsia="en-GB"/>
        </w:rPr>
        <w:t>. A</w:t>
      </w:r>
      <w:r w:rsidRPr="00411AE0">
        <w:rPr>
          <w:rFonts w:ascii="Garamond" w:eastAsia="Times New Roman" w:hAnsi="Garamond" w:cs="Times New Roman"/>
          <w:color w:val="000000" w:themeColor="text1"/>
          <w:sz w:val="24"/>
          <w:szCs w:val="24"/>
          <w:lang w:eastAsia="en-GB"/>
        </w:rPr>
        <w:t>s Davies</w:t>
      </w:r>
      <w:r w:rsidR="00FE2599" w:rsidRPr="00411AE0">
        <w:rPr>
          <w:rFonts w:ascii="Garamond" w:eastAsia="Times New Roman" w:hAnsi="Garamond" w:cs="Times New Roman"/>
          <w:color w:val="000000" w:themeColor="text1"/>
          <w:sz w:val="24"/>
          <w:szCs w:val="24"/>
          <w:lang w:eastAsia="en-GB"/>
        </w:rPr>
        <w:t>, Naffine</w:t>
      </w:r>
      <w:r w:rsidRPr="00411AE0">
        <w:rPr>
          <w:rFonts w:ascii="Garamond" w:eastAsia="Times New Roman" w:hAnsi="Garamond" w:cs="Times New Roman"/>
          <w:color w:val="000000" w:themeColor="text1"/>
          <w:sz w:val="24"/>
          <w:szCs w:val="24"/>
          <w:lang w:eastAsia="en-GB"/>
        </w:rPr>
        <w:t xml:space="preserve"> and other</w:t>
      </w:r>
      <w:r w:rsidR="003C3A4F" w:rsidRPr="00411AE0">
        <w:rPr>
          <w:rFonts w:ascii="Garamond" w:eastAsia="Times New Roman" w:hAnsi="Garamond" w:cs="Times New Roman"/>
          <w:color w:val="000000" w:themeColor="text1"/>
          <w:sz w:val="24"/>
          <w:szCs w:val="24"/>
          <w:lang w:eastAsia="en-GB"/>
        </w:rPr>
        <w:t>s</w:t>
      </w:r>
      <w:r w:rsidRPr="00411AE0">
        <w:rPr>
          <w:rFonts w:ascii="Garamond" w:eastAsia="Times New Roman" w:hAnsi="Garamond" w:cs="Times New Roman"/>
          <w:color w:val="000000" w:themeColor="text1"/>
          <w:sz w:val="24"/>
          <w:szCs w:val="24"/>
          <w:lang w:eastAsia="en-GB"/>
        </w:rPr>
        <w:t xml:space="preserve"> have argued, law’s person is</w:t>
      </w:r>
      <w:r w:rsidR="007B1E9D" w:rsidRPr="00411AE0">
        <w:rPr>
          <w:rFonts w:ascii="Garamond" w:eastAsia="Times New Roman" w:hAnsi="Garamond" w:cs="Times New Roman"/>
          <w:color w:val="000000" w:themeColor="text1"/>
          <w:sz w:val="24"/>
          <w:szCs w:val="24"/>
          <w:lang w:eastAsia="en-GB"/>
        </w:rPr>
        <w:t xml:space="preserve"> in reality</w:t>
      </w:r>
      <w:r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i/>
          <w:color w:val="000000" w:themeColor="text1"/>
          <w:sz w:val="24"/>
          <w:szCs w:val="24"/>
          <w:lang w:eastAsia="en-GB"/>
        </w:rPr>
        <w:t>constituted</w:t>
      </w:r>
      <w:r w:rsidRPr="00411AE0">
        <w:rPr>
          <w:rFonts w:ascii="Garamond" w:eastAsia="Times New Roman" w:hAnsi="Garamond" w:cs="Times New Roman"/>
          <w:color w:val="000000" w:themeColor="text1"/>
          <w:sz w:val="24"/>
          <w:szCs w:val="24"/>
          <w:lang w:eastAsia="en-GB"/>
        </w:rPr>
        <w:t xml:space="preserve"> by property-</w:t>
      </w:r>
      <w:r w:rsidRPr="00411AE0">
        <w:rPr>
          <w:rFonts w:ascii="Garamond" w:eastAsia="Times New Roman" w:hAnsi="Garamond" w:cs="Times New Roman"/>
          <w:color w:val="000000" w:themeColor="text1"/>
          <w:sz w:val="24"/>
          <w:szCs w:val="24"/>
          <w:lang w:eastAsia="en-GB"/>
        </w:rPr>
        <w:lastRenderedPageBreak/>
        <w:t>centred assumptions</w:t>
      </w:r>
      <w:r w:rsidR="007B1E9D" w:rsidRPr="00411AE0">
        <w:rPr>
          <w:rFonts w:ascii="Garamond" w:eastAsia="Times New Roman" w:hAnsi="Garamond" w:cs="Times New Roman"/>
          <w:color w:val="000000" w:themeColor="text1"/>
          <w:sz w:val="24"/>
          <w:szCs w:val="24"/>
          <w:lang w:eastAsia="en-GB"/>
        </w:rPr>
        <w:t>,</w:t>
      </w:r>
      <w:r w:rsidRPr="00411AE0">
        <w:rPr>
          <w:rFonts w:ascii="Garamond" w:eastAsia="Times New Roman" w:hAnsi="Garamond" w:cs="Times New Roman"/>
          <w:color w:val="000000" w:themeColor="text1"/>
          <w:sz w:val="24"/>
          <w:szCs w:val="24"/>
          <w:lang w:eastAsia="en-GB"/>
        </w:rPr>
        <w:t xml:space="preserve"> and personhood fulfils an important ideological function in assuring the </w:t>
      </w:r>
      <w:r w:rsidRPr="00411AE0">
        <w:rPr>
          <w:rFonts w:ascii="Garamond" w:eastAsia="Times New Roman" w:hAnsi="Garamond" w:cs="Times New Roman"/>
          <w:i/>
          <w:color w:val="000000" w:themeColor="text1"/>
          <w:sz w:val="24"/>
          <w:szCs w:val="24"/>
          <w:lang w:eastAsia="en-GB"/>
        </w:rPr>
        <w:t>prioritisation</w:t>
      </w:r>
      <w:r w:rsidRPr="00411AE0">
        <w:rPr>
          <w:rFonts w:ascii="Garamond" w:eastAsia="Times New Roman" w:hAnsi="Garamond" w:cs="Times New Roman"/>
          <w:color w:val="000000" w:themeColor="text1"/>
          <w:sz w:val="24"/>
          <w:szCs w:val="24"/>
          <w:lang w:eastAsia="en-GB"/>
        </w:rPr>
        <w:t xml:space="preserve"> of property</w:t>
      </w:r>
      <w:r w:rsidR="009C1BAF"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and the interests of the propertied</w:t>
      </w:r>
      <w:r w:rsidR="003C3A4F"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in liberal legal systems.</w:t>
      </w:r>
      <w:r w:rsidRPr="00411AE0">
        <w:rPr>
          <w:rStyle w:val="FootnoteReference"/>
          <w:rFonts w:ascii="Garamond" w:eastAsia="Times New Roman" w:hAnsi="Garamond" w:cs="Times New Roman"/>
          <w:color w:val="000000" w:themeColor="text1"/>
          <w:sz w:val="24"/>
          <w:szCs w:val="24"/>
          <w:lang w:eastAsia="en-GB"/>
        </w:rPr>
        <w:footnoteReference w:id="110"/>
      </w:r>
      <w:r w:rsidRPr="00411AE0">
        <w:rPr>
          <w:rFonts w:ascii="Garamond" w:eastAsia="Times New Roman" w:hAnsi="Garamond" w:cs="Times New Roman"/>
          <w:color w:val="000000" w:themeColor="text1"/>
          <w:sz w:val="24"/>
          <w:szCs w:val="24"/>
          <w:lang w:eastAsia="en-GB"/>
        </w:rPr>
        <w:t xml:space="preserve"> </w:t>
      </w:r>
      <w:r w:rsidR="007B1E9D" w:rsidRPr="00411AE0">
        <w:rPr>
          <w:rFonts w:ascii="Garamond" w:eastAsia="Times New Roman" w:hAnsi="Garamond" w:cs="Times New Roman"/>
          <w:color w:val="000000" w:themeColor="text1"/>
          <w:sz w:val="24"/>
          <w:szCs w:val="24"/>
          <w:lang w:eastAsia="en-GB"/>
        </w:rPr>
        <w:br/>
        <w:t xml:space="preserve"> </w:t>
      </w:r>
      <w:r w:rsidR="007B1E9D" w:rsidRPr="00411AE0">
        <w:rPr>
          <w:rFonts w:ascii="Garamond" w:eastAsia="Times New Roman" w:hAnsi="Garamond" w:cs="Times New Roman"/>
          <w:color w:val="000000" w:themeColor="text1"/>
          <w:sz w:val="24"/>
          <w:szCs w:val="24"/>
          <w:lang w:eastAsia="en-GB"/>
        </w:rPr>
        <w:tab/>
      </w:r>
      <w:r w:rsidRPr="00411AE0">
        <w:rPr>
          <w:rFonts w:ascii="Garamond" w:eastAsia="Times New Roman" w:hAnsi="Garamond" w:cs="Times New Roman"/>
          <w:color w:val="000000" w:themeColor="text1"/>
          <w:sz w:val="24"/>
          <w:szCs w:val="24"/>
          <w:lang w:eastAsia="en-GB"/>
        </w:rPr>
        <w:t xml:space="preserve">In short, a relentless ideological and structural priority is given to a Eurocentric conception of </w:t>
      </w:r>
      <w:r w:rsidR="009A733A" w:rsidRPr="00411AE0">
        <w:rPr>
          <w:rFonts w:ascii="Garamond" w:eastAsia="Times New Roman" w:hAnsi="Garamond" w:cs="Times New Roman"/>
          <w:color w:val="000000" w:themeColor="text1"/>
          <w:sz w:val="24"/>
          <w:szCs w:val="24"/>
          <w:lang w:eastAsia="en-GB"/>
        </w:rPr>
        <w:t>possessive individualism</w:t>
      </w:r>
      <w:r w:rsidR="003C3A4F" w:rsidRPr="00411AE0">
        <w:rPr>
          <w:rFonts w:ascii="Garamond" w:eastAsia="Times New Roman" w:hAnsi="Garamond" w:cs="Times New Roman"/>
          <w:color w:val="000000" w:themeColor="text1"/>
          <w:sz w:val="24"/>
          <w:szCs w:val="24"/>
          <w:lang w:eastAsia="en-GB"/>
        </w:rPr>
        <w:t>,</w:t>
      </w:r>
      <w:r w:rsidRPr="00411AE0">
        <w:rPr>
          <w:rFonts w:ascii="Garamond" w:eastAsia="Times New Roman" w:hAnsi="Garamond" w:cs="Times New Roman"/>
          <w:color w:val="000000" w:themeColor="text1"/>
          <w:sz w:val="24"/>
          <w:szCs w:val="24"/>
          <w:lang w:eastAsia="en-GB"/>
        </w:rPr>
        <w:t xml:space="preserve"> </w:t>
      </w:r>
      <w:r w:rsidR="007655A1" w:rsidRPr="00411AE0">
        <w:rPr>
          <w:rFonts w:ascii="Garamond" w:eastAsia="Times New Roman" w:hAnsi="Garamond" w:cs="Times New Roman"/>
          <w:color w:val="000000" w:themeColor="text1"/>
          <w:sz w:val="24"/>
          <w:szCs w:val="24"/>
          <w:lang w:eastAsia="en-GB"/>
        </w:rPr>
        <w:t xml:space="preserve">and </w:t>
      </w:r>
      <w:r w:rsidRPr="00411AE0">
        <w:rPr>
          <w:rFonts w:ascii="Garamond" w:eastAsia="Times New Roman" w:hAnsi="Garamond" w:cs="Times New Roman"/>
          <w:color w:val="000000" w:themeColor="text1"/>
          <w:sz w:val="24"/>
          <w:szCs w:val="24"/>
          <w:lang w:eastAsia="en-GB"/>
        </w:rPr>
        <w:t>liberal law—including international law—constructs its archetypal persons</w:t>
      </w:r>
      <w:r w:rsidR="007B1E9D" w:rsidRPr="00411AE0">
        <w:rPr>
          <w:rFonts w:ascii="Garamond" w:eastAsia="Times New Roman" w:hAnsi="Garamond" w:cs="Times New Roman"/>
          <w:color w:val="000000" w:themeColor="text1"/>
          <w:sz w:val="24"/>
          <w:szCs w:val="24"/>
          <w:lang w:eastAsia="en-GB"/>
        </w:rPr>
        <w:t>—as individuals, states and/or corporations (</w:t>
      </w:r>
      <w:r w:rsidR="000F7A92">
        <w:rPr>
          <w:rFonts w:ascii="Garamond" w:eastAsia="Times New Roman" w:hAnsi="Garamond" w:cs="Times New Roman"/>
          <w:color w:val="000000" w:themeColor="text1"/>
          <w:sz w:val="24"/>
          <w:szCs w:val="24"/>
          <w:lang w:eastAsia="en-GB"/>
        </w:rPr>
        <w:t xml:space="preserve">corporations are more fully </w:t>
      </w:r>
      <w:r w:rsidR="007B1E9D" w:rsidRPr="00411AE0">
        <w:rPr>
          <w:rFonts w:ascii="Garamond" w:eastAsia="Times New Roman" w:hAnsi="Garamond" w:cs="Times New Roman"/>
          <w:color w:val="000000" w:themeColor="text1"/>
          <w:sz w:val="24"/>
          <w:szCs w:val="24"/>
          <w:lang w:eastAsia="en-GB"/>
        </w:rPr>
        <w:t>discussed below)—</w:t>
      </w:r>
      <w:r w:rsidR="009A733A" w:rsidRPr="00411AE0">
        <w:rPr>
          <w:rFonts w:ascii="Garamond" w:eastAsia="Times New Roman" w:hAnsi="Garamond" w:cs="Times New Roman"/>
          <w:color w:val="000000" w:themeColor="text1"/>
          <w:sz w:val="24"/>
          <w:szCs w:val="24"/>
          <w:lang w:eastAsia="en-GB"/>
        </w:rPr>
        <w:t>on this basis</w:t>
      </w:r>
      <w:r w:rsidRPr="00411AE0">
        <w:rPr>
          <w:rFonts w:ascii="Garamond" w:eastAsia="Times New Roman" w:hAnsi="Garamond" w:cs="Times New Roman"/>
          <w:color w:val="000000" w:themeColor="text1"/>
          <w:sz w:val="24"/>
          <w:szCs w:val="24"/>
          <w:lang w:eastAsia="en-GB"/>
        </w:rPr>
        <w:t>.</w:t>
      </w:r>
      <w:r w:rsidRPr="00411AE0">
        <w:rPr>
          <w:rStyle w:val="FootnoteReference"/>
          <w:rFonts w:ascii="Garamond" w:eastAsia="Times New Roman" w:hAnsi="Garamond" w:cs="Times New Roman"/>
          <w:color w:val="000000" w:themeColor="text1"/>
          <w:sz w:val="24"/>
          <w:szCs w:val="24"/>
          <w:lang w:eastAsia="en-GB"/>
        </w:rPr>
        <w:footnoteReference w:id="111"/>
      </w:r>
      <w:r w:rsidR="00C80793"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 xml:space="preserve">This explains why </w:t>
      </w:r>
      <w:r w:rsidR="0088053E" w:rsidRPr="00411AE0">
        <w:rPr>
          <w:rFonts w:ascii="Garamond" w:eastAsia="Times New Roman" w:hAnsi="Garamond" w:cs="Times New Roman"/>
          <w:color w:val="000000" w:themeColor="text1"/>
          <w:sz w:val="24"/>
          <w:szCs w:val="24"/>
          <w:lang w:eastAsia="en-GB"/>
        </w:rPr>
        <w:t>entities</w:t>
      </w:r>
      <w:r w:rsidRPr="00411AE0">
        <w:rPr>
          <w:rFonts w:ascii="Garamond" w:eastAsia="Times New Roman" w:hAnsi="Garamond" w:cs="Times New Roman"/>
          <w:color w:val="000000" w:themeColor="text1"/>
          <w:sz w:val="24"/>
          <w:szCs w:val="24"/>
          <w:lang w:eastAsia="en-GB"/>
        </w:rPr>
        <w:t xml:space="preserve"> serving the interests of propertied elites</w:t>
      </w:r>
      <w:r w:rsidR="0088053E" w:rsidRPr="00411AE0">
        <w:rPr>
          <w:rFonts w:ascii="Garamond" w:eastAsia="Times New Roman" w:hAnsi="Garamond" w:cs="Times New Roman"/>
          <w:color w:val="000000" w:themeColor="text1"/>
          <w:sz w:val="24"/>
          <w:szCs w:val="24"/>
          <w:lang w:eastAsia="en-GB"/>
        </w:rPr>
        <w:t xml:space="preserve"> present no difficulty </w:t>
      </w:r>
      <w:r w:rsidR="00C80793" w:rsidRPr="00411AE0">
        <w:rPr>
          <w:rFonts w:ascii="Garamond" w:eastAsia="Times New Roman" w:hAnsi="Garamond" w:cs="Times New Roman"/>
          <w:color w:val="000000" w:themeColor="text1"/>
          <w:sz w:val="24"/>
          <w:szCs w:val="24"/>
          <w:lang w:eastAsia="en-GB"/>
        </w:rPr>
        <w:t>as putative legal persons</w:t>
      </w:r>
      <w:r w:rsidRPr="00411AE0">
        <w:rPr>
          <w:rFonts w:ascii="Garamond" w:eastAsia="Times New Roman" w:hAnsi="Garamond" w:cs="Times New Roman"/>
          <w:color w:val="000000" w:themeColor="text1"/>
          <w:sz w:val="24"/>
          <w:szCs w:val="24"/>
          <w:lang w:eastAsia="en-GB"/>
        </w:rPr>
        <w:t xml:space="preserve">, unlike </w:t>
      </w:r>
      <w:r w:rsidR="00A26FCD">
        <w:rPr>
          <w:rFonts w:ascii="Garamond" w:eastAsia="Times New Roman" w:hAnsi="Garamond" w:cs="Times New Roman"/>
          <w:color w:val="000000" w:themeColor="text1"/>
          <w:sz w:val="24"/>
          <w:szCs w:val="24"/>
          <w:lang w:eastAsia="en-GB"/>
        </w:rPr>
        <w:t xml:space="preserve">the </w:t>
      </w:r>
      <w:r w:rsidRPr="00411AE0">
        <w:rPr>
          <w:rFonts w:ascii="Garamond" w:eastAsia="Times New Roman" w:hAnsi="Garamond" w:cs="Times New Roman"/>
          <w:color w:val="000000" w:themeColor="text1"/>
          <w:sz w:val="24"/>
          <w:szCs w:val="24"/>
          <w:lang w:eastAsia="en-GB"/>
        </w:rPr>
        <w:t>marginalised human being</w:t>
      </w:r>
      <w:r w:rsidR="007E43A6" w:rsidRPr="00411AE0">
        <w:rPr>
          <w:rFonts w:ascii="Garamond" w:eastAsia="Times New Roman" w:hAnsi="Garamond" w:cs="Times New Roman"/>
          <w:color w:val="000000" w:themeColor="text1"/>
          <w:sz w:val="24"/>
          <w:szCs w:val="24"/>
          <w:lang w:eastAsia="en-GB"/>
        </w:rPr>
        <w:t>s</w:t>
      </w:r>
      <w:r w:rsidR="0088053E" w:rsidRPr="00411AE0">
        <w:rPr>
          <w:rFonts w:ascii="Garamond" w:eastAsia="Times New Roman" w:hAnsi="Garamond" w:cs="Times New Roman"/>
          <w:color w:val="000000" w:themeColor="text1"/>
          <w:sz w:val="24"/>
          <w:szCs w:val="24"/>
          <w:lang w:eastAsia="en-GB"/>
        </w:rPr>
        <w:t xml:space="preserve"> who can never </w:t>
      </w:r>
      <w:r w:rsidR="003C3A4F" w:rsidRPr="00411AE0">
        <w:rPr>
          <w:rFonts w:ascii="Garamond" w:eastAsia="Times New Roman" w:hAnsi="Garamond" w:cs="Times New Roman"/>
          <w:color w:val="000000" w:themeColor="text1"/>
          <w:sz w:val="24"/>
          <w:szCs w:val="24"/>
          <w:lang w:eastAsia="en-GB"/>
        </w:rPr>
        <w:t>represent</w:t>
      </w:r>
      <w:r w:rsidR="007E43A6" w:rsidRPr="00411AE0">
        <w:rPr>
          <w:rFonts w:ascii="Garamond" w:eastAsia="Times New Roman" w:hAnsi="Garamond" w:cs="Times New Roman"/>
          <w:color w:val="000000" w:themeColor="text1"/>
          <w:sz w:val="24"/>
          <w:szCs w:val="24"/>
          <w:lang w:eastAsia="en-GB"/>
        </w:rPr>
        <w:t xml:space="preserve"> </w:t>
      </w:r>
      <w:r w:rsidR="0088053E" w:rsidRPr="00411AE0">
        <w:rPr>
          <w:rFonts w:ascii="Garamond" w:eastAsia="Times New Roman" w:hAnsi="Garamond" w:cs="Times New Roman"/>
          <w:color w:val="000000" w:themeColor="text1"/>
          <w:sz w:val="24"/>
          <w:szCs w:val="24"/>
          <w:lang w:eastAsia="en-GB"/>
        </w:rPr>
        <w:t>paradigm</w:t>
      </w:r>
      <w:r w:rsidR="007E43A6" w:rsidRPr="00411AE0">
        <w:rPr>
          <w:rFonts w:ascii="Garamond" w:eastAsia="Times New Roman" w:hAnsi="Garamond" w:cs="Times New Roman"/>
          <w:color w:val="000000" w:themeColor="text1"/>
          <w:sz w:val="24"/>
          <w:szCs w:val="24"/>
          <w:lang w:eastAsia="en-GB"/>
        </w:rPr>
        <w:t>atic</w:t>
      </w:r>
      <w:r w:rsidR="0088053E" w:rsidRPr="00411AE0">
        <w:rPr>
          <w:rFonts w:ascii="Garamond" w:eastAsia="Times New Roman" w:hAnsi="Garamond" w:cs="Times New Roman"/>
          <w:color w:val="000000" w:themeColor="text1"/>
          <w:sz w:val="24"/>
          <w:szCs w:val="24"/>
          <w:lang w:eastAsia="en-GB"/>
        </w:rPr>
        <w:t xml:space="preserve"> instances of </w:t>
      </w:r>
      <w:r w:rsidR="007E43A6" w:rsidRPr="00411AE0">
        <w:rPr>
          <w:rFonts w:ascii="Garamond" w:eastAsia="Times New Roman" w:hAnsi="Garamond" w:cs="Times New Roman"/>
          <w:color w:val="000000" w:themeColor="text1"/>
          <w:sz w:val="24"/>
          <w:szCs w:val="24"/>
          <w:lang w:eastAsia="en-GB"/>
        </w:rPr>
        <w:t>legal person</w:t>
      </w:r>
      <w:r w:rsidR="003C3A4F" w:rsidRPr="00411AE0">
        <w:rPr>
          <w:rFonts w:ascii="Garamond" w:eastAsia="Times New Roman" w:hAnsi="Garamond" w:cs="Times New Roman"/>
          <w:color w:val="000000" w:themeColor="text1"/>
          <w:sz w:val="24"/>
          <w:szCs w:val="24"/>
          <w:lang w:eastAsia="en-GB"/>
        </w:rPr>
        <w:t>hood:</w:t>
      </w:r>
      <w:r w:rsidRPr="00411AE0">
        <w:rPr>
          <w:rFonts w:ascii="Garamond" w:eastAsia="Times New Roman" w:hAnsi="Garamond" w:cs="Times New Roman"/>
          <w:color w:val="000000" w:themeColor="text1"/>
          <w:sz w:val="24"/>
          <w:szCs w:val="24"/>
          <w:lang w:eastAsia="en-GB"/>
        </w:rPr>
        <w:t xml:space="preserve"> ‘</w:t>
      </w:r>
      <w:r w:rsidR="00C74AE4" w:rsidRPr="00411AE0">
        <w:rPr>
          <w:rFonts w:ascii="Garamond" w:eastAsia="Times New Roman" w:hAnsi="Garamond" w:cs="Times New Roman"/>
          <w:color w:val="000000" w:themeColor="text1"/>
          <w:sz w:val="24"/>
          <w:szCs w:val="24"/>
          <w:lang w:eastAsia="en-GB"/>
        </w:rPr>
        <w:t>[T]</w:t>
      </w:r>
      <w:r w:rsidRPr="00411AE0">
        <w:rPr>
          <w:rFonts w:ascii="Garamond" w:eastAsia="Times New Roman" w:hAnsi="Garamond" w:cs="Times New Roman"/>
          <w:color w:val="000000" w:themeColor="text1"/>
          <w:sz w:val="24"/>
          <w:szCs w:val="24"/>
          <w:lang w:eastAsia="en-GB"/>
        </w:rPr>
        <w:t>rusts, corporations, joint ventures, municipalities… and nation states’ have all been designated as rights-holders</w:t>
      </w:r>
      <w:r w:rsidR="00A26FCD" w:rsidRPr="00A26FCD">
        <w:rPr>
          <w:rFonts w:ascii="Garamond" w:eastAsia="Times New Roman" w:hAnsi="Garamond" w:cs="Times New Roman"/>
          <w:color w:val="000000" w:themeColor="text1"/>
          <w:sz w:val="24"/>
          <w:szCs w:val="24"/>
          <w:lang w:eastAsia="en-GB"/>
        </w:rPr>
        <w:t>,</w:t>
      </w:r>
      <w:r w:rsidRPr="00411AE0">
        <w:rPr>
          <w:rStyle w:val="FootnoteReference"/>
          <w:rFonts w:ascii="Garamond" w:eastAsia="Times New Roman" w:hAnsi="Garamond" w:cs="Times New Roman"/>
          <w:color w:val="000000" w:themeColor="text1"/>
          <w:sz w:val="24"/>
          <w:szCs w:val="24"/>
          <w:lang w:eastAsia="en-GB"/>
        </w:rPr>
        <w:footnoteReference w:id="112"/>
      </w:r>
      <w:r w:rsidRPr="00411AE0">
        <w:rPr>
          <w:rFonts w:ascii="Garamond" w:eastAsia="Times New Roman" w:hAnsi="Garamond" w:cs="Times New Roman"/>
          <w:color w:val="000000" w:themeColor="text1"/>
          <w:sz w:val="24"/>
          <w:szCs w:val="24"/>
          <w:lang w:eastAsia="en-GB"/>
        </w:rPr>
        <w:t xml:space="preserve"> </w:t>
      </w:r>
      <w:r w:rsidR="00A26FCD">
        <w:rPr>
          <w:rFonts w:ascii="Garamond" w:eastAsia="Times New Roman" w:hAnsi="Garamond" w:cs="Times New Roman"/>
          <w:color w:val="000000" w:themeColor="text1"/>
          <w:sz w:val="24"/>
          <w:szCs w:val="24"/>
          <w:lang w:eastAsia="en-GB"/>
        </w:rPr>
        <w:t>and it is notable that</w:t>
      </w:r>
      <w:r w:rsidR="00C80793" w:rsidRPr="00411AE0">
        <w:rPr>
          <w:rFonts w:ascii="Garamond" w:eastAsia="Times New Roman" w:hAnsi="Garamond" w:cs="Times New Roman"/>
          <w:color w:val="000000" w:themeColor="text1"/>
          <w:sz w:val="24"/>
          <w:szCs w:val="24"/>
          <w:lang w:eastAsia="en-GB"/>
        </w:rPr>
        <w:t xml:space="preserve"> c</w:t>
      </w:r>
      <w:r w:rsidRPr="00411AE0">
        <w:rPr>
          <w:rFonts w:ascii="Garamond" w:eastAsia="Times New Roman" w:hAnsi="Garamond" w:cs="Times New Roman"/>
          <w:color w:val="000000" w:themeColor="text1"/>
          <w:sz w:val="24"/>
          <w:szCs w:val="24"/>
          <w:lang w:eastAsia="en-GB"/>
        </w:rPr>
        <w:t>orporations and nation</w:t>
      </w:r>
      <w:r w:rsidR="00B0650D" w:rsidRPr="00411AE0">
        <w:rPr>
          <w:rFonts w:ascii="Garamond" w:eastAsia="Times New Roman" w:hAnsi="Garamond" w:cs="Times New Roman"/>
          <w:color w:val="000000" w:themeColor="text1"/>
          <w:sz w:val="24"/>
          <w:szCs w:val="24"/>
          <w:lang w:eastAsia="en-GB"/>
        </w:rPr>
        <w:t>-</w:t>
      </w:r>
      <w:r w:rsidRPr="00411AE0">
        <w:rPr>
          <w:rFonts w:ascii="Garamond" w:eastAsia="Times New Roman" w:hAnsi="Garamond" w:cs="Times New Roman"/>
          <w:color w:val="000000" w:themeColor="text1"/>
          <w:sz w:val="24"/>
          <w:szCs w:val="24"/>
          <w:lang w:eastAsia="en-GB"/>
        </w:rPr>
        <w:t>states</w:t>
      </w:r>
      <w:r w:rsidR="00C80793" w:rsidRPr="00411AE0">
        <w:rPr>
          <w:rFonts w:ascii="Garamond" w:eastAsia="Times New Roman" w:hAnsi="Garamond" w:cs="Times New Roman"/>
          <w:color w:val="000000" w:themeColor="text1"/>
          <w:sz w:val="24"/>
          <w:szCs w:val="24"/>
          <w:lang w:eastAsia="en-GB"/>
        </w:rPr>
        <w:t>, as was just implied,</w:t>
      </w:r>
      <w:r w:rsidRPr="00411AE0">
        <w:rPr>
          <w:rFonts w:ascii="Garamond" w:eastAsia="Times New Roman" w:hAnsi="Garamond" w:cs="Times New Roman"/>
          <w:color w:val="000000" w:themeColor="text1"/>
          <w:sz w:val="24"/>
          <w:szCs w:val="24"/>
          <w:lang w:eastAsia="en-GB"/>
        </w:rPr>
        <w:t xml:space="preserve"> </w:t>
      </w:r>
      <w:r w:rsidR="00A26FCD">
        <w:rPr>
          <w:rFonts w:ascii="Garamond" w:eastAsia="Times New Roman" w:hAnsi="Garamond" w:cs="Times New Roman"/>
          <w:color w:val="000000" w:themeColor="text1"/>
          <w:sz w:val="24"/>
          <w:szCs w:val="24"/>
          <w:lang w:eastAsia="en-GB"/>
        </w:rPr>
        <w:t>have historically tended to be</w:t>
      </w:r>
      <w:r w:rsidR="00A26FCD" w:rsidRPr="00411AE0">
        <w:rPr>
          <w:rFonts w:ascii="Garamond" w:eastAsia="Times New Roman" w:hAnsi="Garamond" w:cs="Times New Roman"/>
          <w:color w:val="000000" w:themeColor="text1"/>
          <w:sz w:val="24"/>
          <w:szCs w:val="24"/>
          <w:lang w:eastAsia="en-GB"/>
        </w:rPr>
        <w:t xml:space="preserve"> </w:t>
      </w:r>
      <w:r w:rsidRPr="00411AE0">
        <w:rPr>
          <w:rFonts w:ascii="Garamond" w:eastAsia="Times New Roman" w:hAnsi="Garamond" w:cs="Times New Roman"/>
          <w:color w:val="000000" w:themeColor="text1"/>
          <w:sz w:val="24"/>
          <w:szCs w:val="24"/>
          <w:lang w:eastAsia="en-GB"/>
        </w:rPr>
        <w:t>idealised</w:t>
      </w:r>
      <w:r w:rsidR="00A26FCD">
        <w:rPr>
          <w:rFonts w:ascii="Garamond" w:eastAsia="Times New Roman" w:hAnsi="Garamond" w:cs="Times New Roman"/>
          <w:color w:val="000000" w:themeColor="text1"/>
          <w:sz w:val="24"/>
          <w:szCs w:val="24"/>
          <w:lang w:eastAsia="en-GB"/>
        </w:rPr>
        <w:t>—at an archetypal level—</w:t>
      </w:r>
      <w:r w:rsidR="007323E7" w:rsidRPr="00411AE0">
        <w:rPr>
          <w:rFonts w:ascii="Garamond" w:eastAsia="Times New Roman" w:hAnsi="Garamond" w:cs="Times New Roman"/>
          <w:color w:val="000000" w:themeColor="text1"/>
          <w:sz w:val="24"/>
          <w:szCs w:val="24"/>
          <w:lang w:eastAsia="en-GB"/>
        </w:rPr>
        <w:t xml:space="preserve">as </w:t>
      </w:r>
      <w:r w:rsidR="00B57BF8">
        <w:rPr>
          <w:rFonts w:ascii="Garamond" w:eastAsia="Times New Roman" w:hAnsi="Garamond" w:cs="Times New Roman"/>
          <w:color w:val="000000" w:themeColor="text1"/>
          <w:sz w:val="24"/>
          <w:szCs w:val="24"/>
          <w:lang w:eastAsia="en-GB"/>
        </w:rPr>
        <w:t>id</w:t>
      </w:r>
      <w:r w:rsidR="006347CD">
        <w:rPr>
          <w:rFonts w:ascii="Garamond" w:eastAsia="Times New Roman" w:hAnsi="Garamond" w:cs="Times New Roman"/>
          <w:color w:val="000000" w:themeColor="text1"/>
          <w:sz w:val="24"/>
          <w:szCs w:val="24"/>
          <w:lang w:eastAsia="en-GB"/>
        </w:rPr>
        <w:t>i</w:t>
      </w:r>
      <w:r w:rsidR="00B57BF8">
        <w:rPr>
          <w:rFonts w:ascii="Garamond" w:eastAsia="Times New Roman" w:hAnsi="Garamond" w:cs="Times New Roman"/>
          <w:color w:val="000000" w:themeColor="text1"/>
          <w:sz w:val="24"/>
          <w:szCs w:val="24"/>
          <w:lang w:eastAsia="en-GB"/>
        </w:rPr>
        <w:t>osyncratic</w:t>
      </w:r>
      <w:r w:rsidR="00B57BF8" w:rsidRPr="00411AE0">
        <w:rPr>
          <w:rFonts w:ascii="Garamond" w:eastAsia="Times New Roman" w:hAnsi="Garamond" w:cs="Times New Roman"/>
          <w:color w:val="000000" w:themeColor="text1"/>
          <w:sz w:val="24"/>
          <w:szCs w:val="24"/>
          <w:lang w:eastAsia="en-GB"/>
        </w:rPr>
        <w:t xml:space="preserve"> </w:t>
      </w:r>
      <w:r w:rsidR="007323E7" w:rsidRPr="00411AE0">
        <w:rPr>
          <w:rFonts w:ascii="Garamond" w:eastAsia="Times New Roman" w:hAnsi="Garamond" w:cs="Times New Roman"/>
          <w:color w:val="000000" w:themeColor="text1"/>
          <w:sz w:val="24"/>
          <w:szCs w:val="24"/>
          <w:lang w:eastAsia="en-GB"/>
        </w:rPr>
        <w:t xml:space="preserve">embodiments of </w:t>
      </w:r>
      <w:r w:rsidR="00150E21">
        <w:rPr>
          <w:rFonts w:ascii="Garamond" w:eastAsia="Times New Roman" w:hAnsi="Garamond" w:cs="Times New Roman"/>
          <w:color w:val="000000" w:themeColor="text1"/>
          <w:sz w:val="24"/>
          <w:szCs w:val="24"/>
          <w:lang w:eastAsia="en-GB"/>
        </w:rPr>
        <w:t xml:space="preserve">the </w:t>
      </w:r>
      <w:r w:rsidR="009E1F7B">
        <w:rPr>
          <w:rFonts w:ascii="Garamond" w:eastAsia="Times New Roman" w:hAnsi="Garamond" w:cs="Times New Roman"/>
          <w:color w:val="000000" w:themeColor="text1"/>
          <w:sz w:val="24"/>
          <w:szCs w:val="24"/>
          <w:lang w:eastAsia="en-GB"/>
        </w:rPr>
        <w:t xml:space="preserve">paradigmatic </w:t>
      </w:r>
      <w:r w:rsidRPr="00411AE0">
        <w:rPr>
          <w:rFonts w:ascii="Garamond" w:eastAsia="Times New Roman" w:hAnsi="Garamond" w:cs="Times New Roman"/>
          <w:color w:val="000000" w:themeColor="text1"/>
          <w:sz w:val="24"/>
          <w:szCs w:val="24"/>
          <w:lang w:eastAsia="en-GB"/>
        </w:rPr>
        <w:t>liberal legal actor.</w:t>
      </w:r>
      <w:r w:rsidRPr="00411AE0">
        <w:rPr>
          <w:rStyle w:val="FootnoteReference"/>
          <w:rFonts w:ascii="Garamond" w:eastAsia="Times New Roman" w:hAnsi="Garamond" w:cs="Times New Roman"/>
          <w:color w:val="000000" w:themeColor="text1"/>
          <w:sz w:val="24"/>
          <w:szCs w:val="24"/>
          <w:lang w:eastAsia="en-GB"/>
        </w:rPr>
        <w:footnoteReference w:id="113"/>
      </w:r>
    </w:p>
    <w:p w14:paraId="4CE4A087" w14:textId="549BDA59" w:rsidR="002E3690" w:rsidRDefault="003110D8" w:rsidP="00A17E88">
      <w:pPr>
        <w:spacing w:after="0" w:line="240" w:lineRule="auto"/>
        <w:rPr>
          <w:rFonts w:ascii="Garamond" w:eastAsia="Times New Roman" w:hAnsi="Garamond" w:cs="Times New Roman"/>
          <w:color w:val="000000" w:themeColor="text1"/>
          <w:sz w:val="24"/>
          <w:szCs w:val="24"/>
          <w:lang w:eastAsia="en-GB"/>
        </w:rPr>
      </w:pPr>
      <w:r>
        <w:rPr>
          <w:rFonts w:ascii="Garamond" w:eastAsia="Times New Roman" w:hAnsi="Garamond" w:cs="Times New Roman"/>
          <w:color w:val="000000" w:themeColor="text1"/>
          <w:sz w:val="24"/>
          <w:szCs w:val="24"/>
          <w:lang w:eastAsia="en-GB"/>
        </w:rPr>
        <w:t xml:space="preserve"> </w:t>
      </w:r>
      <w:r>
        <w:rPr>
          <w:rFonts w:ascii="Garamond" w:eastAsia="Times New Roman" w:hAnsi="Garamond" w:cs="Times New Roman"/>
          <w:color w:val="000000" w:themeColor="text1"/>
          <w:sz w:val="24"/>
          <w:szCs w:val="24"/>
          <w:lang w:eastAsia="en-GB"/>
        </w:rPr>
        <w:tab/>
      </w:r>
      <w:r w:rsidR="00830FE5" w:rsidRPr="00411AE0">
        <w:rPr>
          <w:rFonts w:ascii="Garamond" w:eastAsia="Times New Roman" w:hAnsi="Garamond" w:cs="Times New Roman"/>
          <w:color w:val="000000" w:themeColor="text1"/>
          <w:sz w:val="24"/>
          <w:szCs w:val="24"/>
          <w:lang w:eastAsia="en-GB"/>
        </w:rPr>
        <w:t>The relentless prioritisation of proper</w:t>
      </w:r>
      <w:r w:rsidR="00830FE5" w:rsidRPr="003110D8">
        <w:rPr>
          <w:rFonts w:ascii="Garamond" w:eastAsia="Times New Roman" w:hAnsi="Garamond" w:cs="Times New Roman"/>
          <w:color w:val="000000" w:themeColor="text1"/>
          <w:sz w:val="24"/>
          <w:szCs w:val="24"/>
          <w:lang w:eastAsia="en-GB"/>
        </w:rPr>
        <w:t>t</w:t>
      </w:r>
      <w:r>
        <w:rPr>
          <w:rFonts w:ascii="Garamond" w:eastAsia="Times New Roman" w:hAnsi="Garamond" w:cs="Times New Roman"/>
          <w:color w:val="000000" w:themeColor="text1"/>
          <w:sz w:val="24"/>
          <w:szCs w:val="24"/>
          <w:lang w:eastAsia="en-GB"/>
        </w:rPr>
        <w:t>y</w:t>
      </w:r>
      <w:r w:rsidR="00830FE5" w:rsidRPr="003110D8">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 xml:space="preserve">and </w:t>
      </w:r>
      <w:r w:rsidR="00330D86" w:rsidRPr="00411AE0">
        <w:rPr>
          <w:rFonts w:ascii="Garamond" w:eastAsia="Times New Roman" w:hAnsi="Garamond" w:cs="Times New Roman"/>
          <w:color w:val="000000" w:themeColor="text1"/>
          <w:sz w:val="24"/>
          <w:szCs w:val="24"/>
          <w:lang w:eastAsia="en-GB"/>
        </w:rPr>
        <w:t>its owners</w:t>
      </w:r>
      <w:r w:rsidR="00830FE5" w:rsidRPr="00411AE0">
        <w:rPr>
          <w:rFonts w:ascii="Garamond" w:eastAsia="Times New Roman" w:hAnsi="Garamond" w:cs="Times New Roman"/>
          <w:color w:val="000000" w:themeColor="text1"/>
          <w:sz w:val="24"/>
          <w:szCs w:val="24"/>
          <w:lang w:eastAsia="en-GB"/>
        </w:rPr>
        <w:t xml:space="preserve"> </w:t>
      </w:r>
      <w:r>
        <w:rPr>
          <w:rFonts w:ascii="Garamond" w:eastAsia="Times New Roman" w:hAnsi="Garamond" w:cs="Times New Roman"/>
          <w:color w:val="000000" w:themeColor="text1"/>
          <w:sz w:val="24"/>
          <w:szCs w:val="24"/>
          <w:lang w:eastAsia="en-GB"/>
        </w:rPr>
        <w:t xml:space="preserve">central to such patterns </w:t>
      </w:r>
      <w:r w:rsidR="003C3A4F" w:rsidRPr="00411AE0">
        <w:rPr>
          <w:rFonts w:ascii="Garamond" w:eastAsia="Times New Roman" w:hAnsi="Garamond" w:cs="Times New Roman"/>
          <w:color w:val="000000" w:themeColor="text1"/>
          <w:sz w:val="24"/>
          <w:szCs w:val="24"/>
          <w:lang w:eastAsia="en-GB"/>
        </w:rPr>
        <w:t xml:space="preserve">is </w:t>
      </w:r>
      <w:r w:rsidR="00357E1D" w:rsidRPr="00411AE0">
        <w:rPr>
          <w:rFonts w:ascii="Garamond" w:eastAsia="Times New Roman" w:hAnsi="Garamond" w:cs="Times New Roman"/>
          <w:color w:val="000000" w:themeColor="text1"/>
          <w:sz w:val="24"/>
          <w:szCs w:val="24"/>
          <w:lang w:eastAsia="en-GB"/>
        </w:rPr>
        <w:t>thoroughly visible</w:t>
      </w:r>
      <w:r w:rsidR="003C3A4F" w:rsidRPr="00411AE0">
        <w:rPr>
          <w:rFonts w:ascii="Garamond" w:eastAsia="Times New Roman" w:hAnsi="Garamond" w:cs="Times New Roman"/>
          <w:color w:val="000000" w:themeColor="text1"/>
          <w:sz w:val="24"/>
          <w:szCs w:val="24"/>
          <w:lang w:eastAsia="en-GB"/>
        </w:rPr>
        <w:t xml:space="preserve"> in </w:t>
      </w:r>
      <w:r w:rsidR="009A772E" w:rsidRPr="00411AE0">
        <w:rPr>
          <w:rFonts w:ascii="Garamond" w:eastAsia="Times New Roman" w:hAnsi="Garamond" w:cs="Times New Roman"/>
          <w:color w:val="000000" w:themeColor="text1"/>
          <w:sz w:val="24"/>
          <w:szCs w:val="24"/>
          <w:lang w:eastAsia="en-GB"/>
        </w:rPr>
        <w:t xml:space="preserve">rights-based national constitutions </w:t>
      </w:r>
      <w:r w:rsidR="00357E1D" w:rsidRPr="00411AE0">
        <w:rPr>
          <w:rFonts w:ascii="Garamond" w:eastAsia="Times New Roman" w:hAnsi="Garamond" w:cs="Times New Roman"/>
          <w:color w:val="000000" w:themeColor="text1"/>
          <w:sz w:val="24"/>
          <w:szCs w:val="24"/>
          <w:lang w:eastAsia="en-GB"/>
        </w:rPr>
        <w:t xml:space="preserve">in </w:t>
      </w:r>
      <w:r w:rsidR="00830FE5" w:rsidRPr="00411AE0">
        <w:rPr>
          <w:rFonts w:ascii="Garamond" w:eastAsia="Times New Roman" w:hAnsi="Garamond" w:cs="Times New Roman"/>
          <w:color w:val="000000" w:themeColor="text1"/>
          <w:sz w:val="24"/>
          <w:szCs w:val="24"/>
          <w:lang w:eastAsia="en-GB"/>
        </w:rPr>
        <w:t>Europe and the US</w:t>
      </w:r>
      <w:r w:rsidR="009A772E"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14"/>
      </w:r>
      <w:r w:rsidR="009A772E" w:rsidRPr="00411AE0">
        <w:rPr>
          <w:rFonts w:ascii="Garamond" w:eastAsia="Times New Roman" w:hAnsi="Garamond" w:cs="Times New Roman"/>
          <w:color w:val="000000" w:themeColor="text1"/>
          <w:sz w:val="24"/>
          <w:szCs w:val="24"/>
          <w:lang w:eastAsia="en-GB"/>
        </w:rPr>
        <w:t xml:space="preserve"> testament not only to the historical influence of propertied elites, but </w:t>
      </w:r>
      <w:r>
        <w:rPr>
          <w:rFonts w:ascii="Garamond" w:eastAsia="Times New Roman" w:hAnsi="Garamond" w:cs="Times New Roman"/>
          <w:color w:val="000000" w:themeColor="text1"/>
          <w:sz w:val="24"/>
          <w:szCs w:val="24"/>
          <w:lang w:eastAsia="en-GB"/>
        </w:rPr>
        <w:t xml:space="preserve">also </w:t>
      </w:r>
      <w:r w:rsidR="009A772E" w:rsidRPr="00411AE0">
        <w:rPr>
          <w:rFonts w:ascii="Garamond" w:eastAsia="Times New Roman" w:hAnsi="Garamond" w:cs="Times New Roman"/>
          <w:color w:val="000000" w:themeColor="text1"/>
          <w:sz w:val="24"/>
          <w:szCs w:val="24"/>
          <w:lang w:eastAsia="en-GB"/>
        </w:rPr>
        <w:t>directly continuous with the corporation-centred ‘new global constitutionalism’ of the neoliberal order</w:t>
      </w:r>
      <w:r w:rsidR="00357E1D"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15"/>
      </w:r>
      <w:r w:rsidR="00830FE5"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br/>
      </w:r>
      <w:r w:rsidR="00830FE5" w:rsidRPr="00411AE0">
        <w:rPr>
          <w:rFonts w:ascii="Garamond" w:eastAsia="Times New Roman" w:hAnsi="Garamond" w:cs="Times New Roman"/>
          <w:color w:val="000000" w:themeColor="text1"/>
          <w:sz w:val="24"/>
          <w:szCs w:val="24"/>
          <w:lang w:eastAsia="en-GB"/>
        </w:rPr>
        <w:tab/>
      </w:r>
      <w:r w:rsidR="00947626" w:rsidRPr="00411AE0">
        <w:rPr>
          <w:rFonts w:ascii="Garamond" w:eastAsia="Times New Roman" w:hAnsi="Garamond" w:cs="Times New Roman"/>
          <w:color w:val="000000" w:themeColor="text1"/>
          <w:sz w:val="24"/>
          <w:szCs w:val="24"/>
          <w:lang w:eastAsia="en-GB"/>
        </w:rPr>
        <w:t>T</w:t>
      </w:r>
      <w:r w:rsidR="00830FE5" w:rsidRPr="00411AE0">
        <w:rPr>
          <w:rFonts w:ascii="Garamond" w:eastAsia="Times New Roman" w:hAnsi="Garamond" w:cs="Times New Roman"/>
          <w:color w:val="000000" w:themeColor="text1"/>
          <w:sz w:val="24"/>
          <w:szCs w:val="24"/>
          <w:lang w:eastAsia="en-GB"/>
        </w:rPr>
        <w:t xml:space="preserve">he construct of the legal person is </w:t>
      </w:r>
      <w:r w:rsidR="00947626" w:rsidRPr="00411AE0">
        <w:rPr>
          <w:rFonts w:ascii="Garamond" w:eastAsia="Times New Roman" w:hAnsi="Garamond" w:cs="Times New Roman"/>
          <w:color w:val="000000" w:themeColor="text1"/>
          <w:sz w:val="24"/>
          <w:szCs w:val="24"/>
          <w:lang w:eastAsia="en-GB"/>
        </w:rPr>
        <w:t xml:space="preserve">thus </w:t>
      </w:r>
      <w:r w:rsidR="00830FE5" w:rsidRPr="00411AE0">
        <w:rPr>
          <w:rFonts w:ascii="Garamond" w:eastAsia="Times New Roman" w:hAnsi="Garamond" w:cs="Times New Roman"/>
          <w:color w:val="000000" w:themeColor="text1"/>
          <w:sz w:val="24"/>
          <w:szCs w:val="24"/>
          <w:lang w:eastAsia="en-GB"/>
        </w:rPr>
        <w:t>legible as a property-</w:t>
      </w:r>
      <w:r w:rsidR="00EB33C7" w:rsidRPr="00411AE0">
        <w:rPr>
          <w:rFonts w:ascii="Garamond" w:eastAsia="Times New Roman" w:hAnsi="Garamond" w:cs="Times New Roman"/>
          <w:color w:val="000000" w:themeColor="text1"/>
          <w:sz w:val="24"/>
          <w:szCs w:val="24"/>
          <w:lang w:eastAsia="en-GB"/>
        </w:rPr>
        <w:t xml:space="preserve">centred </w:t>
      </w:r>
      <w:r w:rsidR="00830FE5" w:rsidRPr="00411AE0">
        <w:rPr>
          <w:rFonts w:ascii="Garamond" w:eastAsia="Times New Roman" w:hAnsi="Garamond" w:cs="Times New Roman"/>
          <w:color w:val="000000" w:themeColor="text1"/>
          <w:sz w:val="24"/>
          <w:szCs w:val="24"/>
          <w:lang w:eastAsia="en-GB"/>
        </w:rPr>
        <w:t xml:space="preserve">assemblage that </w:t>
      </w:r>
      <w:r w:rsidR="00EB33C7" w:rsidRPr="00411AE0">
        <w:rPr>
          <w:rFonts w:ascii="Garamond" w:eastAsia="Times New Roman" w:hAnsi="Garamond" w:cs="Times New Roman"/>
          <w:color w:val="000000" w:themeColor="text1"/>
          <w:sz w:val="24"/>
          <w:szCs w:val="24"/>
          <w:lang w:eastAsia="en-GB"/>
        </w:rPr>
        <w:t>conditions</w:t>
      </w:r>
      <w:r w:rsidR="00830FE5" w:rsidRPr="00411AE0">
        <w:rPr>
          <w:rFonts w:ascii="Garamond" w:eastAsia="Times New Roman" w:hAnsi="Garamond" w:cs="Times New Roman"/>
          <w:color w:val="000000" w:themeColor="text1"/>
          <w:sz w:val="24"/>
          <w:szCs w:val="24"/>
          <w:lang w:eastAsia="en-GB"/>
        </w:rPr>
        <w:t xml:space="preserve"> multiple sites of </w:t>
      </w:r>
      <w:r w:rsidR="00B87E28">
        <w:rPr>
          <w:rFonts w:ascii="Garamond" w:eastAsia="Times New Roman" w:hAnsi="Garamond" w:cs="Times New Roman"/>
          <w:color w:val="000000" w:themeColor="text1"/>
          <w:sz w:val="24"/>
          <w:szCs w:val="24"/>
          <w:lang w:eastAsia="en-GB"/>
        </w:rPr>
        <w:t xml:space="preserve">capitalistic </w:t>
      </w:r>
      <w:r w:rsidR="00B30C53" w:rsidRPr="00411AE0">
        <w:rPr>
          <w:rFonts w:ascii="Garamond" w:eastAsia="Times New Roman" w:hAnsi="Garamond" w:cs="Times New Roman"/>
          <w:color w:val="000000" w:themeColor="text1"/>
          <w:sz w:val="24"/>
          <w:szCs w:val="24"/>
          <w:lang w:eastAsia="en-GB"/>
        </w:rPr>
        <w:t xml:space="preserve">biopolitical </w:t>
      </w:r>
      <w:r w:rsidR="00830FE5" w:rsidRPr="00411AE0">
        <w:rPr>
          <w:rFonts w:ascii="Garamond" w:eastAsia="Times New Roman" w:hAnsi="Garamond" w:cs="Times New Roman"/>
          <w:color w:val="000000" w:themeColor="text1"/>
          <w:sz w:val="24"/>
          <w:szCs w:val="24"/>
          <w:lang w:eastAsia="en-GB"/>
        </w:rPr>
        <w:t xml:space="preserve">governance. Legal personhood </w:t>
      </w:r>
      <w:r w:rsidR="006748D4" w:rsidRPr="00411AE0">
        <w:rPr>
          <w:rFonts w:ascii="Garamond" w:eastAsia="Times New Roman" w:hAnsi="Garamond" w:cs="Times New Roman"/>
          <w:color w:val="000000" w:themeColor="text1"/>
          <w:sz w:val="24"/>
          <w:szCs w:val="24"/>
          <w:lang w:eastAsia="en-GB"/>
        </w:rPr>
        <w:t>is</w:t>
      </w:r>
      <w:r w:rsidR="00830FE5" w:rsidRPr="00411AE0">
        <w:rPr>
          <w:rFonts w:ascii="Garamond" w:eastAsia="Times New Roman" w:hAnsi="Garamond" w:cs="Times New Roman"/>
          <w:color w:val="000000" w:themeColor="text1"/>
          <w:sz w:val="24"/>
          <w:szCs w:val="24"/>
          <w:lang w:eastAsia="en-GB"/>
        </w:rPr>
        <w:t xml:space="preserve"> a pivotal and mutable ideological tool for </w:t>
      </w:r>
      <w:r w:rsidR="003A3826" w:rsidRPr="00411AE0">
        <w:rPr>
          <w:rFonts w:ascii="Garamond" w:eastAsia="Times New Roman" w:hAnsi="Garamond" w:cs="Times New Roman"/>
          <w:color w:val="000000" w:themeColor="text1"/>
          <w:sz w:val="24"/>
          <w:szCs w:val="24"/>
          <w:lang w:eastAsia="en-GB"/>
        </w:rPr>
        <w:t>mediating</w:t>
      </w:r>
      <w:r w:rsidR="00830FE5" w:rsidRPr="00411AE0">
        <w:rPr>
          <w:rFonts w:ascii="Garamond" w:eastAsia="Times New Roman" w:hAnsi="Garamond" w:cs="Times New Roman"/>
          <w:color w:val="000000" w:themeColor="text1"/>
          <w:sz w:val="24"/>
          <w:szCs w:val="24"/>
          <w:lang w:eastAsia="en-GB"/>
        </w:rPr>
        <w:t xml:space="preserve"> exclusionary power relations</w:t>
      </w:r>
      <w:r w:rsidR="00830FE5" w:rsidRPr="003F045F">
        <w:rPr>
          <w:rFonts w:ascii="Garamond" w:eastAsia="Times New Roman" w:hAnsi="Garamond" w:cs="Times New Roman"/>
          <w:color w:val="000000" w:themeColor="text1"/>
          <w:sz w:val="24"/>
          <w:szCs w:val="24"/>
          <w:lang w:eastAsia="en-GB"/>
        </w:rPr>
        <w:t xml:space="preserve">. It is also key to </w:t>
      </w:r>
      <w:r w:rsidR="00C62622" w:rsidRPr="003F045F">
        <w:rPr>
          <w:rFonts w:ascii="Garamond" w:eastAsia="Times New Roman" w:hAnsi="Garamond" w:cs="Times New Roman"/>
          <w:color w:val="000000" w:themeColor="text1"/>
          <w:sz w:val="24"/>
          <w:szCs w:val="24"/>
          <w:lang w:eastAsia="en-GB"/>
        </w:rPr>
        <w:t>privilege of corporations</w:t>
      </w:r>
      <w:r w:rsidR="00830FE5" w:rsidRPr="003F045F">
        <w:rPr>
          <w:rStyle w:val="FootnoteReference"/>
          <w:rFonts w:ascii="Garamond" w:eastAsia="Times New Roman" w:hAnsi="Garamond" w:cs="Times New Roman"/>
          <w:color w:val="000000" w:themeColor="text1"/>
          <w:sz w:val="24"/>
          <w:szCs w:val="24"/>
          <w:lang w:eastAsia="en-GB"/>
        </w:rPr>
        <w:footnoteReference w:id="116"/>
      </w:r>
      <w:r w:rsidR="00830FE5" w:rsidRPr="003F045F">
        <w:rPr>
          <w:rFonts w:ascii="Garamond" w:eastAsia="Times New Roman" w:hAnsi="Garamond" w:cs="Times New Roman"/>
          <w:color w:val="000000" w:themeColor="text1"/>
          <w:sz w:val="24"/>
          <w:szCs w:val="24"/>
          <w:lang w:eastAsia="en-GB"/>
        </w:rPr>
        <w:t xml:space="preserve">and </w:t>
      </w:r>
      <w:r w:rsidR="00C17A00" w:rsidRPr="003F045F">
        <w:rPr>
          <w:rFonts w:ascii="Garamond" w:eastAsia="Times New Roman" w:hAnsi="Garamond" w:cs="Times New Roman"/>
          <w:color w:val="000000" w:themeColor="text1"/>
          <w:sz w:val="24"/>
          <w:szCs w:val="24"/>
          <w:lang w:eastAsia="en-GB"/>
        </w:rPr>
        <w:t xml:space="preserve">equally pivotal to </w:t>
      </w:r>
      <w:r w:rsidR="00830FE5" w:rsidRPr="003F045F">
        <w:rPr>
          <w:rFonts w:ascii="Garamond" w:eastAsia="Times New Roman" w:hAnsi="Garamond" w:cs="Times New Roman"/>
          <w:color w:val="000000" w:themeColor="text1"/>
          <w:sz w:val="24"/>
          <w:szCs w:val="24"/>
          <w:lang w:eastAsia="en-GB"/>
        </w:rPr>
        <w:t xml:space="preserve">the </w:t>
      </w:r>
      <w:r w:rsidR="00C62622" w:rsidRPr="003F045F">
        <w:rPr>
          <w:rFonts w:ascii="Garamond" w:eastAsia="Times New Roman" w:hAnsi="Garamond" w:cs="Times New Roman"/>
          <w:color w:val="000000" w:themeColor="text1"/>
          <w:sz w:val="24"/>
          <w:szCs w:val="24"/>
          <w:lang w:eastAsia="en-GB"/>
        </w:rPr>
        <w:t>production of marginalised subject</w:t>
      </w:r>
      <w:r w:rsidR="003C65A4">
        <w:rPr>
          <w:rFonts w:ascii="Garamond" w:eastAsia="Times New Roman" w:hAnsi="Garamond" w:cs="Times New Roman"/>
          <w:color w:val="000000" w:themeColor="text1"/>
          <w:sz w:val="24"/>
          <w:szCs w:val="24"/>
          <w:lang w:eastAsia="en-GB"/>
        </w:rPr>
        <w:t>s</w:t>
      </w:r>
      <w:r w:rsidR="00830FE5" w:rsidRPr="003F045F">
        <w:rPr>
          <w:rFonts w:ascii="Garamond" w:eastAsia="Times New Roman" w:hAnsi="Garamond" w:cs="Times New Roman"/>
          <w:color w:val="000000" w:themeColor="text1"/>
          <w:sz w:val="24"/>
          <w:szCs w:val="24"/>
          <w:lang w:eastAsia="en-GB"/>
        </w:rPr>
        <w:t xml:space="preserve"> intransigently marked as </w:t>
      </w:r>
      <w:r w:rsidR="00B87E28" w:rsidRPr="003F045F">
        <w:rPr>
          <w:rFonts w:ascii="Garamond" w:eastAsia="Times New Roman" w:hAnsi="Garamond" w:cs="Times New Roman"/>
          <w:color w:val="000000" w:themeColor="text1"/>
          <w:sz w:val="24"/>
          <w:szCs w:val="24"/>
          <w:lang w:eastAsia="en-GB"/>
        </w:rPr>
        <w:t xml:space="preserve">law’s </w:t>
      </w:r>
      <w:r w:rsidR="00830FE5" w:rsidRPr="003F045F">
        <w:rPr>
          <w:rFonts w:ascii="Garamond" w:eastAsia="Times New Roman" w:hAnsi="Garamond" w:cs="Times New Roman"/>
          <w:color w:val="000000" w:themeColor="text1"/>
          <w:sz w:val="24"/>
          <w:szCs w:val="24"/>
          <w:lang w:eastAsia="en-GB"/>
        </w:rPr>
        <w:t>‘outsiders’.</w:t>
      </w:r>
      <w:r w:rsidR="003C65A4">
        <w:rPr>
          <w:rStyle w:val="FootnoteReference"/>
          <w:rFonts w:ascii="Garamond" w:eastAsia="Times New Roman" w:hAnsi="Garamond" w:cs="Times New Roman"/>
          <w:color w:val="000000" w:themeColor="text1"/>
          <w:sz w:val="24"/>
          <w:szCs w:val="24"/>
          <w:lang w:eastAsia="en-GB"/>
        </w:rPr>
        <w:footnoteReference w:id="117"/>
      </w:r>
      <w:r w:rsidR="00EF0E9B" w:rsidRPr="00411AE0">
        <w:rPr>
          <w:rFonts w:ascii="Garamond" w:eastAsia="Times New Roman" w:hAnsi="Garamond" w:cs="Times New Roman"/>
          <w:color w:val="000000" w:themeColor="text1"/>
          <w:sz w:val="24"/>
          <w:szCs w:val="24"/>
          <w:lang w:eastAsia="en-GB"/>
        </w:rPr>
        <w:t xml:space="preserve"> </w:t>
      </w:r>
      <w:r w:rsidR="00B53EC2">
        <w:rPr>
          <w:rFonts w:ascii="Garamond" w:eastAsia="Times New Roman" w:hAnsi="Garamond" w:cs="Times New Roman"/>
          <w:color w:val="000000" w:themeColor="text1"/>
          <w:sz w:val="24"/>
          <w:szCs w:val="24"/>
          <w:lang w:eastAsia="en-GB"/>
        </w:rPr>
        <w:br/>
        <w:t xml:space="preserve"> </w:t>
      </w:r>
      <w:r w:rsidR="00B53EC2">
        <w:rPr>
          <w:rFonts w:ascii="Garamond" w:eastAsia="Times New Roman" w:hAnsi="Garamond" w:cs="Times New Roman"/>
          <w:color w:val="000000" w:themeColor="text1"/>
          <w:sz w:val="24"/>
          <w:szCs w:val="24"/>
          <w:lang w:eastAsia="en-GB"/>
        </w:rPr>
        <w:tab/>
      </w:r>
      <w:r w:rsidR="00830FE5" w:rsidRPr="00411AE0">
        <w:rPr>
          <w:rFonts w:ascii="Garamond" w:eastAsia="Times New Roman" w:hAnsi="Garamond" w:cs="Times New Roman"/>
          <w:color w:val="000000" w:themeColor="text1"/>
          <w:sz w:val="24"/>
          <w:szCs w:val="24"/>
          <w:lang w:eastAsia="en-GB"/>
        </w:rPr>
        <w:t xml:space="preserve">Against </w:t>
      </w:r>
      <w:r w:rsidR="004221F2" w:rsidRPr="00411AE0">
        <w:rPr>
          <w:rFonts w:ascii="Garamond" w:eastAsia="Times New Roman" w:hAnsi="Garamond" w:cs="Times New Roman"/>
          <w:color w:val="000000" w:themeColor="text1"/>
          <w:sz w:val="24"/>
          <w:szCs w:val="24"/>
          <w:lang w:eastAsia="en-GB"/>
        </w:rPr>
        <w:t>this</w:t>
      </w:r>
      <w:r w:rsidR="00830FE5" w:rsidRPr="00411AE0">
        <w:rPr>
          <w:rFonts w:ascii="Garamond" w:eastAsia="Times New Roman" w:hAnsi="Garamond" w:cs="Times New Roman"/>
          <w:color w:val="000000" w:themeColor="text1"/>
          <w:sz w:val="24"/>
          <w:szCs w:val="24"/>
          <w:lang w:eastAsia="en-GB"/>
        </w:rPr>
        <w:t xml:space="preserve"> background, and </w:t>
      </w:r>
      <w:r w:rsidR="00C17A00" w:rsidRPr="00411AE0">
        <w:rPr>
          <w:rFonts w:ascii="Garamond" w:eastAsia="Times New Roman" w:hAnsi="Garamond" w:cs="Times New Roman"/>
          <w:color w:val="000000" w:themeColor="text1"/>
          <w:sz w:val="24"/>
          <w:szCs w:val="24"/>
          <w:lang w:eastAsia="en-GB"/>
        </w:rPr>
        <w:t xml:space="preserve">read against the long history of rights claims </w:t>
      </w:r>
      <w:r w:rsidR="00EF0E9B" w:rsidRPr="00411AE0">
        <w:rPr>
          <w:rFonts w:ascii="Garamond" w:eastAsia="Times New Roman" w:hAnsi="Garamond" w:cs="Times New Roman"/>
          <w:color w:val="000000" w:themeColor="text1"/>
          <w:sz w:val="24"/>
          <w:szCs w:val="24"/>
          <w:lang w:eastAsia="en-GB"/>
        </w:rPr>
        <w:t xml:space="preserve">turning, </w:t>
      </w:r>
      <w:r w:rsidR="00660990" w:rsidRPr="00411AE0">
        <w:rPr>
          <w:rFonts w:ascii="Garamond" w:eastAsia="Times New Roman" w:hAnsi="Garamond" w:cs="Times New Roman"/>
          <w:color w:val="000000" w:themeColor="text1"/>
          <w:sz w:val="24"/>
          <w:szCs w:val="24"/>
          <w:lang w:eastAsia="en-GB"/>
        </w:rPr>
        <w:t>in the process of institutionalisation</w:t>
      </w:r>
      <w:r w:rsidR="00EF0E9B" w:rsidRPr="00411AE0">
        <w:rPr>
          <w:rFonts w:ascii="Garamond" w:eastAsia="Times New Roman" w:hAnsi="Garamond" w:cs="Times New Roman"/>
          <w:color w:val="000000" w:themeColor="text1"/>
          <w:sz w:val="24"/>
          <w:szCs w:val="24"/>
          <w:lang w:eastAsia="en-GB"/>
        </w:rPr>
        <w:t>,</w:t>
      </w:r>
      <w:r w:rsidR="00C17A00" w:rsidRPr="00411AE0">
        <w:rPr>
          <w:rFonts w:ascii="Garamond" w:eastAsia="Times New Roman" w:hAnsi="Garamond" w:cs="Times New Roman"/>
          <w:color w:val="000000" w:themeColor="text1"/>
          <w:sz w:val="24"/>
          <w:szCs w:val="24"/>
          <w:lang w:eastAsia="en-GB"/>
        </w:rPr>
        <w:t xml:space="preserve"> </w:t>
      </w:r>
      <w:r w:rsidR="00EF0E9B" w:rsidRPr="00411AE0">
        <w:rPr>
          <w:rFonts w:ascii="Garamond" w:eastAsia="Times New Roman" w:hAnsi="Garamond" w:cs="Times New Roman"/>
          <w:color w:val="000000" w:themeColor="text1"/>
          <w:sz w:val="24"/>
          <w:szCs w:val="24"/>
          <w:lang w:eastAsia="en-GB"/>
        </w:rPr>
        <w:t>towards the re-inscription of the</w:t>
      </w:r>
      <w:r w:rsidR="00660990" w:rsidRPr="00411AE0">
        <w:rPr>
          <w:rFonts w:ascii="Garamond" w:eastAsia="Times New Roman" w:hAnsi="Garamond" w:cs="Times New Roman"/>
          <w:color w:val="000000" w:themeColor="text1"/>
          <w:sz w:val="24"/>
          <w:szCs w:val="24"/>
          <w:lang w:eastAsia="en-GB"/>
        </w:rPr>
        <w:t xml:space="preserve"> </w:t>
      </w:r>
      <w:r w:rsidR="00C17A00" w:rsidRPr="00411AE0">
        <w:rPr>
          <w:rFonts w:ascii="Garamond" w:eastAsia="Times New Roman" w:hAnsi="Garamond" w:cs="Times New Roman"/>
          <w:color w:val="000000" w:themeColor="text1"/>
          <w:sz w:val="24"/>
          <w:szCs w:val="24"/>
          <w:lang w:eastAsia="en-GB"/>
        </w:rPr>
        <w:t>rights of men of property</w:t>
      </w:r>
      <w:r w:rsidR="00830FE5" w:rsidRPr="00411AE0">
        <w:rPr>
          <w:rFonts w:ascii="Garamond" w:eastAsia="Times New Roman" w:hAnsi="Garamond" w:cs="Times New Roman"/>
          <w:color w:val="000000" w:themeColor="text1"/>
          <w:sz w:val="24"/>
          <w:szCs w:val="24"/>
          <w:lang w:eastAsia="en-GB"/>
        </w:rPr>
        <w:t>,</w:t>
      </w:r>
      <w:r w:rsidR="00DD3C93" w:rsidRPr="00411AE0">
        <w:rPr>
          <w:rStyle w:val="FootnoteReference"/>
          <w:rFonts w:ascii="Garamond" w:eastAsia="Times New Roman" w:hAnsi="Garamond" w:cs="Times New Roman"/>
          <w:color w:val="000000" w:themeColor="text1"/>
          <w:sz w:val="24"/>
          <w:szCs w:val="24"/>
          <w:lang w:eastAsia="en-GB"/>
        </w:rPr>
        <w:footnoteReference w:id="118"/>
      </w:r>
      <w:r w:rsidR="00830FE5" w:rsidRPr="00411AE0">
        <w:rPr>
          <w:rFonts w:ascii="Garamond" w:eastAsia="Times New Roman" w:hAnsi="Garamond" w:cs="Times New Roman"/>
          <w:color w:val="000000" w:themeColor="text1"/>
          <w:sz w:val="24"/>
          <w:szCs w:val="24"/>
          <w:lang w:eastAsia="en-GB"/>
        </w:rPr>
        <w:t xml:space="preserve"> it is easy to see why business corporations have accrued a form of corporate legal humanity</w:t>
      </w:r>
      <w:r w:rsidR="00830FE5" w:rsidRPr="00411AE0">
        <w:rPr>
          <w:rStyle w:val="FootnoteReference"/>
          <w:rFonts w:ascii="Garamond" w:eastAsia="Times New Roman" w:hAnsi="Garamond" w:cs="Times New Roman"/>
          <w:color w:val="000000" w:themeColor="text1"/>
          <w:sz w:val="24"/>
          <w:szCs w:val="24"/>
          <w:lang w:eastAsia="en-GB"/>
        </w:rPr>
        <w:footnoteReference w:id="119"/>
      </w:r>
      <w:r w:rsidR="00830FE5" w:rsidRPr="00411AE0">
        <w:rPr>
          <w:rFonts w:ascii="Garamond" w:eastAsia="Times New Roman" w:hAnsi="Garamond" w:cs="Times New Roman"/>
          <w:color w:val="000000" w:themeColor="text1"/>
          <w:sz w:val="24"/>
          <w:szCs w:val="24"/>
          <w:lang w:eastAsia="en-GB"/>
        </w:rPr>
        <w:t xml:space="preserve"> </w:t>
      </w:r>
      <w:r w:rsidR="00863CA4">
        <w:rPr>
          <w:rFonts w:ascii="Garamond" w:eastAsia="Times New Roman" w:hAnsi="Garamond" w:cs="Times New Roman"/>
          <w:color w:val="000000" w:themeColor="text1"/>
          <w:sz w:val="24"/>
          <w:szCs w:val="24"/>
          <w:lang w:eastAsia="en-GB"/>
        </w:rPr>
        <w:t xml:space="preserve">through the </w:t>
      </w:r>
      <w:r w:rsidR="00EF0E9B" w:rsidRPr="00411AE0">
        <w:rPr>
          <w:rFonts w:ascii="Garamond" w:eastAsia="Times New Roman" w:hAnsi="Garamond" w:cs="Times New Roman"/>
          <w:color w:val="000000" w:themeColor="text1"/>
          <w:sz w:val="24"/>
          <w:szCs w:val="24"/>
          <w:lang w:eastAsia="en-GB"/>
        </w:rPr>
        <w:t>accumulati</w:t>
      </w:r>
      <w:r w:rsidR="00863CA4">
        <w:rPr>
          <w:rFonts w:ascii="Garamond" w:eastAsia="Times New Roman" w:hAnsi="Garamond" w:cs="Times New Roman"/>
          <w:color w:val="000000" w:themeColor="text1"/>
          <w:sz w:val="24"/>
          <w:szCs w:val="24"/>
          <w:lang w:eastAsia="en-GB"/>
        </w:rPr>
        <w:t>on of</w:t>
      </w:r>
      <w:r w:rsidR="00660990" w:rsidRPr="00411AE0">
        <w:rPr>
          <w:rFonts w:ascii="Garamond" w:eastAsia="Times New Roman" w:hAnsi="Garamond" w:cs="Times New Roman"/>
          <w:color w:val="000000" w:themeColor="text1"/>
          <w:sz w:val="24"/>
          <w:szCs w:val="24"/>
          <w:lang w:eastAsia="en-GB"/>
        </w:rPr>
        <w:t xml:space="preserve"> rights originally reserved for the elite humans in whose image and interests they were first formed</w:t>
      </w:r>
      <w:r w:rsidR="00830FE5"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20"/>
      </w:r>
      <w:r w:rsidR="00830FE5" w:rsidRPr="00411AE0">
        <w:rPr>
          <w:rFonts w:ascii="Garamond" w:eastAsia="Times New Roman" w:hAnsi="Garamond" w:cs="Times New Roman"/>
          <w:color w:val="000000" w:themeColor="text1"/>
          <w:sz w:val="24"/>
          <w:szCs w:val="24"/>
          <w:lang w:eastAsia="en-GB"/>
        </w:rPr>
        <w:t xml:space="preserve"> </w:t>
      </w:r>
      <w:r w:rsidR="00D4262E" w:rsidRPr="00411AE0">
        <w:rPr>
          <w:rFonts w:ascii="Garamond" w:eastAsia="Times New Roman" w:hAnsi="Garamond" w:cs="Times New Roman"/>
          <w:color w:val="000000" w:themeColor="text1"/>
          <w:sz w:val="24"/>
          <w:szCs w:val="24"/>
          <w:lang w:eastAsia="en-GB"/>
        </w:rPr>
        <w:t xml:space="preserve">The consequences of </w:t>
      </w:r>
      <w:r w:rsidR="00D4262E" w:rsidRPr="00800838">
        <w:rPr>
          <w:rFonts w:ascii="Garamond" w:eastAsia="Times New Roman" w:hAnsi="Garamond" w:cs="Times New Roman"/>
          <w:color w:val="000000" w:themeColor="text1"/>
          <w:sz w:val="24"/>
          <w:szCs w:val="24"/>
          <w:lang w:eastAsia="en-GB"/>
        </w:rPr>
        <w:t>the ways in which legal personhood is constructed</w:t>
      </w:r>
      <w:r w:rsidR="001608A6">
        <w:rPr>
          <w:rFonts w:ascii="Garamond" w:eastAsia="Times New Roman" w:hAnsi="Garamond" w:cs="Times New Roman"/>
          <w:color w:val="000000" w:themeColor="text1"/>
          <w:sz w:val="24"/>
          <w:szCs w:val="24"/>
          <w:lang w:eastAsia="en-GB"/>
        </w:rPr>
        <w:t>,</w:t>
      </w:r>
      <w:r w:rsidR="00D4262E" w:rsidRPr="00800838">
        <w:rPr>
          <w:rFonts w:ascii="Garamond" w:eastAsia="Times New Roman" w:hAnsi="Garamond" w:cs="Times New Roman"/>
          <w:color w:val="000000" w:themeColor="text1"/>
          <w:sz w:val="24"/>
          <w:szCs w:val="24"/>
          <w:lang w:eastAsia="en-GB"/>
        </w:rPr>
        <w:t xml:space="preserve"> </w:t>
      </w:r>
      <w:r w:rsidR="00BC7635" w:rsidRPr="00800838">
        <w:rPr>
          <w:rFonts w:ascii="Garamond" w:eastAsia="Times New Roman" w:hAnsi="Garamond" w:cs="Times New Roman"/>
          <w:color w:val="000000" w:themeColor="text1"/>
          <w:sz w:val="24"/>
          <w:szCs w:val="24"/>
          <w:lang w:eastAsia="en-GB"/>
        </w:rPr>
        <w:t xml:space="preserve">while presented as a neutral legal concept, </w:t>
      </w:r>
      <w:r w:rsidR="00D4262E" w:rsidRPr="00800838">
        <w:rPr>
          <w:rFonts w:ascii="Garamond" w:eastAsia="Times New Roman" w:hAnsi="Garamond" w:cs="Times New Roman"/>
          <w:color w:val="000000" w:themeColor="text1"/>
          <w:sz w:val="24"/>
          <w:szCs w:val="24"/>
          <w:lang w:eastAsia="en-GB"/>
        </w:rPr>
        <w:t>are incontrovertibly serious</w:t>
      </w:r>
      <w:r w:rsidR="00965787" w:rsidRPr="00800838">
        <w:rPr>
          <w:rFonts w:ascii="Garamond" w:eastAsia="Times New Roman" w:hAnsi="Garamond" w:cs="Times New Roman"/>
          <w:color w:val="000000" w:themeColor="text1"/>
          <w:sz w:val="24"/>
          <w:szCs w:val="24"/>
          <w:lang w:eastAsia="en-GB"/>
        </w:rPr>
        <w:t xml:space="preserve"> and too often </w:t>
      </w:r>
      <w:r w:rsidR="00965787" w:rsidRPr="00800838">
        <w:rPr>
          <w:rFonts w:ascii="Garamond" w:eastAsia="Times New Roman" w:hAnsi="Garamond" w:cs="Times New Roman"/>
          <w:color w:val="000000" w:themeColor="text1"/>
          <w:sz w:val="24"/>
          <w:szCs w:val="24"/>
          <w:lang w:eastAsia="en-GB"/>
        </w:rPr>
        <w:lastRenderedPageBreak/>
        <w:t>overlooked</w:t>
      </w:r>
      <w:r w:rsidR="00965787" w:rsidRPr="00800838">
        <w:rPr>
          <w:rStyle w:val="FootnoteReference"/>
          <w:rFonts w:ascii="Garamond" w:eastAsia="Times New Roman" w:hAnsi="Garamond" w:cs="Times New Roman"/>
          <w:color w:val="000000" w:themeColor="text1"/>
          <w:sz w:val="24"/>
          <w:szCs w:val="24"/>
          <w:lang w:eastAsia="en-GB"/>
        </w:rPr>
        <w:footnoteReference w:id="121"/>
      </w:r>
      <w:r w:rsidR="001608A6">
        <w:rPr>
          <w:rFonts w:ascii="Garamond" w:eastAsia="Times New Roman" w:hAnsi="Garamond" w:cs="Times New Roman"/>
          <w:color w:val="000000" w:themeColor="text1"/>
          <w:sz w:val="24"/>
          <w:szCs w:val="24"/>
          <w:lang w:eastAsia="en-GB"/>
        </w:rPr>
        <w:t xml:space="preserve"> by </w:t>
      </w:r>
      <w:r w:rsidR="00C56391">
        <w:rPr>
          <w:rFonts w:ascii="Garamond" w:eastAsia="Times New Roman" w:hAnsi="Garamond" w:cs="Times New Roman"/>
          <w:color w:val="000000" w:themeColor="text1"/>
          <w:sz w:val="24"/>
          <w:szCs w:val="24"/>
          <w:lang w:eastAsia="en-GB"/>
        </w:rPr>
        <w:t xml:space="preserve">a significant number of </w:t>
      </w:r>
      <w:r w:rsidR="005F07BA">
        <w:rPr>
          <w:rFonts w:ascii="Garamond" w:eastAsia="Times New Roman" w:hAnsi="Garamond" w:cs="Times New Roman"/>
          <w:color w:val="000000" w:themeColor="text1"/>
          <w:sz w:val="24"/>
          <w:szCs w:val="24"/>
          <w:lang w:eastAsia="en-GB"/>
        </w:rPr>
        <w:t>those</w:t>
      </w:r>
      <w:r w:rsidR="001608A6">
        <w:rPr>
          <w:rFonts w:ascii="Garamond" w:eastAsia="Times New Roman" w:hAnsi="Garamond" w:cs="Times New Roman"/>
          <w:color w:val="000000" w:themeColor="text1"/>
          <w:sz w:val="24"/>
          <w:szCs w:val="24"/>
          <w:lang w:eastAsia="en-GB"/>
        </w:rPr>
        <w:t xml:space="preserve"> pursuing novel approaches to legal rights and personhood</w:t>
      </w:r>
      <w:r w:rsidR="00A17E88" w:rsidRPr="00800838">
        <w:rPr>
          <w:rFonts w:ascii="Garamond" w:eastAsia="Times New Roman" w:hAnsi="Garamond" w:cs="Times New Roman"/>
          <w:color w:val="000000" w:themeColor="text1"/>
          <w:sz w:val="24"/>
          <w:szCs w:val="24"/>
          <w:lang w:eastAsia="en-GB"/>
        </w:rPr>
        <w:t xml:space="preserve">—an oversight </w:t>
      </w:r>
      <w:r w:rsidR="001608A6">
        <w:rPr>
          <w:rFonts w:ascii="Garamond" w:eastAsia="Times New Roman" w:hAnsi="Garamond" w:cs="Times New Roman"/>
          <w:color w:val="000000" w:themeColor="text1"/>
          <w:sz w:val="24"/>
          <w:szCs w:val="24"/>
          <w:lang w:eastAsia="en-GB"/>
        </w:rPr>
        <w:t xml:space="preserve">that might prove </w:t>
      </w:r>
      <w:r w:rsidR="00A17E88" w:rsidRPr="00800838">
        <w:rPr>
          <w:rFonts w:ascii="Garamond" w:eastAsia="Times New Roman" w:hAnsi="Garamond" w:cs="Times New Roman"/>
          <w:color w:val="000000" w:themeColor="text1"/>
          <w:sz w:val="24"/>
          <w:szCs w:val="24"/>
          <w:lang w:eastAsia="en-GB"/>
        </w:rPr>
        <w:t xml:space="preserve">increasingly in conditions </w:t>
      </w:r>
      <w:r w:rsidR="0037086F" w:rsidRPr="00800838">
        <w:rPr>
          <w:rFonts w:ascii="Garamond" w:eastAsia="Times New Roman" w:hAnsi="Garamond" w:cs="Times New Roman"/>
          <w:color w:val="000000" w:themeColor="text1"/>
          <w:sz w:val="24"/>
          <w:szCs w:val="24"/>
          <w:lang w:eastAsia="en-GB"/>
        </w:rPr>
        <w:t xml:space="preserve">of </w:t>
      </w:r>
      <w:r w:rsidR="00D4262E" w:rsidRPr="00800838">
        <w:rPr>
          <w:rFonts w:ascii="Garamond" w:eastAsia="Times New Roman" w:hAnsi="Garamond" w:cs="Times New Roman"/>
          <w:color w:val="000000" w:themeColor="text1"/>
          <w:sz w:val="24"/>
          <w:szCs w:val="24"/>
          <w:lang w:eastAsia="en-GB"/>
        </w:rPr>
        <w:t>entrenched</w:t>
      </w:r>
      <w:r w:rsidR="0037086F" w:rsidRPr="00800838">
        <w:rPr>
          <w:rFonts w:ascii="Garamond" w:eastAsia="Times New Roman" w:hAnsi="Garamond" w:cs="Times New Roman"/>
          <w:color w:val="000000" w:themeColor="text1"/>
          <w:sz w:val="24"/>
          <w:szCs w:val="24"/>
          <w:lang w:eastAsia="en-GB"/>
        </w:rPr>
        <w:t xml:space="preserve"> and deepening</w:t>
      </w:r>
      <w:r w:rsidR="00D4262E" w:rsidRPr="00800838">
        <w:rPr>
          <w:rFonts w:ascii="Garamond" w:eastAsia="Times New Roman" w:hAnsi="Garamond" w:cs="Times New Roman"/>
          <w:color w:val="000000" w:themeColor="text1"/>
          <w:sz w:val="24"/>
          <w:szCs w:val="24"/>
          <w:lang w:eastAsia="en-GB"/>
        </w:rPr>
        <w:t xml:space="preserve"> global uneveness.</w:t>
      </w:r>
      <w:r w:rsidR="00C71C76">
        <w:rPr>
          <w:rStyle w:val="FootnoteReference"/>
          <w:rFonts w:ascii="Garamond" w:eastAsia="Times New Roman" w:hAnsi="Garamond" w:cs="Times New Roman"/>
          <w:color w:val="000000" w:themeColor="text1"/>
          <w:sz w:val="24"/>
          <w:szCs w:val="24"/>
          <w:lang w:eastAsia="en-GB"/>
        </w:rPr>
        <w:footnoteReference w:id="122"/>
      </w:r>
    </w:p>
    <w:p w14:paraId="68E9697B" w14:textId="77777777" w:rsidR="002E3690" w:rsidRDefault="002E3690" w:rsidP="00A17E88">
      <w:pPr>
        <w:spacing w:after="0" w:line="240" w:lineRule="auto"/>
        <w:rPr>
          <w:rFonts w:ascii="Garamond" w:eastAsia="Times New Roman" w:hAnsi="Garamond" w:cs="Times New Roman"/>
          <w:color w:val="000000" w:themeColor="text1"/>
          <w:sz w:val="24"/>
          <w:szCs w:val="24"/>
          <w:lang w:eastAsia="en-GB"/>
        </w:rPr>
      </w:pPr>
    </w:p>
    <w:p w14:paraId="75D52E49" w14:textId="425A1760" w:rsidR="00830FE5" w:rsidRPr="0037086F" w:rsidRDefault="00E2040C" w:rsidP="00A17E88">
      <w:pPr>
        <w:spacing w:after="0" w:line="240" w:lineRule="auto"/>
        <w:rPr>
          <w:rFonts w:ascii="Garamond" w:eastAsia="Times New Roman" w:hAnsi="Garamond" w:cs="Times New Roman"/>
          <w:b/>
          <w:color w:val="000000" w:themeColor="text1"/>
          <w:sz w:val="24"/>
          <w:szCs w:val="24"/>
          <w:highlight w:val="yellow"/>
          <w:lang w:eastAsia="en-GB"/>
        </w:rPr>
      </w:pPr>
      <w:r w:rsidRPr="0037086F">
        <w:rPr>
          <w:rFonts w:ascii="Garamond" w:eastAsia="Times New Roman" w:hAnsi="Garamond" w:cs="Times New Roman"/>
          <w:b/>
          <w:color w:val="000000" w:themeColor="text1"/>
          <w:sz w:val="24"/>
          <w:szCs w:val="24"/>
          <w:lang w:eastAsia="en-GB"/>
        </w:rPr>
        <w:t xml:space="preserve">3b </w:t>
      </w:r>
      <w:r w:rsidR="00830FE5" w:rsidRPr="0037086F">
        <w:rPr>
          <w:rFonts w:ascii="Garamond" w:eastAsia="Times New Roman" w:hAnsi="Garamond" w:cs="Times New Roman"/>
          <w:b/>
          <w:color w:val="000000" w:themeColor="text1"/>
          <w:sz w:val="24"/>
          <w:szCs w:val="24"/>
          <w:lang w:eastAsia="en-GB"/>
        </w:rPr>
        <w:t>The form</w:t>
      </w:r>
      <w:r w:rsidR="00A57536">
        <w:rPr>
          <w:rFonts w:ascii="Garamond" w:eastAsia="Times New Roman" w:hAnsi="Garamond" w:cs="Times New Roman"/>
          <w:b/>
          <w:color w:val="000000" w:themeColor="text1"/>
          <w:sz w:val="24"/>
          <w:szCs w:val="24"/>
          <w:lang w:eastAsia="en-GB"/>
        </w:rPr>
        <w:t>(</w:t>
      </w:r>
      <w:r w:rsidR="00830FE5" w:rsidRPr="0037086F">
        <w:rPr>
          <w:rFonts w:ascii="Garamond" w:eastAsia="Times New Roman" w:hAnsi="Garamond" w:cs="Times New Roman"/>
          <w:b/>
          <w:color w:val="000000" w:themeColor="text1"/>
          <w:sz w:val="24"/>
          <w:szCs w:val="24"/>
          <w:lang w:eastAsia="en-GB"/>
        </w:rPr>
        <w:t>s</w:t>
      </w:r>
      <w:r w:rsidR="00A57536">
        <w:rPr>
          <w:rFonts w:ascii="Garamond" w:eastAsia="Times New Roman" w:hAnsi="Garamond" w:cs="Times New Roman"/>
          <w:b/>
          <w:color w:val="000000" w:themeColor="text1"/>
          <w:sz w:val="24"/>
          <w:szCs w:val="24"/>
          <w:lang w:eastAsia="en-GB"/>
        </w:rPr>
        <w:t>)</w:t>
      </w:r>
      <w:r w:rsidR="00830FE5" w:rsidRPr="0037086F">
        <w:rPr>
          <w:rFonts w:ascii="Garamond" w:eastAsia="Times New Roman" w:hAnsi="Garamond" w:cs="Times New Roman"/>
          <w:b/>
          <w:color w:val="000000" w:themeColor="text1"/>
          <w:sz w:val="24"/>
          <w:szCs w:val="24"/>
          <w:lang w:eastAsia="en-GB"/>
        </w:rPr>
        <w:t xml:space="preserve"> of legal personhood</w:t>
      </w:r>
      <w:r w:rsidR="00337373">
        <w:rPr>
          <w:rFonts w:ascii="Garamond" w:eastAsia="Times New Roman" w:hAnsi="Garamond" w:cs="Times New Roman"/>
          <w:b/>
          <w:color w:val="000000" w:themeColor="text1"/>
          <w:sz w:val="24"/>
          <w:szCs w:val="24"/>
          <w:lang w:eastAsia="en-GB"/>
        </w:rPr>
        <w:t xml:space="preserve"> </w:t>
      </w:r>
    </w:p>
    <w:p w14:paraId="6CD2EAB1" w14:textId="24C2AFCE" w:rsidR="00AB4080" w:rsidRPr="00411AE0" w:rsidRDefault="00784B90" w:rsidP="0037086F">
      <w:pPr>
        <w:widowControl w:val="0"/>
        <w:autoSpaceDE w:val="0"/>
        <w:autoSpaceDN w:val="0"/>
        <w:adjustRightInd w:val="0"/>
        <w:spacing w:after="0" w:line="240" w:lineRule="auto"/>
        <w:rPr>
          <w:rFonts w:ascii="Garamond" w:hAnsi="Garamond"/>
          <w:sz w:val="24"/>
          <w:szCs w:val="24"/>
          <w:lang w:eastAsia="en-GB"/>
        </w:rPr>
      </w:pPr>
      <w:r w:rsidRPr="00411AE0">
        <w:rPr>
          <w:rFonts w:ascii="Garamond" w:eastAsia="Times New Roman" w:hAnsi="Garamond" w:cs="Times New Roman"/>
          <w:color w:val="000000" w:themeColor="text1"/>
          <w:sz w:val="24"/>
          <w:szCs w:val="24"/>
          <w:lang w:eastAsia="en-GB"/>
        </w:rPr>
        <w:t xml:space="preserve">There are two major traditions in the </w:t>
      </w:r>
      <w:r w:rsidR="00830FE5" w:rsidRPr="00411AE0">
        <w:rPr>
          <w:rFonts w:ascii="Garamond" w:eastAsia="Times New Roman" w:hAnsi="Garamond" w:cs="Times New Roman"/>
          <w:color w:val="000000" w:themeColor="text1"/>
          <w:sz w:val="24"/>
          <w:szCs w:val="24"/>
          <w:lang w:eastAsia="en-GB"/>
        </w:rPr>
        <w:t>jurisprudence of persons</w:t>
      </w:r>
      <w:r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 xml:space="preserve">one naturalistic, which draws closely upon </w:t>
      </w:r>
      <w:r w:rsidR="0066052B" w:rsidRPr="00411AE0">
        <w:rPr>
          <w:rFonts w:ascii="Garamond" w:eastAsia="Times New Roman" w:hAnsi="Garamond" w:cs="Times New Roman"/>
          <w:color w:val="000000" w:themeColor="text1"/>
          <w:sz w:val="24"/>
          <w:szCs w:val="24"/>
          <w:lang w:eastAsia="en-GB"/>
        </w:rPr>
        <w:t xml:space="preserve">heavily naturalised </w:t>
      </w:r>
      <w:r w:rsidR="00830FE5" w:rsidRPr="00411AE0">
        <w:rPr>
          <w:rFonts w:ascii="Garamond" w:eastAsia="Times New Roman" w:hAnsi="Garamond" w:cs="Times New Roman"/>
          <w:color w:val="000000" w:themeColor="text1"/>
          <w:sz w:val="24"/>
          <w:szCs w:val="24"/>
          <w:lang w:eastAsia="en-GB"/>
        </w:rPr>
        <w:t xml:space="preserve">subtending notions of the human being, and the other positivistic, for which persons are </w:t>
      </w:r>
      <w:r w:rsidR="00AE2A72" w:rsidRPr="00411AE0">
        <w:rPr>
          <w:rFonts w:ascii="Garamond" w:eastAsia="Times New Roman" w:hAnsi="Garamond" w:cs="Times New Roman"/>
          <w:color w:val="000000" w:themeColor="text1"/>
          <w:sz w:val="24"/>
          <w:szCs w:val="24"/>
          <w:lang w:eastAsia="en-GB"/>
        </w:rPr>
        <w:t>generated</w:t>
      </w:r>
      <w:r w:rsidR="00830FE5" w:rsidRPr="00411AE0">
        <w:rPr>
          <w:rFonts w:ascii="Garamond" w:eastAsia="Times New Roman" w:hAnsi="Garamond" w:cs="Times New Roman"/>
          <w:color w:val="000000" w:themeColor="text1"/>
          <w:sz w:val="24"/>
          <w:szCs w:val="24"/>
          <w:lang w:eastAsia="en-GB"/>
        </w:rPr>
        <w:t xml:space="preserve"> by law as a technical fiat. </w:t>
      </w:r>
      <w:r w:rsidRPr="00411AE0">
        <w:rPr>
          <w:rFonts w:ascii="Garamond" w:eastAsia="Times New Roman" w:hAnsi="Garamond" w:cs="Times New Roman"/>
          <w:color w:val="000000" w:themeColor="text1"/>
          <w:sz w:val="24"/>
          <w:szCs w:val="24"/>
          <w:lang w:eastAsia="en-GB"/>
        </w:rPr>
        <w:t>For n</w:t>
      </w:r>
      <w:r w:rsidR="00830FE5" w:rsidRPr="00411AE0">
        <w:rPr>
          <w:rFonts w:ascii="Garamond" w:eastAsia="Times New Roman" w:hAnsi="Garamond" w:cs="Times New Roman"/>
          <w:color w:val="000000" w:themeColor="text1"/>
          <w:sz w:val="24"/>
          <w:szCs w:val="24"/>
          <w:lang w:eastAsia="en-GB"/>
        </w:rPr>
        <w:t>aturalistic</w:t>
      </w:r>
      <w:r w:rsidRPr="00411AE0">
        <w:rPr>
          <w:rFonts w:ascii="Garamond" w:eastAsia="Times New Roman" w:hAnsi="Garamond" w:cs="Times New Roman"/>
          <w:color w:val="000000" w:themeColor="text1"/>
          <w:sz w:val="24"/>
          <w:szCs w:val="24"/>
          <w:lang w:eastAsia="en-GB"/>
        </w:rPr>
        <w:t xml:space="preserve"> accounts</w:t>
      </w:r>
      <w:r w:rsidR="00E7343F" w:rsidRPr="00411AE0">
        <w:rPr>
          <w:rFonts w:ascii="Garamond" w:eastAsia="Times New Roman" w:hAnsi="Garamond" w:cs="Times New Roman"/>
          <w:color w:val="000000" w:themeColor="text1"/>
          <w:sz w:val="24"/>
          <w:szCs w:val="24"/>
          <w:lang w:eastAsia="en-GB"/>
        </w:rPr>
        <w:t xml:space="preserve">, legal </w:t>
      </w:r>
      <w:r w:rsidR="00830FE5" w:rsidRPr="00411AE0">
        <w:rPr>
          <w:rFonts w:ascii="Garamond" w:eastAsia="Times New Roman" w:hAnsi="Garamond" w:cs="Times New Roman"/>
          <w:color w:val="000000" w:themeColor="text1"/>
          <w:sz w:val="24"/>
          <w:szCs w:val="24"/>
          <w:lang w:eastAsia="en-GB"/>
        </w:rPr>
        <w:t xml:space="preserve">personhood is a designation </w:t>
      </w:r>
      <w:r w:rsidR="00AE3A4C" w:rsidRPr="00411AE0">
        <w:rPr>
          <w:rFonts w:ascii="Garamond" w:eastAsia="Times New Roman" w:hAnsi="Garamond" w:cs="Times New Roman"/>
          <w:color w:val="000000" w:themeColor="text1"/>
          <w:sz w:val="24"/>
          <w:szCs w:val="24"/>
          <w:lang w:eastAsia="en-GB"/>
        </w:rPr>
        <w:t xml:space="preserve">merely recognising </w:t>
      </w:r>
      <w:r w:rsidR="00830FE5" w:rsidRPr="00411AE0">
        <w:rPr>
          <w:rFonts w:ascii="Garamond" w:eastAsia="Times New Roman" w:hAnsi="Garamond" w:cs="Times New Roman"/>
          <w:color w:val="000000" w:themeColor="text1"/>
          <w:sz w:val="24"/>
          <w:szCs w:val="24"/>
          <w:lang w:eastAsia="en-GB"/>
        </w:rPr>
        <w:t xml:space="preserve">a set of assumed </w:t>
      </w:r>
      <w:r w:rsidRPr="00411AE0">
        <w:rPr>
          <w:rFonts w:ascii="Garamond" w:eastAsia="Times New Roman" w:hAnsi="Garamond" w:cs="Times New Roman"/>
          <w:color w:val="000000" w:themeColor="text1"/>
          <w:sz w:val="24"/>
          <w:szCs w:val="24"/>
          <w:lang w:eastAsia="en-GB"/>
        </w:rPr>
        <w:t xml:space="preserve">human </w:t>
      </w:r>
      <w:r w:rsidR="00830FE5" w:rsidRPr="00411AE0">
        <w:rPr>
          <w:rFonts w:ascii="Garamond" w:eastAsia="Times New Roman" w:hAnsi="Garamond" w:cs="Times New Roman"/>
          <w:color w:val="000000" w:themeColor="text1"/>
          <w:sz w:val="24"/>
          <w:szCs w:val="24"/>
          <w:lang w:eastAsia="en-GB"/>
        </w:rPr>
        <w:t>characteristics—most notably, the capacity for rational choice.</w:t>
      </w:r>
      <w:r w:rsidR="00830FE5" w:rsidRPr="00411AE0">
        <w:rPr>
          <w:rStyle w:val="FootnoteReference"/>
          <w:rFonts w:ascii="Garamond" w:eastAsia="Times New Roman" w:hAnsi="Garamond" w:cs="Times New Roman"/>
          <w:color w:val="000000" w:themeColor="text1"/>
          <w:sz w:val="24"/>
          <w:szCs w:val="24"/>
          <w:lang w:eastAsia="en-GB"/>
        </w:rPr>
        <w:footnoteReference w:id="123"/>
      </w:r>
      <w:r w:rsidR="00830FE5" w:rsidRPr="00411AE0">
        <w:rPr>
          <w:rFonts w:ascii="Garamond" w:eastAsia="Times New Roman" w:hAnsi="Garamond" w:cs="Times New Roman"/>
          <w:color w:val="000000" w:themeColor="text1"/>
          <w:sz w:val="24"/>
          <w:szCs w:val="24"/>
          <w:lang w:eastAsia="en-GB"/>
        </w:rPr>
        <w:t xml:space="preserve"> For positivist accounts, by contrast, the ‘person’ in law is merely a formal operati</w:t>
      </w:r>
      <w:r w:rsidR="008B2F19" w:rsidRPr="00411AE0">
        <w:rPr>
          <w:rFonts w:ascii="Garamond" w:eastAsia="Times New Roman" w:hAnsi="Garamond" w:cs="Times New Roman"/>
          <w:color w:val="000000" w:themeColor="text1"/>
          <w:sz w:val="24"/>
          <w:szCs w:val="24"/>
          <w:lang w:eastAsia="en-GB"/>
        </w:rPr>
        <w:t>onal</w:t>
      </w:r>
      <w:r w:rsidR="00830FE5" w:rsidRPr="00411AE0">
        <w:rPr>
          <w:rFonts w:ascii="Garamond" w:eastAsia="Times New Roman" w:hAnsi="Garamond" w:cs="Times New Roman"/>
          <w:color w:val="000000" w:themeColor="text1"/>
          <w:sz w:val="24"/>
          <w:szCs w:val="24"/>
          <w:lang w:eastAsia="en-GB"/>
        </w:rPr>
        <w:t xml:space="preserve"> referent designating the meeting place of norms and their relations.</w:t>
      </w:r>
      <w:r w:rsidR="00830FE5" w:rsidRPr="00411AE0">
        <w:rPr>
          <w:rStyle w:val="FootnoteReference"/>
          <w:rFonts w:ascii="Garamond" w:eastAsia="Times New Roman" w:hAnsi="Garamond" w:cs="Times New Roman"/>
          <w:color w:val="000000" w:themeColor="text1"/>
          <w:sz w:val="24"/>
          <w:szCs w:val="24"/>
          <w:lang w:eastAsia="en-GB"/>
        </w:rPr>
        <w:footnoteReference w:id="124"/>
      </w:r>
      <w:r w:rsidR="00830FE5" w:rsidRPr="00411AE0">
        <w:rPr>
          <w:rFonts w:ascii="Garamond" w:eastAsia="Times New Roman" w:hAnsi="Garamond" w:cs="Times New Roman"/>
          <w:color w:val="000000" w:themeColor="text1"/>
          <w:sz w:val="24"/>
          <w:szCs w:val="24"/>
          <w:lang w:eastAsia="en-GB"/>
        </w:rPr>
        <w:t xml:space="preserve"> While it would be natural to assume that the corporation is straightforwardly an instance of a positivist construct of the legal person</w:t>
      </w:r>
      <w:r w:rsidR="00830FE5" w:rsidRPr="00411AE0">
        <w:rPr>
          <w:rStyle w:val="FootnoteReference"/>
          <w:rFonts w:ascii="Garamond" w:eastAsia="Times New Roman" w:hAnsi="Garamond" w:cs="Times New Roman"/>
          <w:color w:val="000000" w:themeColor="text1"/>
          <w:sz w:val="24"/>
          <w:szCs w:val="24"/>
          <w:lang w:eastAsia="en-GB"/>
        </w:rPr>
        <w:footnoteReference w:id="125"/>
      </w:r>
      <w:r w:rsidR="00830FE5" w:rsidRPr="00411AE0">
        <w:rPr>
          <w:rFonts w:ascii="Garamond" w:eastAsia="Times New Roman" w:hAnsi="Garamond" w:cs="Times New Roman"/>
          <w:color w:val="000000" w:themeColor="text1"/>
          <w:sz w:val="24"/>
          <w:szCs w:val="24"/>
          <w:lang w:eastAsia="en-GB"/>
        </w:rPr>
        <w:t xml:space="preserve"> and that law’s ‘natural persons’ are straightforwardly human, matters are more complex than that</w:t>
      </w:r>
      <w:r w:rsidR="000523D6">
        <w:rPr>
          <w:rFonts w:ascii="Garamond" w:eastAsia="Times New Roman" w:hAnsi="Garamond" w:cs="Times New Roman"/>
          <w:color w:val="000000" w:themeColor="text1"/>
          <w:sz w:val="24"/>
          <w:szCs w:val="24"/>
          <w:lang w:eastAsia="en-GB"/>
        </w:rPr>
        <w:t>—and it</w:t>
      </w:r>
      <w:r w:rsidR="000523D6" w:rsidRPr="000523D6">
        <w:rPr>
          <w:rFonts w:ascii="Garamond" w:eastAsia="Times New Roman" w:hAnsi="Garamond" w:cs="Times New Roman"/>
          <w:color w:val="000000" w:themeColor="text1"/>
          <w:sz w:val="24"/>
          <w:szCs w:val="24"/>
          <w:lang w:eastAsia="en-GB"/>
        </w:rPr>
        <w:t xml:space="preserve"> </w:t>
      </w:r>
      <w:r w:rsidR="008B2F19" w:rsidRPr="00411AE0">
        <w:rPr>
          <w:rFonts w:ascii="Garamond" w:eastAsia="Times New Roman" w:hAnsi="Garamond" w:cs="Times New Roman"/>
          <w:color w:val="000000" w:themeColor="text1"/>
          <w:sz w:val="24"/>
          <w:szCs w:val="24"/>
          <w:lang w:eastAsia="en-GB"/>
        </w:rPr>
        <w:t xml:space="preserve">is in </w:t>
      </w:r>
      <w:r w:rsidR="00830FE5" w:rsidRPr="00411AE0">
        <w:rPr>
          <w:rFonts w:ascii="Garamond" w:eastAsia="Times New Roman" w:hAnsi="Garamond" w:cs="Times New Roman"/>
          <w:color w:val="000000" w:themeColor="text1"/>
          <w:sz w:val="24"/>
          <w:szCs w:val="24"/>
          <w:lang w:eastAsia="en-GB"/>
        </w:rPr>
        <w:t xml:space="preserve">these complexities that we find important clues to </w:t>
      </w:r>
      <w:r w:rsidR="008B2F19" w:rsidRPr="00411AE0">
        <w:rPr>
          <w:rFonts w:ascii="Garamond" w:eastAsia="Times New Roman" w:hAnsi="Garamond" w:cs="Times New Roman"/>
          <w:color w:val="000000" w:themeColor="text1"/>
          <w:sz w:val="24"/>
          <w:szCs w:val="24"/>
          <w:lang w:eastAsia="en-GB"/>
        </w:rPr>
        <w:t>threads linking</w:t>
      </w:r>
      <w:r w:rsidR="00830FE5" w:rsidRPr="00411AE0">
        <w:rPr>
          <w:rFonts w:ascii="Garamond" w:eastAsia="Times New Roman" w:hAnsi="Garamond" w:cs="Times New Roman"/>
          <w:color w:val="000000" w:themeColor="text1"/>
          <w:sz w:val="24"/>
          <w:szCs w:val="24"/>
          <w:lang w:eastAsia="en-GB"/>
        </w:rPr>
        <w:t xml:space="preserve"> TNC privilege, Eurocentricity, coloniality and the pathological uneveness of the neoliberal </w:t>
      </w:r>
      <w:r w:rsidR="00A118F9">
        <w:rPr>
          <w:rFonts w:ascii="Garamond" w:eastAsia="Times New Roman" w:hAnsi="Garamond" w:cs="Times New Roman"/>
          <w:color w:val="000000" w:themeColor="text1"/>
          <w:sz w:val="24"/>
          <w:szCs w:val="24"/>
          <w:lang w:eastAsia="en-GB"/>
        </w:rPr>
        <w:t xml:space="preserve">global </w:t>
      </w:r>
      <w:r w:rsidR="00830FE5" w:rsidRPr="00411AE0">
        <w:rPr>
          <w:rFonts w:ascii="Garamond" w:eastAsia="Times New Roman" w:hAnsi="Garamond" w:cs="Times New Roman"/>
          <w:color w:val="000000" w:themeColor="text1"/>
          <w:sz w:val="24"/>
          <w:szCs w:val="24"/>
          <w:lang w:eastAsia="en-GB"/>
        </w:rPr>
        <w:t>order</w:t>
      </w:r>
      <w:r w:rsidR="008B2F19" w:rsidRPr="00411AE0">
        <w:rPr>
          <w:rFonts w:ascii="Garamond" w:eastAsia="Times New Roman" w:hAnsi="Garamond" w:cs="Times New Roman"/>
          <w:color w:val="000000" w:themeColor="text1"/>
          <w:sz w:val="24"/>
          <w:szCs w:val="24"/>
          <w:lang w:eastAsia="en-GB"/>
        </w:rPr>
        <w:t>.</w:t>
      </w:r>
      <w:r w:rsidR="008B2F19" w:rsidRPr="00411AE0">
        <w:rPr>
          <w:rFonts w:ascii="Garamond" w:eastAsia="Times New Roman" w:hAnsi="Garamond" w:cs="Times New Roman"/>
          <w:color w:val="000000" w:themeColor="text1"/>
          <w:sz w:val="24"/>
          <w:szCs w:val="24"/>
          <w:lang w:eastAsia="en-GB"/>
        </w:rPr>
        <w:br/>
        <w:t xml:space="preserve"> </w:t>
      </w:r>
      <w:r w:rsidR="008B2F19" w:rsidRPr="00411AE0">
        <w:rPr>
          <w:rFonts w:ascii="Garamond" w:eastAsia="Times New Roman" w:hAnsi="Garamond" w:cs="Times New Roman"/>
          <w:color w:val="000000" w:themeColor="text1"/>
          <w:sz w:val="24"/>
          <w:szCs w:val="24"/>
          <w:lang w:eastAsia="en-GB"/>
        </w:rPr>
        <w:tab/>
      </w:r>
      <w:r w:rsidR="00830FE5" w:rsidRPr="00411AE0">
        <w:rPr>
          <w:rFonts w:ascii="Garamond" w:eastAsia="Times New Roman" w:hAnsi="Garamond" w:cs="Times New Roman"/>
          <w:color w:val="000000" w:themeColor="text1"/>
          <w:sz w:val="24"/>
          <w:szCs w:val="24"/>
          <w:lang w:eastAsia="en-GB"/>
        </w:rPr>
        <w:t>A</w:t>
      </w:r>
      <w:r w:rsidR="00734B18">
        <w:rPr>
          <w:rFonts w:ascii="Garamond" w:eastAsia="Times New Roman" w:hAnsi="Garamond" w:cs="Times New Roman"/>
          <w:color w:val="000000" w:themeColor="text1"/>
          <w:sz w:val="24"/>
          <w:szCs w:val="24"/>
          <w:lang w:eastAsia="en-GB"/>
        </w:rPr>
        <w:t>l</w:t>
      </w:r>
      <w:r w:rsidR="00FD5C3E" w:rsidRPr="00411AE0">
        <w:rPr>
          <w:rFonts w:ascii="Garamond" w:eastAsia="Times New Roman" w:hAnsi="Garamond" w:cs="Times New Roman"/>
          <w:color w:val="000000" w:themeColor="text1"/>
          <w:sz w:val="24"/>
          <w:szCs w:val="24"/>
          <w:lang w:eastAsia="en-GB"/>
        </w:rPr>
        <w:t xml:space="preserve">l forms of personhood, even the most ‘natural’ are, in fact, a </w:t>
      </w:r>
      <w:r w:rsidR="00FD5C3E" w:rsidRPr="00411AE0">
        <w:rPr>
          <w:rFonts w:ascii="Garamond" w:eastAsia="Times New Roman" w:hAnsi="Garamond" w:cs="Times New Roman"/>
          <w:i/>
          <w:color w:val="000000" w:themeColor="text1"/>
          <w:sz w:val="24"/>
          <w:szCs w:val="24"/>
          <w:lang w:eastAsia="en-GB"/>
        </w:rPr>
        <w:t>constructus</w:t>
      </w:r>
      <w:r w:rsidR="00AA359F" w:rsidRPr="00411AE0">
        <w:rPr>
          <w:rFonts w:ascii="Garamond" w:eastAsia="Times New Roman" w:hAnsi="Garamond" w:cs="Times New Roman"/>
          <w:i/>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26"/>
      </w:r>
      <w:r w:rsidR="00AA359F" w:rsidRPr="00411AE0">
        <w:rPr>
          <w:rFonts w:ascii="Garamond" w:eastAsia="Times New Roman" w:hAnsi="Garamond" w:cs="Times New Roman"/>
          <w:color w:val="000000" w:themeColor="text1"/>
          <w:sz w:val="24"/>
          <w:szCs w:val="24"/>
          <w:lang w:eastAsia="en-GB"/>
        </w:rPr>
        <w:t xml:space="preserve"> T</w:t>
      </w:r>
      <w:r w:rsidR="00830FE5" w:rsidRPr="00411AE0">
        <w:rPr>
          <w:rFonts w:ascii="Garamond" w:eastAsia="Times New Roman" w:hAnsi="Garamond" w:cs="Times New Roman"/>
          <w:color w:val="000000" w:themeColor="text1"/>
          <w:sz w:val="24"/>
          <w:szCs w:val="24"/>
          <w:lang w:eastAsia="en-GB"/>
        </w:rPr>
        <w:t xml:space="preserve">he ‘natural person’ of law, </w:t>
      </w:r>
      <w:r w:rsidR="002D1554" w:rsidRPr="00411AE0">
        <w:rPr>
          <w:rFonts w:ascii="Garamond" w:eastAsia="Times New Roman" w:hAnsi="Garamond" w:cs="Times New Roman"/>
          <w:color w:val="000000" w:themeColor="text1"/>
          <w:sz w:val="24"/>
          <w:szCs w:val="24"/>
          <w:lang w:eastAsia="en-GB"/>
        </w:rPr>
        <w:t xml:space="preserve">precisely </w:t>
      </w:r>
      <w:r w:rsidR="00830FE5" w:rsidRPr="00411AE0">
        <w:rPr>
          <w:rFonts w:ascii="Garamond" w:eastAsia="Times New Roman" w:hAnsi="Garamond" w:cs="Times New Roman"/>
          <w:color w:val="000000" w:themeColor="text1"/>
          <w:sz w:val="24"/>
          <w:szCs w:val="24"/>
          <w:lang w:eastAsia="en-GB"/>
        </w:rPr>
        <w:t xml:space="preserve">because </w:t>
      </w:r>
      <w:r w:rsidR="00FD5C3E" w:rsidRPr="00411AE0">
        <w:rPr>
          <w:rFonts w:ascii="Garamond" w:eastAsia="Times New Roman" w:hAnsi="Garamond" w:cs="Times New Roman"/>
          <w:color w:val="000000" w:themeColor="text1"/>
          <w:sz w:val="24"/>
          <w:szCs w:val="24"/>
          <w:lang w:eastAsia="en-GB"/>
        </w:rPr>
        <w:t xml:space="preserve">it </w:t>
      </w:r>
      <w:r w:rsidR="00830FE5" w:rsidRPr="00411AE0">
        <w:rPr>
          <w:rFonts w:ascii="Garamond" w:eastAsia="Times New Roman" w:hAnsi="Garamond" w:cs="Times New Roman"/>
          <w:color w:val="000000" w:themeColor="text1"/>
          <w:sz w:val="24"/>
          <w:szCs w:val="24"/>
          <w:lang w:eastAsia="en-GB"/>
        </w:rPr>
        <w:t xml:space="preserve">posits a human figure as its direct substrate, heavily </w:t>
      </w:r>
      <w:r w:rsidR="00830FE5" w:rsidRPr="00411AE0">
        <w:rPr>
          <w:rFonts w:ascii="Garamond" w:eastAsia="Times New Roman" w:hAnsi="Garamond" w:cs="Times New Roman"/>
          <w:i/>
          <w:color w:val="000000" w:themeColor="text1"/>
          <w:sz w:val="24"/>
          <w:szCs w:val="24"/>
          <w:lang w:eastAsia="en-GB"/>
        </w:rPr>
        <w:t>disguises</w:t>
      </w:r>
      <w:r w:rsidR="00830FE5" w:rsidRPr="00411AE0">
        <w:rPr>
          <w:rFonts w:ascii="Garamond" w:eastAsia="Times New Roman" w:hAnsi="Garamond" w:cs="Times New Roman"/>
          <w:color w:val="000000" w:themeColor="text1"/>
          <w:sz w:val="24"/>
          <w:szCs w:val="24"/>
          <w:lang w:eastAsia="en-GB"/>
        </w:rPr>
        <w:t xml:space="preserve"> its constructed nature.</w:t>
      </w:r>
      <w:r w:rsidR="00830FE5" w:rsidRPr="00411AE0">
        <w:rPr>
          <w:rStyle w:val="FootnoteReference"/>
          <w:rFonts w:ascii="Garamond" w:eastAsia="Times New Roman" w:hAnsi="Garamond" w:cs="Times New Roman"/>
          <w:color w:val="000000" w:themeColor="text1"/>
          <w:sz w:val="24"/>
          <w:szCs w:val="24"/>
          <w:lang w:eastAsia="en-GB"/>
        </w:rPr>
        <w:footnoteReference w:id="127"/>
      </w:r>
      <w:r w:rsidR="00830FE5" w:rsidRPr="00411AE0">
        <w:rPr>
          <w:rFonts w:ascii="Garamond" w:eastAsia="Times New Roman" w:hAnsi="Garamond" w:cs="Times New Roman"/>
          <w:color w:val="000000" w:themeColor="text1"/>
          <w:sz w:val="24"/>
          <w:szCs w:val="24"/>
          <w:lang w:eastAsia="en-GB"/>
        </w:rPr>
        <w:t xml:space="preserve"> </w:t>
      </w:r>
      <w:r w:rsidR="002D1554" w:rsidRPr="00411AE0">
        <w:rPr>
          <w:rFonts w:ascii="Garamond" w:eastAsia="Times New Roman" w:hAnsi="Garamond" w:cs="Times New Roman"/>
          <w:color w:val="000000" w:themeColor="text1"/>
          <w:sz w:val="24"/>
          <w:szCs w:val="24"/>
          <w:lang w:eastAsia="en-GB"/>
        </w:rPr>
        <w:t>In contrast, p</w:t>
      </w:r>
      <w:r w:rsidR="00830FE5" w:rsidRPr="00411AE0">
        <w:rPr>
          <w:rFonts w:ascii="Garamond" w:eastAsia="Times New Roman" w:hAnsi="Garamond" w:cs="Times New Roman"/>
          <w:color w:val="000000" w:themeColor="text1"/>
          <w:sz w:val="24"/>
          <w:szCs w:val="24"/>
          <w:lang w:eastAsia="en-GB"/>
        </w:rPr>
        <w:t>ositivist accounts are overt about the constructed nature of their person</w:t>
      </w:r>
      <w:r w:rsidR="00012D3E"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hAnsi="Garamond"/>
          <w:sz w:val="24"/>
          <w:szCs w:val="24"/>
          <w:lang w:eastAsia="en-GB"/>
        </w:rPr>
        <w:footnoteReference w:id="128"/>
      </w:r>
      <w:r w:rsidR="0007207A"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i/>
          <w:color w:val="000000" w:themeColor="text1"/>
          <w:sz w:val="24"/>
          <w:szCs w:val="24"/>
          <w:lang w:eastAsia="en-GB"/>
        </w:rPr>
        <w:t>Anything</w:t>
      </w:r>
      <w:r w:rsidR="000338F8"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‘can be a legal person because legal persons are stipulated as such or are defined into existence’.</w:t>
      </w:r>
      <w:r w:rsidR="00830FE5" w:rsidRPr="00411AE0">
        <w:rPr>
          <w:rStyle w:val="FootnoteReference"/>
          <w:rFonts w:ascii="Garamond" w:eastAsia="Times New Roman" w:hAnsi="Garamond" w:cs="Times New Roman"/>
          <w:color w:val="000000" w:themeColor="text1"/>
          <w:sz w:val="24"/>
          <w:szCs w:val="24"/>
          <w:lang w:eastAsia="en-GB"/>
        </w:rPr>
        <w:footnoteReference w:id="129"/>
      </w:r>
      <w:r w:rsidR="003C25A3">
        <w:rPr>
          <w:rFonts w:ascii="Garamond" w:eastAsia="Times New Roman" w:hAnsi="Garamond" w:cs="Times New Roman"/>
          <w:color w:val="000000" w:themeColor="text1"/>
          <w:sz w:val="24"/>
          <w:szCs w:val="24"/>
          <w:lang w:eastAsia="en-GB"/>
        </w:rPr>
        <w:t xml:space="preserve"> </w:t>
      </w:r>
      <w:r w:rsidR="00942417" w:rsidRPr="00411AE0">
        <w:rPr>
          <w:rFonts w:ascii="Garamond" w:eastAsia="Times New Roman" w:hAnsi="Garamond" w:cs="Times New Roman"/>
          <w:color w:val="000000" w:themeColor="text1"/>
          <w:sz w:val="24"/>
          <w:szCs w:val="24"/>
          <w:lang w:eastAsia="en-GB"/>
        </w:rPr>
        <w:t>The</w:t>
      </w:r>
      <w:r w:rsidR="000338F8" w:rsidRPr="00411AE0">
        <w:rPr>
          <w:rFonts w:ascii="Garamond" w:eastAsia="Times New Roman" w:hAnsi="Garamond" w:cs="Times New Roman"/>
          <w:color w:val="000000" w:themeColor="text1"/>
          <w:sz w:val="24"/>
          <w:szCs w:val="24"/>
          <w:lang w:eastAsia="en-GB"/>
        </w:rPr>
        <w:t xml:space="preserve"> explicitly </w:t>
      </w:r>
      <w:r w:rsidR="00E011EA" w:rsidRPr="00411AE0">
        <w:rPr>
          <w:rFonts w:ascii="Garamond" w:eastAsia="Times New Roman" w:hAnsi="Garamond" w:cs="Times New Roman"/>
          <w:color w:val="000000" w:themeColor="text1"/>
          <w:sz w:val="24"/>
          <w:szCs w:val="24"/>
          <w:lang w:eastAsia="en-GB"/>
        </w:rPr>
        <w:t>manufactur</w:t>
      </w:r>
      <w:r w:rsidR="000338F8" w:rsidRPr="00411AE0">
        <w:rPr>
          <w:rFonts w:ascii="Garamond" w:eastAsia="Times New Roman" w:hAnsi="Garamond" w:cs="Times New Roman"/>
          <w:color w:val="000000" w:themeColor="text1"/>
          <w:sz w:val="24"/>
          <w:szCs w:val="24"/>
          <w:lang w:eastAsia="en-GB"/>
        </w:rPr>
        <w:t xml:space="preserve">ed, </w:t>
      </w:r>
      <w:r w:rsidR="00FA130C" w:rsidRPr="00411AE0">
        <w:rPr>
          <w:rFonts w:ascii="Garamond" w:eastAsia="Times New Roman" w:hAnsi="Garamond" w:cs="Times New Roman"/>
          <w:color w:val="000000" w:themeColor="text1"/>
          <w:sz w:val="24"/>
          <w:szCs w:val="24"/>
          <w:lang w:eastAsia="en-GB"/>
        </w:rPr>
        <w:t xml:space="preserve">abstract or </w:t>
      </w:r>
      <w:r w:rsidR="00830FE5" w:rsidRPr="00411AE0">
        <w:rPr>
          <w:rFonts w:ascii="Garamond" w:eastAsia="Times New Roman" w:hAnsi="Garamond" w:cs="Times New Roman"/>
          <w:color w:val="000000" w:themeColor="text1"/>
          <w:sz w:val="24"/>
          <w:szCs w:val="24"/>
          <w:lang w:eastAsia="en-GB"/>
        </w:rPr>
        <w:t>‘empty’ person</w:t>
      </w:r>
      <w:r w:rsidR="000338F8" w:rsidRPr="00411AE0">
        <w:rPr>
          <w:rFonts w:ascii="Garamond" w:eastAsia="Times New Roman" w:hAnsi="Garamond" w:cs="Times New Roman"/>
          <w:color w:val="000000" w:themeColor="text1"/>
          <w:sz w:val="24"/>
          <w:szCs w:val="24"/>
          <w:lang w:eastAsia="en-GB"/>
        </w:rPr>
        <w:t xml:space="preserve"> stands at one end of a spectrum</w:t>
      </w:r>
      <w:r w:rsidR="003C25A3">
        <w:rPr>
          <w:rFonts w:ascii="Garamond" w:eastAsia="Times New Roman" w:hAnsi="Garamond" w:cs="Times New Roman"/>
          <w:color w:val="000000" w:themeColor="text1"/>
          <w:sz w:val="24"/>
          <w:szCs w:val="24"/>
          <w:lang w:eastAsia="en-GB"/>
        </w:rPr>
        <w:t>, therefore,</w:t>
      </w:r>
      <w:r w:rsidR="007655EC" w:rsidRPr="00411AE0">
        <w:rPr>
          <w:rFonts w:ascii="Garamond" w:eastAsia="Times New Roman" w:hAnsi="Garamond" w:cs="Times New Roman"/>
          <w:color w:val="000000" w:themeColor="text1"/>
          <w:sz w:val="24"/>
          <w:szCs w:val="24"/>
          <w:lang w:eastAsia="en-GB"/>
        </w:rPr>
        <w:t xml:space="preserve"> at the other end of which </w:t>
      </w:r>
      <w:r w:rsidR="008B536D" w:rsidRPr="00411AE0">
        <w:rPr>
          <w:rFonts w:ascii="Garamond" w:eastAsia="Times New Roman" w:hAnsi="Garamond" w:cs="Times New Roman"/>
          <w:color w:val="000000" w:themeColor="text1"/>
          <w:sz w:val="24"/>
          <w:szCs w:val="24"/>
          <w:lang w:eastAsia="en-GB"/>
        </w:rPr>
        <w:t>is the</w:t>
      </w:r>
      <w:r w:rsidR="00942417" w:rsidRPr="00411AE0">
        <w:rPr>
          <w:rFonts w:ascii="Garamond" w:eastAsia="Times New Roman" w:hAnsi="Garamond" w:cs="Times New Roman"/>
          <w:color w:val="000000" w:themeColor="text1"/>
          <w:sz w:val="24"/>
          <w:szCs w:val="24"/>
          <w:lang w:eastAsia="en-GB"/>
        </w:rPr>
        <w:t xml:space="preserve"> most exclusive of </w:t>
      </w:r>
      <w:r w:rsidR="00E011EA" w:rsidRPr="00411AE0">
        <w:rPr>
          <w:rFonts w:ascii="Garamond" w:eastAsia="Times New Roman" w:hAnsi="Garamond" w:cs="Times New Roman"/>
          <w:color w:val="000000" w:themeColor="text1"/>
          <w:sz w:val="24"/>
          <w:szCs w:val="24"/>
          <w:lang w:eastAsia="en-GB"/>
        </w:rPr>
        <w:t>naturalistic conceptions</w:t>
      </w:r>
      <w:r w:rsidR="00942417" w:rsidRPr="00411AE0">
        <w:rPr>
          <w:rFonts w:ascii="Garamond" w:eastAsia="Times New Roman" w:hAnsi="Garamond" w:cs="Times New Roman"/>
          <w:color w:val="000000" w:themeColor="text1"/>
          <w:sz w:val="24"/>
          <w:szCs w:val="24"/>
          <w:lang w:eastAsia="en-GB"/>
        </w:rPr>
        <w:t xml:space="preserve">, the </w:t>
      </w:r>
      <w:r w:rsidR="000338F8" w:rsidRPr="00411AE0">
        <w:rPr>
          <w:rFonts w:ascii="Garamond" w:eastAsia="Times New Roman" w:hAnsi="Garamond" w:cs="Times New Roman"/>
          <w:color w:val="000000" w:themeColor="text1"/>
          <w:sz w:val="24"/>
          <w:szCs w:val="24"/>
          <w:lang w:eastAsia="en-GB"/>
        </w:rPr>
        <w:t xml:space="preserve">archetypal </w:t>
      </w:r>
      <w:r w:rsidR="008B536D" w:rsidRPr="00411AE0">
        <w:rPr>
          <w:rFonts w:ascii="Garamond" w:eastAsia="Times New Roman" w:hAnsi="Garamond" w:cs="Times New Roman"/>
          <w:color w:val="000000" w:themeColor="text1"/>
          <w:sz w:val="24"/>
          <w:szCs w:val="24"/>
          <w:lang w:eastAsia="en-GB"/>
        </w:rPr>
        <w:t xml:space="preserve">rational </w:t>
      </w:r>
      <w:r w:rsidR="000338F8" w:rsidRPr="00411AE0">
        <w:rPr>
          <w:rFonts w:ascii="Garamond" w:eastAsia="Times New Roman" w:hAnsi="Garamond" w:cs="Times New Roman"/>
          <w:color w:val="000000" w:themeColor="text1"/>
          <w:sz w:val="24"/>
          <w:szCs w:val="24"/>
          <w:lang w:eastAsia="en-GB"/>
        </w:rPr>
        <w:t>liberal legal actor (‘the classic contractor’)</w:t>
      </w:r>
      <w:r w:rsidR="00830FE5"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30"/>
      </w:r>
      <w:r w:rsidR="00830FE5" w:rsidRPr="00411AE0">
        <w:rPr>
          <w:rFonts w:ascii="Garamond" w:eastAsia="Times New Roman" w:hAnsi="Garamond" w:cs="Times New Roman"/>
          <w:color w:val="000000" w:themeColor="text1"/>
          <w:sz w:val="24"/>
          <w:szCs w:val="24"/>
          <w:lang w:eastAsia="en-GB"/>
        </w:rPr>
        <w:t xml:space="preserve"> </w:t>
      </w:r>
      <w:r w:rsidR="00B40836" w:rsidRPr="00411AE0">
        <w:rPr>
          <w:rFonts w:ascii="Garamond" w:eastAsia="Times New Roman" w:hAnsi="Garamond" w:cs="Times New Roman"/>
          <w:color w:val="000000" w:themeColor="text1"/>
          <w:sz w:val="24"/>
          <w:szCs w:val="24"/>
          <w:lang w:eastAsia="en-GB"/>
        </w:rPr>
        <w:t xml:space="preserve">Significantly, </w:t>
      </w:r>
      <w:r w:rsidR="00135D19" w:rsidRPr="00411AE0">
        <w:rPr>
          <w:rFonts w:ascii="Garamond" w:eastAsia="Times New Roman" w:hAnsi="Garamond" w:cs="Times New Roman"/>
          <w:color w:val="000000" w:themeColor="text1"/>
          <w:sz w:val="24"/>
          <w:szCs w:val="24"/>
          <w:lang w:eastAsia="en-GB"/>
        </w:rPr>
        <w:t xml:space="preserve">however, </w:t>
      </w:r>
      <w:r w:rsidR="00B40836" w:rsidRPr="00411AE0">
        <w:rPr>
          <w:rFonts w:ascii="Garamond" w:eastAsia="Times New Roman" w:hAnsi="Garamond" w:cs="Times New Roman"/>
          <w:color w:val="000000" w:themeColor="text1"/>
          <w:sz w:val="24"/>
          <w:szCs w:val="24"/>
          <w:lang w:eastAsia="en-GB"/>
        </w:rPr>
        <w:t>e</w:t>
      </w:r>
      <w:r w:rsidR="00830FE5" w:rsidRPr="00411AE0">
        <w:rPr>
          <w:rFonts w:ascii="Garamond" w:eastAsia="Times New Roman" w:hAnsi="Garamond" w:cs="Times New Roman"/>
          <w:color w:val="000000" w:themeColor="text1"/>
          <w:sz w:val="24"/>
          <w:szCs w:val="24"/>
          <w:lang w:eastAsia="en-GB"/>
        </w:rPr>
        <w:t xml:space="preserve">ven the </w:t>
      </w:r>
      <w:r w:rsidR="00DE42A0" w:rsidRPr="00411AE0">
        <w:rPr>
          <w:rFonts w:ascii="Garamond" w:eastAsia="Times New Roman" w:hAnsi="Garamond" w:cs="Times New Roman"/>
          <w:color w:val="000000" w:themeColor="text1"/>
          <w:sz w:val="24"/>
          <w:szCs w:val="24"/>
          <w:lang w:eastAsia="en-GB"/>
        </w:rPr>
        <w:t>most abstracted</w:t>
      </w:r>
      <w:r w:rsidR="00830FE5" w:rsidRPr="00411AE0">
        <w:rPr>
          <w:rFonts w:ascii="Garamond" w:eastAsia="Times New Roman" w:hAnsi="Garamond" w:cs="Times New Roman"/>
          <w:color w:val="000000" w:themeColor="text1"/>
          <w:sz w:val="24"/>
          <w:szCs w:val="24"/>
          <w:lang w:eastAsia="en-GB"/>
        </w:rPr>
        <w:t xml:space="preserve"> and </w:t>
      </w:r>
      <w:r w:rsidR="0007207A" w:rsidRPr="00411AE0">
        <w:rPr>
          <w:rFonts w:ascii="Garamond" w:eastAsia="Times New Roman" w:hAnsi="Garamond" w:cs="Times New Roman"/>
          <w:color w:val="000000" w:themeColor="text1"/>
          <w:sz w:val="24"/>
          <w:szCs w:val="24"/>
          <w:lang w:eastAsia="en-GB"/>
        </w:rPr>
        <w:t xml:space="preserve">‘empty’ </w:t>
      </w:r>
      <w:r w:rsidR="00830FE5" w:rsidRPr="00411AE0">
        <w:rPr>
          <w:rFonts w:ascii="Garamond" w:eastAsia="Times New Roman" w:hAnsi="Garamond" w:cs="Times New Roman"/>
          <w:color w:val="000000" w:themeColor="text1"/>
          <w:sz w:val="24"/>
          <w:szCs w:val="24"/>
          <w:lang w:eastAsia="en-GB"/>
        </w:rPr>
        <w:t xml:space="preserve">of conceptions of legal personhood </w:t>
      </w:r>
      <w:r w:rsidR="007A6472" w:rsidRPr="00411AE0">
        <w:rPr>
          <w:rFonts w:ascii="Garamond" w:eastAsia="Times New Roman" w:hAnsi="Garamond" w:cs="Times New Roman"/>
          <w:color w:val="000000" w:themeColor="text1"/>
          <w:sz w:val="24"/>
          <w:szCs w:val="24"/>
          <w:lang w:eastAsia="en-GB"/>
        </w:rPr>
        <w:t>is forced to ‘materialise</w:t>
      </w:r>
      <w:r w:rsidR="00830FE5"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31"/>
      </w:r>
      <w:r w:rsidR="00135D19" w:rsidRPr="00411AE0">
        <w:rPr>
          <w:rFonts w:ascii="Garamond" w:eastAsia="Times New Roman" w:hAnsi="Garamond" w:cs="Times New Roman"/>
          <w:color w:val="000000" w:themeColor="text1"/>
          <w:sz w:val="24"/>
          <w:szCs w:val="24"/>
          <w:lang w:eastAsia="en-GB"/>
        </w:rPr>
        <w:t xml:space="preserve">—and when it does, </w:t>
      </w:r>
      <w:r w:rsidR="00F52143" w:rsidRPr="00411AE0">
        <w:rPr>
          <w:rFonts w:ascii="Garamond" w:hAnsi="Garamond"/>
          <w:sz w:val="24"/>
          <w:szCs w:val="24"/>
          <w:lang w:eastAsia="en-GB"/>
        </w:rPr>
        <w:t xml:space="preserve">it </w:t>
      </w:r>
      <w:r w:rsidR="003C25A3">
        <w:rPr>
          <w:rFonts w:ascii="Garamond" w:hAnsi="Garamond"/>
          <w:sz w:val="24"/>
          <w:szCs w:val="24"/>
          <w:lang w:eastAsia="en-GB"/>
        </w:rPr>
        <w:t xml:space="preserve">nearly always </w:t>
      </w:r>
      <w:r w:rsidR="00F52143" w:rsidRPr="00411AE0">
        <w:rPr>
          <w:rFonts w:ascii="Garamond" w:hAnsi="Garamond"/>
          <w:sz w:val="24"/>
          <w:szCs w:val="24"/>
          <w:lang w:eastAsia="en-GB"/>
        </w:rPr>
        <w:t xml:space="preserve">tends </w:t>
      </w:r>
      <w:r w:rsidR="00830FE5" w:rsidRPr="00411AE0">
        <w:rPr>
          <w:rFonts w:ascii="Garamond" w:eastAsia="Times New Roman" w:hAnsi="Garamond" w:cs="Times New Roman"/>
          <w:color w:val="000000" w:themeColor="text1"/>
          <w:sz w:val="24"/>
          <w:szCs w:val="24"/>
          <w:lang w:eastAsia="en-GB"/>
        </w:rPr>
        <w:t xml:space="preserve">to </w:t>
      </w:r>
      <w:r w:rsidR="00135D19" w:rsidRPr="00411AE0">
        <w:rPr>
          <w:rFonts w:ascii="Garamond" w:eastAsia="Times New Roman" w:hAnsi="Garamond" w:cs="Times New Roman"/>
          <w:color w:val="000000" w:themeColor="text1"/>
          <w:sz w:val="24"/>
          <w:szCs w:val="24"/>
          <w:lang w:eastAsia="en-GB"/>
        </w:rPr>
        <w:t xml:space="preserve">do so </w:t>
      </w:r>
      <w:r w:rsidR="007655EC" w:rsidRPr="00411AE0">
        <w:rPr>
          <w:rFonts w:ascii="Garamond" w:eastAsia="Times New Roman" w:hAnsi="Garamond" w:cs="Times New Roman"/>
          <w:color w:val="000000" w:themeColor="text1"/>
          <w:sz w:val="24"/>
          <w:szCs w:val="24"/>
          <w:lang w:eastAsia="en-GB"/>
        </w:rPr>
        <w:t>as</w:t>
      </w:r>
      <w:r w:rsidR="00830FE5" w:rsidRPr="00411AE0">
        <w:rPr>
          <w:rFonts w:ascii="Garamond" w:eastAsia="Times New Roman" w:hAnsi="Garamond" w:cs="Times New Roman"/>
          <w:color w:val="000000" w:themeColor="text1"/>
          <w:sz w:val="24"/>
          <w:szCs w:val="24"/>
          <w:lang w:eastAsia="en-GB"/>
        </w:rPr>
        <w:t xml:space="preserve"> </w:t>
      </w:r>
      <w:r w:rsidR="00F52143" w:rsidRPr="00411AE0">
        <w:rPr>
          <w:rFonts w:ascii="Garamond" w:eastAsia="Times New Roman" w:hAnsi="Garamond" w:cs="Times New Roman"/>
          <w:color w:val="000000" w:themeColor="text1"/>
          <w:sz w:val="24"/>
          <w:szCs w:val="24"/>
          <w:lang w:eastAsia="en-GB"/>
        </w:rPr>
        <w:t xml:space="preserve">the </w:t>
      </w:r>
      <w:r w:rsidR="003C25A3" w:rsidRPr="00CB6DF6">
        <w:rPr>
          <w:rFonts w:ascii="Garamond" w:eastAsia="Times New Roman" w:hAnsi="Garamond" w:cs="Times New Roman"/>
          <w:color w:val="000000" w:themeColor="text1"/>
          <w:sz w:val="24"/>
          <w:szCs w:val="24"/>
          <w:lang w:eastAsia="en-GB"/>
        </w:rPr>
        <w:t xml:space="preserve">archetypal rational liberal legal actor </w:t>
      </w:r>
      <w:r w:rsidR="003C25A3">
        <w:rPr>
          <w:rFonts w:ascii="Garamond" w:eastAsia="Times New Roman" w:hAnsi="Garamond" w:cs="Times New Roman"/>
          <w:color w:val="000000" w:themeColor="text1"/>
          <w:sz w:val="24"/>
          <w:szCs w:val="24"/>
          <w:lang w:eastAsia="en-GB"/>
        </w:rPr>
        <w:t xml:space="preserve">(the </w:t>
      </w:r>
      <w:r w:rsidR="00F52143" w:rsidRPr="00411AE0">
        <w:rPr>
          <w:rFonts w:ascii="Garamond" w:eastAsia="Times New Roman" w:hAnsi="Garamond" w:cs="Times New Roman"/>
          <w:color w:val="000000" w:themeColor="text1"/>
          <w:sz w:val="24"/>
          <w:szCs w:val="24"/>
          <w:lang w:eastAsia="en-GB"/>
        </w:rPr>
        <w:t>Eurocentric rationalistic legal man</w:t>
      </w:r>
      <w:r w:rsidR="003C25A3">
        <w:rPr>
          <w:rFonts w:ascii="Garamond" w:eastAsia="Times New Roman" w:hAnsi="Garamond" w:cs="Times New Roman"/>
          <w:color w:val="000000" w:themeColor="text1"/>
          <w:sz w:val="24"/>
          <w:szCs w:val="24"/>
          <w:lang w:eastAsia="en-GB"/>
        </w:rPr>
        <w:t>)</w:t>
      </w:r>
      <w:r w:rsidR="00830FE5"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32"/>
      </w:r>
      <w:r w:rsidR="00830FE5" w:rsidRPr="00411AE0">
        <w:rPr>
          <w:rFonts w:ascii="Garamond" w:eastAsia="Times New Roman" w:hAnsi="Garamond" w:cs="Times New Roman"/>
          <w:color w:val="000000" w:themeColor="text1"/>
          <w:sz w:val="24"/>
          <w:szCs w:val="24"/>
          <w:lang w:eastAsia="en-GB"/>
        </w:rPr>
        <w:t xml:space="preserve"> </w:t>
      </w:r>
      <w:r w:rsidR="00D502AC" w:rsidRPr="00411AE0">
        <w:rPr>
          <w:rFonts w:ascii="Garamond" w:eastAsia="Times New Roman" w:hAnsi="Garamond" w:cs="Times New Roman"/>
          <w:color w:val="000000" w:themeColor="text1"/>
          <w:sz w:val="24"/>
          <w:szCs w:val="24"/>
          <w:lang w:eastAsia="en-GB"/>
        </w:rPr>
        <w:t xml:space="preserve">Even the human rights universal, the most </w:t>
      </w:r>
      <w:r w:rsidR="00D502AC" w:rsidRPr="00411AE0">
        <w:rPr>
          <w:rFonts w:ascii="Garamond" w:eastAsia="Times New Roman" w:hAnsi="Garamond" w:cs="Times New Roman"/>
          <w:color w:val="000000" w:themeColor="text1"/>
          <w:sz w:val="24"/>
          <w:szCs w:val="24"/>
          <w:lang w:eastAsia="en-GB"/>
        </w:rPr>
        <w:lastRenderedPageBreak/>
        <w:t xml:space="preserve">putatively inclusive naturalistic template, relentlessly prioritises </w:t>
      </w:r>
      <w:r w:rsidR="0007207A" w:rsidRPr="00411AE0">
        <w:rPr>
          <w:rFonts w:ascii="Garamond" w:eastAsia="Times New Roman" w:hAnsi="Garamond" w:cs="Times New Roman"/>
          <w:color w:val="000000" w:themeColor="text1"/>
          <w:sz w:val="24"/>
          <w:szCs w:val="24"/>
          <w:lang w:eastAsia="en-GB"/>
        </w:rPr>
        <w:t>the same</w:t>
      </w:r>
      <w:r w:rsidR="00D502AC" w:rsidRPr="00411AE0">
        <w:rPr>
          <w:rFonts w:ascii="Garamond" w:eastAsia="Times New Roman" w:hAnsi="Garamond" w:cs="Times New Roman"/>
          <w:color w:val="000000" w:themeColor="text1"/>
          <w:sz w:val="24"/>
          <w:szCs w:val="24"/>
          <w:lang w:eastAsia="en-GB"/>
        </w:rPr>
        <w:t xml:space="preserve"> submerged Eurocentric trope of the subject</w:t>
      </w:r>
      <w:r w:rsidR="00830FE5" w:rsidRPr="00411AE0">
        <w:rPr>
          <w:rFonts w:ascii="Garamond" w:eastAsia="Times New Roman" w:hAnsi="Garamond" w:cs="Times New Roman"/>
          <w:color w:val="000000" w:themeColor="text1"/>
          <w:sz w:val="24"/>
          <w:szCs w:val="24"/>
          <w:lang w:eastAsia="en-GB"/>
        </w:rPr>
        <w:t>.</w:t>
      </w:r>
      <w:r w:rsidR="00830FE5" w:rsidRPr="00411AE0">
        <w:rPr>
          <w:rStyle w:val="FootnoteReference"/>
          <w:rFonts w:ascii="Garamond" w:eastAsia="Times New Roman" w:hAnsi="Garamond" w:cs="Times New Roman"/>
          <w:color w:val="000000" w:themeColor="text1"/>
          <w:sz w:val="24"/>
          <w:szCs w:val="24"/>
          <w:lang w:eastAsia="en-GB"/>
        </w:rPr>
        <w:footnoteReference w:id="133"/>
      </w:r>
      <w:r w:rsidR="00830FE5" w:rsidRPr="00411AE0">
        <w:rPr>
          <w:rFonts w:ascii="Garamond" w:eastAsia="Times New Roman" w:hAnsi="Garamond" w:cs="Times New Roman"/>
          <w:color w:val="000000" w:themeColor="text1"/>
          <w:sz w:val="24"/>
          <w:szCs w:val="24"/>
          <w:lang w:eastAsia="en-GB"/>
        </w:rPr>
        <w:t xml:space="preserve"> </w:t>
      </w:r>
      <w:r w:rsidR="00D502AC" w:rsidRPr="00411AE0">
        <w:rPr>
          <w:rFonts w:ascii="Garamond" w:eastAsia="Times New Roman" w:hAnsi="Garamond" w:cs="Times New Roman"/>
          <w:color w:val="000000" w:themeColor="text1"/>
          <w:sz w:val="24"/>
          <w:szCs w:val="24"/>
          <w:lang w:eastAsia="en-GB"/>
        </w:rPr>
        <w:t xml:space="preserve">In short, </w:t>
      </w:r>
      <w:r w:rsidR="0084710F">
        <w:rPr>
          <w:rFonts w:ascii="Garamond" w:eastAsia="Times New Roman" w:hAnsi="Garamond" w:cs="Times New Roman"/>
          <w:color w:val="000000" w:themeColor="text1"/>
          <w:sz w:val="24"/>
          <w:szCs w:val="24"/>
          <w:lang w:eastAsia="en-GB"/>
        </w:rPr>
        <w:t xml:space="preserve">as Naffine concludes, </w:t>
      </w:r>
      <w:r w:rsidR="00830FE5" w:rsidRPr="00411AE0">
        <w:rPr>
          <w:rFonts w:ascii="Garamond" w:eastAsia="Times New Roman" w:hAnsi="Garamond" w:cs="Times New Roman"/>
          <w:color w:val="000000" w:themeColor="text1"/>
          <w:sz w:val="24"/>
          <w:szCs w:val="24"/>
          <w:lang w:eastAsia="en-GB"/>
        </w:rPr>
        <w:t>legal person</w:t>
      </w:r>
      <w:r w:rsidR="004803D0" w:rsidRPr="00411AE0">
        <w:rPr>
          <w:rFonts w:ascii="Garamond" w:eastAsia="Times New Roman" w:hAnsi="Garamond" w:cs="Times New Roman"/>
          <w:color w:val="000000" w:themeColor="text1"/>
          <w:sz w:val="24"/>
          <w:szCs w:val="24"/>
          <w:lang w:eastAsia="en-GB"/>
        </w:rPr>
        <w:t>hood</w:t>
      </w:r>
      <w:r w:rsidR="00E64756" w:rsidRPr="00411AE0">
        <w:rPr>
          <w:rFonts w:ascii="Garamond" w:eastAsia="Times New Roman" w:hAnsi="Garamond" w:cs="Times New Roman"/>
          <w:color w:val="000000" w:themeColor="text1"/>
          <w:sz w:val="24"/>
          <w:szCs w:val="24"/>
          <w:lang w:eastAsia="en-GB"/>
        </w:rPr>
        <w:t xml:space="preserve"> </w:t>
      </w:r>
      <w:r w:rsidR="00E64756" w:rsidRPr="00411AE0">
        <w:rPr>
          <w:rFonts w:ascii="Garamond" w:hAnsi="Garamond"/>
          <w:sz w:val="24"/>
          <w:szCs w:val="24"/>
          <w:lang w:eastAsia="en-GB"/>
        </w:rPr>
        <w:t xml:space="preserve">‘fairly </w:t>
      </w:r>
      <w:r w:rsidR="00E64756" w:rsidRPr="00411AE0">
        <w:rPr>
          <w:rFonts w:ascii="Garamond" w:hAnsi="Garamond"/>
          <w:i/>
          <w:sz w:val="24"/>
          <w:szCs w:val="24"/>
          <w:lang w:eastAsia="en-GB"/>
        </w:rPr>
        <w:t>systematically</w:t>
      </w:r>
      <w:r w:rsidR="00E64756" w:rsidRPr="00411AE0">
        <w:rPr>
          <w:rFonts w:ascii="Garamond" w:hAnsi="Garamond"/>
          <w:sz w:val="24"/>
          <w:szCs w:val="24"/>
          <w:lang w:eastAsia="en-GB"/>
        </w:rPr>
        <w:t xml:space="preserve"> helps to support a quite particular interpretation of the person, and one which has an intimate connection with its companion concept, property’.</w:t>
      </w:r>
      <w:r w:rsidR="00E64756" w:rsidRPr="00411AE0">
        <w:rPr>
          <w:rStyle w:val="FootnoteReference"/>
          <w:rFonts w:ascii="Garamond" w:hAnsi="Garamond"/>
          <w:sz w:val="24"/>
          <w:szCs w:val="24"/>
          <w:lang w:eastAsia="en-GB"/>
        </w:rPr>
        <w:footnoteReference w:id="134"/>
      </w:r>
      <w:r w:rsidR="004803D0" w:rsidRPr="00411AE0">
        <w:rPr>
          <w:rFonts w:ascii="Garamond" w:eastAsia="Times New Roman" w:hAnsi="Garamond" w:cs="Times New Roman"/>
          <w:color w:val="000000" w:themeColor="text1"/>
          <w:sz w:val="24"/>
          <w:szCs w:val="24"/>
          <w:lang w:eastAsia="en-GB"/>
        </w:rPr>
        <w:t xml:space="preserve"> </w:t>
      </w:r>
      <w:r w:rsidR="00AB4080" w:rsidRPr="00411AE0">
        <w:rPr>
          <w:rFonts w:ascii="Garamond" w:hAnsi="Garamond"/>
          <w:sz w:val="24"/>
          <w:szCs w:val="24"/>
          <w:lang w:eastAsia="en-GB"/>
        </w:rPr>
        <w:t>Legal personhood, in other words, systematically privileges the</w:t>
      </w:r>
      <w:r w:rsidR="00B235BD">
        <w:rPr>
          <w:rFonts w:ascii="Garamond" w:hAnsi="Garamond"/>
          <w:sz w:val="24"/>
          <w:szCs w:val="24"/>
          <w:lang w:eastAsia="en-GB"/>
        </w:rPr>
        <w:t xml:space="preserve"> elite, property-owning</w:t>
      </w:r>
      <w:r w:rsidR="00AB4080" w:rsidRPr="00411AE0">
        <w:rPr>
          <w:rFonts w:ascii="Garamond" w:hAnsi="Garamond"/>
          <w:sz w:val="24"/>
          <w:szCs w:val="24"/>
          <w:lang w:eastAsia="en-GB"/>
        </w:rPr>
        <w:t xml:space="preserve"> </w:t>
      </w:r>
      <w:r w:rsidR="00517D21" w:rsidRPr="00411AE0">
        <w:rPr>
          <w:rFonts w:ascii="Garamond" w:hAnsi="Garamond"/>
          <w:sz w:val="24"/>
          <w:szCs w:val="24"/>
          <w:lang w:eastAsia="en-GB"/>
        </w:rPr>
        <w:t xml:space="preserve">‘man’ </w:t>
      </w:r>
      <w:r w:rsidR="00AB4080" w:rsidRPr="00411AE0">
        <w:rPr>
          <w:rFonts w:ascii="Garamond" w:hAnsi="Garamond"/>
          <w:sz w:val="24"/>
          <w:szCs w:val="24"/>
          <w:lang w:eastAsia="en-GB"/>
        </w:rPr>
        <w:t xml:space="preserve">at the heart of the liberal political order, </w:t>
      </w:r>
      <w:r w:rsidR="00167ACB" w:rsidRPr="00411AE0">
        <w:rPr>
          <w:rFonts w:ascii="Garamond" w:hAnsi="Garamond"/>
          <w:sz w:val="24"/>
          <w:szCs w:val="24"/>
          <w:lang w:eastAsia="en-GB"/>
        </w:rPr>
        <w:t>a construct</w:t>
      </w:r>
      <w:r w:rsidR="00AB4080" w:rsidRPr="00411AE0">
        <w:rPr>
          <w:rFonts w:ascii="Garamond" w:hAnsi="Garamond"/>
          <w:sz w:val="24"/>
          <w:szCs w:val="24"/>
          <w:lang w:eastAsia="en-GB"/>
        </w:rPr>
        <w:t xml:space="preserve"> constituted by the ‘Reason’ thought to justify the </w:t>
      </w:r>
      <w:r w:rsidR="00167ACB" w:rsidRPr="00411AE0">
        <w:rPr>
          <w:rFonts w:ascii="Garamond" w:hAnsi="Garamond"/>
          <w:sz w:val="24"/>
          <w:szCs w:val="24"/>
          <w:lang w:eastAsia="en-GB"/>
        </w:rPr>
        <w:t xml:space="preserve">civilisational </w:t>
      </w:r>
      <w:r w:rsidR="00AB4080" w:rsidRPr="00411AE0">
        <w:rPr>
          <w:rFonts w:ascii="Garamond" w:hAnsi="Garamond"/>
          <w:sz w:val="24"/>
          <w:szCs w:val="24"/>
          <w:lang w:eastAsia="en-GB"/>
        </w:rPr>
        <w:t>priority of European males over other humans, whether women, children, indigenous peoples, non-Europeans or non-property owners (including nomads).</w:t>
      </w:r>
      <w:r w:rsidR="00AB4080" w:rsidRPr="00411AE0">
        <w:rPr>
          <w:rStyle w:val="FootnoteReference"/>
          <w:rFonts w:ascii="Garamond" w:hAnsi="Garamond"/>
          <w:sz w:val="24"/>
          <w:szCs w:val="24"/>
          <w:lang w:eastAsia="en-GB"/>
        </w:rPr>
        <w:footnoteReference w:id="135"/>
      </w:r>
      <w:r w:rsidR="00AB4080" w:rsidRPr="00411AE0">
        <w:rPr>
          <w:rFonts w:ascii="Garamond" w:hAnsi="Garamond"/>
          <w:sz w:val="24"/>
          <w:szCs w:val="24"/>
          <w:lang w:eastAsia="en-GB"/>
        </w:rPr>
        <w:t xml:space="preserve"> </w:t>
      </w:r>
    </w:p>
    <w:p w14:paraId="689FCBBD" w14:textId="2918C621" w:rsidR="00830FE5" w:rsidRPr="00411AE0" w:rsidRDefault="00126B49" w:rsidP="001E47C3">
      <w:pPr>
        <w:widowControl w:val="0"/>
        <w:autoSpaceDE w:val="0"/>
        <w:autoSpaceDN w:val="0"/>
        <w:adjustRightInd w:val="0"/>
        <w:spacing w:after="0" w:line="240" w:lineRule="auto"/>
        <w:rPr>
          <w:rFonts w:ascii="Garamond" w:hAnsi="Garamond"/>
          <w:sz w:val="24"/>
          <w:szCs w:val="24"/>
          <w:lang w:eastAsia="en-GB"/>
        </w:rPr>
      </w:pPr>
      <w:r w:rsidRPr="00411AE0">
        <w:rPr>
          <w:rFonts w:ascii="Garamond" w:eastAsia="Times New Roman" w:hAnsi="Garamond" w:cs="Times New Roman"/>
          <w:color w:val="000000" w:themeColor="text1"/>
          <w:sz w:val="24"/>
          <w:szCs w:val="24"/>
          <w:lang w:eastAsia="en-GB"/>
        </w:rPr>
        <w:tab/>
      </w:r>
      <w:r w:rsidR="00830FE5" w:rsidRPr="00411AE0">
        <w:rPr>
          <w:rFonts w:ascii="Garamond" w:eastAsia="Times New Roman" w:hAnsi="Garamond" w:cs="Times New Roman"/>
          <w:color w:val="000000" w:themeColor="text1"/>
          <w:sz w:val="24"/>
          <w:szCs w:val="24"/>
          <w:lang w:eastAsia="en-GB"/>
        </w:rPr>
        <w:t>This</w:t>
      </w:r>
      <w:r w:rsidR="00167ACB" w:rsidRPr="00411AE0">
        <w:rPr>
          <w:rFonts w:ascii="Garamond" w:eastAsia="Times New Roman" w:hAnsi="Garamond" w:cs="Times New Roman"/>
          <w:color w:val="000000" w:themeColor="text1"/>
          <w:sz w:val="24"/>
          <w:szCs w:val="24"/>
          <w:lang w:eastAsia="en-GB"/>
        </w:rPr>
        <w:t xml:space="preserve"> submerged politics</w:t>
      </w:r>
      <w:r w:rsidR="00830FE5"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i/>
          <w:color w:val="000000" w:themeColor="text1"/>
          <w:sz w:val="24"/>
          <w:szCs w:val="24"/>
          <w:lang w:eastAsia="en-GB"/>
        </w:rPr>
        <w:t>matters</w:t>
      </w:r>
      <w:r w:rsidRPr="00411AE0">
        <w:rPr>
          <w:rFonts w:ascii="Garamond" w:eastAsia="Times New Roman" w:hAnsi="Garamond" w:cs="Times New Roman"/>
          <w:color w:val="000000" w:themeColor="text1"/>
          <w:sz w:val="24"/>
          <w:szCs w:val="24"/>
          <w:lang w:eastAsia="en-GB"/>
        </w:rPr>
        <w:t xml:space="preserve"> for thinking about legal personhood generally</w:t>
      </w:r>
      <w:r w:rsidR="007655EC" w:rsidRPr="00411AE0">
        <w:rPr>
          <w:rFonts w:ascii="Garamond" w:eastAsia="Times New Roman" w:hAnsi="Garamond" w:cs="Times New Roman"/>
          <w:color w:val="000000" w:themeColor="text1"/>
          <w:sz w:val="24"/>
          <w:szCs w:val="24"/>
          <w:lang w:eastAsia="en-GB"/>
        </w:rPr>
        <w:t>:</w:t>
      </w:r>
      <w:r w:rsidRPr="00411AE0">
        <w:rPr>
          <w:rFonts w:ascii="Garamond" w:eastAsia="Times New Roman" w:hAnsi="Garamond" w:cs="Times New Roman"/>
          <w:color w:val="000000" w:themeColor="text1"/>
          <w:sz w:val="24"/>
          <w:szCs w:val="24"/>
          <w:lang w:eastAsia="en-GB"/>
        </w:rPr>
        <w:t xml:space="preserve"> </w:t>
      </w:r>
      <w:r w:rsidR="00A57536">
        <w:rPr>
          <w:rFonts w:ascii="Garamond" w:hAnsi="Garamond"/>
          <w:sz w:val="24"/>
          <w:szCs w:val="24"/>
          <w:lang w:eastAsia="en-GB"/>
        </w:rPr>
        <w:t>a</w:t>
      </w:r>
      <w:r w:rsidR="0044260C" w:rsidRPr="00411AE0">
        <w:rPr>
          <w:rFonts w:ascii="Garamond" w:hAnsi="Garamond"/>
          <w:sz w:val="24"/>
          <w:szCs w:val="24"/>
          <w:lang w:eastAsia="en-GB"/>
        </w:rPr>
        <w:t>ll forms of legal personhood</w:t>
      </w:r>
      <w:r w:rsidR="003B5D47">
        <w:rPr>
          <w:rFonts w:ascii="Garamond" w:hAnsi="Garamond"/>
          <w:sz w:val="24"/>
          <w:szCs w:val="24"/>
          <w:lang w:eastAsia="en-GB"/>
        </w:rPr>
        <w:t>—including new and inventive forms—</w:t>
      </w:r>
      <w:r w:rsidR="0044260C" w:rsidRPr="00411AE0">
        <w:rPr>
          <w:rFonts w:ascii="Garamond" w:hAnsi="Garamond"/>
          <w:sz w:val="24"/>
          <w:szCs w:val="24"/>
          <w:lang w:eastAsia="en-GB"/>
        </w:rPr>
        <w:t xml:space="preserve">need </w:t>
      </w:r>
      <w:r w:rsidRPr="00411AE0">
        <w:rPr>
          <w:rFonts w:ascii="Garamond" w:hAnsi="Garamond"/>
          <w:sz w:val="24"/>
          <w:szCs w:val="24"/>
          <w:lang w:eastAsia="en-GB"/>
        </w:rPr>
        <w:t xml:space="preserve">to be </w:t>
      </w:r>
      <w:r w:rsidR="0044260C" w:rsidRPr="00411AE0">
        <w:rPr>
          <w:rFonts w:ascii="Garamond" w:hAnsi="Garamond"/>
          <w:sz w:val="24"/>
          <w:szCs w:val="24"/>
          <w:lang w:eastAsia="en-GB"/>
        </w:rPr>
        <w:t>critical</w:t>
      </w:r>
      <w:r w:rsidRPr="00411AE0">
        <w:rPr>
          <w:rFonts w:ascii="Garamond" w:hAnsi="Garamond"/>
          <w:sz w:val="24"/>
          <w:szCs w:val="24"/>
          <w:lang w:eastAsia="en-GB"/>
        </w:rPr>
        <w:t>ly evaluated</w:t>
      </w:r>
      <w:r w:rsidR="0044260C" w:rsidRPr="00411AE0">
        <w:rPr>
          <w:rFonts w:ascii="Garamond" w:hAnsi="Garamond"/>
          <w:sz w:val="24"/>
          <w:szCs w:val="24"/>
          <w:lang w:eastAsia="en-GB"/>
        </w:rPr>
        <w:t xml:space="preserve"> for the degree to which they are drawn into the traction of this centripetal ideological construct.</w:t>
      </w:r>
      <w:r w:rsidR="008C0EFE">
        <w:rPr>
          <w:rFonts w:ascii="Garamond" w:hAnsi="Garamond"/>
          <w:sz w:val="24"/>
          <w:szCs w:val="24"/>
          <w:lang w:eastAsia="en-GB"/>
        </w:rPr>
        <w:t xml:space="preserve"> </w:t>
      </w:r>
    </w:p>
    <w:p w14:paraId="2CD4F26D" w14:textId="77777777" w:rsidR="00830FE5" w:rsidRPr="00411AE0" w:rsidRDefault="00830FE5" w:rsidP="00CB0DFA">
      <w:pPr>
        <w:widowControl w:val="0"/>
        <w:autoSpaceDE w:val="0"/>
        <w:autoSpaceDN w:val="0"/>
        <w:adjustRightInd w:val="0"/>
        <w:spacing w:after="0" w:line="240" w:lineRule="auto"/>
        <w:rPr>
          <w:rFonts w:ascii="Garamond" w:hAnsi="Garamond"/>
          <w:b/>
          <w:sz w:val="24"/>
          <w:szCs w:val="24"/>
          <w:lang w:eastAsia="en-GB"/>
        </w:rPr>
      </w:pPr>
    </w:p>
    <w:p w14:paraId="302D25FF" w14:textId="535AC240" w:rsidR="00F4525E" w:rsidRPr="00411AE0" w:rsidRDefault="00E2040C" w:rsidP="00CB0DFA">
      <w:pPr>
        <w:widowControl w:val="0"/>
        <w:autoSpaceDE w:val="0"/>
        <w:autoSpaceDN w:val="0"/>
        <w:adjustRightInd w:val="0"/>
        <w:spacing w:after="0" w:line="240" w:lineRule="auto"/>
        <w:rPr>
          <w:rFonts w:ascii="Garamond" w:hAnsi="Garamond"/>
          <w:color w:val="000000"/>
          <w:sz w:val="24"/>
          <w:szCs w:val="24"/>
        </w:rPr>
      </w:pPr>
      <w:r w:rsidRPr="006C7505">
        <w:rPr>
          <w:rFonts w:ascii="Garamond" w:hAnsi="Garamond"/>
          <w:b/>
          <w:sz w:val="24"/>
          <w:szCs w:val="24"/>
          <w:lang w:eastAsia="en-GB"/>
        </w:rPr>
        <w:t xml:space="preserve">3c </w:t>
      </w:r>
      <w:r w:rsidR="00830FE5" w:rsidRPr="006C7505">
        <w:rPr>
          <w:rFonts w:ascii="Garamond" w:hAnsi="Garamond"/>
          <w:b/>
          <w:sz w:val="24"/>
          <w:szCs w:val="24"/>
          <w:lang w:eastAsia="en-GB"/>
        </w:rPr>
        <w:t>Legal personhood and the politics of disembodiment</w:t>
      </w:r>
      <w:r w:rsidR="00830FE5" w:rsidRPr="00411AE0">
        <w:rPr>
          <w:rFonts w:ascii="Garamond" w:hAnsi="Garamond"/>
          <w:sz w:val="24"/>
          <w:szCs w:val="24"/>
          <w:lang w:eastAsia="en-GB"/>
        </w:rPr>
        <w:br/>
        <w:t xml:space="preserve">Key to the </w:t>
      </w:r>
      <w:r w:rsidR="00DC092F" w:rsidRPr="00411AE0">
        <w:rPr>
          <w:rFonts w:ascii="Garamond" w:hAnsi="Garamond"/>
          <w:sz w:val="24"/>
          <w:szCs w:val="24"/>
          <w:lang w:eastAsia="en-GB"/>
        </w:rPr>
        <w:t>Eurocentric</w:t>
      </w:r>
      <w:r w:rsidR="0044260C" w:rsidRPr="00411AE0">
        <w:rPr>
          <w:rFonts w:ascii="Garamond" w:hAnsi="Garamond"/>
          <w:sz w:val="24"/>
          <w:szCs w:val="24"/>
          <w:lang w:eastAsia="en-GB"/>
        </w:rPr>
        <w:t xml:space="preserve"> trope</w:t>
      </w:r>
      <w:r w:rsidR="00DC092F" w:rsidRPr="00411AE0">
        <w:rPr>
          <w:rFonts w:ascii="Garamond" w:hAnsi="Garamond"/>
          <w:sz w:val="24"/>
          <w:szCs w:val="24"/>
          <w:lang w:eastAsia="en-GB"/>
        </w:rPr>
        <w:t xml:space="preserve"> of the paradigmatic legal actor</w:t>
      </w:r>
      <w:r w:rsidR="00830FE5" w:rsidRPr="00411AE0">
        <w:rPr>
          <w:rFonts w:ascii="Garamond" w:hAnsi="Garamond"/>
          <w:sz w:val="24"/>
          <w:szCs w:val="24"/>
          <w:lang w:eastAsia="en-GB"/>
        </w:rPr>
        <w:t xml:space="preserve"> is </w:t>
      </w:r>
      <w:r w:rsidR="00DC092F" w:rsidRPr="00411AE0">
        <w:rPr>
          <w:rFonts w:ascii="Garamond" w:hAnsi="Garamond"/>
          <w:sz w:val="24"/>
          <w:szCs w:val="24"/>
          <w:lang w:eastAsia="en-GB"/>
        </w:rPr>
        <w:t xml:space="preserve">its </w:t>
      </w:r>
      <w:r w:rsidR="00830FE5" w:rsidRPr="00411AE0">
        <w:rPr>
          <w:rFonts w:ascii="Garamond" w:hAnsi="Garamond"/>
          <w:sz w:val="24"/>
          <w:szCs w:val="24"/>
          <w:lang w:eastAsia="en-GB"/>
        </w:rPr>
        <w:t>underlying</w:t>
      </w:r>
      <w:r w:rsidR="00A04D8D" w:rsidRPr="00411AE0">
        <w:rPr>
          <w:rFonts w:ascii="Garamond" w:hAnsi="Garamond"/>
          <w:sz w:val="24"/>
          <w:szCs w:val="24"/>
          <w:lang w:eastAsia="en-GB"/>
        </w:rPr>
        <w:t>,</w:t>
      </w:r>
      <w:r w:rsidR="00830FE5" w:rsidRPr="00411AE0">
        <w:rPr>
          <w:rFonts w:ascii="Garamond" w:hAnsi="Garamond"/>
          <w:sz w:val="24"/>
          <w:szCs w:val="24"/>
          <w:lang w:eastAsia="en-GB"/>
        </w:rPr>
        <w:t xml:space="preserve"> broadly Cartesian and Kantian</w:t>
      </w:r>
      <w:r w:rsidR="00A04D8D" w:rsidRPr="00411AE0">
        <w:rPr>
          <w:rFonts w:ascii="Garamond" w:hAnsi="Garamond"/>
          <w:sz w:val="24"/>
          <w:szCs w:val="24"/>
          <w:lang w:eastAsia="en-GB"/>
        </w:rPr>
        <w:t xml:space="preserve"> </w:t>
      </w:r>
      <w:r w:rsidR="00C95CFE">
        <w:rPr>
          <w:rFonts w:ascii="Garamond" w:hAnsi="Garamond"/>
          <w:sz w:val="24"/>
          <w:szCs w:val="24"/>
          <w:lang w:eastAsia="en-GB"/>
        </w:rPr>
        <w:t xml:space="preserve">disembodied </w:t>
      </w:r>
      <w:r w:rsidR="00A04D8D" w:rsidRPr="00411AE0">
        <w:rPr>
          <w:rFonts w:ascii="Garamond" w:hAnsi="Garamond"/>
          <w:sz w:val="24"/>
          <w:szCs w:val="24"/>
          <w:lang w:eastAsia="en-GB"/>
        </w:rPr>
        <w:t>ontology</w:t>
      </w:r>
      <w:r w:rsidR="00F2773F" w:rsidRPr="00411AE0">
        <w:rPr>
          <w:rFonts w:ascii="Garamond" w:hAnsi="Garamond"/>
          <w:sz w:val="24"/>
          <w:szCs w:val="24"/>
          <w:lang w:eastAsia="en-GB"/>
        </w:rPr>
        <w:t>.</w:t>
      </w:r>
      <w:r w:rsidR="00AC48B8" w:rsidRPr="00411AE0">
        <w:rPr>
          <w:rStyle w:val="FootnoteReference"/>
          <w:rFonts w:ascii="Garamond" w:hAnsi="Garamond"/>
          <w:sz w:val="24"/>
          <w:szCs w:val="24"/>
          <w:lang w:eastAsia="en-GB"/>
        </w:rPr>
        <w:footnoteReference w:id="136"/>
      </w:r>
      <w:r w:rsidR="00830FE5" w:rsidRPr="00411AE0">
        <w:rPr>
          <w:rFonts w:ascii="Garamond" w:hAnsi="Garamond"/>
          <w:sz w:val="24"/>
          <w:szCs w:val="24"/>
          <w:lang w:eastAsia="en-GB"/>
        </w:rPr>
        <w:t xml:space="preserve"> </w:t>
      </w:r>
      <w:r w:rsidR="001232AB" w:rsidRPr="00411AE0">
        <w:rPr>
          <w:rFonts w:ascii="Garamond" w:hAnsi="Garamond"/>
          <w:sz w:val="24"/>
          <w:szCs w:val="24"/>
          <w:lang w:eastAsia="en-GB"/>
        </w:rPr>
        <w:t xml:space="preserve"> Rationalist, property-centred </w:t>
      </w:r>
      <w:r w:rsidR="00830FE5" w:rsidRPr="00411AE0">
        <w:rPr>
          <w:rFonts w:ascii="Garamond" w:hAnsi="Garamond"/>
          <w:sz w:val="24"/>
          <w:szCs w:val="24"/>
        </w:rPr>
        <w:t>‘legal theory [has systematically underplayed] the mundane fact that in order for the law to function at all it must first and foremost have a hold over bodies’</w:t>
      </w:r>
      <w:r w:rsidR="00830FE5" w:rsidRPr="00411AE0">
        <w:rPr>
          <w:rStyle w:val="FootnoteReference"/>
          <w:rFonts w:ascii="Garamond" w:hAnsi="Garamond"/>
          <w:sz w:val="24"/>
          <w:szCs w:val="24"/>
        </w:rPr>
        <w:footnoteReference w:id="137"/>
      </w:r>
      <w:r w:rsidR="00A27DAC" w:rsidRPr="00411AE0">
        <w:rPr>
          <w:rFonts w:ascii="Garamond" w:hAnsi="Garamond"/>
          <w:sz w:val="24"/>
          <w:szCs w:val="24"/>
        </w:rPr>
        <w:t xml:space="preserve">— </w:t>
      </w:r>
      <w:r w:rsidR="00830FE5" w:rsidRPr="00411AE0">
        <w:rPr>
          <w:rFonts w:ascii="Garamond" w:hAnsi="Garamond"/>
          <w:sz w:val="24"/>
          <w:szCs w:val="24"/>
        </w:rPr>
        <w:t xml:space="preserve">while </w:t>
      </w:r>
      <w:r w:rsidR="00830FE5" w:rsidRPr="00411AE0">
        <w:rPr>
          <w:rFonts w:ascii="Garamond" w:hAnsi="Garamond"/>
          <w:i/>
          <w:sz w:val="24"/>
          <w:szCs w:val="24"/>
        </w:rPr>
        <w:t>simultaneously</w:t>
      </w:r>
      <w:r w:rsidR="00830FE5" w:rsidRPr="00411AE0">
        <w:rPr>
          <w:rFonts w:ascii="Garamond" w:hAnsi="Garamond"/>
          <w:sz w:val="24"/>
          <w:szCs w:val="24"/>
        </w:rPr>
        <w:t xml:space="preserve"> elevating a</w:t>
      </w:r>
      <w:r w:rsidR="001232AB" w:rsidRPr="00411AE0">
        <w:rPr>
          <w:rFonts w:ascii="Garamond" w:hAnsi="Garamond"/>
          <w:sz w:val="24"/>
          <w:szCs w:val="24"/>
        </w:rPr>
        <w:t xml:space="preserve"> form of</w:t>
      </w:r>
      <w:r w:rsidR="00830FE5" w:rsidRPr="00411AE0">
        <w:rPr>
          <w:rFonts w:ascii="Garamond" w:hAnsi="Garamond"/>
          <w:sz w:val="24"/>
          <w:szCs w:val="24"/>
        </w:rPr>
        <w:t xml:space="preserve"> disembodied reason that detaches law’s paradigmatic person from that very same embodiment.</w:t>
      </w:r>
      <w:r w:rsidR="00830FE5" w:rsidRPr="00411AE0">
        <w:rPr>
          <w:rStyle w:val="FootnoteReference"/>
          <w:rFonts w:ascii="Garamond" w:hAnsi="Garamond"/>
          <w:color w:val="000000"/>
          <w:sz w:val="24"/>
          <w:szCs w:val="24"/>
        </w:rPr>
        <w:footnoteReference w:id="138"/>
      </w:r>
      <w:r w:rsidR="001232AB" w:rsidRPr="00411AE0">
        <w:rPr>
          <w:rFonts w:ascii="Garamond" w:hAnsi="Garamond"/>
          <w:color w:val="000000"/>
          <w:sz w:val="24"/>
          <w:szCs w:val="24"/>
        </w:rPr>
        <w:t xml:space="preserve"> </w:t>
      </w:r>
      <w:r w:rsidR="00830FE5" w:rsidRPr="00411AE0">
        <w:rPr>
          <w:rFonts w:ascii="Garamond" w:hAnsi="Garamond"/>
          <w:color w:val="000000"/>
          <w:sz w:val="24"/>
          <w:szCs w:val="24"/>
        </w:rPr>
        <w:t xml:space="preserve">A slippery politics is at work </w:t>
      </w:r>
      <w:r w:rsidR="00B153D6" w:rsidRPr="00411AE0">
        <w:rPr>
          <w:rFonts w:ascii="Garamond" w:hAnsi="Garamond"/>
          <w:color w:val="000000"/>
          <w:sz w:val="24"/>
          <w:szCs w:val="24"/>
        </w:rPr>
        <w:t>here</w:t>
      </w:r>
      <w:r w:rsidR="00B85FFF" w:rsidRPr="00411AE0">
        <w:rPr>
          <w:rFonts w:ascii="Garamond" w:hAnsi="Garamond"/>
          <w:color w:val="000000"/>
          <w:sz w:val="24"/>
          <w:szCs w:val="24"/>
        </w:rPr>
        <w:t>.</w:t>
      </w:r>
      <w:r w:rsidR="00830FE5" w:rsidRPr="00411AE0">
        <w:rPr>
          <w:rFonts w:ascii="Garamond" w:hAnsi="Garamond"/>
          <w:color w:val="000000"/>
          <w:sz w:val="24"/>
          <w:szCs w:val="24"/>
        </w:rPr>
        <w:t xml:space="preserve"> </w:t>
      </w:r>
      <w:r w:rsidR="00B85FFF" w:rsidRPr="00411AE0">
        <w:rPr>
          <w:rFonts w:ascii="Garamond" w:hAnsi="Garamond"/>
          <w:color w:val="000000"/>
          <w:sz w:val="24"/>
          <w:szCs w:val="24"/>
        </w:rPr>
        <w:t>S</w:t>
      </w:r>
      <w:r w:rsidR="00830FE5" w:rsidRPr="00411AE0">
        <w:rPr>
          <w:rFonts w:ascii="Garamond" w:hAnsi="Garamond"/>
          <w:color w:val="000000"/>
          <w:sz w:val="24"/>
          <w:szCs w:val="24"/>
        </w:rPr>
        <w:t xml:space="preserve">ome bodies remain fully vulnerable to the operation of law’s </w:t>
      </w:r>
      <w:r w:rsidR="00233F10" w:rsidRPr="00411AE0">
        <w:rPr>
          <w:rFonts w:ascii="Garamond" w:hAnsi="Garamond"/>
          <w:color w:val="000000"/>
          <w:sz w:val="24"/>
          <w:szCs w:val="24"/>
        </w:rPr>
        <w:t xml:space="preserve">ultimately coercive </w:t>
      </w:r>
      <w:r w:rsidR="00830FE5" w:rsidRPr="00411AE0">
        <w:rPr>
          <w:rFonts w:ascii="Garamond" w:hAnsi="Garamond"/>
          <w:color w:val="000000"/>
          <w:sz w:val="24"/>
          <w:szCs w:val="24"/>
        </w:rPr>
        <w:t>hold over corporeal</w:t>
      </w:r>
      <w:r w:rsidR="00C073F3" w:rsidRPr="00411AE0">
        <w:rPr>
          <w:rFonts w:ascii="Garamond" w:hAnsi="Garamond"/>
          <w:color w:val="000000"/>
          <w:sz w:val="24"/>
          <w:szCs w:val="24"/>
        </w:rPr>
        <w:t xml:space="preserve">ity </w:t>
      </w:r>
      <w:r w:rsidR="00830FE5" w:rsidRPr="00411AE0">
        <w:rPr>
          <w:rFonts w:ascii="Garamond" w:hAnsi="Garamond"/>
          <w:color w:val="000000"/>
          <w:sz w:val="24"/>
          <w:szCs w:val="24"/>
        </w:rPr>
        <w:t>even as other bodies are, at</w:t>
      </w:r>
      <w:r w:rsidR="00A86FFF" w:rsidRPr="00411AE0">
        <w:rPr>
          <w:rFonts w:ascii="Garamond" w:hAnsi="Garamond"/>
          <w:color w:val="000000"/>
          <w:sz w:val="24"/>
          <w:szCs w:val="24"/>
        </w:rPr>
        <w:t xml:space="preserve"> least at</w:t>
      </w:r>
      <w:r w:rsidR="00830FE5" w:rsidRPr="00411AE0">
        <w:rPr>
          <w:rFonts w:ascii="Garamond" w:hAnsi="Garamond"/>
          <w:color w:val="000000"/>
          <w:sz w:val="24"/>
          <w:szCs w:val="24"/>
        </w:rPr>
        <w:t xml:space="preserve"> </w:t>
      </w:r>
      <w:r w:rsidR="00A86FFF" w:rsidRPr="00411AE0">
        <w:rPr>
          <w:rFonts w:ascii="Garamond" w:hAnsi="Garamond"/>
          <w:color w:val="000000"/>
          <w:sz w:val="24"/>
          <w:szCs w:val="24"/>
        </w:rPr>
        <w:t>a</w:t>
      </w:r>
      <w:r w:rsidR="005A04E9" w:rsidRPr="00411AE0">
        <w:rPr>
          <w:rFonts w:ascii="Garamond" w:hAnsi="Garamond"/>
          <w:color w:val="000000"/>
          <w:sz w:val="24"/>
          <w:szCs w:val="24"/>
        </w:rPr>
        <w:t>n</w:t>
      </w:r>
      <w:r w:rsidR="00830FE5" w:rsidRPr="00411AE0">
        <w:rPr>
          <w:rFonts w:ascii="Garamond" w:hAnsi="Garamond"/>
          <w:color w:val="000000"/>
          <w:sz w:val="24"/>
          <w:szCs w:val="24"/>
        </w:rPr>
        <w:t xml:space="preserve"> </w:t>
      </w:r>
      <w:r w:rsidR="005A04E9" w:rsidRPr="00411AE0">
        <w:rPr>
          <w:rFonts w:ascii="Garamond" w:hAnsi="Garamond"/>
          <w:color w:val="000000"/>
          <w:sz w:val="24"/>
          <w:szCs w:val="24"/>
        </w:rPr>
        <w:t xml:space="preserve">archetypal </w:t>
      </w:r>
      <w:r w:rsidR="00830FE5" w:rsidRPr="00411AE0">
        <w:rPr>
          <w:rFonts w:ascii="Garamond" w:hAnsi="Garamond"/>
          <w:color w:val="000000"/>
          <w:sz w:val="24"/>
          <w:szCs w:val="24"/>
        </w:rPr>
        <w:t xml:space="preserve">level, selectively privileged by </w:t>
      </w:r>
      <w:r w:rsidR="00C073F3" w:rsidRPr="00411AE0">
        <w:rPr>
          <w:rFonts w:ascii="Garamond" w:hAnsi="Garamond"/>
          <w:color w:val="000000"/>
          <w:sz w:val="24"/>
          <w:szCs w:val="24"/>
        </w:rPr>
        <w:t xml:space="preserve">their simultaneous centrality </w:t>
      </w:r>
      <w:r w:rsidR="00C073F3" w:rsidRPr="00411AE0">
        <w:rPr>
          <w:rFonts w:ascii="Garamond" w:hAnsi="Garamond"/>
          <w:i/>
          <w:color w:val="000000"/>
          <w:sz w:val="24"/>
          <w:szCs w:val="24"/>
        </w:rPr>
        <w:t xml:space="preserve">and </w:t>
      </w:r>
      <w:r w:rsidR="00B85FFF" w:rsidRPr="00411AE0">
        <w:rPr>
          <w:rFonts w:ascii="Garamond" w:hAnsi="Garamond"/>
          <w:color w:val="000000"/>
          <w:sz w:val="24"/>
          <w:szCs w:val="24"/>
        </w:rPr>
        <w:t>imputed disembodiment</w:t>
      </w:r>
      <w:r w:rsidR="00830FE5" w:rsidRPr="00411AE0">
        <w:rPr>
          <w:rFonts w:ascii="Garamond" w:hAnsi="Garamond"/>
          <w:color w:val="000000"/>
          <w:sz w:val="24"/>
          <w:szCs w:val="24"/>
        </w:rPr>
        <w:t>.</w:t>
      </w:r>
      <w:r w:rsidR="00C073F3" w:rsidRPr="00411AE0">
        <w:rPr>
          <w:rStyle w:val="FootnoteReference"/>
          <w:rFonts w:ascii="Garamond" w:hAnsi="Garamond"/>
          <w:color w:val="000000"/>
          <w:sz w:val="24"/>
          <w:szCs w:val="24"/>
        </w:rPr>
        <w:footnoteReference w:id="139"/>
      </w:r>
      <w:r w:rsidR="00830FE5" w:rsidRPr="00411AE0">
        <w:rPr>
          <w:rFonts w:ascii="Garamond" w:hAnsi="Garamond"/>
          <w:color w:val="000000"/>
          <w:sz w:val="24"/>
          <w:szCs w:val="24"/>
        </w:rPr>
        <w:t xml:space="preserve"> The </w:t>
      </w:r>
      <w:r w:rsidR="00830FE5" w:rsidRPr="00411AE0">
        <w:rPr>
          <w:rFonts w:ascii="Garamond" w:hAnsi="Garamond" w:cs="Times New Roman"/>
          <w:sz w:val="24"/>
          <w:szCs w:val="24"/>
        </w:rPr>
        <w:t xml:space="preserve">imagined inferiority of the non-European, the non-male, the non-white, the non-property owner and </w:t>
      </w:r>
      <w:r w:rsidR="007B23BB" w:rsidRPr="00411AE0">
        <w:rPr>
          <w:rFonts w:ascii="Garamond" w:hAnsi="Garamond" w:cs="Times New Roman"/>
          <w:sz w:val="24"/>
          <w:szCs w:val="24"/>
        </w:rPr>
        <w:t>other</w:t>
      </w:r>
      <w:r w:rsidR="00830FE5" w:rsidRPr="00411AE0">
        <w:rPr>
          <w:rFonts w:ascii="Garamond" w:hAnsi="Garamond" w:cs="Times New Roman"/>
          <w:sz w:val="24"/>
          <w:szCs w:val="24"/>
        </w:rPr>
        <w:t xml:space="preserve"> ‘less than fully rational’ others turns</w:t>
      </w:r>
      <w:r w:rsidR="00971CCE" w:rsidRPr="00411AE0">
        <w:rPr>
          <w:rFonts w:ascii="Garamond" w:hAnsi="Garamond" w:cs="Times New Roman"/>
          <w:sz w:val="24"/>
          <w:szCs w:val="24"/>
        </w:rPr>
        <w:t xml:space="preserve"> up</w:t>
      </w:r>
      <w:r w:rsidR="00830FE5" w:rsidRPr="00411AE0">
        <w:rPr>
          <w:rFonts w:ascii="Garamond" w:hAnsi="Garamond" w:cs="Times New Roman"/>
          <w:sz w:val="24"/>
          <w:szCs w:val="24"/>
        </w:rPr>
        <w:t xml:space="preserve">on their degrees </w:t>
      </w:r>
      <w:r w:rsidR="00D87699" w:rsidRPr="00411AE0">
        <w:rPr>
          <w:rFonts w:ascii="Garamond" w:hAnsi="Garamond" w:cs="Times New Roman"/>
          <w:sz w:val="24"/>
          <w:szCs w:val="24"/>
        </w:rPr>
        <w:t xml:space="preserve">and kinds </w:t>
      </w:r>
      <w:r w:rsidR="00830FE5" w:rsidRPr="00411AE0">
        <w:rPr>
          <w:rFonts w:ascii="Garamond" w:hAnsi="Garamond" w:cs="Times New Roman"/>
          <w:sz w:val="24"/>
          <w:szCs w:val="24"/>
        </w:rPr>
        <w:t xml:space="preserve">of </w:t>
      </w:r>
      <w:r w:rsidR="00C95CFE">
        <w:rPr>
          <w:rFonts w:ascii="Garamond" w:hAnsi="Garamond" w:cs="Times New Roman"/>
          <w:sz w:val="24"/>
          <w:szCs w:val="24"/>
        </w:rPr>
        <w:t>corporeality</w:t>
      </w:r>
      <w:r w:rsidR="00D87699" w:rsidRPr="00411AE0">
        <w:rPr>
          <w:rFonts w:ascii="Garamond" w:hAnsi="Garamond" w:cs="Times New Roman"/>
          <w:sz w:val="24"/>
          <w:szCs w:val="24"/>
        </w:rPr>
        <w:t xml:space="preserve">, </w:t>
      </w:r>
      <w:r w:rsidR="00830FE5" w:rsidRPr="00411AE0">
        <w:rPr>
          <w:rFonts w:ascii="Garamond" w:hAnsi="Garamond" w:cs="Times New Roman"/>
          <w:sz w:val="24"/>
          <w:szCs w:val="24"/>
        </w:rPr>
        <w:t>emotionality</w:t>
      </w:r>
      <w:r w:rsidR="00B85FFF" w:rsidRPr="00411AE0">
        <w:rPr>
          <w:rFonts w:ascii="Garamond" w:hAnsi="Garamond" w:cs="Times New Roman"/>
          <w:sz w:val="24"/>
          <w:szCs w:val="24"/>
        </w:rPr>
        <w:t>, animality</w:t>
      </w:r>
      <w:r w:rsidR="00830FE5" w:rsidRPr="00411AE0">
        <w:rPr>
          <w:rFonts w:ascii="Garamond" w:hAnsi="Garamond" w:cs="Times New Roman"/>
          <w:sz w:val="24"/>
          <w:szCs w:val="24"/>
        </w:rPr>
        <w:t xml:space="preserve"> and other forms of </w:t>
      </w:r>
      <w:r w:rsidR="00B85FFF" w:rsidRPr="00411AE0">
        <w:rPr>
          <w:rFonts w:ascii="Garamond" w:hAnsi="Garamond" w:cs="Times New Roman"/>
          <w:sz w:val="24"/>
          <w:szCs w:val="24"/>
        </w:rPr>
        <w:t xml:space="preserve">constructed </w:t>
      </w:r>
      <w:r w:rsidR="00830FE5" w:rsidRPr="00411AE0">
        <w:rPr>
          <w:rFonts w:ascii="Garamond" w:hAnsi="Garamond" w:cs="Times New Roman"/>
          <w:sz w:val="24"/>
          <w:szCs w:val="24"/>
        </w:rPr>
        <w:t>unreason.</w:t>
      </w:r>
      <w:r w:rsidR="00830FE5" w:rsidRPr="00411AE0">
        <w:rPr>
          <w:rStyle w:val="FootnoteReference"/>
          <w:rFonts w:ascii="Garamond" w:hAnsi="Garamond" w:cs="Times New Roman"/>
          <w:sz w:val="24"/>
          <w:szCs w:val="24"/>
        </w:rPr>
        <w:footnoteReference w:id="140"/>
      </w:r>
      <w:r w:rsidR="00830FE5" w:rsidRPr="00411AE0">
        <w:rPr>
          <w:rFonts w:ascii="Garamond" w:hAnsi="Garamond" w:cs="Times New Roman"/>
          <w:sz w:val="24"/>
          <w:szCs w:val="24"/>
        </w:rPr>
        <w:t xml:space="preserve"> </w:t>
      </w:r>
      <w:r w:rsidR="00830FE5" w:rsidRPr="00411AE0">
        <w:rPr>
          <w:rFonts w:ascii="Garamond" w:hAnsi="Garamond"/>
          <w:color w:val="000000"/>
          <w:sz w:val="24"/>
          <w:szCs w:val="24"/>
        </w:rPr>
        <w:t>Kapur has observed in this connection</w:t>
      </w:r>
      <w:r w:rsidR="0073375B" w:rsidRPr="00411AE0">
        <w:rPr>
          <w:rFonts w:ascii="Garamond" w:hAnsi="Garamond"/>
          <w:color w:val="000000"/>
          <w:sz w:val="24"/>
          <w:szCs w:val="24"/>
        </w:rPr>
        <w:t xml:space="preserve"> </w:t>
      </w:r>
      <w:r w:rsidR="00830FE5" w:rsidRPr="00411AE0">
        <w:rPr>
          <w:rFonts w:ascii="Garamond" w:hAnsi="Garamond"/>
          <w:color w:val="000000"/>
          <w:sz w:val="24"/>
          <w:szCs w:val="24"/>
        </w:rPr>
        <w:t>that</w:t>
      </w:r>
    </w:p>
    <w:p w14:paraId="51033732" w14:textId="77777777" w:rsidR="00F4525E" w:rsidRPr="00411AE0" w:rsidRDefault="00F4525E" w:rsidP="00CB0DFA">
      <w:pPr>
        <w:widowControl w:val="0"/>
        <w:autoSpaceDE w:val="0"/>
        <w:autoSpaceDN w:val="0"/>
        <w:adjustRightInd w:val="0"/>
        <w:spacing w:after="0" w:line="240" w:lineRule="auto"/>
        <w:rPr>
          <w:rFonts w:ascii="Garamond" w:hAnsi="Garamond"/>
          <w:color w:val="000000"/>
          <w:sz w:val="24"/>
          <w:szCs w:val="24"/>
        </w:rPr>
      </w:pPr>
    </w:p>
    <w:p w14:paraId="39201458" w14:textId="18BE4CFB" w:rsidR="00F4525E" w:rsidRPr="00411AE0" w:rsidRDefault="00830FE5" w:rsidP="0073375B">
      <w:pPr>
        <w:widowControl w:val="0"/>
        <w:autoSpaceDE w:val="0"/>
        <w:autoSpaceDN w:val="0"/>
        <w:adjustRightInd w:val="0"/>
        <w:spacing w:after="0" w:line="240" w:lineRule="auto"/>
        <w:ind w:left="567"/>
        <w:rPr>
          <w:rFonts w:ascii="Garamond" w:hAnsi="Garamond" w:cs="Times New Roman"/>
          <w:sz w:val="24"/>
          <w:szCs w:val="24"/>
        </w:rPr>
      </w:pPr>
      <w:r w:rsidRPr="00411AE0">
        <w:rPr>
          <w:rFonts w:ascii="Garamond" w:hAnsi="Garamond" w:cs="Times New Roman"/>
        </w:rPr>
        <w:t>the liberal project could reconcile promises of universality with exclusions in practice through a clear and persuasive logic. Rights and benefits were linked to the capacity to reason, and the capacity to reason was tied to notions of biological determinism, racial and religious superiority, and civilizational maturity</w:t>
      </w:r>
      <w:r w:rsidRPr="00411AE0">
        <w:rPr>
          <w:rFonts w:ascii="Garamond" w:hAnsi="Garamond" w:cs="Times New Roman"/>
          <w:sz w:val="24"/>
          <w:szCs w:val="24"/>
        </w:rPr>
        <w:t>.</w:t>
      </w:r>
      <w:r w:rsidRPr="00411AE0">
        <w:rPr>
          <w:rStyle w:val="FootnoteReference"/>
          <w:rFonts w:ascii="Garamond" w:hAnsi="Garamond" w:cs="Times New Roman"/>
          <w:sz w:val="24"/>
          <w:szCs w:val="24"/>
        </w:rPr>
        <w:footnoteReference w:id="141"/>
      </w:r>
    </w:p>
    <w:p w14:paraId="6F83900A" w14:textId="77777777" w:rsidR="00AB479D" w:rsidRPr="00411AE0" w:rsidRDefault="00AB479D" w:rsidP="00CB0DFA">
      <w:pPr>
        <w:widowControl w:val="0"/>
        <w:autoSpaceDE w:val="0"/>
        <w:autoSpaceDN w:val="0"/>
        <w:adjustRightInd w:val="0"/>
        <w:spacing w:after="0" w:line="240" w:lineRule="auto"/>
        <w:rPr>
          <w:rFonts w:ascii="Garamond" w:hAnsi="Garamond" w:cs="Times New Roman"/>
          <w:sz w:val="24"/>
          <w:szCs w:val="24"/>
        </w:rPr>
      </w:pPr>
    </w:p>
    <w:p w14:paraId="0065128C" w14:textId="43820A18" w:rsidR="00830FE5" w:rsidRPr="00411AE0" w:rsidRDefault="00DC40FA" w:rsidP="00CB0DFA">
      <w:pPr>
        <w:widowControl w:val="0"/>
        <w:autoSpaceDE w:val="0"/>
        <w:autoSpaceDN w:val="0"/>
        <w:adjustRightInd w:val="0"/>
        <w:spacing w:after="0" w:line="240" w:lineRule="auto"/>
        <w:rPr>
          <w:rFonts w:ascii="Garamond" w:hAnsi="Garamond" w:cs="Times New Roman"/>
          <w:sz w:val="24"/>
          <w:szCs w:val="24"/>
        </w:rPr>
      </w:pPr>
      <w:r w:rsidRPr="00411AE0">
        <w:rPr>
          <w:rFonts w:ascii="Garamond" w:hAnsi="Garamond" w:cs="Times New Roman"/>
          <w:sz w:val="24"/>
          <w:szCs w:val="24"/>
        </w:rPr>
        <w:t xml:space="preserve"> </w:t>
      </w:r>
      <w:r w:rsidR="001232AB" w:rsidRPr="00411AE0">
        <w:rPr>
          <w:rFonts w:ascii="Garamond" w:hAnsi="Garamond" w:cs="Times New Roman"/>
          <w:sz w:val="24"/>
          <w:szCs w:val="24"/>
        </w:rPr>
        <w:tab/>
      </w:r>
      <w:r w:rsidR="00AD2FF5" w:rsidRPr="00411AE0">
        <w:rPr>
          <w:rFonts w:ascii="Garamond" w:hAnsi="Garamond" w:cs="Times New Roman"/>
          <w:sz w:val="24"/>
          <w:szCs w:val="24"/>
        </w:rPr>
        <w:t>C</w:t>
      </w:r>
      <w:r w:rsidR="00830FE5" w:rsidRPr="00411AE0">
        <w:rPr>
          <w:rFonts w:ascii="Garamond" w:eastAsia="Times New Roman" w:hAnsi="Garamond" w:cs="Times New Roman"/>
          <w:color w:val="000000" w:themeColor="text1"/>
          <w:sz w:val="24"/>
          <w:szCs w:val="24"/>
          <w:lang w:eastAsia="en-GB"/>
        </w:rPr>
        <w:t>ritical legal theorists of various stripes (feminists, critical race scholars, TWAIL scholars</w:t>
      </w:r>
      <w:r w:rsidR="00F56D98">
        <w:rPr>
          <w:rFonts w:ascii="Garamond" w:eastAsia="Times New Roman" w:hAnsi="Garamond" w:cs="Times New Roman"/>
          <w:color w:val="000000" w:themeColor="text1"/>
          <w:sz w:val="24"/>
          <w:szCs w:val="24"/>
          <w:lang w:eastAsia="en-GB"/>
        </w:rPr>
        <w:t>,</w:t>
      </w:r>
      <w:r w:rsidR="00830FE5" w:rsidRPr="00411AE0">
        <w:rPr>
          <w:rFonts w:ascii="Garamond" w:eastAsia="Times New Roman" w:hAnsi="Garamond" w:cs="Times New Roman"/>
          <w:color w:val="000000" w:themeColor="text1"/>
          <w:sz w:val="24"/>
          <w:szCs w:val="24"/>
          <w:lang w:eastAsia="en-GB"/>
        </w:rPr>
        <w:t xml:space="preserve"> indigenous scholars and so forth)</w:t>
      </w:r>
      <w:r w:rsidR="00AD2FF5" w:rsidRPr="00411AE0">
        <w:rPr>
          <w:rFonts w:ascii="Garamond" w:eastAsia="Times New Roman" w:hAnsi="Garamond" w:cs="Times New Roman"/>
          <w:color w:val="000000" w:themeColor="text1"/>
          <w:sz w:val="24"/>
          <w:szCs w:val="24"/>
          <w:lang w:eastAsia="en-GB"/>
        </w:rPr>
        <w:t xml:space="preserve"> have stripped back </w:t>
      </w:r>
      <w:r w:rsidR="00830FE5" w:rsidRPr="00411AE0">
        <w:rPr>
          <w:rFonts w:ascii="Garamond" w:eastAsia="Times New Roman" w:hAnsi="Garamond" w:cs="Times New Roman"/>
          <w:color w:val="000000" w:themeColor="text1"/>
          <w:sz w:val="24"/>
          <w:szCs w:val="24"/>
          <w:lang w:eastAsia="en-GB"/>
        </w:rPr>
        <w:t xml:space="preserve">the impossible disembodiment of the rational actor </w:t>
      </w:r>
      <w:r w:rsidR="00AD2FF5" w:rsidRPr="00411AE0">
        <w:rPr>
          <w:rFonts w:ascii="Garamond" w:eastAsia="Times New Roman" w:hAnsi="Garamond" w:cs="Times New Roman"/>
          <w:color w:val="000000" w:themeColor="text1"/>
          <w:sz w:val="24"/>
          <w:szCs w:val="24"/>
          <w:lang w:eastAsia="en-GB"/>
        </w:rPr>
        <w:t xml:space="preserve">to </w:t>
      </w:r>
      <w:r w:rsidR="00830FE5" w:rsidRPr="00411AE0">
        <w:rPr>
          <w:rFonts w:ascii="Garamond" w:eastAsia="Times New Roman" w:hAnsi="Garamond" w:cs="Times New Roman"/>
          <w:color w:val="000000" w:themeColor="text1"/>
          <w:sz w:val="24"/>
          <w:szCs w:val="24"/>
          <w:lang w:eastAsia="en-GB"/>
        </w:rPr>
        <w:t xml:space="preserve">reveal </w:t>
      </w:r>
      <w:r w:rsidR="00D87699" w:rsidRPr="00411AE0">
        <w:rPr>
          <w:rFonts w:ascii="Garamond" w:eastAsia="Times New Roman" w:hAnsi="Garamond" w:cs="Times New Roman"/>
          <w:color w:val="000000" w:themeColor="text1"/>
          <w:sz w:val="24"/>
          <w:szCs w:val="24"/>
          <w:lang w:eastAsia="en-GB"/>
        </w:rPr>
        <w:t xml:space="preserve">its </w:t>
      </w:r>
      <w:r w:rsidR="00830FE5" w:rsidRPr="00411AE0">
        <w:rPr>
          <w:rFonts w:ascii="Garamond" w:eastAsia="Times New Roman" w:hAnsi="Garamond" w:cs="Times New Roman"/>
          <w:color w:val="000000" w:themeColor="text1"/>
          <w:sz w:val="24"/>
          <w:szCs w:val="24"/>
          <w:lang w:eastAsia="en-GB"/>
        </w:rPr>
        <w:t>all-too-</w:t>
      </w:r>
      <w:r w:rsidR="00D87699" w:rsidRPr="00411AE0">
        <w:rPr>
          <w:rFonts w:ascii="Garamond" w:eastAsia="Times New Roman" w:hAnsi="Garamond" w:cs="Times New Roman"/>
          <w:color w:val="000000" w:themeColor="text1"/>
          <w:sz w:val="24"/>
          <w:szCs w:val="24"/>
          <w:lang w:eastAsia="en-GB"/>
        </w:rPr>
        <w:t xml:space="preserve">particular </w:t>
      </w:r>
      <w:r w:rsidR="00830FE5" w:rsidRPr="00411AE0">
        <w:rPr>
          <w:rFonts w:ascii="Garamond" w:eastAsia="Times New Roman" w:hAnsi="Garamond" w:cs="Times New Roman"/>
          <w:color w:val="000000" w:themeColor="text1"/>
          <w:sz w:val="24"/>
          <w:szCs w:val="24"/>
          <w:lang w:eastAsia="en-GB"/>
        </w:rPr>
        <w:t>‘smuggled’ body.</w:t>
      </w:r>
      <w:r w:rsidR="00830FE5" w:rsidRPr="00411AE0">
        <w:rPr>
          <w:rStyle w:val="FootnoteReference"/>
          <w:rFonts w:ascii="Garamond" w:eastAsia="Times New Roman" w:hAnsi="Garamond" w:cs="Times New Roman"/>
          <w:color w:val="000000" w:themeColor="text1"/>
          <w:sz w:val="24"/>
          <w:szCs w:val="24"/>
          <w:lang w:eastAsia="en-GB"/>
        </w:rPr>
        <w:footnoteReference w:id="142"/>
      </w:r>
      <w:r w:rsidR="00830FE5" w:rsidRPr="00411AE0">
        <w:rPr>
          <w:rFonts w:ascii="Garamond" w:eastAsia="Times New Roman" w:hAnsi="Garamond" w:cs="Times New Roman"/>
          <w:color w:val="000000" w:themeColor="text1"/>
          <w:sz w:val="24"/>
          <w:szCs w:val="24"/>
          <w:lang w:eastAsia="en-GB"/>
        </w:rPr>
        <w:t xml:space="preserve"> This body is </w:t>
      </w:r>
      <w:r w:rsidR="00807207">
        <w:rPr>
          <w:rFonts w:ascii="Garamond" w:eastAsia="Times New Roman" w:hAnsi="Garamond" w:cs="Times New Roman"/>
          <w:color w:val="000000" w:themeColor="text1"/>
          <w:sz w:val="24"/>
          <w:szCs w:val="24"/>
          <w:lang w:eastAsia="en-GB"/>
        </w:rPr>
        <w:t>unmistakeabl</w:t>
      </w:r>
      <w:r w:rsidR="005F29B4">
        <w:rPr>
          <w:rFonts w:ascii="Garamond" w:eastAsia="Times New Roman" w:hAnsi="Garamond" w:cs="Times New Roman"/>
          <w:color w:val="000000" w:themeColor="text1"/>
          <w:sz w:val="24"/>
          <w:szCs w:val="24"/>
          <w:lang w:eastAsia="en-GB"/>
        </w:rPr>
        <w:t>y</w:t>
      </w:r>
      <w:r w:rsidR="00807207">
        <w:rPr>
          <w:rFonts w:ascii="Garamond" w:eastAsia="Times New Roman" w:hAnsi="Garamond" w:cs="Times New Roman"/>
          <w:color w:val="000000" w:themeColor="text1"/>
          <w:sz w:val="24"/>
          <w:szCs w:val="24"/>
          <w:lang w:eastAsia="en-GB"/>
        </w:rPr>
        <w:t xml:space="preserve"> </w:t>
      </w:r>
      <w:r w:rsidR="009031B1" w:rsidRPr="00411AE0">
        <w:rPr>
          <w:rFonts w:ascii="Garamond" w:eastAsia="Times New Roman" w:hAnsi="Garamond" w:cs="Times New Roman"/>
          <w:color w:val="000000" w:themeColor="text1"/>
          <w:sz w:val="24"/>
          <w:szCs w:val="24"/>
          <w:lang w:eastAsia="en-GB"/>
        </w:rPr>
        <w:t xml:space="preserve">that of the </w:t>
      </w:r>
      <w:r w:rsidR="00830FE5" w:rsidRPr="00411AE0">
        <w:rPr>
          <w:rFonts w:ascii="Garamond" w:eastAsia="Times New Roman" w:hAnsi="Garamond" w:cs="Times New Roman"/>
          <w:color w:val="000000" w:themeColor="text1"/>
          <w:sz w:val="24"/>
          <w:szCs w:val="24"/>
          <w:lang w:eastAsia="en-GB"/>
        </w:rPr>
        <w:t>white, European, male</w:t>
      </w:r>
      <w:r w:rsidR="00F03AC4"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heterosexual</w:t>
      </w:r>
      <w:r w:rsidR="009031B1"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i/>
          <w:color w:val="000000" w:themeColor="text1"/>
          <w:sz w:val="24"/>
          <w:szCs w:val="24"/>
          <w:lang w:eastAsia="en-GB"/>
        </w:rPr>
        <w:t>paterfamilias</w:t>
      </w:r>
      <w:r w:rsidR="00830FE5" w:rsidRPr="00411AE0">
        <w:rPr>
          <w:rFonts w:ascii="Garamond" w:eastAsia="Times New Roman" w:hAnsi="Garamond" w:cs="Times New Roman"/>
          <w:color w:val="000000" w:themeColor="text1"/>
          <w:sz w:val="24"/>
          <w:szCs w:val="24"/>
          <w:lang w:eastAsia="en-GB"/>
        </w:rPr>
        <w:t xml:space="preserve">, </w:t>
      </w:r>
      <w:r w:rsidR="00681C5C" w:rsidRPr="00411AE0">
        <w:rPr>
          <w:rFonts w:ascii="Garamond" w:eastAsia="Times New Roman" w:hAnsi="Garamond" w:cs="Times New Roman"/>
          <w:color w:val="000000" w:themeColor="text1"/>
          <w:sz w:val="24"/>
          <w:szCs w:val="24"/>
          <w:lang w:eastAsia="en-GB"/>
        </w:rPr>
        <w:t xml:space="preserve">the </w:t>
      </w:r>
      <w:r w:rsidR="00830FE5" w:rsidRPr="00411AE0">
        <w:rPr>
          <w:rFonts w:ascii="Garamond" w:eastAsia="Times New Roman" w:hAnsi="Garamond" w:cs="Times New Roman"/>
          <w:color w:val="000000" w:themeColor="text1"/>
          <w:sz w:val="24"/>
          <w:szCs w:val="24"/>
          <w:lang w:eastAsia="en-GB"/>
        </w:rPr>
        <w:t>archetypal citizen of civilised liberalism</w:t>
      </w:r>
      <w:r w:rsidR="00830FE5" w:rsidRPr="00411AE0">
        <w:rPr>
          <w:rStyle w:val="FootnoteReference"/>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 xml:space="preserve">whose sociality </w:t>
      </w:r>
      <w:r w:rsidR="009031B1" w:rsidRPr="00411AE0">
        <w:rPr>
          <w:rFonts w:ascii="Garamond" w:eastAsia="Times New Roman" w:hAnsi="Garamond" w:cs="Times New Roman"/>
          <w:color w:val="000000" w:themeColor="text1"/>
          <w:sz w:val="24"/>
          <w:szCs w:val="24"/>
          <w:lang w:eastAsia="en-GB"/>
        </w:rPr>
        <w:t>resides</w:t>
      </w:r>
      <w:r w:rsidR="00681C5C" w:rsidRPr="00411AE0">
        <w:rPr>
          <w:rFonts w:ascii="Garamond" w:eastAsia="Times New Roman" w:hAnsi="Garamond" w:cs="Times New Roman"/>
          <w:color w:val="000000" w:themeColor="text1"/>
          <w:sz w:val="24"/>
          <w:szCs w:val="24"/>
          <w:lang w:eastAsia="en-GB"/>
        </w:rPr>
        <w:t xml:space="preserve"> </w:t>
      </w:r>
      <w:r w:rsidR="00830FE5" w:rsidRPr="00411AE0">
        <w:rPr>
          <w:rFonts w:ascii="Garamond" w:eastAsia="Times New Roman" w:hAnsi="Garamond" w:cs="Times New Roman"/>
          <w:color w:val="000000" w:themeColor="text1"/>
          <w:sz w:val="24"/>
          <w:szCs w:val="24"/>
          <w:lang w:eastAsia="en-GB"/>
        </w:rPr>
        <w:t xml:space="preserve">in contractual exchanges and whose autonomy is </w:t>
      </w:r>
      <w:r w:rsidR="009031B1" w:rsidRPr="00411AE0">
        <w:rPr>
          <w:rFonts w:ascii="Garamond" w:eastAsia="Times New Roman" w:hAnsi="Garamond" w:cs="Times New Roman"/>
          <w:color w:val="000000" w:themeColor="text1"/>
          <w:sz w:val="24"/>
          <w:szCs w:val="24"/>
          <w:lang w:eastAsia="en-GB"/>
        </w:rPr>
        <w:t>expressed</w:t>
      </w:r>
      <w:r w:rsidR="00681C5C" w:rsidRPr="00411AE0">
        <w:rPr>
          <w:rFonts w:ascii="Garamond" w:eastAsia="Times New Roman" w:hAnsi="Garamond" w:cs="Times New Roman"/>
          <w:color w:val="000000" w:themeColor="text1"/>
          <w:sz w:val="24"/>
          <w:szCs w:val="24"/>
          <w:lang w:eastAsia="en-GB"/>
        </w:rPr>
        <w:t xml:space="preserve"> in the</w:t>
      </w:r>
      <w:r w:rsidR="00830FE5" w:rsidRPr="00411AE0">
        <w:rPr>
          <w:rFonts w:ascii="Garamond" w:eastAsia="Times New Roman" w:hAnsi="Garamond" w:cs="Times New Roman"/>
          <w:color w:val="000000" w:themeColor="text1"/>
          <w:sz w:val="24"/>
          <w:szCs w:val="24"/>
          <w:lang w:eastAsia="en-GB"/>
        </w:rPr>
        <w:t xml:space="preserve"> possession of property.</w:t>
      </w:r>
      <w:r w:rsidR="00633036" w:rsidRPr="00411AE0">
        <w:rPr>
          <w:rStyle w:val="FootnoteReference"/>
          <w:rFonts w:ascii="Garamond" w:eastAsia="Times New Roman" w:hAnsi="Garamond" w:cs="Times New Roman"/>
          <w:color w:val="000000" w:themeColor="text1"/>
          <w:sz w:val="24"/>
          <w:szCs w:val="24"/>
          <w:lang w:eastAsia="en-GB"/>
        </w:rPr>
        <w:footnoteReference w:id="143"/>
      </w:r>
      <w:r w:rsidR="00830FE5" w:rsidRPr="00411AE0">
        <w:rPr>
          <w:rFonts w:ascii="Garamond" w:eastAsia="Times New Roman" w:hAnsi="Garamond" w:cs="Times New Roman"/>
          <w:color w:val="000000" w:themeColor="text1"/>
          <w:sz w:val="24"/>
          <w:szCs w:val="24"/>
          <w:lang w:eastAsia="en-GB"/>
        </w:rPr>
        <w:t xml:space="preserve"> </w:t>
      </w:r>
    </w:p>
    <w:p w14:paraId="40853B42" w14:textId="5EDCEB39" w:rsidR="00830FE5" w:rsidRPr="00807207" w:rsidRDefault="00830FE5" w:rsidP="00CB0DFA">
      <w:pPr>
        <w:widowControl w:val="0"/>
        <w:autoSpaceDE w:val="0"/>
        <w:autoSpaceDN w:val="0"/>
        <w:adjustRightInd w:val="0"/>
        <w:spacing w:after="0" w:line="240" w:lineRule="auto"/>
        <w:rPr>
          <w:rFonts w:ascii="Garamond" w:hAnsi="Garamond" w:cs="†ø˛øW&lt;ﬂ"/>
          <w:sz w:val="24"/>
          <w:szCs w:val="24"/>
          <w:lang w:val="en-US"/>
        </w:rPr>
      </w:pPr>
      <w:r w:rsidRPr="00411AE0">
        <w:rPr>
          <w:rFonts w:ascii="Garamond" w:hAnsi="Garamond" w:cs="Times New Roman"/>
          <w:sz w:val="24"/>
          <w:szCs w:val="24"/>
        </w:rPr>
        <w:tab/>
      </w:r>
      <w:r w:rsidR="004872F7" w:rsidRPr="00411AE0">
        <w:rPr>
          <w:rFonts w:ascii="Garamond" w:hAnsi="Garamond" w:cs="Times New Roman"/>
          <w:sz w:val="24"/>
          <w:szCs w:val="24"/>
        </w:rPr>
        <w:t xml:space="preserve">It is precisely such </w:t>
      </w:r>
      <w:r w:rsidRPr="00411AE0">
        <w:rPr>
          <w:rFonts w:ascii="Garamond" w:hAnsi="Garamond" w:cs="Times New Roman"/>
          <w:sz w:val="24"/>
          <w:szCs w:val="24"/>
        </w:rPr>
        <w:t>a</w:t>
      </w:r>
      <w:r w:rsidR="00A930B6" w:rsidRPr="00411AE0">
        <w:rPr>
          <w:rFonts w:ascii="Garamond" w:hAnsi="Garamond" w:cs="Times New Roman"/>
          <w:sz w:val="24"/>
          <w:szCs w:val="24"/>
        </w:rPr>
        <w:t>ssumptions</w:t>
      </w:r>
      <w:r w:rsidR="004872F7" w:rsidRPr="00411AE0">
        <w:rPr>
          <w:rFonts w:ascii="Garamond" w:hAnsi="Garamond" w:cs="Times New Roman"/>
          <w:sz w:val="24"/>
          <w:szCs w:val="24"/>
        </w:rPr>
        <w:t xml:space="preserve"> that </w:t>
      </w:r>
      <w:r w:rsidRPr="00411AE0">
        <w:rPr>
          <w:rFonts w:ascii="Garamond" w:hAnsi="Garamond" w:cs="Times New Roman"/>
          <w:sz w:val="24"/>
          <w:szCs w:val="24"/>
        </w:rPr>
        <w:t>co-situate marginalised humans</w:t>
      </w:r>
      <w:r w:rsidR="004872F7" w:rsidRPr="00411AE0">
        <w:rPr>
          <w:rFonts w:ascii="Garamond" w:hAnsi="Garamond" w:cs="Times New Roman"/>
          <w:sz w:val="24"/>
          <w:szCs w:val="24"/>
        </w:rPr>
        <w:t xml:space="preserve">, </w:t>
      </w:r>
      <w:r w:rsidRPr="00411AE0">
        <w:rPr>
          <w:rFonts w:ascii="Garamond" w:hAnsi="Garamond" w:cs="Times New Roman"/>
          <w:sz w:val="24"/>
          <w:szCs w:val="24"/>
        </w:rPr>
        <w:t>non-dominant humans, non-human animals and natural systems</w:t>
      </w:r>
      <w:r w:rsidR="004872F7" w:rsidRPr="00411AE0">
        <w:rPr>
          <w:rFonts w:ascii="Garamond" w:hAnsi="Garamond" w:cs="Times New Roman"/>
          <w:sz w:val="24"/>
          <w:szCs w:val="24"/>
        </w:rPr>
        <w:t xml:space="preserve"> in ‘</w:t>
      </w:r>
      <w:r w:rsidRPr="00411AE0">
        <w:rPr>
          <w:rFonts w:ascii="Garamond" w:hAnsi="Garamond" w:cs="Times New Roman"/>
          <w:sz w:val="24"/>
          <w:szCs w:val="24"/>
        </w:rPr>
        <w:t>entanglement</w:t>
      </w:r>
      <w:r w:rsidR="00A930B6" w:rsidRPr="00411AE0">
        <w:rPr>
          <w:rFonts w:ascii="Garamond" w:hAnsi="Garamond" w:cs="Times New Roman"/>
          <w:sz w:val="24"/>
          <w:szCs w:val="24"/>
        </w:rPr>
        <w:t>s</w:t>
      </w:r>
      <w:r w:rsidR="004872F7" w:rsidRPr="00411AE0">
        <w:rPr>
          <w:rFonts w:ascii="Garamond" w:hAnsi="Garamond" w:cs="Times New Roman"/>
          <w:sz w:val="24"/>
          <w:szCs w:val="24"/>
        </w:rPr>
        <w:t xml:space="preserve"> of oppression’ </w:t>
      </w:r>
      <w:r w:rsidRPr="00411AE0">
        <w:rPr>
          <w:rFonts w:ascii="Garamond" w:hAnsi="Garamond" w:cs="Times New Roman"/>
          <w:sz w:val="24"/>
          <w:szCs w:val="24"/>
        </w:rPr>
        <w:t>particularly destructive since the advent of corporate industrial capitalism</w:t>
      </w:r>
      <w:r w:rsidRPr="00411AE0">
        <w:rPr>
          <w:rStyle w:val="FootnoteReference"/>
          <w:rFonts w:ascii="Garamond" w:hAnsi="Garamond" w:cs="Times New Roman"/>
          <w:sz w:val="24"/>
          <w:szCs w:val="24"/>
        </w:rPr>
        <w:footnoteReference w:id="144"/>
      </w:r>
      <w:r w:rsidR="001232AB" w:rsidRPr="00411AE0">
        <w:rPr>
          <w:rFonts w:ascii="Garamond" w:hAnsi="Garamond" w:cs="Times New Roman"/>
          <w:sz w:val="24"/>
          <w:szCs w:val="24"/>
        </w:rPr>
        <w:t>—and increasingly troubling in the age of the Anthropocene.</w:t>
      </w:r>
      <w:r w:rsidR="00A930B6" w:rsidRPr="00411AE0">
        <w:rPr>
          <w:rFonts w:ascii="Garamond" w:hAnsi="Garamond" w:cs="Times New Roman"/>
          <w:sz w:val="24"/>
          <w:szCs w:val="24"/>
        </w:rPr>
        <w:t xml:space="preserve"> </w:t>
      </w:r>
      <w:r w:rsidR="00807207" w:rsidRPr="00CB6DF6">
        <w:rPr>
          <w:rFonts w:ascii="Garamond" w:hAnsi="Garamond" w:cs="Times New Roman"/>
          <w:sz w:val="24"/>
          <w:szCs w:val="24"/>
        </w:rPr>
        <w:t xml:space="preserve">The ontological and epistemological assumptions underpinning </w:t>
      </w:r>
      <w:r w:rsidR="00807207">
        <w:rPr>
          <w:rFonts w:ascii="Garamond" w:hAnsi="Garamond" w:cs="Times New Roman"/>
          <w:sz w:val="24"/>
          <w:szCs w:val="24"/>
        </w:rPr>
        <w:t>these assumptions</w:t>
      </w:r>
      <w:r w:rsidR="00807207" w:rsidRPr="00CB6DF6">
        <w:rPr>
          <w:rFonts w:ascii="Garamond" w:hAnsi="Garamond" w:cs="Times New Roman"/>
          <w:sz w:val="24"/>
          <w:szCs w:val="24"/>
        </w:rPr>
        <w:t xml:space="preserve"> remain powerful in the contemporary neoliberal global order, with its parallel hierarchical binary between the global North and South.</w:t>
      </w:r>
      <w:r w:rsidR="00EA7036" w:rsidRPr="00807207">
        <w:rPr>
          <w:rFonts w:ascii="Garamond" w:hAnsi="Garamond" w:cs="†ø˛øW&lt;ﬂ"/>
          <w:sz w:val="24"/>
          <w:szCs w:val="24"/>
          <w:lang w:val="en-US"/>
        </w:rPr>
        <w:t xml:space="preserve"> </w:t>
      </w:r>
      <w:r w:rsidR="00807207" w:rsidRPr="00CB6DF6">
        <w:rPr>
          <w:rFonts w:ascii="Garamond" w:hAnsi="Garamond" w:cs="Times New Roman"/>
          <w:sz w:val="24"/>
          <w:szCs w:val="24"/>
        </w:rPr>
        <w:t xml:space="preserve">Meanwhile, at national and international levels alike, ‘liberal legalism [deliberately occludes] </w:t>
      </w:r>
      <w:r w:rsidR="00807207" w:rsidRPr="00CB6DF6">
        <w:rPr>
          <w:rFonts w:ascii="Garamond" w:hAnsi="Garamond" w:cs="†ø˛øW&lt;ﬂ"/>
          <w:sz w:val="24"/>
          <w:szCs w:val="24"/>
          <w:lang w:val="en-US"/>
        </w:rPr>
        <w:t>both “the legal ordering of economic policy” and the inherently political nature of that legal ordering’</w:t>
      </w:r>
      <w:r w:rsidR="00807207" w:rsidRPr="00CB6DF6">
        <w:rPr>
          <w:rStyle w:val="FootnoteReference"/>
          <w:rFonts w:ascii="Garamond" w:hAnsi="Garamond" w:cs="†ø˛øW&lt;ﬂ"/>
          <w:sz w:val="24"/>
          <w:szCs w:val="24"/>
          <w:lang w:val="en-US"/>
        </w:rPr>
        <w:footnoteReference w:id="145"/>
      </w:r>
      <w:r w:rsidR="00807207" w:rsidRPr="00CB6DF6">
        <w:rPr>
          <w:rFonts w:ascii="Garamond" w:hAnsi="Garamond" w:cs="†ø˛øW&lt;ﬂ"/>
          <w:sz w:val="24"/>
          <w:szCs w:val="24"/>
          <w:lang w:val="en-US"/>
        </w:rPr>
        <w:t xml:space="preserve"> in order to evade troubling questions of structural injustice</w:t>
      </w:r>
      <w:r w:rsidR="00807207">
        <w:rPr>
          <w:rFonts w:ascii="Garamond" w:hAnsi="Garamond" w:cs="†ø˛øW&lt;ﬂ"/>
          <w:sz w:val="24"/>
          <w:szCs w:val="24"/>
          <w:lang w:val="en-US"/>
        </w:rPr>
        <w:t>.</w:t>
      </w:r>
    </w:p>
    <w:p w14:paraId="5BE97685" w14:textId="77777777" w:rsidR="00830FE5" w:rsidRPr="00B62C80" w:rsidRDefault="00830FE5" w:rsidP="00CB0DFA">
      <w:pPr>
        <w:widowControl w:val="0"/>
        <w:autoSpaceDE w:val="0"/>
        <w:autoSpaceDN w:val="0"/>
        <w:adjustRightInd w:val="0"/>
        <w:spacing w:after="0" w:line="240" w:lineRule="auto"/>
        <w:rPr>
          <w:rFonts w:ascii="Garamond" w:eastAsia="Times New Roman" w:hAnsi="Garamond" w:cs="Times New Roman"/>
          <w:color w:val="000000" w:themeColor="text1"/>
          <w:sz w:val="24"/>
          <w:szCs w:val="24"/>
          <w:lang w:eastAsia="en-GB"/>
        </w:rPr>
      </w:pPr>
    </w:p>
    <w:p w14:paraId="2674A45C" w14:textId="5BDB01CA" w:rsidR="00830FE5" w:rsidRPr="00411AE0" w:rsidRDefault="00E2040C" w:rsidP="00CB0DFA">
      <w:pPr>
        <w:widowControl w:val="0"/>
        <w:autoSpaceDE w:val="0"/>
        <w:autoSpaceDN w:val="0"/>
        <w:adjustRightInd w:val="0"/>
        <w:spacing w:after="0" w:line="240" w:lineRule="auto"/>
        <w:rPr>
          <w:rFonts w:ascii="Garamond" w:eastAsia="Times New Roman" w:hAnsi="Garamond" w:cs="Times New Roman"/>
          <w:b/>
          <w:i/>
          <w:color w:val="000000" w:themeColor="text1"/>
          <w:sz w:val="24"/>
          <w:szCs w:val="24"/>
          <w:lang w:eastAsia="en-GB"/>
        </w:rPr>
      </w:pPr>
      <w:r w:rsidRPr="00B62C80">
        <w:rPr>
          <w:rFonts w:ascii="Garamond" w:eastAsia="Times New Roman" w:hAnsi="Garamond" w:cs="Times New Roman"/>
          <w:b/>
          <w:color w:val="000000" w:themeColor="text1"/>
          <w:sz w:val="24"/>
          <w:szCs w:val="24"/>
          <w:lang w:eastAsia="en-GB"/>
        </w:rPr>
        <w:t xml:space="preserve">3d </w:t>
      </w:r>
      <w:r w:rsidR="00830FE5" w:rsidRPr="00B62C80">
        <w:rPr>
          <w:rFonts w:ascii="Garamond" w:eastAsia="Times New Roman" w:hAnsi="Garamond" w:cs="Times New Roman"/>
          <w:b/>
          <w:color w:val="000000" w:themeColor="text1"/>
          <w:sz w:val="24"/>
          <w:szCs w:val="24"/>
          <w:lang w:eastAsia="en-GB"/>
        </w:rPr>
        <w:t xml:space="preserve">The TNC: </w:t>
      </w:r>
      <w:r w:rsidR="00F07C31" w:rsidRPr="00B62C80">
        <w:rPr>
          <w:rFonts w:ascii="Garamond" w:eastAsia="Times New Roman" w:hAnsi="Garamond" w:cs="Times New Roman"/>
          <w:b/>
          <w:color w:val="000000" w:themeColor="text1"/>
          <w:sz w:val="24"/>
          <w:szCs w:val="24"/>
          <w:lang w:eastAsia="en-GB"/>
        </w:rPr>
        <w:t>The a</w:t>
      </w:r>
      <w:r w:rsidR="00830FE5" w:rsidRPr="00B62C80">
        <w:rPr>
          <w:rFonts w:ascii="Garamond" w:eastAsia="Times New Roman" w:hAnsi="Garamond" w:cs="Times New Roman"/>
          <w:b/>
          <w:color w:val="000000" w:themeColor="text1"/>
          <w:sz w:val="24"/>
          <w:szCs w:val="24"/>
          <w:lang w:eastAsia="en-GB"/>
        </w:rPr>
        <w:t xml:space="preserve">potheosis of </w:t>
      </w:r>
      <w:r w:rsidR="00F771D3" w:rsidRPr="00B62C80">
        <w:rPr>
          <w:rFonts w:ascii="Garamond" w:eastAsia="Times New Roman" w:hAnsi="Garamond" w:cs="Times New Roman"/>
          <w:b/>
          <w:color w:val="000000" w:themeColor="text1"/>
          <w:sz w:val="24"/>
          <w:szCs w:val="24"/>
          <w:lang w:eastAsia="en-GB"/>
        </w:rPr>
        <w:t>the liberal legal actor</w:t>
      </w:r>
    </w:p>
    <w:p w14:paraId="63D2214E" w14:textId="53AAC551" w:rsidR="00830FE5" w:rsidRPr="00411AE0" w:rsidRDefault="00C24A7D" w:rsidP="00CB0DFA">
      <w:pPr>
        <w:widowControl w:val="0"/>
        <w:autoSpaceDE w:val="0"/>
        <w:autoSpaceDN w:val="0"/>
        <w:adjustRightInd w:val="0"/>
        <w:spacing w:after="0" w:line="240" w:lineRule="auto"/>
        <w:rPr>
          <w:rFonts w:ascii="Garamond" w:eastAsia="Times New Roman" w:hAnsi="Garamond" w:cs="Times New Roman"/>
          <w:color w:val="000000" w:themeColor="text1"/>
          <w:sz w:val="24"/>
          <w:szCs w:val="24"/>
          <w:lang w:eastAsia="en-GB"/>
        </w:rPr>
      </w:pPr>
      <w:r w:rsidRPr="00411AE0">
        <w:rPr>
          <w:rFonts w:ascii="Garamond" w:eastAsia="Times New Roman" w:hAnsi="Garamond" w:cs="Times New Roman"/>
          <w:color w:val="000000" w:themeColor="text1"/>
          <w:sz w:val="24"/>
          <w:szCs w:val="24"/>
          <w:lang w:eastAsia="en-GB"/>
        </w:rPr>
        <w:t xml:space="preserve">The ideological assumptions underwriting the forms of law’s human persons play out as clear critical strands </w:t>
      </w:r>
      <w:r w:rsidR="004D1B03">
        <w:rPr>
          <w:rFonts w:ascii="Garamond" w:eastAsia="Times New Roman" w:hAnsi="Garamond" w:cs="Times New Roman"/>
          <w:color w:val="000000" w:themeColor="text1"/>
          <w:sz w:val="24"/>
          <w:szCs w:val="24"/>
          <w:lang w:eastAsia="en-GB"/>
        </w:rPr>
        <w:t>in</w:t>
      </w:r>
      <w:r w:rsidR="00184BA3">
        <w:rPr>
          <w:rFonts w:ascii="Garamond" w:eastAsia="Times New Roman" w:hAnsi="Garamond" w:cs="Times New Roman"/>
          <w:color w:val="000000" w:themeColor="text1"/>
          <w:sz w:val="24"/>
          <w:szCs w:val="24"/>
          <w:lang w:eastAsia="en-GB"/>
        </w:rPr>
        <w:t xml:space="preserve"> relation to</w:t>
      </w:r>
      <w:r w:rsidRPr="00411AE0">
        <w:rPr>
          <w:rFonts w:ascii="Garamond" w:eastAsia="Times New Roman" w:hAnsi="Garamond" w:cs="Times New Roman"/>
          <w:color w:val="000000" w:themeColor="text1"/>
          <w:sz w:val="24"/>
          <w:szCs w:val="24"/>
          <w:lang w:eastAsia="en-GB"/>
        </w:rPr>
        <w:t xml:space="preserve"> the ideological structure of the corporate form. First, there is a sense in which </w:t>
      </w:r>
      <w:r w:rsidR="00830FE5" w:rsidRPr="00411AE0">
        <w:rPr>
          <w:rFonts w:ascii="Garamond" w:eastAsia="Times New Roman" w:hAnsi="Garamond" w:cs="Times New Roman"/>
          <w:color w:val="000000" w:themeColor="text1"/>
          <w:sz w:val="24"/>
          <w:szCs w:val="24"/>
          <w:lang w:eastAsia="en-GB"/>
        </w:rPr>
        <w:t xml:space="preserve">the corporation is </w:t>
      </w:r>
      <w:r w:rsidR="00871523" w:rsidRPr="00411AE0">
        <w:rPr>
          <w:rFonts w:ascii="Garamond" w:eastAsia="Times New Roman" w:hAnsi="Garamond" w:cs="Times New Roman"/>
          <w:color w:val="000000" w:themeColor="text1"/>
          <w:sz w:val="24"/>
          <w:szCs w:val="24"/>
          <w:lang w:eastAsia="en-GB"/>
        </w:rPr>
        <w:t xml:space="preserve">the liberal Eurocentric trope of the rational actor </w:t>
      </w:r>
      <w:r w:rsidR="00830FE5" w:rsidRPr="00411AE0">
        <w:rPr>
          <w:rFonts w:ascii="Garamond" w:eastAsia="Times New Roman" w:hAnsi="Garamond" w:cs="Times New Roman"/>
          <w:color w:val="000000" w:themeColor="text1"/>
          <w:sz w:val="24"/>
          <w:szCs w:val="24"/>
          <w:lang w:eastAsia="en-GB"/>
        </w:rPr>
        <w:t>writ large; secondly, the</w:t>
      </w:r>
      <w:r w:rsidRPr="00411AE0">
        <w:rPr>
          <w:rFonts w:ascii="Garamond" w:eastAsia="Times New Roman" w:hAnsi="Garamond" w:cs="Times New Roman"/>
          <w:color w:val="000000" w:themeColor="text1"/>
          <w:sz w:val="24"/>
          <w:szCs w:val="24"/>
          <w:lang w:eastAsia="en-GB"/>
        </w:rPr>
        <w:t>re is a</w:t>
      </w:r>
      <w:r w:rsidR="00830FE5" w:rsidRPr="00411AE0">
        <w:rPr>
          <w:rFonts w:ascii="Garamond" w:eastAsia="Times New Roman" w:hAnsi="Garamond" w:cs="Times New Roman"/>
          <w:color w:val="000000" w:themeColor="text1"/>
          <w:sz w:val="24"/>
          <w:szCs w:val="24"/>
          <w:lang w:eastAsia="en-GB"/>
        </w:rPr>
        <w:t xml:space="preserve"> sense in which the legal disembodiment of the corporate body </w:t>
      </w:r>
      <w:r w:rsidRPr="00411AE0">
        <w:rPr>
          <w:rFonts w:ascii="Garamond" w:eastAsia="Times New Roman" w:hAnsi="Garamond" w:cs="Times New Roman"/>
          <w:color w:val="000000" w:themeColor="text1"/>
          <w:sz w:val="24"/>
          <w:szCs w:val="24"/>
          <w:lang w:eastAsia="en-GB"/>
        </w:rPr>
        <w:t xml:space="preserve">is precisely what </w:t>
      </w:r>
      <w:r w:rsidR="00830FE5" w:rsidRPr="00411AE0">
        <w:rPr>
          <w:rFonts w:ascii="Garamond" w:eastAsia="Times New Roman" w:hAnsi="Garamond" w:cs="Times New Roman"/>
          <w:color w:val="000000" w:themeColor="text1"/>
          <w:sz w:val="24"/>
          <w:szCs w:val="24"/>
          <w:lang w:eastAsia="en-GB"/>
        </w:rPr>
        <w:t>enables it to evade core vulnerabilities attaching to corporeal human bodies.</w:t>
      </w:r>
    </w:p>
    <w:p w14:paraId="20F69E23" w14:textId="7BE09BD7" w:rsidR="00627E1E" w:rsidRPr="00411AE0" w:rsidRDefault="00830FE5" w:rsidP="001003AA">
      <w:pPr>
        <w:widowControl w:val="0"/>
        <w:autoSpaceDE w:val="0"/>
        <w:autoSpaceDN w:val="0"/>
        <w:adjustRightInd w:val="0"/>
        <w:spacing w:after="0" w:line="240" w:lineRule="auto"/>
        <w:ind w:firstLine="720"/>
        <w:rPr>
          <w:rFonts w:ascii="Garamond" w:hAnsi="Garamond"/>
          <w:sz w:val="24"/>
          <w:szCs w:val="24"/>
        </w:rPr>
      </w:pPr>
      <w:r w:rsidRPr="00411AE0">
        <w:rPr>
          <w:rFonts w:ascii="Garamond" w:eastAsia="Times New Roman" w:hAnsi="Garamond" w:cs="Times New Roman"/>
          <w:color w:val="000000" w:themeColor="text1"/>
          <w:sz w:val="24"/>
          <w:szCs w:val="24"/>
          <w:lang w:eastAsia="en-GB"/>
        </w:rPr>
        <w:t xml:space="preserve">It should be clear by now that our analysis links </w:t>
      </w:r>
      <w:r w:rsidR="00B014E9" w:rsidRPr="00411AE0">
        <w:rPr>
          <w:rFonts w:ascii="Garamond" w:eastAsia="Times New Roman" w:hAnsi="Garamond" w:cs="Times New Roman"/>
          <w:color w:val="000000" w:themeColor="text1"/>
          <w:sz w:val="24"/>
          <w:szCs w:val="24"/>
          <w:lang w:eastAsia="en-GB"/>
        </w:rPr>
        <w:t xml:space="preserve">transnational corporate </w:t>
      </w:r>
      <w:r w:rsidRPr="00411AE0">
        <w:rPr>
          <w:rFonts w:ascii="Garamond" w:eastAsia="Times New Roman" w:hAnsi="Garamond" w:cs="Times New Roman"/>
          <w:color w:val="000000" w:themeColor="text1"/>
          <w:sz w:val="24"/>
          <w:szCs w:val="24"/>
          <w:lang w:eastAsia="en-GB"/>
        </w:rPr>
        <w:t>power to the privileges</w:t>
      </w:r>
      <w:r w:rsidR="00F36AF4" w:rsidRPr="00411AE0">
        <w:rPr>
          <w:rFonts w:ascii="Garamond" w:eastAsia="Times New Roman" w:hAnsi="Garamond" w:cs="Times New Roman"/>
          <w:color w:val="000000" w:themeColor="text1"/>
          <w:sz w:val="24"/>
          <w:szCs w:val="24"/>
          <w:lang w:eastAsia="en-GB"/>
        </w:rPr>
        <w:t xml:space="preserve"> </w:t>
      </w:r>
      <w:r w:rsidR="009E53AD" w:rsidRPr="00411AE0">
        <w:rPr>
          <w:rFonts w:ascii="Garamond" w:eastAsia="Times New Roman" w:hAnsi="Garamond" w:cs="Times New Roman"/>
          <w:color w:val="000000" w:themeColor="text1"/>
          <w:sz w:val="24"/>
          <w:szCs w:val="24"/>
          <w:lang w:eastAsia="en-GB"/>
        </w:rPr>
        <w:t>acquired by</w:t>
      </w:r>
      <w:r w:rsidRPr="00411AE0">
        <w:rPr>
          <w:rFonts w:ascii="Garamond" w:eastAsia="Times New Roman" w:hAnsi="Garamond" w:cs="Times New Roman"/>
          <w:color w:val="000000" w:themeColor="text1"/>
          <w:sz w:val="24"/>
          <w:szCs w:val="24"/>
          <w:lang w:eastAsia="en-GB"/>
        </w:rPr>
        <w:t xml:space="preserve"> corporations from the 16</w:t>
      </w:r>
      <w:r w:rsidRPr="00411AE0">
        <w:rPr>
          <w:rFonts w:ascii="Garamond" w:eastAsia="Times New Roman" w:hAnsi="Garamond" w:cs="Times New Roman"/>
          <w:color w:val="000000" w:themeColor="text1"/>
          <w:sz w:val="24"/>
          <w:szCs w:val="24"/>
          <w:vertAlign w:val="superscript"/>
          <w:lang w:eastAsia="en-GB"/>
        </w:rPr>
        <w:t>th</w:t>
      </w:r>
      <w:r w:rsidRPr="00411AE0">
        <w:rPr>
          <w:rFonts w:ascii="Garamond" w:eastAsia="Times New Roman" w:hAnsi="Garamond" w:cs="Times New Roman"/>
          <w:color w:val="000000" w:themeColor="text1"/>
          <w:sz w:val="24"/>
          <w:szCs w:val="24"/>
          <w:lang w:eastAsia="en-GB"/>
        </w:rPr>
        <w:t xml:space="preserve"> century onwards as carriers of European imperial ambition.</w:t>
      </w:r>
      <w:r w:rsidRPr="00411AE0">
        <w:rPr>
          <w:rStyle w:val="FootnoteReference"/>
          <w:rFonts w:ascii="Garamond" w:eastAsia="Times New Roman" w:hAnsi="Garamond" w:cs="Times New Roman"/>
          <w:color w:val="000000" w:themeColor="text1"/>
          <w:sz w:val="24"/>
          <w:szCs w:val="24"/>
          <w:lang w:eastAsia="en-GB"/>
        </w:rPr>
        <w:footnoteReference w:id="146"/>
      </w:r>
      <w:r w:rsidRPr="00411AE0">
        <w:rPr>
          <w:rFonts w:ascii="Garamond" w:eastAsia="Times New Roman" w:hAnsi="Garamond" w:cs="Times New Roman"/>
          <w:color w:val="000000" w:themeColor="text1"/>
          <w:sz w:val="24"/>
          <w:szCs w:val="24"/>
          <w:lang w:eastAsia="en-GB"/>
        </w:rPr>
        <w:t xml:space="preserve"> </w:t>
      </w:r>
      <w:r w:rsidRPr="00411AE0">
        <w:rPr>
          <w:rFonts w:ascii="Garamond" w:hAnsi="Garamond"/>
          <w:color w:val="000000"/>
          <w:sz w:val="24"/>
          <w:szCs w:val="24"/>
        </w:rPr>
        <w:t>The specific advantages arising from</w:t>
      </w:r>
      <w:r w:rsidR="007F24CC" w:rsidRPr="00411AE0">
        <w:rPr>
          <w:rFonts w:ascii="Garamond" w:hAnsi="Garamond"/>
          <w:color w:val="000000"/>
          <w:sz w:val="24"/>
          <w:szCs w:val="24"/>
        </w:rPr>
        <w:t xml:space="preserve"> the corporation’s</w:t>
      </w:r>
      <w:r w:rsidRPr="00411AE0">
        <w:rPr>
          <w:rFonts w:ascii="Garamond" w:hAnsi="Garamond"/>
          <w:color w:val="000000"/>
          <w:sz w:val="24"/>
          <w:szCs w:val="24"/>
        </w:rPr>
        <w:t xml:space="preserve"> legal form are powerful </w:t>
      </w:r>
      <w:r w:rsidR="00DB30D0" w:rsidRPr="00411AE0">
        <w:rPr>
          <w:rFonts w:ascii="Garamond" w:hAnsi="Garamond"/>
          <w:color w:val="000000"/>
          <w:sz w:val="24"/>
          <w:szCs w:val="24"/>
        </w:rPr>
        <w:t xml:space="preserve">expressions </w:t>
      </w:r>
      <w:r w:rsidRPr="00411AE0">
        <w:rPr>
          <w:rFonts w:ascii="Garamond" w:hAnsi="Garamond"/>
          <w:color w:val="000000"/>
          <w:sz w:val="24"/>
          <w:szCs w:val="24"/>
        </w:rPr>
        <w:t xml:space="preserve">of structural </w:t>
      </w:r>
      <w:r w:rsidR="00DB30D0" w:rsidRPr="00411AE0">
        <w:rPr>
          <w:rFonts w:ascii="Garamond" w:hAnsi="Garamond"/>
          <w:color w:val="000000"/>
          <w:sz w:val="24"/>
          <w:szCs w:val="24"/>
        </w:rPr>
        <w:t xml:space="preserve">continuities </w:t>
      </w:r>
      <w:r w:rsidRPr="00411AE0">
        <w:rPr>
          <w:rFonts w:ascii="Garamond" w:hAnsi="Garamond"/>
          <w:color w:val="000000"/>
          <w:sz w:val="24"/>
          <w:szCs w:val="24"/>
        </w:rPr>
        <w:t xml:space="preserve">between property, elite </w:t>
      </w:r>
      <w:r w:rsidR="007F24CC" w:rsidRPr="00411AE0">
        <w:rPr>
          <w:rFonts w:ascii="Garamond" w:hAnsi="Garamond"/>
          <w:color w:val="000000"/>
          <w:sz w:val="24"/>
          <w:szCs w:val="24"/>
        </w:rPr>
        <w:t xml:space="preserve">male </w:t>
      </w:r>
      <w:r w:rsidRPr="00411AE0">
        <w:rPr>
          <w:rFonts w:ascii="Garamond" w:hAnsi="Garamond"/>
          <w:color w:val="000000"/>
          <w:sz w:val="24"/>
          <w:szCs w:val="24"/>
        </w:rPr>
        <w:t>power</w:t>
      </w:r>
      <w:r w:rsidR="007F24CC" w:rsidRPr="00411AE0">
        <w:rPr>
          <w:rFonts w:ascii="Garamond" w:hAnsi="Garamond"/>
          <w:color w:val="000000"/>
          <w:sz w:val="24"/>
          <w:szCs w:val="24"/>
        </w:rPr>
        <w:t xml:space="preserve"> and </w:t>
      </w:r>
      <w:r w:rsidRPr="00411AE0">
        <w:rPr>
          <w:rFonts w:ascii="Garamond" w:hAnsi="Garamond"/>
          <w:color w:val="000000"/>
          <w:sz w:val="24"/>
          <w:szCs w:val="24"/>
        </w:rPr>
        <w:t>European rationalism</w:t>
      </w:r>
      <w:r w:rsidR="00DB30D0" w:rsidRPr="00411AE0">
        <w:rPr>
          <w:rFonts w:ascii="Garamond" w:hAnsi="Garamond"/>
          <w:color w:val="000000"/>
          <w:sz w:val="24"/>
          <w:szCs w:val="24"/>
        </w:rPr>
        <w:t xml:space="preserve"> in the international legal </w:t>
      </w:r>
      <w:r w:rsidR="00F36AF4" w:rsidRPr="00411AE0">
        <w:rPr>
          <w:rFonts w:ascii="Garamond" w:hAnsi="Garamond"/>
          <w:color w:val="000000"/>
          <w:sz w:val="24"/>
          <w:szCs w:val="24"/>
        </w:rPr>
        <w:t>order,</w:t>
      </w:r>
      <w:r w:rsidR="00DB30D0" w:rsidRPr="00411AE0">
        <w:rPr>
          <w:rStyle w:val="FootnoteReference"/>
          <w:rFonts w:ascii="Garamond" w:hAnsi="Garamond"/>
          <w:color w:val="000000"/>
          <w:sz w:val="24"/>
          <w:szCs w:val="24"/>
        </w:rPr>
        <w:footnoteReference w:id="147"/>
      </w:r>
      <w:r w:rsidR="00DB30D0" w:rsidRPr="00411AE0">
        <w:rPr>
          <w:rFonts w:ascii="Garamond" w:hAnsi="Garamond"/>
          <w:color w:val="000000"/>
          <w:sz w:val="24"/>
          <w:szCs w:val="24"/>
        </w:rPr>
        <w:t xml:space="preserve"> </w:t>
      </w:r>
      <w:r w:rsidR="00F36AF4" w:rsidRPr="00411AE0">
        <w:rPr>
          <w:rFonts w:ascii="Garamond" w:hAnsi="Garamond"/>
          <w:color w:val="000000"/>
          <w:sz w:val="24"/>
          <w:szCs w:val="24"/>
        </w:rPr>
        <w:t xml:space="preserve">and the corporation’s </w:t>
      </w:r>
      <w:r w:rsidR="00DB30D0" w:rsidRPr="00411AE0">
        <w:rPr>
          <w:rFonts w:ascii="Garamond" w:hAnsi="Garamond"/>
          <w:color w:val="000000"/>
          <w:sz w:val="24"/>
          <w:szCs w:val="24"/>
        </w:rPr>
        <w:t xml:space="preserve">degree of correspondence with the </w:t>
      </w:r>
      <w:r w:rsidR="002A58EE" w:rsidRPr="00411AE0">
        <w:rPr>
          <w:rFonts w:ascii="Garamond" w:hAnsi="Garamond"/>
          <w:color w:val="000000"/>
          <w:sz w:val="24"/>
          <w:szCs w:val="24"/>
        </w:rPr>
        <w:t xml:space="preserve">paradigmatic </w:t>
      </w:r>
      <w:r w:rsidR="00FD1724" w:rsidRPr="00411AE0">
        <w:rPr>
          <w:rFonts w:ascii="Garamond" w:hAnsi="Garamond"/>
          <w:color w:val="000000"/>
          <w:sz w:val="24"/>
          <w:szCs w:val="24"/>
        </w:rPr>
        <w:t xml:space="preserve">Eurocentric </w:t>
      </w:r>
      <w:r w:rsidR="002A58EE" w:rsidRPr="00411AE0">
        <w:rPr>
          <w:rFonts w:ascii="Garamond" w:hAnsi="Garamond"/>
          <w:color w:val="000000"/>
          <w:sz w:val="24"/>
          <w:szCs w:val="24"/>
        </w:rPr>
        <w:t xml:space="preserve">liberal </w:t>
      </w:r>
      <w:r w:rsidR="00FD1724" w:rsidRPr="00411AE0">
        <w:rPr>
          <w:rFonts w:ascii="Garamond" w:hAnsi="Garamond"/>
          <w:color w:val="000000"/>
          <w:sz w:val="24"/>
          <w:szCs w:val="24"/>
        </w:rPr>
        <w:t xml:space="preserve">legal </w:t>
      </w:r>
      <w:r w:rsidR="002A58EE" w:rsidRPr="00411AE0">
        <w:rPr>
          <w:rFonts w:ascii="Garamond" w:hAnsi="Garamond"/>
          <w:color w:val="000000"/>
          <w:sz w:val="24"/>
          <w:szCs w:val="24"/>
        </w:rPr>
        <w:t>actor</w:t>
      </w:r>
      <w:r w:rsidR="00916382" w:rsidRPr="00411AE0">
        <w:rPr>
          <w:rFonts w:ascii="Garamond" w:hAnsi="Garamond"/>
          <w:color w:val="000000"/>
          <w:sz w:val="24"/>
          <w:szCs w:val="24"/>
        </w:rPr>
        <w:t xml:space="preserve"> is striking</w:t>
      </w:r>
      <w:r w:rsidRPr="00411AE0">
        <w:rPr>
          <w:rFonts w:ascii="Garamond" w:hAnsi="Garamond"/>
          <w:color w:val="000000"/>
          <w:sz w:val="24"/>
          <w:szCs w:val="24"/>
        </w:rPr>
        <w:t>.</w:t>
      </w:r>
      <w:r w:rsidRPr="00411AE0">
        <w:rPr>
          <w:rStyle w:val="FootnoteReference"/>
          <w:rFonts w:ascii="Garamond" w:hAnsi="Garamond"/>
          <w:color w:val="000000"/>
          <w:sz w:val="24"/>
          <w:szCs w:val="24"/>
        </w:rPr>
        <w:footnoteReference w:id="148"/>
      </w:r>
      <w:r w:rsidRPr="00411AE0">
        <w:rPr>
          <w:rFonts w:ascii="Garamond" w:hAnsi="Garamond"/>
          <w:color w:val="000000"/>
          <w:sz w:val="24"/>
          <w:szCs w:val="24"/>
        </w:rPr>
        <w:t xml:space="preserve"> </w:t>
      </w:r>
      <w:r w:rsidR="00B45C39" w:rsidRPr="00411AE0">
        <w:rPr>
          <w:rFonts w:ascii="Garamond" w:hAnsi="Garamond"/>
          <w:color w:val="000000"/>
          <w:sz w:val="24"/>
          <w:szCs w:val="24"/>
        </w:rPr>
        <w:t>A</w:t>
      </w:r>
      <w:r w:rsidRPr="00411AE0">
        <w:rPr>
          <w:rFonts w:ascii="Garamond" w:hAnsi="Garamond"/>
          <w:color w:val="000000"/>
          <w:sz w:val="24"/>
          <w:szCs w:val="24"/>
        </w:rPr>
        <w:t xml:space="preserve">nalysing the </w:t>
      </w:r>
      <w:r w:rsidR="00DE0CE6">
        <w:rPr>
          <w:rFonts w:ascii="Garamond" w:hAnsi="Garamond"/>
          <w:color w:val="000000"/>
          <w:sz w:val="24"/>
          <w:szCs w:val="24"/>
        </w:rPr>
        <w:t xml:space="preserve">twinned </w:t>
      </w:r>
      <w:r w:rsidRPr="00411AE0">
        <w:rPr>
          <w:rFonts w:ascii="Garamond" w:hAnsi="Garamond"/>
          <w:color w:val="000000"/>
          <w:sz w:val="24"/>
          <w:szCs w:val="24"/>
        </w:rPr>
        <w:t>production of corporate and criminal persons in 19</w:t>
      </w:r>
      <w:r w:rsidRPr="00411AE0">
        <w:rPr>
          <w:rFonts w:ascii="Garamond" w:hAnsi="Garamond"/>
          <w:color w:val="000000"/>
          <w:sz w:val="24"/>
          <w:szCs w:val="24"/>
          <w:vertAlign w:val="superscript"/>
        </w:rPr>
        <w:t>th</w:t>
      </w:r>
      <w:r w:rsidRPr="00411AE0">
        <w:rPr>
          <w:rFonts w:ascii="Garamond" w:hAnsi="Garamond"/>
          <w:color w:val="000000"/>
          <w:sz w:val="24"/>
          <w:szCs w:val="24"/>
        </w:rPr>
        <w:t xml:space="preserve"> century North America,</w:t>
      </w:r>
      <w:r w:rsidR="000C70C1" w:rsidRPr="00411AE0">
        <w:rPr>
          <w:rFonts w:ascii="Garamond" w:hAnsi="Garamond"/>
          <w:color w:val="000000"/>
          <w:sz w:val="24"/>
          <w:szCs w:val="24"/>
        </w:rPr>
        <w:t xml:space="preserve"> </w:t>
      </w:r>
      <w:r w:rsidR="005B7CF3" w:rsidRPr="00411AE0">
        <w:rPr>
          <w:rFonts w:ascii="Garamond" w:hAnsi="Garamond"/>
          <w:color w:val="000000"/>
          <w:sz w:val="24"/>
          <w:szCs w:val="24"/>
        </w:rPr>
        <w:t xml:space="preserve">Federman describes how </w:t>
      </w:r>
      <w:r w:rsidRPr="00411AE0">
        <w:rPr>
          <w:rFonts w:ascii="Garamond" w:hAnsi="Garamond"/>
          <w:color w:val="000000"/>
          <w:sz w:val="24"/>
          <w:szCs w:val="24"/>
        </w:rPr>
        <w:t>the corporation</w:t>
      </w:r>
      <w:r w:rsidRPr="00411AE0">
        <w:rPr>
          <w:rFonts w:ascii="Garamond" w:hAnsi="Garamond"/>
          <w:sz w:val="24"/>
          <w:szCs w:val="24"/>
        </w:rPr>
        <w:t xml:space="preserve"> ‘[took] shape not simply as a bearer of traditional English liberties, but as a corp</w:t>
      </w:r>
      <w:r w:rsidR="00944579" w:rsidRPr="00411AE0">
        <w:rPr>
          <w:rFonts w:ascii="Garamond" w:hAnsi="Garamond"/>
          <w:sz w:val="24"/>
          <w:szCs w:val="24"/>
        </w:rPr>
        <w:t>o</w:t>
      </w:r>
      <w:r w:rsidRPr="00411AE0">
        <w:rPr>
          <w:rFonts w:ascii="Garamond" w:hAnsi="Garamond"/>
          <w:sz w:val="24"/>
          <w:szCs w:val="24"/>
        </w:rPr>
        <w:t>rate “person”, who is not dissimilar to the bearer of traditional English liberties, and yet is structurally different’.</w:t>
      </w:r>
      <w:r w:rsidRPr="00411AE0">
        <w:rPr>
          <w:rStyle w:val="FootnoteReference"/>
          <w:rFonts w:ascii="Garamond" w:hAnsi="Garamond"/>
          <w:sz w:val="24"/>
          <w:szCs w:val="24"/>
        </w:rPr>
        <w:footnoteReference w:id="149"/>
      </w:r>
      <w:r w:rsidRPr="00411AE0">
        <w:rPr>
          <w:rFonts w:ascii="Garamond" w:hAnsi="Garamond"/>
          <w:sz w:val="24"/>
          <w:szCs w:val="24"/>
        </w:rPr>
        <w:t xml:space="preserve"> </w:t>
      </w:r>
      <w:r w:rsidR="005B7CF3" w:rsidRPr="00411AE0">
        <w:rPr>
          <w:rFonts w:ascii="Garamond" w:hAnsi="Garamond"/>
          <w:sz w:val="24"/>
          <w:szCs w:val="24"/>
        </w:rPr>
        <w:t>The construction of corporations</w:t>
      </w:r>
      <w:r w:rsidRPr="00411AE0">
        <w:rPr>
          <w:rFonts w:ascii="Garamond" w:hAnsi="Garamond"/>
          <w:sz w:val="24"/>
          <w:szCs w:val="24"/>
        </w:rPr>
        <w:t xml:space="preserve"> as private </w:t>
      </w:r>
      <w:r w:rsidR="00A35799" w:rsidRPr="00411AE0">
        <w:rPr>
          <w:rFonts w:ascii="Garamond" w:hAnsi="Garamond"/>
          <w:sz w:val="24"/>
          <w:szCs w:val="24"/>
        </w:rPr>
        <w:t xml:space="preserve">persons </w:t>
      </w:r>
      <w:r w:rsidRPr="00411AE0">
        <w:rPr>
          <w:rFonts w:ascii="Garamond" w:hAnsi="Garamond"/>
          <w:sz w:val="24"/>
          <w:szCs w:val="24"/>
        </w:rPr>
        <w:t>in law</w:t>
      </w:r>
      <w:r w:rsidR="006E033D">
        <w:rPr>
          <w:rFonts w:ascii="Garamond" w:hAnsi="Garamond"/>
          <w:sz w:val="24"/>
          <w:szCs w:val="24"/>
        </w:rPr>
        <w:t>—a pivotal development in capitalist corporate theory—</w:t>
      </w:r>
      <w:r w:rsidR="002A58EE" w:rsidRPr="00411AE0">
        <w:rPr>
          <w:rFonts w:ascii="Garamond" w:hAnsi="Garamond"/>
          <w:sz w:val="24"/>
          <w:szCs w:val="24"/>
        </w:rPr>
        <w:t xml:space="preserve">is </w:t>
      </w:r>
      <w:r w:rsidRPr="00411AE0">
        <w:rPr>
          <w:rFonts w:ascii="Garamond" w:eastAsia="Times New Roman" w:hAnsi="Garamond" w:cs="Times New Roman"/>
          <w:color w:val="000000" w:themeColor="text1"/>
          <w:sz w:val="24"/>
          <w:szCs w:val="24"/>
          <w:lang w:eastAsia="en-GB"/>
        </w:rPr>
        <w:t xml:space="preserve">a key source of their relative </w:t>
      </w:r>
      <w:r w:rsidRPr="00411AE0">
        <w:rPr>
          <w:rFonts w:ascii="Garamond" w:eastAsia="Times New Roman" w:hAnsi="Garamond" w:cs="Times New Roman"/>
          <w:color w:val="000000" w:themeColor="text1"/>
          <w:sz w:val="24"/>
          <w:szCs w:val="24"/>
          <w:lang w:eastAsia="en-GB"/>
        </w:rPr>
        <w:lastRenderedPageBreak/>
        <w:t xml:space="preserve">legal impunity in the </w:t>
      </w:r>
      <w:r w:rsidR="00B70A92" w:rsidRPr="00411AE0">
        <w:rPr>
          <w:rFonts w:ascii="Garamond" w:eastAsia="Times New Roman" w:hAnsi="Garamond" w:cs="Times New Roman"/>
          <w:color w:val="000000" w:themeColor="text1"/>
          <w:sz w:val="24"/>
          <w:szCs w:val="24"/>
          <w:lang w:eastAsia="en-GB"/>
        </w:rPr>
        <w:t xml:space="preserve">global economy </w:t>
      </w:r>
      <w:r w:rsidR="00C92D4A" w:rsidRPr="00411AE0">
        <w:rPr>
          <w:rFonts w:ascii="Garamond" w:eastAsia="Times New Roman" w:hAnsi="Garamond" w:cs="Times New Roman"/>
          <w:color w:val="000000" w:themeColor="text1"/>
          <w:sz w:val="24"/>
          <w:szCs w:val="24"/>
          <w:lang w:eastAsia="en-GB"/>
        </w:rPr>
        <w:t xml:space="preserve">that </w:t>
      </w:r>
      <w:r w:rsidR="00B70A92" w:rsidRPr="00411AE0">
        <w:rPr>
          <w:rFonts w:ascii="Garamond" w:eastAsia="Times New Roman" w:hAnsi="Garamond" w:cs="Times New Roman"/>
          <w:color w:val="000000" w:themeColor="text1"/>
          <w:sz w:val="24"/>
          <w:szCs w:val="24"/>
          <w:lang w:eastAsia="en-GB"/>
        </w:rPr>
        <w:t>they</w:t>
      </w:r>
      <w:r w:rsidRPr="00411AE0">
        <w:rPr>
          <w:rFonts w:ascii="Garamond" w:eastAsia="Times New Roman" w:hAnsi="Garamond" w:cs="Times New Roman"/>
          <w:color w:val="000000" w:themeColor="text1"/>
          <w:sz w:val="24"/>
          <w:szCs w:val="24"/>
          <w:lang w:eastAsia="en-GB"/>
        </w:rPr>
        <w:t xml:space="preserve"> </w:t>
      </w:r>
      <w:r w:rsidR="004110B5" w:rsidRPr="00411AE0">
        <w:rPr>
          <w:rFonts w:ascii="Garamond" w:eastAsia="Times New Roman" w:hAnsi="Garamond" w:cs="Times New Roman"/>
          <w:color w:val="000000" w:themeColor="text1"/>
          <w:sz w:val="24"/>
          <w:szCs w:val="24"/>
          <w:lang w:eastAsia="en-GB"/>
        </w:rPr>
        <w:t xml:space="preserve">now </w:t>
      </w:r>
      <w:r w:rsidR="00276096">
        <w:rPr>
          <w:rFonts w:ascii="Garamond" w:eastAsia="Times New Roman" w:hAnsi="Garamond" w:cs="Times New Roman"/>
          <w:color w:val="000000" w:themeColor="text1"/>
          <w:sz w:val="24"/>
          <w:szCs w:val="24"/>
          <w:lang w:eastAsia="en-GB"/>
        </w:rPr>
        <w:t xml:space="preserve">so </w:t>
      </w:r>
      <w:r w:rsidRPr="00411AE0">
        <w:rPr>
          <w:rFonts w:ascii="Garamond" w:eastAsia="Times New Roman" w:hAnsi="Garamond" w:cs="Times New Roman"/>
          <w:color w:val="000000" w:themeColor="text1"/>
          <w:sz w:val="24"/>
          <w:szCs w:val="24"/>
          <w:lang w:eastAsia="en-GB"/>
        </w:rPr>
        <w:t>dominate</w:t>
      </w:r>
      <w:r w:rsidR="001003AA" w:rsidRPr="00411AE0">
        <w:rPr>
          <w:rFonts w:ascii="Garamond" w:eastAsia="Times New Roman" w:hAnsi="Garamond" w:cs="Times New Roman"/>
          <w:color w:val="000000" w:themeColor="text1"/>
          <w:sz w:val="24"/>
          <w:szCs w:val="24"/>
          <w:lang w:eastAsia="en-GB"/>
        </w:rPr>
        <w:t>.</w:t>
      </w:r>
      <w:r w:rsidR="000C70C1" w:rsidRPr="00411AE0">
        <w:rPr>
          <w:rFonts w:ascii="Garamond" w:eastAsia="Times New Roman" w:hAnsi="Garamond" w:cs="Times New Roman"/>
          <w:color w:val="000000" w:themeColor="text1"/>
          <w:sz w:val="24"/>
          <w:szCs w:val="24"/>
          <w:lang w:eastAsia="en-GB"/>
        </w:rPr>
        <w:t xml:space="preserve"> </w:t>
      </w:r>
      <w:r w:rsidR="001003AA" w:rsidRPr="00411AE0">
        <w:rPr>
          <w:rFonts w:ascii="Garamond" w:eastAsia="Times New Roman" w:hAnsi="Garamond" w:cs="Times New Roman"/>
          <w:color w:val="000000" w:themeColor="text1"/>
          <w:sz w:val="24"/>
          <w:szCs w:val="24"/>
          <w:lang w:eastAsia="en-GB"/>
        </w:rPr>
        <w:t>T</w:t>
      </w:r>
      <w:r w:rsidRPr="00411AE0">
        <w:rPr>
          <w:rFonts w:ascii="Garamond" w:eastAsia="Times New Roman" w:hAnsi="Garamond" w:cs="Times New Roman"/>
          <w:color w:val="000000" w:themeColor="text1"/>
          <w:sz w:val="24"/>
          <w:szCs w:val="24"/>
          <w:lang w:eastAsia="en-GB"/>
        </w:rPr>
        <w:t>heir complex entanglements in the interests of capitalist states</w:t>
      </w:r>
      <w:r w:rsidR="001003AA" w:rsidRPr="00411AE0">
        <w:rPr>
          <w:rFonts w:ascii="Garamond" w:eastAsia="Times New Roman" w:hAnsi="Garamond" w:cs="Times New Roman"/>
          <w:color w:val="000000" w:themeColor="text1"/>
          <w:sz w:val="24"/>
          <w:szCs w:val="24"/>
          <w:lang w:eastAsia="en-GB"/>
        </w:rPr>
        <w:t>, moreover,</w:t>
      </w:r>
      <w:r w:rsidRPr="00411AE0">
        <w:rPr>
          <w:rFonts w:ascii="Garamond" w:eastAsia="Times New Roman" w:hAnsi="Garamond" w:cs="Times New Roman"/>
          <w:color w:val="000000" w:themeColor="text1"/>
          <w:sz w:val="24"/>
          <w:szCs w:val="24"/>
          <w:lang w:eastAsia="en-GB"/>
        </w:rPr>
        <w:t xml:space="preserve"> further reduce their legal accountability</w:t>
      </w:r>
      <w:r w:rsidR="00627E1E" w:rsidRPr="00411AE0">
        <w:rPr>
          <w:rFonts w:ascii="Garamond" w:eastAsia="Times New Roman" w:hAnsi="Garamond" w:cs="Times New Roman"/>
          <w:color w:val="000000" w:themeColor="text1"/>
          <w:sz w:val="24"/>
          <w:szCs w:val="24"/>
          <w:lang w:eastAsia="en-GB"/>
        </w:rPr>
        <w:t xml:space="preserve">. </w:t>
      </w:r>
      <w:r w:rsidR="00D63C2D">
        <w:rPr>
          <w:rFonts w:ascii="Garamond" w:eastAsia="Times New Roman" w:hAnsi="Garamond" w:cs="Times New Roman"/>
          <w:color w:val="000000" w:themeColor="text1"/>
          <w:sz w:val="24"/>
          <w:szCs w:val="24"/>
          <w:lang w:eastAsia="en-GB"/>
        </w:rPr>
        <w:t xml:space="preserve">De Sousa </w:t>
      </w:r>
      <w:r w:rsidRPr="00411AE0">
        <w:rPr>
          <w:rFonts w:ascii="Garamond" w:hAnsi="Garamond"/>
          <w:sz w:val="24"/>
          <w:szCs w:val="24"/>
        </w:rPr>
        <w:t>Santos argues that it is precisely</w:t>
      </w:r>
    </w:p>
    <w:p w14:paraId="4F7050C9" w14:textId="77777777" w:rsidR="00627E1E" w:rsidRPr="00411AE0" w:rsidRDefault="00627E1E" w:rsidP="001003AA">
      <w:pPr>
        <w:widowControl w:val="0"/>
        <w:autoSpaceDE w:val="0"/>
        <w:autoSpaceDN w:val="0"/>
        <w:adjustRightInd w:val="0"/>
        <w:spacing w:after="0" w:line="240" w:lineRule="auto"/>
        <w:ind w:firstLine="720"/>
        <w:rPr>
          <w:rFonts w:ascii="Garamond" w:hAnsi="Garamond"/>
          <w:sz w:val="24"/>
          <w:szCs w:val="24"/>
        </w:rPr>
      </w:pPr>
    </w:p>
    <w:p w14:paraId="3C143584" w14:textId="27521D02" w:rsidR="00830FE5" w:rsidRPr="00411AE0" w:rsidRDefault="00830FE5" w:rsidP="00C55054">
      <w:pPr>
        <w:widowControl w:val="0"/>
        <w:autoSpaceDE w:val="0"/>
        <w:autoSpaceDN w:val="0"/>
        <w:adjustRightInd w:val="0"/>
        <w:spacing w:after="0" w:line="240" w:lineRule="auto"/>
        <w:ind w:left="567"/>
        <w:rPr>
          <w:rFonts w:ascii="Garamond" w:hAnsi="Garamond"/>
          <w:color w:val="000000"/>
          <w:sz w:val="24"/>
          <w:szCs w:val="24"/>
        </w:rPr>
      </w:pPr>
      <w:r w:rsidRPr="00411AE0">
        <w:rPr>
          <w:rFonts w:ascii="Garamond" w:hAnsi="Garamond"/>
          <w:color w:val="000000"/>
          <w:sz w:val="24"/>
          <w:szCs w:val="24"/>
        </w:rPr>
        <w:t>[</w:t>
      </w:r>
      <w:r w:rsidRPr="00411AE0">
        <w:rPr>
          <w:rFonts w:ascii="Garamond" w:hAnsi="Garamond"/>
          <w:color w:val="000000"/>
        </w:rPr>
        <w:t>b]ecause of their private character [that] these economic actors can commit massive violations of human rights with total impunity in different parts of the world</w:t>
      </w:r>
      <w:r w:rsidRPr="00411AE0">
        <w:rPr>
          <w:rFonts w:ascii="Garamond" w:hAnsi="Garamond"/>
          <w:color w:val="000000"/>
          <w:lang w:val="en-US"/>
        </w:rPr>
        <w:t xml:space="preserve"> . . . </w:t>
      </w:r>
      <w:r w:rsidRPr="00411AE0">
        <w:rPr>
          <w:rFonts w:ascii="Garamond" w:hAnsi="Garamond"/>
          <w:color w:val="000000"/>
        </w:rPr>
        <w:t>[and b]ecause such actors are at the core of the loss in economic national sovereignty, their actions, no matter how offensive . . . are unlikely to collide with consideration of national interest or security that might otherwise prompt the corrective or punitive intervention of the state.</w:t>
      </w:r>
      <w:r w:rsidRPr="00411AE0">
        <w:rPr>
          <w:rStyle w:val="FootnoteReference"/>
          <w:rFonts w:ascii="Garamond" w:hAnsi="Garamond"/>
          <w:color w:val="000000"/>
          <w:sz w:val="24"/>
          <w:szCs w:val="24"/>
        </w:rPr>
        <w:footnoteReference w:id="150"/>
      </w:r>
    </w:p>
    <w:p w14:paraId="2671AC1B" w14:textId="77777777" w:rsidR="00627E1E" w:rsidRPr="00411AE0" w:rsidRDefault="00627E1E" w:rsidP="001003AA">
      <w:pPr>
        <w:widowControl w:val="0"/>
        <w:autoSpaceDE w:val="0"/>
        <w:autoSpaceDN w:val="0"/>
        <w:adjustRightInd w:val="0"/>
        <w:spacing w:after="0" w:line="240" w:lineRule="auto"/>
        <w:ind w:firstLine="720"/>
        <w:rPr>
          <w:rFonts w:ascii="Garamond" w:hAnsi="Garamond"/>
          <w:sz w:val="24"/>
          <w:szCs w:val="24"/>
        </w:rPr>
      </w:pPr>
    </w:p>
    <w:p w14:paraId="51C627EF" w14:textId="0F54D543" w:rsidR="004B0766" w:rsidRPr="001E7283" w:rsidRDefault="00DB4D50" w:rsidP="001D6585">
      <w:pPr>
        <w:autoSpaceDE w:val="0"/>
        <w:autoSpaceDN w:val="0"/>
        <w:adjustRightInd w:val="0"/>
        <w:spacing w:after="0" w:line="240" w:lineRule="auto"/>
        <w:rPr>
          <w:rFonts w:ascii="Garamond" w:hAnsi="Garamond"/>
        </w:rPr>
      </w:pPr>
      <w:r w:rsidRPr="00411AE0">
        <w:rPr>
          <w:rFonts w:ascii="Garamond" w:hAnsi="Garamond"/>
          <w:sz w:val="24"/>
          <w:szCs w:val="24"/>
        </w:rPr>
        <w:tab/>
      </w:r>
      <w:r w:rsidR="00D5141A">
        <w:rPr>
          <w:rFonts w:ascii="Garamond" w:hAnsi="Garamond"/>
          <w:sz w:val="24"/>
          <w:szCs w:val="24"/>
        </w:rPr>
        <w:t xml:space="preserve">The TNC has been deconstructed </w:t>
      </w:r>
      <w:r w:rsidR="00D5141A" w:rsidRPr="00411AE0">
        <w:rPr>
          <w:rFonts w:ascii="Garamond" w:hAnsi="Garamond"/>
          <w:sz w:val="24"/>
          <w:szCs w:val="24"/>
        </w:rPr>
        <w:t>as a raced, gendered entity constructed in the image of the Eurocentric male subject.</w:t>
      </w:r>
      <w:r w:rsidR="00D5141A" w:rsidRPr="00411AE0">
        <w:rPr>
          <w:rStyle w:val="FootnoteReference"/>
          <w:rFonts w:ascii="Garamond" w:hAnsi="Garamond"/>
          <w:sz w:val="24"/>
          <w:szCs w:val="24"/>
        </w:rPr>
        <w:footnoteReference w:id="151"/>
      </w:r>
      <w:r w:rsidR="00D5141A" w:rsidRPr="00411AE0">
        <w:rPr>
          <w:rFonts w:ascii="Garamond" w:hAnsi="Garamond"/>
          <w:sz w:val="24"/>
          <w:szCs w:val="24"/>
        </w:rPr>
        <w:t xml:space="preserve"> </w:t>
      </w:r>
      <w:r w:rsidR="00C761EF" w:rsidRPr="00411AE0">
        <w:rPr>
          <w:rFonts w:ascii="Garamond" w:hAnsi="Garamond"/>
          <w:sz w:val="24"/>
          <w:szCs w:val="24"/>
        </w:rPr>
        <w:t xml:space="preserve">Moreover, </w:t>
      </w:r>
      <w:r w:rsidR="007200C9" w:rsidRPr="00411AE0">
        <w:rPr>
          <w:rFonts w:ascii="Garamond" w:hAnsi="Garamond"/>
          <w:sz w:val="24"/>
          <w:szCs w:val="24"/>
        </w:rPr>
        <w:t>t</w:t>
      </w:r>
      <w:r w:rsidR="00830FE5" w:rsidRPr="00411AE0">
        <w:rPr>
          <w:rFonts w:ascii="Garamond" w:hAnsi="Garamond"/>
          <w:sz w:val="24"/>
          <w:szCs w:val="24"/>
        </w:rPr>
        <w:t xml:space="preserve">he corporation enjoys a complex kind of legal disembodiment impossible </w:t>
      </w:r>
      <w:r w:rsidR="00235231">
        <w:rPr>
          <w:rFonts w:ascii="Garamond" w:hAnsi="Garamond"/>
          <w:sz w:val="24"/>
          <w:szCs w:val="24"/>
        </w:rPr>
        <w:t xml:space="preserve">even </w:t>
      </w:r>
      <w:r w:rsidR="00830FE5" w:rsidRPr="00411AE0">
        <w:rPr>
          <w:rFonts w:ascii="Garamond" w:hAnsi="Garamond"/>
          <w:sz w:val="24"/>
          <w:szCs w:val="24"/>
        </w:rPr>
        <w:t>for the white</w:t>
      </w:r>
      <w:r w:rsidR="007200C9" w:rsidRPr="00411AE0">
        <w:rPr>
          <w:rFonts w:ascii="Garamond" w:hAnsi="Garamond"/>
          <w:sz w:val="24"/>
          <w:szCs w:val="24"/>
        </w:rPr>
        <w:t xml:space="preserve"> </w:t>
      </w:r>
      <w:r w:rsidR="00C761EF" w:rsidRPr="00411AE0">
        <w:rPr>
          <w:rFonts w:ascii="Garamond" w:hAnsi="Garamond"/>
          <w:sz w:val="24"/>
          <w:szCs w:val="24"/>
        </w:rPr>
        <w:t>European property-owning ma</w:t>
      </w:r>
      <w:r w:rsidR="004110B5" w:rsidRPr="00411AE0">
        <w:rPr>
          <w:rFonts w:ascii="Garamond" w:hAnsi="Garamond"/>
          <w:sz w:val="24"/>
          <w:szCs w:val="24"/>
        </w:rPr>
        <w:t>le</w:t>
      </w:r>
      <w:r w:rsidR="00C761EF" w:rsidRPr="00411AE0">
        <w:rPr>
          <w:rFonts w:ascii="Garamond" w:hAnsi="Garamond"/>
          <w:sz w:val="24"/>
          <w:szCs w:val="24"/>
        </w:rPr>
        <w:t xml:space="preserve"> and is simultaneously the very </w:t>
      </w:r>
      <w:r w:rsidR="00830FE5" w:rsidRPr="00411AE0">
        <w:rPr>
          <w:rFonts w:ascii="Garamond" w:hAnsi="Garamond"/>
          <w:sz w:val="24"/>
          <w:szCs w:val="24"/>
        </w:rPr>
        <w:t>personification of capitalism.</w:t>
      </w:r>
      <w:r w:rsidR="00830FE5" w:rsidRPr="00411AE0">
        <w:rPr>
          <w:rStyle w:val="FootnoteReference"/>
          <w:rFonts w:ascii="Garamond" w:hAnsi="Garamond"/>
          <w:sz w:val="24"/>
          <w:szCs w:val="24"/>
        </w:rPr>
        <w:footnoteReference w:id="152"/>
      </w:r>
      <w:r w:rsidR="00830FE5" w:rsidRPr="00411AE0">
        <w:rPr>
          <w:rFonts w:ascii="Garamond" w:hAnsi="Garamond"/>
          <w:sz w:val="24"/>
          <w:szCs w:val="24"/>
        </w:rPr>
        <w:t xml:space="preserve"> Accordingly, it is the corporation</w:t>
      </w:r>
      <w:r w:rsidR="00C761EF" w:rsidRPr="00411AE0">
        <w:rPr>
          <w:rFonts w:ascii="Garamond" w:hAnsi="Garamond"/>
          <w:sz w:val="24"/>
          <w:szCs w:val="24"/>
        </w:rPr>
        <w:t>,</w:t>
      </w:r>
      <w:r w:rsidR="00830FE5" w:rsidRPr="00411AE0">
        <w:rPr>
          <w:rFonts w:ascii="Garamond" w:hAnsi="Garamond"/>
          <w:sz w:val="24"/>
          <w:szCs w:val="24"/>
        </w:rPr>
        <w:t xml:space="preserve"> rather than the human being</w:t>
      </w:r>
      <w:r w:rsidR="00C761EF" w:rsidRPr="00411AE0">
        <w:rPr>
          <w:rFonts w:ascii="Garamond" w:hAnsi="Garamond"/>
          <w:sz w:val="24"/>
          <w:szCs w:val="24"/>
        </w:rPr>
        <w:t>,</w:t>
      </w:r>
      <w:r w:rsidR="00830FE5" w:rsidRPr="00411AE0">
        <w:rPr>
          <w:rFonts w:ascii="Garamond" w:hAnsi="Garamond"/>
          <w:sz w:val="24"/>
          <w:szCs w:val="24"/>
        </w:rPr>
        <w:t xml:space="preserve"> that supplies the ultimate instantiation of l</w:t>
      </w:r>
      <w:r w:rsidR="00A571A6" w:rsidRPr="00411AE0">
        <w:rPr>
          <w:rFonts w:ascii="Garamond" w:hAnsi="Garamond"/>
          <w:sz w:val="24"/>
          <w:szCs w:val="24"/>
        </w:rPr>
        <w:t>iberal l</w:t>
      </w:r>
      <w:r w:rsidR="00830FE5" w:rsidRPr="00411AE0">
        <w:rPr>
          <w:rFonts w:ascii="Garamond" w:hAnsi="Garamond"/>
          <w:sz w:val="24"/>
          <w:szCs w:val="24"/>
        </w:rPr>
        <w:t>aw’s idealised person</w:t>
      </w:r>
      <w:r w:rsidR="00EB35B3" w:rsidRPr="00411AE0">
        <w:rPr>
          <w:rFonts w:ascii="Garamond" w:hAnsi="Garamond"/>
          <w:sz w:val="24"/>
          <w:szCs w:val="24"/>
        </w:rPr>
        <w:t>.</w:t>
      </w:r>
      <w:r w:rsidR="00830FE5" w:rsidRPr="00411AE0">
        <w:rPr>
          <w:rStyle w:val="FootnoteReference"/>
          <w:rFonts w:ascii="Garamond" w:hAnsi="Garamond"/>
          <w:sz w:val="24"/>
          <w:szCs w:val="24"/>
        </w:rPr>
        <w:footnoteReference w:id="153"/>
      </w:r>
      <w:r w:rsidR="00830FE5" w:rsidRPr="00411AE0">
        <w:rPr>
          <w:rFonts w:ascii="Garamond" w:hAnsi="Garamond"/>
          <w:sz w:val="24"/>
          <w:szCs w:val="24"/>
        </w:rPr>
        <w:t xml:space="preserve"> And it </w:t>
      </w:r>
      <w:r w:rsidR="00830FE5" w:rsidRPr="00174A76">
        <w:rPr>
          <w:rFonts w:ascii="Garamond" w:hAnsi="Garamond"/>
          <w:sz w:val="24"/>
          <w:szCs w:val="24"/>
        </w:rPr>
        <w:t xml:space="preserve">is the TNC that </w:t>
      </w:r>
      <w:r w:rsidR="00C761EF" w:rsidRPr="00543D6F">
        <w:rPr>
          <w:rFonts w:ascii="Garamond" w:hAnsi="Garamond"/>
          <w:sz w:val="24"/>
          <w:szCs w:val="24"/>
        </w:rPr>
        <w:t xml:space="preserve">is </w:t>
      </w:r>
      <w:r w:rsidR="00830FE5" w:rsidRPr="00543D6F">
        <w:rPr>
          <w:rFonts w:ascii="Garamond" w:hAnsi="Garamond"/>
          <w:sz w:val="24"/>
          <w:szCs w:val="24"/>
        </w:rPr>
        <w:t>the apotheosis of th</w:t>
      </w:r>
      <w:r w:rsidR="00C761EF" w:rsidRPr="00543D6F">
        <w:rPr>
          <w:rFonts w:ascii="Garamond" w:hAnsi="Garamond"/>
          <w:sz w:val="24"/>
          <w:szCs w:val="24"/>
        </w:rPr>
        <w:t>e corporation’s</w:t>
      </w:r>
      <w:r w:rsidR="00830FE5" w:rsidRPr="00543D6F">
        <w:rPr>
          <w:rFonts w:ascii="Garamond" w:hAnsi="Garamond"/>
          <w:sz w:val="24"/>
          <w:szCs w:val="24"/>
        </w:rPr>
        <w:t xml:space="preserve"> disembodied power</w:t>
      </w:r>
      <w:r w:rsidR="00F96D50" w:rsidRPr="00543D6F">
        <w:rPr>
          <w:rFonts w:ascii="Garamond" w:hAnsi="Garamond"/>
          <w:sz w:val="24"/>
          <w:szCs w:val="24"/>
        </w:rPr>
        <w:t xml:space="preserve"> </w:t>
      </w:r>
      <w:r w:rsidR="00830FE5" w:rsidRPr="00543D6F">
        <w:rPr>
          <w:rFonts w:ascii="Garamond" w:hAnsi="Garamond"/>
          <w:sz w:val="24"/>
          <w:szCs w:val="24"/>
        </w:rPr>
        <w:t xml:space="preserve">to evade </w:t>
      </w:r>
      <w:r w:rsidR="00830FE5" w:rsidRPr="00B44500">
        <w:rPr>
          <w:rFonts w:ascii="Garamond" w:hAnsi="Garamond"/>
          <w:sz w:val="24"/>
          <w:szCs w:val="24"/>
        </w:rPr>
        <w:t xml:space="preserve">accountability </w:t>
      </w:r>
      <w:r w:rsidR="004D01DA" w:rsidRPr="00B44500">
        <w:rPr>
          <w:rFonts w:ascii="Garamond" w:hAnsi="Garamond"/>
          <w:sz w:val="24"/>
          <w:szCs w:val="24"/>
        </w:rPr>
        <w:t>by</w:t>
      </w:r>
      <w:r w:rsidR="00830FE5" w:rsidRPr="00B44500">
        <w:rPr>
          <w:rFonts w:ascii="Garamond" w:hAnsi="Garamond"/>
          <w:sz w:val="24"/>
          <w:szCs w:val="24"/>
        </w:rPr>
        <w:t xml:space="preserve"> </w:t>
      </w:r>
      <w:r w:rsidR="00D622D9" w:rsidRPr="00B44500">
        <w:rPr>
          <w:rFonts w:ascii="Garamond" w:hAnsi="Garamond"/>
          <w:sz w:val="24"/>
          <w:szCs w:val="24"/>
        </w:rPr>
        <w:t xml:space="preserve">‘disaggregating’ into </w:t>
      </w:r>
      <w:r w:rsidR="00B376FF" w:rsidRPr="00B44500">
        <w:rPr>
          <w:rFonts w:ascii="Garamond" w:hAnsi="Garamond"/>
          <w:sz w:val="24"/>
          <w:szCs w:val="24"/>
        </w:rPr>
        <w:t>distinguishable unit</w:t>
      </w:r>
      <w:r w:rsidR="00FC7261" w:rsidRPr="00B44500">
        <w:rPr>
          <w:rFonts w:ascii="Garamond" w:hAnsi="Garamond"/>
          <w:sz w:val="24"/>
          <w:szCs w:val="24"/>
        </w:rPr>
        <w:t>s</w:t>
      </w:r>
      <w:r w:rsidR="00D622D9" w:rsidRPr="00B44500">
        <w:rPr>
          <w:rFonts w:ascii="Garamond" w:hAnsi="Garamond"/>
          <w:sz w:val="24"/>
          <w:szCs w:val="24"/>
        </w:rPr>
        <w:t xml:space="preserve">, each constituting a </w:t>
      </w:r>
      <w:r w:rsidR="00FC7261" w:rsidRPr="00B44500">
        <w:rPr>
          <w:rFonts w:ascii="Garamond" w:hAnsi="Garamond"/>
          <w:sz w:val="24"/>
          <w:szCs w:val="24"/>
        </w:rPr>
        <w:t xml:space="preserve">separate </w:t>
      </w:r>
      <w:r w:rsidR="00D622D9" w:rsidRPr="00B44500">
        <w:rPr>
          <w:rFonts w:ascii="Garamond" w:hAnsi="Garamond"/>
          <w:sz w:val="24"/>
          <w:szCs w:val="24"/>
        </w:rPr>
        <w:t>legal person</w:t>
      </w:r>
      <w:r w:rsidR="00FC7261" w:rsidRPr="00B44500">
        <w:rPr>
          <w:rFonts w:ascii="Garamond" w:hAnsi="Garamond"/>
          <w:sz w:val="24"/>
          <w:szCs w:val="24"/>
        </w:rPr>
        <w:t>.</w:t>
      </w:r>
      <w:r w:rsidR="000C31B2" w:rsidRPr="00B44500">
        <w:rPr>
          <w:rStyle w:val="FootnoteReference"/>
          <w:rFonts w:ascii="Garamond" w:hAnsi="Garamond"/>
          <w:sz w:val="24"/>
          <w:szCs w:val="24"/>
        </w:rPr>
        <w:footnoteReference w:id="154"/>
      </w:r>
      <w:r w:rsidR="00D622D9" w:rsidRPr="00B44500">
        <w:rPr>
          <w:rFonts w:ascii="Garamond" w:hAnsi="Garamond"/>
          <w:sz w:val="24"/>
          <w:szCs w:val="24"/>
        </w:rPr>
        <w:t xml:space="preserve"> </w:t>
      </w:r>
      <w:r w:rsidR="004B0766" w:rsidRPr="00B44500">
        <w:rPr>
          <w:rFonts w:ascii="Garamond" w:hAnsi="Garamond"/>
          <w:sz w:val="24"/>
          <w:szCs w:val="24"/>
        </w:rPr>
        <w:t>It is t</w:t>
      </w:r>
      <w:r w:rsidR="00543D6F" w:rsidRPr="00B44500">
        <w:rPr>
          <w:rFonts w:ascii="Garamond" w:hAnsi="Garamond"/>
          <w:sz w:val="24"/>
          <w:szCs w:val="24"/>
        </w:rPr>
        <w:t>his</w:t>
      </w:r>
      <w:r w:rsidR="00543D6F" w:rsidRPr="001E7283">
        <w:rPr>
          <w:rFonts w:ascii="Garamond" w:hAnsi="Garamond"/>
        </w:rPr>
        <w:t xml:space="preserve"> </w:t>
      </w:r>
    </w:p>
    <w:p w14:paraId="4F7AD4E4" w14:textId="77777777" w:rsidR="004B0766" w:rsidRPr="001E7283" w:rsidRDefault="004B0766" w:rsidP="001D6585">
      <w:pPr>
        <w:autoSpaceDE w:val="0"/>
        <w:autoSpaceDN w:val="0"/>
        <w:adjustRightInd w:val="0"/>
        <w:spacing w:after="0" w:line="240" w:lineRule="auto"/>
        <w:rPr>
          <w:rFonts w:ascii="Garamond" w:hAnsi="Garamond"/>
        </w:rPr>
      </w:pPr>
    </w:p>
    <w:p w14:paraId="14793C23" w14:textId="45DEE244" w:rsidR="004B0766" w:rsidRPr="001E7283" w:rsidRDefault="00174A76" w:rsidP="001E7283">
      <w:pPr>
        <w:autoSpaceDE w:val="0"/>
        <w:autoSpaceDN w:val="0"/>
        <w:adjustRightInd w:val="0"/>
        <w:spacing w:after="0" w:line="240" w:lineRule="auto"/>
        <w:ind w:left="720"/>
        <w:rPr>
          <w:rFonts w:ascii="Garamond" w:hAnsi="Garamond"/>
        </w:rPr>
      </w:pPr>
      <w:r w:rsidRPr="00EE19A0">
        <w:rPr>
          <w:rFonts w:ascii="Garamond" w:hAnsi="Garamond" w:cs="Times New Roman"/>
          <w:lang w:val="en-US"/>
        </w:rPr>
        <w:t xml:space="preserve">capacity of [TNCs] to organise their legal form in such a way as to avoid responsibility for harm . . . </w:t>
      </w:r>
      <w:r w:rsidR="004B0766" w:rsidRPr="00EE19A0">
        <w:rPr>
          <w:rFonts w:ascii="Garamond" w:hAnsi="Garamond" w:cs="Times New Roman"/>
          <w:lang w:val="en-US"/>
        </w:rPr>
        <w:t>[that</w:t>
      </w:r>
      <w:r w:rsidR="00A25127">
        <w:rPr>
          <w:rFonts w:ascii="Garamond" w:hAnsi="Garamond" w:cs="Times New Roman"/>
          <w:lang w:val="en-US"/>
        </w:rPr>
        <w:t xml:space="preserve"> is such] </w:t>
      </w:r>
      <w:r w:rsidRPr="00EE19A0">
        <w:rPr>
          <w:rFonts w:ascii="Garamond" w:hAnsi="Garamond" w:cs="Times New Roman"/>
          <w:lang w:val="en-US"/>
        </w:rPr>
        <w:t>a cause for concern. In the context of corporate groups, the avoidance of responsibility can be achieved by interposing a separate legal entity between the victims and the ultimate controller of the group, be it a parent company or its controlling shareholders. Such a use of corporate separation can also be used to ‘hide’ the controlling enterprise from being present in the jurisdiction where the harm has occurred, thereby making litigation against it harder. Though in legal terms suc</w:t>
      </w:r>
      <w:r w:rsidRPr="001E7283">
        <w:rPr>
          <w:rFonts w:ascii="Garamond" w:hAnsi="Garamond" w:cs="Times New Roman"/>
          <w:lang w:val="en-US"/>
        </w:rPr>
        <w:t xml:space="preserve">h devices are entirely normal and useful for </w:t>
      </w:r>
      <w:r w:rsidRPr="00EE19A0">
        <w:rPr>
          <w:rFonts w:ascii="Garamond" w:hAnsi="Garamond" w:cs="Times New Roman"/>
          <w:lang w:val="en-US"/>
        </w:rPr>
        <w:t>the control of investment risks they are</w:t>
      </w:r>
      <w:r w:rsidRPr="005C3004">
        <w:rPr>
          <w:rFonts w:ascii="Garamond" w:hAnsi="Garamond" w:cs="Times New Roman"/>
          <w:lang w:val="en-US"/>
        </w:rPr>
        <w:t xml:space="preserve"> also likely</w:t>
      </w:r>
      <w:r w:rsidRPr="001E7283">
        <w:rPr>
          <w:rFonts w:ascii="Garamond" w:hAnsi="Garamond" w:cs="Times New Roman"/>
          <w:lang w:val="en-US"/>
        </w:rPr>
        <w:t xml:space="preserve"> to externalise other risks, in particular risk of harm, in morally </w:t>
      </w:r>
      <w:r w:rsidRPr="001E7283">
        <w:rPr>
          <w:rFonts w:ascii="Garamond" w:hAnsi="Garamond" w:cs="Times New Roman"/>
          <w:lang w:val="en-US"/>
        </w:rPr>
        <w:lastRenderedPageBreak/>
        <w:t>and socially unacceptable ways</w:t>
      </w:r>
      <w:r w:rsidR="006F7936" w:rsidRPr="001E7283">
        <w:rPr>
          <w:rFonts w:ascii="Garamond" w:hAnsi="Garamond" w:cs="Times New Roman"/>
          <w:lang w:val="en-US"/>
        </w:rPr>
        <w:t>.</w:t>
      </w:r>
      <w:r w:rsidR="009F24E6" w:rsidRPr="001E7283">
        <w:rPr>
          <w:rStyle w:val="FootnoteReference"/>
          <w:rFonts w:ascii="Garamond" w:hAnsi="Garamond" w:cs="Times New Roman"/>
          <w:lang w:val="en-US"/>
        </w:rPr>
        <w:footnoteReference w:id="155"/>
      </w:r>
      <w:r w:rsidR="00626068" w:rsidRPr="001E7283">
        <w:rPr>
          <w:rFonts w:ascii="Garamond" w:hAnsi="Garamond"/>
        </w:rPr>
        <w:br/>
        <w:t xml:space="preserve"> </w:t>
      </w:r>
      <w:r w:rsidR="00626068" w:rsidRPr="001E7283">
        <w:rPr>
          <w:rFonts w:ascii="Garamond" w:hAnsi="Garamond"/>
        </w:rPr>
        <w:tab/>
      </w:r>
    </w:p>
    <w:p w14:paraId="6B13EB22" w14:textId="16301B0B" w:rsidR="001A5E99" w:rsidRPr="00D160E3" w:rsidRDefault="00D622D9" w:rsidP="001E7283">
      <w:pPr>
        <w:autoSpaceDE w:val="0"/>
        <w:autoSpaceDN w:val="0"/>
        <w:adjustRightInd w:val="0"/>
        <w:spacing w:after="0" w:line="240" w:lineRule="auto"/>
        <w:ind w:firstLine="720"/>
        <w:rPr>
          <w:rFonts w:ascii="Garamond" w:hAnsi="Garamond" w:cs="Times New Roman"/>
          <w:sz w:val="24"/>
          <w:szCs w:val="24"/>
          <w:lang w:val="en-US"/>
        </w:rPr>
      </w:pPr>
      <w:r w:rsidRPr="00B00E70">
        <w:rPr>
          <w:rFonts w:ascii="Garamond" w:hAnsi="Garamond"/>
          <w:sz w:val="24"/>
          <w:szCs w:val="24"/>
        </w:rPr>
        <w:t>The politics of rationalistic disembodiment</w:t>
      </w:r>
      <w:r w:rsidRPr="005C3004">
        <w:rPr>
          <w:rFonts w:ascii="Garamond" w:hAnsi="Garamond"/>
          <w:sz w:val="24"/>
          <w:szCs w:val="24"/>
        </w:rPr>
        <w:t xml:space="preserve"> central</w:t>
      </w:r>
      <w:r w:rsidRPr="00543D6F">
        <w:rPr>
          <w:rFonts w:ascii="Garamond" w:hAnsi="Garamond"/>
          <w:sz w:val="24"/>
          <w:szCs w:val="24"/>
        </w:rPr>
        <w:t xml:space="preserve"> to law produce the idiosyncratic</w:t>
      </w:r>
      <w:r w:rsidR="00FC7261" w:rsidRPr="00543D6F">
        <w:rPr>
          <w:rFonts w:ascii="Garamond" w:hAnsi="Garamond"/>
          <w:sz w:val="24"/>
          <w:szCs w:val="24"/>
        </w:rPr>
        <w:t xml:space="preserve">, complex and mutable </w:t>
      </w:r>
      <w:r w:rsidRPr="004B0766">
        <w:rPr>
          <w:rFonts w:ascii="Garamond" w:hAnsi="Garamond"/>
          <w:sz w:val="24"/>
          <w:szCs w:val="24"/>
        </w:rPr>
        <w:t>‘disembodiment’</w:t>
      </w:r>
      <w:r w:rsidRPr="00174A76">
        <w:rPr>
          <w:rStyle w:val="FootnoteReference"/>
          <w:rFonts w:ascii="Garamond" w:hAnsi="Garamond"/>
          <w:sz w:val="24"/>
          <w:szCs w:val="24"/>
        </w:rPr>
        <w:footnoteReference w:id="156"/>
      </w:r>
      <w:r w:rsidRPr="00174A76">
        <w:rPr>
          <w:rFonts w:ascii="Garamond" w:hAnsi="Garamond"/>
          <w:sz w:val="24"/>
          <w:szCs w:val="24"/>
        </w:rPr>
        <w:t>of the corporate form as a decisive advantage in a pathologically uneven global order</w:t>
      </w:r>
      <w:r w:rsidR="00BC770C" w:rsidRPr="00543D6F">
        <w:rPr>
          <w:rFonts w:ascii="Garamond" w:hAnsi="Garamond"/>
          <w:sz w:val="24"/>
          <w:szCs w:val="24"/>
        </w:rPr>
        <w:t xml:space="preserve">—and has its origins firmly in colonial </w:t>
      </w:r>
      <w:r w:rsidR="001757AF" w:rsidRPr="004B0766">
        <w:rPr>
          <w:rFonts w:ascii="Garamond" w:hAnsi="Garamond"/>
          <w:sz w:val="24"/>
          <w:szCs w:val="24"/>
        </w:rPr>
        <w:t>imperatives</w:t>
      </w:r>
      <w:r w:rsidRPr="00411AE0">
        <w:rPr>
          <w:rFonts w:ascii="Garamond" w:hAnsi="Garamond"/>
          <w:sz w:val="24"/>
          <w:szCs w:val="24"/>
        </w:rPr>
        <w:t>.</w:t>
      </w:r>
      <w:r w:rsidR="00BC770C">
        <w:rPr>
          <w:rStyle w:val="FootnoteReference"/>
          <w:rFonts w:ascii="Garamond" w:hAnsi="Garamond"/>
          <w:sz w:val="24"/>
          <w:szCs w:val="24"/>
        </w:rPr>
        <w:footnoteReference w:id="157"/>
      </w:r>
      <w:r w:rsidR="00D160E3">
        <w:rPr>
          <w:rFonts w:ascii="Garamond" w:hAnsi="Garamond"/>
          <w:sz w:val="24"/>
          <w:szCs w:val="24"/>
        </w:rPr>
        <w:t xml:space="preserve"> </w:t>
      </w:r>
      <w:r w:rsidR="005C3004" w:rsidRPr="00D160E3">
        <w:rPr>
          <w:rFonts w:ascii="Garamond" w:hAnsi="Garamond" w:cs="Times New Roman"/>
          <w:sz w:val="24"/>
          <w:szCs w:val="24"/>
          <w:lang w:val="en-US"/>
        </w:rPr>
        <w:t xml:space="preserve">Dangerman and Schellnhuber make explicit the intimacy between the structure of the corporate form and the imperatives of coloniality. They argue, </w:t>
      </w:r>
      <w:r w:rsidR="00A57536">
        <w:rPr>
          <w:rFonts w:ascii="Garamond" w:hAnsi="Garamond" w:cs="Times New Roman"/>
          <w:sz w:val="24"/>
          <w:szCs w:val="24"/>
          <w:lang w:val="en-US"/>
        </w:rPr>
        <w:t>referring to</w:t>
      </w:r>
      <w:r w:rsidR="00A57536" w:rsidRPr="00D160E3">
        <w:rPr>
          <w:rFonts w:ascii="Garamond" w:hAnsi="Garamond" w:cs="Times New Roman"/>
          <w:sz w:val="24"/>
          <w:szCs w:val="24"/>
          <w:lang w:val="en-US"/>
        </w:rPr>
        <w:t xml:space="preserve"> </w:t>
      </w:r>
      <w:r w:rsidR="005C3004" w:rsidRPr="00D160E3">
        <w:rPr>
          <w:rFonts w:ascii="Garamond" w:hAnsi="Garamond" w:cs="Times New Roman"/>
          <w:sz w:val="24"/>
          <w:szCs w:val="24"/>
          <w:lang w:val="en-US"/>
        </w:rPr>
        <w:t xml:space="preserve">the origin of the earliest public corporation (the Dutch East India Company, in 1602) that: </w:t>
      </w:r>
    </w:p>
    <w:p w14:paraId="37B00AA7" w14:textId="77777777" w:rsidR="001A5E99" w:rsidRPr="00D160E3" w:rsidRDefault="001A5E99" w:rsidP="001E7283">
      <w:pPr>
        <w:autoSpaceDE w:val="0"/>
        <w:autoSpaceDN w:val="0"/>
        <w:adjustRightInd w:val="0"/>
        <w:spacing w:after="0" w:line="240" w:lineRule="auto"/>
        <w:ind w:firstLine="720"/>
        <w:rPr>
          <w:rFonts w:ascii="Garamond" w:hAnsi="Garamond" w:cs="Times New Roman"/>
          <w:sz w:val="24"/>
          <w:szCs w:val="24"/>
          <w:lang w:val="en-US"/>
        </w:rPr>
      </w:pPr>
    </w:p>
    <w:p w14:paraId="5950BEA1" w14:textId="4E8A3835" w:rsidR="007426D4" w:rsidRPr="002878CD" w:rsidRDefault="005C3004" w:rsidP="002878CD">
      <w:pPr>
        <w:autoSpaceDE w:val="0"/>
        <w:autoSpaceDN w:val="0"/>
        <w:adjustRightInd w:val="0"/>
        <w:spacing w:after="0" w:line="240" w:lineRule="auto"/>
        <w:ind w:left="720"/>
        <w:rPr>
          <w:rFonts w:ascii="Garamond" w:hAnsi="Garamond"/>
          <w:color w:val="333333"/>
        </w:rPr>
      </w:pPr>
      <w:r w:rsidRPr="002878CD">
        <w:rPr>
          <w:rFonts w:ascii="Garamond" w:hAnsi="Garamond"/>
          <w:color w:val="333333"/>
        </w:rPr>
        <w:t>Its owners neither wished nor expected to be confronted with the legal consequences of the actions and omissions of the economic entity in which they invested. In fact, they were not supposed to bear these consequences—these were colonial times. In an era when Europeans were discovering the existen</w:t>
      </w:r>
      <w:r w:rsidRPr="004632FD">
        <w:rPr>
          <w:rFonts w:ascii="Garamond" w:hAnsi="Garamond"/>
          <w:color w:val="333333"/>
        </w:rPr>
        <w:t xml:space="preserve">ce of entire continents, the world appeared to have an endlessly </w:t>
      </w:r>
      <w:r w:rsidRPr="009A23E9">
        <w:rPr>
          <w:rFonts w:ascii="Garamond" w:hAnsi="Garamond"/>
          <w:color w:val="333333"/>
        </w:rPr>
        <w:t xml:space="preserve">receding horizon, and the indigenous people of the colonies were not necessarily considered important, let alone equal. In other </w:t>
      </w:r>
      <w:r w:rsidRPr="002878CD">
        <w:rPr>
          <w:rFonts w:ascii="Garamond" w:hAnsi="Garamond"/>
          <w:color w:val="333333"/>
        </w:rPr>
        <w:t xml:space="preserve">words, when the shareholder company structure was formed, there was little reason to take into account a rationale for </w:t>
      </w:r>
      <w:r w:rsidR="001A5E99" w:rsidRPr="002878CD">
        <w:rPr>
          <w:rFonts w:ascii="Garamond" w:hAnsi="Garamond"/>
          <w:color w:val="333333"/>
        </w:rPr>
        <w:t>stabilizing feedback mechanisms</w:t>
      </w:r>
      <w:r w:rsidR="007426D4" w:rsidRPr="002878CD">
        <w:rPr>
          <w:rFonts w:ascii="Garamond" w:hAnsi="Garamond"/>
          <w:color w:val="333333"/>
        </w:rPr>
        <w:t xml:space="preserve"> … </w:t>
      </w:r>
      <w:r w:rsidRPr="002878CD">
        <w:rPr>
          <w:rFonts w:ascii="Garamond" w:hAnsi="Garamond"/>
          <w:color w:val="333333"/>
        </w:rPr>
        <w:t xml:space="preserve">Then and now, companies serve as legal vehicles for generating immediate profits for shareholders and allowing investors to reap the benefits of expansion … without being confronted by the consequences of </w:t>
      </w:r>
      <w:r w:rsidR="007426D4" w:rsidRPr="002878CD">
        <w:rPr>
          <w:rFonts w:ascii="Garamond" w:hAnsi="Garamond"/>
          <w:color w:val="333333"/>
        </w:rPr>
        <w:t>such harvesting dynamics</w:t>
      </w:r>
      <w:r w:rsidRPr="002878CD">
        <w:rPr>
          <w:rFonts w:ascii="Garamond" w:hAnsi="Garamond"/>
          <w:color w:val="333333"/>
        </w:rPr>
        <w:t>.</w:t>
      </w:r>
      <w:r w:rsidR="007426D4" w:rsidRPr="002878CD">
        <w:rPr>
          <w:rStyle w:val="FootnoteReference"/>
          <w:rFonts w:ascii="Garamond" w:hAnsi="Garamond"/>
          <w:color w:val="333333"/>
        </w:rPr>
        <w:footnoteReference w:id="158"/>
      </w:r>
      <w:r w:rsidRPr="002878CD">
        <w:rPr>
          <w:rFonts w:ascii="Garamond" w:hAnsi="Garamond"/>
          <w:color w:val="333333"/>
        </w:rPr>
        <w:t xml:space="preserve"> </w:t>
      </w:r>
    </w:p>
    <w:p w14:paraId="76886311" w14:textId="77777777" w:rsidR="007426D4" w:rsidRPr="00CF7E46" w:rsidRDefault="007426D4" w:rsidP="00CF7E46">
      <w:pPr>
        <w:autoSpaceDE w:val="0"/>
        <w:autoSpaceDN w:val="0"/>
        <w:adjustRightInd w:val="0"/>
        <w:spacing w:after="0" w:line="240" w:lineRule="auto"/>
        <w:ind w:left="720"/>
        <w:rPr>
          <w:rFonts w:ascii="Garamond" w:hAnsi="Garamond"/>
          <w:color w:val="333333"/>
          <w:sz w:val="24"/>
          <w:szCs w:val="24"/>
        </w:rPr>
      </w:pPr>
    </w:p>
    <w:p w14:paraId="602F7B46" w14:textId="7F83AFB7" w:rsidR="00BF0199" w:rsidRPr="00411AE0" w:rsidRDefault="004632FD" w:rsidP="00CF7E46">
      <w:pPr>
        <w:autoSpaceDE w:val="0"/>
        <w:autoSpaceDN w:val="0"/>
        <w:adjustRightInd w:val="0"/>
        <w:spacing w:after="0" w:line="240" w:lineRule="auto"/>
        <w:rPr>
          <w:rFonts w:ascii="Garamond" w:eastAsia="Times New Roman" w:hAnsi="Garamond" w:cs="Times New Roman"/>
          <w:b/>
          <w:color w:val="000000" w:themeColor="text1"/>
          <w:sz w:val="24"/>
          <w:szCs w:val="24"/>
          <w:lang w:eastAsia="en-GB"/>
        </w:rPr>
      </w:pPr>
      <w:r w:rsidRPr="00CF7E46">
        <w:rPr>
          <w:rFonts w:ascii="Garamond" w:hAnsi="Garamond"/>
          <w:color w:val="333333"/>
          <w:sz w:val="24"/>
          <w:szCs w:val="24"/>
        </w:rPr>
        <w:t xml:space="preserve"> </w:t>
      </w:r>
      <w:r w:rsidRPr="00CF7E46">
        <w:rPr>
          <w:rFonts w:ascii="Garamond" w:hAnsi="Garamond"/>
          <w:color w:val="333333"/>
          <w:sz w:val="24"/>
          <w:szCs w:val="24"/>
        </w:rPr>
        <w:tab/>
      </w:r>
      <w:r w:rsidR="005C3004" w:rsidRPr="00CF7E46">
        <w:rPr>
          <w:rFonts w:ascii="Garamond" w:hAnsi="Garamond"/>
          <w:color w:val="333333"/>
          <w:sz w:val="24"/>
          <w:szCs w:val="24"/>
        </w:rPr>
        <w:t>The legal structure of the TNC, emphatically, took shape as a tool of colonialism</w:t>
      </w:r>
      <w:r w:rsidR="007426D4" w:rsidRPr="009A23E9">
        <w:rPr>
          <w:rFonts w:ascii="Garamond" w:hAnsi="Garamond"/>
          <w:sz w:val="24"/>
          <w:szCs w:val="24"/>
        </w:rPr>
        <w:t xml:space="preserve"> and the </w:t>
      </w:r>
      <w:r w:rsidR="00830FE5" w:rsidRPr="00EC3480">
        <w:rPr>
          <w:rFonts w:ascii="Garamond" w:hAnsi="Garamond"/>
          <w:sz w:val="24"/>
          <w:szCs w:val="24"/>
        </w:rPr>
        <w:t>TNC</w:t>
      </w:r>
      <w:r w:rsidR="00B1650C" w:rsidRPr="00EC3480">
        <w:rPr>
          <w:rFonts w:ascii="Garamond" w:hAnsi="Garamond"/>
          <w:sz w:val="24"/>
          <w:szCs w:val="24"/>
        </w:rPr>
        <w:t>’s</w:t>
      </w:r>
      <w:r w:rsidR="00830FE5" w:rsidRPr="00EC3480">
        <w:rPr>
          <w:rFonts w:ascii="Garamond" w:hAnsi="Garamond"/>
          <w:sz w:val="24"/>
          <w:szCs w:val="24"/>
        </w:rPr>
        <w:t xml:space="preserve"> disembodiment and the related mutability of dematerialised capital</w:t>
      </w:r>
      <w:r w:rsidR="00C728F9" w:rsidRPr="00EC3480">
        <w:rPr>
          <w:rFonts w:ascii="Garamond" w:hAnsi="Garamond"/>
          <w:sz w:val="24"/>
          <w:szCs w:val="24"/>
        </w:rPr>
        <w:t xml:space="preserve"> in a </w:t>
      </w:r>
      <w:r w:rsidR="00D71538" w:rsidRPr="00EC3480">
        <w:rPr>
          <w:rFonts w:ascii="Garamond" w:hAnsi="Garamond"/>
          <w:sz w:val="24"/>
          <w:szCs w:val="24"/>
        </w:rPr>
        <w:t>borderless</w:t>
      </w:r>
      <w:r w:rsidR="00C728F9" w:rsidRPr="00EC3480">
        <w:rPr>
          <w:rFonts w:ascii="Garamond" w:hAnsi="Garamond"/>
          <w:sz w:val="24"/>
          <w:szCs w:val="24"/>
        </w:rPr>
        <w:t xml:space="preserve"> global order for capital</w:t>
      </w:r>
      <w:r w:rsidR="00830FE5" w:rsidRPr="00497729">
        <w:rPr>
          <w:rFonts w:ascii="Garamond" w:hAnsi="Garamond"/>
          <w:sz w:val="24"/>
          <w:szCs w:val="24"/>
        </w:rPr>
        <w:t xml:space="preserve"> are </w:t>
      </w:r>
      <w:r w:rsidR="00D71538" w:rsidRPr="00497729">
        <w:rPr>
          <w:rFonts w:ascii="Garamond" w:hAnsi="Garamond"/>
          <w:sz w:val="24"/>
          <w:szCs w:val="24"/>
        </w:rPr>
        <w:t xml:space="preserve">thus </w:t>
      </w:r>
      <w:r w:rsidR="00D72BE6" w:rsidRPr="00497729">
        <w:rPr>
          <w:rFonts w:ascii="Garamond" w:hAnsi="Garamond"/>
          <w:sz w:val="24"/>
          <w:szCs w:val="24"/>
        </w:rPr>
        <w:t xml:space="preserve">entirely </w:t>
      </w:r>
      <w:r w:rsidR="00FE61E5" w:rsidRPr="00497729">
        <w:rPr>
          <w:rFonts w:ascii="Garamond" w:hAnsi="Garamond"/>
          <w:i/>
          <w:sz w:val="24"/>
          <w:szCs w:val="24"/>
        </w:rPr>
        <w:t xml:space="preserve">at </w:t>
      </w:r>
      <w:r w:rsidR="00830FE5" w:rsidRPr="00497729">
        <w:rPr>
          <w:rFonts w:ascii="Garamond" w:hAnsi="Garamond"/>
          <w:i/>
          <w:sz w:val="24"/>
          <w:szCs w:val="24"/>
        </w:rPr>
        <w:t>one</w:t>
      </w:r>
      <w:r w:rsidR="00830FE5" w:rsidRPr="00497729">
        <w:rPr>
          <w:rFonts w:ascii="Garamond" w:hAnsi="Garamond"/>
          <w:sz w:val="24"/>
          <w:szCs w:val="24"/>
        </w:rPr>
        <w:t xml:space="preserve"> with </w:t>
      </w:r>
      <w:r w:rsidR="00C728F9" w:rsidRPr="00497729">
        <w:rPr>
          <w:rFonts w:ascii="Garamond" w:hAnsi="Garamond"/>
          <w:sz w:val="24"/>
          <w:szCs w:val="24"/>
        </w:rPr>
        <w:t>the ideologically constructed</w:t>
      </w:r>
      <w:r w:rsidR="00830FE5" w:rsidRPr="00497729">
        <w:rPr>
          <w:rFonts w:ascii="Garamond" w:hAnsi="Garamond"/>
          <w:sz w:val="24"/>
          <w:szCs w:val="24"/>
        </w:rPr>
        <w:t xml:space="preserve"> exclusions and expulsions </w:t>
      </w:r>
      <w:r w:rsidR="00D71538" w:rsidRPr="00497729">
        <w:rPr>
          <w:rFonts w:ascii="Garamond" w:hAnsi="Garamond"/>
          <w:sz w:val="24"/>
          <w:szCs w:val="24"/>
        </w:rPr>
        <w:t xml:space="preserve">afflicting the marginalised ‘others’ </w:t>
      </w:r>
      <w:r w:rsidR="00AC0B05" w:rsidRPr="00A17ABF">
        <w:rPr>
          <w:rFonts w:ascii="Garamond" w:hAnsi="Garamond"/>
          <w:sz w:val="24"/>
          <w:szCs w:val="24"/>
        </w:rPr>
        <w:t xml:space="preserve">which are so </w:t>
      </w:r>
      <w:r w:rsidR="00830FE5" w:rsidRPr="00A17ABF">
        <w:rPr>
          <w:rFonts w:ascii="Garamond" w:hAnsi="Garamond"/>
          <w:sz w:val="24"/>
          <w:szCs w:val="24"/>
        </w:rPr>
        <w:t>familiar</w:t>
      </w:r>
      <w:r w:rsidR="00FE61E5" w:rsidRPr="00A17ABF">
        <w:rPr>
          <w:rFonts w:ascii="Garamond" w:hAnsi="Garamond"/>
          <w:sz w:val="24"/>
          <w:szCs w:val="24"/>
        </w:rPr>
        <w:t xml:space="preserve"> </w:t>
      </w:r>
      <w:r w:rsidRPr="00B00E70">
        <w:rPr>
          <w:rFonts w:ascii="Garamond" w:hAnsi="Garamond"/>
          <w:sz w:val="24"/>
          <w:szCs w:val="24"/>
        </w:rPr>
        <w:t>to the injustices of</w:t>
      </w:r>
      <w:r w:rsidR="00C728F9" w:rsidRPr="00B44500">
        <w:rPr>
          <w:rFonts w:ascii="Garamond" w:hAnsi="Garamond"/>
          <w:sz w:val="24"/>
          <w:szCs w:val="24"/>
        </w:rPr>
        <w:t xml:space="preserve"> </w:t>
      </w:r>
      <w:r w:rsidR="00EC3480">
        <w:rPr>
          <w:rFonts w:ascii="Garamond" w:hAnsi="Garamond"/>
          <w:sz w:val="24"/>
          <w:szCs w:val="24"/>
        </w:rPr>
        <w:t xml:space="preserve">an uneven </w:t>
      </w:r>
      <w:r w:rsidR="00497729">
        <w:rPr>
          <w:rFonts w:ascii="Garamond" w:hAnsi="Garamond"/>
          <w:sz w:val="24"/>
          <w:szCs w:val="24"/>
        </w:rPr>
        <w:t>juridical</w:t>
      </w:r>
      <w:r w:rsidR="00EC3480">
        <w:rPr>
          <w:rFonts w:ascii="Garamond" w:hAnsi="Garamond"/>
          <w:sz w:val="24"/>
          <w:szCs w:val="24"/>
        </w:rPr>
        <w:t xml:space="preserve"> order</w:t>
      </w:r>
      <w:r w:rsidR="00830FE5" w:rsidRPr="00EC3480">
        <w:rPr>
          <w:rFonts w:ascii="Garamond" w:hAnsi="Garamond"/>
          <w:sz w:val="24"/>
          <w:szCs w:val="24"/>
        </w:rPr>
        <w:t xml:space="preserve">. </w:t>
      </w:r>
      <w:r w:rsidR="00121DD0" w:rsidRPr="00EC3480">
        <w:rPr>
          <w:rFonts w:ascii="Garamond" w:hAnsi="Garamond"/>
          <w:sz w:val="24"/>
          <w:szCs w:val="24"/>
        </w:rPr>
        <w:t xml:space="preserve">Legal personhood, </w:t>
      </w:r>
      <w:r w:rsidR="00C728F9" w:rsidRPr="00EC3480">
        <w:rPr>
          <w:rFonts w:ascii="Garamond" w:hAnsi="Garamond"/>
          <w:sz w:val="24"/>
          <w:szCs w:val="24"/>
        </w:rPr>
        <w:t xml:space="preserve">in this light, </w:t>
      </w:r>
      <w:r w:rsidR="00121DD0" w:rsidRPr="00EC3480">
        <w:rPr>
          <w:rFonts w:ascii="Garamond" w:hAnsi="Garamond"/>
          <w:sz w:val="24"/>
          <w:szCs w:val="24"/>
        </w:rPr>
        <w:t>far from being a neutral technicality</w:t>
      </w:r>
      <w:r w:rsidR="00AC0B05" w:rsidRPr="00EC3480">
        <w:rPr>
          <w:rFonts w:ascii="Garamond" w:hAnsi="Garamond"/>
          <w:sz w:val="24"/>
          <w:szCs w:val="24"/>
        </w:rPr>
        <w:t>,</w:t>
      </w:r>
      <w:r w:rsidR="00121DD0" w:rsidRPr="00EC3480">
        <w:rPr>
          <w:rFonts w:ascii="Garamond" w:hAnsi="Garamond"/>
          <w:sz w:val="24"/>
          <w:szCs w:val="24"/>
        </w:rPr>
        <w:t xml:space="preserve"> is </w:t>
      </w:r>
      <w:r w:rsidR="00C728F9" w:rsidRPr="00EC3480">
        <w:rPr>
          <w:rFonts w:ascii="Garamond" w:hAnsi="Garamond"/>
          <w:sz w:val="24"/>
          <w:szCs w:val="24"/>
        </w:rPr>
        <w:t xml:space="preserve">legible as </w:t>
      </w:r>
      <w:r w:rsidR="00121DD0" w:rsidRPr="00EC3480">
        <w:rPr>
          <w:rFonts w:ascii="Garamond" w:hAnsi="Garamond"/>
          <w:sz w:val="24"/>
          <w:szCs w:val="24"/>
        </w:rPr>
        <w:t xml:space="preserve">a </w:t>
      </w:r>
      <w:r w:rsidR="00C728F9" w:rsidRPr="00EC3480">
        <w:rPr>
          <w:rFonts w:ascii="Garamond" w:hAnsi="Garamond"/>
          <w:sz w:val="24"/>
          <w:szCs w:val="24"/>
        </w:rPr>
        <w:t xml:space="preserve">legal </w:t>
      </w:r>
      <w:r w:rsidR="00121DD0" w:rsidRPr="00EC3480">
        <w:rPr>
          <w:rFonts w:ascii="Garamond" w:hAnsi="Garamond"/>
          <w:sz w:val="24"/>
          <w:szCs w:val="24"/>
        </w:rPr>
        <w:t xml:space="preserve">technique of </w:t>
      </w:r>
      <w:r w:rsidR="0044661E" w:rsidRPr="00EC3480">
        <w:rPr>
          <w:rFonts w:ascii="Garamond" w:hAnsi="Garamond"/>
          <w:sz w:val="24"/>
          <w:szCs w:val="24"/>
        </w:rPr>
        <w:t>capitalist</w:t>
      </w:r>
      <w:r w:rsidR="0044661E" w:rsidRPr="00411AE0">
        <w:rPr>
          <w:rFonts w:ascii="Garamond" w:hAnsi="Garamond"/>
          <w:sz w:val="24"/>
          <w:szCs w:val="24"/>
        </w:rPr>
        <w:t xml:space="preserve"> </w:t>
      </w:r>
      <w:r w:rsidR="00C728F9" w:rsidRPr="00411AE0">
        <w:rPr>
          <w:rFonts w:ascii="Garamond" w:hAnsi="Garamond"/>
          <w:sz w:val="24"/>
          <w:szCs w:val="24"/>
        </w:rPr>
        <w:t>power</w:t>
      </w:r>
      <w:r w:rsidR="00121DD0" w:rsidRPr="00411AE0">
        <w:rPr>
          <w:rFonts w:ascii="Garamond" w:hAnsi="Garamond"/>
          <w:sz w:val="24"/>
          <w:szCs w:val="24"/>
        </w:rPr>
        <w:t>.</w:t>
      </w:r>
    </w:p>
    <w:p w14:paraId="18991615" w14:textId="1A34B76E" w:rsidR="00BF0199" w:rsidRPr="00411AE0" w:rsidRDefault="00BF0199" w:rsidP="00CB0DFA">
      <w:pPr>
        <w:spacing w:after="0" w:line="240" w:lineRule="auto"/>
        <w:rPr>
          <w:rFonts w:ascii="Garamond" w:eastAsia="Times New Roman" w:hAnsi="Garamond" w:cs="Times New Roman"/>
          <w:color w:val="000000" w:themeColor="text1"/>
          <w:sz w:val="24"/>
          <w:szCs w:val="24"/>
          <w:lang w:eastAsia="en-GB"/>
        </w:rPr>
      </w:pPr>
    </w:p>
    <w:p w14:paraId="2DD23162" w14:textId="6A2F632B" w:rsidR="004E01F3" w:rsidRPr="00355332" w:rsidRDefault="004E01F3" w:rsidP="004E01F3">
      <w:pPr>
        <w:pStyle w:val="Normal1"/>
        <w:widowControl w:val="0"/>
        <w:spacing w:after="200" w:line="240" w:lineRule="auto"/>
        <w:rPr>
          <w:rFonts w:ascii="Garamond" w:eastAsia="Cambria" w:hAnsi="Garamond" w:cs="Cambria"/>
          <w:color w:val="000000"/>
          <w:sz w:val="24"/>
          <w:szCs w:val="24"/>
        </w:rPr>
      </w:pPr>
      <w:r w:rsidRPr="00355332">
        <w:rPr>
          <w:rFonts w:ascii="Garamond" w:eastAsia="Cambria" w:hAnsi="Garamond" w:cs="Cambria"/>
          <w:color w:val="000000"/>
          <w:sz w:val="24"/>
          <w:szCs w:val="24"/>
        </w:rPr>
        <w:t xml:space="preserve">4 JURISDICTION: PATTERNS OF IDEOLOGICAL PRIORITISATION </w:t>
      </w:r>
    </w:p>
    <w:p w14:paraId="2060B6FE" w14:textId="6865B87C" w:rsidR="004E01F3" w:rsidRDefault="004E01F3" w:rsidP="0096516F">
      <w:pPr>
        <w:widowControl w:val="0"/>
        <w:autoSpaceDE w:val="0"/>
        <w:autoSpaceDN w:val="0"/>
        <w:adjustRightInd w:val="0"/>
        <w:spacing w:after="0" w:line="240" w:lineRule="auto"/>
        <w:rPr>
          <w:rFonts w:ascii="Garamond" w:eastAsia="Cambria" w:hAnsi="Garamond" w:cs="Cambria"/>
          <w:sz w:val="24"/>
          <w:szCs w:val="24"/>
        </w:rPr>
      </w:pPr>
      <w:r w:rsidRPr="00411AE0">
        <w:rPr>
          <w:rFonts w:ascii="Garamond" w:eastAsia="Cambria" w:hAnsi="Garamond" w:cs="Cambria"/>
          <w:color w:val="000000"/>
          <w:sz w:val="24"/>
          <w:szCs w:val="24"/>
        </w:rPr>
        <w:t>In this section</w:t>
      </w:r>
      <w:r w:rsidR="00983EC7" w:rsidRPr="00411AE0">
        <w:rPr>
          <w:rFonts w:ascii="Garamond" w:eastAsia="Cambria" w:hAnsi="Garamond" w:cs="Cambria"/>
          <w:color w:val="000000"/>
          <w:sz w:val="24"/>
          <w:szCs w:val="24"/>
        </w:rPr>
        <w:t>,</w:t>
      </w:r>
      <w:r w:rsidRPr="00411AE0">
        <w:rPr>
          <w:rFonts w:ascii="Garamond" w:eastAsia="Cambria" w:hAnsi="Garamond" w:cs="Cambria"/>
          <w:color w:val="000000"/>
          <w:sz w:val="24"/>
          <w:szCs w:val="24"/>
        </w:rPr>
        <w:t xml:space="preserve"> our attention turns to the operation of jurisdiction as a</w:t>
      </w:r>
      <w:r w:rsidR="003F07F9" w:rsidRPr="00411AE0">
        <w:rPr>
          <w:rFonts w:ascii="Garamond" w:eastAsia="Cambria" w:hAnsi="Garamond" w:cs="Cambria"/>
          <w:color w:val="000000"/>
          <w:sz w:val="24"/>
          <w:szCs w:val="24"/>
        </w:rPr>
        <w:t>nother</w:t>
      </w:r>
      <w:r w:rsidRPr="00411AE0">
        <w:rPr>
          <w:rFonts w:ascii="Garamond" w:eastAsia="Cambria" w:hAnsi="Garamond" w:cs="Cambria"/>
          <w:color w:val="000000"/>
          <w:sz w:val="24"/>
          <w:szCs w:val="24"/>
        </w:rPr>
        <w:t xml:space="preserve"> legal</w:t>
      </w:r>
      <w:r w:rsidR="00B1650C">
        <w:rPr>
          <w:rFonts w:ascii="Garamond" w:eastAsia="Cambria" w:hAnsi="Garamond" w:cs="Cambria"/>
          <w:color w:val="000000"/>
          <w:sz w:val="24"/>
          <w:szCs w:val="24"/>
        </w:rPr>
        <w:t xml:space="preserve"> construct, a </w:t>
      </w:r>
      <w:r w:rsidR="00E14753">
        <w:rPr>
          <w:rFonts w:ascii="Garamond" w:eastAsia="Cambria" w:hAnsi="Garamond" w:cs="Cambria"/>
          <w:color w:val="000000"/>
          <w:sz w:val="24"/>
          <w:szCs w:val="24"/>
        </w:rPr>
        <w:t>‘</w:t>
      </w:r>
      <w:r w:rsidRPr="00411AE0">
        <w:rPr>
          <w:rFonts w:ascii="Garamond" w:eastAsia="Cambria" w:hAnsi="Garamond" w:cs="Cambria"/>
          <w:color w:val="000000"/>
          <w:sz w:val="24"/>
          <w:szCs w:val="24"/>
        </w:rPr>
        <w:t>gate</w:t>
      </w:r>
      <w:r w:rsidR="00E14753">
        <w:rPr>
          <w:rFonts w:ascii="Garamond" w:eastAsia="Cambria" w:hAnsi="Garamond" w:cs="Cambria"/>
          <w:color w:val="000000"/>
          <w:sz w:val="24"/>
          <w:szCs w:val="24"/>
        </w:rPr>
        <w:t>’</w:t>
      </w:r>
      <w:r w:rsidRPr="00411AE0">
        <w:rPr>
          <w:rFonts w:ascii="Garamond" w:eastAsia="Cambria" w:hAnsi="Garamond" w:cs="Cambria"/>
          <w:color w:val="000000"/>
          <w:sz w:val="24"/>
          <w:szCs w:val="24"/>
        </w:rPr>
        <w:t xml:space="preserve"> through which law’s privilege(s) is</w:t>
      </w:r>
      <w:r w:rsidR="00A46642">
        <w:rPr>
          <w:rFonts w:ascii="Garamond" w:eastAsia="Cambria" w:hAnsi="Garamond" w:cs="Cambria"/>
          <w:color w:val="000000"/>
          <w:sz w:val="24"/>
          <w:szCs w:val="24"/>
        </w:rPr>
        <w:t>/are</w:t>
      </w:r>
      <w:r w:rsidRPr="00411AE0">
        <w:rPr>
          <w:rFonts w:ascii="Garamond" w:eastAsia="Cambria" w:hAnsi="Garamond" w:cs="Cambria"/>
          <w:color w:val="000000"/>
          <w:sz w:val="24"/>
          <w:szCs w:val="24"/>
        </w:rPr>
        <w:t xml:space="preserve"> operationalised or denied</w:t>
      </w:r>
      <w:r w:rsidR="00D53F02">
        <w:rPr>
          <w:rFonts w:ascii="Garamond" w:eastAsia="Cambria" w:hAnsi="Garamond" w:cs="Cambria"/>
          <w:color w:val="000000"/>
          <w:sz w:val="24"/>
          <w:szCs w:val="24"/>
        </w:rPr>
        <w:t xml:space="preserve"> </w:t>
      </w:r>
      <w:r w:rsidR="00034147">
        <w:rPr>
          <w:rFonts w:ascii="Garamond" w:eastAsia="Cambria" w:hAnsi="Garamond" w:cs="Cambria"/>
          <w:color w:val="000000"/>
          <w:sz w:val="24"/>
          <w:szCs w:val="24"/>
        </w:rPr>
        <w:t>in complex interaction with the privileges and exclusions</w:t>
      </w:r>
      <w:r w:rsidR="007700FB">
        <w:rPr>
          <w:rFonts w:ascii="Garamond" w:eastAsia="Cambria" w:hAnsi="Garamond" w:cs="Cambria"/>
          <w:color w:val="000000"/>
          <w:sz w:val="24"/>
          <w:szCs w:val="24"/>
        </w:rPr>
        <w:t xml:space="preserve"> created by</w:t>
      </w:r>
      <w:r w:rsidR="000D0657">
        <w:rPr>
          <w:rFonts w:ascii="Garamond" w:eastAsia="Cambria" w:hAnsi="Garamond" w:cs="Cambria"/>
          <w:color w:val="000000"/>
          <w:sz w:val="24"/>
          <w:szCs w:val="24"/>
        </w:rPr>
        <w:t xml:space="preserve"> legal personhood</w:t>
      </w:r>
      <w:r w:rsidRPr="00411AE0">
        <w:rPr>
          <w:rFonts w:ascii="Garamond" w:eastAsia="Cambria" w:hAnsi="Garamond" w:cs="Cambria"/>
          <w:color w:val="000000"/>
          <w:sz w:val="24"/>
          <w:szCs w:val="24"/>
        </w:rPr>
        <w:t xml:space="preserve">. </w:t>
      </w:r>
      <w:r w:rsidR="00E75354" w:rsidRPr="00411AE0">
        <w:rPr>
          <w:rFonts w:ascii="Garamond" w:eastAsia="Cambria" w:hAnsi="Garamond" w:cs="Cambria"/>
          <w:color w:val="000000"/>
          <w:sz w:val="24"/>
          <w:szCs w:val="24"/>
        </w:rPr>
        <w:br/>
        <w:t xml:space="preserve"> </w:t>
      </w:r>
      <w:r w:rsidR="00E75354" w:rsidRPr="00411AE0">
        <w:rPr>
          <w:rFonts w:ascii="Garamond" w:eastAsia="Cambria" w:hAnsi="Garamond" w:cs="Cambria"/>
          <w:color w:val="000000"/>
          <w:sz w:val="24"/>
          <w:szCs w:val="24"/>
        </w:rPr>
        <w:tab/>
      </w:r>
      <w:r w:rsidR="007700FB">
        <w:rPr>
          <w:rFonts w:ascii="Garamond" w:eastAsia="Cambria" w:hAnsi="Garamond" w:cs="Cambria"/>
          <w:color w:val="000000"/>
          <w:sz w:val="24"/>
          <w:szCs w:val="24"/>
        </w:rPr>
        <w:t xml:space="preserve">Our engagement with jurisdiction and jurisdictional technique is </w:t>
      </w:r>
      <w:r w:rsidR="00901393">
        <w:rPr>
          <w:rFonts w:ascii="Garamond" w:eastAsia="Cambria" w:hAnsi="Garamond" w:cs="Cambria"/>
          <w:color w:val="000000"/>
          <w:sz w:val="24"/>
          <w:szCs w:val="24"/>
        </w:rPr>
        <w:t xml:space="preserve">predominantly </w:t>
      </w:r>
      <w:r w:rsidR="007700FB">
        <w:rPr>
          <w:rFonts w:ascii="Garamond" w:eastAsia="Cambria" w:hAnsi="Garamond" w:cs="Cambria"/>
          <w:color w:val="000000"/>
          <w:sz w:val="24"/>
          <w:szCs w:val="24"/>
        </w:rPr>
        <w:t xml:space="preserve">theoretical </w:t>
      </w:r>
      <w:r w:rsidR="007700FB">
        <w:rPr>
          <w:rFonts w:ascii="Garamond" w:eastAsia="Cambria" w:hAnsi="Garamond" w:cs="Cambria"/>
          <w:sz w:val="24"/>
          <w:szCs w:val="24"/>
        </w:rPr>
        <w:t>as we</w:t>
      </w:r>
      <w:r w:rsidR="007700FB" w:rsidRPr="00411AE0">
        <w:rPr>
          <w:rFonts w:ascii="Garamond" w:eastAsia="Cambria" w:hAnsi="Garamond" w:cs="Cambria"/>
          <w:sz w:val="24"/>
          <w:szCs w:val="24"/>
        </w:rPr>
        <w:t xml:space="preserve"> aim to discern key patterns of law’s construction of authority and control, selectively, over subjects and spatial realms</w:t>
      </w:r>
      <w:r w:rsidR="007700FB">
        <w:rPr>
          <w:rFonts w:ascii="Garamond" w:eastAsia="Cambria" w:hAnsi="Garamond" w:cs="Cambria"/>
          <w:sz w:val="24"/>
          <w:szCs w:val="24"/>
        </w:rPr>
        <w:t>.</w:t>
      </w:r>
      <w:r w:rsidR="007700FB" w:rsidRPr="00411AE0">
        <w:rPr>
          <w:rFonts w:ascii="Garamond" w:eastAsia="Cambria" w:hAnsi="Garamond" w:cs="Cambria"/>
          <w:sz w:val="24"/>
          <w:szCs w:val="24"/>
          <w:vertAlign w:val="superscript"/>
        </w:rPr>
        <w:footnoteReference w:id="159"/>
      </w:r>
      <w:r w:rsidR="007700FB" w:rsidRPr="00411AE0">
        <w:rPr>
          <w:rFonts w:ascii="Garamond" w:eastAsia="Cambria" w:hAnsi="Garamond" w:cs="Cambria"/>
          <w:sz w:val="24"/>
          <w:szCs w:val="24"/>
        </w:rPr>
        <w:t xml:space="preserve"> </w:t>
      </w:r>
      <w:r w:rsidR="007700FB">
        <w:rPr>
          <w:rFonts w:ascii="Garamond" w:eastAsia="Cambria" w:hAnsi="Garamond" w:cs="Cambria"/>
          <w:sz w:val="24"/>
          <w:szCs w:val="24"/>
        </w:rPr>
        <w:t xml:space="preserve">Our interest lies </w:t>
      </w:r>
      <w:r w:rsidR="00901393">
        <w:rPr>
          <w:rFonts w:ascii="Garamond" w:eastAsia="Cambria" w:hAnsi="Garamond" w:cs="Cambria"/>
          <w:sz w:val="24"/>
          <w:szCs w:val="24"/>
        </w:rPr>
        <w:t>i</w:t>
      </w:r>
      <w:r w:rsidR="007700FB">
        <w:rPr>
          <w:rFonts w:ascii="Garamond" w:eastAsia="Cambria" w:hAnsi="Garamond" w:cs="Cambria"/>
          <w:sz w:val="24"/>
          <w:szCs w:val="24"/>
        </w:rPr>
        <w:t xml:space="preserve">n </w:t>
      </w:r>
      <w:r w:rsidR="007137A2">
        <w:rPr>
          <w:rFonts w:ascii="Garamond" w:eastAsia="Cambria" w:hAnsi="Garamond" w:cs="Cambria"/>
          <w:sz w:val="24"/>
          <w:szCs w:val="24"/>
        </w:rPr>
        <w:t xml:space="preserve">exposing </w:t>
      </w:r>
      <w:r w:rsidR="007700FB">
        <w:rPr>
          <w:rFonts w:ascii="Garamond" w:eastAsia="Cambria" w:hAnsi="Garamond" w:cs="Cambria"/>
          <w:sz w:val="24"/>
          <w:szCs w:val="24"/>
        </w:rPr>
        <w:t>links between</w:t>
      </w:r>
      <w:r w:rsidR="007700FB" w:rsidRPr="00411AE0">
        <w:rPr>
          <w:rFonts w:ascii="Garamond" w:eastAsia="Cambria" w:hAnsi="Garamond" w:cs="Cambria"/>
          <w:sz w:val="24"/>
          <w:szCs w:val="24"/>
        </w:rPr>
        <w:t xml:space="preserve"> </w:t>
      </w:r>
      <w:r w:rsidR="007700FB">
        <w:rPr>
          <w:rFonts w:ascii="Garamond" w:eastAsia="Cambria" w:hAnsi="Garamond" w:cs="Cambria"/>
          <w:sz w:val="24"/>
          <w:szCs w:val="24"/>
        </w:rPr>
        <w:t xml:space="preserve">patterns in the construction, delimitation and exercise of authority. </w:t>
      </w:r>
      <w:r w:rsidR="007700FB">
        <w:rPr>
          <w:rFonts w:ascii="Garamond" w:eastAsia="Cambria" w:hAnsi="Garamond" w:cs="Cambria"/>
          <w:color w:val="000000"/>
          <w:sz w:val="24"/>
          <w:szCs w:val="24"/>
        </w:rPr>
        <w:t xml:space="preserve"> </w:t>
      </w:r>
      <w:r w:rsidR="00E75354" w:rsidRPr="00411AE0">
        <w:rPr>
          <w:rFonts w:ascii="Garamond" w:eastAsia="Cambria" w:hAnsi="Garamond" w:cs="Cambria"/>
          <w:color w:val="000000"/>
          <w:sz w:val="24"/>
          <w:szCs w:val="24"/>
        </w:rPr>
        <w:t>We are</w:t>
      </w:r>
      <w:r w:rsidR="00A07361">
        <w:rPr>
          <w:rFonts w:ascii="Garamond" w:eastAsia="Cambria" w:hAnsi="Garamond" w:cs="Cambria"/>
          <w:color w:val="000000"/>
          <w:sz w:val="24"/>
          <w:szCs w:val="24"/>
        </w:rPr>
        <w:t xml:space="preserve"> </w:t>
      </w:r>
      <w:r w:rsidR="00E75354" w:rsidRPr="00411AE0">
        <w:rPr>
          <w:rFonts w:ascii="Garamond" w:eastAsia="Cambria" w:hAnsi="Garamond" w:cs="Cambria"/>
          <w:color w:val="000000"/>
          <w:sz w:val="24"/>
          <w:szCs w:val="24"/>
        </w:rPr>
        <w:t xml:space="preserve">not here concerned with </w:t>
      </w:r>
      <w:r w:rsidRPr="00411AE0">
        <w:rPr>
          <w:rFonts w:ascii="Garamond" w:eastAsia="Cambria" w:hAnsi="Garamond" w:cs="Cambria"/>
          <w:sz w:val="24"/>
          <w:szCs w:val="24"/>
        </w:rPr>
        <w:t xml:space="preserve">taxonomic listings associated with </w:t>
      </w:r>
      <w:r w:rsidR="00901393">
        <w:rPr>
          <w:rFonts w:ascii="Garamond" w:eastAsia="Cambria" w:hAnsi="Garamond" w:cs="Cambria"/>
          <w:sz w:val="24"/>
          <w:szCs w:val="24"/>
        </w:rPr>
        <w:t xml:space="preserve">doctrinal </w:t>
      </w:r>
      <w:r w:rsidRPr="00411AE0">
        <w:rPr>
          <w:rFonts w:ascii="Garamond" w:eastAsia="Cambria" w:hAnsi="Garamond" w:cs="Cambria"/>
          <w:sz w:val="24"/>
          <w:szCs w:val="24"/>
        </w:rPr>
        <w:t>studies of jurisdiction</w:t>
      </w:r>
      <w:r w:rsidR="006B5DFB">
        <w:rPr>
          <w:rFonts w:ascii="Garamond" w:eastAsia="Cambria" w:hAnsi="Garamond" w:cs="Cambria"/>
          <w:sz w:val="24"/>
          <w:szCs w:val="24"/>
        </w:rPr>
        <w:t>,</w:t>
      </w:r>
      <w:r w:rsidRPr="00411AE0">
        <w:rPr>
          <w:rFonts w:ascii="Garamond" w:eastAsia="Cambria" w:hAnsi="Garamond" w:cs="Cambria"/>
          <w:sz w:val="24"/>
          <w:szCs w:val="24"/>
          <w:vertAlign w:val="superscript"/>
        </w:rPr>
        <w:footnoteReference w:id="160"/>
      </w:r>
      <w:r w:rsidRPr="00411AE0">
        <w:rPr>
          <w:rFonts w:ascii="Garamond" w:eastAsia="Cambria" w:hAnsi="Garamond" w:cs="Cambria"/>
          <w:sz w:val="24"/>
          <w:szCs w:val="24"/>
        </w:rPr>
        <w:t xml:space="preserve"> but </w:t>
      </w:r>
      <w:r w:rsidR="00E75354" w:rsidRPr="00411AE0">
        <w:rPr>
          <w:rFonts w:ascii="Garamond" w:eastAsia="Cambria" w:hAnsi="Garamond" w:cs="Cambria"/>
          <w:sz w:val="24"/>
          <w:szCs w:val="24"/>
        </w:rPr>
        <w:t xml:space="preserve">with </w:t>
      </w:r>
      <w:r w:rsidR="00F453A9">
        <w:rPr>
          <w:rFonts w:ascii="Garamond" w:eastAsia="Cambria" w:hAnsi="Garamond" w:cs="Cambria"/>
          <w:sz w:val="24"/>
          <w:szCs w:val="24"/>
        </w:rPr>
        <w:t xml:space="preserve">the </w:t>
      </w:r>
      <w:r w:rsidRPr="00411AE0">
        <w:rPr>
          <w:rFonts w:ascii="Garamond" w:eastAsia="Cambria" w:hAnsi="Garamond" w:cs="Cambria"/>
          <w:sz w:val="24"/>
          <w:szCs w:val="24"/>
        </w:rPr>
        <w:t>structur</w:t>
      </w:r>
      <w:r w:rsidR="00983EC7" w:rsidRPr="00411AE0">
        <w:rPr>
          <w:rFonts w:ascii="Garamond" w:eastAsia="Cambria" w:hAnsi="Garamond" w:cs="Cambria"/>
          <w:sz w:val="24"/>
          <w:szCs w:val="24"/>
        </w:rPr>
        <w:t>al technologies</w:t>
      </w:r>
      <w:r w:rsidRPr="00411AE0">
        <w:rPr>
          <w:rFonts w:ascii="Garamond" w:eastAsia="Cambria" w:hAnsi="Garamond" w:cs="Cambria"/>
          <w:sz w:val="24"/>
          <w:szCs w:val="24"/>
        </w:rPr>
        <w:t xml:space="preserve"> and metaphysics of jurisdict</w:t>
      </w:r>
      <w:r w:rsidR="00DD499C">
        <w:rPr>
          <w:rFonts w:ascii="Garamond" w:eastAsia="Cambria" w:hAnsi="Garamond" w:cs="Cambria"/>
          <w:sz w:val="24"/>
          <w:szCs w:val="24"/>
        </w:rPr>
        <w:t xml:space="preserve">ion that </w:t>
      </w:r>
      <w:r w:rsidR="00DD499C" w:rsidRPr="00A40E54">
        <w:rPr>
          <w:rFonts w:ascii="Garamond" w:eastAsia="Cambria" w:hAnsi="Garamond" w:cs="Cambria"/>
          <w:sz w:val="24"/>
          <w:szCs w:val="24"/>
        </w:rPr>
        <w:t xml:space="preserve">in </w:t>
      </w:r>
      <w:r w:rsidR="00DD499C" w:rsidRPr="00616365">
        <w:rPr>
          <w:rFonts w:ascii="Garamond" w:eastAsia="Cambria" w:hAnsi="Garamond" w:cs="Cambria"/>
          <w:sz w:val="24"/>
          <w:szCs w:val="24"/>
        </w:rPr>
        <w:t>McVeigh’s words</w:t>
      </w:r>
      <w:r w:rsidR="008701E0" w:rsidRPr="00616365">
        <w:rPr>
          <w:rFonts w:ascii="Garamond" w:eastAsia="Cambria" w:hAnsi="Garamond" w:cs="Cambria"/>
          <w:sz w:val="24"/>
          <w:szCs w:val="24"/>
        </w:rPr>
        <w:t xml:space="preserve"> </w:t>
      </w:r>
      <w:r w:rsidR="00DD499C" w:rsidRPr="00616365">
        <w:rPr>
          <w:rFonts w:ascii="Garamond" w:eastAsia="Cambria" w:hAnsi="Garamond" w:cs="Cambria"/>
          <w:sz w:val="24"/>
          <w:szCs w:val="24"/>
        </w:rPr>
        <w:t>‘articulate both the potentiality of law and the c</w:t>
      </w:r>
      <w:r w:rsidR="00901393" w:rsidRPr="00616365">
        <w:rPr>
          <w:rFonts w:ascii="Garamond" w:eastAsia="Cambria" w:hAnsi="Garamond" w:cs="Cambria"/>
          <w:sz w:val="24"/>
          <w:szCs w:val="24"/>
        </w:rPr>
        <w:t>o</w:t>
      </w:r>
      <w:r w:rsidR="00DD499C" w:rsidRPr="00616365">
        <w:rPr>
          <w:rFonts w:ascii="Garamond" w:eastAsia="Cambria" w:hAnsi="Garamond" w:cs="Cambria"/>
          <w:sz w:val="24"/>
          <w:szCs w:val="24"/>
        </w:rPr>
        <w:t>nditions of its ex</w:t>
      </w:r>
      <w:r w:rsidR="0052498A" w:rsidRPr="00616365">
        <w:rPr>
          <w:rFonts w:ascii="Garamond" w:eastAsia="Cambria" w:hAnsi="Garamond" w:cs="Cambria"/>
          <w:sz w:val="24"/>
          <w:szCs w:val="24"/>
        </w:rPr>
        <w:t>ercis</w:t>
      </w:r>
      <w:r w:rsidR="00DD499C" w:rsidRPr="00616365">
        <w:rPr>
          <w:rFonts w:ascii="Garamond" w:eastAsia="Cambria" w:hAnsi="Garamond" w:cs="Cambria"/>
          <w:sz w:val="24"/>
          <w:szCs w:val="24"/>
        </w:rPr>
        <w:t>e’</w:t>
      </w:r>
      <w:r w:rsidR="00901393" w:rsidRPr="00616365">
        <w:rPr>
          <w:rFonts w:ascii="Garamond" w:eastAsia="Cambria" w:hAnsi="Garamond" w:cs="Cambria"/>
          <w:sz w:val="24"/>
          <w:szCs w:val="24"/>
        </w:rPr>
        <w:t>.</w:t>
      </w:r>
      <w:r w:rsidR="00DD499C" w:rsidRPr="00616365">
        <w:rPr>
          <w:rStyle w:val="FootnoteReference"/>
          <w:rFonts w:ascii="Garamond" w:eastAsia="Cambria" w:hAnsi="Garamond" w:cs="Cambria"/>
          <w:sz w:val="24"/>
          <w:szCs w:val="24"/>
        </w:rPr>
        <w:footnoteReference w:id="161"/>
      </w:r>
      <w:r w:rsidR="008701E0" w:rsidRPr="00616365">
        <w:rPr>
          <w:rFonts w:ascii="Garamond" w:eastAsia="Cambria" w:hAnsi="Garamond" w:cs="Cambria"/>
          <w:sz w:val="24"/>
          <w:szCs w:val="24"/>
        </w:rPr>
        <w:t xml:space="preserve"> </w:t>
      </w:r>
    </w:p>
    <w:p w14:paraId="5D1CC0A2" w14:textId="77777777" w:rsidR="00B46744" w:rsidRPr="00411AE0" w:rsidRDefault="00B46744" w:rsidP="0096516F">
      <w:pPr>
        <w:widowControl w:val="0"/>
        <w:autoSpaceDE w:val="0"/>
        <w:autoSpaceDN w:val="0"/>
        <w:adjustRightInd w:val="0"/>
        <w:spacing w:after="0" w:line="240" w:lineRule="auto"/>
      </w:pPr>
    </w:p>
    <w:p w14:paraId="3958EF29" w14:textId="297B9ED1" w:rsidR="004E01F3" w:rsidRPr="00CD3B35" w:rsidRDefault="004E01F3" w:rsidP="004E01F3">
      <w:pPr>
        <w:pStyle w:val="Normal1"/>
        <w:spacing w:after="0" w:line="240" w:lineRule="auto"/>
        <w:rPr>
          <w:rFonts w:ascii="Garamond" w:eastAsia="Cambria" w:hAnsi="Garamond" w:cs="Cambria"/>
          <w:b/>
          <w:color w:val="000000"/>
          <w:sz w:val="24"/>
          <w:szCs w:val="24"/>
        </w:rPr>
      </w:pPr>
      <w:r w:rsidRPr="00CD3B35">
        <w:rPr>
          <w:rFonts w:ascii="Garamond" w:eastAsia="Cambria" w:hAnsi="Garamond" w:cs="Cambria"/>
          <w:b/>
          <w:color w:val="000000"/>
          <w:sz w:val="24"/>
          <w:szCs w:val="24"/>
        </w:rPr>
        <w:t>4a Jurisdiction: Inaugurating law, shaping authority</w:t>
      </w:r>
    </w:p>
    <w:p w14:paraId="23DBDD46" w14:textId="3B144DB7" w:rsidR="004E01F3" w:rsidRPr="00411AE0" w:rsidRDefault="004E01F3" w:rsidP="006B2F32">
      <w:pPr>
        <w:pStyle w:val="Normal1"/>
        <w:spacing w:after="200" w:line="240" w:lineRule="auto"/>
        <w:rPr>
          <w:rFonts w:ascii="Garamond" w:eastAsia="Cambria" w:hAnsi="Garamond" w:cs="Cambria"/>
          <w:sz w:val="24"/>
          <w:szCs w:val="24"/>
        </w:rPr>
      </w:pPr>
      <w:r w:rsidRPr="00411AE0">
        <w:rPr>
          <w:rFonts w:ascii="Garamond" w:eastAsia="Cambria" w:hAnsi="Garamond" w:cs="Cambria"/>
          <w:sz w:val="24"/>
          <w:szCs w:val="24"/>
        </w:rPr>
        <w:lastRenderedPageBreak/>
        <w:t xml:space="preserve">We begin our discussion </w:t>
      </w:r>
      <w:r w:rsidR="008C3681" w:rsidRPr="00411AE0">
        <w:rPr>
          <w:rFonts w:ascii="Garamond" w:eastAsia="Cambria" w:hAnsi="Garamond" w:cs="Cambria"/>
          <w:sz w:val="24"/>
          <w:szCs w:val="24"/>
        </w:rPr>
        <w:t xml:space="preserve">of jurisdiction </w:t>
      </w:r>
      <w:r w:rsidRPr="00411AE0">
        <w:rPr>
          <w:rFonts w:ascii="Garamond" w:eastAsia="Cambria" w:hAnsi="Garamond" w:cs="Cambria"/>
          <w:sz w:val="24"/>
          <w:szCs w:val="24"/>
        </w:rPr>
        <w:t xml:space="preserve">by </w:t>
      </w:r>
      <w:r w:rsidR="008C3681" w:rsidRPr="00411AE0">
        <w:rPr>
          <w:rFonts w:ascii="Garamond" w:eastAsia="Cambria" w:hAnsi="Garamond" w:cs="Cambria"/>
          <w:sz w:val="24"/>
          <w:szCs w:val="24"/>
        </w:rPr>
        <w:t xml:space="preserve">positioning it </w:t>
      </w:r>
      <w:r w:rsidRPr="00411AE0">
        <w:rPr>
          <w:rFonts w:ascii="Garamond" w:eastAsia="Cambria" w:hAnsi="Garamond" w:cs="Cambria"/>
          <w:sz w:val="24"/>
          <w:szCs w:val="24"/>
        </w:rPr>
        <w:t xml:space="preserve">as a </w:t>
      </w:r>
      <w:r w:rsidR="00CD3B35">
        <w:rPr>
          <w:rFonts w:ascii="Garamond" w:eastAsia="Cambria" w:hAnsi="Garamond" w:cs="Cambria"/>
          <w:sz w:val="24"/>
          <w:szCs w:val="24"/>
        </w:rPr>
        <w:t>construct</w:t>
      </w:r>
      <w:r w:rsidR="00CD3B35"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that </w:t>
      </w:r>
      <w:r w:rsidR="008C3681" w:rsidRPr="00411AE0">
        <w:rPr>
          <w:rFonts w:ascii="Garamond" w:eastAsia="Cambria" w:hAnsi="Garamond" w:cs="Cambria"/>
          <w:sz w:val="24"/>
          <w:szCs w:val="24"/>
        </w:rPr>
        <w:t xml:space="preserve">purports to </w:t>
      </w:r>
      <w:r w:rsidRPr="00411AE0">
        <w:rPr>
          <w:rFonts w:ascii="Garamond" w:eastAsia="Cambria" w:hAnsi="Garamond" w:cs="Cambria"/>
          <w:sz w:val="24"/>
          <w:szCs w:val="24"/>
        </w:rPr>
        <w:t>inaugurate law and bring it into existence.</w:t>
      </w:r>
      <w:r w:rsidRPr="00411AE0">
        <w:rPr>
          <w:rFonts w:ascii="Garamond" w:eastAsia="Cambria" w:hAnsi="Garamond" w:cs="Cambria"/>
          <w:sz w:val="24"/>
          <w:szCs w:val="24"/>
          <w:vertAlign w:val="superscript"/>
        </w:rPr>
        <w:footnoteReference w:id="162"/>
      </w:r>
      <w:r w:rsidRPr="00411AE0">
        <w:rPr>
          <w:rFonts w:ascii="Garamond" w:eastAsia="Cambria" w:hAnsi="Garamond" w:cs="Cambria"/>
          <w:sz w:val="24"/>
          <w:szCs w:val="24"/>
        </w:rPr>
        <w:t xml:space="preserve"> Jurisdiction</w:t>
      </w:r>
      <w:r w:rsidR="008C3681" w:rsidRPr="00411AE0">
        <w:rPr>
          <w:rFonts w:ascii="Garamond" w:eastAsia="Cambria" w:hAnsi="Garamond" w:cs="Cambria"/>
          <w:sz w:val="24"/>
          <w:szCs w:val="24"/>
        </w:rPr>
        <w:t>, conceived of</w:t>
      </w:r>
      <w:r w:rsidRPr="00411AE0">
        <w:rPr>
          <w:rFonts w:ascii="Garamond" w:eastAsia="Cambria" w:hAnsi="Garamond" w:cs="Cambria"/>
          <w:sz w:val="24"/>
          <w:szCs w:val="24"/>
        </w:rPr>
        <w:t xml:space="preserve"> as the power ‘to speak the law’</w:t>
      </w:r>
      <w:r w:rsidR="006013D3" w:rsidRPr="00411AE0">
        <w:rPr>
          <w:rFonts w:ascii="Garamond" w:eastAsia="Cambria" w:hAnsi="Garamond" w:cs="Cambria"/>
          <w:sz w:val="24"/>
          <w:szCs w:val="24"/>
        </w:rPr>
        <w:t>,</w:t>
      </w:r>
      <w:r w:rsidRPr="00411AE0">
        <w:rPr>
          <w:rFonts w:ascii="Garamond" w:eastAsia="Cambria" w:hAnsi="Garamond" w:cs="Cambria"/>
          <w:sz w:val="24"/>
          <w:szCs w:val="24"/>
          <w:vertAlign w:val="superscript"/>
        </w:rPr>
        <w:footnoteReference w:id="163"/>
      </w:r>
      <w:r w:rsidRPr="00411AE0">
        <w:rPr>
          <w:rFonts w:ascii="Garamond" w:eastAsia="Cambria" w:hAnsi="Garamond" w:cs="Cambria"/>
          <w:sz w:val="24"/>
          <w:szCs w:val="24"/>
        </w:rPr>
        <w:t xml:space="preserve"> </w:t>
      </w:r>
      <w:r w:rsidR="008C3681" w:rsidRPr="00411AE0">
        <w:rPr>
          <w:rFonts w:ascii="Garamond" w:eastAsia="Cambria" w:hAnsi="Garamond" w:cs="Cambria"/>
          <w:sz w:val="24"/>
          <w:szCs w:val="24"/>
        </w:rPr>
        <w:t xml:space="preserve">is thought to </w:t>
      </w:r>
      <w:r w:rsidR="0062489C" w:rsidRPr="00411AE0">
        <w:rPr>
          <w:rFonts w:ascii="Garamond" w:eastAsia="Cambria" w:hAnsi="Garamond" w:cs="Cambria"/>
          <w:sz w:val="24"/>
          <w:szCs w:val="24"/>
        </w:rPr>
        <w:t xml:space="preserve">produce and </w:t>
      </w:r>
      <w:r w:rsidRPr="00411AE0">
        <w:rPr>
          <w:rFonts w:ascii="Garamond" w:eastAsia="Cambria" w:hAnsi="Garamond" w:cs="Cambria"/>
          <w:sz w:val="24"/>
          <w:szCs w:val="24"/>
        </w:rPr>
        <w:t xml:space="preserve">define law’s boundaries and subjects and </w:t>
      </w:r>
      <w:r w:rsidR="008C3681" w:rsidRPr="00411AE0">
        <w:rPr>
          <w:rFonts w:ascii="Garamond" w:eastAsia="Cambria" w:hAnsi="Garamond" w:cs="Cambria"/>
          <w:sz w:val="24"/>
          <w:szCs w:val="24"/>
        </w:rPr>
        <w:t xml:space="preserve">to </w:t>
      </w:r>
      <w:r w:rsidRPr="00411AE0">
        <w:rPr>
          <w:rFonts w:ascii="Garamond" w:eastAsia="Cambria" w:hAnsi="Garamond" w:cs="Cambria"/>
          <w:sz w:val="24"/>
          <w:szCs w:val="24"/>
        </w:rPr>
        <w:t xml:space="preserve">determine the way in which the </w:t>
      </w:r>
      <w:r w:rsidR="00F17E18" w:rsidRPr="00411AE0">
        <w:rPr>
          <w:rFonts w:ascii="Garamond" w:eastAsia="Cambria" w:hAnsi="Garamond" w:cs="Cambria"/>
          <w:sz w:val="24"/>
          <w:szCs w:val="24"/>
        </w:rPr>
        <w:t xml:space="preserve">sovereign </w:t>
      </w:r>
      <w:r w:rsidRPr="00411AE0">
        <w:rPr>
          <w:rFonts w:ascii="Garamond" w:eastAsia="Cambria" w:hAnsi="Garamond" w:cs="Cambria"/>
          <w:sz w:val="24"/>
          <w:szCs w:val="24"/>
        </w:rPr>
        <w:t>state’s legal authority is ordered.</w:t>
      </w:r>
      <w:r w:rsidRPr="00411AE0">
        <w:rPr>
          <w:rFonts w:ascii="Garamond" w:eastAsia="Cambria" w:hAnsi="Garamond" w:cs="Cambria"/>
          <w:sz w:val="24"/>
          <w:szCs w:val="24"/>
          <w:vertAlign w:val="superscript"/>
        </w:rPr>
        <w:footnoteReference w:id="164"/>
      </w:r>
      <w:r w:rsidR="006043C0" w:rsidRPr="00411AE0">
        <w:rPr>
          <w:rFonts w:ascii="Garamond" w:eastAsia="Cambria" w:hAnsi="Garamond" w:cs="Cambria"/>
          <w:sz w:val="24"/>
          <w:szCs w:val="24"/>
        </w:rPr>
        <w:t xml:space="preserve"> </w:t>
      </w:r>
      <w:r w:rsidR="00C11EFF" w:rsidRPr="00411AE0">
        <w:rPr>
          <w:rFonts w:ascii="Garamond" w:eastAsia="Cambria" w:hAnsi="Garamond" w:cs="Cambria"/>
          <w:sz w:val="24"/>
          <w:szCs w:val="24"/>
        </w:rPr>
        <w:t>In most cases</w:t>
      </w:r>
      <w:r w:rsidR="0062489C" w:rsidRPr="00411AE0">
        <w:rPr>
          <w:rFonts w:ascii="Garamond" w:eastAsia="Cambria" w:hAnsi="Garamond" w:cs="Cambria"/>
          <w:sz w:val="24"/>
          <w:szCs w:val="24"/>
        </w:rPr>
        <w:t>, p</w:t>
      </w:r>
      <w:r w:rsidRPr="00411AE0">
        <w:rPr>
          <w:rFonts w:ascii="Garamond" w:eastAsia="Cambria" w:hAnsi="Garamond" w:cs="Cambria"/>
          <w:sz w:val="24"/>
          <w:szCs w:val="24"/>
        </w:rPr>
        <w:t>roblems of jurisdiction are</w:t>
      </w:r>
      <w:r w:rsidR="00C11EFF"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problems about the limits of the exercise of </w:t>
      </w:r>
      <w:r w:rsidR="00C11EFF" w:rsidRPr="00411AE0">
        <w:rPr>
          <w:rFonts w:ascii="Garamond" w:eastAsia="Cambria" w:hAnsi="Garamond" w:cs="Cambria"/>
          <w:sz w:val="24"/>
          <w:szCs w:val="24"/>
        </w:rPr>
        <w:t xml:space="preserve">legitimate </w:t>
      </w:r>
      <w:r w:rsidRPr="00411AE0">
        <w:rPr>
          <w:rFonts w:ascii="Garamond" w:eastAsia="Cambria" w:hAnsi="Garamond" w:cs="Cambria"/>
          <w:sz w:val="24"/>
          <w:szCs w:val="24"/>
        </w:rPr>
        <w:t>authority.</w:t>
      </w:r>
      <w:r w:rsidRPr="00411AE0">
        <w:rPr>
          <w:rFonts w:ascii="Garamond" w:eastAsia="Cambria" w:hAnsi="Garamond" w:cs="Cambria"/>
          <w:sz w:val="24"/>
          <w:szCs w:val="24"/>
          <w:vertAlign w:val="superscript"/>
        </w:rPr>
        <w:footnoteReference w:id="165"/>
      </w:r>
      <w:r w:rsidR="0062489C" w:rsidRPr="00411AE0">
        <w:rPr>
          <w:rFonts w:ascii="Garamond" w:eastAsia="Cambria" w:hAnsi="Garamond" w:cs="Cambria"/>
          <w:sz w:val="24"/>
          <w:szCs w:val="24"/>
        </w:rPr>
        <w:br/>
      </w:r>
      <w:r w:rsidR="0062489C" w:rsidRPr="00411AE0">
        <w:rPr>
          <w:rFonts w:ascii="Garamond" w:eastAsia="Cambria" w:hAnsi="Garamond" w:cs="Cambria"/>
          <w:sz w:val="24"/>
          <w:szCs w:val="24"/>
        </w:rPr>
        <w:tab/>
      </w:r>
      <w:r w:rsidRPr="00411AE0">
        <w:rPr>
          <w:rFonts w:ascii="Garamond" w:eastAsia="Cambria" w:hAnsi="Garamond" w:cs="Cambria"/>
          <w:sz w:val="24"/>
          <w:szCs w:val="24"/>
        </w:rPr>
        <w:t>As a tool of government</w:t>
      </w:r>
      <w:r w:rsidR="004F166C" w:rsidRPr="00411AE0">
        <w:rPr>
          <w:rFonts w:ascii="Garamond" w:eastAsia="Cambria" w:hAnsi="Garamond" w:cs="Cambria"/>
          <w:sz w:val="24"/>
          <w:szCs w:val="24"/>
        </w:rPr>
        <w:t>,</w:t>
      </w:r>
      <w:r w:rsidRPr="00411AE0">
        <w:rPr>
          <w:rFonts w:ascii="Garamond" w:eastAsia="Cambria" w:hAnsi="Garamond" w:cs="Cambria"/>
          <w:sz w:val="24"/>
          <w:szCs w:val="24"/>
        </w:rPr>
        <w:t xml:space="preserve"> jurisdiction actively works to </w:t>
      </w:r>
      <w:r w:rsidRPr="00591F4E">
        <w:rPr>
          <w:rFonts w:ascii="Garamond" w:eastAsia="Cambria" w:hAnsi="Garamond" w:cs="Cambria"/>
          <w:sz w:val="24"/>
          <w:szCs w:val="24"/>
        </w:rPr>
        <w:t>produce ‘something’,</w:t>
      </w:r>
      <w:r w:rsidRPr="00591F4E">
        <w:rPr>
          <w:rFonts w:ascii="Garamond" w:eastAsia="Cambria" w:hAnsi="Garamond" w:cs="Cambria"/>
          <w:sz w:val="24"/>
          <w:szCs w:val="24"/>
          <w:vertAlign w:val="superscript"/>
        </w:rPr>
        <w:footnoteReference w:id="166"/>
      </w:r>
      <w:r w:rsidRPr="00591F4E">
        <w:rPr>
          <w:rFonts w:ascii="Garamond" w:eastAsia="Cambria" w:hAnsi="Garamond" w:cs="Cambria"/>
          <w:sz w:val="24"/>
          <w:szCs w:val="24"/>
        </w:rPr>
        <w:t xml:space="preserve"> </w:t>
      </w:r>
      <w:r w:rsidR="009F2A08" w:rsidRPr="00591F4E">
        <w:rPr>
          <w:rFonts w:ascii="Garamond" w:eastAsia="Cambria" w:hAnsi="Garamond" w:cs="Cambria"/>
          <w:sz w:val="24"/>
          <w:szCs w:val="24"/>
        </w:rPr>
        <w:t xml:space="preserve">and in doing so </w:t>
      </w:r>
      <w:r w:rsidR="00952297">
        <w:rPr>
          <w:rFonts w:ascii="Garamond" w:eastAsia="Cambria" w:hAnsi="Garamond" w:cs="Cambria"/>
          <w:sz w:val="24"/>
          <w:szCs w:val="24"/>
        </w:rPr>
        <w:t xml:space="preserve">expresses </w:t>
      </w:r>
      <w:r w:rsidRPr="00591F4E">
        <w:rPr>
          <w:rFonts w:ascii="Garamond" w:eastAsia="Cambria" w:hAnsi="Garamond" w:cs="Cambria"/>
          <w:sz w:val="24"/>
          <w:szCs w:val="24"/>
        </w:rPr>
        <w:t xml:space="preserve">an </w:t>
      </w:r>
      <w:r w:rsidR="009F2A08" w:rsidRPr="00591F4E">
        <w:rPr>
          <w:rFonts w:ascii="Garamond" w:eastAsia="Cambria" w:hAnsi="Garamond" w:cs="Cambria"/>
          <w:sz w:val="24"/>
          <w:szCs w:val="24"/>
        </w:rPr>
        <w:t xml:space="preserve">implicit </w:t>
      </w:r>
      <w:r w:rsidRPr="00591F4E">
        <w:rPr>
          <w:rFonts w:ascii="Garamond" w:eastAsia="Cambria" w:hAnsi="Garamond" w:cs="Cambria"/>
          <w:sz w:val="24"/>
          <w:szCs w:val="24"/>
        </w:rPr>
        <w:t xml:space="preserve">assessment </w:t>
      </w:r>
      <w:r w:rsidR="009F2A08" w:rsidRPr="00591F4E">
        <w:rPr>
          <w:rFonts w:ascii="Garamond" w:eastAsia="Cambria" w:hAnsi="Garamond" w:cs="Cambria"/>
          <w:sz w:val="24"/>
          <w:szCs w:val="24"/>
        </w:rPr>
        <w:t xml:space="preserve">of (about/) </w:t>
      </w:r>
      <w:r w:rsidRPr="00591F4E">
        <w:rPr>
          <w:rFonts w:ascii="Garamond" w:eastAsia="Cambria" w:hAnsi="Garamond" w:cs="Cambria"/>
          <w:sz w:val="24"/>
          <w:szCs w:val="24"/>
        </w:rPr>
        <w:t>‘value’ understood in terms of state interest.</w:t>
      </w:r>
      <w:r w:rsidRPr="00591F4E">
        <w:rPr>
          <w:rFonts w:ascii="Garamond" w:eastAsia="Cambria" w:hAnsi="Garamond" w:cs="Cambria"/>
          <w:sz w:val="24"/>
          <w:szCs w:val="24"/>
          <w:vertAlign w:val="superscript"/>
        </w:rPr>
        <w:footnoteReference w:id="167"/>
      </w:r>
      <w:r w:rsidRPr="00591F4E">
        <w:rPr>
          <w:rFonts w:ascii="Garamond" w:eastAsia="Cambria" w:hAnsi="Garamond" w:cs="Cambria"/>
          <w:sz w:val="24"/>
          <w:szCs w:val="24"/>
        </w:rPr>
        <w:t xml:space="preserve"> A</w:t>
      </w:r>
      <w:r w:rsidRPr="00411AE0">
        <w:rPr>
          <w:rFonts w:ascii="Garamond" w:eastAsia="Cambria" w:hAnsi="Garamond" w:cs="Cambria"/>
          <w:sz w:val="24"/>
          <w:szCs w:val="24"/>
        </w:rPr>
        <w:t xml:space="preserve"> closer examination of the specific issues over which jurisdictional powers are exercised </w:t>
      </w:r>
      <w:r w:rsidR="00A37DD9" w:rsidRPr="00411AE0">
        <w:rPr>
          <w:rFonts w:ascii="Garamond" w:eastAsia="Cambria" w:hAnsi="Garamond" w:cs="Cambria"/>
          <w:sz w:val="24"/>
          <w:szCs w:val="24"/>
        </w:rPr>
        <w:t xml:space="preserve">reveals </w:t>
      </w:r>
      <w:r w:rsidRPr="00411AE0">
        <w:rPr>
          <w:rFonts w:ascii="Garamond" w:eastAsia="Cambria" w:hAnsi="Garamond" w:cs="Cambria"/>
          <w:sz w:val="24"/>
          <w:szCs w:val="24"/>
        </w:rPr>
        <w:t>that the authorisation of law closely relates to the construction of law’s purpose and</w:t>
      </w:r>
      <w:r w:rsidR="00A37DD9" w:rsidRPr="00411AE0">
        <w:rPr>
          <w:rFonts w:ascii="Garamond" w:eastAsia="Cambria" w:hAnsi="Garamond" w:cs="Cambria"/>
          <w:sz w:val="24"/>
          <w:szCs w:val="24"/>
        </w:rPr>
        <w:t xml:space="preserve"> imputed</w:t>
      </w:r>
      <w:r w:rsidRPr="00411AE0">
        <w:rPr>
          <w:rFonts w:ascii="Garamond" w:eastAsia="Cambria" w:hAnsi="Garamond" w:cs="Cambria"/>
          <w:sz w:val="24"/>
          <w:szCs w:val="24"/>
        </w:rPr>
        <w:t xml:space="preserve"> intention</w:t>
      </w:r>
      <w:r w:rsidR="006B5DFB">
        <w:rPr>
          <w:rFonts w:ascii="Garamond" w:eastAsia="Cambria" w:hAnsi="Garamond" w:cs="Cambria"/>
          <w:sz w:val="24"/>
          <w:szCs w:val="24"/>
        </w:rPr>
        <w:t>,</w:t>
      </w:r>
      <w:r w:rsidRPr="00411AE0">
        <w:rPr>
          <w:rFonts w:ascii="Garamond" w:eastAsia="Cambria" w:hAnsi="Garamond" w:cs="Cambria"/>
          <w:sz w:val="24"/>
          <w:szCs w:val="24"/>
          <w:vertAlign w:val="superscript"/>
        </w:rPr>
        <w:footnoteReference w:id="168"/>
      </w:r>
      <w:r w:rsidRPr="00411AE0">
        <w:rPr>
          <w:rFonts w:ascii="Garamond" w:eastAsia="Cambria" w:hAnsi="Garamond" w:cs="Cambria"/>
          <w:sz w:val="24"/>
          <w:szCs w:val="24"/>
        </w:rPr>
        <w:t xml:space="preserve"> and it is this construction of purpose and its </w:t>
      </w:r>
      <w:r w:rsidR="003F3A0C" w:rsidRPr="00411AE0">
        <w:rPr>
          <w:rFonts w:ascii="Garamond" w:eastAsia="Cambria" w:hAnsi="Garamond" w:cs="Cambria"/>
          <w:sz w:val="24"/>
          <w:szCs w:val="24"/>
        </w:rPr>
        <w:t xml:space="preserve">associated </w:t>
      </w:r>
      <w:r w:rsidRPr="00411AE0">
        <w:rPr>
          <w:rFonts w:ascii="Garamond" w:eastAsia="Cambria" w:hAnsi="Garamond" w:cs="Cambria"/>
          <w:sz w:val="24"/>
          <w:szCs w:val="24"/>
        </w:rPr>
        <w:t xml:space="preserve">values that concerns us most for the purposes of our present argument. </w:t>
      </w:r>
      <w:r w:rsidR="00A37DD9" w:rsidRPr="00411AE0">
        <w:rPr>
          <w:rFonts w:ascii="Garamond" w:eastAsia="Cambria" w:hAnsi="Garamond" w:cs="Cambria"/>
          <w:sz w:val="24"/>
          <w:szCs w:val="24"/>
        </w:rPr>
        <w:t xml:space="preserve">As </w:t>
      </w:r>
      <w:r w:rsidR="003F3A0C" w:rsidRPr="00411AE0">
        <w:rPr>
          <w:rFonts w:ascii="Garamond" w:eastAsia="Cambria" w:hAnsi="Garamond" w:cs="Cambria"/>
          <w:sz w:val="24"/>
          <w:szCs w:val="24"/>
        </w:rPr>
        <w:t>was just noted</w:t>
      </w:r>
      <w:r w:rsidR="00A37DD9" w:rsidRPr="00411AE0">
        <w:rPr>
          <w:rFonts w:ascii="Garamond" w:eastAsia="Cambria" w:hAnsi="Garamond" w:cs="Cambria"/>
          <w:sz w:val="24"/>
          <w:szCs w:val="24"/>
        </w:rPr>
        <w:t>, j</w:t>
      </w:r>
      <w:r w:rsidRPr="00411AE0">
        <w:rPr>
          <w:rFonts w:ascii="Garamond" w:eastAsia="Cambria" w:hAnsi="Garamond" w:cs="Cambria"/>
          <w:sz w:val="24"/>
          <w:szCs w:val="24"/>
        </w:rPr>
        <w:t xml:space="preserve">urisdiction </w:t>
      </w:r>
      <w:r w:rsidR="001D6DF6">
        <w:rPr>
          <w:rFonts w:ascii="Garamond" w:eastAsia="Cambria" w:hAnsi="Garamond" w:cs="Cambria"/>
          <w:sz w:val="24"/>
          <w:szCs w:val="24"/>
        </w:rPr>
        <w:t xml:space="preserve">both </w:t>
      </w:r>
      <w:r w:rsidR="00A37DD9" w:rsidRPr="00411AE0">
        <w:rPr>
          <w:rFonts w:ascii="Garamond" w:eastAsia="Cambria" w:hAnsi="Garamond" w:cs="Cambria"/>
          <w:sz w:val="24"/>
          <w:szCs w:val="24"/>
        </w:rPr>
        <w:t xml:space="preserve">inaugurates, </w:t>
      </w:r>
      <w:r w:rsidRPr="00411AE0">
        <w:rPr>
          <w:rFonts w:ascii="Garamond" w:eastAsia="Cambria" w:hAnsi="Garamond" w:cs="Cambria"/>
          <w:sz w:val="24"/>
          <w:szCs w:val="24"/>
        </w:rPr>
        <w:t>shapes and expresses authority</w:t>
      </w:r>
      <w:r w:rsidRPr="00411AE0">
        <w:rPr>
          <w:rFonts w:ascii="Garamond" w:eastAsia="Cambria" w:hAnsi="Garamond" w:cs="Cambria"/>
          <w:sz w:val="24"/>
          <w:szCs w:val="24"/>
          <w:vertAlign w:val="superscript"/>
        </w:rPr>
        <w:footnoteReference w:id="169"/>
      </w:r>
      <w:r w:rsidRPr="00411AE0">
        <w:rPr>
          <w:rFonts w:ascii="Garamond" w:eastAsia="Cambria" w:hAnsi="Garamond" w:cs="Cambria"/>
          <w:sz w:val="24"/>
          <w:szCs w:val="24"/>
        </w:rPr>
        <w:t xml:space="preserve"> </w:t>
      </w:r>
      <w:r w:rsidR="001D6DF6">
        <w:rPr>
          <w:rFonts w:ascii="Garamond" w:eastAsia="Cambria" w:hAnsi="Garamond" w:cs="Cambria"/>
          <w:sz w:val="24"/>
          <w:szCs w:val="24"/>
        </w:rPr>
        <w:t>and</w:t>
      </w:r>
      <w:r w:rsidR="001D6DF6"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produces </w:t>
      </w:r>
      <w:r w:rsidR="00A37DD9" w:rsidRPr="00411AE0">
        <w:rPr>
          <w:rFonts w:ascii="Garamond" w:eastAsia="Cambria" w:hAnsi="Garamond" w:cs="Cambria"/>
          <w:sz w:val="24"/>
          <w:szCs w:val="24"/>
        </w:rPr>
        <w:t>juridical</w:t>
      </w:r>
      <w:r w:rsidRPr="00411AE0">
        <w:rPr>
          <w:rFonts w:ascii="Garamond" w:eastAsia="Cambria" w:hAnsi="Garamond" w:cs="Cambria"/>
          <w:sz w:val="24"/>
          <w:szCs w:val="24"/>
        </w:rPr>
        <w:t xml:space="preserve"> and social identities.</w:t>
      </w:r>
      <w:r w:rsidRPr="00411AE0">
        <w:rPr>
          <w:rFonts w:ascii="Garamond" w:eastAsia="Cambria" w:hAnsi="Garamond" w:cs="Cambria"/>
          <w:sz w:val="24"/>
          <w:szCs w:val="24"/>
          <w:vertAlign w:val="superscript"/>
        </w:rPr>
        <w:footnoteReference w:id="170"/>
      </w:r>
      <w:r w:rsidRPr="00411AE0">
        <w:rPr>
          <w:rFonts w:ascii="Garamond" w:eastAsia="Cambria" w:hAnsi="Garamond" w:cs="Cambria"/>
          <w:sz w:val="24"/>
          <w:szCs w:val="24"/>
        </w:rPr>
        <w:t xml:space="preserve"> This discursive</w:t>
      </w:r>
      <w:r w:rsidRPr="00411AE0">
        <w:rPr>
          <w:rFonts w:ascii="Garamond" w:eastAsia="Cambria" w:hAnsi="Garamond" w:cs="Cambria"/>
          <w:sz w:val="24"/>
          <w:szCs w:val="24"/>
          <w:vertAlign w:val="superscript"/>
        </w:rPr>
        <w:footnoteReference w:id="171"/>
      </w:r>
      <w:r w:rsidR="00A92B4D">
        <w:rPr>
          <w:rFonts w:ascii="Garamond" w:eastAsia="Cambria" w:hAnsi="Garamond" w:cs="Cambria"/>
          <w:sz w:val="24"/>
          <w:szCs w:val="24"/>
        </w:rPr>
        <w:t xml:space="preserve"> and inevitably material</w:t>
      </w:r>
      <w:r w:rsidRPr="00411AE0">
        <w:rPr>
          <w:rFonts w:ascii="Garamond" w:eastAsia="Cambria" w:hAnsi="Garamond" w:cs="Cambria"/>
          <w:sz w:val="24"/>
          <w:szCs w:val="24"/>
        </w:rPr>
        <w:t xml:space="preserve"> function is key to understanding the role played by jurisdictional practice in </w:t>
      </w:r>
      <w:r w:rsidR="005D6664" w:rsidRPr="00411AE0">
        <w:rPr>
          <w:rFonts w:ascii="Garamond" w:eastAsia="Cambria" w:hAnsi="Garamond" w:cs="Cambria"/>
          <w:sz w:val="24"/>
          <w:szCs w:val="24"/>
        </w:rPr>
        <w:t xml:space="preserve">the production, definition, separation and exclusion of </w:t>
      </w:r>
      <w:r w:rsidRPr="00411AE0">
        <w:rPr>
          <w:rFonts w:ascii="Garamond" w:eastAsia="Cambria" w:hAnsi="Garamond" w:cs="Cambria"/>
          <w:sz w:val="24"/>
          <w:szCs w:val="24"/>
        </w:rPr>
        <w:t>subjects and communities</w:t>
      </w:r>
      <w:r w:rsidR="003F3A0C" w:rsidRPr="00411AE0">
        <w:rPr>
          <w:rFonts w:ascii="Garamond" w:eastAsia="Cambria" w:hAnsi="Garamond" w:cs="Cambria"/>
          <w:sz w:val="24"/>
          <w:szCs w:val="24"/>
        </w:rPr>
        <w:t xml:space="preserve"> as targets of control</w:t>
      </w:r>
      <w:r w:rsidR="00A37DD9" w:rsidRPr="00411AE0">
        <w:rPr>
          <w:rFonts w:ascii="Garamond" w:eastAsia="Cambria" w:hAnsi="Garamond" w:cs="Cambria"/>
          <w:sz w:val="24"/>
          <w:szCs w:val="24"/>
        </w:rPr>
        <w:t>.</w:t>
      </w:r>
      <w:r w:rsidR="003F3A0C" w:rsidRPr="00411AE0">
        <w:rPr>
          <w:rFonts w:ascii="Garamond" w:eastAsia="Cambria" w:hAnsi="Garamond" w:cs="Cambria"/>
          <w:sz w:val="24"/>
          <w:szCs w:val="24"/>
        </w:rPr>
        <w:br/>
      </w:r>
      <w:r w:rsidR="003F3A0C" w:rsidRPr="00411AE0">
        <w:rPr>
          <w:rFonts w:ascii="Garamond" w:eastAsia="Cambria" w:hAnsi="Garamond" w:cs="Cambria"/>
          <w:sz w:val="24"/>
          <w:szCs w:val="24"/>
        </w:rPr>
        <w:tab/>
      </w:r>
      <w:r w:rsidRPr="00411AE0">
        <w:rPr>
          <w:rFonts w:ascii="Garamond" w:eastAsia="Cambria" w:hAnsi="Garamond" w:cs="Cambria"/>
          <w:sz w:val="24"/>
          <w:szCs w:val="24"/>
        </w:rPr>
        <w:t>As we move through a select</w:t>
      </w:r>
      <w:r w:rsidR="004C0686" w:rsidRPr="00411AE0">
        <w:rPr>
          <w:rFonts w:ascii="Garamond" w:eastAsia="Cambria" w:hAnsi="Garamond" w:cs="Cambria"/>
          <w:sz w:val="24"/>
          <w:szCs w:val="24"/>
        </w:rPr>
        <w:t>ed</w:t>
      </w:r>
      <w:r w:rsidRPr="00411AE0">
        <w:rPr>
          <w:rFonts w:ascii="Garamond" w:eastAsia="Cambria" w:hAnsi="Garamond" w:cs="Cambria"/>
          <w:sz w:val="24"/>
          <w:szCs w:val="24"/>
        </w:rPr>
        <w:t xml:space="preserve"> historical overview of jurisdictional technologies in the </w:t>
      </w:r>
      <w:r w:rsidR="006E204E" w:rsidRPr="00411AE0">
        <w:rPr>
          <w:rFonts w:ascii="Garamond" w:eastAsia="Cambria" w:hAnsi="Garamond" w:cs="Cambria"/>
          <w:sz w:val="24"/>
          <w:szCs w:val="24"/>
        </w:rPr>
        <w:t xml:space="preserve">construction </w:t>
      </w:r>
      <w:r w:rsidRPr="00411AE0">
        <w:rPr>
          <w:rFonts w:ascii="Garamond" w:eastAsia="Cambria" w:hAnsi="Garamond" w:cs="Cambria"/>
          <w:sz w:val="24"/>
          <w:szCs w:val="24"/>
        </w:rPr>
        <w:t>of authority</w:t>
      </w:r>
      <w:r w:rsidR="00A37DD9" w:rsidRPr="00411AE0">
        <w:rPr>
          <w:rFonts w:ascii="Garamond" w:eastAsia="Cambria" w:hAnsi="Garamond" w:cs="Cambria"/>
          <w:sz w:val="24"/>
          <w:szCs w:val="24"/>
        </w:rPr>
        <w:t>, subjects</w:t>
      </w:r>
      <w:r w:rsidRPr="00411AE0">
        <w:rPr>
          <w:rFonts w:ascii="Garamond" w:eastAsia="Cambria" w:hAnsi="Garamond" w:cs="Cambria"/>
          <w:sz w:val="24"/>
          <w:szCs w:val="24"/>
        </w:rPr>
        <w:t xml:space="preserve"> and communities</w:t>
      </w:r>
      <w:r w:rsidR="00A37DD9" w:rsidRPr="00411AE0">
        <w:rPr>
          <w:rFonts w:ascii="Garamond" w:eastAsia="Cambria" w:hAnsi="Garamond" w:cs="Cambria"/>
          <w:sz w:val="24"/>
          <w:szCs w:val="24"/>
        </w:rPr>
        <w:t>,</w:t>
      </w:r>
      <w:r w:rsidRPr="00411AE0">
        <w:rPr>
          <w:rFonts w:ascii="Garamond" w:eastAsia="Cambria" w:hAnsi="Garamond" w:cs="Cambria"/>
          <w:sz w:val="24"/>
          <w:szCs w:val="24"/>
        </w:rPr>
        <w:t xml:space="preserve"> two conceptual </w:t>
      </w:r>
      <w:r w:rsidR="00236CC2">
        <w:rPr>
          <w:rFonts w:ascii="Garamond" w:eastAsia="Cambria" w:hAnsi="Garamond" w:cs="Cambria"/>
          <w:sz w:val="24"/>
          <w:szCs w:val="24"/>
        </w:rPr>
        <w:t>frames</w:t>
      </w:r>
      <w:r w:rsidR="00236CC2"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will be used. The first is the </w:t>
      </w:r>
      <w:r w:rsidR="009145EE">
        <w:rPr>
          <w:rFonts w:ascii="Garamond" w:eastAsia="Cambria" w:hAnsi="Garamond" w:cs="Cambria"/>
          <w:sz w:val="24"/>
          <w:szCs w:val="24"/>
        </w:rPr>
        <w:t xml:space="preserve">discursive and rhetorical </w:t>
      </w:r>
      <w:r w:rsidRPr="00411AE0">
        <w:rPr>
          <w:rFonts w:ascii="Garamond" w:eastAsia="Cambria" w:hAnsi="Garamond" w:cs="Cambria"/>
          <w:sz w:val="24"/>
          <w:szCs w:val="24"/>
        </w:rPr>
        <w:t xml:space="preserve">distinction between ‘organic’ and ‘synthetic’ communities </w:t>
      </w:r>
      <w:r w:rsidR="00D43E66">
        <w:rPr>
          <w:rFonts w:ascii="Garamond" w:eastAsia="Cambria" w:hAnsi="Garamond" w:cs="Cambria"/>
          <w:sz w:val="24"/>
          <w:szCs w:val="24"/>
        </w:rPr>
        <w:t>drawn</w:t>
      </w:r>
      <w:r w:rsidR="00D43E66" w:rsidRPr="00411AE0">
        <w:rPr>
          <w:rFonts w:ascii="Garamond" w:eastAsia="Cambria" w:hAnsi="Garamond" w:cs="Cambria"/>
          <w:sz w:val="24"/>
          <w:szCs w:val="24"/>
        </w:rPr>
        <w:t xml:space="preserve"> </w:t>
      </w:r>
      <w:r w:rsidRPr="00411AE0">
        <w:rPr>
          <w:rFonts w:ascii="Garamond" w:eastAsia="Cambria" w:hAnsi="Garamond" w:cs="Cambria"/>
          <w:sz w:val="24"/>
          <w:szCs w:val="24"/>
        </w:rPr>
        <w:t>by Ford.</w:t>
      </w:r>
      <w:r w:rsidRPr="00411AE0">
        <w:rPr>
          <w:rFonts w:ascii="Garamond" w:eastAsia="Cambria" w:hAnsi="Garamond" w:cs="Cambria"/>
          <w:sz w:val="24"/>
          <w:szCs w:val="24"/>
          <w:vertAlign w:val="superscript"/>
        </w:rPr>
        <w:footnoteReference w:id="172"/>
      </w:r>
      <w:r w:rsidRPr="00411AE0">
        <w:rPr>
          <w:rFonts w:ascii="Garamond" w:eastAsia="Cambria" w:hAnsi="Garamond" w:cs="Cambria"/>
          <w:sz w:val="24"/>
          <w:szCs w:val="24"/>
        </w:rPr>
        <w:t xml:space="preserve"> The second is the evolution and role of the concept of territoriality in</w:t>
      </w:r>
      <w:r w:rsidR="000B6A15" w:rsidRPr="00411AE0">
        <w:rPr>
          <w:rFonts w:ascii="Garamond" w:eastAsia="Cambria" w:hAnsi="Garamond" w:cs="Cambria"/>
          <w:sz w:val="24"/>
          <w:szCs w:val="24"/>
        </w:rPr>
        <w:t xml:space="preserve"> relation to</w:t>
      </w:r>
      <w:r w:rsidRPr="00411AE0">
        <w:rPr>
          <w:rFonts w:ascii="Garamond" w:eastAsia="Cambria" w:hAnsi="Garamond" w:cs="Cambria"/>
          <w:sz w:val="24"/>
          <w:szCs w:val="24"/>
        </w:rPr>
        <w:t xml:space="preserve"> jurisdiction</w:t>
      </w:r>
      <w:r w:rsidR="00A37DD9" w:rsidRPr="00411AE0">
        <w:rPr>
          <w:rFonts w:ascii="Garamond" w:eastAsia="Cambria" w:hAnsi="Garamond" w:cs="Cambria"/>
          <w:sz w:val="24"/>
          <w:szCs w:val="24"/>
        </w:rPr>
        <w:t>—</w:t>
      </w:r>
      <w:r w:rsidRPr="00411AE0">
        <w:rPr>
          <w:rFonts w:ascii="Garamond" w:eastAsia="Cambria" w:hAnsi="Garamond" w:cs="Cambria"/>
          <w:sz w:val="24"/>
          <w:szCs w:val="24"/>
        </w:rPr>
        <w:t xml:space="preserve">and the dyadic distinction </w:t>
      </w:r>
      <w:r w:rsidR="003F500A">
        <w:rPr>
          <w:rFonts w:ascii="Garamond" w:eastAsia="Cambria" w:hAnsi="Garamond" w:cs="Cambria"/>
          <w:sz w:val="24"/>
          <w:szCs w:val="24"/>
        </w:rPr>
        <w:t xml:space="preserve">drawn </w:t>
      </w:r>
      <w:r w:rsidRPr="00411AE0">
        <w:rPr>
          <w:rFonts w:ascii="Garamond" w:eastAsia="Cambria" w:hAnsi="Garamond" w:cs="Cambria"/>
          <w:sz w:val="24"/>
          <w:szCs w:val="24"/>
        </w:rPr>
        <w:t>between egocentric (personal) and geocentric (territorial) legality.</w:t>
      </w:r>
      <w:r w:rsidRPr="00411AE0">
        <w:rPr>
          <w:rFonts w:ascii="Garamond" w:eastAsia="Cambria" w:hAnsi="Garamond" w:cs="Cambria"/>
          <w:sz w:val="24"/>
          <w:szCs w:val="24"/>
          <w:vertAlign w:val="superscript"/>
        </w:rPr>
        <w:footnoteReference w:id="173"/>
      </w:r>
      <w:r w:rsidRPr="00411AE0">
        <w:rPr>
          <w:rFonts w:ascii="Garamond" w:eastAsia="Cambria" w:hAnsi="Garamond" w:cs="Cambria"/>
          <w:sz w:val="24"/>
          <w:szCs w:val="24"/>
        </w:rPr>
        <w:t xml:space="preserve"> While </w:t>
      </w:r>
      <w:r w:rsidR="003F3A0C" w:rsidRPr="00411AE0">
        <w:rPr>
          <w:rFonts w:ascii="Garamond" w:eastAsia="Cambria" w:hAnsi="Garamond" w:cs="Cambria"/>
          <w:sz w:val="24"/>
          <w:szCs w:val="24"/>
        </w:rPr>
        <w:t xml:space="preserve">such </w:t>
      </w:r>
      <w:r w:rsidRPr="00411AE0">
        <w:rPr>
          <w:rFonts w:ascii="Garamond" w:eastAsia="Cambria" w:hAnsi="Garamond" w:cs="Cambria"/>
          <w:sz w:val="24"/>
          <w:szCs w:val="24"/>
        </w:rPr>
        <w:t>binary contrast</w:t>
      </w:r>
      <w:r w:rsidR="00A37DD9" w:rsidRPr="00411AE0">
        <w:rPr>
          <w:rFonts w:ascii="Garamond" w:eastAsia="Cambria" w:hAnsi="Garamond" w:cs="Cambria"/>
          <w:sz w:val="24"/>
          <w:szCs w:val="24"/>
        </w:rPr>
        <w:t>s</w:t>
      </w:r>
      <w:r w:rsidRPr="00411AE0">
        <w:rPr>
          <w:rFonts w:ascii="Garamond" w:eastAsia="Cambria" w:hAnsi="Garamond" w:cs="Cambria"/>
          <w:sz w:val="24"/>
          <w:szCs w:val="24"/>
        </w:rPr>
        <w:t xml:space="preserve"> can be destabilised by critique of binary categorisations in general, and there are</w:t>
      </w:r>
      <w:r w:rsidR="000B6A15" w:rsidRPr="00411AE0">
        <w:rPr>
          <w:rFonts w:ascii="Garamond" w:eastAsia="Cambria" w:hAnsi="Garamond" w:cs="Cambria"/>
          <w:sz w:val="24"/>
          <w:szCs w:val="24"/>
        </w:rPr>
        <w:t xml:space="preserve"> </w:t>
      </w:r>
      <w:r w:rsidR="00432ADF" w:rsidRPr="00411AE0">
        <w:rPr>
          <w:rFonts w:ascii="Garamond" w:eastAsia="Cambria" w:hAnsi="Garamond" w:cs="Cambria"/>
          <w:sz w:val="24"/>
          <w:szCs w:val="24"/>
        </w:rPr>
        <w:t xml:space="preserve">in any case </w:t>
      </w:r>
      <w:r w:rsidR="003C3057" w:rsidRPr="00411AE0">
        <w:rPr>
          <w:rFonts w:ascii="Garamond" w:eastAsia="Cambria" w:hAnsi="Garamond" w:cs="Cambria"/>
          <w:sz w:val="24"/>
          <w:szCs w:val="24"/>
        </w:rPr>
        <w:t>‘</w:t>
      </w:r>
      <w:r w:rsidRPr="00411AE0">
        <w:rPr>
          <w:rFonts w:ascii="Garamond" w:eastAsia="Cambria" w:hAnsi="Garamond" w:cs="Cambria"/>
          <w:sz w:val="24"/>
          <w:szCs w:val="24"/>
        </w:rPr>
        <w:t xml:space="preserve">too many ambiguous cases to allow for </w:t>
      </w:r>
      <w:r w:rsidR="00643D03" w:rsidRPr="00411AE0">
        <w:rPr>
          <w:rFonts w:ascii="Garamond" w:eastAsia="Cambria" w:hAnsi="Garamond" w:cs="Cambria"/>
          <w:sz w:val="24"/>
          <w:szCs w:val="24"/>
        </w:rPr>
        <w:t xml:space="preserve">. . . </w:t>
      </w:r>
      <w:r w:rsidRPr="00411AE0">
        <w:rPr>
          <w:rFonts w:ascii="Garamond" w:eastAsia="Cambria" w:hAnsi="Garamond" w:cs="Cambria"/>
          <w:sz w:val="24"/>
          <w:szCs w:val="24"/>
        </w:rPr>
        <w:t>a sharp bi-polar division’,</w:t>
      </w:r>
      <w:r w:rsidRPr="00411AE0">
        <w:rPr>
          <w:rFonts w:ascii="Garamond" w:eastAsia="Cambria" w:hAnsi="Garamond" w:cs="Cambria"/>
          <w:sz w:val="24"/>
          <w:szCs w:val="24"/>
          <w:vertAlign w:val="superscript"/>
        </w:rPr>
        <w:footnoteReference w:id="174"/>
      </w:r>
      <w:r w:rsidRPr="00411AE0">
        <w:rPr>
          <w:rFonts w:ascii="Garamond" w:eastAsia="Cambria" w:hAnsi="Garamond" w:cs="Cambria"/>
          <w:sz w:val="24"/>
          <w:szCs w:val="24"/>
        </w:rPr>
        <w:t xml:space="preserve"> this twofold contrast nonetheless provides a useful epistemic lens through which to </w:t>
      </w:r>
      <w:r w:rsidR="00643D03" w:rsidRPr="00411AE0">
        <w:rPr>
          <w:rFonts w:ascii="Garamond" w:eastAsia="Cambria" w:hAnsi="Garamond" w:cs="Cambria"/>
          <w:sz w:val="24"/>
          <w:szCs w:val="24"/>
        </w:rPr>
        <w:t xml:space="preserve">observe </w:t>
      </w:r>
      <w:r w:rsidRPr="00411AE0">
        <w:rPr>
          <w:rFonts w:ascii="Garamond" w:eastAsia="Cambria" w:hAnsi="Garamond" w:cs="Cambria"/>
          <w:sz w:val="24"/>
          <w:szCs w:val="24"/>
        </w:rPr>
        <w:t xml:space="preserve">the historical relationship between territoriality and jurisdiction and to </w:t>
      </w:r>
      <w:r w:rsidR="003F3348">
        <w:rPr>
          <w:rFonts w:ascii="Garamond" w:eastAsia="Cambria" w:hAnsi="Garamond" w:cs="Cambria"/>
          <w:sz w:val="24"/>
          <w:szCs w:val="24"/>
        </w:rPr>
        <w:t>frame</w:t>
      </w:r>
      <w:r w:rsidR="003F3348"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the </w:t>
      </w:r>
      <w:r w:rsidR="00F453A9">
        <w:rPr>
          <w:rFonts w:ascii="Garamond" w:eastAsia="Cambria" w:hAnsi="Garamond" w:cs="Cambria"/>
          <w:sz w:val="24"/>
          <w:szCs w:val="24"/>
        </w:rPr>
        <w:t xml:space="preserve">current </w:t>
      </w:r>
      <w:r w:rsidRPr="00411AE0">
        <w:rPr>
          <w:rFonts w:ascii="Garamond" w:eastAsia="Cambria" w:hAnsi="Garamond" w:cs="Cambria"/>
          <w:sz w:val="24"/>
          <w:szCs w:val="24"/>
        </w:rPr>
        <w:t xml:space="preserve">use of jurisdictional technique by the neoliberal order and its actors. </w:t>
      </w:r>
      <w:r w:rsidRPr="00411AE0">
        <w:rPr>
          <w:rFonts w:ascii="Garamond" w:eastAsia="Cambria" w:hAnsi="Garamond" w:cs="Cambria"/>
          <w:sz w:val="24"/>
          <w:szCs w:val="24"/>
        </w:rPr>
        <w:br/>
      </w:r>
      <w:r w:rsidR="00A37DD9" w:rsidRPr="00411AE0">
        <w:rPr>
          <w:rFonts w:ascii="Garamond" w:eastAsia="Cambria" w:hAnsi="Garamond" w:cs="Cambria"/>
          <w:sz w:val="24"/>
          <w:szCs w:val="24"/>
        </w:rPr>
        <w:tab/>
      </w:r>
      <w:r w:rsidRPr="00411AE0">
        <w:rPr>
          <w:rFonts w:ascii="Garamond" w:eastAsia="Cambria" w:hAnsi="Garamond" w:cs="Cambria"/>
          <w:sz w:val="24"/>
          <w:szCs w:val="24"/>
        </w:rPr>
        <w:t xml:space="preserve">Organic communities are understood </w:t>
      </w:r>
      <w:r w:rsidR="008C6096">
        <w:rPr>
          <w:rFonts w:ascii="Garamond" w:eastAsia="Cambria" w:hAnsi="Garamond" w:cs="Cambria"/>
          <w:sz w:val="24"/>
          <w:szCs w:val="24"/>
        </w:rPr>
        <w:t xml:space="preserve">by Ford </w:t>
      </w:r>
      <w:r w:rsidR="004C0686" w:rsidRPr="00411AE0">
        <w:rPr>
          <w:rFonts w:ascii="Garamond" w:eastAsia="Cambria" w:hAnsi="Garamond" w:cs="Cambria"/>
          <w:sz w:val="24"/>
          <w:szCs w:val="24"/>
        </w:rPr>
        <w:t xml:space="preserve">to be </w:t>
      </w:r>
      <w:r w:rsidRPr="00411AE0">
        <w:rPr>
          <w:rFonts w:ascii="Garamond" w:eastAsia="Cambria" w:hAnsi="Garamond" w:cs="Cambria"/>
          <w:sz w:val="24"/>
          <w:szCs w:val="24"/>
        </w:rPr>
        <w:t xml:space="preserve">a natural outgrowth or development of a pre-existing group of peoples and their principles. The definition of such pre-existing groups </w:t>
      </w:r>
      <w:r w:rsidRPr="00411AE0">
        <w:rPr>
          <w:rFonts w:ascii="Garamond" w:eastAsia="Cambria" w:hAnsi="Garamond" w:cs="Cambria"/>
          <w:sz w:val="24"/>
          <w:szCs w:val="24"/>
        </w:rPr>
        <w:lastRenderedPageBreak/>
        <w:t>is social and the space they occupy is thought of as ‘authentic’ and in some cases even</w:t>
      </w:r>
      <w:r w:rsidR="00271F94" w:rsidRPr="00411AE0">
        <w:rPr>
          <w:rFonts w:ascii="Garamond" w:eastAsia="Cambria" w:hAnsi="Garamond" w:cs="Cambria"/>
          <w:sz w:val="24"/>
          <w:szCs w:val="24"/>
        </w:rPr>
        <w:t xml:space="preserve"> as</w:t>
      </w:r>
      <w:r w:rsidRPr="00411AE0">
        <w:rPr>
          <w:rFonts w:ascii="Garamond" w:eastAsia="Cambria" w:hAnsi="Garamond" w:cs="Cambria"/>
          <w:sz w:val="24"/>
          <w:szCs w:val="24"/>
        </w:rPr>
        <w:t xml:space="preserve"> ‘sacred’.</w:t>
      </w:r>
      <w:r w:rsidRPr="00411AE0">
        <w:rPr>
          <w:rFonts w:ascii="Garamond" w:eastAsia="Cambria" w:hAnsi="Garamond" w:cs="Cambria"/>
          <w:sz w:val="24"/>
          <w:szCs w:val="24"/>
          <w:vertAlign w:val="superscript"/>
        </w:rPr>
        <w:footnoteReference w:id="175"/>
      </w:r>
      <w:r w:rsidRPr="00411AE0">
        <w:rPr>
          <w:rFonts w:ascii="Garamond" w:eastAsia="Cambria" w:hAnsi="Garamond" w:cs="Cambria"/>
          <w:sz w:val="24"/>
          <w:szCs w:val="24"/>
        </w:rPr>
        <w:t xml:space="preserve"> Organic communities tend to be united by culture—including language, religion, social mores and/or ethnicity. They also appear to have a necessary (and therefore fundamental) relationship with the territory they occupy.</w:t>
      </w:r>
      <w:r w:rsidRPr="00411AE0">
        <w:rPr>
          <w:rFonts w:ascii="Garamond" w:eastAsia="Cambria" w:hAnsi="Garamond" w:cs="Cambria"/>
          <w:sz w:val="24"/>
          <w:szCs w:val="24"/>
          <w:vertAlign w:val="superscript"/>
        </w:rPr>
        <w:footnoteReference w:id="176"/>
      </w:r>
      <w:r w:rsidRPr="00411AE0">
        <w:rPr>
          <w:rFonts w:ascii="Garamond" w:eastAsia="Cambria" w:hAnsi="Garamond" w:cs="Cambria"/>
          <w:sz w:val="24"/>
          <w:szCs w:val="24"/>
        </w:rPr>
        <w:t xml:space="preserve"> This assumption of a pre-political foundation for natural organic communities in turn fosters the concept of ‘organic jurisdiction’, which rests on the premise of respect for pre-existing natural social </w:t>
      </w:r>
      <w:r w:rsidR="00271F94" w:rsidRPr="00411AE0">
        <w:rPr>
          <w:rFonts w:ascii="Garamond" w:eastAsia="Cambria" w:hAnsi="Garamond" w:cs="Cambria"/>
          <w:sz w:val="24"/>
          <w:szCs w:val="24"/>
        </w:rPr>
        <w:t xml:space="preserve">formations. </w:t>
      </w:r>
      <w:r w:rsidR="000D557D" w:rsidRPr="00411AE0">
        <w:rPr>
          <w:rFonts w:ascii="Garamond" w:eastAsia="Cambria" w:hAnsi="Garamond" w:cs="Cambria"/>
          <w:sz w:val="24"/>
          <w:szCs w:val="24"/>
        </w:rPr>
        <w:t xml:space="preserve">The </w:t>
      </w:r>
      <w:r w:rsidR="00FA0BB3" w:rsidRPr="00411AE0">
        <w:rPr>
          <w:rFonts w:ascii="Garamond" w:eastAsia="Cambria" w:hAnsi="Garamond" w:cs="Cambria"/>
          <w:sz w:val="24"/>
          <w:szCs w:val="24"/>
        </w:rPr>
        <w:t xml:space="preserve">conception </w:t>
      </w:r>
      <w:r w:rsidR="00271F94" w:rsidRPr="00411AE0">
        <w:rPr>
          <w:rFonts w:ascii="Garamond" w:eastAsia="Cambria" w:hAnsi="Garamond" w:cs="Cambria"/>
          <w:sz w:val="24"/>
          <w:szCs w:val="24"/>
        </w:rPr>
        <w:t xml:space="preserve">of the </w:t>
      </w:r>
      <w:r w:rsidRPr="00411AE0">
        <w:rPr>
          <w:rFonts w:ascii="Garamond" w:eastAsia="Cambria" w:hAnsi="Garamond" w:cs="Cambria"/>
          <w:sz w:val="24"/>
          <w:szCs w:val="24"/>
        </w:rPr>
        <w:t>nation state evolve</w:t>
      </w:r>
      <w:r w:rsidR="000275B9" w:rsidRPr="00411AE0">
        <w:rPr>
          <w:rFonts w:ascii="Garamond" w:eastAsia="Cambria" w:hAnsi="Garamond" w:cs="Cambria"/>
          <w:sz w:val="24"/>
          <w:szCs w:val="24"/>
        </w:rPr>
        <w:t>d</w:t>
      </w:r>
      <w:r w:rsidRPr="00411AE0">
        <w:rPr>
          <w:rFonts w:ascii="Garamond" w:eastAsia="Cambria" w:hAnsi="Garamond" w:cs="Cambria"/>
          <w:sz w:val="24"/>
          <w:szCs w:val="24"/>
        </w:rPr>
        <w:t xml:space="preserve"> from this premise.</w:t>
      </w:r>
      <w:r w:rsidRPr="00411AE0">
        <w:rPr>
          <w:rFonts w:ascii="Garamond" w:eastAsia="Cambria" w:hAnsi="Garamond" w:cs="Cambria"/>
          <w:sz w:val="24"/>
          <w:szCs w:val="24"/>
          <w:vertAlign w:val="superscript"/>
        </w:rPr>
        <w:footnoteReference w:id="177"/>
      </w:r>
      <w:r w:rsidR="00A01B71" w:rsidRPr="00411AE0">
        <w:rPr>
          <w:rFonts w:ascii="Garamond" w:eastAsia="Cambria" w:hAnsi="Garamond" w:cs="Cambria"/>
          <w:sz w:val="24"/>
          <w:szCs w:val="24"/>
        </w:rPr>
        <w:br/>
      </w:r>
      <w:r w:rsidR="00A01B71" w:rsidRPr="00411AE0">
        <w:rPr>
          <w:rFonts w:ascii="Garamond" w:eastAsia="Cambria" w:hAnsi="Garamond" w:cs="Cambria"/>
          <w:sz w:val="24"/>
          <w:szCs w:val="24"/>
        </w:rPr>
        <w:tab/>
      </w:r>
      <w:r w:rsidRPr="00411AE0">
        <w:rPr>
          <w:rFonts w:ascii="Garamond" w:eastAsia="Cambria" w:hAnsi="Garamond" w:cs="Cambria"/>
          <w:sz w:val="24"/>
          <w:szCs w:val="24"/>
        </w:rPr>
        <w:t xml:space="preserve">By contrast, ‘synthetic communities’ and jurisdictions are described as artificial, technological creations that exist to serve a </w:t>
      </w:r>
      <w:r w:rsidR="00A156C1">
        <w:rPr>
          <w:rFonts w:ascii="Garamond" w:eastAsia="Cambria" w:hAnsi="Garamond" w:cs="Cambria"/>
          <w:sz w:val="24"/>
          <w:szCs w:val="24"/>
        </w:rPr>
        <w:t xml:space="preserve">specific administrative </w:t>
      </w:r>
      <w:r w:rsidRPr="00411AE0">
        <w:rPr>
          <w:rFonts w:ascii="Garamond" w:eastAsia="Cambria" w:hAnsi="Garamond" w:cs="Cambria"/>
          <w:sz w:val="24"/>
          <w:szCs w:val="24"/>
        </w:rPr>
        <w:t>purpose.</w:t>
      </w:r>
      <w:r w:rsidRPr="00411AE0">
        <w:rPr>
          <w:rFonts w:ascii="Garamond" w:eastAsia="Cambria" w:hAnsi="Garamond" w:cs="Cambria"/>
          <w:sz w:val="24"/>
          <w:szCs w:val="24"/>
          <w:vertAlign w:val="superscript"/>
        </w:rPr>
        <w:footnoteReference w:id="178"/>
      </w:r>
      <w:r w:rsidRPr="00411AE0">
        <w:rPr>
          <w:rFonts w:ascii="Garamond" w:eastAsia="Cambria" w:hAnsi="Garamond" w:cs="Cambria"/>
          <w:sz w:val="24"/>
          <w:szCs w:val="24"/>
        </w:rPr>
        <w:t xml:space="preserve"> Synthetic jurisdictions are imposed on groups from the outside,</w:t>
      </w:r>
      <w:r w:rsidRPr="00411AE0">
        <w:rPr>
          <w:rFonts w:ascii="Garamond" w:eastAsia="Cambria" w:hAnsi="Garamond" w:cs="Cambria"/>
          <w:sz w:val="24"/>
          <w:szCs w:val="24"/>
          <w:vertAlign w:val="superscript"/>
        </w:rPr>
        <w:footnoteReference w:id="179"/>
      </w:r>
      <w:r w:rsidRPr="00411AE0">
        <w:rPr>
          <w:rFonts w:ascii="Garamond" w:eastAsia="Cambria" w:hAnsi="Garamond" w:cs="Cambria"/>
          <w:sz w:val="24"/>
          <w:szCs w:val="24"/>
        </w:rPr>
        <w:t xml:space="preserve"> and are formulated around ‘the individual’ (instead of the </w:t>
      </w:r>
      <w:r w:rsidR="00484FEB" w:rsidRPr="00411AE0">
        <w:rPr>
          <w:rFonts w:ascii="Garamond" w:eastAsia="Cambria" w:hAnsi="Garamond" w:cs="Cambria"/>
          <w:sz w:val="24"/>
          <w:szCs w:val="24"/>
        </w:rPr>
        <w:t>collective</w:t>
      </w:r>
      <w:r w:rsidRPr="00411AE0">
        <w:rPr>
          <w:rFonts w:ascii="Garamond" w:eastAsia="Cambria" w:hAnsi="Garamond" w:cs="Cambria"/>
          <w:sz w:val="24"/>
          <w:szCs w:val="24"/>
        </w:rPr>
        <w:t xml:space="preserve">)—a monad </w:t>
      </w:r>
      <w:r w:rsidR="00C55AEF">
        <w:rPr>
          <w:rFonts w:ascii="Garamond" w:eastAsia="Cambria" w:hAnsi="Garamond" w:cs="Cambria"/>
          <w:sz w:val="24"/>
          <w:szCs w:val="24"/>
        </w:rPr>
        <w:t xml:space="preserve">predominantly </w:t>
      </w:r>
      <w:r w:rsidRPr="00411AE0">
        <w:rPr>
          <w:rFonts w:ascii="Garamond" w:eastAsia="Cambria" w:hAnsi="Garamond" w:cs="Cambria"/>
          <w:sz w:val="24"/>
          <w:szCs w:val="24"/>
        </w:rPr>
        <w:t>depicted as a rational, profit maximising citizen—</w:t>
      </w:r>
      <w:r w:rsidR="00484FEB" w:rsidRPr="00411AE0">
        <w:rPr>
          <w:rFonts w:ascii="Garamond" w:eastAsia="Cambria" w:hAnsi="Garamond" w:cs="Cambria"/>
          <w:sz w:val="24"/>
          <w:szCs w:val="24"/>
        </w:rPr>
        <w:t>which</w:t>
      </w:r>
      <w:r w:rsidR="00C55AEF">
        <w:rPr>
          <w:rFonts w:ascii="Garamond" w:eastAsia="Cambria" w:hAnsi="Garamond" w:cs="Cambria"/>
          <w:sz w:val="24"/>
          <w:szCs w:val="24"/>
        </w:rPr>
        <w:t>,</w:t>
      </w:r>
      <w:r w:rsidR="00484FEB" w:rsidRPr="00411AE0">
        <w:rPr>
          <w:rFonts w:ascii="Garamond" w:eastAsia="Cambria" w:hAnsi="Garamond" w:cs="Cambria"/>
          <w:sz w:val="24"/>
          <w:szCs w:val="24"/>
        </w:rPr>
        <w:t xml:space="preserve"> as we have seen</w:t>
      </w:r>
      <w:r w:rsidR="00C55AEF">
        <w:rPr>
          <w:rFonts w:ascii="Garamond" w:eastAsia="Cambria" w:hAnsi="Garamond" w:cs="Cambria"/>
          <w:sz w:val="24"/>
          <w:szCs w:val="24"/>
        </w:rPr>
        <w:t>,</w:t>
      </w:r>
      <w:r w:rsidR="00484FEB" w:rsidRPr="00411AE0">
        <w:rPr>
          <w:rFonts w:ascii="Garamond" w:eastAsia="Cambria" w:hAnsi="Garamond" w:cs="Cambria"/>
          <w:sz w:val="24"/>
          <w:szCs w:val="24"/>
        </w:rPr>
        <w:t xml:space="preserve"> is </w:t>
      </w:r>
      <w:r w:rsidRPr="00411AE0">
        <w:rPr>
          <w:rFonts w:ascii="Garamond" w:eastAsia="Cambria" w:hAnsi="Garamond" w:cs="Cambria"/>
          <w:sz w:val="24"/>
          <w:szCs w:val="24"/>
        </w:rPr>
        <w:t>fundamental to the production of liberal legal subjects and neoliberal subjects alike</w:t>
      </w:r>
      <w:r w:rsidR="00B60652">
        <w:rPr>
          <w:rFonts w:ascii="Garamond" w:eastAsia="Cambria" w:hAnsi="Garamond" w:cs="Cambria"/>
          <w:sz w:val="24"/>
          <w:szCs w:val="24"/>
        </w:rPr>
        <w:t xml:space="preserve">: </w:t>
      </w:r>
      <w:r w:rsidR="003558A8">
        <w:rPr>
          <w:rFonts w:ascii="Garamond" w:eastAsia="Cambria" w:hAnsi="Garamond" w:cs="Cambria"/>
          <w:sz w:val="24"/>
          <w:szCs w:val="24"/>
        </w:rPr>
        <w:t>‘</w:t>
      </w:r>
      <w:r w:rsidR="003558A8" w:rsidRPr="003558A8">
        <w:rPr>
          <w:rFonts w:ascii="Garamond" w:eastAsia="Cambria" w:hAnsi="Garamond" w:cs="Cambria"/>
          <w:sz w:val="24"/>
          <w:szCs w:val="24"/>
        </w:rPr>
        <w:t>Synthetic</w:t>
      </w:r>
      <w:r w:rsidR="003558A8" w:rsidRPr="00DB1F6D">
        <w:rPr>
          <w:rFonts w:ascii="Garamond" w:eastAsia="Cambria" w:hAnsi="Garamond" w:cs="Cambria"/>
          <w:sz w:val="24"/>
          <w:szCs w:val="24"/>
        </w:rPr>
        <w:t xml:space="preserve"> </w:t>
      </w:r>
      <w:r w:rsidR="003558A8" w:rsidRPr="00F1306A">
        <w:rPr>
          <w:rFonts w:ascii="Garamond" w:hAnsi="Garamond"/>
          <w:sz w:val="24"/>
          <w:szCs w:val="24"/>
        </w:rPr>
        <w:t>territory is fungible. Its occupants are mobile and rootless; they are rationa</w:t>
      </w:r>
      <w:r w:rsidR="005518BB" w:rsidRPr="005518BB">
        <w:rPr>
          <w:rFonts w:ascii="Garamond" w:hAnsi="Garamond"/>
          <w:sz w:val="24"/>
          <w:szCs w:val="24"/>
        </w:rPr>
        <w:t>l profit maximizers and techno</w:t>
      </w:r>
      <w:r w:rsidR="003558A8" w:rsidRPr="00C05CAD">
        <w:rPr>
          <w:rFonts w:ascii="Garamond" w:hAnsi="Garamond"/>
          <w:sz w:val="24"/>
          <w:szCs w:val="24"/>
        </w:rPr>
        <w:t>cratic modern citizens</w:t>
      </w:r>
      <w:r w:rsidR="00DB1F6D">
        <w:rPr>
          <w:rFonts w:ascii="Garamond" w:hAnsi="Garamond"/>
          <w:sz w:val="24"/>
          <w:szCs w:val="24"/>
        </w:rPr>
        <w:t>’</w:t>
      </w:r>
      <w:r w:rsidRPr="003558A8">
        <w:rPr>
          <w:rFonts w:ascii="Garamond" w:eastAsia="Cambria" w:hAnsi="Garamond" w:cs="Cambria"/>
          <w:sz w:val="24"/>
          <w:szCs w:val="24"/>
        </w:rPr>
        <w:t>.</w:t>
      </w:r>
      <w:r w:rsidRPr="003558A8">
        <w:rPr>
          <w:rFonts w:ascii="Garamond" w:eastAsia="Cambria" w:hAnsi="Garamond" w:cs="Cambria"/>
          <w:sz w:val="24"/>
          <w:szCs w:val="24"/>
          <w:vertAlign w:val="superscript"/>
        </w:rPr>
        <w:footnoteReference w:id="180"/>
      </w:r>
      <w:r w:rsidR="003558A8" w:rsidRPr="00C05CAD">
        <w:rPr>
          <w:rFonts w:ascii="Garamond" w:hAnsi="Garamond"/>
          <w:sz w:val="24"/>
          <w:szCs w:val="24"/>
        </w:rPr>
        <w:t xml:space="preserve"> </w:t>
      </w:r>
      <w:r w:rsidRPr="003558A8">
        <w:rPr>
          <w:rFonts w:ascii="Garamond" w:eastAsia="Cambria" w:hAnsi="Garamond" w:cs="Cambria"/>
          <w:sz w:val="24"/>
          <w:szCs w:val="24"/>
        </w:rPr>
        <w:br/>
      </w:r>
      <w:r w:rsidRPr="003558A8">
        <w:rPr>
          <w:rFonts w:ascii="Garamond" w:eastAsia="Cambria" w:hAnsi="Garamond" w:cs="Cambria"/>
          <w:sz w:val="24"/>
          <w:szCs w:val="24"/>
        </w:rPr>
        <w:tab/>
        <w:t>Historically, communities and jurisdictions conformed</w:t>
      </w:r>
      <w:r w:rsidR="00271F94" w:rsidRPr="00DB1F6D">
        <w:rPr>
          <w:rFonts w:ascii="Garamond" w:eastAsia="Cambria" w:hAnsi="Garamond" w:cs="Cambria"/>
          <w:sz w:val="24"/>
          <w:szCs w:val="24"/>
        </w:rPr>
        <w:t xml:space="preserve"> predominantly </w:t>
      </w:r>
      <w:r w:rsidRPr="00DB1F6D">
        <w:rPr>
          <w:rFonts w:ascii="Garamond" w:eastAsia="Cambria" w:hAnsi="Garamond" w:cs="Cambria"/>
          <w:sz w:val="24"/>
          <w:szCs w:val="24"/>
        </w:rPr>
        <w:t xml:space="preserve">to an organic, non-territorial typography. </w:t>
      </w:r>
      <w:r w:rsidR="008D0E91" w:rsidRPr="009145EE">
        <w:rPr>
          <w:rFonts w:ascii="Garamond" w:eastAsia="Cambria" w:hAnsi="Garamond" w:cs="Cambria"/>
          <w:sz w:val="24"/>
          <w:szCs w:val="24"/>
        </w:rPr>
        <w:t>I</w:t>
      </w:r>
      <w:r w:rsidRPr="009145EE">
        <w:rPr>
          <w:rFonts w:ascii="Garamond" w:eastAsia="Cambria" w:hAnsi="Garamond" w:cs="Cambria"/>
          <w:sz w:val="24"/>
          <w:szCs w:val="24"/>
        </w:rPr>
        <w:t>n pre-modern Europe, communities continued</w:t>
      </w:r>
      <w:r w:rsidRPr="00411AE0">
        <w:rPr>
          <w:rFonts w:ascii="Garamond" w:eastAsia="Cambria" w:hAnsi="Garamond" w:cs="Cambria"/>
          <w:sz w:val="24"/>
          <w:szCs w:val="24"/>
        </w:rPr>
        <w:t xml:space="preserve"> to be united by kinship </w:t>
      </w:r>
      <w:r w:rsidR="007022C2" w:rsidRPr="00411AE0">
        <w:rPr>
          <w:rFonts w:ascii="Garamond" w:eastAsia="Cambria" w:hAnsi="Garamond" w:cs="Cambria"/>
          <w:sz w:val="24"/>
          <w:szCs w:val="24"/>
        </w:rPr>
        <w:t>rather than</w:t>
      </w:r>
      <w:r w:rsidRPr="00411AE0">
        <w:rPr>
          <w:rFonts w:ascii="Garamond" w:eastAsia="Cambria" w:hAnsi="Garamond" w:cs="Cambria"/>
          <w:sz w:val="24"/>
          <w:szCs w:val="24"/>
        </w:rPr>
        <w:t xml:space="preserve"> </w:t>
      </w:r>
      <w:r w:rsidR="0026262F">
        <w:rPr>
          <w:rFonts w:ascii="Garamond" w:eastAsia="Cambria" w:hAnsi="Garamond" w:cs="Cambria"/>
          <w:sz w:val="24"/>
          <w:szCs w:val="24"/>
        </w:rPr>
        <w:t xml:space="preserve">by </w:t>
      </w:r>
      <w:r w:rsidRPr="00411AE0">
        <w:rPr>
          <w:rFonts w:ascii="Garamond" w:eastAsia="Cambria" w:hAnsi="Garamond" w:cs="Cambria"/>
          <w:sz w:val="24"/>
          <w:szCs w:val="24"/>
        </w:rPr>
        <w:t>territorial ties.</w:t>
      </w:r>
      <w:r w:rsidRPr="00411AE0">
        <w:rPr>
          <w:rFonts w:ascii="Garamond" w:eastAsia="Cambria" w:hAnsi="Garamond" w:cs="Cambria"/>
          <w:sz w:val="24"/>
          <w:szCs w:val="24"/>
          <w:vertAlign w:val="superscript"/>
        </w:rPr>
        <w:footnoteReference w:id="181"/>
      </w:r>
      <w:r w:rsidR="008D0E91"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Jurisdiction was thus </w:t>
      </w:r>
      <w:r w:rsidR="00931BBA" w:rsidRPr="00411AE0">
        <w:rPr>
          <w:rFonts w:ascii="Garamond" w:eastAsia="Cambria" w:hAnsi="Garamond" w:cs="Cambria"/>
          <w:sz w:val="24"/>
          <w:szCs w:val="24"/>
        </w:rPr>
        <w:t>a</w:t>
      </w:r>
      <w:r w:rsidR="007D0796">
        <w:rPr>
          <w:rFonts w:ascii="Garamond" w:eastAsia="Cambria" w:hAnsi="Garamond" w:cs="Cambria"/>
          <w:sz w:val="24"/>
          <w:szCs w:val="24"/>
        </w:rPr>
        <w:t>n attribute that flowed from a</w:t>
      </w:r>
      <w:r w:rsidR="00931BBA" w:rsidRPr="00411AE0">
        <w:rPr>
          <w:rFonts w:ascii="Garamond" w:eastAsia="Cambria" w:hAnsi="Garamond" w:cs="Cambria"/>
          <w:sz w:val="24"/>
          <w:szCs w:val="24"/>
        </w:rPr>
        <w:t xml:space="preserve"> </w:t>
      </w:r>
      <w:r w:rsidRPr="00411AE0">
        <w:rPr>
          <w:rFonts w:ascii="Garamond" w:eastAsia="Cambria" w:hAnsi="Garamond" w:cs="Cambria"/>
          <w:sz w:val="24"/>
          <w:szCs w:val="24"/>
        </w:rPr>
        <w:t>‘personal’</w:t>
      </w:r>
      <w:r w:rsidR="00DA71F4"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status, or, as </w:t>
      </w:r>
      <w:r w:rsidR="00850CA9">
        <w:rPr>
          <w:rFonts w:ascii="Garamond" w:eastAsia="Cambria" w:hAnsi="Garamond" w:cs="Cambria"/>
          <w:sz w:val="24"/>
          <w:szCs w:val="24"/>
        </w:rPr>
        <w:t xml:space="preserve">De Sousa </w:t>
      </w:r>
      <w:r w:rsidR="000275B9" w:rsidRPr="00411AE0">
        <w:rPr>
          <w:rFonts w:ascii="Garamond" w:eastAsia="Cambria" w:hAnsi="Garamond" w:cs="Cambria"/>
          <w:sz w:val="24"/>
          <w:szCs w:val="24"/>
        </w:rPr>
        <w:t xml:space="preserve">Santos </w:t>
      </w:r>
      <w:r w:rsidRPr="00411AE0">
        <w:rPr>
          <w:rFonts w:ascii="Garamond" w:eastAsia="Cambria" w:hAnsi="Garamond" w:cs="Cambria"/>
          <w:sz w:val="24"/>
          <w:szCs w:val="24"/>
        </w:rPr>
        <w:t xml:space="preserve">formulates it, </w:t>
      </w:r>
      <w:r w:rsidR="007D0796">
        <w:rPr>
          <w:rFonts w:ascii="Garamond" w:eastAsia="Cambria" w:hAnsi="Garamond" w:cs="Cambria"/>
          <w:sz w:val="24"/>
          <w:szCs w:val="24"/>
        </w:rPr>
        <w:t xml:space="preserve">jurisdiction was </w:t>
      </w:r>
      <w:r w:rsidRPr="00411AE0">
        <w:rPr>
          <w:rFonts w:ascii="Garamond" w:eastAsia="Cambria" w:hAnsi="Garamond" w:cs="Cambria"/>
          <w:sz w:val="24"/>
          <w:szCs w:val="24"/>
        </w:rPr>
        <w:t>‘egocentric’.</w:t>
      </w:r>
      <w:r w:rsidRPr="00411AE0">
        <w:rPr>
          <w:rFonts w:ascii="Garamond" w:eastAsia="Cambria" w:hAnsi="Garamond" w:cs="Cambria"/>
          <w:sz w:val="24"/>
          <w:szCs w:val="24"/>
          <w:vertAlign w:val="superscript"/>
        </w:rPr>
        <w:footnoteReference w:id="182"/>
      </w:r>
      <w:r w:rsidR="0026262F">
        <w:rPr>
          <w:rFonts w:ascii="Garamond" w:eastAsia="Cambria" w:hAnsi="Garamond" w:cs="Cambria"/>
          <w:sz w:val="24"/>
          <w:szCs w:val="24"/>
        </w:rPr>
        <w:t xml:space="preserve"> Thus, </w:t>
      </w:r>
      <w:r w:rsidR="00DA71F4" w:rsidRPr="00411AE0">
        <w:rPr>
          <w:rFonts w:ascii="Garamond" w:eastAsia="Cambria" w:hAnsi="Garamond" w:cs="Cambria"/>
          <w:sz w:val="24"/>
          <w:szCs w:val="24"/>
        </w:rPr>
        <w:t>e</w:t>
      </w:r>
      <w:r w:rsidRPr="00411AE0">
        <w:rPr>
          <w:rFonts w:ascii="Garamond" w:eastAsia="Cambria" w:hAnsi="Garamond" w:cs="Cambria"/>
          <w:sz w:val="24"/>
          <w:szCs w:val="24"/>
        </w:rPr>
        <w:t xml:space="preserve">arly modern European sovereignty was </w:t>
      </w:r>
      <w:r w:rsidR="007D0796">
        <w:rPr>
          <w:rFonts w:ascii="Garamond" w:eastAsia="Cambria" w:hAnsi="Garamond" w:cs="Cambria"/>
          <w:sz w:val="24"/>
          <w:szCs w:val="24"/>
        </w:rPr>
        <w:t>first</w:t>
      </w:r>
      <w:r w:rsidRPr="00411AE0">
        <w:rPr>
          <w:rFonts w:ascii="Garamond" w:eastAsia="Cambria" w:hAnsi="Garamond" w:cs="Cambria"/>
          <w:sz w:val="24"/>
          <w:szCs w:val="24"/>
        </w:rPr>
        <w:t xml:space="preserve"> ‘tribal’</w:t>
      </w:r>
      <w:r w:rsidR="007D0796">
        <w:rPr>
          <w:rFonts w:ascii="Garamond" w:eastAsia="Cambria" w:hAnsi="Garamond" w:cs="Cambria"/>
          <w:sz w:val="24"/>
          <w:szCs w:val="24"/>
        </w:rPr>
        <w:t xml:space="preserve"> and, later, </w:t>
      </w:r>
      <w:r w:rsidRPr="00411AE0">
        <w:rPr>
          <w:rFonts w:ascii="Garamond" w:eastAsia="Cambria" w:hAnsi="Garamond" w:cs="Cambria"/>
          <w:sz w:val="24"/>
          <w:szCs w:val="24"/>
        </w:rPr>
        <w:t xml:space="preserve"> ‘imperial’ and territory did not have </w:t>
      </w:r>
      <w:r w:rsidR="007D0796">
        <w:rPr>
          <w:rFonts w:ascii="Garamond" w:eastAsia="Cambria" w:hAnsi="Garamond" w:cs="Cambria"/>
          <w:sz w:val="24"/>
          <w:szCs w:val="24"/>
        </w:rPr>
        <w:t>the significance th</w:t>
      </w:r>
      <w:r w:rsidR="00706744">
        <w:rPr>
          <w:rFonts w:ascii="Garamond" w:eastAsia="Cambria" w:hAnsi="Garamond" w:cs="Cambria"/>
          <w:sz w:val="24"/>
          <w:szCs w:val="24"/>
        </w:rPr>
        <w:t xml:space="preserve">at would later </w:t>
      </w:r>
      <w:r w:rsidR="00E46CFF">
        <w:rPr>
          <w:rFonts w:ascii="Garamond" w:eastAsia="Cambria" w:hAnsi="Garamond" w:cs="Cambria"/>
          <w:sz w:val="24"/>
          <w:szCs w:val="24"/>
        </w:rPr>
        <w:t xml:space="preserve">attain </w:t>
      </w:r>
      <w:r w:rsidR="007D0796">
        <w:rPr>
          <w:rFonts w:ascii="Garamond" w:eastAsia="Cambria" w:hAnsi="Garamond" w:cs="Cambria"/>
          <w:sz w:val="24"/>
          <w:szCs w:val="24"/>
        </w:rPr>
        <w:t>through the formation of the sove</w:t>
      </w:r>
      <w:r w:rsidR="00E46CFF">
        <w:rPr>
          <w:rFonts w:ascii="Garamond" w:eastAsia="Cambria" w:hAnsi="Garamond" w:cs="Cambria"/>
          <w:sz w:val="24"/>
          <w:szCs w:val="24"/>
        </w:rPr>
        <w:t>reign, territorial nation state.</w:t>
      </w:r>
      <w:r w:rsidRPr="00411AE0">
        <w:rPr>
          <w:rFonts w:ascii="Garamond" w:eastAsia="Cambria" w:hAnsi="Garamond" w:cs="Cambria"/>
          <w:sz w:val="24"/>
          <w:szCs w:val="24"/>
          <w:vertAlign w:val="superscript"/>
        </w:rPr>
        <w:footnoteReference w:id="183"/>
      </w:r>
      <w:r w:rsidR="00DA71F4" w:rsidRPr="00411AE0">
        <w:rPr>
          <w:rFonts w:ascii="Garamond" w:eastAsia="Cambria" w:hAnsi="Garamond" w:cs="Cambria"/>
          <w:sz w:val="24"/>
          <w:szCs w:val="24"/>
        </w:rPr>
        <w:t xml:space="preserve"> </w:t>
      </w:r>
      <w:r w:rsidR="00E46CFF">
        <w:rPr>
          <w:rFonts w:ascii="Garamond" w:eastAsia="Cambria" w:hAnsi="Garamond" w:cs="Cambria"/>
          <w:sz w:val="24"/>
          <w:szCs w:val="24"/>
        </w:rPr>
        <w:t>T</w:t>
      </w:r>
      <w:r w:rsidRPr="00411AE0">
        <w:rPr>
          <w:rFonts w:ascii="Garamond" w:eastAsia="Cambria" w:hAnsi="Garamond" w:cs="Cambria"/>
          <w:sz w:val="24"/>
          <w:szCs w:val="24"/>
        </w:rPr>
        <w:t xml:space="preserve">wo </w:t>
      </w:r>
      <w:r w:rsidR="00DA71F4" w:rsidRPr="00411AE0">
        <w:rPr>
          <w:rFonts w:ascii="Garamond" w:eastAsia="Cambria" w:hAnsi="Garamond" w:cs="Cambria"/>
          <w:sz w:val="24"/>
          <w:szCs w:val="24"/>
        </w:rPr>
        <w:t>developments changed this</w:t>
      </w:r>
      <w:r w:rsidR="00E46CFF">
        <w:rPr>
          <w:rFonts w:ascii="Garamond" w:eastAsia="Cambria" w:hAnsi="Garamond" w:cs="Cambria"/>
          <w:sz w:val="24"/>
          <w:szCs w:val="24"/>
        </w:rPr>
        <w:t xml:space="preserve"> conception of sovereignty</w:t>
      </w:r>
      <w:r w:rsidR="00DA71F4" w:rsidRPr="00411AE0">
        <w:rPr>
          <w:rFonts w:ascii="Garamond" w:eastAsia="Cambria" w:hAnsi="Garamond" w:cs="Cambria"/>
          <w:sz w:val="24"/>
          <w:szCs w:val="24"/>
        </w:rPr>
        <w:t xml:space="preserve">: First, </w:t>
      </w:r>
      <w:r w:rsidRPr="00411AE0">
        <w:rPr>
          <w:rFonts w:ascii="Garamond" w:eastAsia="Cambria" w:hAnsi="Garamond" w:cs="Cambria"/>
          <w:sz w:val="24"/>
          <w:szCs w:val="24"/>
        </w:rPr>
        <w:t>the rational, humanist movement</w:t>
      </w:r>
      <w:r w:rsidR="00DA71F4" w:rsidRPr="00411AE0">
        <w:rPr>
          <w:rFonts w:ascii="Garamond" w:eastAsia="Cambria" w:hAnsi="Garamond" w:cs="Cambria"/>
          <w:sz w:val="24"/>
          <w:szCs w:val="24"/>
        </w:rPr>
        <w:t>,</w:t>
      </w:r>
      <w:r w:rsidRPr="00411AE0">
        <w:rPr>
          <w:rFonts w:ascii="Garamond" w:eastAsia="Cambria" w:hAnsi="Garamond" w:cs="Cambria"/>
          <w:sz w:val="24"/>
          <w:szCs w:val="24"/>
        </w:rPr>
        <w:t xml:space="preserve"> which marked the birth of the ‘individual’,</w:t>
      </w:r>
      <w:r w:rsidRPr="00411AE0">
        <w:rPr>
          <w:rFonts w:ascii="Garamond" w:eastAsia="Cambria" w:hAnsi="Garamond" w:cs="Cambria"/>
          <w:sz w:val="24"/>
          <w:szCs w:val="24"/>
          <w:vertAlign w:val="superscript"/>
        </w:rPr>
        <w:footnoteReference w:id="184"/>
      </w:r>
      <w:r w:rsidRPr="00411AE0">
        <w:rPr>
          <w:rFonts w:ascii="Garamond" w:eastAsia="Cambria" w:hAnsi="Garamond" w:cs="Cambria"/>
          <w:sz w:val="24"/>
          <w:szCs w:val="24"/>
        </w:rPr>
        <w:t xml:space="preserve"> and</w:t>
      </w:r>
      <w:r w:rsidR="00DA71F4" w:rsidRPr="00411AE0">
        <w:rPr>
          <w:rFonts w:ascii="Garamond" w:eastAsia="Cambria" w:hAnsi="Garamond" w:cs="Cambria"/>
          <w:sz w:val="24"/>
          <w:szCs w:val="24"/>
        </w:rPr>
        <w:t>, secondly,</w:t>
      </w:r>
      <w:r w:rsidRPr="00411AE0">
        <w:rPr>
          <w:rFonts w:ascii="Garamond" w:eastAsia="Cambria" w:hAnsi="Garamond" w:cs="Cambria"/>
          <w:sz w:val="24"/>
          <w:szCs w:val="24"/>
        </w:rPr>
        <w:t xml:space="preserve"> the development of cartography.</w:t>
      </w:r>
      <w:r w:rsidRPr="00411AE0">
        <w:rPr>
          <w:rFonts w:ascii="Garamond" w:eastAsia="Cambria" w:hAnsi="Garamond" w:cs="Cambria"/>
          <w:sz w:val="24"/>
          <w:szCs w:val="24"/>
          <w:vertAlign w:val="superscript"/>
        </w:rPr>
        <w:footnoteReference w:id="185"/>
      </w:r>
      <w:r w:rsidR="00FC5539" w:rsidRPr="00411AE0">
        <w:rPr>
          <w:rFonts w:ascii="Garamond" w:eastAsia="Cambria" w:hAnsi="Garamond" w:cs="Cambria"/>
          <w:sz w:val="24"/>
          <w:szCs w:val="24"/>
        </w:rPr>
        <w:br/>
      </w:r>
      <w:r w:rsidR="00FC5539" w:rsidRPr="00411AE0">
        <w:rPr>
          <w:rFonts w:ascii="Garamond" w:eastAsia="Cambria" w:hAnsi="Garamond" w:cs="Cambria"/>
          <w:sz w:val="24"/>
          <w:szCs w:val="24"/>
        </w:rPr>
        <w:tab/>
      </w:r>
      <w:r w:rsidRPr="00411AE0">
        <w:rPr>
          <w:rFonts w:ascii="Garamond" w:eastAsia="Cambria" w:hAnsi="Garamond" w:cs="Cambria"/>
          <w:sz w:val="24"/>
          <w:szCs w:val="24"/>
        </w:rPr>
        <w:t>The mapping of territory transfor</w:t>
      </w:r>
      <w:r w:rsidR="00DA71F4" w:rsidRPr="00411AE0">
        <w:rPr>
          <w:rFonts w:ascii="Garamond" w:eastAsia="Cambria" w:hAnsi="Garamond" w:cs="Cambria"/>
          <w:sz w:val="24"/>
          <w:szCs w:val="24"/>
        </w:rPr>
        <w:t>m</w:t>
      </w:r>
      <w:r w:rsidRPr="00411AE0">
        <w:rPr>
          <w:rFonts w:ascii="Garamond" w:eastAsia="Cambria" w:hAnsi="Garamond" w:cs="Cambria"/>
          <w:sz w:val="24"/>
          <w:szCs w:val="24"/>
        </w:rPr>
        <w:t>ed the focus of the connection between the sovereign authority (through jurisdiction) from personal status (clerics, feudal lords</w:t>
      </w:r>
      <w:r w:rsidR="00C26325" w:rsidRPr="00411AE0">
        <w:rPr>
          <w:rFonts w:ascii="Garamond" w:eastAsia="Cambria" w:hAnsi="Garamond" w:cs="Cambria"/>
          <w:sz w:val="24"/>
          <w:szCs w:val="24"/>
        </w:rPr>
        <w:t xml:space="preserve"> and</w:t>
      </w:r>
      <w:r w:rsidRPr="00411AE0">
        <w:rPr>
          <w:rFonts w:ascii="Garamond" w:eastAsia="Cambria" w:hAnsi="Garamond" w:cs="Cambria"/>
          <w:sz w:val="24"/>
          <w:szCs w:val="24"/>
        </w:rPr>
        <w:t xml:space="preserve"> merchant</w:t>
      </w:r>
      <w:r w:rsidR="00C26325" w:rsidRPr="00411AE0">
        <w:rPr>
          <w:rFonts w:ascii="Garamond" w:eastAsia="Cambria" w:hAnsi="Garamond" w:cs="Cambria"/>
          <w:sz w:val="24"/>
          <w:szCs w:val="24"/>
        </w:rPr>
        <w:t>s had separate courts</w:t>
      </w:r>
      <w:r w:rsidR="00E46CFF">
        <w:rPr>
          <w:rFonts w:ascii="Garamond" w:eastAsia="Cambria" w:hAnsi="Garamond" w:cs="Cambria"/>
          <w:sz w:val="24"/>
          <w:szCs w:val="24"/>
        </w:rPr>
        <w:t xml:space="preserve"> in earlier European political formations</w:t>
      </w:r>
      <w:r w:rsidR="00C26325" w:rsidRPr="00411AE0">
        <w:rPr>
          <w:rFonts w:ascii="Garamond" w:eastAsia="Cambria" w:hAnsi="Garamond" w:cs="Cambria"/>
          <w:sz w:val="24"/>
          <w:szCs w:val="24"/>
        </w:rPr>
        <w:t>)</w:t>
      </w:r>
      <w:r w:rsidRPr="00411AE0">
        <w:rPr>
          <w:rFonts w:ascii="Garamond" w:eastAsia="Cambria" w:hAnsi="Garamond" w:cs="Cambria"/>
          <w:sz w:val="24"/>
          <w:szCs w:val="24"/>
        </w:rPr>
        <w:t xml:space="preserve"> to an </w:t>
      </w:r>
      <w:r w:rsidR="000275B9" w:rsidRPr="00411AE0">
        <w:rPr>
          <w:rFonts w:ascii="Garamond" w:eastAsia="Cambria" w:hAnsi="Garamond" w:cs="Cambria"/>
          <w:sz w:val="24"/>
          <w:szCs w:val="24"/>
        </w:rPr>
        <w:t xml:space="preserve">initially </w:t>
      </w:r>
      <w:r w:rsidRPr="00411AE0">
        <w:rPr>
          <w:rFonts w:ascii="Garamond" w:eastAsia="Cambria" w:hAnsi="Garamond" w:cs="Cambria"/>
          <w:sz w:val="24"/>
          <w:szCs w:val="24"/>
        </w:rPr>
        <w:t xml:space="preserve">political and, later, </w:t>
      </w:r>
      <w:r w:rsidR="00205DB9">
        <w:rPr>
          <w:rFonts w:ascii="Garamond" w:eastAsia="Cambria" w:hAnsi="Garamond" w:cs="Cambria"/>
          <w:sz w:val="24"/>
          <w:szCs w:val="24"/>
        </w:rPr>
        <w:t xml:space="preserve">to </w:t>
      </w:r>
      <w:r w:rsidR="003842ED" w:rsidRPr="00411AE0">
        <w:rPr>
          <w:rFonts w:ascii="Garamond" w:eastAsia="Cambria" w:hAnsi="Garamond" w:cs="Cambria"/>
          <w:sz w:val="24"/>
          <w:szCs w:val="24"/>
        </w:rPr>
        <w:t xml:space="preserve">a </w:t>
      </w:r>
      <w:r w:rsidRPr="00411AE0">
        <w:rPr>
          <w:rFonts w:ascii="Garamond" w:eastAsia="Cambria" w:hAnsi="Garamond" w:cs="Cambria"/>
          <w:sz w:val="24"/>
          <w:szCs w:val="24"/>
        </w:rPr>
        <w:t>territorial connection.</w:t>
      </w:r>
      <w:r w:rsidRPr="00411AE0">
        <w:rPr>
          <w:rFonts w:ascii="Garamond" w:eastAsia="Cambria" w:hAnsi="Garamond" w:cs="Cambria"/>
          <w:sz w:val="24"/>
          <w:szCs w:val="24"/>
          <w:vertAlign w:val="superscript"/>
        </w:rPr>
        <w:footnoteReference w:id="186"/>
      </w:r>
      <w:r w:rsidRPr="00411AE0">
        <w:rPr>
          <w:rFonts w:ascii="Garamond" w:eastAsia="Cambria" w:hAnsi="Garamond" w:cs="Cambria"/>
          <w:sz w:val="24"/>
          <w:szCs w:val="24"/>
        </w:rPr>
        <w:t xml:space="preserve"> The concept</w:t>
      </w:r>
      <w:r w:rsidR="00205DB9">
        <w:rPr>
          <w:rFonts w:ascii="Garamond" w:eastAsia="Cambria" w:hAnsi="Garamond" w:cs="Cambria"/>
          <w:sz w:val="24"/>
          <w:szCs w:val="24"/>
        </w:rPr>
        <w:t xml:space="preserve"> of</w:t>
      </w:r>
      <w:r w:rsidRPr="00411AE0">
        <w:rPr>
          <w:rFonts w:ascii="Garamond" w:eastAsia="Cambria" w:hAnsi="Garamond" w:cs="Cambria"/>
          <w:sz w:val="24"/>
          <w:szCs w:val="24"/>
        </w:rPr>
        <w:t xml:space="preserve"> </w:t>
      </w:r>
      <w:r w:rsidR="00342018">
        <w:rPr>
          <w:rFonts w:ascii="Garamond" w:eastAsia="Cambria" w:hAnsi="Garamond" w:cs="Cambria"/>
          <w:sz w:val="24"/>
          <w:szCs w:val="24"/>
        </w:rPr>
        <w:t xml:space="preserve">territorial </w:t>
      </w:r>
      <w:r w:rsidRPr="00411AE0">
        <w:rPr>
          <w:rFonts w:ascii="Garamond" w:eastAsia="Cambria" w:hAnsi="Garamond" w:cs="Cambria"/>
          <w:sz w:val="24"/>
          <w:szCs w:val="24"/>
        </w:rPr>
        <w:t>jurisdiction</w:t>
      </w:r>
      <w:r w:rsidR="00E46CFF">
        <w:rPr>
          <w:rFonts w:ascii="Garamond" w:eastAsia="Cambria" w:hAnsi="Garamond" w:cs="Cambria"/>
          <w:sz w:val="24"/>
          <w:szCs w:val="24"/>
        </w:rPr>
        <w:t xml:space="preserve"> thus evolved alongside that of the territorial nation-state and</w:t>
      </w:r>
      <w:r w:rsidRPr="00411AE0">
        <w:rPr>
          <w:rFonts w:ascii="Garamond" w:eastAsia="Cambria" w:hAnsi="Garamond" w:cs="Cambria"/>
          <w:sz w:val="24"/>
          <w:szCs w:val="24"/>
        </w:rPr>
        <w:t xml:space="preserve"> a territorially bounded spatial </w:t>
      </w:r>
      <w:r w:rsidR="00C53964" w:rsidRPr="00411AE0">
        <w:rPr>
          <w:rFonts w:ascii="Garamond" w:eastAsia="Cambria" w:hAnsi="Garamond" w:cs="Cambria"/>
          <w:sz w:val="24"/>
          <w:szCs w:val="24"/>
        </w:rPr>
        <w:t xml:space="preserve">connection </w:t>
      </w:r>
      <w:r w:rsidRPr="00411AE0">
        <w:rPr>
          <w:rFonts w:ascii="Garamond" w:eastAsia="Cambria" w:hAnsi="Garamond" w:cs="Cambria"/>
          <w:sz w:val="24"/>
          <w:szCs w:val="24"/>
        </w:rPr>
        <w:t xml:space="preserve">between the state and the </w:t>
      </w:r>
      <w:r w:rsidRPr="00411AE0">
        <w:rPr>
          <w:rFonts w:ascii="Garamond" w:eastAsia="Cambria" w:hAnsi="Garamond" w:cs="Cambria"/>
          <w:sz w:val="24"/>
          <w:szCs w:val="24"/>
        </w:rPr>
        <w:lastRenderedPageBreak/>
        <w:t>subject became the cornerstone of the modern nation</w:t>
      </w:r>
      <w:r w:rsidR="00DA71F4" w:rsidRPr="00411AE0">
        <w:rPr>
          <w:rFonts w:ascii="Garamond" w:eastAsia="Cambria" w:hAnsi="Garamond" w:cs="Cambria"/>
          <w:sz w:val="24"/>
          <w:szCs w:val="24"/>
        </w:rPr>
        <w:t>-</w:t>
      </w:r>
      <w:r w:rsidRPr="00411AE0">
        <w:rPr>
          <w:rFonts w:ascii="Garamond" w:eastAsia="Cambria" w:hAnsi="Garamond" w:cs="Cambria"/>
          <w:sz w:val="24"/>
          <w:szCs w:val="24"/>
        </w:rPr>
        <w:t>building project.</w:t>
      </w:r>
      <w:r w:rsidRPr="00411AE0">
        <w:rPr>
          <w:rFonts w:ascii="Garamond" w:eastAsia="Cambria" w:hAnsi="Garamond" w:cs="Cambria"/>
          <w:sz w:val="24"/>
          <w:szCs w:val="24"/>
          <w:vertAlign w:val="superscript"/>
        </w:rPr>
        <w:footnoteReference w:id="187"/>
      </w:r>
      <w:r w:rsidRPr="00411AE0">
        <w:rPr>
          <w:rFonts w:ascii="Garamond" w:eastAsia="Cambria" w:hAnsi="Garamond" w:cs="Cambria"/>
          <w:sz w:val="24"/>
          <w:szCs w:val="24"/>
        </w:rPr>
        <w:t xml:space="preserve"> In this project, the nation</w:t>
      </w:r>
      <w:r w:rsidR="00CA3CD2">
        <w:rPr>
          <w:rFonts w:ascii="Garamond" w:eastAsia="Cambria" w:hAnsi="Garamond" w:cs="Cambria"/>
          <w:sz w:val="24"/>
          <w:szCs w:val="24"/>
        </w:rPr>
        <w:t>-state</w:t>
      </w:r>
      <w:r w:rsidRPr="00411AE0">
        <w:rPr>
          <w:rFonts w:ascii="Garamond" w:eastAsia="Cambria" w:hAnsi="Garamond" w:cs="Cambria"/>
          <w:sz w:val="24"/>
          <w:szCs w:val="24"/>
        </w:rPr>
        <w:t xml:space="preserve"> featured as a self-regulating homeland,</w:t>
      </w:r>
      <w:r w:rsidRPr="00411AE0">
        <w:rPr>
          <w:rFonts w:ascii="Garamond" w:eastAsia="Cambria" w:hAnsi="Garamond" w:cs="Cambria"/>
          <w:sz w:val="24"/>
          <w:szCs w:val="24"/>
          <w:vertAlign w:val="superscript"/>
        </w:rPr>
        <w:footnoteReference w:id="188"/>
      </w:r>
      <w:r w:rsidRPr="00411AE0">
        <w:rPr>
          <w:rFonts w:ascii="Garamond" w:eastAsia="Cambria" w:hAnsi="Garamond" w:cs="Cambria"/>
          <w:sz w:val="24"/>
          <w:szCs w:val="24"/>
        </w:rPr>
        <w:t xml:space="preserve"> and jurisdictional technique articulated </w:t>
      </w:r>
      <w:r w:rsidR="00E46CFF">
        <w:rPr>
          <w:rFonts w:ascii="Garamond" w:eastAsia="Cambria" w:hAnsi="Garamond" w:cs="Cambria"/>
          <w:sz w:val="24"/>
          <w:szCs w:val="24"/>
        </w:rPr>
        <w:t>a</w:t>
      </w:r>
      <w:r w:rsidRPr="00411AE0">
        <w:rPr>
          <w:rFonts w:ascii="Garamond" w:eastAsia="Cambria" w:hAnsi="Garamond" w:cs="Cambria"/>
          <w:sz w:val="24"/>
          <w:szCs w:val="24"/>
        </w:rPr>
        <w:t xml:space="preserve"> political</w:t>
      </w:r>
      <w:r w:rsidR="00E46CFF">
        <w:rPr>
          <w:rFonts w:ascii="Garamond" w:eastAsia="Cambria" w:hAnsi="Garamond" w:cs="Cambria"/>
          <w:sz w:val="24"/>
          <w:szCs w:val="24"/>
        </w:rPr>
        <w:t xml:space="preserve"> (and geographic/spatial)</w:t>
      </w:r>
      <w:r w:rsidRPr="00411AE0">
        <w:rPr>
          <w:rFonts w:ascii="Garamond" w:eastAsia="Cambria" w:hAnsi="Garamond" w:cs="Cambria"/>
          <w:sz w:val="24"/>
          <w:szCs w:val="24"/>
        </w:rPr>
        <w:t xml:space="preserve"> division of the world and the limits of each sovereign state’s authority and power.</w:t>
      </w:r>
      <w:r w:rsidRPr="00411AE0">
        <w:rPr>
          <w:rFonts w:ascii="Garamond" w:eastAsia="Cambria" w:hAnsi="Garamond" w:cs="Cambria"/>
          <w:sz w:val="24"/>
          <w:szCs w:val="24"/>
          <w:vertAlign w:val="superscript"/>
        </w:rPr>
        <w:footnoteReference w:id="189"/>
      </w:r>
      <w:r w:rsidRPr="00411AE0">
        <w:rPr>
          <w:rFonts w:ascii="Garamond" w:eastAsia="Cambria" w:hAnsi="Garamond" w:cs="Cambria"/>
          <w:sz w:val="24"/>
          <w:szCs w:val="24"/>
        </w:rPr>
        <w:t xml:space="preserve"> Cartography</w:t>
      </w:r>
      <w:r w:rsidR="00864234" w:rsidRPr="00411AE0">
        <w:rPr>
          <w:rFonts w:ascii="Garamond" w:eastAsia="Cambria" w:hAnsi="Garamond" w:cs="Cambria"/>
          <w:sz w:val="24"/>
          <w:szCs w:val="24"/>
        </w:rPr>
        <w:t xml:space="preserve"> </w:t>
      </w:r>
      <w:r w:rsidR="00E46CFF" w:rsidRPr="00ED56E7">
        <w:rPr>
          <w:rFonts w:ascii="Garamond" w:eastAsia="Cambria" w:hAnsi="Garamond" w:cs="Cambria"/>
          <w:sz w:val="24"/>
          <w:szCs w:val="24"/>
        </w:rPr>
        <w:t>enabled</w:t>
      </w:r>
      <w:r w:rsidR="00864234" w:rsidRPr="00157CDF">
        <w:rPr>
          <w:rFonts w:ascii="Garamond" w:eastAsia="Cambria" w:hAnsi="Garamond" w:cs="Cambria"/>
          <w:sz w:val="24"/>
          <w:szCs w:val="24"/>
        </w:rPr>
        <w:t xml:space="preserve"> the marking of territory</w:t>
      </w:r>
      <w:r w:rsidR="00205DB9" w:rsidRPr="00157CDF">
        <w:rPr>
          <w:rFonts w:ascii="Garamond" w:eastAsia="Cambria" w:hAnsi="Garamond" w:cs="Cambria"/>
          <w:sz w:val="24"/>
          <w:szCs w:val="24"/>
        </w:rPr>
        <w:t>, and</w:t>
      </w:r>
      <w:r w:rsidRPr="00157CDF">
        <w:rPr>
          <w:rFonts w:ascii="Garamond" w:eastAsia="Cambria" w:hAnsi="Garamond" w:cs="Cambria"/>
          <w:sz w:val="24"/>
          <w:szCs w:val="24"/>
        </w:rPr>
        <w:t xml:space="preserve"> </w:t>
      </w:r>
      <w:r w:rsidR="00157CDF">
        <w:rPr>
          <w:rFonts w:ascii="Garamond" w:eastAsia="Cambria" w:hAnsi="Garamond" w:cs="Cambria"/>
          <w:sz w:val="24"/>
          <w:szCs w:val="24"/>
        </w:rPr>
        <w:t>with it</w:t>
      </w:r>
      <w:r w:rsidR="00157CDF" w:rsidRPr="00ED56E7">
        <w:rPr>
          <w:rFonts w:ascii="Garamond" w:eastAsia="Cambria" w:hAnsi="Garamond" w:cs="Cambria"/>
          <w:sz w:val="24"/>
          <w:szCs w:val="24"/>
        </w:rPr>
        <w:t xml:space="preserve"> </w:t>
      </w:r>
      <w:r w:rsidRPr="00ED56E7">
        <w:rPr>
          <w:rFonts w:ascii="Garamond" w:eastAsia="Cambria" w:hAnsi="Garamond" w:cs="Cambria"/>
          <w:sz w:val="24"/>
          <w:szCs w:val="24"/>
        </w:rPr>
        <w:t xml:space="preserve">the creation and policing of geographical borders </w:t>
      </w:r>
      <w:r w:rsidR="00DA71F4" w:rsidRPr="00157CDF">
        <w:rPr>
          <w:rFonts w:ascii="Garamond" w:eastAsia="Cambria" w:hAnsi="Garamond" w:cs="Cambria"/>
          <w:sz w:val="24"/>
          <w:szCs w:val="24"/>
        </w:rPr>
        <w:t xml:space="preserve">that ‘accurately’ </w:t>
      </w:r>
      <w:r w:rsidRPr="00157CDF">
        <w:rPr>
          <w:rFonts w:ascii="Garamond" w:eastAsia="Cambria" w:hAnsi="Garamond" w:cs="Cambria"/>
          <w:sz w:val="24"/>
          <w:szCs w:val="24"/>
        </w:rPr>
        <w:t>demarcated</w:t>
      </w:r>
      <w:r w:rsidR="00DA71F4" w:rsidRPr="00157CDF">
        <w:rPr>
          <w:rFonts w:ascii="Garamond" w:eastAsia="Cambria" w:hAnsi="Garamond" w:cs="Cambria"/>
          <w:sz w:val="24"/>
          <w:szCs w:val="24"/>
        </w:rPr>
        <w:t xml:space="preserve"> </w:t>
      </w:r>
      <w:r w:rsidRPr="00157CDF">
        <w:rPr>
          <w:rFonts w:ascii="Garamond" w:eastAsia="Cambria" w:hAnsi="Garamond" w:cs="Cambria"/>
          <w:sz w:val="24"/>
          <w:szCs w:val="24"/>
        </w:rPr>
        <w:t>the reach of the sovereign’s authority</w:t>
      </w:r>
      <w:r w:rsidR="00B546D0">
        <w:rPr>
          <w:rFonts w:ascii="Garamond" w:eastAsia="Cambria" w:hAnsi="Garamond" w:cs="Cambria"/>
          <w:sz w:val="24"/>
          <w:szCs w:val="24"/>
        </w:rPr>
        <w:t xml:space="preserve"> through </w:t>
      </w:r>
      <w:r w:rsidR="001817F5" w:rsidRPr="00157CDF">
        <w:rPr>
          <w:rFonts w:ascii="Garamond" w:eastAsia="Cambria" w:hAnsi="Garamond" w:cs="Cambria"/>
          <w:sz w:val="24"/>
          <w:szCs w:val="24"/>
        </w:rPr>
        <w:t>the emergence of ‘</w:t>
      </w:r>
      <w:r w:rsidR="001817F5" w:rsidRPr="00157CDF">
        <w:rPr>
          <w:rFonts w:ascii="Garamond" w:hAnsi="Garamond"/>
          <w:sz w:val="24"/>
          <w:szCs w:val="24"/>
        </w:rPr>
        <w:t>jurisdiction as a technology’.</w:t>
      </w:r>
      <w:r w:rsidR="001817F5" w:rsidRPr="00157CDF">
        <w:rPr>
          <w:rStyle w:val="FootnoteReference"/>
          <w:rFonts w:ascii="Garamond" w:hAnsi="Garamond"/>
          <w:sz w:val="24"/>
          <w:szCs w:val="24"/>
        </w:rPr>
        <w:footnoteReference w:id="190"/>
      </w:r>
      <w:r w:rsidR="00E46CFF" w:rsidRPr="00157CDF">
        <w:rPr>
          <w:rFonts w:ascii="Garamond" w:eastAsia="Cambria" w:hAnsi="Garamond" w:cs="Cambria"/>
          <w:sz w:val="24"/>
          <w:szCs w:val="24"/>
        </w:rPr>
        <w:t xml:space="preserve"> T</w:t>
      </w:r>
      <w:r w:rsidRPr="00157CDF">
        <w:rPr>
          <w:rFonts w:ascii="Garamond" w:eastAsia="Cambria" w:hAnsi="Garamond" w:cs="Cambria"/>
          <w:sz w:val="24"/>
          <w:szCs w:val="24"/>
        </w:rPr>
        <w:t xml:space="preserve">he mapping of Europe, and, later, of the </w:t>
      </w:r>
      <w:r w:rsidR="00DA71F4" w:rsidRPr="00157CDF">
        <w:rPr>
          <w:rFonts w:ascii="Garamond" w:eastAsia="Cambria" w:hAnsi="Garamond" w:cs="Cambria"/>
          <w:sz w:val="24"/>
          <w:szCs w:val="24"/>
        </w:rPr>
        <w:t xml:space="preserve">wider </w:t>
      </w:r>
      <w:r w:rsidRPr="00157CDF">
        <w:rPr>
          <w:rFonts w:ascii="Garamond" w:eastAsia="Cambria" w:hAnsi="Garamond" w:cs="Cambria"/>
          <w:sz w:val="24"/>
          <w:szCs w:val="24"/>
        </w:rPr>
        <w:t>world</w:t>
      </w:r>
      <w:r w:rsidR="00DA71F4" w:rsidRPr="00157CDF">
        <w:rPr>
          <w:rFonts w:ascii="Garamond" w:eastAsia="Cambria" w:hAnsi="Garamond" w:cs="Cambria"/>
          <w:sz w:val="24"/>
          <w:szCs w:val="24"/>
        </w:rPr>
        <w:t>,</w:t>
      </w:r>
      <w:r w:rsidRPr="00157CDF">
        <w:rPr>
          <w:rFonts w:ascii="Garamond" w:eastAsia="Cambria" w:hAnsi="Garamond" w:cs="Cambria"/>
          <w:sz w:val="24"/>
          <w:szCs w:val="24"/>
        </w:rPr>
        <w:t xml:space="preserve"> </w:t>
      </w:r>
      <w:r w:rsidR="00BE1BCD" w:rsidRPr="00157CDF">
        <w:rPr>
          <w:rFonts w:ascii="Garamond" w:eastAsia="Cambria" w:hAnsi="Garamond" w:cs="Cambria"/>
          <w:sz w:val="24"/>
          <w:szCs w:val="24"/>
        </w:rPr>
        <w:t xml:space="preserve">signalled </w:t>
      </w:r>
      <w:r w:rsidRPr="00157CDF">
        <w:rPr>
          <w:rFonts w:ascii="Garamond" w:eastAsia="Cambria" w:hAnsi="Garamond" w:cs="Cambria"/>
          <w:sz w:val="24"/>
          <w:szCs w:val="24"/>
        </w:rPr>
        <w:t xml:space="preserve">the </w:t>
      </w:r>
      <w:r w:rsidR="00BE1BCD" w:rsidRPr="00157CDF">
        <w:rPr>
          <w:rFonts w:ascii="Garamond" w:eastAsia="Cambria" w:hAnsi="Garamond" w:cs="Cambria"/>
          <w:sz w:val="24"/>
          <w:szCs w:val="24"/>
        </w:rPr>
        <w:t>emergence</w:t>
      </w:r>
      <w:r w:rsidRPr="00157CDF">
        <w:rPr>
          <w:rFonts w:ascii="Garamond" w:eastAsia="Cambria" w:hAnsi="Garamond" w:cs="Cambria"/>
          <w:sz w:val="24"/>
          <w:szCs w:val="24"/>
        </w:rPr>
        <w:t xml:space="preserve"> of a new typology of jurisdictional</w:t>
      </w:r>
      <w:r w:rsidR="00E46CFF" w:rsidRPr="00157CDF">
        <w:rPr>
          <w:rFonts w:ascii="Garamond" w:eastAsia="Cambria" w:hAnsi="Garamond" w:cs="Cambria"/>
          <w:sz w:val="24"/>
          <w:szCs w:val="24"/>
        </w:rPr>
        <w:t>, territorial</w:t>
      </w:r>
      <w:r w:rsidRPr="00ED56E7">
        <w:rPr>
          <w:rFonts w:ascii="Garamond" w:eastAsia="Cambria" w:hAnsi="Garamond" w:cs="Cambria"/>
          <w:sz w:val="24"/>
          <w:szCs w:val="24"/>
        </w:rPr>
        <w:t xml:space="preserve"> and geocentric </w:t>
      </w:r>
      <w:r w:rsidRPr="00157CDF">
        <w:rPr>
          <w:rFonts w:ascii="Garamond" w:eastAsia="Cambria" w:hAnsi="Garamond" w:cs="Cambria"/>
          <w:color w:val="000000" w:themeColor="text1"/>
          <w:sz w:val="24"/>
          <w:szCs w:val="24"/>
        </w:rPr>
        <w:t xml:space="preserve">legality. </w:t>
      </w:r>
      <w:r w:rsidR="00B65B70" w:rsidRPr="00157CDF">
        <w:rPr>
          <w:rFonts w:ascii="Garamond" w:eastAsia="Cambria" w:hAnsi="Garamond" w:cs="Cambria"/>
          <w:color w:val="000000" w:themeColor="text1"/>
          <w:sz w:val="24"/>
          <w:szCs w:val="24"/>
        </w:rPr>
        <w:t xml:space="preserve">This </w:t>
      </w:r>
      <w:r w:rsidR="00CC62EB" w:rsidRPr="00157CDF">
        <w:rPr>
          <w:rFonts w:ascii="Garamond" w:eastAsia="Cambria" w:hAnsi="Garamond" w:cs="Cambria"/>
          <w:color w:val="000000" w:themeColor="text1"/>
          <w:sz w:val="24"/>
          <w:szCs w:val="24"/>
        </w:rPr>
        <w:t xml:space="preserve">development </w:t>
      </w:r>
      <w:r w:rsidR="00B65B70" w:rsidRPr="00157CDF">
        <w:rPr>
          <w:rFonts w:ascii="Garamond" w:eastAsia="Cambria" w:hAnsi="Garamond" w:cs="Cambria"/>
          <w:color w:val="000000" w:themeColor="text1"/>
          <w:sz w:val="24"/>
          <w:szCs w:val="24"/>
        </w:rPr>
        <w:t>did not</w:t>
      </w:r>
      <w:r w:rsidR="00CC62EB" w:rsidRPr="00157CDF">
        <w:rPr>
          <w:rFonts w:ascii="Garamond" w:eastAsia="Cambria" w:hAnsi="Garamond" w:cs="Cambria"/>
          <w:color w:val="000000" w:themeColor="text1"/>
          <w:sz w:val="24"/>
          <w:szCs w:val="24"/>
        </w:rPr>
        <w:t>, however</w:t>
      </w:r>
      <w:r w:rsidR="00CC62EB" w:rsidRPr="00411AE0">
        <w:rPr>
          <w:rFonts w:ascii="Garamond" w:eastAsia="Cambria" w:hAnsi="Garamond" w:cs="Cambria"/>
          <w:color w:val="000000" w:themeColor="text1"/>
          <w:sz w:val="24"/>
          <w:szCs w:val="24"/>
        </w:rPr>
        <w:t>,</w:t>
      </w:r>
      <w:r w:rsidR="00B65B70" w:rsidRPr="00411AE0">
        <w:rPr>
          <w:rFonts w:ascii="Garamond" w:eastAsia="Cambria" w:hAnsi="Garamond" w:cs="Cambria"/>
          <w:color w:val="000000" w:themeColor="text1"/>
          <w:sz w:val="24"/>
          <w:szCs w:val="24"/>
        </w:rPr>
        <w:t xml:space="preserve"> eliminate personal or egocentric jurisdictional technique</w:t>
      </w:r>
      <w:r w:rsidR="00CC62EB" w:rsidRPr="00411AE0">
        <w:rPr>
          <w:rFonts w:ascii="Garamond" w:eastAsia="Cambria" w:hAnsi="Garamond" w:cs="Cambria"/>
          <w:color w:val="000000" w:themeColor="text1"/>
          <w:sz w:val="24"/>
          <w:szCs w:val="24"/>
        </w:rPr>
        <w:t>—</w:t>
      </w:r>
      <w:r w:rsidR="00B65B70" w:rsidRPr="00411AE0">
        <w:rPr>
          <w:rFonts w:ascii="Garamond" w:eastAsia="Cambria" w:hAnsi="Garamond" w:cs="Cambria"/>
          <w:color w:val="000000" w:themeColor="text1"/>
          <w:sz w:val="24"/>
          <w:szCs w:val="24"/>
        </w:rPr>
        <w:t>w</w:t>
      </w:r>
      <w:r w:rsidRPr="00411AE0">
        <w:rPr>
          <w:rFonts w:ascii="Garamond" w:eastAsia="Cambria" w:hAnsi="Garamond" w:cs="Cambria"/>
          <w:color w:val="000000" w:themeColor="text1"/>
          <w:sz w:val="24"/>
          <w:szCs w:val="24"/>
        </w:rPr>
        <w:t xml:space="preserve">hen European states expanded </w:t>
      </w:r>
      <w:r w:rsidR="00FC5539" w:rsidRPr="00411AE0">
        <w:rPr>
          <w:rFonts w:ascii="Garamond" w:eastAsia="Cambria" w:hAnsi="Garamond" w:cs="Cambria"/>
          <w:color w:val="000000" w:themeColor="text1"/>
          <w:sz w:val="24"/>
          <w:szCs w:val="24"/>
        </w:rPr>
        <w:t xml:space="preserve">their imperial ambitions overseas </w:t>
      </w:r>
      <w:r w:rsidR="00C53964" w:rsidRPr="00411AE0">
        <w:rPr>
          <w:rFonts w:ascii="Garamond" w:eastAsia="Cambria" w:hAnsi="Garamond" w:cs="Cambria"/>
          <w:color w:val="000000" w:themeColor="text1"/>
          <w:sz w:val="24"/>
          <w:szCs w:val="24"/>
        </w:rPr>
        <w:t>b</w:t>
      </w:r>
      <w:r w:rsidRPr="00411AE0">
        <w:rPr>
          <w:rFonts w:ascii="Garamond" w:eastAsia="Cambria" w:hAnsi="Garamond" w:cs="Cambria"/>
          <w:color w:val="000000" w:themeColor="text1"/>
          <w:sz w:val="24"/>
          <w:szCs w:val="24"/>
        </w:rPr>
        <w:t>oth personal and territorial</w:t>
      </w:r>
      <w:r w:rsidR="00FC5539" w:rsidRPr="00411AE0">
        <w:rPr>
          <w:rFonts w:ascii="Garamond" w:eastAsia="Cambria" w:hAnsi="Garamond" w:cs="Cambria"/>
          <w:color w:val="000000" w:themeColor="text1"/>
          <w:sz w:val="24"/>
          <w:szCs w:val="24"/>
        </w:rPr>
        <w:t xml:space="preserve"> </w:t>
      </w:r>
      <w:r w:rsidR="00C53964" w:rsidRPr="00411AE0">
        <w:rPr>
          <w:rFonts w:ascii="Garamond" w:eastAsia="Cambria" w:hAnsi="Garamond" w:cs="Cambria"/>
          <w:color w:val="000000" w:themeColor="text1"/>
          <w:sz w:val="24"/>
          <w:szCs w:val="24"/>
        </w:rPr>
        <w:t>(</w:t>
      </w:r>
      <w:r w:rsidRPr="00411AE0">
        <w:rPr>
          <w:rFonts w:ascii="Garamond" w:eastAsia="Cambria" w:hAnsi="Garamond" w:cs="Cambria"/>
          <w:color w:val="000000" w:themeColor="text1"/>
          <w:sz w:val="24"/>
          <w:szCs w:val="24"/>
        </w:rPr>
        <w:t>egocentric and geocentric</w:t>
      </w:r>
      <w:r w:rsidR="00C53964" w:rsidRPr="00411AE0">
        <w:rPr>
          <w:rFonts w:ascii="Garamond" w:eastAsia="Cambria" w:hAnsi="Garamond" w:cs="Cambria"/>
          <w:color w:val="000000" w:themeColor="text1"/>
          <w:sz w:val="24"/>
          <w:szCs w:val="24"/>
        </w:rPr>
        <w:t>)</w:t>
      </w:r>
      <w:r w:rsidRPr="00411AE0">
        <w:rPr>
          <w:rFonts w:ascii="Garamond" w:eastAsia="Cambria" w:hAnsi="Garamond" w:cs="Cambria"/>
          <w:color w:val="000000" w:themeColor="text1"/>
          <w:sz w:val="24"/>
          <w:szCs w:val="24"/>
        </w:rPr>
        <w:t xml:space="preserve"> models </w:t>
      </w:r>
      <w:r w:rsidR="00DA71F4" w:rsidRPr="00411AE0">
        <w:rPr>
          <w:rFonts w:ascii="Garamond" w:eastAsia="Cambria" w:hAnsi="Garamond" w:cs="Cambria"/>
          <w:color w:val="000000" w:themeColor="text1"/>
          <w:sz w:val="24"/>
          <w:szCs w:val="24"/>
        </w:rPr>
        <w:t xml:space="preserve">of jurisdiction </w:t>
      </w:r>
      <w:r w:rsidR="00CC62EB" w:rsidRPr="00411AE0">
        <w:rPr>
          <w:rFonts w:ascii="Garamond" w:eastAsia="Cambria" w:hAnsi="Garamond" w:cs="Cambria"/>
          <w:color w:val="000000" w:themeColor="text1"/>
          <w:sz w:val="24"/>
          <w:szCs w:val="24"/>
        </w:rPr>
        <w:t>were</w:t>
      </w:r>
      <w:r w:rsidRPr="00411AE0">
        <w:rPr>
          <w:rFonts w:ascii="Garamond" w:eastAsia="Cambria" w:hAnsi="Garamond" w:cs="Cambria"/>
          <w:color w:val="000000" w:themeColor="text1"/>
          <w:sz w:val="24"/>
          <w:szCs w:val="24"/>
        </w:rPr>
        <w:t xml:space="preserve"> deployed</w:t>
      </w:r>
      <w:r w:rsidR="002A5831">
        <w:rPr>
          <w:rFonts w:ascii="Garamond" w:eastAsia="Cambria" w:hAnsi="Garamond" w:cs="Cambria"/>
          <w:color w:val="000000" w:themeColor="text1"/>
          <w:sz w:val="24"/>
          <w:szCs w:val="24"/>
        </w:rPr>
        <w:t>,</w:t>
      </w:r>
      <w:r w:rsidR="002C4377" w:rsidRPr="00411AE0">
        <w:rPr>
          <w:rFonts w:ascii="Garamond" w:eastAsia="Cambria" w:hAnsi="Garamond" w:cs="Cambria"/>
          <w:color w:val="000000" w:themeColor="text1"/>
          <w:sz w:val="24"/>
          <w:szCs w:val="24"/>
        </w:rPr>
        <w:t xml:space="preserve"> as</w:t>
      </w:r>
      <w:r w:rsidR="002A5831">
        <w:rPr>
          <w:rFonts w:ascii="Garamond" w:eastAsia="Cambria" w:hAnsi="Garamond" w:cs="Cambria"/>
          <w:color w:val="000000" w:themeColor="text1"/>
          <w:sz w:val="24"/>
          <w:szCs w:val="24"/>
        </w:rPr>
        <w:t xml:space="preserve"> and when</w:t>
      </w:r>
      <w:r w:rsidR="002C4377" w:rsidRPr="00411AE0">
        <w:rPr>
          <w:rFonts w:ascii="Garamond" w:eastAsia="Cambria" w:hAnsi="Garamond" w:cs="Cambria"/>
          <w:color w:val="000000" w:themeColor="text1"/>
          <w:sz w:val="24"/>
          <w:szCs w:val="24"/>
        </w:rPr>
        <w:t xml:space="preserve"> </w:t>
      </w:r>
      <w:r w:rsidR="00FC5539" w:rsidRPr="00411AE0">
        <w:rPr>
          <w:rFonts w:ascii="Garamond" w:eastAsia="Cambria" w:hAnsi="Garamond" w:cs="Cambria"/>
          <w:sz w:val="24"/>
          <w:szCs w:val="24"/>
        </w:rPr>
        <w:t>required</w:t>
      </w:r>
      <w:r w:rsidR="002A5831">
        <w:rPr>
          <w:rFonts w:ascii="Garamond" w:eastAsia="Cambria" w:hAnsi="Garamond" w:cs="Cambria"/>
          <w:sz w:val="24"/>
          <w:szCs w:val="24"/>
        </w:rPr>
        <w:t>,</w:t>
      </w:r>
      <w:r w:rsidR="00FC5539" w:rsidRPr="00411AE0">
        <w:rPr>
          <w:rFonts w:ascii="Garamond" w:eastAsia="Cambria" w:hAnsi="Garamond" w:cs="Cambria"/>
          <w:sz w:val="24"/>
          <w:szCs w:val="24"/>
        </w:rPr>
        <w:t xml:space="preserve"> in the service of </w:t>
      </w:r>
      <w:r w:rsidRPr="00411AE0">
        <w:rPr>
          <w:rFonts w:ascii="Garamond" w:eastAsia="Cambria" w:hAnsi="Garamond" w:cs="Cambria"/>
          <w:sz w:val="24"/>
          <w:szCs w:val="24"/>
        </w:rPr>
        <w:t>dominating non</w:t>
      </w:r>
      <w:r w:rsidR="00FC5539" w:rsidRPr="00411AE0">
        <w:rPr>
          <w:rFonts w:ascii="Garamond" w:eastAsia="Cambria" w:hAnsi="Garamond" w:cs="Cambria"/>
          <w:sz w:val="24"/>
          <w:szCs w:val="24"/>
        </w:rPr>
        <w:t>-</w:t>
      </w:r>
      <w:r w:rsidRPr="00411AE0">
        <w:rPr>
          <w:rFonts w:ascii="Garamond" w:eastAsia="Cambria" w:hAnsi="Garamond" w:cs="Cambria"/>
          <w:sz w:val="24"/>
          <w:szCs w:val="24"/>
        </w:rPr>
        <w:t xml:space="preserve">European subjects and </w:t>
      </w:r>
      <w:r w:rsidR="007B1722" w:rsidRPr="00411AE0">
        <w:rPr>
          <w:rFonts w:ascii="Garamond" w:eastAsia="Cambria" w:hAnsi="Garamond" w:cs="Cambria"/>
          <w:sz w:val="24"/>
          <w:szCs w:val="24"/>
        </w:rPr>
        <w:t xml:space="preserve">appropriating </w:t>
      </w:r>
      <w:r w:rsidRPr="00411AE0">
        <w:rPr>
          <w:rFonts w:ascii="Garamond" w:eastAsia="Cambria" w:hAnsi="Garamond" w:cs="Cambria"/>
          <w:sz w:val="24"/>
          <w:szCs w:val="24"/>
        </w:rPr>
        <w:t>their land.</w:t>
      </w:r>
      <w:r w:rsidRPr="00411AE0">
        <w:rPr>
          <w:rFonts w:ascii="Garamond" w:eastAsia="Cambria" w:hAnsi="Garamond" w:cs="Cambria"/>
          <w:sz w:val="24"/>
          <w:szCs w:val="24"/>
          <w:vertAlign w:val="superscript"/>
        </w:rPr>
        <w:footnoteReference w:id="191"/>
      </w:r>
      <w:r w:rsidRPr="00411AE0">
        <w:rPr>
          <w:rFonts w:ascii="Garamond" w:eastAsia="Cambria" w:hAnsi="Garamond" w:cs="Cambria"/>
          <w:sz w:val="24"/>
          <w:szCs w:val="24"/>
        </w:rPr>
        <w:t xml:space="preserve"> Jurisdictional technique was </w:t>
      </w:r>
      <w:r w:rsidR="00DA71F4" w:rsidRPr="00411AE0">
        <w:rPr>
          <w:rFonts w:ascii="Garamond" w:eastAsia="Cambria" w:hAnsi="Garamond" w:cs="Cambria"/>
          <w:sz w:val="24"/>
          <w:szCs w:val="24"/>
        </w:rPr>
        <w:t xml:space="preserve">thus </w:t>
      </w:r>
      <w:r w:rsidRPr="00411AE0">
        <w:rPr>
          <w:rFonts w:ascii="Garamond" w:eastAsia="Cambria" w:hAnsi="Garamond" w:cs="Cambria"/>
          <w:sz w:val="24"/>
          <w:szCs w:val="24"/>
        </w:rPr>
        <w:t>decisive in shaping the new national polity’s authority</w:t>
      </w:r>
      <w:r w:rsidRPr="00411AE0">
        <w:rPr>
          <w:rFonts w:ascii="Garamond" w:eastAsia="Cambria" w:hAnsi="Garamond" w:cs="Cambria"/>
          <w:sz w:val="24"/>
          <w:szCs w:val="24"/>
          <w:vertAlign w:val="superscript"/>
        </w:rPr>
        <w:footnoteReference w:id="192"/>
      </w:r>
      <w:r w:rsidRPr="00411AE0">
        <w:rPr>
          <w:rFonts w:ascii="Garamond" w:eastAsia="Cambria" w:hAnsi="Garamond" w:cs="Cambria"/>
          <w:sz w:val="24"/>
          <w:szCs w:val="24"/>
        </w:rPr>
        <w:t xml:space="preserve"> and in the production of </w:t>
      </w:r>
      <w:r w:rsidR="00DA71F4" w:rsidRPr="00411AE0">
        <w:rPr>
          <w:rFonts w:ascii="Garamond" w:eastAsia="Cambria" w:hAnsi="Garamond" w:cs="Cambria"/>
          <w:sz w:val="24"/>
          <w:szCs w:val="24"/>
        </w:rPr>
        <w:t xml:space="preserve">forms of privileged and subjected </w:t>
      </w:r>
      <w:r w:rsidRPr="00411AE0">
        <w:rPr>
          <w:rFonts w:ascii="Garamond" w:eastAsia="Cambria" w:hAnsi="Garamond" w:cs="Cambria"/>
          <w:sz w:val="24"/>
          <w:szCs w:val="24"/>
        </w:rPr>
        <w:t>political and social identity.</w:t>
      </w:r>
      <w:r w:rsidRPr="00411AE0">
        <w:rPr>
          <w:rFonts w:ascii="Garamond" w:eastAsia="Cambria" w:hAnsi="Garamond" w:cs="Cambria"/>
          <w:sz w:val="24"/>
          <w:szCs w:val="24"/>
          <w:vertAlign w:val="superscript"/>
        </w:rPr>
        <w:footnoteReference w:id="193"/>
      </w:r>
      <w:r w:rsidRPr="00411AE0">
        <w:rPr>
          <w:rFonts w:ascii="Garamond" w:eastAsia="Cambria" w:hAnsi="Garamond" w:cs="Cambria"/>
          <w:sz w:val="24"/>
          <w:szCs w:val="24"/>
        </w:rPr>
        <w:t xml:space="preserve"> </w:t>
      </w:r>
      <w:r w:rsidR="00DA71F4" w:rsidRPr="00411AE0">
        <w:rPr>
          <w:rFonts w:ascii="Garamond" w:eastAsia="Cambria" w:hAnsi="Garamond" w:cs="Cambria"/>
          <w:sz w:val="24"/>
          <w:szCs w:val="24"/>
        </w:rPr>
        <w:t xml:space="preserve">Such technique </w:t>
      </w:r>
      <w:r w:rsidRPr="00411AE0">
        <w:rPr>
          <w:rFonts w:ascii="Garamond" w:eastAsia="Cambria" w:hAnsi="Garamond" w:cs="Cambria"/>
          <w:sz w:val="24"/>
          <w:szCs w:val="24"/>
        </w:rPr>
        <w:t xml:space="preserve">was also central to the </w:t>
      </w:r>
      <w:r w:rsidR="00251061">
        <w:rPr>
          <w:rFonts w:ascii="Garamond" w:eastAsia="Cambria" w:hAnsi="Garamond" w:cs="Cambria"/>
          <w:sz w:val="24"/>
          <w:szCs w:val="24"/>
        </w:rPr>
        <w:t>claim and exercise</w:t>
      </w:r>
      <w:r w:rsidR="00251061" w:rsidRPr="00411AE0">
        <w:rPr>
          <w:rFonts w:ascii="Garamond" w:eastAsia="Cambria" w:hAnsi="Garamond" w:cs="Cambria"/>
          <w:sz w:val="24"/>
          <w:szCs w:val="24"/>
        </w:rPr>
        <w:t xml:space="preserve"> </w:t>
      </w:r>
      <w:r w:rsidR="00FC5539" w:rsidRPr="00411AE0">
        <w:rPr>
          <w:rFonts w:ascii="Garamond" w:eastAsia="Cambria" w:hAnsi="Garamond" w:cs="Cambria"/>
          <w:sz w:val="24"/>
          <w:szCs w:val="24"/>
        </w:rPr>
        <w:t xml:space="preserve">of </w:t>
      </w:r>
      <w:r w:rsidRPr="00411AE0">
        <w:rPr>
          <w:rFonts w:ascii="Garamond" w:eastAsia="Cambria" w:hAnsi="Garamond" w:cs="Cambria"/>
          <w:i/>
          <w:sz w:val="24"/>
          <w:szCs w:val="24"/>
        </w:rPr>
        <w:t>dominium</w:t>
      </w:r>
      <w:r w:rsidR="00C86489" w:rsidRPr="00411AE0">
        <w:rPr>
          <w:rFonts w:ascii="Garamond" w:eastAsia="Cambria" w:hAnsi="Garamond" w:cs="Cambria"/>
          <w:sz w:val="24"/>
          <w:szCs w:val="24"/>
        </w:rPr>
        <w:t xml:space="preserve">, </w:t>
      </w:r>
      <w:r w:rsidR="00251061">
        <w:rPr>
          <w:rFonts w:ascii="Garamond" w:eastAsia="Cambria" w:hAnsi="Garamond" w:cs="Cambria"/>
          <w:sz w:val="24"/>
          <w:szCs w:val="24"/>
        </w:rPr>
        <w:t xml:space="preserve">and to </w:t>
      </w:r>
      <w:r w:rsidR="00864234" w:rsidRPr="00411AE0">
        <w:rPr>
          <w:rFonts w:ascii="Garamond" w:eastAsia="Cambria" w:hAnsi="Garamond" w:cs="Cambria"/>
          <w:sz w:val="24"/>
          <w:szCs w:val="24"/>
        </w:rPr>
        <w:t>access to</w:t>
      </w:r>
      <w:r w:rsidR="001D1D37" w:rsidRPr="00411AE0">
        <w:rPr>
          <w:rFonts w:ascii="Garamond" w:eastAsia="Cambria" w:hAnsi="Garamond" w:cs="Cambria"/>
          <w:sz w:val="24"/>
          <w:szCs w:val="24"/>
        </w:rPr>
        <w:t>,</w:t>
      </w:r>
      <w:r w:rsidR="00864234" w:rsidRPr="00411AE0">
        <w:rPr>
          <w:rFonts w:ascii="Garamond" w:eastAsia="Cambria" w:hAnsi="Garamond" w:cs="Cambria"/>
          <w:sz w:val="24"/>
          <w:szCs w:val="24"/>
        </w:rPr>
        <w:t xml:space="preserve"> and c</w:t>
      </w:r>
      <w:r w:rsidR="00C86489" w:rsidRPr="00411AE0">
        <w:rPr>
          <w:rFonts w:ascii="Garamond" w:eastAsia="Cambria" w:hAnsi="Garamond" w:cs="Cambria"/>
          <w:sz w:val="24"/>
          <w:szCs w:val="24"/>
        </w:rPr>
        <w:t>ontrol of</w:t>
      </w:r>
      <w:r w:rsidR="00251061">
        <w:rPr>
          <w:rFonts w:ascii="Garamond" w:eastAsia="Cambria" w:hAnsi="Garamond" w:cs="Cambria"/>
          <w:sz w:val="24"/>
          <w:szCs w:val="24"/>
        </w:rPr>
        <w:t>,</w:t>
      </w:r>
      <w:r w:rsidR="00C86489"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natural resources to </w:t>
      </w:r>
      <w:r w:rsidR="00B65B70" w:rsidRPr="00411AE0">
        <w:rPr>
          <w:rFonts w:ascii="Garamond" w:eastAsia="Cambria" w:hAnsi="Garamond" w:cs="Cambria"/>
          <w:sz w:val="24"/>
          <w:szCs w:val="24"/>
        </w:rPr>
        <w:t>finance wars and the expansion of European empires first</w:t>
      </w:r>
      <w:r w:rsidR="00251061">
        <w:rPr>
          <w:rFonts w:ascii="Garamond" w:eastAsia="Cambria" w:hAnsi="Garamond" w:cs="Cambria"/>
          <w:sz w:val="24"/>
          <w:szCs w:val="24"/>
        </w:rPr>
        <w:t>—</w:t>
      </w:r>
      <w:r w:rsidR="00B65B70" w:rsidRPr="00411AE0">
        <w:rPr>
          <w:rFonts w:ascii="Garamond" w:eastAsia="Cambria" w:hAnsi="Garamond" w:cs="Cambria"/>
          <w:sz w:val="24"/>
          <w:szCs w:val="24"/>
        </w:rPr>
        <w:t>and later</w:t>
      </w:r>
      <w:r w:rsidR="00346AE7">
        <w:rPr>
          <w:rFonts w:ascii="Garamond" w:eastAsia="Cambria" w:hAnsi="Garamond" w:cs="Cambria"/>
          <w:sz w:val="24"/>
          <w:szCs w:val="24"/>
        </w:rPr>
        <w:t>—</w:t>
      </w:r>
      <w:r w:rsidR="00CC62EB" w:rsidRPr="00411AE0">
        <w:rPr>
          <w:rFonts w:ascii="Garamond" w:eastAsia="Cambria" w:hAnsi="Garamond" w:cs="Cambria"/>
          <w:sz w:val="24"/>
          <w:szCs w:val="24"/>
        </w:rPr>
        <w:t xml:space="preserve">to </w:t>
      </w:r>
      <w:r w:rsidRPr="00411AE0">
        <w:rPr>
          <w:rFonts w:ascii="Garamond" w:eastAsia="Cambria" w:hAnsi="Garamond" w:cs="Cambria"/>
          <w:sz w:val="24"/>
          <w:szCs w:val="24"/>
        </w:rPr>
        <w:t>fuel</w:t>
      </w:r>
      <w:r w:rsidR="00B65B70" w:rsidRPr="00411AE0">
        <w:rPr>
          <w:rFonts w:ascii="Garamond" w:eastAsia="Cambria" w:hAnsi="Garamond" w:cs="Cambria"/>
          <w:sz w:val="24"/>
          <w:szCs w:val="24"/>
        </w:rPr>
        <w:t xml:space="preserve"> </w:t>
      </w:r>
      <w:r w:rsidRPr="00411AE0">
        <w:rPr>
          <w:rFonts w:ascii="Garamond" w:eastAsia="Cambria" w:hAnsi="Garamond" w:cs="Cambria"/>
          <w:sz w:val="24"/>
          <w:szCs w:val="24"/>
        </w:rPr>
        <w:t>the Industrial Revolution in Europe</w:t>
      </w:r>
      <w:r w:rsidR="00DA71F4" w:rsidRPr="00411AE0">
        <w:rPr>
          <w:rFonts w:ascii="Garamond" w:eastAsia="Cambria" w:hAnsi="Garamond" w:cs="Cambria"/>
          <w:sz w:val="24"/>
          <w:szCs w:val="24"/>
        </w:rPr>
        <w:t>.</w:t>
      </w:r>
      <w:r w:rsidRPr="00411AE0">
        <w:rPr>
          <w:rFonts w:ascii="Garamond" w:eastAsia="Cambria" w:hAnsi="Garamond" w:cs="Cambria"/>
          <w:sz w:val="24"/>
          <w:szCs w:val="24"/>
          <w:vertAlign w:val="superscript"/>
        </w:rPr>
        <w:footnoteReference w:id="194"/>
      </w:r>
      <w:r w:rsidR="007B1722" w:rsidRPr="00411AE0">
        <w:rPr>
          <w:rFonts w:ascii="Garamond" w:eastAsia="Cambria" w:hAnsi="Garamond" w:cs="Cambria"/>
          <w:sz w:val="24"/>
          <w:szCs w:val="24"/>
        </w:rPr>
        <w:br/>
      </w:r>
      <w:r w:rsidR="007B1722" w:rsidRPr="00411AE0">
        <w:rPr>
          <w:rFonts w:ascii="Garamond" w:eastAsia="Cambria" w:hAnsi="Garamond" w:cs="Cambria"/>
          <w:sz w:val="24"/>
          <w:szCs w:val="24"/>
        </w:rPr>
        <w:tab/>
      </w:r>
      <w:r w:rsidRPr="00411AE0">
        <w:rPr>
          <w:rFonts w:ascii="Garamond" w:eastAsia="Cambria" w:hAnsi="Garamond" w:cs="Cambria"/>
          <w:sz w:val="24"/>
          <w:szCs w:val="24"/>
        </w:rPr>
        <w:t xml:space="preserve">Territorial jurisdiction, </w:t>
      </w:r>
      <w:r w:rsidR="00DA71F4" w:rsidRPr="00411AE0">
        <w:rPr>
          <w:rFonts w:ascii="Garamond" w:eastAsia="Cambria" w:hAnsi="Garamond" w:cs="Cambria"/>
          <w:sz w:val="24"/>
          <w:szCs w:val="24"/>
        </w:rPr>
        <w:t xml:space="preserve">therefore, </w:t>
      </w:r>
      <w:r w:rsidRPr="00411AE0">
        <w:rPr>
          <w:rFonts w:ascii="Garamond" w:eastAsia="Cambria" w:hAnsi="Garamond" w:cs="Cambria"/>
          <w:sz w:val="24"/>
          <w:szCs w:val="24"/>
        </w:rPr>
        <w:t xml:space="preserve">as we now understand it, is </w:t>
      </w:r>
      <w:r w:rsidR="00051ED2">
        <w:rPr>
          <w:rFonts w:ascii="Garamond" w:eastAsia="Cambria" w:hAnsi="Garamond" w:cs="Cambria"/>
          <w:sz w:val="24"/>
          <w:szCs w:val="24"/>
        </w:rPr>
        <w:t xml:space="preserve">not only </w:t>
      </w:r>
      <w:r w:rsidRPr="00411AE0">
        <w:rPr>
          <w:rFonts w:ascii="Garamond" w:eastAsia="Cambria" w:hAnsi="Garamond" w:cs="Cambria"/>
          <w:sz w:val="24"/>
          <w:szCs w:val="24"/>
        </w:rPr>
        <w:t>a relatively recent creation</w:t>
      </w:r>
      <w:r w:rsidR="00FC5539" w:rsidRPr="00411AE0">
        <w:rPr>
          <w:rFonts w:ascii="Garamond" w:eastAsia="Cambria" w:hAnsi="Garamond" w:cs="Cambria"/>
          <w:sz w:val="24"/>
          <w:szCs w:val="24"/>
        </w:rPr>
        <w:t xml:space="preserve">, </w:t>
      </w:r>
      <w:r w:rsidR="00051ED2">
        <w:rPr>
          <w:rFonts w:ascii="Garamond" w:eastAsia="Cambria" w:hAnsi="Garamond" w:cs="Cambria"/>
          <w:sz w:val="24"/>
          <w:szCs w:val="24"/>
        </w:rPr>
        <w:t>but owes</w:t>
      </w:r>
      <w:r w:rsidR="00FC5539" w:rsidRPr="00411AE0">
        <w:rPr>
          <w:rFonts w:ascii="Garamond" w:eastAsia="Cambria" w:hAnsi="Garamond" w:cs="Cambria"/>
          <w:sz w:val="24"/>
          <w:szCs w:val="24"/>
        </w:rPr>
        <w:t xml:space="preserve"> it</w:t>
      </w:r>
      <w:r w:rsidRPr="00411AE0">
        <w:rPr>
          <w:rFonts w:ascii="Garamond" w:eastAsia="Cambria" w:hAnsi="Garamond" w:cs="Cambria"/>
          <w:sz w:val="24"/>
          <w:szCs w:val="24"/>
        </w:rPr>
        <w:t xml:space="preserve">s </w:t>
      </w:r>
      <w:r w:rsidR="00DA71F4" w:rsidRPr="00411AE0">
        <w:rPr>
          <w:rFonts w:ascii="Garamond" w:eastAsia="Cambria" w:hAnsi="Garamond" w:cs="Cambria"/>
          <w:sz w:val="24"/>
          <w:szCs w:val="24"/>
        </w:rPr>
        <w:t xml:space="preserve">current ubiquity and dominance </w:t>
      </w:r>
      <w:r w:rsidRPr="00411AE0">
        <w:rPr>
          <w:rFonts w:ascii="Garamond" w:eastAsia="Cambria" w:hAnsi="Garamond" w:cs="Cambria"/>
          <w:sz w:val="24"/>
          <w:szCs w:val="24"/>
        </w:rPr>
        <w:t xml:space="preserve">to the </w:t>
      </w:r>
      <w:r w:rsidR="00A52DFA" w:rsidRPr="00411AE0">
        <w:rPr>
          <w:rFonts w:ascii="Garamond" w:eastAsia="Cambria" w:hAnsi="Garamond" w:cs="Cambria"/>
          <w:sz w:val="24"/>
          <w:szCs w:val="24"/>
        </w:rPr>
        <w:t>central</w:t>
      </w:r>
      <w:r w:rsidRPr="00411AE0">
        <w:rPr>
          <w:rFonts w:ascii="Garamond" w:eastAsia="Cambria" w:hAnsi="Garamond" w:cs="Cambria"/>
          <w:sz w:val="24"/>
          <w:szCs w:val="24"/>
        </w:rPr>
        <w:t xml:space="preserve"> role it played in the creation of the modern nation state</w:t>
      </w:r>
      <w:r w:rsidRPr="00411AE0">
        <w:rPr>
          <w:rFonts w:ascii="Garamond" w:eastAsia="Cambria" w:hAnsi="Garamond" w:cs="Cambria"/>
          <w:sz w:val="24"/>
          <w:szCs w:val="24"/>
          <w:vertAlign w:val="superscript"/>
        </w:rPr>
        <w:footnoteReference w:id="195"/>
      </w:r>
      <w:r w:rsidR="00051ED2">
        <w:rPr>
          <w:rFonts w:ascii="Garamond" w:eastAsia="Cambria" w:hAnsi="Garamond" w:cs="Cambria"/>
          <w:sz w:val="24"/>
          <w:szCs w:val="24"/>
        </w:rPr>
        <w:t xml:space="preserve">—and to its legitimating function in </w:t>
      </w:r>
      <w:r w:rsidR="00EF3B25" w:rsidRPr="00411AE0">
        <w:rPr>
          <w:rFonts w:ascii="Garamond" w:eastAsia="Cambria" w:hAnsi="Garamond" w:cs="Cambria"/>
          <w:sz w:val="24"/>
          <w:szCs w:val="24"/>
        </w:rPr>
        <w:t>facilitating capitalism, imperialism and the contemporary</w:t>
      </w:r>
      <w:r w:rsidR="00CC62EB" w:rsidRPr="00411AE0">
        <w:rPr>
          <w:rFonts w:ascii="Garamond" w:eastAsia="Cambria" w:hAnsi="Garamond" w:cs="Cambria"/>
          <w:sz w:val="24"/>
          <w:szCs w:val="24"/>
        </w:rPr>
        <w:t xml:space="preserve"> </w:t>
      </w:r>
      <w:r w:rsidR="002701D9" w:rsidRPr="00411AE0">
        <w:rPr>
          <w:rFonts w:ascii="Garamond" w:eastAsia="Cambria" w:hAnsi="Garamond" w:cs="Cambria"/>
          <w:sz w:val="24"/>
          <w:szCs w:val="24"/>
        </w:rPr>
        <w:t xml:space="preserve">neoliberal global </w:t>
      </w:r>
      <w:r w:rsidR="00A52DFA" w:rsidRPr="00411AE0">
        <w:rPr>
          <w:rFonts w:ascii="Garamond" w:eastAsia="Cambria" w:hAnsi="Garamond" w:cs="Cambria"/>
          <w:sz w:val="24"/>
          <w:szCs w:val="24"/>
        </w:rPr>
        <w:t>order</w:t>
      </w:r>
      <w:r w:rsidR="002701D9" w:rsidRPr="00411AE0">
        <w:rPr>
          <w:rFonts w:ascii="Garamond" w:eastAsia="Cambria" w:hAnsi="Garamond" w:cs="Cambria"/>
          <w:sz w:val="24"/>
          <w:szCs w:val="24"/>
        </w:rPr>
        <w:t>.</w:t>
      </w:r>
      <w:r w:rsidR="002701D9" w:rsidRPr="00411AE0">
        <w:rPr>
          <w:rFonts w:ascii="Garamond" w:eastAsia="Cambria" w:hAnsi="Garamond" w:cs="Cambria"/>
          <w:sz w:val="24"/>
          <w:szCs w:val="24"/>
          <w:vertAlign w:val="superscript"/>
        </w:rPr>
        <w:footnoteReference w:id="196"/>
      </w:r>
    </w:p>
    <w:p w14:paraId="17DDBB44" w14:textId="1404272F" w:rsidR="004E01F3" w:rsidRPr="00411AE0" w:rsidRDefault="004E01F3" w:rsidP="007B5AFC">
      <w:pPr>
        <w:pStyle w:val="Normal1"/>
        <w:spacing w:after="200" w:line="240" w:lineRule="auto"/>
        <w:rPr>
          <w:rFonts w:ascii="Garamond" w:eastAsia="Cambria" w:hAnsi="Garamond" w:cs="Cambria"/>
          <w:b/>
          <w:i/>
          <w:sz w:val="24"/>
          <w:szCs w:val="24"/>
        </w:rPr>
      </w:pPr>
      <w:r w:rsidRPr="001D6DF6">
        <w:rPr>
          <w:rFonts w:ascii="Garamond" w:eastAsia="Cambria" w:hAnsi="Garamond" w:cs="Cambria"/>
          <w:b/>
          <w:sz w:val="24"/>
          <w:szCs w:val="24"/>
        </w:rPr>
        <w:t>4b Sovereignty and public authority</w:t>
      </w:r>
      <w:r w:rsidR="009B0529" w:rsidRPr="001D6DF6">
        <w:rPr>
          <w:rFonts w:ascii="Garamond" w:eastAsia="Cambria" w:hAnsi="Garamond" w:cs="Cambria"/>
          <w:b/>
          <w:sz w:val="24"/>
          <w:szCs w:val="24"/>
        </w:rPr>
        <w:t>:</w:t>
      </w:r>
      <w:r w:rsidRPr="001D6DF6">
        <w:rPr>
          <w:rFonts w:ascii="Garamond" w:eastAsia="Cambria" w:hAnsi="Garamond" w:cs="Cambria"/>
          <w:b/>
          <w:sz w:val="24"/>
          <w:szCs w:val="24"/>
        </w:rPr>
        <w:t xml:space="preserve"> Jurisdiction as </w:t>
      </w:r>
      <w:r w:rsidR="009B0529" w:rsidRPr="001D6DF6">
        <w:rPr>
          <w:rFonts w:ascii="Garamond" w:eastAsia="Cambria" w:hAnsi="Garamond" w:cs="Cambria"/>
          <w:b/>
          <w:sz w:val="24"/>
          <w:szCs w:val="24"/>
        </w:rPr>
        <w:t>o</w:t>
      </w:r>
      <w:r w:rsidRPr="001D6DF6">
        <w:rPr>
          <w:rFonts w:ascii="Garamond" w:eastAsia="Cambria" w:hAnsi="Garamond" w:cs="Cambria"/>
          <w:b/>
          <w:sz w:val="24"/>
          <w:szCs w:val="24"/>
        </w:rPr>
        <w:t>thering (and belonging)</w:t>
      </w:r>
      <w:r w:rsidRPr="00411AE0">
        <w:rPr>
          <w:rFonts w:ascii="Garamond" w:eastAsia="Cambria" w:hAnsi="Garamond" w:cs="Cambria"/>
          <w:sz w:val="24"/>
          <w:szCs w:val="24"/>
        </w:rPr>
        <w:br/>
        <w:t xml:space="preserve">We </w:t>
      </w:r>
      <w:r w:rsidR="00C575A6" w:rsidRPr="00411AE0">
        <w:rPr>
          <w:rFonts w:ascii="Garamond" w:eastAsia="Cambria" w:hAnsi="Garamond" w:cs="Cambria"/>
          <w:sz w:val="24"/>
          <w:szCs w:val="24"/>
        </w:rPr>
        <w:t>not</w:t>
      </w:r>
      <w:r w:rsidR="00045DBF" w:rsidRPr="00411AE0">
        <w:rPr>
          <w:rFonts w:ascii="Garamond" w:eastAsia="Cambria" w:hAnsi="Garamond" w:cs="Cambria"/>
          <w:sz w:val="24"/>
          <w:szCs w:val="24"/>
        </w:rPr>
        <w:t xml:space="preserve">ed </w:t>
      </w:r>
      <w:r w:rsidRPr="00411AE0">
        <w:rPr>
          <w:rFonts w:ascii="Garamond" w:eastAsia="Cambria" w:hAnsi="Garamond" w:cs="Cambria"/>
          <w:sz w:val="24"/>
          <w:szCs w:val="24"/>
        </w:rPr>
        <w:t xml:space="preserve">earlier that jurisdiction as a </w:t>
      </w:r>
      <w:r w:rsidR="00910E09">
        <w:rPr>
          <w:rFonts w:ascii="Garamond" w:eastAsia="Cambria" w:hAnsi="Garamond" w:cs="Cambria"/>
          <w:sz w:val="24"/>
          <w:szCs w:val="24"/>
        </w:rPr>
        <w:t>materi</w:t>
      </w:r>
      <w:r w:rsidR="006A0152">
        <w:rPr>
          <w:rFonts w:ascii="Garamond" w:eastAsia="Cambria" w:hAnsi="Garamond" w:cs="Cambria"/>
          <w:sz w:val="24"/>
          <w:szCs w:val="24"/>
        </w:rPr>
        <w:t>o</w:t>
      </w:r>
      <w:r w:rsidR="00910E09">
        <w:rPr>
          <w:rFonts w:ascii="Garamond" w:eastAsia="Cambria" w:hAnsi="Garamond" w:cs="Cambria"/>
          <w:sz w:val="24"/>
          <w:szCs w:val="24"/>
        </w:rPr>
        <w:t>-</w:t>
      </w:r>
      <w:r w:rsidRPr="00411AE0">
        <w:rPr>
          <w:rFonts w:ascii="Garamond" w:eastAsia="Cambria" w:hAnsi="Garamond" w:cs="Cambria"/>
          <w:sz w:val="24"/>
          <w:szCs w:val="24"/>
        </w:rPr>
        <w:t xml:space="preserve">discursive practice and tool of government </w:t>
      </w:r>
      <w:r w:rsidR="002B1E2E" w:rsidRPr="00411AE0">
        <w:rPr>
          <w:rFonts w:ascii="Garamond" w:eastAsia="Cambria" w:hAnsi="Garamond" w:cs="Cambria"/>
          <w:sz w:val="24"/>
          <w:szCs w:val="24"/>
        </w:rPr>
        <w:t>shap</w:t>
      </w:r>
      <w:r w:rsidR="001940BD" w:rsidRPr="00411AE0">
        <w:rPr>
          <w:rFonts w:ascii="Garamond" w:eastAsia="Cambria" w:hAnsi="Garamond" w:cs="Cambria"/>
          <w:sz w:val="24"/>
          <w:szCs w:val="24"/>
        </w:rPr>
        <w:t xml:space="preserve">es </w:t>
      </w:r>
      <w:r w:rsidRPr="00411AE0">
        <w:rPr>
          <w:rFonts w:ascii="Garamond" w:eastAsia="Cambria" w:hAnsi="Garamond" w:cs="Cambria"/>
          <w:sz w:val="24"/>
          <w:szCs w:val="24"/>
        </w:rPr>
        <w:t>authority in particular way</w:t>
      </w:r>
      <w:r w:rsidR="0040144A" w:rsidRPr="00411AE0">
        <w:rPr>
          <w:rFonts w:ascii="Garamond" w:eastAsia="Cambria" w:hAnsi="Garamond" w:cs="Cambria"/>
          <w:sz w:val="24"/>
          <w:szCs w:val="24"/>
        </w:rPr>
        <w:t>s</w:t>
      </w:r>
      <w:r w:rsidRPr="00411AE0">
        <w:rPr>
          <w:rFonts w:ascii="Garamond" w:eastAsia="Cambria" w:hAnsi="Garamond" w:cs="Cambria"/>
          <w:sz w:val="24"/>
          <w:szCs w:val="24"/>
        </w:rPr>
        <w:t>. Authority</w:t>
      </w:r>
      <w:r w:rsidR="001940BD" w:rsidRPr="00411AE0">
        <w:rPr>
          <w:rFonts w:ascii="Garamond" w:eastAsia="Cambria" w:hAnsi="Garamond" w:cs="Cambria"/>
          <w:sz w:val="24"/>
          <w:szCs w:val="24"/>
        </w:rPr>
        <w:t xml:space="preserve"> </w:t>
      </w:r>
      <w:r w:rsidRPr="00411AE0">
        <w:rPr>
          <w:rFonts w:ascii="Garamond" w:eastAsia="Cambria" w:hAnsi="Garamond" w:cs="Cambria"/>
          <w:sz w:val="24"/>
          <w:szCs w:val="24"/>
        </w:rPr>
        <w:t>was not</w:t>
      </w:r>
      <w:r w:rsidR="001940BD" w:rsidRPr="00411AE0">
        <w:rPr>
          <w:rFonts w:ascii="Garamond" w:eastAsia="Cambria" w:hAnsi="Garamond" w:cs="Cambria"/>
          <w:sz w:val="24"/>
          <w:szCs w:val="24"/>
        </w:rPr>
        <w:t xml:space="preserve">, </w:t>
      </w:r>
      <w:r w:rsidR="003660A3" w:rsidRPr="00411AE0">
        <w:rPr>
          <w:rFonts w:ascii="Garamond" w:eastAsia="Cambria" w:hAnsi="Garamond" w:cs="Cambria"/>
          <w:sz w:val="24"/>
          <w:szCs w:val="24"/>
        </w:rPr>
        <w:t xml:space="preserve">however, </w:t>
      </w:r>
      <w:r w:rsidR="001940BD" w:rsidRPr="00411AE0">
        <w:rPr>
          <w:rFonts w:ascii="Garamond" w:eastAsia="Cambria" w:hAnsi="Garamond" w:cs="Cambria"/>
          <w:sz w:val="24"/>
          <w:szCs w:val="24"/>
        </w:rPr>
        <w:t>in this context,</w:t>
      </w:r>
      <w:r w:rsidRPr="00411AE0">
        <w:rPr>
          <w:rFonts w:ascii="Garamond" w:eastAsia="Cambria" w:hAnsi="Garamond" w:cs="Cambria"/>
          <w:sz w:val="24"/>
          <w:szCs w:val="24"/>
        </w:rPr>
        <w:t xml:space="preserve"> always linked to sovereignty</w:t>
      </w:r>
      <w:r w:rsidR="00910E09">
        <w:rPr>
          <w:rFonts w:ascii="Garamond" w:eastAsia="Cambria" w:hAnsi="Garamond" w:cs="Cambria"/>
          <w:sz w:val="24"/>
          <w:szCs w:val="24"/>
        </w:rPr>
        <w:t>.</w:t>
      </w:r>
      <w:r w:rsidRPr="00411AE0">
        <w:rPr>
          <w:rFonts w:ascii="Garamond" w:eastAsia="Cambria" w:hAnsi="Garamond" w:cs="Cambria"/>
          <w:sz w:val="24"/>
          <w:szCs w:val="24"/>
          <w:vertAlign w:val="superscript"/>
        </w:rPr>
        <w:footnoteReference w:id="197"/>
      </w:r>
      <w:r w:rsidRPr="00411AE0">
        <w:rPr>
          <w:rFonts w:ascii="Garamond" w:eastAsia="Cambria" w:hAnsi="Garamond" w:cs="Cambria"/>
          <w:sz w:val="24"/>
          <w:szCs w:val="24"/>
        </w:rPr>
        <w:t xml:space="preserve"> </w:t>
      </w:r>
      <w:r w:rsidR="001940BD" w:rsidRPr="00411AE0">
        <w:rPr>
          <w:rFonts w:ascii="Garamond" w:eastAsia="Cambria" w:hAnsi="Garamond" w:cs="Cambria"/>
          <w:sz w:val="24"/>
          <w:szCs w:val="24"/>
        </w:rPr>
        <w:t>Indeed, p</w:t>
      </w:r>
      <w:r w:rsidRPr="00411AE0">
        <w:rPr>
          <w:rFonts w:ascii="Garamond" w:eastAsia="Cambria" w:hAnsi="Garamond" w:cs="Cambria"/>
          <w:sz w:val="24"/>
          <w:szCs w:val="24"/>
        </w:rPr>
        <w:t xml:space="preserve">ublic authority was historically </w:t>
      </w:r>
      <w:r w:rsidR="00BC08AE" w:rsidRPr="00411AE0">
        <w:rPr>
          <w:rFonts w:ascii="Garamond" w:eastAsia="Cambria" w:hAnsi="Garamond" w:cs="Cambria"/>
          <w:sz w:val="24"/>
          <w:szCs w:val="24"/>
        </w:rPr>
        <w:t xml:space="preserve">often </w:t>
      </w:r>
      <w:r w:rsidRPr="00411AE0">
        <w:rPr>
          <w:rFonts w:ascii="Garamond" w:eastAsia="Cambria" w:hAnsi="Garamond" w:cs="Cambria"/>
          <w:sz w:val="24"/>
          <w:szCs w:val="24"/>
        </w:rPr>
        <w:t>separate from the civil authority of the sovereign territorial state.</w:t>
      </w:r>
      <w:r w:rsidRPr="00411AE0">
        <w:rPr>
          <w:rFonts w:ascii="Garamond" w:eastAsia="Cambria" w:hAnsi="Garamond" w:cs="Cambria"/>
          <w:sz w:val="24"/>
          <w:szCs w:val="24"/>
          <w:vertAlign w:val="superscript"/>
        </w:rPr>
        <w:footnoteReference w:id="198"/>
      </w:r>
      <w:r w:rsidRPr="00411AE0">
        <w:rPr>
          <w:rFonts w:ascii="Garamond" w:eastAsia="Cambria" w:hAnsi="Garamond" w:cs="Cambria"/>
          <w:sz w:val="24"/>
          <w:szCs w:val="24"/>
        </w:rPr>
        <w:t xml:space="preserve"> Mediaeval jurists’ characterisation of authority, for example, drew distinctions between </w:t>
      </w:r>
      <w:r w:rsidR="00B062F2">
        <w:rPr>
          <w:rFonts w:ascii="Garamond" w:eastAsia="Cambria" w:hAnsi="Garamond" w:cs="Cambria"/>
          <w:sz w:val="24"/>
          <w:szCs w:val="24"/>
        </w:rPr>
        <w:t xml:space="preserve">the </w:t>
      </w:r>
      <w:r w:rsidRPr="00411AE0">
        <w:rPr>
          <w:rFonts w:ascii="Garamond" w:eastAsia="Cambria" w:hAnsi="Garamond" w:cs="Cambria"/>
          <w:sz w:val="24"/>
          <w:szCs w:val="24"/>
        </w:rPr>
        <w:t xml:space="preserve">Crown, </w:t>
      </w:r>
      <w:r w:rsidR="00B062F2">
        <w:rPr>
          <w:rFonts w:ascii="Garamond" w:eastAsia="Cambria" w:hAnsi="Garamond" w:cs="Cambria"/>
          <w:sz w:val="24"/>
          <w:szCs w:val="24"/>
        </w:rPr>
        <w:t xml:space="preserve">the </w:t>
      </w:r>
      <w:r w:rsidRPr="00411AE0">
        <w:rPr>
          <w:rFonts w:ascii="Garamond" w:eastAsia="Cambria" w:hAnsi="Garamond" w:cs="Cambria"/>
          <w:sz w:val="24"/>
          <w:szCs w:val="24"/>
        </w:rPr>
        <w:t>Church and the merchant jurisdictions</w:t>
      </w:r>
      <w:r w:rsidR="00B062F2">
        <w:rPr>
          <w:rFonts w:ascii="Garamond" w:eastAsia="Cambria" w:hAnsi="Garamond" w:cs="Cambria"/>
          <w:sz w:val="24"/>
          <w:szCs w:val="24"/>
        </w:rPr>
        <w:t xml:space="preserve">, </w:t>
      </w:r>
      <w:r w:rsidR="00B062F2" w:rsidRPr="00CB6DF6">
        <w:rPr>
          <w:rFonts w:ascii="Garamond" w:eastAsia="Cambria" w:hAnsi="Garamond" w:cs="Cambria"/>
          <w:sz w:val="24"/>
          <w:szCs w:val="24"/>
        </w:rPr>
        <w:t>and delineated a map of power between different orders</w:t>
      </w:r>
      <w:r w:rsidRPr="00411AE0">
        <w:rPr>
          <w:rFonts w:ascii="Garamond" w:eastAsia="Cambria" w:hAnsi="Garamond" w:cs="Cambria"/>
          <w:sz w:val="24"/>
          <w:szCs w:val="24"/>
        </w:rPr>
        <w:t>—</w:t>
      </w:r>
      <w:r w:rsidR="00BC08AE" w:rsidRPr="00411AE0">
        <w:rPr>
          <w:rFonts w:ascii="Garamond" w:eastAsia="Cambria" w:hAnsi="Garamond" w:cs="Cambria"/>
          <w:sz w:val="24"/>
          <w:szCs w:val="24"/>
        </w:rPr>
        <w:t>each representing</w:t>
      </w:r>
      <w:r w:rsidRPr="00411AE0">
        <w:rPr>
          <w:rFonts w:ascii="Garamond" w:eastAsia="Cambria" w:hAnsi="Garamond" w:cs="Cambria"/>
          <w:sz w:val="24"/>
          <w:szCs w:val="24"/>
        </w:rPr>
        <w:t xml:space="preserve"> different layers of authority.</w:t>
      </w:r>
      <w:r w:rsidRPr="00411AE0">
        <w:rPr>
          <w:rFonts w:ascii="Garamond" w:eastAsia="Cambria" w:hAnsi="Garamond" w:cs="Cambria"/>
          <w:sz w:val="24"/>
          <w:szCs w:val="24"/>
          <w:vertAlign w:val="superscript"/>
        </w:rPr>
        <w:footnoteReference w:id="199"/>
      </w:r>
      <w:r w:rsidRPr="00411AE0">
        <w:rPr>
          <w:rFonts w:ascii="Garamond" w:eastAsia="Cambria" w:hAnsi="Garamond" w:cs="Cambria"/>
          <w:sz w:val="24"/>
          <w:szCs w:val="24"/>
        </w:rPr>
        <w:t xml:space="preserve"> Later, during the colonial expansion</w:t>
      </w:r>
      <w:r w:rsidR="002A0362">
        <w:rPr>
          <w:rFonts w:ascii="Garamond" w:eastAsia="Cambria" w:hAnsi="Garamond" w:cs="Cambria"/>
          <w:sz w:val="24"/>
          <w:szCs w:val="24"/>
        </w:rPr>
        <w:t>,</w:t>
      </w:r>
      <w:r w:rsidRPr="00411AE0">
        <w:rPr>
          <w:rFonts w:ascii="Garamond" w:eastAsia="Cambria" w:hAnsi="Garamond" w:cs="Cambria"/>
          <w:sz w:val="24"/>
          <w:szCs w:val="24"/>
        </w:rPr>
        <w:t xml:space="preserve"> other legal (corporate)</w:t>
      </w:r>
      <w:r w:rsidR="00133630" w:rsidRPr="00411AE0">
        <w:rPr>
          <w:rFonts w:ascii="Garamond" w:eastAsia="Cambria" w:hAnsi="Garamond" w:cs="Cambria"/>
          <w:sz w:val="24"/>
          <w:szCs w:val="24"/>
        </w:rPr>
        <w:t xml:space="preserve"> </w:t>
      </w:r>
      <w:r w:rsidRPr="00411AE0">
        <w:rPr>
          <w:rFonts w:ascii="Garamond" w:eastAsia="Cambria" w:hAnsi="Garamond" w:cs="Cambria"/>
          <w:sz w:val="24"/>
          <w:szCs w:val="24"/>
        </w:rPr>
        <w:t>subjects (of which the East India Company is the best known example) held authority without sovereignty.</w:t>
      </w:r>
      <w:r w:rsidRPr="00411AE0">
        <w:rPr>
          <w:rFonts w:ascii="Garamond" w:eastAsia="Cambria" w:hAnsi="Garamond" w:cs="Cambria"/>
          <w:sz w:val="24"/>
          <w:szCs w:val="24"/>
          <w:vertAlign w:val="superscript"/>
        </w:rPr>
        <w:footnoteReference w:id="200"/>
      </w:r>
      <w:r w:rsidRPr="00411AE0">
        <w:rPr>
          <w:rFonts w:ascii="Garamond" w:eastAsia="Cambria" w:hAnsi="Garamond" w:cs="Cambria"/>
          <w:sz w:val="24"/>
          <w:szCs w:val="24"/>
        </w:rPr>
        <w:t xml:space="preserve"> Public authority is accordingly perhaps better understood as a status</w:t>
      </w:r>
      <w:r w:rsidR="00CD6D22">
        <w:rPr>
          <w:rFonts w:ascii="Garamond" w:eastAsia="Cambria" w:hAnsi="Garamond" w:cs="Cambria"/>
          <w:sz w:val="24"/>
          <w:szCs w:val="24"/>
        </w:rPr>
        <w:t>-</w:t>
      </w:r>
      <w:r w:rsidRPr="00411AE0">
        <w:rPr>
          <w:rFonts w:ascii="Garamond" w:eastAsia="Cambria" w:hAnsi="Garamond" w:cs="Cambria"/>
          <w:sz w:val="24"/>
          <w:szCs w:val="24"/>
        </w:rPr>
        <w:t xml:space="preserve">signifier pointing to an assemblage of different jurisdictional practices and devices and </w:t>
      </w:r>
      <w:r w:rsidR="002A0362">
        <w:rPr>
          <w:rFonts w:ascii="Garamond" w:eastAsia="Cambria" w:hAnsi="Garamond" w:cs="Cambria"/>
          <w:sz w:val="24"/>
          <w:szCs w:val="24"/>
        </w:rPr>
        <w:t xml:space="preserve">is </w:t>
      </w:r>
      <w:r w:rsidRPr="00411AE0">
        <w:rPr>
          <w:rFonts w:ascii="Garamond" w:eastAsia="Cambria" w:hAnsi="Garamond" w:cs="Cambria"/>
          <w:sz w:val="24"/>
          <w:szCs w:val="24"/>
        </w:rPr>
        <w:t>not necessarily to be</w:t>
      </w:r>
      <w:r w:rsidR="00BC08AE" w:rsidRPr="00411AE0">
        <w:rPr>
          <w:rFonts w:ascii="Garamond" w:eastAsia="Cambria" w:hAnsi="Garamond" w:cs="Cambria"/>
          <w:sz w:val="24"/>
          <w:szCs w:val="24"/>
        </w:rPr>
        <w:t xml:space="preserve"> automatically</w:t>
      </w:r>
      <w:r w:rsidRPr="00411AE0">
        <w:rPr>
          <w:rFonts w:ascii="Garamond" w:eastAsia="Cambria" w:hAnsi="Garamond" w:cs="Cambria"/>
          <w:sz w:val="24"/>
          <w:szCs w:val="24"/>
        </w:rPr>
        <w:t xml:space="preserve"> understood as </w:t>
      </w:r>
      <w:r w:rsidRPr="00411AE0">
        <w:rPr>
          <w:rFonts w:ascii="Garamond" w:eastAsia="Cambria" w:hAnsi="Garamond" w:cs="Cambria"/>
          <w:sz w:val="24"/>
          <w:szCs w:val="24"/>
        </w:rPr>
        <w:lastRenderedPageBreak/>
        <w:t>invoking ‘sovereignty’ or as dependent on or derivative from it.</w:t>
      </w:r>
      <w:r w:rsidRPr="00411AE0">
        <w:rPr>
          <w:rFonts w:ascii="Garamond" w:eastAsia="Cambria" w:hAnsi="Garamond" w:cs="Cambria"/>
          <w:sz w:val="24"/>
          <w:szCs w:val="24"/>
          <w:vertAlign w:val="superscript"/>
        </w:rPr>
        <w:footnoteReference w:id="201"/>
      </w:r>
      <w:r w:rsidRPr="00411AE0">
        <w:rPr>
          <w:rFonts w:ascii="Garamond" w:eastAsia="Cambria" w:hAnsi="Garamond" w:cs="Cambria"/>
          <w:sz w:val="24"/>
          <w:szCs w:val="24"/>
        </w:rPr>
        <w:t xml:space="preserve"> Jurisdiction accordingly ‘speak</w:t>
      </w:r>
      <w:r w:rsidR="00133630" w:rsidRPr="00411AE0">
        <w:rPr>
          <w:rFonts w:ascii="Garamond" w:eastAsia="Cambria" w:hAnsi="Garamond" w:cs="Cambria"/>
          <w:sz w:val="24"/>
          <w:szCs w:val="24"/>
        </w:rPr>
        <w:t>s</w:t>
      </w:r>
      <w:r w:rsidRPr="00411AE0">
        <w:rPr>
          <w:rFonts w:ascii="Garamond" w:eastAsia="Cambria" w:hAnsi="Garamond" w:cs="Cambria"/>
          <w:sz w:val="24"/>
          <w:szCs w:val="24"/>
        </w:rPr>
        <w:t>’ and mediate</w:t>
      </w:r>
      <w:r w:rsidR="00133630" w:rsidRPr="00411AE0">
        <w:rPr>
          <w:rFonts w:ascii="Garamond" w:eastAsia="Cambria" w:hAnsi="Garamond" w:cs="Cambria"/>
          <w:sz w:val="24"/>
          <w:szCs w:val="24"/>
        </w:rPr>
        <w:t>s</w:t>
      </w:r>
      <w:r w:rsidRPr="00411AE0">
        <w:rPr>
          <w:rFonts w:ascii="Garamond" w:eastAsia="Cambria" w:hAnsi="Garamond" w:cs="Cambria"/>
          <w:sz w:val="24"/>
          <w:szCs w:val="24"/>
        </w:rPr>
        <w:t xml:space="preserve"> authority</w:t>
      </w:r>
      <w:r w:rsidR="006B5DFB">
        <w:rPr>
          <w:rFonts w:ascii="Garamond" w:eastAsia="Cambria" w:hAnsi="Garamond" w:cs="Cambria"/>
          <w:sz w:val="24"/>
          <w:szCs w:val="24"/>
        </w:rPr>
        <w:t>,</w:t>
      </w:r>
      <w:r w:rsidRPr="00411AE0">
        <w:rPr>
          <w:rFonts w:ascii="Garamond" w:eastAsia="Cambria" w:hAnsi="Garamond" w:cs="Cambria"/>
          <w:sz w:val="24"/>
          <w:szCs w:val="24"/>
        </w:rPr>
        <w:t xml:space="preserve"> even </w:t>
      </w:r>
      <w:r w:rsidR="00133630" w:rsidRPr="00411AE0">
        <w:rPr>
          <w:rFonts w:ascii="Garamond" w:eastAsia="Cambria" w:hAnsi="Garamond" w:cs="Cambria"/>
          <w:sz w:val="24"/>
          <w:szCs w:val="24"/>
        </w:rPr>
        <w:t xml:space="preserve">in cases where </w:t>
      </w:r>
      <w:r w:rsidRPr="00411AE0">
        <w:rPr>
          <w:rFonts w:ascii="Garamond" w:eastAsia="Cambria" w:hAnsi="Garamond" w:cs="Cambria"/>
          <w:sz w:val="24"/>
          <w:szCs w:val="24"/>
        </w:rPr>
        <w:t>the authority in question is not sovereign.</w:t>
      </w:r>
      <w:r w:rsidRPr="00411AE0">
        <w:rPr>
          <w:rFonts w:ascii="Garamond" w:eastAsia="Cambria" w:hAnsi="Garamond" w:cs="Cambria"/>
          <w:sz w:val="24"/>
          <w:szCs w:val="24"/>
        </w:rPr>
        <w:br/>
      </w:r>
      <w:r w:rsidRPr="00411AE0">
        <w:rPr>
          <w:rFonts w:ascii="Garamond" w:eastAsia="Cambria" w:hAnsi="Garamond" w:cs="Cambria"/>
          <w:sz w:val="24"/>
          <w:szCs w:val="24"/>
        </w:rPr>
        <w:tab/>
      </w:r>
      <w:r w:rsidR="00037B78">
        <w:rPr>
          <w:rFonts w:ascii="Garamond" w:eastAsia="Cambria" w:hAnsi="Garamond" w:cs="Cambria"/>
          <w:sz w:val="24"/>
          <w:szCs w:val="24"/>
        </w:rPr>
        <w:t xml:space="preserve">Despite the fact that </w:t>
      </w:r>
      <w:r w:rsidRPr="00411AE0">
        <w:rPr>
          <w:rFonts w:ascii="Garamond" w:eastAsia="Cambria" w:hAnsi="Garamond" w:cs="Cambria"/>
          <w:sz w:val="24"/>
          <w:szCs w:val="24"/>
        </w:rPr>
        <w:t xml:space="preserve">authority and sovereignty did not always coincide during the colonial expansion, sovereignty </w:t>
      </w:r>
      <w:r w:rsidR="002058D9" w:rsidRPr="00411AE0">
        <w:rPr>
          <w:rFonts w:ascii="Garamond" w:eastAsia="Cambria" w:hAnsi="Garamond" w:cs="Cambria"/>
          <w:sz w:val="24"/>
          <w:szCs w:val="24"/>
        </w:rPr>
        <w:t xml:space="preserve">nonetheless </w:t>
      </w:r>
      <w:r w:rsidRPr="00411AE0">
        <w:rPr>
          <w:rFonts w:ascii="Garamond" w:eastAsia="Cambria" w:hAnsi="Garamond" w:cs="Cambria"/>
          <w:sz w:val="24"/>
          <w:szCs w:val="24"/>
        </w:rPr>
        <w:t xml:space="preserve">became a crucial </w:t>
      </w:r>
      <w:r w:rsidR="002058D9" w:rsidRPr="00411AE0">
        <w:rPr>
          <w:rFonts w:ascii="Garamond" w:eastAsia="Cambria" w:hAnsi="Garamond" w:cs="Cambria"/>
          <w:sz w:val="24"/>
          <w:szCs w:val="24"/>
        </w:rPr>
        <w:t xml:space="preserve">mechanism </w:t>
      </w:r>
      <w:r w:rsidRPr="00411AE0">
        <w:rPr>
          <w:rFonts w:ascii="Garamond" w:eastAsia="Cambria" w:hAnsi="Garamond" w:cs="Cambria"/>
          <w:sz w:val="24"/>
          <w:szCs w:val="24"/>
        </w:rPr>
        <w:t xml:space="preserve">in the </w:t>
      </w:r>
      <w:r w:rsidR="00590D5C" w:rsidRPr="00411AE0">
        <w:rPr>
          <w:rFonts w:ascii="Garamond" w:eastAsia="Cambria" w:hAnsi="Garamond" w:cs="Cambria"/>
          <w:sz w:val="24"/>
          <w:szCs w:val="24"/>
        </w:rPr>
        <w:t>subjection</w:t>
      </w:r>
      <w:r w:rsidRPr="00411AE0">
        <w:rPr>
          <w:rFonts w:ascii="Garamond" w:eastAsia="Cambria" w:hAnsi="Garamond" w:cs="Cambria"/>
          <w:sz w:val="24"/>
          <w:szCs w:val="24"/>
        </w:rPr>
        <w:t xml:space="preserve"> of native populations</w:t>
      </w:r>
      <w:r w:rsidR="00920689" w:rsidRPr="00411AE0">
        <w:rPr>
          <w:rFonts w:ascii="Garamond" w:eastAsia="Cambria" w:hAnsi="Garamond" w:cs="Cambria"/>
          <w:sz w:val="24"/>
          <w:szCs w:val="24"/>
        </w:rPr>
        <w:t xml:space="preserve"> in the colonies</w:t>
      </w:r>
      <w:r w:rsidRPr="00411AE0">
        <w:rPr>
          <w:rFonts w:ascii="Garamond" w:eastAsia="Cambria" w:hAnsi="Garamond" w:cs="Cambria"/>
          <w:sz w:val="24"/>
          <w:szCs w:val="24"/>
        </w:rPr>
        <w:t xml:space="preserve">. Sovereignty </w:t>
      </w:r>
      <w:r w:rsidR="00F9598B" w:rsidRPr="00411AE0">
        <w:rPr>
          <w:rFonts w:ascii="Garamond" w:eastAsia="Cambria" w:hAnsi="Garamond" w:cs="Cambria"/>
          <w:sz w:val="24"/>
          <w:szCs w:val="24"/>
        </w:rPr>
        <w:t>provided</w:t>
      </w:r>
      <w:r w:rsidRPr="00411AE0">
        <w:rPr>
          <w:rFonts w:ascii="Garamond" w:eastAsia="Cambria" w:hAnsi="Garamond" w:cs="Cambria"/>
          <w:sz w:val="24"/>
          <w:szCs w:val="24"/>
        </w:rPr>
        <w:t xml:space="preserve"> a discourse that </w:t>
      </w:r>
      <w:r w:rsidR="005A6890">
        <w:rPr>
          <w:rFonts w:ascii="Garamond" w:eastAsia="Cambria" w:hAnsi="Garamond" w:cs="Cambria"/>
          <w:sz w:val="24"/>
          <w:szCs w:val="24"/>
        </w:rPr>
        <w:t>‘</w:t>
      </w:r>
      <w:r w:rsidRPr="00411AE0">
        <w:rPr>
          <w:rFonts w:ascii="Garamond" w:eastAsia="Cambria" w:hAnsi="Garamond" w:cs="Cambria"/>
          <w:sz w:val="24"/>
          <w:szCs w:val="24"/>
        </w:rPr>
        <w:t>legitimised</w:t>
      </w:r>
      <w:r w:rsidR="005A6890">
        <w:rPr>
          <w:rFonts w:ascii="Garamond" w:eastAsia="Cambria" w:hAnsi="Garamond" w:cs="Cambria"/>
          <w:sz w:val="24"/>
          <w:szCs w:val="24"/>
        </w:rPr>
        <w:t>’</w:t>
      </w:r>
      <w:r w:rsidRPr="00411AE0">
        <w:rPr>
          <w:rFonts w:ascii="Garamond" w:eastAsia="Cambria" w:hAnsi="Garamond" w:cs="Cambria"/>
          <w:sz w:val="24"/>
          <w:szCs w:val="24"/>
        </w:rPr>
        <w:t xml:space="preserve"> the exercise of power and the </w:t>
      </w:r>
      <w:r w:rsidR="00590D5C" w:rsidRPr="00411AE0">
        <w:rPr>
          <w:rFonts w:ascii="Garamond" w:eastAsia="Cambria" w:hAnsi="Garamond" w:cs="Cambria"/>
          <w:sz w:val="24"/>
          <w:szCs w:val="24"/>
        </w:rPr>
        <w:t>‘</w:t>
      </w:r>
      <w:r w:rsidRPr="00411AE0">
        <w:rPr>
          <w:rFonts w:ascii="Garamond" w:eastAsia="Cambria" w:hAnsi="Garamond" w:cs="Cambria"/>
          <w:sz w:val="24"/>
          <w:szCs w:val="24"/>
        </w:rPr>
        <w:t>right</w:t>
      </w:r>
      <w:r w:rsidR="00590D5C" w:rsidRPr="00411AE0">
        <w:rPr>
          <w:rFonts w:ascii="Garamond" w:eastAsia="Cambria" w:hAnsi="Garamond" w:cs="Cambria"/>
          <w:sz w:val="24"/>
          <w:szCs w:val="24"/>
        </w:rPr>
        <w:t>’</w:t>
      </w:r>
      <w:r w:rsidRPr="00411AE0">
        <w:rPr>
          <w:rFonts w:ascii="Garamond" w:eastAsia="Cambria" w:hAnsi="Garamond" w:cs="Cambria"/>
          <w:sz w:val="24"/>
          <w:szCs w:val="24"/>
        </w:rPr>
        <w:t xml:space="preserve"> </w:t>
      </w:r>
      <w:r w:rsidR="0097175E" w:rsidRPr="00411AE0">
        <w:rPr>
          <w:rFonts w:ascii="Garamond" w:eastAsia="Cambria" w:hAnsi="Garamond" w:cs="Cambria"/>
          <w:sz w:val="24"/>
          <w:szCs w:val="24"/>
        </w:rPr>
        <w:t xml:space="preserve">of European colonisers </w:t>
      </w:r>
      <w:r w:rsidRPr="00411AE0">
        <w:rPr>
          <w:rFonts w:ascii="Garamond" w:eastAsia="Cambria" w:hAnsi="Garamond" w:cs="Cambria"/>
          <w:sz w:val="24"/>
          <w:szCs w:val="24"/>
        </w:rPr>
        <w:t xml:space="preserve">to assert </w:t>
      </w:r>
      <w:r w:rsidR="00590D5C" w:rsidRPr="00411AE0">
        <w:rPr>
          <w:rFonts w:ascii="Garamond" w:eastAsia="Cambria" w:hAnsi="Garamond" w:cs="Cambria"/>
          <w:sz w:val="24"/>
          <w:szCs w:val="24"/>
        </w:rPr>
        <w:t>‘</w:t>
      </w:r>
      <w:r w:rsidRPr="00411AE0">
        <w:rPr>
          <w:rFonts w:ascii="Garamond" w:eastAsia="Cambria" w:hAnsi="Garamond" w:cs="Cambria"/>
          <w:sz w:val="24"/>
          <w:szCs w:val="24"/>
        </w:rPr>
        <w:t>authority</w:t>
      </w:r>
      <w:r w:rsidR="00590D5C" w:rsidRPr="00411AE0">
        <w:rPr>
          <w:rFonts w:ascii="Garamond" w:eastAsia="Cambria" w:hAnsi="Garamond" w:cs="Cambria"/>
          <w:sz w:val="24"/>
          <w:szCs w:val="24"/>
        </w:rPr>
        <w:t>’</w:t>
      </w:r>
      <w:r w:rsidRPr="00411AE0">
        <w:rPr>
          <w:rFonts w:ascii="Garamond" w:eastAsia="Cambria" w:hAnsi="Garamond" w:cs="Cambria"/>
          <w:sz w:val="24"/>
          <w:szCs w:val="24"/>
        </w:rPr>
        <w:t xml:space="preserve"> over non-Europeans.</w:t>
      </w:r>
      <w:r w:rsidRPr="00411AE0">
        <w:rPr>
          <w:rFonts w:ascii="Garamond" w:eastAsia="Cambria" w:hAnsi="Garamond" w:cs="Cambria"/>
          <w:sz w:val="24"/>
          <w:szCs w:val="24"/>
          <w:vertAlign w:val="superscript"/>
        </w:rPr>
        <w:footnoteReference w:id="202"/>
      </w:r>
      <w:r w:rsidRPr="00411AE0">
        <w:rPr>
          <w:rFonts w:ascii="Garamond" w:eastAsia="Cambria" w:hAnsi="Garamond" w:cs="Cambria"/>
          <w:sz w:val="24"/>
          <w:szCs w:val="24"/>
        </w:rPr>
        <w:t xml:space="preserve"> This</w:t>
      </w:r>
      <w:r w:rsidR="002058D9" w:rsidRPr="00411AE0">
        <w:rPr>
          <w:rFonts w:ascii="Garamond" w:eastAsia="Cambria" w:hAnsi="Garamond" w:cs="Cambria"/>
          <w:sz w:val="24"/>
          <w:szCs w:val="24"/>
        </w:rPr>
        <w:t xml:space="preserve"> hierarchical set of relations</w:t>
      </w:r>
      <w:r w:rsidRPr="00411AE0">
        <w:rPr>
          <w:rFonts w:ascii="Garamond" w:eastAsia="Cambria" w:hAnsi="Garamond" w:cs="Cambria"/>
          <w:sz w:val="24"/>
          <w:szCs w:val="24"/>
        </w:rPr>
        <w:t xml:space="preserve"> was operationalised through a series of legal constructions and discursive </w:t>
      </w:r>
      <w:r w:rsidR="00590D5C" w:rsidRPr="00411AE0">
        <w:rPr>
          <w:rFonts w:ascii="Garamond" w:eastAsia="Cambria" w:hAnsi="Garamond" w:cs="Cambria"/>
          <w:sz w:val="24"/>
          <w:szCs w:val="24"/>
        </w:rPr>
        <w:t>ploys, key among</w:t>
      </w:r>
      <w:r w:rsidR="0097175E" w:rsidRPr="00411AE0">
        <w:rPr>
          <w:rFonts w:ascii="Garamond" w:eastAsia="Cambria" w:hAnsi="Garamond" w:cs="Cambria"/>
          <w:sz w:val="24"/>
          <w:szCs w:val="24"/>
        </w:rPr>
        <w:t>st</w:t>
      </w:r>
      <w:r w:rsidR="00590D5C" w:rsidRPr="00411AE0">
        <w:rPr>
          <w:rFonts w:ascii="Garamond" w:eastAsia="Cambria" w:hAnsi="Garamond" w:cs="Cambria"/>
          <w:sz w:val="24"/>
          <w:szCs w:val="24"/>
        </w:rPr>
        <w:t xml:space="preserve"> which is the idea that in</w:t>
      </w:r>
      <w:r w:rsidRPr="00411AE0">
        <w:rPr>
          <w:rFonts w:ascii="Garamond" w:eastAsia="Cambria" w:hAnsi="Garamond" w:cs="Cambria"/>
          <w:sz w:val="24"/>
          <w:szCs w:val="24"/>
        </w:rPr>
        <w:t xml:space="preserve"> order to be welcomed as a partner in the family of nations</w:t>
      </w:r>
      <w:r w:rsidR="002058D9" w:rsidRPr="00411AE0">
        <w:rPr>
          <w:rFonts w:ascii="Garamond" w:eastAsia="Cambria" w:hAnsi="Garamond" w:cs="Cambria"/>
          <w:sz w:val="24"/>
          <w:szCs w:val="24"/>
        </w:rPr>
        <w:t>,</w:t>
      </w:r>
      <w:r w:rsidRPr="00411AE0">
        <w:rPr>
          <w:rFonts w:ascii="Garamond" w:eastAsia="Cambria" w:hAnsi="Garamond" w:cs="Cambria"/>
          <w:sz w:val="24"/>
          <w:szCs w:val="24"/>
        </w:rPr>
        <w:t xml:space="preserve"> a potential ‘sovereign state’ had to </w:t>
      </w:r>
      <w:r w:rsidR="00037B78">
        <w:rPr>
          <w:rFonts w:ascii="Garamond" w:eastAsia="Cambria" w:hAnsi="Garamond" w:cs="Cambria"/>
          <w:sz w:val="24"/>
          <w:szCs w:val="24"/>
        </w:rPr>
        <w:t>possess</w:t>
      </w:r>
      <w:r w:rsidR="00037B78" w:rsidRPr="00411AE0">
        <w:rPr>
          <w:rFonts w:ascii="Garamond" w:eastAsia="Cambria" w:hAnsi="Garamond" w:cs="Cambria"/>
          <w:sz w:val="24"/>
          <w:szCs w:val="24"/>
        </w:rPr>
        <w:t xml:space="preserve"> </w:t>
      </w:r>
      <w:r w:rsidRPr="00411AE0">
        <w:rPr>
          <w:rFonts w:ascii="Garamond" w:eastAsia="Cambria" w:hAnsi="Garamond" w:cs="Cambria"/>
          <w:sz w:val="24"/>
          <w:szCs w:val="24"/>
        </w:rPr>
        <w:t>legal personality</w:t>
      </w:r>
      <w:r w:rsidR="00037B78">
        <w:rPr>
          <w:rFonts w:ascii="Garamond" w:eastAsia="Cambria" w:hAnsi="Garamond" w:cs="Cambria"/>
          <w:sz w:val="24"/>
          <w:szCs w:val="24"/>
        </w:rPr>
        <w:t>.</w:t>
      </w:r>
      <w:r w:rsidRPr="00411AE0">
        <w:rPr>
          <w:rFonts w:ascii="Garamond" w:eastAsia="Cambria" w:hAnsi="Garamond" w:cs="Cambria"/>
          <w:sz w:val="24"/>
          <w:szCs w:val="24"/>
          <w:vertAlign w:val="superscript"/>
        </w:rPr>
        <w:footnoteReference w:id="203"/>
      </w:r>
      <w:r w:rsidRPr="00411AE0">
        <w:rPr>
          <w:rFonts w:ascii="Garamond" w:eastAsia="Cambria" w:hAnsi="Garamond" w:cs="Cambria"/>
          <w:sz w:val="24"/>
          <w:szCs w:val="24"/>
        </w:rPr>
        <w:t xml:space="preserve"> </w:t>
      </w:r>
      <w:r w:rsidR="00037B78">
        <w:rPr>
          <w:rFonts w:ascii="Garamond" w:eastAsia="Cambria" w:hAnsi="Garamond" w:cs="Cambria"/>
          <w:sz w:val="24"/>
          <w:szCs w:val="24"/>
        </w:rPr>
        <w:t xml:space="preserve">However, </w:t>
      </w:r>
      <w:r w:rsidRPr="00411AE0">
        <w:rPr>
          <w:rFonts w:ascii="Garamond" w:eastAsia="Cambria" w:hAnsi="Garamond" w:cs="Cambria"/>
          <w:sz w:val="24"/>
          <w:szCs w:val="24"/>
        </w:rPr>
        <w:t>legal personality</w:t>
      </w:r>
      <w:r w:rsidR="002058D9" w:rsidRPr="00411AE0">
        <w:rPr>
          <w:rFonts w:ascii="Garamond" w:eastAsia="Cambria" w:hAnsi="Garamond" w:cs="Cambria"/>
          <w:sz w:val="24"/>
          <w:szCs w:val="24"/>
        </w:rPr>
        <w:t>—</w:t>
      </w:r>
      <w:r w:rsidRPr="00411AE0">
        <w:rPr>
          <w:rFonts w:ascii="Garamond" w:eastAsia="Cambria" w:hAnsi="Garamond" w:cs="Cambria"/>
          <w:sz w:val="24"/>
          <w:szCs w:val="24"/>
        </w:rPr>
        <w:t xml:space="preserve">as </w:t>
      </w:r>
      <w:r w:rsidR="00037B78">
        <w:rPr>
          <w:rFonts w:ascii="Garamond" w:eastAsia="Cambria" w:hAnsi="Garamond" w:cs="Cambria"/>
          <w:sz w:val="24"/>
          <w:szCs w:val="24"/>
        </w:rPr>
        <w:t>was implied</w:t>
      </w:r>
      <w:r w:rsidRPr="00411AE0">
        <w:rPr>
          <w:rFonts w:ascii="Garamond" w:eastAsia="Cambria" w:hAnsi="Garamond" w:cs="Cambria"/>
          <w:sz w:val="24"/>
          <w:szCs w:val="24"/>
        </w:rPr>
        <w:t xml:space="preserve"> in the previous </w:t>
      </w:r>
      <w:r w:rsidR="00037B78">
        <w:rPr>
          <w:rFonts w:ascii="Garamond" w:eastAsia="Cambria" w:hAnsi="Garamond" w:cs="Cambria"/>
          <w:sz w:val="24"/>
          <w:szCs w:val="24"/>
        </w:rPr>
        <w:t>discussion of legal personhood</w:t>
      </w:r>
      <w:r w:rsidR="002058D9" w:rsidRPr="00411AE0">
        <w:rPr>
          <w:rFonts w:ascii="Garamond" w:eastAsia="Cambria" w:hAnsi="Garamond" w:cs="Cambria"/>
          <w:sz w:val="24"/>
          <w:szCs w:val="24"/>
        </w:rPr>
        <w:t>—</w:t>
      </w:r>
      <w:r w:rsidR="00CD6D22">
        <w:rPr>
          <w:rFonts w:ascii="Garamond" w:eastAsia="Cambria" w:hAnsi="Garamond" w:cs="Cambria"/>
          <w:sz w:val="24"/>
          <w:szCs w:val="24"/>
        </w:rPr>
        <w:t>was</w:t>
      </w:r>
      <w:r w:rsidR="00521375"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selectively bestowed. </w:t>
      </w:r>
      <w:r w:rsidR="00590D5C" w:rsidRPr="00411AE0">
        <w:rPr>
          <w:rFonts w:ascii="Garamond" w:eastAsia="Cambria" w:hAnsi="Garamond" w:cs="Cambria"/>
          <w:sz w:val="24"/>
          <w:szCs w:val="24"/>
        </w:rPr>
        <w:t xml:space="preserve">In line with the patterns identified above in relation to law’s paradigmatic actor, </w:t>
      </w:r>
      <w:r w:rsidR="002058D9" w:rsidRPr="00411AE0">
        <w:rPr>
          <w:rFonts w:ascii="Garamond" w:eastAsia="Cambria" w:hAnsi="Garamond" w:cs="Cambria"/>
          <w:sz w:val="24"/>
          <w:szCs w:val="24"/>
        </w:rPr>
        <w:t xml:space="preserve">prospective </w:t>
      </w:r>
      <w:r w:rsidRPr="00411AE0">
        <w:rPr>
          <w:rFonts w:ascii="Garamond" w:eastAsia="Cambria" w:hAnsi="Garamond" w:cs="Cambria"/>
          <w:sz w:val="24"/>
          <w:szCs w:val="24"/>
        </w:rPr>
        <w:t>sovereign state</w:t>
      </w:r>
      <w:r w:rsidR="003C6921" w:rsidRPr="00411AE0">
        <w:rPr>
          <w:rFonts w:ascii="Garamond" w:eastAsia="Cambria" w:hAnsi="Garamond" w:cs="Cambria"/>
          <w:sz w:val="24"/>
          <w:szCs w:val="24"/>
        </w:rPr>
        <w:t>s</w:t>
      </w:r>
      <w:r w:rsidRPr="00411AE0">
        <w:rPr>
          <w:rFonts w:ascii="Garamond" w:eastAsia="Cambria" w:hAnsi="Garamond" w:cs="Cambria"/>
          <w:sz w:val="24"/>
          <w:szCs w:val="24"/>
        </w:rPr>
        <w:t xml:space="preserve"> had to share characteristics preordained by the European powers, such as rationality</w:t>
      </w:r>
      <w:r w:rsidR="00590D5C" w:rsidRPr="00411AE0">
        <w:rPr>
          <w:rFonts w:ascii="Garamond" w:eastAsia="Cambria" w:hAnsi="Garamond" w:cs="Cambria"/>
          <w:sz w:val="24"/>
          <w:szCs w:val="24"/>
        </w:rPr>
        <w:t xml:space="preserve">—as well as </w:t>
      </w:r>
      <w:r w:rsidR="00FC0953">
        <w:rPr>
          <w:rFonts w:ascii="Garamond" w:eastAsia="Cambria" w:hAnsi="Garamond" w:cs="Cambria"/>
          <w:sz w:val="24"/>
          <w:szCs w:val="24"/>
        </w:rPr>
        <w:t>to conform to</w:t>
      </w:r>
      <w:r w:rsidR="00FC0953" w:rsidRPr="00411AE0">
        <w:rPr>
          <w:rFonts w:ascii="Garamond" w:eastAsia="Cambria" w:hAnsi="Garamond" w:cs="Cambria"/>
          <w:sz w:val="24"/>
          <w:szCs w:val="24"/>
        </w:rPr>
        <w:t xml:space="preserve"> </w:t>
      </w:r>
      <w:r w:rsidR="00590D5C" w:rsidRPr="00411AE0">
        <w:rPr>
          <w:rFonts w:ascii="Garamond" w:eastAsia="Cambria" w:hAnsi="Garamond" w:cs="Cambria"/>
          <w:sz w:val="24"/>
          <w:szCs w:val="24"/>
        </w:rPr>
        <w:t>certain requirements concerning</w:t>
      </w:r>
      <w:r w:rsidRPr="00411AE0">
        <w:rPr>
          <w:rFonts w:ascii="Garamond" w:eastAsia="Cambria" w:hAnsi="Garamond" w:cs="Cambria"/>
          <w:sz w:val="24"/>
          <w:szCs w:val="24"/>
        </w:rPr>
        <w:t xml:space="preserve"> race and religion.</w:t>
      </w:r>
      <w:r w:rsidRPr="00411AE0">
        <w:rPr>
          <w:rFonts w:ascii="Garamond" w:eastAsia="Cambria" w:hAnsi="Garamond" w:cs="Cambria"/>
          <w:sz w:val="24"/>
          <w:szCs w:val="24"/>
          <w:vertAlign w:val="superscript"/>
        </w:rPr>
        <w:footnoteReference w:id="204"/>
      </w:r>
      <w:r w:rsidR="002058D9" w:rsidRPr="00411AE0">
        <w:rPr>
          <w:rFonts w:ascii="Garamond" w:eastAsia="Cambria" w:hAnsi="Garamond" w:cs="Cambria"/>
          <w:sz w:val="24"/>
          <w:szCs w:val="24"/>
        </w:rPr>
        <w:t xml:space="preserve"> </w:t>
      </w:r>
      <w:r w:rsidRPr="00411AE0">
        <w:rPr>
          <w:rFonts w:ascii="Garamond" w:eastAsia="Cambria" w:hAnsi="Garamond" w:cs="Cambria"/>
          <w:sz w:val="24"/>
          <w:szCs w:val="24"/>
        </w:rPr>
        <w:t>Sovereignty</w:t>
      </w:r>
      <w:r w:rsidR="002058D9" w:rsidRPr="00411AE0">
        <w:rPr>
          <w:rFonts w:ascii="Garamond" w:eastAsia="Cambria" w:hAnsi="Garamond" w:cs="Cambria"/>
          <w:sz w:val="24"/>
          <w:szCs w:val="24"/>
        </w:rPr>
        <w:t>, in short,</w:t>
      </w:r>
      <w:r w:rsidRPr="00411AE0">
        <w:rPr>
          <w:rFonts w:ascii="Garamond" w:eastAsia="Cambria" w:hAnsi="Garamond" w:cs="Cambria"/>
          <w:sz w:val="24"/>
          <w:szCs w:val="24"/>
        </w:rPr>
        <w:t xml:space="preserve"> was defined precisely in such a way that it could be denied to the non-European </w:t>
      </w:r>
      <w:r w:rsidR="00266D33">
        <w:rPr>
          <w:rFonts w:ascii="Garamond" w:eastAsia="Cambria" w:hAnsi="Garamond" w:cs="Cambria"/>
          <w:sz w:val="24"/>
          <w:szCs w:val="24"/>
        </w:rPr>
        <w:t>w</w:t>
      </w:r>
      <w:r w:rsidR="00266D33" w:rsidRPr="00411AE0">
        <w:rPr>
          <w:rFonts w:ascii="Garamond" w:eastAsia="Cambria" w:hAnsi="Garamond" w:cs="Cambria"/>
          <w:sz w:val="24"/>
          <w:szCs w:val="24"/>
        </w:rPr>
        <w:t xml:space="preserve">orld </w:t>
      </w:r>
      <w:r w:rsidRPr="00411AE0">
        <w:rPr>
          <w:rFonts w:ascii="Garamond" w:eastAsia="Cambria" w:hAnsi="Garamond" w:cs="Cambria"/>
          <w:sz w:val="24"/>
          <w:szCs w:val="24"/>
        </w:rPr>
        <w:t xml:space="preserve">and </w:t>
      </w:r>
      <w:r w:rsidR="00242CFB">
        <w:rPr>
          <w:rFonts w:ascii="Garamond" w:eastAsia="Cambria" w:hAnsi="Garamond" w:cs="Cambria"/>
          <w:sz w:val="24"/>
          <w:szCs w:val="24"/>
        </w:rPr>
        <w:t xml:space="preserve">was </w:t>
      </w:r>
      <w:r w:rsidRPr="00411AE0">
        <w:rPr>
          <w:rFonts w:ascii="Garamond" w:eastAsia="Cambria" w:hAnsi="Garamond" w:cs="Cambria"/>
          <w:sz w:val="24"/>
          <w:szCs w:val="24"/>
        </w:rPr>
        <w:t>deployed for ‘othering’ non-European subjects</w:t>
      </w:r>
      <w:r w:rsidR="00242CFB">
        <w:rPr>
          <w:rFonts w:ascii="Garamond" w:eastAsia="Cambria" w:hAnsi="Garamond" w:cs="Cambria"/>
          <w:sz w:val="24"/>
          <w:szCs w:val="24"/>
        </w:rPr>
        <w:t>,</w:t>
      </w:r>
      <w:r w:rsidR="00D9018D" w:rsidRPr="00411AE0">
        <w:rPr>
          <w:rFonts w:ascii="Garamond" w:eastAsia="Cambria" w:hAnsi="Garamond" w:cs="Cambria"/>
          <w:sz w:val="24"/>
          <w:szCs w:val="24"/>
        </w:rPr>
        <w:t xml:space="preserve"> </w:t>
      </w:r>
      <w:r w:rsidR="00242CFB">
        <w:rPr>
          <w:rFonts w:ascii="Garamond" w:eastAsia="Cambria" w:hAnsi="Garamond" w:cs="Cambria"/>
          <w:sz w:val="24"/>
          <w:szCs w:val="24"/>
        </w:rPr>
        <w:t xml:space="preserve">who were </w:t>
      </w:r>
      <w:r w:rsidR="00D9018D" w:rsidRPr="00411AE0">
        <w:rPr>
          <w:rFonts w:ascii="Garamond" w:eastAsia="Cambria" w:hAnsi="Garamond" w:cs="Cambria"/>
          <w:sz w:val="24"/>
          <w:szCs w:val="24"/>
        </w:rPr>
        <w:t>denied the constructed civili</w:t>
      </w:r>
      <w:r w:rsidR="00BC3459">
        <w:rPr>
          <w:rFonts w:ascii="Garamond" w:eastAsia="Cambria" w:hAnsi="Garamond" w:cs="Cambria"/>
          <w:sz w:val="24"/>
          <w:szCs w:val="24"/>
        </w:rPr>
        <w:t>s</w:t>
      </w:r>
      <w:r w:rsidR="00D9018D" w:rsidRPr="00411AE0">
        <w:rPr>
          <w:rFonts w:ascii="Garamond" w:eastAsia="Cambria" w:hAnsi="Garamond" w:cs="Cambria"/>
          <w:sz w:val="24"/>
          <w:szCs w:val="24"/>
        </w:rPr>
        <w:t>ational maturity and rationality of Europe</w:t>
      </w:r>
      <w:r w:rsidRPr="00411AE0">
        <w:rPr>
          <w:rFonts w:ascii="Garamond" w:eastAsia="Cambria" w:hAnsi="Garamond" w:cs="Cambria"/>
          <w:sz w:val="24"/>
          <w:szCs w:val="24"/>
        </w:rPr>
        <w:t>.</w:t>
      </w:r>
      <w:r w:rsidRPr="00411AE0">
        <w:rPr>
          <w:rFonts w:ascii="Garamond" w:eastAsia="Cambria" w:hAnsi="Garamond" w:cs="Cambria"/>
          <w:sz w:val="24"/>
          <w:szCs w:val="24"/>
          <w:vertAlign w:val="superscript"/>
        </w:rPr>
        <w:footnoteReference w:id="205"/>
      </w:r>
      <w:r w:rsidRPr="00411AE0">
        <w:rPr>
          <w:rFonts w:ascii="Garamond" w:eastAsia="Cambria" w:hAnsi="Garamond" w:cs="Cambria"/>
          <w:sz w:val="24"/>
          <w:szCs w:val="24"/>
        </w:rPr>
        <w:t xml:space="preserve"> </w:t>
      </w:r>
      <w:r w:rsidR="002058D9" w:rsidRPr="00411AE0">
        <w:rPr>
          <w:rFonts w:ascii="Garamond" w:eastAsia="Cambria" w:hAnsi="Garamond" w:cs="Cambria"/>
          <w:sz w:val="24"/>
          <w:szCs w:val="24"/>
        </w:rPr>
        <w:br/>
      </w:r>
      <w:r w:rsidR="002058D9" w:rsidRPr="00411AE0">
        <w:rPr>
          <w:rFonts w:ascii="Garamond" w:eastAsia="Cambria" w:hAnsi="Garamond" w:cs="Cambria"/>
          <w:sz w:val="24"/>
          <w:szCs w:val="24"/>
        </w:rPr>
        <w:tab/>
        <w:t xml:space="preserve">Predictably, and </w:t>
      </w:r>
      <w:r w:rsidR="00DC6C10" w:rsidRPr="00411AE0">
        <w:rPr>
          <w:rFonts w:ascii="Garamond" w:eastAsia="Cambria" w:hAnsi="Garamond" w:cs="Cambria"/>
          <w:sz w:val="24"/>
          <w:szCs w:val="24"/>
        </w:rPr>
        <w:t xml:space="preserve">also </w:t>
      </w:r>
      <w:r w:rsidR="002058D9" w:rsidRPr="00411AE0">
        <w:rPr>
          <w:rFonts w:ascii="Garamond" w:eastAsia="Cambria" w:hAnsi="Garamond" w:cs="Cambria"/>
          <w:sz w:val="24"/>
          <w:szCs w:val="24"/>
        </w:rPr>
        <w:t xml:space="preserve">in </w:t>
      </w:r>
      <w:r w:rsidR="00DC6C10" w:rsidRPr="00411AE0">
        <w:rPr>
          <w:rFonts w:ascii="Garamond" w:eastAsia="Cambria" w:hAnsi="Garamond" w:cs="Cambria"/>
          <w:sz w:val="24"/>
          <w:szCs w:val="24"/>
        </w:rPr>
        <w:t xml:space="preserve">powerful </w:t>
      </w:r>
      <w:r w:rsidR="002058D9" w:rsidRPr="00411AE0">
        <w:rPr>
          <w:rFonts w:ascii="Garamond" w:eastAsia="Cambria" w:hAnsi="Garamond" w:cs="Cambria"/>
          <w:sz w:val="24"/>
          <w:szCs w:val="24"/>
        </w:rPr>
        <w:t xml:space="preserve">continuity with the ideological </w:t>
      </w:r>
      <w:r w:rsidR="00C1653F" w:rsidRPr="00411AE0">
        <w:rPr>
          <w:rFonts w:ascii="Garamond" w:eastAsia="Cambria" w:hAnsi="Garamond" w:cs="Cambria"/>
          <w:sz w:val="24"/>
          <w:szCs w:val="24"/>
        </w:rPr>
        <w:t>co-constitution of</w:t>
      </w:r>
      <w:r w:rsidR="002058D9" w:rsidRPr="00411AE0">
        <w:rPr>
          <w:rFonts w:ascii="Garamond" w:eastAsia="Cambria" w:hAnsi="Garamond" w:cs="Cambria"/>
          <w:sz w:val="24"/>
          <w:szCs w:val="24"/>
        </w:rPr>
        <w:t xml:space="preserve"> personhood and property discussed above, t</w:t>
      </w:r>
      <w:r w:rsidRPr="00411AE0">
        <w:rPr>
          <w:rFonts w:ascii="Garamond" w:eastAsia="Cambria" w:hAnsi="Garamond" w:cs="Cambria"/>
          <w:sz w:val="24"/>
          <w:szCs w:val="24"/>
        </w:rPr>
        <w:t xml:space="preserve">he denial of </w:t>
      </w:r>
      <w:r w:rsidR="002058D9" w:rsidRPr="00411AE0">
        <w:rPr>
          <w:rFonts w:ascii="Garamond" w:eastAsia="Cambria" w:hAnsi="Garamond" w:cs="Cambria"/>
          <w:sz w:val="24"/>
          <w:szCs w:val="24"/>
        </w:rPr>
        <w:t xml:space="preserve">the </w:t>
      </w:r>
      <w:r w:rsidRPr="00411AE0">
        <w:rPr>
          <w:rFonts w:ascii="Garamond" w:eastAsia="Cambria" w:hAnsi="Garamond" w:cs="Cambria"/>
          <w:sz w:val="24"/>
          <w:szCs w:val="24"/>
        </w:rPr>
        <w:t>legal personality</w:t>
      </w:r>
      <w:r w:rsidR="007C1084">
        <w:rPr>
          <w:rFonts w:ascii="Garamond" w:eastAsia="Cambria" w:hAnsi="Garamond" w:cs="Cambria"/>
          <w:sz w:val="24"/>
          <w:szCs w:val="24"/>
        </w:rPr>
        <w:t xml:space="preserve"> to,</w:t>
      </w:r>
      <w:r w:rsidRPr="00411AE0">
        <w:rPr>
          <w:rFonts w:ascii="Garamond" w:eastAsia="Cambria" w:hAnsi="Garamond" w:cs="Cambria"/>
          <w:sz w:val="24"/>
          <w:szCs w:val="24"/>
        </w:rPr>
        <w:t xml:space="preserve"> and, accordingly, </w:t>
      </w:r>
      <w:r w:rsidR="007C1084">
        <w:rPr>
          <w:rFonts w:ascii="Garamond" w:eastAsia="Cambria" w:hAnsi="Garamond" w:cs="Cambria"/>
          <w:sz w:val="24"/>
          <w:szCs w:val="24"/>
        </w:rPr>
        <w:t xml:space="preserve">the denial </w:t>
      </w:r>
      <w:r w:rsidRPr="00411AE0">
        <w:rPr>
          <w:rFonts w:ascii="Garamond" w:eastAsia="Cambria" w:hAnsi="Garamond" w:cs="Cambria"/>
          <w:sz w:val="24"/>
          <w:szCs w:val="24"/>
        </w:rPr>
        <w:t xml:space="preserve">of </w:t>
      </w:r>
      <w:r w:rsidR="002058D9" w:rsidRPr="00411AE0">
        <w:rPr>
          <w:rFonts w:ascii="Garamond" w:eastAsia="Cambria" w:hAnsi="Garamond" w:cs="Cambria"/>
          <w:sz w:val="24"/>
          <w:szCs w:val="24"/>
        </w:rPr>
        <w:t xml:space="preserve">the </w:t>
      </w:r>
      <w:r w:rsidRPr="00411AE0">
        <w:rPr>
          <w:rFonts w:ascii="Garamond" w:eastAsia="Cambria" w:hAnsi="Garamond" w:cs="Cambria"/>
          <w:sz w:val="24"/>
          <w:szCs w:val="24"/>
        </w:rPr>
        <w:t xml:space="preserve">sovereignty </w:t>
      </w:r>
      <w:r w:rsidR="00F82809" w:rsidRPr="00411AE0">
        <w:rPr>
          <w:rFonts w:ascii="Garamond" w:eastAsia="Cambria" w:hAnsi="Garamond" w:cs="Cambria"/>
          <w:sz w:val="24"/>
          <w:szCs w:val="24"/>
        </w:rPr>
        <w:t xml:space="preserve">of </w:t>
      </w:r>
      <w:r w:rsidRPr="00411AE0">
        <w:rPr>
          <w:rFonts w:ascii="Garamond" w:eastAsia="Cambria" w:hAnsi="Garamond" w:cs="Cambria"/>
          <w:sz w:val="24"/>
          <w:szCs w:val="24"/>
        </w:rPr>
        <w:t>non-European peoples</w:t>
      </w:r>
      <w:r w:rsidR="007C1084">
        <w:rPr>
          <w:rFonts w:ascii="Garamond" w:eastAsia="Cambria" w:hAnsi="Garamond" w:cs="Cambria"/>
          <w:sz w:val="24"/>
          <w:szCs w:val="24"/>
        </w:rPr>
        <w:t>,</w:t>
      </w:r>
      <w:r w:rsidRPr="00411AE0">
        <w:rPr>
          <w:rFonts w:ascii="Garamond" w:eastAsia="Cambria" w:hAnsi="Garamond" w:cs="Cambria"/>
          <w:sz w:val="24"/>
          <w:szCs w:val="24"/>
        </w:rPr>
        <w:t xml:space="preserve"> enabled a particular type of legal dispossession.</w:t>
      </w:r>
      <w:r w:rsidRPr="00411AE0">
        <w:rPr>
          <w:rFonts w:ascii="Garamond" w:eastAsia="Cambria" w:hAnsi="Garamond" w:cs="Cambria"/>
          <w:sz w:val="24"/>
          <w:szCs w:val="24"/>
          <w:vertAlign w:val="superscript"/>
        </w:rPr>
        <w:footnoteReference w:id="206"/>
      </w:r>
      <w:r w:rsidRPr="00411AE0">
        <w:rPr>
          <w:rFonts w:ascii="Garamond" w:eastAsia="Cambria" w:hAnsi="Garamond" w:cs="Cambria"/>
          <w:sz w:val="24"/>
          <w:szCs w:val="24"/>
        </w:rPr>
        <w:t xml:space="preserve"> Non</w:t>
      </w:r>
      <w:r w:rsidR="002058D9" w:rsidRPr="00411AE0">
        <w:rPr>
          <w:rFonts w:ascii="Garamond" w:eastAsia="Cambria" w:hAnsi="Garamond" w:cs="Cambria"/>
          <w:sz w:val="24"/>
          <w:szCs w:val="24"/>
        </w:rPr>
        <w:t>-</w:t>
      </w:r>
      <w:r w:rsidRPr="00411AE0">
        <w:rPr>
          <w:rFonts w:ascii="Garamond" w:eastAsia="Cambria" w:hAnsi="Garamond" w:cs="Cambria"/>
          <w:sz w:val="24"/>
          <w:szCs w:val="24"/>
        </w:rPr>
        <w:t xml:space="preserve">Europeans were denied rights to territory except as consented </w:t>
      </w:r>
      <w:r w:rsidR="000A4D48" w:rsidRPr="00411AE0">
        <w:rPr>
          <w:rFonts w:ascii="Garamond" w:eastAsia="Cambria" w:hAnsi="Garamond" w:cs="Cambria"/>
          <w:sz w:val="24"/>
          <w:szCs w:val="24"/>
        </w:rPr>
        <w:t>to</w:t>
      </w:r>
      <w:r w:rsidR="002058D9" w:rsidRPr="00411AE0">
        <w:rPr>
          <w:rFonts w:ascii="Garamond" w:eastAsia="Cambria" w:hAnsi="Garamond" w:cs="Cambria"/>
          <w:sz w:val="24"/>
          <w:szCs w:val="24"/>
        </w:rPr>
        <w:t xml:space="preserve"> </w:t>
      </w:r>
      <w:r w:rsidRPr="00411AE0">
        <w:rPr>
          <w:rFonts w:ascii="Garamond" w:eastAsia="Cambria" w:hAnsi="Garamond" w:cs="Cambria"/>
          <w:sz w:val="24"/>
          <w:szCs w:val="24"/>
        </w:rPr>
        <w:t>and carefully managed by the European sovereign through the development of territorial title</w:t>
      </w:r>
      <w:r w:rsidR="002058D9" w:rsidRPr="00411AE0">
        <w:rPr>
          <w:rFonts w:ascii="Garamond" w:eastAsia="Cambria" w:hAnsi="Garamond" w:cs="Cambria"/>
          <w:sz w:val="24"/>
          <w:szCs w:val="24"/>
        </w:rPr>
        <w:t>—</w:t>
      </w:r>
      <w:r w:rsidRPr="00411AE0">
        <w:rPr>
          <w:rFonts w:ascii="Garamond" w:eastAsia="Cambria" w:hAnsi="Garamond" w:cs="Cambria"/>
          <w:sz w:val="24"/>
          <w:szCs w:val="24"/>
        </w:rPr>
        <w:t xml:space="preserve">a concept </w:t>
      </w:r>
      <w:r w:rsidR="00DC6C10" w:rsidRPr="00411AE0">
        <w:rPr>
          <w:rFonts w:ascii="Garamond" w:eastAsia="Cambria" w:hAnsi="Garamond" w:cs="Cambria"/>
          <w:sz w:val="24"/>
          <w:szCs w:val="24"/>
        </w:rPr>
        <w:t xml:space="preserve">that </w:t>
      </w:r>
      <w:r w:rsidRPr="00411AE0">
        <w:rPr>
          <w:rFonts w:ascii="Garamond" w:eastAsia="Cambria" w:hAnsi="Garamond" w:cs="Cambria"/>
          <w:sz w:val="24"/>
          <w:szCs w:val="24"/>
        </w:rPr>
        <w:t xml:space="preserve">transformed territory </w:t>
      </w:r>
      <w:r w:rsidR="000A4D48" w:rsidRPr="00411AE0">
        <w:rPr>
          <w:rFonts w:ascii="Garamond" w:eastAsia="Cambria" w:hAnsi="Garamond" w:cs="Cambria"/>
          <w:sz w:val="24"/>
          <w:szCs w:val="24"/>
        </w:rPr>
        <w:t xml:space="preserve">first into </w:t>
      </w:r>
      <w:r w:rsidRPr="00411AE0">
        <w:rPr>
          <w:rFonts w:ascii="Garamond" w:eastAsia="Cambria" w:hAnsi="Garamond" w:cs="Cambria"/>
          <w:sz w:val="24"/>
          <w:szCs w:val="24"/>
        </w:rPr>
        <w:t>property, and</w:t>
      </w:r>
      <w:r w:rsidR="002058D9" w:rsidRPr="00411AE0">
        <w:rPr>
          <w:rFonts w:ascii="Garamond" w:eastAsia="Cambria" w:hAnsi="Garamond" w:cs="Cambria"/>
          <w:sz w:val="24"/>
          <w:szCs w:val="24"/>
        </w:rPr>
        <w:t xml:space="preserve"> then,</w:t>
      </w:r>
      <w:r w:rsidRPr="00411AE0">
        <w:rPr>
          <w:rFonts w:ascii="Garamond" w:eastAsia="Cambria" w:hAnsi="Garamond" w:cs="Cambria"/>
          <w:sz w:val="24"/>
          <w:szCs w:val="24"/>
        </w:rPr>
        <w:t xml:space="preserve"> later</w:t>
      </w:r>
      <w:r w:rsidR="002058D9" w:rsidRPr="00411AE0">
        <w:rPr>
          <w:rFonts w:ascii="Garamond" w:eastAsia="Cambria" w:hAnsi="Garamond" w:cs="Cambria"/>
          <w:sz w:val="24"/>
          <w:szCs w:val="24"/>
        </w:rPr>
        <w:t>,</w:t>
      </w:r>
      <w:r w:rsidRPr="00411AE0">
        <w:rPr>
          <w:rFonts w:ascii="Garamond" w:eastAsia="Cambria" w:hAnsi="Garamond" w:cs="Cambria"/>
          <w:sz w:val="24"/>
          <w:szCs w:val="24"/>
        </w:rPr>
        <w:t xml:space="preserve"> into a commodity </w:t>
      </w:r>
      <w:r w:rsidR="00DC6C10" w:rsidRPr="00411AE0">
        <w:rPr>
          <w:rFonts w:ascii="Garamond" w:eastAsia="Cambria" w:hAnsi="Garamond" w:cs="Cambria"/>
          <w:sz w:val="24"/>
          <w:szCs w:val="24"/>
        </w:rPr>
        <w:t xml:space="preserve">that </w:t>
      </w:r>
      <w:r w:rsidRPr="00411AE0">
        <w:rPr>
          <w:rFonts w:ascii="Garamond" w:eastAsia="Cambria" w:hAnsi="Garamond" w:cs="Cambria"/>
          <w:sz w:val="24"/>
          <w:szCs w:val="24"/>
        </w:rPr>
        <w:t xml:space="preserve">could be disposed of by the </w:t>
      </w:r>
      <w:r w:rsidR="00CD6D22">
        <w:rPr>
          <w:rFonts w:ascii="Garamond" w:eastAsia="Cambria" w:hAnsi="Garamond" w:cs="Cambria"/>
          <w:sz w:val="24"/>
          <w:szCs w:val="24"/>
        </w:rPr>
        <w:t xml:space="preserve">(European) </w:t>
      </w:r>
      <w:r w:rsidRPr="00411AE0">
        <w:rPr>
          <w:rFonts w:ascii="Garamond" w:eastAsia="Cambria" w:hAnsi="Garamond" w:cs="Cambria"/>
          <w:sz w:val="24"/>
          <w:szCs w:val="24"/>
        </w:rPr>
        <w:t>owner-sovereign state</w:t>
      </w:r>
      <w:r w:rsidR="00055A88" w:rsidRPr="00411AE0">
        <w:rPr>
          <w:rFonts w:ascii="Garamond" w:eastAsia="Cambria" w:hAnsi="Garamond" w:cs="Cambria"/>
          <w:sz w:val="24"/>
          <w:szCs w:val="24"/>
        </w:rPr>
        <w:t>.</w:t>
      </w:r>
      <w:r w:rsidR="002058D9" w:rsidRPr="00411AE0">
        <w:rPr>
          <w:rFonts w:ascii="Garamond" w:eastAsia="Cambria" w:hAnsi="Garamond" w:cs="Cambria"/>
          <w:sz w:val="24"/>
          <w:szCs w:val="24"/>
        </w:rPr>
        <w:br/>
      </w:r>
      <w:r w:rsidR="002058D9" w:rsidRPr="00411AE0">
        <w:rPr>
          <w:rFonts w:ascii="Garamond" w:eastAsia="Cambria" w:hAnsi="Garamond" w:cs="Cambria"/>
          <w:sz w:val="24"/>
          <w:szCs w:val="24"/>
        </w:rPr>
        <w:tab/>
      </w:r>
      <w:r w:rsidRPr="00411AE0">
        <w:rPr>
          <w:rFonts w:ascii="Garamond" w:eastAsia="Cambria" w:hAnsi="Garamond" w:cs="Cambria"/>
          <w:sz w:val="24"/>
          <w:szCs w:val="24"/>
        </w:rPr>
        <w:t xml:space="preserve">Alongside this selective </w:t>
      </w:r>
      <w:r w:rsidR="00CD6D22">
        <w:rPr>
          <w:rFonts w:ascii="Garamond" w:eastAsia="Cambria" w:hAnsi="Garamond" w:cs="Cambria"/>
          <w:sz w:val="24"/>
          <w:szCs w:val="24"/>
        </w:rPr>
        <w:t>attribution</w:t>
      </w:r>
      <w:r w:rsidRPr="00411AE0">
        <w:rPr>
          <w:rFonts w:ascii="Garamond" w:eastAsia="Cambria" w:hAnsi="Garamond" w:cs="Cambria"/>
          <w:sz w:val="24"/>
          <w:szCs w:val="24"/>
        </w:rPr>
        <w:t xml:space="preserve"> of ‘sovereignty’ and legal personality, </w:t>
      </w:r>
      <w:r w:rsidR="00055A88" w:rsidRPr="00411AE0">
        <w:rPr>
          <w:rFonts w:ascii="Garamond" w:eastAsia="Cambria" w:hAnsi="Garamond" w:cs="Cambria"/>
          <w:sz w:val="24"/>
          <w:szCs w:val="24"/>
        </w:rPr>
        <w:t xml:space="preserve">the </w:t>
      </w:r>
      <w:r w:rsidRPr="00411AE0">
        <w:rPr>
          <w:rFonts w:ascii="Garamond" w:eastAsia="Cambria" w:hAnsi="Garamond" w:cs="Cambria"/>
          <w:sz w:val="24"/>
          <w:szCs w:val="24"/>
        </w:rPr>
        <w:t xml:space="preserve">jurisdictional </w:t>
      </w:r>
      <w:r w:rsidR="00055A88" w:rsidRPr="00411AE0">
        <w:rPr>
          <w:rFonts w:ascii="Garamond" w:eastAsia="Cambria" w:hAnsi="Garamond" w:cs="Cambria"/>
          <w:sz w:val="24"/>
          <w:szCs w:val="24"/>
        </w:rPr>
        <w:t>technique deployed by</w:t>
      </w:r>
      <w:r w:rsidRPr="00411AE0">
        <w:rPr>
          <w:rFonts w:ascii="Garamond" w:eastAsia="Cambria" w:hAnsi="Garamond" w:cs="Cambria"/>
          <w:sz w:val="24"/>
          <w:szCs w:val="24"/>
        </w:rPr>
        <w:t xml:space="preserve"> the colonial powers imposed artificial (synthetic</w:t>
      </w:r>
      <w:r w:rsidR="00CD6D22">
        <w:rPr>
          <w:rFonts w:ascii="Garamond" w:eastAsia="Cambria" w:hAnsi="Garamond" w:cs="Cambria"/>
          <w:sz w:val="24"/>
          <w:szCs w:val="24"/>
        </w:rPr>
        <w:t>, in our earlier discussion</w:t>
      </w:r>
      <w:r w:rsidRPr="00411AE0">
        <w:rPr>
          <w:rFonts w:ascii="Garamond" w:eastAsia="Cambria" w:hAnsi="Garamond" w:cs="Cambria"/>
          <w:sz w:val="24"/>
          <w:szCs w:val="24"/>
        </w:rPr>
        <w:t xml:space="preserve">) demarcations </w:t>
      </w:r>
      <w:r w:rsidR="00152763" w:rsidRPr="00411AE0">
        <w:rPr>
          <w:rFonts w:ascii="Garamond" w:eastAsia="Cambria" w:hAnsi="Garamond" w:cs="Cambria"/>
          <w:sz w:val="24"/>
          <w:szCs w:val="24"/>
        </w:rPr>
        <w:t xml:space="preserve">upon </w:t>
      </w:r>
      <w:r w:rsidRPr="00411AE0">
        <w:rPr>
          <w:rFonts w:ascii="Garamond" w:eastAsia="Cambria" w:hAnsi="Garamond" w:cs="Cambria"/>
          <w:sz w:val="24"/>
          <w:szCs w:val="24"/>
        </w:rPr>
        <w:t>the</w:t>
      </w:r>
      <w:r w:rsidR="00152763" w:rsidRPr="00411AE0">
        <w:rPr>
          <w:rFonts w:ascii="Garamond" w:eastAsia="Cambria" w:hAnsi="Garamond" w:cs="Cambria"/>
          <w:sz w:val="24"/>
          <w:szCs w:val="24"/>
        </w:rPr>
        <w:t xml:space="preserve"> indigenous</w:t>
      </w:r>
      <w:r w:rsidRPr="00411AE0">
        <w:rPr>
          <w:rFonts w:ascii="Garamond" w:eastAsia="Cambria" w:hAnsi="Garamond" w:cs="Cambria"/>
          <w:sz w:val="24"/>
          <w:szCs w:val="24"/>
        </w:rPr>
        <w:t xml:space="preserve"> </w:t>
      </w:r>
      <w:r w:rsidR="00C03FDF" w:rsidRPr="00411AE0">
        <w:rPr>
          <w:rFonts w:ascii="Garamond" w:eastAsia="Cambria" w:hAnsi="Garamond" w:cs="Cambria"/>
          <w:sz w:val="24"/>
          <w:szCs w:val="24"/>
        </w:rPr>
        <w:t xml:space="preserve">under </w:t>
      </w:r>
      <w:r w:rsidRPr="00411AE0">
        <w:rPr>
          <w:rFonts w:ascii="Garamond" w:eastAsia="Cambria" w:hAnsi="Garamond" w:cs="Cambria"/>
          <w:sz w:val="24"/>
          <w:szCs w:val="24"/>
        </w:rPr>
        <w:t>the pretext of recognising their separate subjectivity as a community</w:t>
      </w:r>
      <w:r w:rsidR="00152763" w:rsidRPr="00411AE0">
        <w:rPr>
          <w:rFonts w:ascii="Garamond" w:eastAsia="Cambria" w:hAnsi="Garamond" w:cs="Cambria"/>
          <w:sz w:val="24"/>
          <w:szCs w:val="24"/>
        </w:rPr>
        <w:t>—</w:t>
      </w:r>
      <w:r w:rsidRPr="00411AE0">
        <w:rPr>
          <w:rFonts w:ascii="Garamond" w:eastAsia="Cambria" w:hAnsi="Garamond" w:cs="Cambria"/>
          <w:sz w:val="24"/>
          <w:szCs w:val="24"/>
        </w:rPr>
        <w:t xml:space="preserve">a move </w:t>
      </w:r>
      <w:r w:rsidR="00F31518" w:rsidRPr="00411AE0">
        <w:rPr>
          <w:rFonts w:ascii="Garamond" w:eastAsia="Cambria" w:hAnsi="Garamond" w:cs="Cambria"/>
          <w:sz w:val="24"/>
          <w:szCs w:val="24"/>
        </w:rPr>
        <w:t>designed</w:t>
      </w:r>
      <w:r w:rsidRPr="00411AE0">
        <w:rPr>
          <w:rFonts w:ascii="Garamond" w:eastAsia="Cambria" w:hAnsi="Garamond" w:cs="Cambria"/>
          <w:sz w:val="24"/>
          <w:szCs w:val="24"/>
        </w:rPr>
        <w:t xml:space="preserve"> to differentiate </w:t>
      </w:r>
      <w:r w:rsidR="007C1084">
        <w:rPr>
          <w:rFonts w:ascii="Garamond" w:eastAsia="Cambria" w:hAnsi="Garamond" w:cs="Cambria"/>
          <w:sz w:val="24"/>
          <w:szCs w:val="24"/>
        </w:rPr>
        <w:t xml:space="preserve">between </w:t>
      </w:r>
      <w:r w:rsidR="00F31518" w:rsidRPr="00411AE0">
        <w:rPr>
          <w:rFonts w:ascii="Garamond" w:eastAsia="Cambria" w:hAnsi="Garamond" w:cs="Cambria"/>
          <w:sz w:val="24"/>
          <w:szCs w:val="24"/>
        </w:rPr>
        <w:t xml:space="preserve">coloniser and colonised </w:t>
      </w:r>
      <w:r w:rsidRPr="00411AE0">
        <w:rPr>
          <w:rFonts w:ascii="Garamond" w:eastAsia="Cambria" w:hAnsi="Garamond" w:cs="Cambria"/>
          <w:sz w:val="24"/>
          <w:szCs w:val="24"/>
        </w:rPr>
        <w:t xml:space="preserve">and to control the </w:t>
      </w:r>
      <w:r w:rsidR="00F31518" w:rsidRPr="00411AE0">
        <w:rPr>
          <w:rFonts w:ascii="Garamond" w:eastAsia="Cambria" w:hAnsi="Garamond" w:cs="Cambria"/>
          <w:sz w:val="24"/>
          <w:szCs w:val="24"/>
        </w:rPr>
        <w:t>latter</w:t>
      </w:r>
      <w:r w:rsidRPr="00411AE0">
        <w:rPr>
          <w:rFonts w:ascii="Garamond" w:eastAsia="Cambria" w:hAnsi="Garamond" w:cs="Cambria"/>
          <w:sz w:val="24"/>
          <w:szCs w:val="24"/>
        </w:rPr>
        <w:t xml:space="preserve">. Jurisdictional </w:t>
      </w:r>
      <w:r w:rsidR="00055A88" w:rsidRPr="00411AE0">
        <w:rPr>
          <w:rFonts w:ascii="Garamond" w:eastAsia="Cambria" w:hAnsi="Garamond" w:cs="Cambria"/>
          <w:sz w:val="24"/>
          <w:szCs w:val="24"/>
        </w:rPr>
        <w:t>technique</w:t>
      </w:r>
      <w:r w:rsidR="000C231B" w:rsidRPr="00411AE0">
        <w:rPr>
          <w:rFonts w:ascii="Garamond" w:eastAsia="Cambria" w:hAnsi="Garamond" w:cs="Cambria"/>
          <w:sz w:val="24"/>
          <w:szCs w:val="24"/>
        </w:rPr>
        <w:t>, in this way,</w:t>
      </w:r>
      <w:r w:rsidR="00152763"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imposed an order and authority that recognised some of the organic </w:t>
      </w:r>
      <w:r w:rsidR="00CC4D77" w:rsidRPr="00411AE0">
        <w:rPr>
          <w:rFonts w:ascii="Garamond" w:eastAsia="Cambria" w:hAnsi="Garamond" w:cs="Cambria"/>
          <w:sz w:val="24"/>
          <w:szCs w:val="24"/>
        </w:rPr>
        <w:t xml:space="preserve">social </w:t>
      </w:r>
      <w:r w:rsidRPr="00411AE0">
        <w:rPr>
          <w:rFonts w:ascii="Garamond" w:eastAsia="Cambria" w:hAnsi="Garamond" w:cs="Cambria"/>
          <w:sz w:val="24"/>
          <w:szCs w:val="24"/>
        </w:rPr>
        <w:t>characteristics of native population</w:t>
      </w:r>
      <w:r w:rsidR="00CC4D77" w:rsidRPr="00411AE0">
        <w:rPr>
          <w:rFonts w:ascii="Garamond" w:eastAsia="Cambria" w:hAnsi="Garamond" w:cs="Cambria"/>
          <w:sz w:val="24"/>
          <w:szCs w:val="24"/>
        </w:rPr>
        <w:t>s</w:t>
      </w:r>
      <w:r w:rsidRPr="00411AE0">
        <w:rPr>
          <w:rFonts w:ascii="Garamond" w:eastAsia="Cambria" w:hAnsi="Garamond" w:cs="Cambria"/>
          <w:sz w:val="24"/>
          <w:szCs w:val="24"/>
        </w:rPr>
        <w:t xml:space="preserve"> but ignored others</w:t>
      </w:r>
      <w:r w:rsidR="00152763" w:rsidRPr="00411AE0">
        <w:rPr>
          <w:rFonts w:ascii="Garamond" w:eastAsia="Cambria" w:hAnsi="Garamond" w:cs="Cambria"/>
          <w:sz w:val="24"/>
          <w:szCs w:val="24"/>
        </w:rPr>
        <w:t>—</w:t>
      </w:r>
      <w:r w:rsidR="00483CBE" w:rsidRPr="00411AE0">
        <w:rPr>
          <w:rFonts w:ascii="Garamond" w:eastAsia="Cambria" w:hAnsi="Garamond" w:cs="Cambria"/>
          <w:sz w:val="24"/>
          <w:szCs w:val="24"/>
        </w:rPr>
        <w:t>just as the politics of selective disembodiment</w:t>
      </w:r>
      <w:r w:rsidR="00EB150F" w:rsidRPr="00411AE0">
        <w:rPr>
          <w:rFonts w:ascii="Garamond" w:eastAsia="Cambria" w:hAnsi="Garamond" w:cs="Cambria"/>
          <w:sz w:val="24"/>
          <w:szCs w:val="24"/>
        </w:rPr>
        <w:t xml:space="preserve"> discussed above</w:t>
      </w:r>
      <w:r w:rsidR="00483CBE" w:rsidRPr="00411AE0">
        <w:rPr>
          <w:rFonts w:ascii="Garamond" w:eastAsia="Cambria" w:hAnsi="Garamond" w:cs="Cambria"/>
          <w:sz w:val="24"/>
          <w:szCs w:val="24"/>
        </w:rPr>
        <w:t xml:space="preserve"> </w:t>
      </w:r>
      <w:r w:rsidR="00CC4D77" w:rsidRPr="00411AE0">
        <w:rPr>
          <w:rFonts w:ascii="Garamond" w:eastAsia="Cambria" w:hAnsi="Garamond" w:cs="Cambria"/>
          <w:sz w:val="24"/>
          <w:szCs w:val="24"/>
        </w:rPr>
        <w:t xml:space="preserve">simultaneously </w:t>
      </w:r>
      <w:r w:rsidR="00483CBE" w:rsidRPr="00411AE0">
        <w:rPr>
          <w:rFonts w:ascii="Garamond" w:eastAsia="Cambria" w:hAnsi="Garamond" w:cs="Cambria"/>
          <w:sz w:val="24"/>
          <w:szCs w:val="24"/>
        </w:rPr>
        <w:t>recognise</w:t>
      </w:r>
      <w:r w:rsidR="00055A88" w:rsidRPr="00411AE0">
        <w:rPr>
          <w:rFonts w:ascii="Garamond" w:eastAsia="Cambria" w:hAnsi="Garamond" w:cs="Cambria"/>
          <w:sz w:val="24"/>
          <w:szCs w:val="24"/>
        </w:rPr>
        <w:t>s</w:t>
      </w:r>
      <w:r w:rsidR="00483CBE" w:rsidRPr="00411AE0">
        <w:rPr>
          <w:rFonts w:ascii="Garamond" w:eastAsia="Cambria" w:hAnsi="Garamond" w:cs="Cambria"/>
          <w:sz w:val="24"/>
          <w:szCs w:val="24"/>
        </w:rPr>
        <w:t xml:space="preserve"> and </w:t>
      </w:r>
      <w:r w:rsidR="00CA190E">
        <w:rPr>
          <w:rFonts w:ascii="Garamond" w:eastAsia="Cambria" w:hAnsi="Garamond" w:cs="Cambria"/>
          <w:sz w:val="24"/>
          <w:szCs w:val="24"/>
        </w:rPr>
        <w:t>diminishes</w:t>
      </w:r>
      <w:r w:rsidR="00CA190E" w:rsidRPr="00411AE0">
        <w:rPr>
          <w:rFonts w:ascii="Garamond" w:eastAsia="Cambria" w:hAnsi="Garamond" w:cs="Cambria"/>
          <w:sz w:val="24"/>
          <w:szCs w:val="24"/>
        </w:rPr>
        <w:t xml:space="preserve"> </w:t>
      </w:r>
      <w:r w:rsidR="00483CBE" w:rsidRPr="00411AE0">
        <w:rPr>
          <w:rFonts w:ascii="Garamond" w:eastAsia="Cambria" w:hAnsi="Garamond" w:cs="Cambria"/>
          <w:sz w:val="24"/>
          <w:szCs w:val="24"/>
        </w:rPr>
        <w:t>the significance of human corporeality</w:t>
      </w:r>
      <w:r w:rsidRPr="00411AE0">
        <w:rPr>
          <w:rFonts w:ascii="Garamond" w:eastAsia="Cambria" w:hAnsi="Garamond" w:cs="Cambria"/>
          <w:sz w:val="24"/>
          <w:szCs w:val="24"/>
        </w:rPr>
        <w:t xml:space="preserve">. </w:t>
      </w:r>
      <w:r w:rsidR="004B1398" w:rsidRPr="00411AE0">
        <w:rPr>
          <w:rFonts w:ascii="Garamond" w:eastAsia="Cambria" w:hAnsi="Garamond" w:cs="Cambria"/>
          <w:sz w:val="24"/>
          <w:szCs w:val="24"/>
        </w:rPr>
        <w:t xml:space="preserve">Constructed as a </w:t>
      </w:r>
      <w:r w:rsidRPr="00411AE0">
        <w:rPr>
          <w:rFonts w:ascii="Garamond" w:eastAsia="Cambria" w:hAnsi="Garamond" w:cs="Cambria"/>
          <w:sz w:val="24"/>
          <w:szCs w:val="24"/>
        </w:rPr>
        <w:t>non</w:t>
      </w:r>
      <w:r w:rsidR="004B1398" w:rsidRPr="00411AE0">
        <w:rPr>
          <w:rFonts w:ascii="Garamond" w:eastAsia="Cambria" w:hAnsi="Garamond" w:cs="Cambria"/>
          <w:sz w:val="24"/>
          <w:szCs w:val="24"/>
        </w:rPr>
        <w:t>-s</w:t>
      </w:r>
      <w:r w:rsidRPr="00411AE0">
        <w:rPr>
          <w:rFonts w:ascii="Garamond" w:eastAsia="Cambria" w:hAnsi="Garamond" w:cs="Cambria"/>
          <w:sz w:val="24"/>
          <w:szCs w:val="24"/>
        </w:rPr>
        <w:t>overeign people devoid of full legal personality</w:t>
      </w:r>
      <w:r w:rsidR="004B1398" w:rsidRPr="00411AE0">
        <w:rPr>
          <w:rFonts w:ascii="Garamond" w:eastAsia="Cambria" w:hAnsi="Garamond" w:cs="Cambria"/>
          <w:sz w:val="24"/>
          <w:szCs w:val="24"/>
        </w:rPr>
        <w:t>,</w:t>
      </w:r>
      <w:r w:rsidRPr="00411AE0">
        <w:rPr>
          <w:rFonts w:ascii="Garamond" w:eastAsia="Cambria" w:hAnsi="Garamond" w:cs="Cambria"/>
          <w:sz w:val="24"/>
          <w:szCs w:val="24"/>
        </w:rPr>
        <w:t xml:space="preserve"> </w:t>
      </w:r>
      <w:r w:rsidR="006B03DE" w:rsidRPr="00411AE0">
        <w:rPr>
          <w:rFonts w:ascii="Garamond" w:eastAsia="Cambria" w:hAnsi="Garamond" w:cs="Cambria"/>
          <w:sz w:val="24"/>
          <w:szCs w:val="24"/>
        </w:rPr>
        <w:t>communities</w:t>
      </w:r>
      <w:r w:rsidR="004B1398" w:rsidRPr="00411AE0">
        <w:rPr>
          <w:rFonts w:ascii="Garamond" w:eastAsia="Cambria" w:hAnsi="Garamond" w:cs="Cambria"/>
          <w:sz w:val="24"/>
          <w:szCs w:val="24"/>
        </w:rPr>
        <w:t xml:space="preserve"> such as </w:t>
      </w:r>
      <w:r w:rsidRPr="00411AE0">
        <w:rPr>
          <w:rFonts w:ascii="Garamond" w:eastAsia="Cambria" w:hAnsi="Garamond" w:cs="Cambria"/>
          <w:sz w:val="24"/>
          <w:szCs w:val="24"/>
        </w:rPr>
        <w:t>the Indians</w:t>
      </w:r>
      <w:r w:rsidR="004B1398" w:rsidRPr="00411AE0">
        <w:rPr>
          <w:rFonts w:ascii="Garamond" w:eastAsia="Cambria" w:hAnsi="Garamond" w:cs="Cambria"/>
          <w:sz w:val="24"/>
          <w:szCs w:val="24"/>
        </w:rPr>
        <w:t xml:space="preserve"> in the Americas</w:t>
      </w:r>
      <w:r w:rsidRPr="00411AE0">
        <w:rPr>
          <w:rFonts w:ascii="Garamond" w:eastAsia="Cambria" w:hAnsi="Garamond" w:cs="Cambria"/>
          <w:sz w:val="24"/>
          <w:szCs w:val="24"/>
        </w:rPr>
        <w:t xml:space="preserve"> </w:t>
      </w:r>
      <w:r w:rsidR="004B1398" w:rsidRPr="00411AE0">
        <w:rPr>
          <w:rFonts w:ascii="Garamond" w:eastAsia="Cambria" w:hAnsi="Garamond" w:cs="Cambria"/>
          <w:sz w:val="24"/>
          <w:szCs w:val="24"/>
        </w:rPr>
        <w:t xml:space="preserve">were </w:t>
      </w:r>
      <w:r w:rsidRPr="00411AE0">
        <w:rPr>
          <w:rFonts w:ascii="Garamond" w:eastAsia="Cambria" w:hAnsi="Garamond" w:cs="Cambria"/>
          <w:sz w:val="24"/>
          <w:szCs w:val="24"/>
        </w:rPr>
        <w:t>to be regulated by a different system of rules</w:t>
      </w:r>
      <w:r w:rsidR="00440D8A" w:rsidRPr="00411AE0">
        <w:rPr>
          <w:rFonts w:ascii="Garamond" w:eastAsia="Cambria" w:hAnsi="Garamond" w:cs="Cambria"/>
          <w:sz w:val="24"/>
          <w:szCs w:val="24"/>
        </w:rPr>
        <w:t xml:space="preserve"> </w:t>
      </w:r>
      <w:r w:rsidR="00162E61" w:rsidRPr="00411AE0">
        <w:rPr>
          <w:rFonts w:ascii="Garamond" w:eastAsia="Cambria" w:hAnsi="Garamond" w:cs="Cambria"/>
          <w:sz w:val="24"/>
          <w:szCs w:val="24"/>
        </w:rPr>
        <w:t>designated as</w:t>
      </w:r>
      <w:r w:rsidRPr="00411AE0">
        <w:rPr>
          <w:rFonts w:ascii="Garamond" w:eastAsia="Cambria" w:hAnsi="Garamond" w:cs="Cambria"/>
          <w:sz w:val="24"/>
          <w:szCs w:val="24"/>
        </w:rPr>
        <w:t xml:space="preserve"> </w:t>
      </w:r>
      <w:r w:rsidR="00440D8A" w:rsidRPr="00411AE0">
        <w:rPr>
          <w:rFonts w:ascii="Garamond" w:eastAsia="Cambria" w:hAnsi="Garamond" w:cs="Cambria"/>
          <w:sz w:val="24"/>
          <w:szCs w:val="24"/>
        </w:rPr>
        <w:t>‘</w:t>
      </w:r>
      <w:r w:rsidR="006620BF" w:rsidRPr="00411AE0">
        <w:rPr>
          <w:rFonts w:ascii="Garamond" w:eastAsia="Cambria" w:hAnsi="Garamond" w:cs="Cambria"/>
          <w:sz w:val="24"/>
          <w:szCs w:val="24"/>
        </w:rPr>
        <w:t>natural law</w:t>
      </w:r>
      <w:r w:rsidR="003B2A33" w:rsidRPr="00411AE0">
        <w:rPr>
          <w:rFonts w:ascii="Garamond" w:eastAsia="Cambria" w:hAnsi="Garamond" w:cs="Cambria"/>
          <w:sz w:val="24"/>
          <w:szCs w:val="24"/>
        </w:rPr>
        <w:t>’</w:t>
      </w:r>
      <w:r w:rsidR="00440D8A" w:rsidRPr="00411AE0">
        <w:rPr>
          <w:rFonts w:ascii="Garamond" w:eastAsia="Cambria" w:hAnsi="Garamond" w:cs="Cambria"/>
          <w:sz w:val="24"/>
          <w:szCs w:val="24"/>
        </w:rPr>
        <w:t>,</w:t>
      </w:r>
      <w:r w:rsidR="00AA03D9" w:rsidRPr="00411AE0">
        <w:rPr>
          <w:rFonts w:ascii="Garamond" w:eastAsia="Cambria" w:hAnsi="Garamond" w:cs="Cambria"/>
          <w:sz w:val="24"/>
          <w:szCs w:val="24"/>
        </w:rPr>
        <w:t xml:space="preserve"> </w:t>
      </w:r>
      <w:r w:rsidRPr="00411AE0">
        <w:rPr>
          <w:rFonts w:ascii="Garamond" w:eastAsia="Cambria" w:hAnsi="Garamond" w:cs="Cambria"/>
          <w:sz w:val="24"/>
          <w:szCs w:val="24"/>
        </w:rPr>
        <w:t>since international law was reserved for the relationships between sovereign states.</w:t>
      </w:r>
      <w:r w:rsidRPr="00411AE0">
        <w:rPr>
          <w:rFonts w:ascii="Garamond" w:eastAsia="Cambria" w:hAnsi="Garamond" w:cs="Cambria"/>
          <w:sz w:val="24"/>
          <w:szCs w:val="24"/>
          <w:vertAlign w:val="superscript"/>
        </w:rPr>
        <w:footnoteReference w:id="207"/>
      </w:r>
      <w:r w:rsidR="005E1F9A" w:rsidRPr="00411AE0">
        <w:rPr>
          <w:rFonts w:ascii="Garamond" w:eastAsia="Cambria" w:hAnsi="Garamond" w:cs="Cambria"/>
          <w:sz w:val="24"/>
          <w:szCs w:val="24"/>
        </w:rPr>
        <w:t xml:space="preserve"> A centre and a periphery were thus constructed </w:t>
      </w:r>
      <w:r w:rsidR="004B1398" w:rsidRPr="00411AE0">
        <w:rPr>
          <w:rFonts w:ascii="Garamond" w:eastAsia="Cambria" w:hAnsi="Garamond" w:cs="Cambria"/>
          <w:sz w:val="24"/>
          <w:szCs w:val="24"/>
        </w:rPr>
        <w:t xml:space="preserve">—a </w:t>
      </w:r>
      <w:r w:rsidR="008E4CA8" w:rsidRPr="00411AE0">
        <w:rPr>
          <w:rFonts w:ascii="Garamond" w:eastAsia="Cambria" w:hAnsi="Garamond" w:cs="Cambria"/>
          <w:sz w:val="24"/>
          <w:szCs w:val="24"/>
        </w:rPr>
        <w:t>familiar pattern</w:t>
      </w:r>
      <w:r w:rsidR="004B1398" w:rsidRPr="00411AE0">
        <w:rPr>
          <w:rFonts w:ascii="Garamond" w:eastAsia="Cambria" w:hAnsi="Garamond" w:cs="Cambria"/>
          <w:sz w:val="24"/>
          <w:szCs w:val="24"/>
        </w:rPr>
        <w:t xml:space="preserve"> of privilege and marginalisation.</w:t>
      </w:r>
      <w:r w:rsidRPr="00411AE0">
        <w:rPr>
          <w:rFonts w:ascii="Garamond" w:eastAsia="Cambria" w:hAnsi="Garamond" w:cs="Cambria"/>
          <w:sz w:val="24"/>
          <w:szCs w:val="24"/>
        </w:rPr>
        <w:t xml:space="preserve"> Meanwhile, the raciali</w:t>
      </w:r>
      <w:r w:rsidR="00564BDE">
        <w:rPr>
          <w:rFonts w:ascii="Garamond" w:eastAsia="Cambria" w:hAnsi="Garamond" w:cs="Cambria"/>
          <w:sz w:val="24"/>
          <w:szCs w:val="24"/>
        </w:rPr>
        <w:t>s</w:t>
      </w:r>
      <w:r w:rsidRPr="00411AE0">
        <w:rPr>
          <w:rFonts w:ascii="Garamond" w:eastAsia="Cambria" w:hAnsi="Garamond" w:cs="Cambria"/>
          <w:sz w:val="24"/>
          <w:szCs w:val="24"/>
        </w:rPr>
        <w:t xml:space="preserve">ation operated by the privileging of distinctively European </w:t>
      </w:r>
      <w:r w:rsidR="004B1398" w:rsidRPr="00411AE0">
        <w:rPr>
          <w:rFonts w:ascii="Garamond" w:eastAsia="Cambria" w:hAnsi="Garamond" w:cs="Cambria"/>
          <w:sz w:val="24"/>
          <w:szCs w:val="24"/>
        </w:rPr>
        <w:t xml:space="preserve">rationalistic </w:t>
      </w:r>
      <w:r w:rsidRPr="00411AE0">
        <w:rPr>
          <w:rFonts w:ascii="Garamond" w:eastAsia="Cambria" w:hAnsi="Garamond" w:cs="Cambria"/>
          <w:sz w:val="24"/>
          <w:szCs w:val="24"/>
        </w:rPr>
        <w:t xml:space="preserve">subjectivity </w:t>
      </w:r>
      <w:r w:rsidR="00A716A7" w:rsidRPr="00411AE0">
        <w:rPr>
          <w:rFonts w:ascii="Garamond" w:eastAsia="Cambria" w:hAnsi="Garamond" w:cs="Cambria"/>
          <w:sz w:val="24"/>
          <w:szCs w:val="24"/>
        </w:rPr>
        <w:t>precluded</w:t>
      </w:r>
      <w:r w:rsidRPr="00411AE0">
        <w:rPr>
          <w:rFonts w:ascii="Garamond" w:eastAsia="Cambria" w:hAnsi="Garamond" w:cs="Cambria"/>
          <w:sz w:val="24"/>
          <w:szCs w:val="24"/>
        </w:rPr>
        <w:t xml:space="preserve"> non-European</w:t>
      </w:r>
      <w:r w:rsidR="00BF1317" w:rsidRPr="00411AE0">
        <w:rPr>
          <w:rFonts w:ascii="Garamond" w:eastAsia="Cambria" w:hAnsi="Garamond" w:cs="Cambria"/>
          <w:sz w:val="24"/>
          <w:szCs w:val="24"/>
        </w:rPr>
        <w:t>s</w:t>
      </w:r>
      <w:r w:rsidRPr="00411AE0">
        <w:rPr>
          <w:rFonts w:ascii="Garamond" w:eastAsia="Cambria" w:hAnsi="Garamond" w:cs="Cambria"/>
          <w:sz w:val="24"/>
          <w:szCs w:val="24"/>
        </w:rPr>
        <w:t xml:space="preserve"> </w:t>
      </w:r>
      <w:r w:rsidR="00A716A7" w:rsidRPr="00411AE0">
        <w:rPr>
          <w:rFonts w:ascii="Garamond" w:eastAsia="Cambria" w:hAnsi="Garamond" w:cs="Cambria"/>
          <w:sz w:val="24"/>
          <w:szCs w:val="24"/>
        </w:rPr>
        <w:t xml:space="preserve">from </w:t>
      </w:r>
      <w:r w:rsidRPr="00411AE0">
        <w:rPr>
          <w:rFonts w:ascii="Garamond" w:eastAsia="Cambria" w:hAnsi="Garamond" w:cs="Cambria"/>
          <w:sz w:val="24"/>
          <w:szCs w:val="24"/>
        </w:rPr>
        <w:t>exercis</w:t>
      </w:r>
      <w:r w:rsidR="00A716A7" w:rsidRPr="00411AE0">
        <w:rPr>
          <w:rFonts w:ascii="Garamond" w:eastAsia="Cambria" w:hAnsi="Garamond" w:cs="Cambria"/>
          <w:sz w:val="24"/>
          <w:szCs w:val="24"/>
        </w:rPr>
        <w:t>ing</w:t>
      </w:r>
      <w:r w:rsidRPr="00411AE0">
        <w:rPr>
          <w:rFonts w:ascii="Garamond" w:eastAsia="Cambria" w:hAnsi="Garamond" w:cs="Cambria"/>
          <w:sz w:val="24"/>
          <w:szCs w:val="24"/>
        </w:rPr>
        <w:t xml:space="preserve"> authority </w:t>
      </w:r>
      <w:r w:rsidR="004B1398" w:rsidRPr="00411AE0">
        <w:rPr>
          <w:rFonts w:ascii="Garamond" w:eastAsia="Cambria" w:hAnsi="Garamond" w:cs="Cambria"/>
          <w:sz w:val="24"/>
          <w:szCs w:val="24"/>
        </w:rPr>
        <w:t xml:space="preserve">precisely </w:t>
      </w:r>
      <w:r w:rsidRPr="00411AE0">
        <w:rPr>
          <w:rFonts w:ascii="Garamond" w:eastAsia="Cambria" w:hAnsi="Garamond" w:cs="Cambria"/>
          <w:sz w:val="24"/>
          <w:szCs w:val="24"/>
        </w:rPr>
        <w:t xml:space="preserve">on the basis that their </w:t>
      </w:r>
      <w:r w:rsidR="00564BDE">
        <w:rPr>
          <w:rFonts w:ascii="Garamond" w:eastAsia="Cambria" w:hAnsi="Garamond" w:cs="Cambria"/>
          <w:sz w:val="24"/>
          <w:szCs w:val="24"/>
        </w:rPr>
        <w:t xml:space="preserve">lack of certain </w:t>
      </w:r>
      <w:r w:rsidRPr="00411AE0">
        <w:rPr>
          <w:rFonts w:ascii="Garamond" w:eastAsia="Cambria" w:hAnsi="Garamond" w:cs="Cambria"/>
          <w:sz w:val="24"/>
          <w:szCs w:val="24"/>
        </w:rPr>
        <w:t xml:space="preserve">characteristics rendered them incapable of holding sovereign power. The creation of empires through the colonial encounter was </w:t>
      </w:r>
      <w:r w:rsidR="00F139C1">
        <w:rPr>
          <w:rFonts w:ascii="Garamond" w:eastAsia="Cambria" w:hAnsi="Garamond" w:cs="Cambria"/>
          <w:sz w:val="24"/>
          <w:szCs w:val="24"/>
        </w:rPr>
        <w:t xml:space="preserve">thus </w:t>
      </w:r>
      <w:r w:rsidRPr="00411AE0">
        <w:rPr>
          <w:rFonts w:ascii="Garamond" w:eastAsia="Cambria" w:hAnsi="Garamond" w:cs="Cambria"/>
          <w:sz w:val="24"/>
          <w:szCs w:val="24"/>
        </w:rPr>
        <w:t>a site for the production of identity and difference</w:t>
      </w:r>
      <w:r w:rsidR="00B95283">
        <w:rPr>
          <w:rFonts w:ascii="Garamond" w:eastAsia="Cambria" w:hAnsi="Garamond" w:cs="Cambria"/>
          <w:sz w:val="24"/>
          <w:szCs w:val="24"/>
        </w:rPr>
        <w:t>,</w:t>
      </w:r>
      <w:r w:rsidRPr="00411AE0">
        <w:rPr>
          <w:rFonts w:ascii="Garamond" w:eastAsia="Cambria" w:hAnsi="Garamond" w:cs="Cambria"/>
          <w:sz w:val="24"/>
          <w:szCs w:val="24"/>
          <w:vertAlign w:val="superscript"/>
        </w:rPr>
        <w:footnoteReference w:id="208"/>
      </w:r>
      <w:r w:rsidRPr="00411AE0">
        <w:rPr>
          <w:rFonts w:ascii="Garamond" w:eastAsia="Cambria" w:hAnsi="Garamond" w:cs="Cambria"/>
          <w:sz w:val="24"/>
          <w:szCs w:val="24"/>
        </w:rPr>
        <w:t xml:space="preserve"> </w:t>
      </w:r>
      <w:r w:rsidR="00BF1317" w:rsidRPr="00411AE0">
        <w:rPr>
          <w:rFonts w:ascii="Garamond" w:eastAsia="Cambria" w:hAnsi="Garamond" w:cs="Cambria"/>
          <w:sz w:val="24"/>
          <w:szCs w:val="24"/>
        </w:rPr>
        <w:t>where j</w:t>
      </w:r>
      <w:r w:rsidRPr="00411AE0">
        <w:rPr>
          <w:rFonts w:ascii="Garamond" w:eastAsia="Cambria" w:hAnsi="Garamond" w:cs="Cambria"/>
          <w:sz w:val="24"/>
          <w:szCs w:val="24"/>
        </w:rPr>
        <w:t xml:space="preserve">urisdiction operated </w:t>
      </w:r>
      <w:r w:rsidRPr="00411AE0">
        <w:rPr>
          <w:rFonts w:ascii="Garamond" w:eastAsia="Cambria" w:hAnsi="Garamond" w:cs="Cambria"/>
          <w:sz w:val="24"/>
          <w:szCs w:val="24"/>
        </w:rPr>
        <w:lastRenderedPageBreak/>
        <w:t xml:space="preserve">through an assemblage of techniques that enabled European authority over non-European subjects </w:t>
      </w:r>
      <w:r w:rsidRPr="00411AE0">
        <w:rPr>
          <w:rFonts w:ascii="Garamond" w:eastAsia="Cambria" w:hAnsi="Garamond" w:cs="Cambria"/>
          <w:i/>
          <w:sz w:val="24"/>
          <w:szCs w:val="24"/>
        </w:rPr>
        <w:t>and</w:t>
      </w:r>
      <w:r w:rsidRPr="00411AE0">
        <w:rPr>
          <w:rFonts w:ascii="Garamond" w:eastAsia="Cambria" w:hAnsi="Garamond" w:cs="Cambria"/>
          <w:sz w:val="24"/>
          <w:szCs w:val="24"/>
        </w:rPr>
        <w:t xml:space="preserve"> </w:t>
      </w:r>
      <w:r w:rsidR="00F139C1">
        <w:rPr>
          <w:rFonts w:ascii="Garamond" w:eastAsia="Cambria" w:hAnsi="Garamond" w:cs="Cambria"/>
          <w:sz w:val="24"/>
          <w:szCs w:val="24"/>
        </w:rPr>
        <w:t xml:space="preserve">legitimated </w:t>
      </w:r>
      <w:r w:rsidRPr="00411AE0">
        <w:rPr>
          <w:rFonts w:ascii="Garamond" w:eastAsia="Cambria" w:hAnsi="Garamond" w:cs="Cambria"/>
          <w:sz w:val="24"/>
          <w:szCs w:val="24"/>
        </w:rPr>
        <w:t>the creation of bordered, walled communities</w:t>
      </w:r>
      <w:r w:rsidR="004213A2">
        <w:rPr>
          <w:rFonts w:ascii="Garamond" w:eastAsia="Cambria" w:hAnsi="Garamond" w:cs="Cambria"/>
          <w:sz w:val="24"/>
          <w:szCs w:val="24"/>
        </w:rPr>
        <w:t>,</w:t>
      </w:r>
      <w:r w:rsidRPr="00411AE0">
        <w:rPr>
          <w:rFonts w:ascii="Garamond" w:eastAsia="Cambria" w:hAnsi="Garamond" w:cs="Cambria"/>
          <w:sz w:val="24"/>
          <w:szCs w:val="24"/>
          <w:vertAlign w:val="superscript"/>
        </w:rPr>
        <w:footnoteReference w:id="209"/>
      </w:r>
      <w:r w:rsidRPr="00411AE0">
        <w:rPr>
          <w:rFonts w:ascii="Garamond" w:eastAsia="Cambria" w:hAnsi="Garamond" w:cs="Cambria"/>
          <w:sz w:val="24"/>
          <w:szCs w:val="24"/>
        </w:rPr>
        <w:t xml:space="preserve"> </w:t>
      </w:r>
      <w:r w:rsidR="004213A2">
        <w:rPr>
          <w:rFonts w:ascii="Garamond" w:eastAsia="Cambria" w:hAnsi="Garamond" w:cs="Cambria"/>
          <w:sz w:val="24"/>
          <w:szCs w:val="24"/>
        </w:rPr>
        <w:t>while s</w:t>
      </w:r>
      <w:r w:rsidR="004B1398" w:rsidRPr="00411AE0">
        <w:rPr>
          <w:rFonts w:ascii="Garamond" w:eastAsia="Cambria" w:hAnsi="Garamond" w:cs="Cambria"/>
          <w:sz w:val="24"/>
          <w:szCs w:val="24"/>
        </w:rPr>
        <w:t>overeignty</w:t>
      </w:r>
      <w:r w:rsidR="004213A2">
        <w:rPr>
          <w:rFonts w:ascii="Garamond" w:eastAsia="Cambria" w:hAnsi="Garamond" w:cs="Cambria"/>
          <w:sz w:val="24"/>
          <w:szCs w:val="24"/>
        </w:rPr>
        <w:t xml:space="preserve"> </w:t>
      </w:r>
      <w:r w:rsidR="004B1398" w:rsidRPr="00411AE0">
        <w:rPr>
          <w:rFonts w:ascii="Garamond" w:eastAsia="Cambria" w:hAnsi="Garamond" w:cs="Cambria"/>
          <w:sz w:val="24"/>
          <w:szCs w:val="24"/>
        </w:rPr>
        <w:t xml:space="preserve">was constructed </w:t>
      </w:r>
      <w:r w:rsidR="004213A2">
        <w:rPr>
          <w:rFonts w:ascii="Garamond" w:eastAsia="Cambria" w:hAnsi="Garamond" w:cs="Cambria"/>
          <w:sz w:val="24"/>
          <w:szCs w:val="24"/>
        </w:rPr>
        <w:t>so</w:t>
      </w:r>
      <w:r w:rsidR="004B1398" w:rsidRPr="00411AE0">
        <w:rPr>
          <w:rFonts w:ascii="Garamond" w:eastAsia="Cambria" w:hAnsi="Garamond" w:cs="Cambria"/>
          <w:sz w:val="24"/>
          <w:szCs w:val="24"/>
        </w:rPr>
        <w:t xml:space="preserve"> as to predetermine the issue of </w:t>
      </w:r>
      <w:r w:rsidRPr="00411AE0">
        <w:rPr>
          <w:rFonts w:ascii="Garamond" w:eastAsia="Cambria" w:hAnsi="Garamond" w:cs="Cambria"/>
          <w:sz w:val="24"/>
          <w:szCs w:val="24"/>
        </w:rPr>
        <w:t>‘who’ decides what is ‘just’</w:t>
      </w:r>
      <w:r w:rsidR="004213A2">
        <w:rPr>
          <w:rFonts w:ascii="Garamond" w:eastAsia="Cambria" w:hAnsi="Garamond" w:cs="Cambria"/>
          <w:sz w:val="24"/>
          <w:szCs w:val="24"/>
        </w:rPr>
        <w:t>.</w:t>
      </w:r>
      <w:r w:rsidRPr="00411AE0">
        <w:rPr>
          <w:rFonts w:ascii="Garamond" w:eastAsia="Cambria" w:hAnsi="Garamond" w:cs="Cambria"/>
          <w:sz w:val="24"/>
          <w:szCs w:val="24"/>
          <w:vertAlign w:val="superscript"/>
        </w:rPr>
        <w:footnoteReference w:id="210"/>
      </w:r>
      <w:r w:rsidR="00767A04" w:rsidRPr="00411AE0">
        <w:rPr>
          <w:rFonts w:ascii="Garamond" w:eastAsia="Cambria" w:hAnsi="Garamond" w:cs="Cambria"/>
          <w:sz w:val="24"/>
          <w:szCs w:val="24"/>
        </w:rPr>
        <w:t xml:space="preserve"> These patterns find renewed critical resonance in the current order of power, in which jurisdiction is deployed to the advantage of vast, neo-colonial corporate assemblages in an age of rapid border-hardening and the proliferation of walls and barriers.</w:t>
      </w:r>
      <w:r w:rsidR="00BF1317" w:rsidRPr="00411AE0">
        <w:rPr>
          <w:rStyle w:val="FootnoteReference"/>
          <w:rFonts w:ascii="Garamond" w:eastAsia="Cambria" w:hAnsi="Garamond" w:cs="Cambria"/>
          <w:sz w:val="24"/>
          <w:szCs w:val="24"/>
        </w:rPr>
        <w:footnoteReference w:id="211"/>
      </w:r>
    </w:p>
    <w:p w14:paraId="56410C15" w14:textId="7E5FF157" w:rsidR="00C94B34" w:rsidRDefault="004E01F3" w:rsidP="00C94B34">
      <w:pPr>
        <w:pStyle w:val="Normal1"/>
        <w:spacing w:after="200" w:line="240" w:lineRule="auto"/>
        <w:rPr>
          <w:rFonts w:ascii="Garamond" w:eastAsia="Cambria" w:hAnsi="Garamond" w:cs="Cambria"/>
          <w:b/>
          <w:color w:val="0A0A0A"/>
          <w:sz w:val="24"/>
          <w:szCs w:val="24"/>
        </w:rPr>
      </w:pPr>
      <w:r w:rsidRPr="001F4821">
        <w:rPr>
          <w:rFonts w:ascii="Garamond" w:eastAsia="Cambria" w:hAnsi="Garamond" w:cs="Cambria"/>
          <w:b/>
          <w:sz w:val="24"/>
          <w:szCs w:val="24"/>
        </w:rPr>
        <w:t>4c Jurisdiction in the Neoliberal Order: The Cartography of Power</w:t>
      </w:r>
      <w:r w:rsidR="00A067AA" w:rsidRPr="00411AE0">
        <w:rPr>
          <w:rFonts w:ascii="Garamond" w:eastAsia="Cambria" w:hAnsi="Garamond" w:cs="Cambria"/>
          <w:sz w:val="24"/>
          <w:szCs w:val="24"/>
        </w:rPr>
        <w:br/>
      </w:r>
      <w:r w:rsidR="00D302D7">
        <w:rPr>
          <w:rFonts w:ascii="Garamond" w:eastAsia="Cambria" w:hAnsi="Garamond" w:cs="Cambria"/>
          <w:sz w:val="24"/>
          <w:szCs w:val="24"/>
        </w:rPr>
        <w:t>While a</w:t>
      </w:r>
      <w:r w:rsidRPr="00411AE0">
        <w:rPr>
          <w:rFonts w:ascii="Garamond" w:eastAsia="Cambria" w:hAnsi="Garamond" w:cs="Cambria"/>
          <w:sz w:val="24"/>
          <w:szCs w:val="24"/>
        </w:rPr>
        <w:t xml:space="preserve"> </w:t>
      </w:r>
      <w:r w:rsidR="006563BE">
        <w:rPr>
          <w:rFonts w:ascii="Garamond" w:eastAsia="Cambria" w:hAnsi="Garamond" w:cs="Cambria"/>
          <w:sz w:val="24"/>
          <w:szCs w:val="24"/>
        </w:rPr>
        <w:t>geographic</w:t>
      </w:r>
      <w:r w:rsidR="006563BE" w:rsidRPr="00411AE0">
        <w:rPr>
          <w:rFonts w:ascii="Garamond" w:eastAsia="Cambria" w:hAnsi="Garamond" w:cs="Cambria"/>
          <w:sz w:val="24"/>
          <w:szCs w:val="24"/>
        </w:rPr>
        <w:t xml:space="preserve"> </w:t>
      </w:r>
      <w:r w:rsidRPr="00411AE0">
        <w:rPr>
          <w:rFonts w:ascii="Garamond" w:eastAsia="Cambria" w:hAnsi="Garamond" w:cs="Cambria"/>
          <w:sz w:val="24"/>
          <w:szCs w:val="24"/>
        </w:rPr>
        <w:t>vis</w:t>
      </w:r>
      <w:r w:rsidR="00A067AA" w:rsidRPr="00411AE0">
        <w:rPr>
          <w:rFonts w:ascii="Garamond" w:eastAsia="Cambria" w:hAnsi="Garamond" w:cs="Cambria"/>
          <w:sz w:val="24"/>
          <w:szCs w:val="24"/>
        </w:rPr>
        <w:t>i</w:t>
      </w:r>
      <w:r w:rsidRPr="00411AE0">
        <w:rPr>
          <w:rFonts w:ascii="Garamond" w:eastAsia="Cambria" w:hAnsi="Garamond" w:cs="Cambria"/>
          <w:sz w:val="24"/>
          <w:szCs w:val="24"/>
        </w:rPr>
        <w:t xml:space="preserve">on and understanding of sovereignty and territory </w:t>
      </w:r>
      <w:r w:rsidR="00EB3700" w:rsidRPr="00411AE0">
        <w:rPr>
          <w:rFonts w:ascii="Garamond" w:eastAsia="Cambria" w:hAnsi="Garamond" w:cs="Cambria"/>
          <w:sz w:val="24"/>
          <w:szCs w:val="24"/>
        </w:rPr>
        <w:t xml:space="preserve">has </w:t>
      </w:r>
      <w:r w:rsidRPr="00411AE0">
        <w:rPr>
          <w:rFonts w:ascii="Garamond" w:eastAsia="Cambria" w:hAnsi="Garamond" w:cs="Cambria"/>
          <w:sz w:val="24"/>
          <w:szCs w:val="24"/>
        </w:rPr>
        <w:t>dominated legal discourse for centuries</w:t>
      </w:r>
      <w:r w:rsidRPr="00411AE0">
        <w:rPr>
          <w:rFonts w:ascii="Garamond" w:eastAsia="Cambria" w:hAnsi="Garamond" w:cs="Cambria"/>
          <w:sz w:val="24"/>
          <w:szCs w:val="24"/>
          <w:vertAlign w:val="superscript"/>
        </w:rPr>
        <w:footnoteReference w:id="212"/>
      </w:r>
      <w:r w:rsidRPr="00411AE0">
        <w:rPr>
          <w:rFonts w:ascii="Garamond" w:eastAsia="Cambria" w:hAnsi="Garamond" w:cs="Cambria"/>
          <w:sz w:val="24"/>
          <w:szCs w:val="24"/>
        </w:rPr>
        <w:t xml:space="preserve"> </w:t>
      </w:r>
      <w:r w:rsidR="009509DE">
        <w:rPr>
          <w:rFonts w:ascii="Garamond" w:eastAsia="Cambria" w:hAnsi="Garamond" w:cs="Cambria"/>
          <w:sz w:val="24"/>
          <w:szCs w:val="24"/>
        </w:rPr>
        <w:t>q</w:t>
      </w:r>
      <w:r w:rsidR="00451799" w:rsidRPr="00411AE0">
        <w:rPr>
          <w:rFonts w:ascii="Garamond" w:eastAsia="Cambria" w:hAnsi="Garamond" w:cs="Cambria"/>
          <w:sz w:val="24"/>
          <w:szCs w:val="24"/>
        </w:rPr>
        <w:t>uestions of spatial injustice gain new traction</w:t>
      </w:r>
      <w:r w:rsidR="00032784">
        <w:rPr>
          <w:rFonts w:ascii="Garamond" w:eastAsia="Cambria" w:hAnsi="Garamond" w:cs="Cambria"/>
          <w:sz w:val="24"/>
          <w:szCs w:val="24"/>
        </w:rPr>
        <w:t>, as we have seen,</w:t>
      </w:r>
      <w:r w:rsidR="00451799" w:rsidRPr="00411AE0">
        <w:rPr>
          <w:rFonts w:ascii="Garamond" w:eastAsia="Cambria" w:hAnsi="Garamond" w:cs="Cambria"/>
          <w:sz w:val="24"/>
          <w:szCs w:val="24"/>
        </w:rPr>
        <w:t xml:space="preserve"> i</w:t>
      </w:r>
      <w:r w:rsidRPr="00411AE0">
        <w:rPr>
          <w:rFonts w:ascii="Garamond" w:eastAsia="Cambria" w:hAnsi="Garamond" w:cs="Cambria"/>
          <w:sz w:val="24"/>
          <w:szCs w:val="24"/>
        </w:rPr>
        <w:t>n the face of escalating globalisation</w:t>
      </w:r>
      <w:r w:rsidR="00A067AA" w:rsidRPr="00411AE0">
        <w:rPr>
          <w:rFonts w:ascii="Garamond" w:eastAsia="Cambria" w:hAnsi="Garamond" w:cs="Cambria"/>
          <w:sz w:val="24"/>
          <w:szCs w:val="24"/>
        </w:rPr>
        <w:t xml:space="preserve"> </w:t>
      </w:r>
      <w:r w:rsidR="00451799" w:rsidRPr="00411AE0">
        <w:rPr>
          <w:rFonts w:ascii="Garamond" w:eastAsia="Cambria" w:hAnsi="Garamond" w:cs="Cambria"/>
          <w:sz w:val="24"/>
          <w:szCs w:val="24"/>
        </w:rPr>
        <w:t>under the conditions of which</w:t>
      </w:r>
      <w:r w:rsidRPr="00411AE0">
        <w:rPr>
          <w:rFonts w:ascii="Garamond" w:eastAsia="Cambria" w:hAnsi="Garamond" w:cs="Cambria"/>
          <w:sz w:val="24"/>
          <w:szCs w:val="24"/>
        </w:rPr>
        <w:t xml:space="preserve"> borders are</w:t>
      </w:r>
      <w:r w:rsidR="00A067AA" w:rsidRPr="00411AE0">
        <w:rPr>
          <w:rFonts w:ascii="Garamond" w:eastAsia="Cambria" w:hAnsi="Garamond" w:cs="Cambria"/>
          <w:sz w:val="24"/>
          <w:szCs w:val="24"/>
        </w:rPr>
        <w:t>—</w:t>
      </w:r>
      <w:r w:rsidRPr="00411AE0">
        <w:rPr>
          <w:rFonts w:ascii="Garamond" w:eastAsia="Cambria" w:hAnsi="Garamond" w:cs="Cambria"/>
          <w:sz w:val="24"/>
          <w:szCs w:val="24"/>
        </w:rPr>
        <w:t>in a particularly xenophobic and exclusionary way</w:t>
      </w:r>
      <w:r w:rsidR="00A067AA" w:rsidRPr="00411AE0">
        <w:rPr>
          <w:rFonts w:ascii="Garamond" w:eastAsia="Cambria" w:hAnsi="Garamond" w:cs="Cambria"/>
          <w:sz w:val="24"/>
          <w:szCs w:val="24"/>
        </w:rPr>
        <w:t>—</w:t>
      </w:r>
      <w:r w:rsidR="00451799" w:rsidRPr="00411AE0">
        <w:rPr>
          <w:rFonts w:ascii="Garamond" w:eastAsia="Cambria" w:hAnsi="Garamond" w:cs="Cambria"/>
          <w:sz w:val="24"/>
          <w:szCs w:val="24"/>
        </w:rPr>
        <w:t xml:space="preserve">increasingly </w:t>
      </w:r>
      <w:r w:rsidRPr="00411AE0">
        <w:rPr>
          <w:rFonts w:ascii="Garamond" w:eastAsia="Cambria" w:hAnsi="Garamond" w:cs="Cambria"/>
          <w:sz w:val="24"/>
          <w:szCs w:val="24"/>
        </w:rPr>
        <w:t>at the forefront of political and legal discourse</w:t>
      </w:r>
      <w:r w:rsidR="00C46DDE">
        <w:rPr>
          <w:rFonts w:ascii="Garamond" w:eastAsia="Cambria" w:hAnsi="Garamond" w:cs="Cambria"/>
          <w:sz w:val="24"/>
          <w:szCs w:val="24"/>
        </w:rPr>
        <w:t xml:space="preserve"> and proliferating as modes of material </w:t>
      </w:r>
      <w:r w:rsidR="00F41E17">
        <w:rPr>
          <w:rFonts w:ascii="Garamond" w:eastAsia="Cambria" w:hAnsi="Garamond" w:cs="Cambria"/>
          <w:sz w:val="24"/>
          <w:szCs w:val="24"/>
        </w:rPr>
        <w:t>expulsion and control</w:t>
      </w:r>
      <w:r w:rsidRPr="00411AE0">
        <w:rPr>
          <w:rFonts w:ascii="Garamond" w:eastAsia="Cambria" w:hAnsi="Garamond" w:cs="Cambria"/>
          <w:sz w:val="24"/>
          <w:szCs w:val="24"/>
        </w:rPr>
        <w:t>. The world is not</w:t>
      </w:r>
      <w:r w:rsidR="00A067AA" w:rsidRPr="00411AE0">
        <w:rPr>
          <w:rFonts w:ascii="Garamond" w:eastAsia="Cambria" w:hAnsi="Garamond" w:cs="Cambria"/>
          <w:sz w:val="24"/>
          <w:szCs w:val="24"/>
        </w:rPr>
        <w:t>, in reality,</w:t>
      </w:r>
      <w:r w:rsidRPr="00411AE0">
        <w:rPr>
          <w:rFonts w:ascii="Garamond" w:eastAsia="Cambria" w:hAnsi="Garamond" w:cs="Cambria"/>
          <w:sz w:val="24"/>
          <w:szCs w:val="24"/>
        </w:rPr>
        <w:t xml:space="preserve"> a ‘global village’ and while much scholarship </w:t>
      </w:r>
      <w:r w:rsidR="00A067AA" w:rsidRPr="00411AE0">
        <w:rPr>
          <w:rFonts w:ascii="Garamond" w:eastAsia="Cambria" w:hAnsi="Garamond" w:cs="Cambria"/>
          <w:sz w:val="24"/>
          <w:szCs w:val="24"/>
        </w:rPr>
        <w:t xml:space="preserve">on globalisation </w:t>
      </w:r>
      <w:r w:rsidRPr="00411AE0">
        <w:rPr>
          <w:rFonts w:ascii="Garamond" w:eastAsia="Cambria" w:hAnsi="Garamond" w:cs="Cambria"/>
          <w:sz w:val="24"/>
          <w:szCs w:val="24"/>
        </w:rPr>
        <w:t xml:space="preserve">focuses on the weakening of state authority over its territory through the </w:t>
      </w:r>
      <w:r w:rsidR="00A067AA" w:rsidRPr="00411AE0">
        <w:rPr>
          <w:rFonts w:ascii="Garamond" w:eastAsia="Cambria" w:hAnsi="Garamond" w:cs="Cambria"/>
          <w:sz w:val="24"/>
          <w:szCs w:val="24"/>
        </w:rPr>
        <w:t>contemporary</w:t>
      </w:r>
      <w:r w:rsidRPr="00411AE0">
        <w:rPr>
          <w:rFonts w:ascii="Garamond" w:eastAsia="Cambria" w:hAnsi="Garamond" w:cs="Cambria"/>
          <w:sz w:val="24"/>
          <w:szCs w:val="24"/>
        </w:rPr>
        <w:t xml:space="preserve"> period,</w:t>
      </w:r>
      <w:r w:rsidRPr="00411AE0">
        <w:rPr>
          <w:rFonts w:ascii="Garamond" w:eastAsia="Cambria" w:hAnsi="Garamond" w:cs="Cambria"/>
          <w:sz w:val="24"/>
          <w:szCs w:val="24"/>
          <w:vertAlign w:val="superscript"/>
        </w:rPr>
        <w:footnoteReference w:id="213"/>
      </w:r>
      <w:r w:rsidR="00A067AA" w:rsidRPr="00411AE0">
        <w:rPr>
          <w:rFonts w:ascii="Garamond" w:eastAsia="Cambria" w:hAnsi="Garamond" w:cs="Cambria"/>
          <w:sz w:val="24"/>
          <w:szCs w:val="24"/>
        </w:rPr>
        <w:t xml:space="preserve"> the constructs of </w:t>
      </w:r>
      <w:r w:rsidRPr="00411AE0">
        <w:rPr>
          <w:rFonts w:ascii="Garamond" w:eastAsia="Cambria" w:hAnsi="Garamond" w:cs="Cambria"/>
          <w:sz w:val="24"/>
          <w:szCs w:val="24"/>
        </w:rPr>
        <w:t>territoriality</w:t>
      </w:r>
      <w:r w:rsidRPr="00411AE0">
        <w:rPr>
          <w:rFonts w:ascii="Garamond" w:eastAsia="Cambria" w:hAnsi="Garamond" w:cs="Cambria"/>
          <w:sz w:val="24"/>
          <w:szCs w:val="24"/>
          <w:vertAlign w:val="superscript"/>
        </w:rPr>
        <w:footnoteReference w:id="214"/>
      </w:r>
      <w:r w:rsidRPr="00411AE0">
        <w:rPr>
          <w:rFonts w:ascii="Garamond" w:eastAsia="Cambria" w:hAnsi="Garamond" w:cs="Cambria"/>
          <w:sz w:val="24"/>
          <w:szCs w:val="24"/>
        </w:rPr>
        <w:t xml:space="preserve"> and state sovereignty</w:t>
      </w:r>
      <w:r w:rsidR="0057076B" w:rsidRPr="00411AE0">
        <w:rPr>
          <w:rFonts w:ascii="Garamond" w:eastAsia="Cambria" w:hAnsi="Garamond" w:cs="Cambria"/>
          <w:sz w:val="24"/>
          <w:szCs w:val="24"/>
        </w:rPr>
        <w:t xml:space="preserve"> </w:t>
      </w:r>
      <w:r w:rsidR="007D0FAA" w:rsidRPr="00411AE0">
        <w:rPr>
          <w:rFonts w:ascii="Garamond" w:eastAsia="Cambria" w:hAnsi="Garamond" w:cs="Cambria"/>
          <w:sz w:val="24"/>
          <w:szCs w:val="24"/>
        </w:rPr>
        <w:t xml:space="preserve">continue to </w:t>
      </w:r>
      <w:r w:rsidRPr="00411AE0">
        <w:rPr>
          <w:rFonts w:ascii="Garamond" w:eastAsia="Cambria" w:hAnsi="Garamond" w:cs="Cambria"/>
          <w:sz w:val="24"/>
          <w:szCs w:val="24"/>
        </w:rPr>
        <w:t>play important</w:t>
      </w:r>
      <w:r w:rsidR="00F161B4">
        <w:rPr>
          <w:rFonts w:ascii="Garamond" w:eastAsia="Cambria" w:hAnsi="Garamond" w:cs="Cambria"/>
          <w:sz w:val="24"/>
          <w:szCs w:val="24"/>
        </w:rPr>
        <w:t xml:space="preserve">, </w:t>
      </w:r>
      <w:r w:rsidR="00373DA0" w:rsidRPr="00411AE0">
        <w:rPr>
          <w:rFonts w:ascii="Garamond" w:eastAsia="Cambria" w:hAnsi="Garamond" w:cs="Cambria"/>
          <w:sz w:val="24"/>
          <w:szCs w:val="24"/>
        </w:rPr>
        <w:t xml:space="preserve">ideological </w:t>
      </w:r>
      <w:r w:rsidRPr="00411AE0">
        <w:rPr>
          <w:rFonts w:ascii="Garamond" w:eastAsia="Cambria" w:hAnsi="Garamond" w:cs="Cambria"/>
          <w:sz w:val="24"/>
          <w:szCs w:val="24"/>
        </w:rPr>
        <w:t>role</w:t>
      </w:r>
      <w:r w:rsidR="00795977" w:rsidRPr="00411AE0">
        <w:rPr>
          <w:rFonts w:ascii="Garamond" w:eastAsia="Cambria" w:hAnsi="Garamond" w:cs="Cambria"/>
          <w:sz w:val="24"/>
          <w:szCs w:val="24"/>
        </w:rPr>
        <w:t>s</w:t>
      </w:r>
      <w:r w:rsidRPr="00411AE0">
        <w:rPr>
          <w:rFonts w:ascii="Garamond" w:eastAsia="Cambria" w:hAnsi="Garamond" w:cs="Cambria"/>
          <w:sz w:val="24"/>
          <w:szCs w:val="24"/>
        </w:rPr>
        <w:t xml:space="preserve"> in the creation of privilege and exclusion. </w:t>
      </w:r>
      <w:r w:rsidR="00A067AA" w:rsidRPr="00411AE0">
        <w:rPr>
          <w:rFonts w:ascii="Garamond" w:eastAsia="Cambria" w:hAnsi="Garamond" w:cs="Cambria"/>
          <w:sz w:val="24"/>
          <w:szCs w:val="24"/>
        </w:rPr>
        <w:t>This point is highly relevant to the contrast between</w:t>
      </w:r>
      <w:r w:rsidRPr="00411AE0">
        <w:rPr>
          <w:rFonts w:ascii="Garamond" w:eastAsia="Cambria" w:hAnsi="Garamond" w:cs="Cambria"/>
          <w:sz w:val="24"/>
          <w:szCs w:val="24"/>
        </w:rPr>
        <w:t xml:space="preserve"> </w:t>
      </w:r>
      <w:r w:rsidR="00A067AA" w:rsidRPr="00411AE0">
        <w:rPr>
          <w:rFonts w:ascii="Garamond" w:eastAsia="Cambria" w:hAnsi="Garamond" w:cs="Cambria"/>
          <w:sz w:val="24"/>
          <w:szCs w:val="24"/>
        </w:rPr>
        <w:t xml:space="preserve">the </w:t>
      </w:r>
      <w:r w:rsidRPr="00411AE0">
        <w:rPr>
          <w:rFonts w:ascii="Garamond" w:eastAsia="Cambria" w:hAnsi="Garamond" w:cs="Cambria"/>
          <w:sz w:val="24"/>
          <w:szCs w:val="24"/>
        </w:rPr>
        <w:t>two contemporary developments</w:t>
      </w:r>
      <w:r w:rsidR="00A067AA" w:rsidRPr="00411AE0">
        <w:rPr>
          <w:rFonts w:ascii="Garamond" w:eastAsia="Cambria" w:hAnsi="Garamond" w:cs="Cambria"/>
          <w:sz w:val="24"/>
          <w:szCs w:val="24"/>
        </w:rPr>
        <w:t xml:space="preserve"> at the heart of our concern:</w:t>
      </w:r>
      <w:r w:rsidRPr="00411AE0">
        <w:rPr>
          <w:rFonts w:ascii="Garamond" w:eastAsia="Cambria" w:hAnsi="Garamond" w:cs="Cambria"/>
          <w:sz w:val="24"/>
          <w:szCs w:val="24"/>
        </w:rPr>
        <w:t xml:space="preserve"> the ability of TNC</w:t>
      </w:r>
      <w:r w:rsidR="00A067AA" w:rsidRPr="00411AE0">
        <w:rPr>
          <w:rFonts w:ascii="Garamond" w:eastAsia="Cambria" w:hAnsi="Garamond" w:cs="Cambria"/>
          <w:sz w:val="24"/>
          <w:szCs w:val="24"/>
        </w:rPr>
        <w:t>s</w:t>
      </w:r>
      <w:r w:rsidRPr="00411AE0">
        <w:rPr>
          <w:rFonts w:ascii="Garamond" w:eastAsia="Cambria" w:hAnsi="Garamond" w:cs="Cambria"/>
          <w:sz w:val="24"/>
          <w:szCs w:val="24"/>
        </w:rPr>
        <w:t xml:space="preserve"> to cross borders instantaneously </w:t>
      </w:r>
      <w:r w:rsidR="00224522" w:rsidRPr="00411AE0">
        <w:rPr>
          <w:rFonts w:ascii="Garamond" w:eastAsia="Cambria" w:hAnsi="Garamond" w:cs="Cambria"/>
          <w:sz w:val="24"/>
          <w:szCs w:val="24"/>
        </w:rPr>
        <w:t xml:space="preserve">while </w:t>
      </w:r>
      <w:r w:rsidR="00A067AA" w:rsidRPr="00411AE0">
        <w:rPr>
          <w:rFonts w:ascii="Garamond" w:eastAsia="Cambria" w:hAnsi="Garamond" w:cs="Cambria"/>
          <w:sz w:val="24"/>
          <w:szCs w:val="24"/>
        </w:rPr>
        <w:t xml:space="preserve">selectively </w:t>
      </w:r>
      <w:r w:rsidRPr="00411AE0">
        <w:rPr>
          <w:rFonts w:ascii="Garamond" w:eastAsia="Cambria" w:hAnsi="Garamond" w:cs="Cambria"/>
          <w:sz w:val="24"/>
          <w:szCs w:val="24"/>
        </w:rPr>
        <w:t>seek</w:t>
      </w:r>
      <w:r w:rsidR="00224522" w:rsidRPr="00411AE0">
        <w:rPr>
          <w:rFonts w:ascii="Garamond" w:eastAsia="Cambria" w:hAnsi="Garamond" w:cs="Cambria"/>
          <w:sz w:val="24"/>
          <w:szCs w:val="24"/>
        </w:rPr>
        <w:t>ing</w:t>
      </w:r>
      <w:r w:rsidRPr="00411AE0">
        <w:rPr>
          <w:rFonts w:ascii="Garamond" w:eastAsia="Cambria" w:hAnsi="Garamond" w:cs="Cambria"/>
          <w:sz w:val="24"/>
          <w:szCs w:val="24"/>
        </w:rPr>
        <w:t xml:space="preserve"> the protection of walled citadels of law</w:t>
      </w:r>
      <w:r w:rsidR="00A067AA" w:rsidRPr="00411AE0">
        <w:rPr>
          <w:rFonts w:ascii="Garamond" w:eastAsia="Cambria" w:hAnsi="Garamond" w:cs="Cambria"/>
          <w:sz w:val="24"/>
          <w:szCs w:val="24"/>
        </w:rPr>
        <w:t xml:space="preserve"> </w:t>
      </w:r>
      <w:r w:rsidRPr="00411AE0">
        <w:rPr>
          <w:rFonts w:ascii="Garamond" w:eastAsia="Cambria" w:hAnsi="Garamond" w:cs="Cambria"/>
          <w:sz w:val="24"/>
          <w:szCs w:val="24"/>
        </w:rPr>
        <w:t xml:space="preserve">to avoid </w:t>
      </w:r>
      <w:r w:rsidR="00224522" w:rsidRPr="00411AE0">
        <w:rPr>
          <w:rFonts w:ascii="Garamond" w:eastAsia="Cambria" w:hAnsi="Garamond" w:cs="Cambria"/>
          <w:sz w:val="24"/>
          <w:szCs w:val="24"/>
        </w:rPr>
        <w:t>accountability</w:t>
      </w:r>
      <w:r w:rsidRPr="00411AE0">
        <w:rPr>
          <w:rFonts w:ascii="Garamond" w:eastAsia="Cambria" w:hAnsi="Garamond" w:cs="Cambria"/>
          <w:sz w:val="24"/>
          <w:szCs w:val="24"/>
        </w:rPr>
        <w:t>, and the plight of migrants and refugees</w:t>
      </w:r>
      <w:r w:rsidR="00967CE1" w:rsidRPr="00411AE0">
        <w:rPr>
          <w:rFonts w:ascii="Garamond" w:eastAsia="Cambria" w:hAnsi="Garamond" w:cs="Cambria"/>
          <w:sz w:val="24"/>
          <w:szCs w:val="24"/>
        </w:rPr>
        <w:t xml:space="preserve"> facing barriers and boundaries painfully inhospitable to them</w:t>
      </w:r>
      <w:r w:rsidR="008B7069" w:rsidRPr="00411AE0">
        <w:rPr>
          <w:rFonts w:ascii="Garamond" w:eastAsia="Cambria" w:hAnsi="Garamond" w:cs="Cambria"/>
          <w:sz w:val="24"/>
          <w:szCs w:val="24"/>
        </w:rPr>
        <w:t xml:space="preserve"> and </w:t>
      </w:r>
      <w:r w:rsidR="00B50760">
        <w:rPr>
          <w:rFonts w:ascii="Garamond" w:eastAsia="Cambria" w:hAnsi="Garamond" w:cs="Cambria"/>
          <w:sz w:val="24"/>
          <w:szCs w:val="24"/>
        </w:rPr>
        <w:t xml:space="preserve">to </w:t>
      </w:r>
      <w:r w:rsidR="008B7069" w:rsidRPr="00411AE0">
        <w:rPr>
          <w:rFonts w:ascii="Garamond" w:eastAsia="Cambria" w:hAnsi="Garamond" w:cs="Cambria"/>
          <w:sz w:val="24"/>
          <w:szCs w:val="24"/>
        </w:rPr>
        <w:t xml:space="preserve">their corporeal </w:t>
      </w:r>
      <w:r w:rsidR="008B7069" w:rsidRPr="00E7327A">
        <w:rPr>
          <w:rFonts w:ascii="Garamond" w:eastAsia="Cambria" w:hAnsi="Garamond" w:cs="Cambria"/>
          <w:sz w:val="24"/>
          <w:szCs w:val="24"/>
        </w:rPr>
        <w:t>plight</w:t>
      </w:r>
      <w:r w:rsidRPr="00E7327A">
        <w:rPr>
          <w:rFonts w:ascii="Garamond" w:eastAsia="Cambria" w:hAnsi="Garamond" w:cs="Cambria"/>
          <w:sz w:val="24"/>
          <w:szCs w:val="24"/>
        </w:rPr>
        <w:t>.</w:t>
      </w:r>
      <w:r w:rsidR="00F161B4" w:rsidRPr="00321784">
        <w:rPr>
          <w:rFonts w:ascii="Garamond" w:eastAsia="Cambria" w:hAnsi="Garamond" w:cs="Cambria"/>
          <w:sz w:val="24"/>
          <w:szCs w:val="24"/>
        </w:rPr>
        <w:t xml:space="preserve"> </w:t>
      </w:r>
      <w:r w:rsidR="00F161B4" w:rsidRPr="00E7327A">
        <w:rPr>
          <w:rFonts w:ascii="Garamond" w:eastAsia="Times New Roman" w:hAnsi="Garamond" w:cs="Times New Roman"/>
          <w:color w:val="000000" w:themeColor="text1"/>
          <w:sz w:val="24"/>
          <w:szCs w:val="24"/>
          <w:lang w:eastAsia="en-GB"/>
        </w:rPr>
        <w:t>Haunting our reflections on the contemporary legal order is the underlying background contrast between materially different kinds of bodies when they encounter visible and invisible boundaries of jurisdiction</w:t>
      </w:r>
      <w:r w:rsidR="002602FB">
        <w:rPr>
          <w:rFonts w:ascii="Garamond" w:eastAsia="Times New Roman" w:hAnsi="Garamond" w:cs="Times New Roman"/>
          <w:color w:val="000000" w:themeColor="text1"/>
          <w:sz w:val="24"/>
          <w:szCs w:val="24"/>
          <w:lang w:eastAsia="en-GB"/>
        </w:rPr>
        <w:t>:</w:t>
      </w:r>
      <w:r w:rsidR="00F161B4" w:rsidRPr="00E7327A">
        <w:rPr>
          <w:rFonts w:ascii="Garamond" w:eastAsia="Times New Roman" w:hAnsi="Garamond" w:cs="Times New Roman"/>
          <w:color w:val="000000" w:themeColor="text1"/>
          <w:sz w:val="24"/>
          <w:szCs w:val="24"/>
          <w:lang w:eastAsia="en-GB"/>
        </w:rPr>
        <w:t xml:space="preserve"> Vulnerable corporeally specific beings come up against fenced borders, barbed wire, </w:t>
      </w:r>
      <w:r w:rsidR="00F161B4" w:rsidRPr="006A0152">
        <w:rPr>
          <w:rFonts w:ascii="Garamond" w:eastAsia="Times New Roman" w:hAnsi="Garamond" w:cs="Times New Roman"/>
          <w:color w:val="000000" w:themeColor="text1"/>
          <w:sz w:val="24"/>
          <w:szCs w:val="24"/>
          <w:lang w:eastAsia="en-GB"/>
        </w:rPr>
        <w:t xml:space="preserve">perilous seas, policed </w:t>
      </w:r>
      <w:r w:rsidR="00F161B4" w:rsidRPr="006A0152">
        <w:rPr>
          <w:rFonts w:ascii="Garamond" w:eastAsia="Times New Roman" w:hAnsi="Garamond" w:cs="Times New Roman"/>
          <w:i/>
          <w:color w:val="000000" w:themeColor="text1"/>
          <w:sz w:val="24"/>
          <w:szCs w:val="24"/>
          <w:lang w:eastAsia="en-GB"/>
        </w:rPr>
        <w:t>zones d’attente</w:t>
      </w:r>
      <w:r w:rsidR="00F161B4" w:rsidRPr="006A0152">
        <w:rPr>
          <w:rFonts w:ascii="Garamond" w:eastAsia="Times New Roman" w:hAnsi="Garamond" w:cs="Times New Roman"/>
          <w:color w:val="000000" w:themeColor="text1"/>
          <w:sz w:val="24"/>
          <w:szCs w:val="24"/>
          <w:lang w:eastAsia="en-GB"/>
        </w:rPr>
        <w:t xml:space="preserve"> of exclusion and control, and rules of entry or rejection. By contrast, in a ‘borderless world for global capital’,</w:t>
      </w:r>
      <w:r w:rsidR="00F161B4" w:rsidRPr="006A0152">
        <w:rPr>
          <w:rStyle w:val="FootnoteReference"/>
          <w:rFonts w:ascii="Garamond" w:eastAsia="Times New Roman" w:hAnsi="Garamond" w:cs="Times New Roman"/>
          <w:color w:val="000000" w:themeColor="text1"/>
          <w:sz w:val="24"/>
          <w:szCs w:val="24"/>
          <w:lang w:eastAsia="en-GB"/>
        </w:rPr>
        <w:footnoteReference w:id="215"/>
      </w:r>
      <w:r w:rsidR="00F161B4" w:rsidRPr="006A0152">
        <w:rPr>
          <w:rFonts w:ascii="Garamond" w:eastAsia="Times New Roman" w:hAnsi="Garamond" w:cs="Times New Roman"/>
          <w:color w:val="000000" w:themeColor="text1"/>
          <w:sz w:val="24"/>
          <w:szCs w:val="24"/>
          <w:lang w:eastAsia="en-GB"/>
        </w:rPr>
        <w:t xml:space="preserve"> TNCs—as complex corporate</w:t>
      </w:r>
      <w:r w:rsidR="0056326A" w:rsidRPr="006A0152">
        <w:rPr>
          <w:rFonts w:ascii="Garamond" w:eastAsia="Times New Roman" w:hAnsi="Garamond" w:cs="Times New Roman"/>
          <w:color w:val="000000" w:themeColor="text1"/>
          <w:sz w:val="24"/>
          <w:szCs w:val="24"/>
          <w:lang w:eastAsia="en-GB"/>
        </w:rPr>
        <w:t xml:space="preserve"> assemblages—can traverse jurisdictional lines with relative ease and impunity, shifting jurisdictions at will and demonstrating unrivalled forms of disembodied—yet profoundly material—legal agency.</w:t>
      </w:r>
      <w:r w:rsidR="0056326A" w:rsidRPr="006A0152">
        <w:rPr>
          <w:rStyle w:val="FootnoteReference"/>
          <w:rFonts w:ascii="Garamond" w:eastAsia="Times New Roman" w:hAnsi="Garamond" w:cs="Times New Roman"/>
          <w:color w:val="000000" w:themeColor="text1"/>
          <w:sz w:val="24"/>
          <w:szCs w:val="24"/>
          <w:lang w:eastAsia="en-GB"/>
        </w:rPr>
        <w:footnoteReference w:id="216"/>
      </w:r>
      <w:r w:rsidR="0056326A" w:rsidRPr="006A0152">
        <w:rPr>
          <w:rFonts w:ascii="Garamond" w:eastAsia="Times New Roman" w:hAnsi="Garamond" w:cs="Times New Roman"/>
          <w:color w:val="000000" w:themeColor="text1"/>
          <w:sz w:val="24"/>
          <w:szCs w:val="24"/>
          <w:lang w:eastAsia="en-GB"/>
        </w:rPr>
        <w:t xml:space="preserve"> </w:t>
      </w:r>
      <w:r w:rsidR="00E57DD7">
        <w:rPr>
          <w:rFonts w:ascii="Garamond" w:eastAsia="Times New Roman" w:hAnsi="Garamond" w:cs="Times New Roman"/>
          <w:color w:val="000000" w:themeColor="text1"/>
          <w:sz w:val="24"/>
          <w:szCs w:val="24"/>
          <w:lang w:eastAsia="en-GB"/>
        </w:rPr>
        <w:br/>
        <w:t xml:space="preserve"> </w:t>
      </w:r>
      <w:r w:rsidR="00E57DD7">
        <w:rPr>
          <w:rFonts w:ascii="Garamond" w:eastAsia="Times New Roman" w:hAnsi="Garamond" w:cs="Times New Roman"/>
          <w:color w:val="000000" w:themeColor="text1"/>
          <w:sz w:val="24"/>
          <w:szCs w:val="24"/>
          <w:lang w:eastAsia="en-GB"/>
        </w:rPr>
        <w:tab/>
      </w:r>
      <w:r w:rsidR="00FD086F" w:rsidRPr="006A0152">
        <w:rPr>
          <w:rFonts w:ascii="Garamond" w:eastAsia="Times New Roman" w:hAnsi="Garamond" w:cs="Times New Roman"/>
          <w:color w:val="000000" w:themeColor="text1"/>
          <w:sz w:val="24"/>
          <w:szCs w:val="24"/>
          <w:lang w:eastAsia="en-GB"/>
        </w:rPr>
        <w:t>There is nothing</w:t>
      </w:r>
      <w:r w:rsidR="00FD086F" w:rsidRPr="00321784">
        <w:rPr>
          <w:rFonts w:ascii="Garamond" w:eastAsia="Times New Roman" w:hAnsi="Garamond" w:cs="Times New Roman"/>
          <w:color w:val="000000" w:themeColor="text1"/>
          <w:sz w:val="24"/>
          <w:szCs w:val="24"/>
          <w:lang w:eastAsia="en-GB"/>
        </w:rPr>
        <w:t xml:space="preserve"> </w:t>
      </w:r>
      <w:r w:rsidR="00FD086F" w:rsidRPr="006A0152">
        <w:rPr>
          <w:rFonts w:ascii="Garamond" w:eastAsia="Times New Roman" w:hAnsi="Garamond" w:cs="Times New Roman"/>
          <w:color w:val="000000" w:themeColor="text1"/>
          <w:sz w:val="24"/>
          <w:szCs w:val="24"/>
          <w:lang w:eastAsia="en-GB"/>
        </w:rPr>
        <w:t xml:space="preserve">new, of course, about law’s material action on bodies—or about its striation of space. Marking out space, driving out those construed as undesirable and/or barring </w:t>
      </w:r>
      <w:r w:rsidR="00FD086F" w:rsidRPr="006A0152">
        <w:rPr>
          <w:rFonts w:ascii="Garamond" w:eastAsia="Times New Roman" w:hAnsi="Garamond" w:cs="Times New Roman"/>
          <w:color w:val="000000" w:themeColor="text1"/>
          <w:sz w:val="24"/>
          <w:szCs w:val="24"/>
          <w:lang w:eastAsia="en-GB"/>
        </w:rPr>
        <w:lastRenderedPageBreak/>
        <w:t>their entry is an ancient human practice and a well-rehearsed juridical strategy.</w:t>
      </w:r>
      <w:r w:rsidR="00FD086F" w:rsidRPr="006A0152">
        <w:rPr>
          <w:rStyle w:val="FootnoteReference"/>
          <w:rFonts w:ascii="Garamond" w:eastAsia="Times New Roman" w:hAnsi="Garamond" w:cs="Times New Roman"/>
          <w:color w:val="000000" w:themeColor="text1"/>
          <w:sz w:val="24"/>
          <w:szCs w:val="24"/>
          <w:lang w:eastAsia="en-GB"/>
        </w:rPr>
        <w:footnoteReference w:id="217"/>
      </w:r>
      <w:r w:rsidR="00FD086F" w:rsidRPr="006A0152">
        <w:rPr>
          <w:rFonts w:ascii="Garamond" w:eastAsia="Times New Roman" w:hAnsi="Garamond" w:cs="Times New Roman"/>
          <w:color w:val="000000" w:themeColor="text1"/>
          <w:sz w:val="24"/>
          <w:szCs w:val="24"/>
          <w:lang w:eastAsia="en-GB"/>
        </w:rPr>
        <w:t xml:space="preserve"> As walls now rise rapidly across the world, those facing mechanisms of expulsive power</w:t>
      </w:r>
      <w:r w:rsidR="00FD086F" w:rsidRPr="006A0152">
        <w:rPr>
          <w:rStyle w:val="FootnoteReference"/>
          <w:rFonts w:ascii="Garamond" w:eastAsia="Times New Roman" w:hAnsi="Garamond" w:cs="Times New Roman"/>
          <w:color w:val="000000" w:themeColor="text1"/>
          <w:sz w:val="24"/>
          <w:szCs w:val="24"/>
          <w:lang w:eastAsia="en-GB"/>
        </w:rPr>
        <w:footnoteReference w:id="218"/>
      </w:r>
      <w:r w:rsidR="00FD086F" w:rsidRPr="006A0152">
        <w:rPr>
          <w:rFonts w:ascii="Garamond" w:eastAsia="Times New Roman" w:hAnsi="Garamond" w:cs="Times New Roman"/>
          <w:color w:val="000000" w:themeColor="text1"/>
          <w:sz w:val="24"/>
          <w:szCs w:val="24"/>
          <w:lang w:eastAsia="en-GB"/>
        </w:rPr>
        <w:t xml:space="preserve"> and a wave of contemporary state and corporate dispossessions and land grabs</w:t>
      </w:r>
      <w:r w:rsidR="00FD086F" w:rsidRPr="006A0152">
        <w:rPr>
          <w:rStyle w:val="FootnoteReference"/>
          <w:rFonts w:ascii="Garamond" w:eastAsia="Times New Roman" w:hAnsi="Garamond" w:cs="Times New Roman"/>
          <w:color w:val="000000" w:themeColor="text1"/>
          <w:sz w:val="24"/>
          <w:szCs w:val="24"/>
          <w:lang w:eastAsia="en-GB"/>
        </w:rPr>
        <w:footnoteReference w:id="219"/>
      </w:r>
      <w:r w:rsidR="00FD086F" w:rsidRPr="006A0152">
        <w:rPr>
          <w:rFonts w:ascii="Garamond" w:eastAsia="Times New Roman" w:hAnsi="Garamond" w:cs="Times New Roman"/>
          <w:color w:val="000000" w:themeColor="text1"/>
          <w:sz w:val="24"/>
          <w:szCs w:val="24"/>
          <w:lang w:eastAsia="en-GB"/>
        </w:rPr>
        <w:t xml:space="preserve"> face unprecedented and intensifying consolidations of control mediated by increasingly technologically sophisticated methods of surveillance regulation—all in conditions of entrenched and global </w:t>
      </w:r>
      <w:r w:rsidR="00B95283" w:rsidRPr="006A0152">
        <w:rPr>
          <w:rFonts w:ascii="Garamond" w:eastAsia="Times New Roman" w:hAnsi="Garamond" w:cs="Times New Roman"/>
          <w:color w:val="000000" w:themeColor="text1"/>
          <w:sz w:val="24"/>
          <w:szCs w:val="24"/>
          <w:lang w:eastAsia="en-GB"/>
        </w:rPr>
        <w:t>unevenness</w:t>
      </w:r>
      <w:r w:rsidR="00FD086F" w:rsidRPr="006A0152">
        <w:rPr>
          <w:rFonts w:ascii="Garamond" w:eastAsia="Times New Roman" w:hAnsi="Garamond" w:cs="Times New Roman"/>
          <w:color w:val="000000" w:themeColor="text1"/>
          <w:sz w:val="24"/>
          <w:szCs w:val="24"/>
          <w:lang w:eastAsia="en-GB"/>
        </w:rPr>
        <w:t>.</w:t>
      </w:r>
      <w:r w:rsidR="00FD086F" w:rsidRPr="006A0152">
        <w:rPr>
          <w:rStyle w:val="FootnoteReference"/>
          <w:rFonts w:ascii="Garamond" w:eastAsia="Times New Roman" w:hAnsi="Garamond" w:cs="Times New Roman"/>
          <w:color w:val="000000" w:themeColor="text1"/>
          <w:sz w:val="24"/>
          <w:szCs w:val="24"/>
          <w:lang w:eastAsia="en-GB"/>
        </w:rPr>
        <w:footnoteReference w:id="220"/>
      </w:r>
      <w:r w:rsidR="00FD086F" w:rsidRPr="00411AE0">
        <w:rPr>
          <w:rFonts w:ascii="Garamond" w:eastAsia="Times New Roman" w:hAnsi="Garamond" w:cs="Times New Roman"/>
          <w:color w:val="000000" w:themeColor="text1"/>
          <w:sz w:val="24"/>
          <w:szCs w:val="24"/>
          <w:lang w:eastAsia="en-GB"/>
        </w:rPr>
        <w:t xml:space="preserve"> </w:t>
      </w:r>
      <w:r w:rsidR="00FD086F" w:rsidRPr="00411AE0">
        <w:rPr>
          <w:rFonts w:ascii="Garamond" w:eastAsia="Times New Roman" w:hAnsi="Garamond" w:cs="Times New Roman"/>
          <w:color w:val="000000" w:themeColor="text1"/>
          <w:sz w:val="24"/>
          <w:szCs w:val="24"/>
          <w:lang w:eastAsia="en-GB"/>
        </w:rPr>
        <w:br/>
      </w:r>
      <w:r w:rsidR="00C74898">
        <w:rPr>
          <w:rFonts w:ascii="Garamond" w:eastAsia="Cambria" w:hAnsi="Garamond" w:cs="Cambria"/>
          <w:sz w:val="24"/>
          <w:szCs w:val="24"/>
        </w:rPr>
        <w:t xml:space="preserve"> </w:t>
      </w:r>
      <w:r w:rsidR="00C74898">
        <w:rPr>
          <w:rFonts w:ascii="Garamond" w:eastAsia="Cambria" w:hAnsi="Garamond" w:cs="Cambria"/>
          <w:sz w:val="24"/>
          <w:szCs w:val="24"/>
        </w:rPr>
        <w:tab/>
      </w:r>
      <w:r w:rsidR="00DD39B7">
        <w:rPr>
          <w:rFonts w:ascii="Garamond" w:eastAsia="Cambria" w:hAnsi="Garamond" w:cs="Cambria"/>
          <w:sz w:val="24"/>
          <w:szCs w:val="24"/>
        </w:rPr>
        <w:t xml:space="preserve">The organisation of </w:t>
      </w:r>
      <w:r w:rsidR="00100281">
        <w:rPr>
          <w:rFonts w:ascii="Garamond" w:eastAsia="Cambria" w:hAnsi="Garamond" w:cs="Cambria"/>
          <w:sz w:val="24"/>
          <w:szCs w:val="24"/>
        </w:rPr>
        <w:t xml:space="preserve">territorial </w:t>
      </w:r>
      <w:r w:rsidR="00DD39B7">
        <w:rPr>
          <w:rFonts w:ascii="Garamond" w:eastAsia="Cambria" w:hAnsi="Garamond" w:cs="Cambria"/>
          <w:sz w:val="24"/>
          <w:szCs w:val="24"/>
        </w:rPr>
        <w:t>j</w:t>
      </w:r>
      <w:r w:rsidRPr="00411AE0">
        <w:rPr>
          <w:rFonts w:ascii="Garamond" w:eastAsia="Cambria" w:hAnsi="Garamond" w:cs="Cambria"/>
          <w:sz w:val="24"/>
          <w:szCs w:val="24"/>
        </w:rPr>
        <w:t>urisdiction</w:t>
      </w:r>
      <w:r w:rsidR="004C6FC9" w:rsidRPr="00411AE0">
        <w:rPr>
          <w:rFonts w:ascii="Garamond" w:eastAsia="Cambria" w:hAnsi="Garamond" w:cs="Cambria"/>
          <w:sz w:val="24"/>
          <w:szCs w:val="24"/>
        </w:rPr>
        <w:t>, as our analysis has suggested,</w:t>
      </w:r>
      <w:r w:rsidRPr="00411AE0">
        <w:rPr>
          <w:rFonts w:ascii="Garamond" w:eastAsia="Cambria" w:hAnsi="Garamond" w:cs="Cambria"/>
          <w:sz w:val="24"/>
          <w:szCs w:val="24"/>
        </w:rPr>
        <w:t xml:space="preserve"> is </w:t>
      </w:r>
      <w:r w:rsidR="00282B68">
        <w:rPr>
          <w:rFonts w:ascii="Garamond" w:eastAsia="Cambria" w:hAnsi="Garamond" w:cs="Cambria"/>
          <w:sz w:val="24"/>
          <w:szCs w:val="24"/>
        </w:rPr>
        <w:t xml:space="preserve">central to such dynamics as a technique for the construction of the </w:t>
      </w:r>
      <w:r w:rsidRPr="00411AE0">
        <w:rPr>
          <w:rFonts w:ascii="Garamond" w:eastAsia="Cambria" w:hAnsi="Garamond" w:cs="Cambria"/>
          <w:sz w:val="24"/>
          <w:szCs w:val="24"/>
        </w:rPr>
        <w:t xml:space="preserve">reach of state power </w:t>
      </w:r>
      <w:r w:rsidR="00CB5C48" w:rsidRPr="00411AE0">
        <w:rPr>
          <w:rFonts w:ascii="Garamond" w:eastAsia="Cambria" w:hAnsi="Garamond" w:cs="Cambria"/>
          <w:sz w:val="24"/>
          <w:szCs w:val="24"/>
        </w:rPr>
        <w:t>and/</w:t>
      </w:r>
      <w:r w:rsidRPr="00411AE0">
        <w:rPr>
          <w:rFonts w:ascii="Garamond" w:eastAsia="Cambria" w:hAnsi="Garamond" w:cs="Cambria"/>
          <w:sz w:val="24"/>
          <w:szCs w:val="24"/>
        </w:rPr>
        <w:t xml:space="preserve">or </w:t>
      </w:r>
      <w:r w:rsidR="000C231B" w:rsidRPr="00411AE0">
        <w:rPr>
          <w:rFonts w:ascii="Garamond" w:eastAsia="Cambria" w:hAnsi="Garamond" w:cs="Cambria"/>
          <w:sz w:val="24"/>
          <w:szCs w:val="24"/>
        </w:rPr>
        <w:t xml:space="preserve">of </w:t>
      </w:r>
      <w:r w:rsidR="008B7069" w:rsidRPr="00411AE0">
        <w:rPr>
          <w:rFonts w:ascii="Garamond" w:eastAsia="Cambria" w:hAnsi="Garamond" w:cs="Cambria"/>
          <w:sz w:val="24"/>
          <w:szCs w:val="24"/>
        </w:rPr>
        <w:t>related</w:t>
      </w:r>
      <w:r w:rsidRPr="00411AE0">
        <w:rPr>
          <w:rFonts w:ascii="Garamond" w:eastAsia="Cambria" w:hAnsi="Garamond" w:cs="Cambria"/>
          <w:sz w:val="24"/>
          <w:szCs w:val="24"/>
        </w:rPr>
        <w:t xml:space="preserve"> rights</w:t>
      </w:r>
      <w:r w:rsidR="00282B68">
        <w:rPr>
          <w:rFonts w:ascii="Garamond" w:eastAsia="Cambria" w:hAnsi="Garamond" w:cs="Cambria"/>
          <w:sz w:val="24"/>
          <w:szCs w:val="24"/>
        </w:rPr>
        <w:t>. S</w:t>
      </w:r>
      <w:r w:rsidRPr="00411AE0">
        <w:rPr>
          <w:rFonts w:ascii="Garamond" w:eastAsia="Cambria" w:hAnsi="Garamond" w:cs="Cambria"/>
          <w:sz w:val="24"/>
          <w:szCs w:val="24"/>
        </w:rPr>
        <w:t>tates</w:t>
      </w:r>
      <w:r w:rsidR="004C6FC9" w:rsidRPr="00411AE0">
        <w:rPr>
          <w:rFonts w:ascii="Garamond" w:eastAsia="Cambria" w:hAnsi="Garamond" w:cs="Cambria"/>
          <w:sz w:val="24"/>
          <w:szCs w:val="24"/>
        </w:rPr>
        <w:t xml:space="preserve"> </w:t>
      </w:r>
      <w:r w:rsidR="00DC2CD5" w:rsidRPr="00411AE0">
        <w:rPr>
          <w:rFonts w:ascii="Garamond" w:eastAsia="Cambria" w:hAnsi="Garamond" w:cs="Cambria"/>
          <w:sz w:val="24"/>
          <w:szCs w:val="24"/>
        </w:rPr>
        <w:t xml:space="preserve">operate as </w:t>
      </w:r>
      <w:r w:rsidR="00CB5C48" w:rsidRPr="00411AE0">
        <w:rPr>
          <w:rFonts w:ascii="Garamond" w:eastAsia="Cambria" w:hAnsi="Garamond" w:cs="Cambria"/>
          <w:sz w:val="24"/>
          <w:szCs w:val="24"/>
        </w:rPr>
        <w:t xml:space="preserve">core </w:t>
      </w:r>
      <w:r w:rsidRPr="00411AE0">
        <w:rPr>
          <w:rFonts w:ascii="Garamond" w:eastAsia="Cambria" w:hAnsi="Garamond" w:cs="Cambria"/>
          <w:sz w:val="24"/>
          <w:szCs w:val="24"/>
        </w:rPr>
        <w:t>facilitator</w:t>
      </w:r>
      <w:r w:rsidR="00DC2CD5" w:rsidRPr="00411AE0">
        <w:rPr>
          <w:rFonts w:ascii="Garamond" w:eastAsia="Cambria" w:hAnsi="Garamond" w:cs="Cambria"/>
          <w:sz w:val="24"/>
          <w:szCs w:val="24"/>
        </w:rPr>
        <w:t>s</w:t>
      </w:r>
      <w:r w:rsidRPr="00411AE0">
        <w:rPr>
          <w:rFonts w:ascii="Garamond" w:eastAsia="Cambria" w:hAnsi="Garamond" w:cs="Cambria"/>
          <w:sz w:val="24"/>
          <w:szCs w:val="24"/>
        </w:rPr>
        <w:t xml:space="preserve"> of elite </w:t>
      </w:r>
      <w:r w:rsidR="004C6FC9" w:rsidRPr="00411AE0">
        <w:rPr>
          <w:rFonts w:ascii="Garamond" w:eastAsia="Cambria" w:hAnsi="Garamond" w:cs="Cambria"/>
          <w:sz w:val="24"/>
          <w:szCs w:val="24"/>
        </w:rPr>
        <w:t xml:space="preserve">capitalistic </w:t>
      </w:r>
      <w:r w:rsidRPr="00411AE0">
        <w:rPr>
          <w:rFonts w:ascii="Garamond" w:eastAsia="Cambria" w:hAnsi="Garamond" w:cs="Cambria"/>
          <w:sz w:val="24"/>
          <w:szCs w:val="24"/>
        </w:rPr>
        <w:t>privilege</w:t>
      </w:r>
      <w:r w:rsidR="00E951B4">
        <w:rPr>
          <w:rFonts w:ascii="Garamond" w:eastAsia="Cambria" w:hAnsi="Garamond" w:cs="Cambria"/>
          <w:sz w:val="24"/>
          <w:szCs w:val="24"/>
        </w:rPr>
        <w:t xml:space="preserve"> in the global neoliberal order</w:t>
      </w:r>
      <w:r w:rsidR="004C6FC9" w:rsidRPr="00411AE0">
        <w:rPr>
          <w:rFonts w:ascii="Garamond" w:eastAsia="Cambria" w:hAnsi="Garamond" w:cs="Cambria"/>
          <w:sz w:val="24"/>
          <w:szCs w:val="24"/>
        </w:rPr>
        <w:t>.</w:t>
      </w:r>
      <w:r w:rsidR="00BA1702">
        <w:rPr>
          <w:rStyle w:val="FootnoteReference"/>
          <w:rFonts w:ascii="Garamond" w:eastAsia="Cambria" w:hAnsi="Garamond" w:cs="Cambria"/>
          <w:sz w:val="24"/>
          <w:szCs w:val="24"/>
        </w:rPr>
        <w:footnoteReference w:id="221"/>
      </w:r>
      <w:r w:rsidR="00BA1702">
        <w:rPr>
          <w:rFonts w:ascii="Garamond" w:eastAsia="Cambria" w:hAnsi="Garamond" w:cs="Cambria"/>
          <w:sz w:val="24"/>
          <w:szCs w:val="24"/>
        </w:rPr>
        <w:t xml:space="preserve"> </w:t>
      </w:r>
      <w:r w:rsidR="00907FED">
        <w:rPr>
          <w:rFonts w:ascii="Garamond" w:eastAsia="Cambria" w:hAnsi="Garamond" w:cs="Cambria"/>
          <w:sz w:val="24"/>
          <w:szCs w:val="24"/>
        </w:rPr>
        <w:t>In this space</w:t>
      </w:r>
      <w:r w:rsidRPr="00411AE0">
        <w:rPr>
          <w:rFonts w:ascii="Garamond" w:eastAsia="Cambria" w:hAnsi="Garamond" w:cs="Cambria"/>
          <w:sz w:val="24"/>
          <w:szCs w:val="24"/>
        </w:rPr>
        <w:t xml:space="preserve"> </w:t>
      </w:r>
      <w:r w:rsidRPr="00411AE0">
        <w:rPr>
          <w:rFonts w:ascii="Garamond" w:eastAsia="Cambria" w:hAnsi="Garamond" w:cs="Cambria"/>
          <w:color w:val="000000"/>
          <w:sz w:val="24"/>
          <w:szCs w:val="24"/>
        </w:rPr>
        <w:t xml:space="preserve">law </w:t>
      </w:r>
      <w:r w:rsidR="00087E97">
        <w:rPr>
          <w:rFonts w:ascii="Garamond" w:eastAsia="Cambria" w:hAnsi="Garamond" w:cs="Cambria"/>
          <w:color w:val="000000"/>
          <w:sz w:val="24"/>
          <w:szCs w:val="24"/>
        </w:rPr>
        <w:t xml:space="preserve">itself </w:t>
      </w:r>
      <w:r w:rsidRPr="00411AE0">
        <w:rPr>
          <w:rFonts w:ascii="Garamond" w:eastAsia="Cambria" w:hAnsi="Garamond" w:cs="Cambria"/>
          <w:color w:val="000000"/>
          <w:sz w:val="24"/>
          <w:szCs w:val="24"/>
        </w:rPr>
        <w:t>no longer functions on a single scale, the scale of the state</w:t>
      </w:r>
      <w:r w:rsidR="004C6FC9" w:rsidRPr="00411AE0">
        <w:rPr>
          <w:rFonts w:ascii="Garamond" w:eastAsia="Cambria" w:hAnsi="Garamond" w:cs="Cambria"/>
          <w:color w:val="000000"/>
          <w:sz w:val="24"/>
          <w:szCs w:val="24"/>
        </w:rPr>
        <w:t>—even notionally</w:t>
      </w:r>
      <w:r w:rsidR="00282B68">
        <w:rPr>
          <w:rFonts w:ascii="Garamond" w:eastAsia="Cambria" w:hAnsi="Garamond" w:cs="Cambria"/>
          <w:color w:val="000000"/>
          <w:sz w:val="24"/>
          <w:szCs w:val="24"/>
        </w:rPr>
        <w:t xml:space="preserve">, because </w:t>
      </w:r>
      <w:r w:rsidRPr="00411AE0">
        <w:rPr>
          <w:rFonts w:ascii="Garamond" w:eastAsia="Cambria" w:hAnsi="Garamond" w:cs="Cambria"/>
          <w:color w:val="000000"/>
          <w:sz w:val="24"/>
          <w:szCs w:val="24"/>
        </w:rPr>
        <w:t xml:space="preserve">a </w:t>
      </w:r>
      <w:r w:rsidRPr="00411AE0">
        <w:rPr>
          <w:rFonts w:ascii="Garamond" w:eastAsia="Cambria" w:hAnsi="Garamond" w:cs="Cambria"/>
          <w:sz w:val="24"/>
          <w:szCs w:val="24"/>
        </w:rPr>
        <w:t xml:space="preserve">plethora of complex </w:t>
      </w:r>
      <w:r w:rsidR="002138A2" w:rsidRPr="00411AE0">
        <w:rPr>
          <w:rFonts w:ascii="Garamond" w:eastAsia="Cambria" w:hAnsi="Garamond" w:cs="Cambria"/>
          <w:sz w:val="24"/>
          <w:szCs w:val="24"/>
        </w:rPr>
        <w:t xml:space="preserve">transnational </w:t>
      </w:r>
      <w:r w:rsidRPr="00411AE0">
        <w:rPr>
          <w:rFonts w:ascii="Garamond" w:eastAsia="Cambria" w:hAnsi="Garamond" w:cs="Cambria"/>
          <w:sz w:val="24"/>
          <w:szCs w:val="24"/>
        </w:rPr>
        <w:t>organi</w:t>
      </w:r>
      <w:r w:rsidR="004C6FC9" w:rsidRPr="00411AE0">
        <w:rPr>
          <w:rFonts w:ascii="Garamond" w:eastAsia="Cambria" w:hAnsi="Garamond" w:cs="Cambria"/>
          <w:sz w:val="24"/>
          <w:szCs w:val="24"/>
        </w:rPr>
        <w:t>s</w:t>
      </w:r>
      <w:r w:rsidRPr="00411AE0">
        <w:rPr>
          <w:rFonts w:ascii="Garamond" w:eastAsia="Cambria" w:hAnsi="Garamond" w:cs="Cambria"/>
          <w:sz w:val="24"/>
          <w:szCs w:val="24"/>
        </w:rPr>
        <w:t xml:space="preserve">ational assemblages </w:t>
      </w:r>
      <w:r w:rsidR="004C6FC9" w:rsidRPr="00411AE0">
        <w:rPr>
          <w:rFonts w:ascii="Garamond" w:eastAsia="Cambria" w:hAnsi="Garamond" w:cs="Cambria"/>
          <w:sz w:val="24"/>
          <w:szCs w:val="24"/>
        </w:rPr>
        <w:t xml:space="preserve">operate </w:t>
      </w:r>
      <w:r w:rsidRPr="00411AE0">
        <w:rPr>
          <w:rFonts w:ascii="Garamond" w:eastAsia="Cambria" w:hAnsi="Garamond" w:cs="Cambria"/>
          <w:sz w:val="24"/>
          <w:szCs w:val="24"/>
        </w:rPr>
        <w:t>in relation to authority and power</w:t>
      </w:r>
      <w:r w:rsidR="004C6FC9" w:rsidRPr="00411AE0">
        <w:rPr>
          <w:rFonts w:ascii="Garamond" w:eastAsia="Cambria" w:hAnsi="Garamond" w:cs="Cambria"/>
          <w:sz w:val="24"/>
          <w:szCs w:val="24"/>
        </w:rPr>
        <w:t xml:space="preserve">, often </w:t>
      </w:r>
      <w:r w:rsidRPr="00411AE0">
        <w:rPr>
          <w:rFonts w:ascii="Garamond" w:eastAsia="Cambria" w:hAnsi="Garamond" w:cs="Cambria"/>
          <w:sz w:val="24"/>
          <w:szCs w:val="24"/>
        </w:rPr>
        <w:t>in the shadows of legality.</w:t>
      </w:r>
      <w:r w:rsidRPr="00411AE0">
        <w:rPr>
          <w:rFonts w:ascii="Garamond" w:eastAsia="Cambria" w:hAnsi="Garamond" w:cs="Cambria"/>
          <w:color w:val="000000"/>
          <w:sz w:val="24"/>
          <w:szCs w:val="24"/>
          <w:vertAlign w:val="superscript"/>
        </w:rPr>
        <w:footnoteReference w:id="222"/>
      </w:r>
      <w:r w:rsidR="009B04AA">
        <w:rPr>
          <w:rFonts w:ascii="Garamond" w:eastAsia="Cambria" w:hAnsi="Garamond" w:cs="Cambria"/>
          <w:color w:val="000000"/>
          <w:sz w:val="24"/>
          <w:szCs w:val="24"/>
        </w:rPr>
        <w:t xml:space="preserve"> </w:t>
      </w:r>
      <w:r w:rsidR="005A4280" w:rsidRPr="00411AE0">
        <w:rPr>
          <w:rFonts w:ascii="Garamond" w:eastAsia="Cambria" w:hAnsi="Garamond" w:cs="Cambria"/>
          <w:color w:val="000000"/>
          <w:sz w:val="24"/>
          <w:szCs w:val="24"/>
        </w:rPr>
        <w:t xml:space="preserve">The </w:t>
      </w:r>
      <w:r w:rsidR="004D6A80">
        <w:rPr>
          <w:rFonts w:ascii="Garamond" w:eastAsia="Cambria" w:hAnsi="Garamond" w:cs="Cambria"/>
          <w:color w:val="000000"/>
          <w:sz w:val="24"/>
          <w:szCs w:val="24"/>
        </w:rPr>
        <w:t>dens</w:t>
      </w:r>
      <w:r w:rsidR="004D6A80" w:rsidRPr="00411AE0">
        <w:rPr>
          <w:rFonts w:ascii="Garamond" w:eastAsia="Cambria" w:hAnsi="Garamond" w:cs="Cambria"/>
          <w:color w:val="000000"/>
          <w:sz w:val="24"/>
          <w:szCs w:val="24"/>
        </w:rPr>
        <w:t xml:space="preserve">ity </w:t>
      </w:r>
      <w:r w:rsidR="005A4280" w:rsidRPr="00411AE0">
        <w:rPr>
          <w:rFonts w:ascii="Garamond" w:eastAsia="Cambria" w:hAnsi="Garamond" w:cs="Cambria"/>
          <w:color w:val="000000"/>
          <w:sz w:val="24"/>
          <w:szCs w:val="24"/>
        </w:rPr>
        <w:t xml:space="preserve">of transnational connections is such that a very </w:t>
      </w:r>
      <w:bookmarkStart w:id="3" w:name="_w9z1rrds7828" w:colFirst="0" w:colLast="0"/>
      <w:bookmarkEnd w:id="3"/>
      <w:r w:rsidRPr="00411AE0">
        <w:rPr>
          <w:rFonts w:ascii="Garamond" w:eastAsia="Cambria" w:hAnsi="Garamond" w:cs="Cambria"/>
          <w:sz w:val="24"/>
          <w:szCs w:val="24"/>
        </w:rPr>
        <w:t xml:space="preserve">different cartography of power </w:t>
      </w:r>
      <w:r w:rsidR="009B04AA">
        <w:rPr>
          <w:rFonts w:ascii="Garamond" w:eastAsia="Cambria" w:hAnsi="Garamond" w:cs="Cambria"/>
          <w:sz w:val="24"/>
          <w:szCs w:val="24"/>
        </w:rPr>
        <w:t xml:space="preserve">also </w:t>
      </w:r>
      <w:r w:rsidR="005A4280" w:rsidRPr="00411AE0">
        <w:rPr>
          <w:rFonts w:ascii="Garamond" w:eastAsia="Cambria" w:hAnsi="Garamond" w:cs="Cambria"/>
          <w:sz w:val="24"/>
          <w:szCs w:val="24"/>
        </w:rPr>
        <w:t xml:space="preserve">now operates, one in which </w:t>
      </w:r>
      <w:r w:rsidRPr="00411AE0">
        <w:rPr>
          <w:rFonts w:ascii="Garamond" w:eastAsia="Cambria" w:hAnsi="Garamond" w:cs="Cambria"/>
          <w:sz w:val="24"/>
          <w:szCs w:val="24"/>
        </w:rPr>
        <w:t xml:space="preserve">international </w:t>
      </w:r>
      <w:r w:rsidR="008939E1" w:rsidRPr="00411AE0">
        <w:rPr>
          <w:rFonts w:ascii="Garamond" w:eastAsia="Cambria" w:hAnsi="Garamond" w:cs="Cambria"/>
          <w:sz w:val="24"/>
          <w:szCs w:val="24"/>
        </w:rPr>
        <w:t xml:space="preserve">and supranational </w:t>
      </w:r>
      <w:r w:rsidRPr="00411AE0">
        <w:rPr>
          <w:rFonts w:ascii="Garamond" w:eastAsia="Cambria" w:hAnsi="Garamond" w:cs="Cambria"/>
          <w:sz w:val="24"/>
          <w:szCs w:val="24"/>
        </w:rPr>
        <w:t>institutions</w:t>
      </w:r>
      <w:r w:rsidR="008939E1" w:rsidRPr="00411AE0">
        <w:rPr>
          <w:rFonts w:ascii="Garamond" w:eastAsia="Cambria" w:hAnsi="Garamond" w:cs="Cambria"/>
          <w:sz w:val="24"/>
          <w:szCs w:val="24"/>
        </w:rPr>
        <w:t xml:space="preserve"> and various networks</w:t>
      </w:r>
      <w:r w:rsidRPr="00411AE0">
        <w:rPr>
          <w:rFonts w:ascii="Garamond" w:eastAsia="Cambria" w:hAnsi="Garamond" w:cs="Cambria"/>
          <w:sz w:val="24"/>
          <w:szCs w:val="24"/>
        </w:rPr>
        <w:t xml:space="preserve"> </w:t>
      </w:r>
      <w:r w:rsidR="004D6A80">
        <w:rPr>
          <w:rFonts w:ascii="Garamond" w:eastAsia="Cambria" w:hAnsi="Garamond" w:cs="Cambria"/>
          <w:sz w:val="24"/>
          <w:szCs w:val="24"/>
        </w:rPr>
        <w:t xml:space="preserve">operate in complex complicity </w:t>
      </w:r>
      <w:r w:rsidR="00B367E9">
        <w:rPr>
          <w:rFonts w:ascii="Garamond" w:eastAsia="Cambria" w:hAnsi="Garamond" w:cs="Cambria"/>
          <w:sz w:val="24"/>
          <w:szCs w:val="24"/>
        </w:rPr>
        <w:t>with—</w:t>
      </w:r>
      <w:r w:rsidR="004D6A80">
        <w:rPr>
          <w:rFonts w:ascii="Garamond" w:eastAsia="Cambria" w:hAnsi="Garamond" w:cs="Cambria"/>
          <w:sz w:val="24"/>
          <w:szCs w:val="24"/>
        </w:rPr>
        <w:t>and differing degrees of tension with</w:t>
      </w:r>
      <w:r w:rsidR="00B367E9">
        <w:rPr>
          <w:rFonts w:ascii="Garamond" w:eastAsia="Cambria" w:hAnsi="Garamond" w:cs="Cambria"/>
          <w:sz w:val="24"/>
          <w:szCs w:val="24"/>
        </w:rPr>
        <w:t>—</w:t>
      </w:r>
      <w:r w:rsidRPr="00411AE0">
        <w:rPr>
          <w:rFonts w:ascii="Garamond" w:eastAsia="Cambria" w:hAnsi="Garamond" w:cs="Cambria"/>
          <w:sz w:val="24"/>
          <w:szCs w:val="24"/>
        </w:rPr>
        <w:t>nation states</w:t>
      </w:r>
      <w:r w:rsidR="004D6A80">
        <w:rPr>
          <w:rFonts w:ascii="Garamond" w:eastAsia="Cambria" w:hAnsi="Garamond" w:cs="Cambria"/>
          <w:sz w:val="24"/>
          <w:szCs w:val="24"/>
        </w:rPr>
        <w:t>,</w:t>
      </w:r>
      <w:r w:rsidRPr="00411AE0">
        <w:rPr>
          <w:rFonts w:ascii="Garamond" w:eastAsia="Cambria" w:hAnsi="Garamond" w:cs="Cambria"/>
          <w:sz w:val="24"/>
          <w:szCs w:val="24"/>
        </w:rPr>
        <w:t xml:space="preserve"> </w:t>
      </w:r>
      <w:r w:rsidR="00B65337" w:rsidRPr="00411AE0">
        <w:rPr>
          <w:rFonts w:ascii="Garamond" w:eastAsia="Cambria" w:hAnsi="Garamond" w:cs="Cambria"/>
          <w:sz w:val="24"/>
          <w:szCs w:val="24"/>
        </w:rPr>
        <w:t>while</w:t>
      </w:r>
      <w:r w:rsidRPr="00411AE0">
        <w:rPr>
          <w:rFonts w:ascii="Garamond" w:eastAsia="Cambria" w:hAnsi="Garamond" w:cs="Cambria"/>
          <w:sz w:val="24"/>
          <w:szCs w:val="24"/>
        </w:rPr>
        <w:t xml:space="preserve"> corporate </w:t>
      </w:r>
      <w:r w:rsidR="00B65337" w:rsidRPr="00411AE0">
        <w:rPr>
          <w:rFonts w:ascii="Garamond" w:eastAsia="Cambria" w:hAnsi="Garamond" w:cs="Cambria"/>
          <w:sz w:val="24"/>
          <w:szCs w:val="24"/>
        </w:rPr>
        <w:t>elites</w:t>
      </w:r>
      <w:r w:rsidRPr="00411AE0">
        <w:rPr>
          <w:rFonts w:ascii="Garamond" w:eastAsia="Cambria" w:hAnsi="Garamond" w:cs="Cambria"/>
          <w:sz w:val="24"/>
          <w:szCs w:val="24"/>
        </w:rPr>
        <w:t xml:space="preserve"> </w:t>
      </w:r>
      <w:r w:rsidR="009B04AA">
        <w:rPr>
          <w:rFonts w:ascii="Garamond" w:eastAsia="Cambria" w:hAnsi="Garamond" w:cs="Cambria"/>
          <w:sz w:val="24"/>
          <w:szCs w:val="24"/>
        </w:rPr>
        <w:t xml:space="preserve">decisively shape </w:t>
      </w:r>
      <w:r w:rsidRPr="00411AE0">
        <w:rPr>
          <w:rFonts w:ascii="Garamond" w:eastAsia="Cambria" w:hAnsi="Garamond" w:cs="Cambria"/>
          <w:sz w:val="24"/>
          <w:szCs w:val="24"/>
        </w:rPr>
        <w:t xml:space="preserve">the political and economic destiny </w:t>
      </w:r>
      <w:r w:rsidR="005A4280" w:rsidRPr="00411AE0">
        <w:rPr>
          <w:rFonts w:ascii="Garamond" w:eastAsia="Cambria" w:hAnsi="Garamond" w:cs="Cambria"/>
          <w:sz w:val="24"/>
          <w:szCs w:val="24"/>
        </w:rPr>
        <w:t xml:space="preserve">of </w:t>
      </w:r>
      <w:r w:rsidR="004D6A80">
        <w:rPr>
          <w:rFonts w:ascii="Garamond" w:eastAsia="Cambria" w:hAnsi="Garamond" w:cs="Cambria"/>
          <w:sz w:val="24"/>
          <w:szCs w:val="24"/>
        </w:rPr>
        <w:t>billions</w:t>
      </w:r>
      <w:r w:rsidRPr="00411AE0">
        <w:rPr>
          <w:rFonts w:ascii="Garamond" w:eastAsia="Cambria" w:hAnsi="Garamond" w:cs="Cambria"/>
          <w:sz w:val="24"/>
          <w:szCs w:val="24"/>
        </w:rPr>
        <w:t>.</w:t>
      </w:r>
      <w:r w:rsidR="00B367E9">
        <w:rPr>
          <w:rFonts w:ascii="Garamond" w:eastAsia="Cambria" w:hAnsi="Garamond" w:cs="Cambria"/>
          <w:sz w:val="24"/>
          <w:szCs w:val="24"/>
        </w:rPr>
        <w:t xml:space="preserve"> </w:t>
      </w:r>
      <w:r w:rsidR="005A4280" w:rsidRPr="00411AE0">
        <w:rPr>
          <w:rFonts w:ascii="Garamond" w:eastAsia="Cambria" w:hAnsi="Garamond" w:cs="Cambria"/>
          <w:sz w:val="24"/>
          <w:szCs w:val="24"/>
        </w:rPr>
        <w:t xml:space="preserve">This is no longer a world </w:t>
      </w:r>
      <w:r w:rsidR="004305A4" w:rsidRPr="00411AE0">
        <w:rPr>
          <w:rFonts w:ascii="Garamond" w:eastAsia="Cambria" w:hAnsi="Garamond" w:cs="Cambria"/>
          <w:sz w:val="24"/>
          <w:szCs w:val="24"/>
        </w:rPr>
        <w:t>order</w:t>
      </w:r>
      <w:r w:rsidR="006E179C">
        <w:rPr>
          <w:rFonts w:ascii="Garamond" w:eastAsia="Cambria" w:hAnsi="Garamond" w:cs="Cambria"/>
          <w:sz w:val="24"/>
          <w:szCs w:val="24"/>
        </w:rPr>
        <w:t>, therefore,</w:t>
      </w:r>
      <w:r w:rsidR="004305A4" w:rsidRPr="00411AE0">
        <w:rPr>
          <w:rFonts w:ascii="Garamond" w:eastAsia="Cambria" w:hAnsi="Garamond" w:cs="Cambria"/>
          <w:sz w:val="24"/>
          <w:szCs w:val="24"/>
        </w:rPr>
        <w:t xml:space="preserve"> </w:t>
      </w:r>
      <w:r w:rsidR="005A4280" w:rsidRPr="00411AE0">
        <w:rPr>
          <w:rFonts w:ascii="Garamond" w:eastAsia="Cambria" w:hAnsi="Garamond" w:cs="Cambria"/>
          <w:sz w:val="24"/>
          <w:szCs w:val="24"/>
        </w:rPr>
        <w:t>where dominant states violate the sovereignty of weaker countries</w:t>
      </w:r>
      <w:r w:rsidR="00247B6D">
        <w:rPr>
          <w:rFonts w:ascii="Garamond" w:eastAsia="Cambria" w:hAnsi="Garamond" w:cs="Cambria"/>
          <w:sz w:val="24"/>
          <w:szCs w:val="24"/>
        </w:rPr>
        <w:t xml:space="preserve"> </w:t>
      </w:r>
      <w:r w:rsidR="00A74567">
        <w:rPr>
          <w:rFonts w:ascii="Garamond" w:eastAsia="Cambria" w:hAnsi="Garamond" w:cs="Cambria"/>
          <w:sz w:val="24"/>
          <w:szCs w:val="24"/>
        </w:rPr>
        <w:t xml:space="preserve">with </w:t>
      </w:r>
      <w:r w:rsidR="00247B6D">
        <w:rPr>
          <w:rFonts w:ascii="Garamond" w:eastAsia="Cambria" w:hAnsi="Garamond" w:cs="Cambria"/>
          <w:sz w:val="24"/>
          <w:szCs w:val="24"/>
        </w:rPr>
        <w:t>traditional strategies alone</w:t>
      </w:r>
      <w:r w:rsidR="00A74567">
        <w:rPr>
          <w:rFonts w:ascii="Garamond" w:eastAsia="Cambria" w:hAnsi="Garamond" w:cs="Cambria"/>
          <w:sz w:val="24"/>
          <w:szCs w:val="24"/>
        </w:rPr>
        <w:t>—</w:t>
      </w:r>
      <w:r w:rsidR="00F161B4">
        <w:rPr>
          <w:rFonts w:ascii="Garamond" w:eastAsia="Cambria" w:hAnsi="Garamond" w:cs="Cambria"/>
          <w:sz w:val="24"/>
          <w:szCs w:val="24"/>
        </w:rPr>
        <w:t xml:space="preserve">instead, </w:t>
      </w:r>
      <w:r w:rsidR="00247B6D" w:rsidRPr="00411AE0">
        <w:rPr>
          <w:rFonts w:ascii="Garamond" w:eastAsia="Cambria" w:hAnsi="Garamond" w:cs="Cambria"/>
          <w:sz w:val="24"/>
          <w:szCs w:val="24"/>
        </w:rPr>
        <w:t>new forms of</w:t>
      </w:r>
      <w:r w:rsidR="00247B6D" w:rsidRPr="00247B6D">
        <w:rPr>
          <w:rFonts w:ascii="Garamond" w:eastAsia="Cambria" w:hAnsi="Garamond" w:cs="Cambria"/>
          <w:sz w:val="24"/>
          <w:szCs w:val="24"/>
        </w:rPr>
        <w:t xml:space="preserve"> </w:t>
      </w:r>
      <w:r w:rsidR="00247B6D" w:rsidRPr="00411AE0">
        <w:rPr>
          <w:rFonts w:ascii="Garamond" w:eastAsia="Cambria" w:hAnsi="Garamond" w:cs="Cambria"/>
          <w:sz w:val="24"/>
          <w:szCs w:val="24"/>
        </w:rPr>
        <w:t xml:space="preserve">debordering </w:t>
      </w:r>
      <w:r w:rsidR="006E179C">
        <w:rPr>
          <w:rFonts w:ascii="Garamond" w:eastAsia="Cambria" w:hAnsi="Garamond" w:cs="Cambria"/>
          <w:sz w:val="24"/>
          <w:szCs w:val="24"/>
        </w:rPr>
        <w:t xml:space="preserve">overlay and </w:t>
      </w:r>
      <w:r w:rsidR="00A74567">
        <w:rPr>
          <w:rFonts w:ascii="Garamond" w:eastAsia="Cambria" w:hAnsi="Garamond" w:cs="Cambria"/>
          <w:sz w:val="24"/>
          <w:szCs w:val="24"/>
        </w:rPr>
        <w:t>exceed</w:t>
      </w:r>
      <w:r w:rsidR="00247B6D" w:rsidRPr="00411AE0">
        <w:rPr>
          <w:rFonts w:ascii="Garamond" w:eastAsia="Cambria" w:hAnsi="Garamond" w:cs="Cambria"/>
          <w:sz w:val="24"/>
          <w:szCs w:val="24"/>
        </w:rPr>
        <w:t xml:space="preserve"> older, tra</w:t>
      </w:r>
      <w:r w:rsidR="00247B6D" w:rsidRPr="00247B6D">
        <w:rPr>
          <w:rFonts w:ascii="Garamond" w:eastAsia="Cambria" w:hAnsi="Garamond" w:cs="Cambria"/>
          <w:sz w:val="24"/>
          <w:szCs w:val="24"/>
        </w:rPr>
        <w:t xml:space="preserve">ditional </w:t>
      </w:r>
      <w:r w:rsidR="00247B6D">
        <w:rPr>
          <w:rFonts w:ascii="Garamond" w:eastAsia="Cambria" w:hAnsi="Garamond" w:cs="Cambria"/>
          <w:sz w:val="24"/>
          <w:szCs w:val="24"/>
        </w:rPr>
        <w:t>approaches</w:t>
      </w:r>
      <w:r w:rsidR="00F161B4">
        <w:rPr>
          <w:rFonts w:ascii="Garamond" w:eastAsia="Cambria" w:hAnsi="Garamond" w:cs="Cambria"/>
          <w:sz w:val="24"/>
          <w:szCs w:val="24"/>
        </w:rPr>
        <w:t>.</w:t>
      </w:r>
      <w:r w:rsidR="005A4280" w:rsidRPr="00411AE0">
        <w:rPr>
          <w:rFonts w:ascii="Garamond" w:eastAsia="Cambria" w:hAnsi="Garamond" w:cs="Cambria"/>
          <w:sz w:val="24"/>
          <w:szCs w:val="24"/>
          <w:vertAlign w:val="superscript"/>
        </w:rPr>
        <w:footnoteReference w:id="223"/>
      </w:r>
      <w:r w:rsidR="007071AD">
        <w:rPr>
          <w:rFonts w:ascii="Garamond" w:eastAsia="Cambria" w:hAnsi="Garamond" w:cs="Cambria"/>
          <w:sz w:val="24"/>
          <w:szCs w:val="24"/>
        </w:rPr>
        <w:t xml:space="preserve"> </w:t>
      </w:r>
      <w:r w:rsidR="00A90016" w:rsidRPr="00411AE0">
        <w:rPr>
          <w:rFonts w:ascii="Garamond" w:eastAsia="Cambria" w:hAnsi="Garamond" w:cs="Cambria"/>
          <w:sz w:val="24"/>
          <w:szCs w:val="24"/>
        </w:rPr>
        <w:t>T</w:t>
      </w:r>
      <w:r w:rsidRPr="00411AE0">
        <w:rPr>
          <w:rFonts w:ascii="Garamond" w:eastAsia="Cambria" w:hAnsi="Garamond" w:cs="Cambria"/>
          <w:sz w:val="24"/>
          <w:szCs w:val="24"/>
        </w:rPr>
        <w:t xml:space="preserve">erritoriality, the legal construct </w:t>
      </w:r>
      <w:r w:rsidR="005A4280" w:rsidRPr="00411AE0">
        <w:rPr>
          <w:rFonts w:ascii="Garamond" w:eastAsia="Cambria" w:hAnsi="Garamond" w:cs="Cambria"/>
          <w:sz w:val="24"/>
          <w:szCs w:val="24"/>
        </w:rPr>
        <w:t xml:space="preserve">marking </w:t>
      </w:r>
      <w:r w:rsidRPr="00411AE0">
        <w:rPr>
          <w:rFonts w:ascii="Garamond" w:eastAsia="Cambria" w:hAnsi="Garamond" w:cs="Cambria"/>
          <w:sz w:val="24"/>
          <w:szCs w:val="24"/>
        </w:rPr>
        <w:t xml:space="preserve">the exclusive authority of a state over a territory, is </w:t>
      </w:r>
      <w:r w:rsidR="004305A4" w:rsidRPr="00411AE0">
        <w:rPr>
          <w:rFonts w:ascii="Garamond" w:eastAsia="Cambria" w:hAnsi="Garamond" w:cs="Cambria"/>
          <w:sz w:val="24"/>
          <w:szCs w:val="24"/>
        </w:rPr>
        <w:t xml:space="preserve">increasingly malleable and selectively </w:t>
      </w:r>
      <w:r w:rsidR="00A90016" w:rsidRPr="00411AE0">
        <w:rPr>
          <w:rFonts w:ascii="Garamond" w:eastAsia="Cambria" w:hAnsi="Garamond" w:cs="Cambria"/>
          <w:sz w:val="24"/>
          <w:szCs w:val="24"/>
        </w:rPr>
        <w:t xml:space="preserve">hollowed </w:t>
      </w:r>
      <w:r w:rsidR="004305A4" w:rsidRPr="00411AE0">
        <w:rPr>
          <w:rFonts w:ascii="Garamond" w:eastAsia="Cambria" w:hAnsi="Garamond" w:cs="Cambria"/>
          <w:sz w:val="24"/>
          <w:szCs w:val="24"/>
        </w:rPr>
        <w:t>ou</w:t>
      </w:r>
      <w:r w:rsidR="00F161B4">
        <w:rPr>
          <w:rFonts w:ascii="Garamond" w:eastAsia="Cambria" w:hAnsi="Garamond" w:cs="Cambria"/>
          <w:sz w:val="24"/>
          <w:szCs w:val="24"/>
        </w:rPr>
        <w:t>t. What remains is barely</w:t>
      </w:r>
      <w:r w:rsidRPr="00411AE0">
        <w:rPr>
          <w:rFonts w:ascii="Garamond" w:eastAsia="Cambria" w:hAnsi="Garamond" w:cs="Cambria"/>
          <w:sz w:val="24"/>
          <w:szCs w:val="24"/>
        </w:rPr>
        <w:t xml:space="preserve"> more</w:t>
      </w:r>
      <w:r w:rsidR="004305A4" w:rsidRPr="00411AE0">
        <w:rPr>
          <w:rFonts w:ascii="Garamond" w:eastAsia="Cambria" w:hAnsi="Garamond" w:cs="Cambria"/>
          <w:sz w:val="24"/>
          <w:szCs w:val="24"/>
        </w:rPr>
        <w:t>, in some situations,</w:t>
      </w:r>
      <w:r w:rsidRPr="00411AE0">
        <w:rPr>
          <w:rFonts w:ascii="Garamond" w:eastAsia="Cambria" w:hAnsi="Garamond" w:cs="Cambria"/>
          <w:sz w:val="24"/>
          <w:szCs w:val="24"/>
        </w:rPr>
        <w:t xml:space="preserve"> than a </w:t>
      </w:r>
      <w:r w:rsidR="00A74567">
        <w:rPr>
          <w:rFonts w:ascii="Garamond" w:eastAsia="Cambria" w:hAnsi="Garamond" w:cs="Cambria"/>
          <w:sz w:val="24"/>
          <w:szCs w:val="24"/>
        </w:rPr>
        <w:t xml:space="preserve">mutable </w:t>
      </w:r>
      <w:r w:rsidRPr="00411AE0">
        <w:rPr>
          <w:rFonts w:ascii="Garamond" w:eastAsia="Cambria" w:hAnsi="Garamond" w:cs="Cambria"/>
          <w:sz w:val="24"/>
          <w:szCs w:val="24"/>
        </w:rPr>
        <w:t>mirage</w:t>
      </w:r>
      <w:r w:rsidR="00B46DA5">
        <w:rPr>
          <w:rFonts w:ascii="Garamond" w:eastAsia="Cambria" w:hAnsi="Garamond" w:cs="Cambria"/>
          <w:sz w:val="24"/>
          <w:szCs w:val="24"/>
        </w:rPr>
        <w:t xml:space="preserve"> emerging and disappearing</w:t>
      </w:r>
      <w:r w:rsidRPr="00411AE0">
        <w:rPr>
          <w:rFonts w:ascii="Garamond" w:eastAsia="Cambria" w:hAnsi="Garamond" w:cs="Cambria"/>
          <w:sz w:val="24"/>
          <w:szCs w:val="24"/>
        </w:rPr>
        <w:t xml:space="preserve"> </w:t>
      </w:r>
      <w:r w:rsidRPr="00411AE0">
        <w:rPr>
          <w:rFonts w:ascii="Garamond" w:eastAsia="Cambria" w:hAnsi="Garamond" w:cs="Cambria"/>
          <w:color w:val="000000"/>
          <w:sz w:val="24"/>
          <w:szCs w:val="24"/>
        </w:rPr>
        <w:t>selectively</w:t>
      </w:r>
      <w:r w:rsidR="007878F9" w:rsidRPr="00411AE0">
        <w:rPr>
          <w:rFonts w:ascii="Garamond" w:eastAsia="Cambria" w:hAnsi="Garamond" w:cs="Cambria"/>
          <w:sz w:val="24"/>
          <w:szCs w:val="24"/>
        </w:rPr>
        <w:t xml:space="preserve"> </w:t>
      </w:r>
      <w:r w:rsidR="00586A1C" w:rsidRPr="00411AE0">
        <w:rPr>
          <w:rFonts w:ascii="Garamond" w:eastAsia="Cambria" w:hAnsi="Garamond" w:cs="Cambria"/>
          <w:sz w:val="24"/>
          <w:szCs w:val="24"/>
        </w:rPr>
        <w:t>according to the dictates of</w:t>
      </w:r>
      <w:r w:rsidR="00636E93" w:rsidRPr="00411AE0">
        <w:rPr>
          <w:rFonts w:ascii="Garamond" w:eastAsia="Cambria" w:hAnsi="Garamond" w:cs="Cambria"/>
          <w:sz w:val="24"/>
          <w:szCs w:val="24"/>
        </w:rPr>
        <w:t xml:space="preserve"> </w:t>
      </w:r>
      <w:r w:rsidRPr="00411AE0">
        <w:rPr>
          <w:rFonts w:ascii="Garamond" w:eastAsia="Cambria" w:hAnsi="Garamond" w:cs="Cambria"/>
          <w:color w:val="000000"/>
          <w:sz w:val="24"/>
          <w:szCs w:val="24"/>
        </w:rPr>
        <w:t xml:space="preserve">corporate neoliberalism and its privileged </w:t>
      </w:r>
      <w:r w:rsidR="0068432C" w:rsidRPr="00411AE0">
        <w:rPr>
          <w:rFonts w:ascii="Garamond" w:eastAsia="Cambria" w:hAnsi="Garamond" w:cs="Cambria"/>
          <w:color w:val="000000"/>
          <w:sz w:val="24"/>
          <w:szCs w:val="24"/>
        </w:rPr>
        <w:t>transnational corporate subject</w:t>
      </w:r>
      <w:r w:rsidRPr="00411AE0">
        <w:rPr>
          <w:rFonts w:ascii="Garamond" w:eastAsia="Cambria" w:hAnsi="Garamond" w:cs="Cambria"/>
          <w:sz w:val="24"/>
          <w:szCs w:val="24"/>
        </w:rPr>
        <w:t>.</w:t>
      </w:r>
      <w:r w:rsidRPr="00411AE0">
        <w:rPr>
          <w:rFonts w:ascii="Garamond" w:eastAsia="Cambria" w:hAnsi="Garamond" w:cs="Cambria"/>
          <w:color w:val="000000"/>
          <w:sz w:val="24"/>
          <w:szCs w:val="24"/>
          <w:vertAlign w:val="superscript"/>
        </w:rPr>
        <w:footnoteReference w:id="224"/>
      </w:r>
      <w:r w:rsidR="00C94B34">
        <w:rPr>
          <w:rFonts w:ascii="Garamond" w:eastAsia="Cambria" w:hAnsi="Garamond" w:cs="Cambria"/>
          <w:sz w:val="24"/>
          <w:szCs w:val="24"/>
        </w:rPr>
        <w:t xml:space="preserve"> </w:t>
      </w:r>
      <w:r w:rsidR="00C94B34" w:rsidRPr="00411AE0">
        <w:rPr>
          <w:rFonts w:ascii="Garamond" w:eastAsia="Cambria" w:hAnsi="Garamond" w:cs="Cambria"/>
          <w:sz w:val="24"/>
          <w:szCs w:val="24"/>
        </w:rPr>
        <w:t>Accordingly, the ‘end of geography’</w:t>
      </w:r>
      <w:r w:rsidR="00C94B34" w:rsidRPr="00411AE0">
        <w:rPr>
          <w:rFonts w:ascii="Garamond" w:eastAsia="Cambria" w:hAnsi="Garamond" w:cs="Cambria"/>
          <w:sz w:val="24"/>
          <w:szCs w:val="24"/>
          <w:vertAlign w:val="superscript"/>
        </w:rPr>
        <w:footnoteReference w:id="225"/>
      </w:r>
      <w:r w:rsidR="00C94B34" w:rsidRPr="00411AE0">
        <w:rPr>
          <w:rFonts w:ascii="Garamond" w:eastAsia="Cambria" w:hAnsi="Garamond" w:cs="Cambria"/>
          <w:sz w:val="24"/>
          <w:szCs w:val="24"/>
        </w:rPr>
        <w:t xml:space="preserve"> implied by the denationalising of territory is a highly selective process. Territoriality remains very much alive as a barrier protecting the insider, howsoever constructed—most especially the ultimate juridical insider: the TNC. </w:t>
      </w:r>
      <w:r w:rsidR="00C94B34">
        <w:rPr>
          <w:rFonts w:ascii="Garamond" w:eastAsia="Cambria" w:hAnsi="Garamond" w:cs="Cambria"/>
          <w:color w:val="0A0A0A"/>
          <w:sz w:val="24"/>
          <w:szCs w:val="24"/>
        </w:rPr>
        <w:br/>
        <w:t xml:space="preserve"> </w:t>
      </w:r>
      <w:r w:rsidR="00C94B34">
        <w:rPr>
          <w:rFonts w:ascii="Garamond" w:eastAsia="Cambria" w:hAnsi="Garamond" w:cs="Cambria"/>
          <w:color w:val="0A0A0A"/>
          <w:sz w:val="24"/>
          <w:szCs w:val="24"/>
        </w:rPr>
        <w:tab/>
      </w:r>
      <w:bookmarkStart w:id="4" w:name="_cdot9qp67evi" w:colFirst="0" w:colLast="0"/>
      <w:bookmarkStart w:id="5" w:name="_gjdgxs" w:colFirst="0" w:colLast="0"/>
      <w:bookmarkEnd w:id="4"/>
      <w:bookmarkEnd w:id="5"/>
      <w:r w:rsidRPr="00411AE0">
        <w:rPr>
          <w:rFonts w:ascii="Garamond" w:eastAsia="Cambria" w:hAnsi="Garamond" w:cs="Cambria"/>
          <w:sz w:val="24"/>
          <w:szCs w:val="24"/>
        </w:rPr>
        <w:t xml:space="preserve">The new cartography of power mapped out </w:t>
      </w:r>
      <w:r w:rsidR="008B75E6">
        <w:rPr>
          <w:rFonts w:ascii="Garamond" w:eastAsia="Cambria" w:hAnsi="Garamond" w:cs="Cambria"/>
          <w:sz w:val="24"/>
          <w:szCs w:val="24"/>
        </w:rPr>
        <w:t>by global capita</w:t>
      </w:r>
      <w:r w:rsidR="007F2587">
        <w:rPr>
          <w:rFonts w:ascii="Garamond" w:eastAsia="Cambria" w:hAnsi="Garamond" w:cs="Cambria"/>
          <w:sz w:val="24"/>
          <w:szCs w:val="24"/>
        </w:rPr>
        <w:t>l</w:t>
      </w:r>
      <w:r w:rsidR="008B75E6">
        <w:rPr>
          <w:rFonts w:ascii="Garamond" w:eastAsia="Cambria" w:hAnsi="Garamond" w:cs="Cambria"/>
          <w:sz w:val="24"/>
          <w:szCs w:val="24"/>
        </w:rPr>
        <w:t xml:space="preserve"> and enabled by the neoliberal state allows TNCs </w:t>
      </w:r>
      <w:r w:rsidRPr="00411AE0">
        <w:rPr>
          <w:rFonts w:ascii="Garamond" w:eastAsia="Cambria" w:hAnsi="Garamond" w:cs="Cambria"/>
          <w:sz w:val="24"/>
          <w:szCs w:val="24"/>
        </w:rPr>
        <w:t xml:space="preserve">to </w:t>
      </w:r>
      <w:r w:rsidR="00150B6B" w:rsidRPr="00411AE0">
        <w:rPr>
          <w:rFonts w:ascii="Garamond" w:eastAsia="Cambria" w:hAnsi="Garamond" w:cs="Cambria"/>
          <w:sz w:val="24"/>
          <w:szCs w:val="24"/>
        </w:rPr>
        <w:t>exploit</w:t>
      </w:r>
      <w:r w:rsidR="00DD7439">
        <w:rPr>
          <w:rFonts w:ascii="Garamond" w:eastAsia="Cambria" w:hAnsi="Garamond" w:cs="Cambria"/>
          <w:sz w:val="24"/>
          <w:szCs w:val="24"/>
        </w:rPr>
        <w:t xml:space="preserve"> jurisdictional technique, </w:t>
      </w:r>
      <w:r w:rsidR="003C75F9">
        <w:rPr>
          <w:rFonts w:ascii="Garamond" w:eastAsia="Cambria" w:hAnsi="Garamond" w:cs="Cambria"/>
          <w:sz w:val="24"/>
          <w:szCs w:val="24"/>
        </w:rPr>
        <w:t xml:space="preserve">avoiding territorial laws </w:t>
      </w:r>
      <w:r w:rsidR="00A21711">
        <w:rPr>
          <w:rFonts w:ascii="Garamond" w:eastAsia="Cambria" w:hAnsi="Garamond" w:cs="Cambria"/>
          <w:sz w:val="24"/>
          <w:szCs w:val="24"/>
        </w:rPr>
        <w:t xml:space="preserve">precisely </w:t>
      </w:r>
      <w:r w:rsidR="003C75F9">
        <w:rPr>
          <w:rFonts w:ascii="Garamond" w:eastAsia="Cambria" w:hAnsi="Garamond" w:cs="Cambria"/>
          <w:sz w:val="24"/>
          <w:szCs w:val="24"/>
        </w:rPr>
        <w:t>by resorting to personal,</w:t>
      </w:r>
      <w:r w:rsidRPr="00411AE0">
        <w:rPr>
          <w:rFonts w:ascii="Garamond" w:eastAsia="Cambria" w:hAnsi="Garamond" w:cs="Cambria"/>
          <w:sz w:val="24"/>
          <w:szCs w:val="24"/>
        </w:rPr>
        <w:t xml:space="preserve"> ‘egocentric legality’ </w:t>
      </w:r>
      <w:r w:rsidR="008A312C" w:rsidRPr="00411AE0">
        <w:rPr>
          <w:rFonts w:ascii="Garamond" w:eastAsia="Cambria" w:hAnsi="Garamond" w:cs="Cambria"/>
          <w:sz w:val="24"/>
          <w:szCs w:val="24"/>
        </w:rPr>
        <w:t>(</w:t>
      </w:r>
      <w:r w:rsidRPr="00411AE0">
        <w:rPr>
          <w:rFonts w:ascii="Garamond" w:eastAsia="Cambria" w:hAnsi="Garamond" w:cs="Cambria"/>
          <w:sz w:val="24"/>
          <w:szCs w:val="24"/>
        </w:rPr>
        <w:t xml:space="preserve">in </w:t>
      </w:r>
      <w:r w:rsidR="00B608DA">
        <w:rPr>
          <w:rFonts w:ascii="Garamond" w:eastAsia="Cambria" w:hAnsi="Garamond" w:cs="Cambria"/>
          <w:sz w:val="24"/>
          <w:szCs w:val="24"/>
        </w:rPr>
        <w:t xml:space="preserve">De Sousa </w:t>
      </w:r>
      <w:r w:rsidR="008E7A8F" w:rsidRPr="00411AE0">
        <w:rPr>
          <w:rFonts w:ascii="Garamond" w:eastAsia="Cambria" w:hAnsi="Garamond" w:cs="Cambria"/>
          <w:sz w:val="24"/>
          <w:szCs w:val="24"/>
        </w:rPr>
        <w:t xml:space="preserve">Santos’s </w:t>
      </w:r>
      <w:r w:rsidRPr="00411AE0">
        <w:rPr>
          <w:rFonts w:ascii="Garamond" w:eastAsia="Cambria" w:hAnsi="Garamond" w:cs="Cambria"/>
          <w:sz w:val="24"/>
          <w:szCs w:val="24"/>
        </w:rPr>
        <w:t>terms</w:t>
      </w:r>
      <w:r w:rsidR="008A312C" w:rsidRPr="00411AE0">
        <w:rPr>
          <w:rFonts w:ascii="Garamond" w:eastAsia="Cambria" w:hAnsi="Garamond" w:cs="Cambria"/>
          <w:sz w:val="24"/>
          <w:szCs w:val="24"/>
        </w:rPr>
        <w:t>)</w:t>
      </w:r>
      <w:r w:rsidR="003C75F9">
        <w:rPr>
          <w:rFonts w:ascii="Garamond" w:eastAsia="Cambria" w:hAnsi="Garamond" w:cs="Cambria"/>
          <w:sz w:val="24"/>
          <w:szCs w:val="24"/>
        </w:rPr>
        <w:t>.</w:t>
      </w:r>
      <w:r w:rsidRPr="00411AE0">
        <w:rPr>
          <w:rFonts w:ascii="Garamond" w:eastAsia="Cambria" w:hAnsi="Garamond" w:cs="Cambria"/>
          <w:sz w:val="24"/>
          <w:szCs w:val="24"/>
          <w:vertAlign w:val="superscript"/>
        </w:rPr>
        <w:footnoteReference w:id="226"/>
      </w:r>
      <w:r w:rsidR="00315781">
        <w:rPr>
          <w:rFonts w:ascii="Garamond" w:eastAsia="Cambria" w:hAnsi="Garamond" w:cs="Cambria"/>
          <w:sz w:val="24"/>
          <w:szCs w:val="24"/>
        </w:rPr>
        <w:t xml:space="preserve"> A </w:t>
      </w:r>
      <w:r w:rsidR="008B4A78">
        <w:rPr>
          <w:rFonts w:ascii="Garamond" w:eastAsia="Cambria" w:hAnsi="Garamond" w:cs="Cambria"/>
          <w:sz w:val="24"/>
          <w:szCs w:val="24"/>
        </w:rPr>
        <w:t xml:space="preserve">complicated </w:t>
      </w:r>
      <w:r w:rsidR="00315781">
        <w:rPr>
          <w:rFonts w:ascii="Garamond" w:eastAsia="Cambria" w:hAnsi="Garamond" w:cs="Cambria"/>
          <w:sz w:val="24"/>
          <w:szCs w:val="24"/>
        </w:rPr>
        <w:t xml:space="preserve">web </w:t>
      </w:r>
      <w:r w:rsidR="00315781" w:rsidRPr="008B4A78">
        <w:rPr>
          <w:rFonts w:ascii="Garamond" w:eastAsia="Cambria" w:hAnsi="Garamond" w:cs="Cambria"/>
          <w:sz w:val="24"/>
          <w:szCs w:val="24"/>
        </w:rPr>
        <w:t>of</w:t>
      </w:r>
      <w:r w:rsidRPr="00AA62D2">
        <w:rPr>
          <w:rFonts w:ascii="Garamond" w:eastAsia="Cambria" w:hAnsi="Garamond" w:cs="Cambria"/>
          <w:sz w:val="24"/>
          <w:szCs w:val="24"/>
        </w:rPr>
        <w:t xml:space="preserve"> ‘legal enclosures’ in the </w:t>
      </w:r>
      <w:r w:rsidR="008A312C" w:rsidRPr="00AA62D2">
        <w:rPr>
          <w:rFonts w:ascii="Garamond" w:eastAsia="Cambria" w:hAnsi="Garamond" w:cs="Cambria"/>
          <w:sz w:val="24"/>
          <w:szCs w:val="24"/>
        </w:rPr>
        <w:t xml:space="preserve">form </w:t>
      </w:r>
      <w:r w:rsidRPr="00AA62D2">
        <w:rPr>
          <w:rFonts w:ascii="Garamond" w:eastAsia="Cambria" w:hAnsi="Garamond" w:cs="Cambria"/>
          <w:sz w:val="24"/>
          <w:szCs w:val="24"/>
        </w:rPr>
        <w:t xml:space="preserve">of various </w:t>
      </w:r>
      <w:r w:rsidR="003E6C22" w:rsidRPr="00AA62D2">
        <w:rPr>
          <w:rFonts w:ascii="Garamond" w:eastAsia="Cambria" w:hAnsi="Garamond" w:cs="Cambria"/>
          <w:sz w:val="24"/>
          <w:szCs w:val="24"/>
        </w:rPr>
        <w:t>corporat</w:t>
      </w:r>
      <w:r w:rsidR="00DC2CD5" w:rsidRPr="00AA62D2">
        <w:rPr>
          <w:rFonts w:ascii="Garamond" w:eastAsia="Cambria" w:hAnsi="Garamond" w:cs="Cambria"/>
          <w:sz w:val="24"/>
          <w:szCs w:val="24"/>
        </w:rPr>
        <w:t>ion</w:t>
      </w:r>
      <w:r w:rsidR="003E6C22" w:rsidRPr="00AA62D2">
        <w:rPr>
          <w:rFonts w:ascii="Garamond" w:eastAsia="Cambria" w:hAnsi="Garamond" w:cs="Cambria"/>
          <w:sz w:val="24"/>
          <w:szCs w:val="24"/>
        </w:rPr>
        <w:t xml:space="preserve">-friendly </w:t>
      </w:r>
      <w:r w:rsidRPr="00AA62D2">
        <w:rPr>
          <w:rFonts w:ascii="Garamond" w:eastAsia="Cambria" w:hAnsi="Garamond" w:cs="Cambria"/>
          <w:sz w:val="24"/>
          <w:szCs w:val="24"/>
        </w:rPr>
        <w:t>codes of conduct</w:t>
      </w:r>
      <w:r w:rsidRPr="00AA62D2">
        <w:rPr>
          <w:rFonts w:ascii="Garamond" w:eastAsia="Cambria" w:hAnsi="Garamond" w:cs="Cambria"/>
          <w:sz w:val="24"/>
          <w:szCs w:val="24"/>
          <w:vertAlign w:val="superscript"/>
        </w:rPr>
        <w:footnoteReference w:id="227"/>
      </w:r>
      <w:r w:rsidR="00A21711">
        <w:rPr>
          <w:rFonts w:ascii="Garamond" w:eastAsia="Cambria" w:hAnsi="Garamond" w:cs="Cambria"/>
          <w:sz w:val="24"/>
          <w:szCs w:val="24"/>
        </w:rPr>
        <w:t xml:space="preserve"> </w:t>
      </w:r>
      <w:r w:rsidRPr="00AA62D2">
        <w:rPr>
          <w:rFonts w:ascii="Garamond" w:eastAsia="Cambria" w:hAnsi="Garamond" w:cs="Cambria"/>
          <w:sz w:val="24"/>
          <w:szCs w:val="24"/>
        </w:rPr>
        <w:t xml:space="preserve">and </w:t>
      </w:r>
      <w:r w:rsidR="008A312C" w:rsidRPr="00AA62D2">
        <w:rPr>
          <w:rFonts w:ascii="Garamond" w:eastAsia="Cambria" w:hAnsi="Garamond" w:cs="Cambria"/>
          <w:sz w:val="24"/>
          <w:szCs w:val="24"/>
        </w:rPr>
        <w:lastRenderedPageBreak/>
        <w:t>privatised</w:t>
      </w:r>
      <w:r w:rsidRPr="00AA62D2">
        <w:rPr>
          <w:rFonts w:ascii="Garamond" w:eastAsia="Cambria" w:hAnsi="Garamond" w:cs="Cambria"/>
          <w:sz w:val="24"/>
          <w:szCs w:val="24"/>
        </w:rPr>
        <w:t xml:space="preserve"> </w:t>
      </w:r>
      <w:r w:rsidRPr="00691EEA">
        <w:rPr>
          <w:rFonts w:ascii="Garamond" w:eastAsia="Cambria" w:hAnsi="Garamond" w:cs="Cambria"/>
          <w:sz w:val="24"/>
          <w:szCs w:val="24"/>
        </w:rPr>
        <w:t>jurisdictional rules</w:t>
      </w:r>
      <w:r w:rsidRPr="009E22FE">
        <w:rPr>
          <w:rFonts w:ascii="Garamond" w:eastAsia="Cambria" w:hAnsi="Garamond" w:cs="Cambria"/>
          <w:sz w:val="24"/>
          <w:szCs w:val="24"/>
          <w:vertAlign w:val="superscript"/>
        </w:rPr>
        <w:footnoteReference w:id="228"/>
      </w:r>
      <w:r w:rsidR="00525C4B" w:rsidRPr="009E22FE">
        <w:rPr>
          <w:rFonts w:ascii="Garamond" w:eastAsia="Cambria" w:hAnsi="Garamond" w:cs="Cambria"/>
          <w:color w:val="000000"/>
          <w:sz w:val="24"/>
          <w:szCs w:val="24"/>
        </w:rPr>
        <w:t xml:space="preserve">allows TNCs to </w:t>
      </w:r>
      <w:r w:rsidRPr="009E22FE">
        <w:rPr>
          <w:rFonts w:ascii="Garamond" w:eastAsia="Cambria" w:hAnsi="Garamond" w:cs="Cambria"/>
          <w:sz w:val="24"/>
          <w:szCs w:val="24"/>
        </w:rPr>
        <w:t xml:space="preserve">oust the application of </w:t>
      </w:r>
      <w:r w:rsidR="008A312C" w:rsidRPr="009E22FE">
        <w:rPr>
          <w:rFonts w:ascii="Garamond" w:eastAsia="Cambria" w:hAnsi="Garamond" w:cs="Cambria"/>
          <w:sz w:val="24"/>
          <w:szCs w:val="24"/>
        </w:rPr>
        <w:t>national state-based law</w:t>
      </w:r>
      <w:r w:rsidR="007F2587" w:rsidRPr="009E22FE">
        <w:rPr>
          <w:rFonts w:ascii="Garamond" w:eastAsia="Cambria" w:hAnsi="Garamond" w:cs="Cambria"/>
          <w:sz w:val="24"/>
          <w:szCs w:val="24"/>
        </w:rPr>
        <w:t xml:space="preserve"> </w:t>
      </w:r>
      <w:r w:rsidRPr="009E22FE">
        <w:rPr>
          <w:rFonts w:ascii="Garamond" w:eastAsia="Cambria" w:hAnsi="Garamond" w:cs="Cambria"/>
          <w:sz w:val="24"/>
          <w:szCs w:val="24"/>
        </w:rPr>
        <w:t>and the territorial jurisdiction of state courts</w:t>
      </w:r>
      <w:r w:rsidR="008B4A78">
        <w:rPr>
          <w:rFonts w:ascii="Garamond" w:eastAsia="Cambria" w:hAnsi="Garamond" w:cs="Cambria"/>
          <w:sz w:val="24"/>
          <w:szCs w:val="24"/>
        </w:rPr>
        <w:t>.</w:t>
      </w:r>
      <w:r w:rsidRPr="009E22FE">
        <w:rPr>
          <w:rFonts w:ascii="Garamond" w:eastAsia="Cambria" w:hAnsi="Garamond" w:cs="Cambria"/>
          <w:sz w:val="24"/>
          <w:szCs w:val="24"/>
          <w:vertAlign w:val="superscript"/>
        </w:rPr>
        <w:footnoteReference w:id="229"/>
      </w:r>
      <w:r w:rsidRPr="009E22FE">
        <w:rPr>
          <w:rFonts w:ascii="Garamond" w:eastAsia="Cambria" w:hAnsi="Garamond" w:cs="Cambria"/>
          <w:sz w:val="24"/>
          <w:szCs w:val="24"/>
        </w:rPr>
        <w:t xml:space="preserve"> </w:t>
      </w:r>
      <w:r w:rsidR="008B75E6" w:rsidRPr="008B4A78">
        <w:rPr>
          <w:rFonts w:ascii="Garamond" w:eastAsia="Cambria" w:hAnsi="Garamond" w:cs="Cambria"/>
          <w:sz w:val="24"/>
          <w:szCs w:val="24"/>
        </w:rPr>
        <w:t>Sovereignty is</w:t>
      </w:r>
      <w:r w:rsidR="008B4A78">
        <w:rPr>
          <w:rFonts w:ascii="Garamond" w:eastAsia="Cambria" w:hAnsi="Garamond" w:cs="Cambria"/>
          <w:sz w:val="24"/>
          <w:szCs w:val="24"/>
        </w:rPr>
        <w:t xml:space="preserve"> thus</w:t>
      </w:r>
      <w:r w:rsidR="008B75E6" w:rsidRPr="008B4A78">
        <w:rPr>
          <w:rFonts w:ascii="Garamond" w:eastAsia="Cambria" w:hAnsi="Garamond" w:cs="Cambria"/>
          <w:sz w:val="24"/>
          <w:szCs w:val="24"/>
        </w:rPr>
        <w:t xml:space="preserve"> </w:t>
      </w:r>
      <w:r w:rsidRPr="008B4A78">
        <w:rPr>
          <w:rFonts w:ascii="Garamond" w:eastAsia="Cambria" w:hAnsi="Garamond" w:cs="Cambria"/>
          <w:sz w:val="24"/>
          <w:szCs w:val="24"/>
        </w:rPr>
        <w:t>‘decentr</w:t>
      </w:r>
      <w:r w:rsidR="008B75E6" w:rsidRPr="008B4A78">
        <w:rPr>
          <w:rFonts w:ascii="Garamond" w:eastAsia="Cambria" w:hAnsi="Garamond" w:cs="Cambria"/>
          <w:sz w:val="24"/>
          <w:szCs w:val="24"/>
        </w:rPr>
        <w:t>ed</w:t>
      </w:r>
      <w:r w:rsidR="00D37C8F">
        <w:rPr>
          <w:rFonts w:ascii="Garamond" w:eastAsia="Cambria" w:hAnsi="Garamond" w:cs="Cambria"/>
          <w:sz w:val="24"/>
          <w:szCs w:val="24"/>
        </w:rPr>
        <w:t>’</w:t>
      </w:r>
      <w:r w:rsidRPr="008B4A78">
        <w:rPr>
          <w:rFonts w:ascii="Garamond" w:eastAsia="Cambria" w:hAnsi="Garamond" w:cs="Cambria"/>
          <w:sz w:val="24"/>
          <w:szCs w:val="24"/>
        </w:rPr>
        <w:t xml:space="preserve"> and </w:t>
      </w:r>
      <w:r w:rsidR="008B75E6" w:rsidRPr="008B4A78">
        <w:rPr>
          <w:rFonts w:ascii="Garamond" w:eastAsia="Cambria" w:hAnsi="Garamond" w:cs="Cambria"/>
          <w:sz w:val="24"/>
          <w:szCs w:val="24"/>
        </w:rPr>
        <w:t>terr</w:t>
      </w:r>
      <w:r w:rsidR="008B75E6">
        <w:rPr>
          <w:rFonts w:ascii="Garamond" w:eastAsia="Cambria" w:hAnsi="Garamond" w:cs="Cambria"/>
          <w:sz w:val="24"/>
          <w:szCs w:val="24"/>
        </w:rPr>
        <w:t>itory</w:t>
      </w:r>
      <w:r w:rsidR="008B4A78">
        <w:rPr>
          <w:rFonts w:ascii="Garamond" w:eastAsia="Cambria" w:hAnsi="Garamond" w:cs="Cambria"/>
          <w:sz w:val="24"/>
          <w:szCs w:val="24"/>
        </w:rPr>
        <w:t xml:space="preserve"> </w:t>
      </w:r>
      <w:r w:rsidRPr="00411AE0">
        <w:rPr>
          <w:rFonts w:ascii="Garamond" w:eastAsia="Cambria" w:hAnsi="Garamond" w:cs="Cambria"/>
          <w:sz w:val="24"/>
          <w:szCs w:val="24"/>
        </w:rPr>
        <w:t>‘denationalis</w:t>
      </w:r>
      <w:r w:rsidR="008B75E6">
        <w:rPr>
          <w:rFonts w:ascii="Garamond" w:eastAsia="Cambria" w:hAnsi="Garamond" w:cs="Cambria"/>
          <w:sz w:val="24"/>
          <w:szCs w:val="24"/>
        </w:rPr>
        <w:t>ed’</w:t>
      </w:r>
      <w:r w:rsidR="00F86B02" w:rsidRPr="00411AE0">
        <w:rPr>
          <w:rFonts w:ascii="Garamond" w:eastAsia="Cambria" w:hAnsi="Garamond" w:cs="Cambria"/>
          <w:sz w:val="24"/>
          <w:szCs w:val="24"/>
          <w:vertAlign w:val="superscript"/>
        </w:rPr>
        <w:footnoteReference w:id="230"/>
      </w:r>
      <w:r w:rsidRPr="00411AE0">
        <w:rPr>
          <w:rFonts w:ascii="Garamond" w:eastAsia="Cambria" w:hAnsi="Garamond" w:cs="Cambria"/>
          <w:sz w:val="24"/>
          <w:szCs w:val="24"/>
        </w:rPr>
        <w:t xml:space="preserve"> </w:t>
      </w:r>
      <w:r w:rsidR="00D37C8F">
        <w:rPr>
          <w:rFonts w:ascii="Garamond" w:eastAsia="Cambria" w:hAnsi="Garamond" w:cs="Cambria"/>
          <w:sz w:val="24"/>
          <w:szCs w:val="24"/>
        </w:rPr>
        <w:t xml:space="preserve">—developments </w:t>
      </w:r>
      <w:r w:rsidR="008B75E6">
        <w:rPr>
          <w:rFonts w:ascii="Garamond" w:eastAsia="Cambria" w:hAnsi="Garamond" w:cs="Cambria"/>
          <w:sz w:val="24"/>
          <w:szCs w:val="24"/>
        </w:rPr>
        <w:t>revealing</w:t>
      </w:r>
      <w:r w:rsidR="008B75E6" w:rsidRPr="00411AE0">
        <w:rPr>
          <w:rFonts w:ascii="Garamond" w:eastAsia="Cambria" w:hAnsi="Garamond" w:cs="Cambria"/>
          <w:sz w:val="24"/>
          <w:szCs w:val="24"/>
        </w:rPr>
        <w:t xml:space="preserve">, on closer examination, law’s </w:t>
      </w:r>
      <w:r w:rsidR="000A05D4">
        <w:rPr>
          <w:rFonts w:ascii="Garamond" w:eastAsia="Cambria" w:hAnsi="Garamond" w:cs="Cambria"/>
          <w:sz w:val="24"/>
          <w:szCs w:val="24"/>
        </w:rPr>
        <w:t xml:space="preserve">continuing </w:t>
      </w:r>
      <w:r w:rsidR="008B75E6" w:rsidRPr="00411AE0">
        <w:rPr>
          <w:rFonts w:ascii="Garamond" w:eastAsia="Cambria" w:hAnsi="Garamond" w:cs="Cambria"/>
          <w:sz w:val="24"/>
          <w:szCs w:val="24"/>
        </w:rPr>
        <w:t>complicity in the prioritisation of the economic interests of powerful elite</w:t>
      </w:r>
      <w:r w:rsidR="008B75E6">
        <w:rPr>
          <w:rFonts w:ascii="Garamond" w:eastAsia="Cambria" w:hAnsi="Garamond" w:cs="Cambria"/>
          <w:sz w:val="24"/>
          <w:szCs w:val="24"/>
        </w:rPr>
        <w:t xml:space="preserve">s. </w:t>
      </w:r>
      <w:r w:rsidR="00CF5E11" w:rsidRPr="00411AE0">
        <w:rPr>
          <w:rFonts w:ascii="Garamond" w:eastAsia="Cambria" w:hAnsi="Garamond" w:cs="Cambria"/>
          <w:sz w:val="24"/>
          <w:szCs w:val="24"/>
        </w:rPr>
        <w:t>Earlier patterns are rec</w:t>
      </w:r>
      <w:r w:rsidR="005223F2" w:rsidRPr="00411AE0">
        <w:rPr>
          <w:rFonts w:ascii="Garamond" w:eastAsia="Cambria" w:hAnsi="Garamond" w:cs="Cambria"/>
          <w:sz w:val="24"/>
          <w:szCs w:val="24"/>
        </w:rPr>
        <w:t>ognisable in these developments, and</w:t>
      </w:r>
      <w:r w:rsidR="00CF5E11" w:rsidRPr="00411AE0">
        <w:rPr>
          <w:rFonts w:ascii="Garamond" w:eastAsia="Cambria" w:hAnsi="Garamond" w:cs="Cambria"/>
          <w:sz w:val="24"/>
          <w:szCs w:val="24"/>
        </w:rPr>
        <w:t xml:space="preserve"> the creation of a privileged</w:t>
      </w:r>
      <w:r w:rsidR="00E14EE3" w:rsidRPr="00411AE0">
        <w:rPr>
          <w:rFonts w:ascii="Garamond" w:eastAsia="Cambria" w:hAnsi="Garamond" w:cs="Cambria"/>
          <w:sz w:val="24"/>
          <w:szCs w:val="24"/>
        </w:rPr>
        <w:t xml:space="preserve"> and</w:t>
      </w:r>
      <w:r w:rsidR="00CF5E11" w:rsidRPr="00411AE0">
        <w:rPr>
          <w:rFonts w:ascii="Garamond" w:eastAsia="Cambria" w:hAnsi="Garamond" w:cs="Cambria"/>
          <w:sz w:val="24"/>
          <w:szCs w:val="24"/>
        </w:rPr>
        <w:t xml:space="preserve"> </w:t>
      </w:r>
      <w:r w:rsidR="005223F2" w:rsidRPr="00411AE0">
        <w:rPr>
          <w:rFonts w:ascii="Garamond" w:eastAsia="Cambria" w:hAnsi="Garamond" w:cs="Cambria"/>
          <w:sz w:val="24"/>
          <w:szCs w:val="24"/>
        </w:rPr>
        <w:t xml:space="preserve">now </w:t>
      </w:r>
      <w:r w:rsidR="00CF5E11" w:rsidRPr="00411AE0">
        <w:rPr>
          <w:rFonts w:ascii="Garamond" w:eastAsia="Cambria" w:hAnsi="Garamond" w:cs="Cambria"/>
          <w:sz w:val="24"/>
          <w:szCs w:val="24"/>
        </w:rPr>
        <w:t xml:space="preserve">paradoxically acentric ‘centre’ presses to the </w:t>
      </w:r>
      <w:r w:rsidR="003E53E3" w:rsidRPr="00411AE0">
        <w:rPr>
          <w:rFonts w:ascii="Garamond" w:eastAsia="Cambria" w:hAnsi="Garamond" w:cs="Cambria"/>
          <w:sz w:val="24"/>
          <w:szCs w:val="24"/>
        </w:rPr>
        <w:t>periphery</w:t>
      </w:r>
      <w:r w:rsidR="00CF5E11" w:rsidRPr="00411AE0">
        <w:rPr>
          <w:rFonts w:ascii="Garamond" w:eastAsia="Cambria" w:hAnsi="Garamond" w:cs="Cambria"/>
          <w:sz w:val="24"/>
          <w:szCs w:val="24"/>
        </w:rPr>
        <w:t xml:space="preserve"> </w:t>
      </w:r>
      <w:r w:rsidR="003E53E3" w:rsidRPr="00411AE0">
        <w:rPr>
          <w:rFonts w:ascii="Garamond" w:eastAsia="Cambria" w:hAnsi="Garamond" w:cs="Cambria"/>
          <w:sz w:val="24"/>
          <w:szCs w:val="24"/>
        </w:rPr>
        <w:t xml:space="preserve">(in multiple contemporary senses) </w:t>
      </w:r>
      <w:r w:rsidR="00E14EE3" w:rsidRPr="00411AE0">
        <w:rPr>
          <w:rFonts w:ascii="Garamond" w:eastAsia="Cambria" w:hAnsi="Garamond" w:cs="Cambria"/>
          <w:sz w:val="24"/>
          <w:szCs w:val="24"/>
        </w:rPr>
        <w:t>‘</w:t>
      </w:r>
      <w:r w:rsidR="00CF5E11" w:rsidRPr="00411AE0">
        <w:rPr>
          <w:rFonts w:ascii="Garamond" w:eastAsia="Cambria" w:hAnsi="Garamond" w:cs="Cambria"/>
          <w:sz w:val="24"/>
          <w:szCs w:val="24"/>
        </w:rPr>
        <w:t>the others</w:t>
      </w:r>
      <w:r w:rsidR="00E14EE3" w:rsidRPr="00411AE0">
        <w:rPr>
          <w:rFonts w:ascii="Garamond" w:eastAsia="Cambria" w:hAnsi="Garamond" w:cs="Cambria"/>
          <w:sz w:val="24"/>
          <w:szCs w:val="24"/>
        </w:rPr>
        <w:t>’</w:t>
      </w:r>
      <w:r w:rsidR="00CF5E11" w:rsidRPr="00411AE0">
        <w:rPr>
          <w:rFonts w:ascii="Garamond" w:eastAsia="Cambria" w:hAnsi="Garamond" w:cs="Cambria"/>
          <w:sz w:val="24"/>
          <w:szCs w:val="24"/>
        </w:rPr>
        <w:t xml:space="preserve"> to the dominant corporate actor. </w:t>
      </w:r>
      <w:r w:rsidRPr="00411AE0">
        <w:rPr>
          <w:rFonts w:ascii="Garamond" w:eastAsia="Cambria" w:hAnsi="Garamond" w:cs="Cambria"/>
          <w:sz w:val="24"/>
          <w:szCs w:val="24"/>
        </w:rPr>
        <w:t>Th</w:t>
      </w:r>
      <w:r w:rsidR="005A1552">
        <w:rPr>
          <w:rFonts w:ascii="Garamond" w:eastAsia="Cambria" w:hAnsi="Garamond" w:cs="Cambria"/>
          <w:sz w:val="24"/>
          <w:szCs w:val="24"/>
        </w:rPr>
        <w:t>e constructed</w:t>
      </w:r>
      <w:r w:rsidRPr="00411AE0">
        <w:rPr>
          <w:rFonts w:ascii="Garamond" w:eastAsia="Cambria" w:hAnsi="Garamond" w:cs="Cambria"/>
          <w:sz w:val="24"/>
          <w:szCs w:val="24"/>
        </w:rPr>
        <w:t xml:space="preserve"> </w:t>
      </w:r>
      <w:r w:rsidR="005223F2" w:rsidRPr="00411AE0">
        <w:rPr>
          <w:rFonts w:ascii="Garamond" w:eastAsia="Cambria" w:hAnsi="Garamond" w:cs="Cambria"/>
          <w:sz w:val="24"/>
          <w:szCs w:val="24"/>
        </w:rPr>
        <w:t>‘</w:t>
      </w:r>
      <w:r w:rsidR="00CF5E11" w:rsidRPr="00411AE0">
        <w:rPr>
          <w:rFonts w:ascii="Garamond" w:eastAsia="Cambria" w:hAnsi="Garamond" w:cs="Cambria"/>
          <w:sz w:val="24"/>
          <w:szCs w:val="24"/>
        </w:rPr>
        <w:t>centre</w:t>
      </w:r>
      <w:r w:rsidR="005223F2" w:rsidRPr="00411AE0">
        <w:rPr>
          <w:rFonts w:ascii="Garamond" w:eastAsia="Cambria" w:hAnsi="Garamond" w:cs="Cambria"/>
          <w:sz w:val="24"/>
          <w:szCs w:val="24"/>
        </w:rPr>
        <w:t>’</w:t>
      </w:r>
      <w:r w:rsidR="00CF5E11" w:rsidRPr="00411AE0">
        <w:rPr>
          <w:rFonts w:ascii="Garamond" w:eastAsia="Cambria" w:hAnsi="Garamond" w:cs="Cambria"/>
          <w:sz w:val="24"/>
          <w:szCs w:val="24"/>
        </w:rPr>
        <w:t xml:space="preserve"> is occupied by the TNC</w:t>
      </w:r>
      <w:r w:rsidR="009D01FB" w:rsidRPr="00411AE0">
        <w:rPr>
          <w:rFonts w:ascii="Garamond" w:eastAsia="Cambria" w:hAnsi="Garamond" w:cs="Cambria"/>
          <w:sz w:val="24"/>
          <w:szCs w:val="24"/>
        </w:rPr>
        <w:t xml:space="preserve"> as key beneficiary of the system, while the </w:t>
      </w:r>
      <w:r w:rsidR="005223F2" w:rsidRPr="00411AE0">
        <w:rPr>
          <w:rFonts w:ascii="Garamond" w:eastAsia="Cambria" w:hAnsi="Garamond" w:cs="Cambria"/>
          <w:sz w:val="24"/>
          <w:szCs w:val="24"/>
        </w:rPr>
        <w:t>‘</w:t>
      </w:r>
      <w:r w:rsidR="009D01FB" w:rsidRPr="00411AE0">
        <w:rPr>
          <w:rFonts w:ascii="Garamond" w:eastAsia="Cambria" w:hAnsi="Garamond" w:cs="Cambria"/>
          <w:sz w:val="24"/>
          <w:szCs w:val="24"/>
        </w:rPr>
        <w:t>periphery</w:t>
      </w:r>
      <w:r w:rsidR="005223F2" w:rsidRPr="00411AE0">
        <w:rPr>
          <w:rFonts w:ascii="Garamond" w:eastAsia="Cambria" w:hAnsi="Garamond" w:cs="Cambria"/>
          <w:sz w:val="24"/>
          <w:szCs w:val="24"/>
        </w:rPr>
        <w:t>’</w:t>
      </w:r>
      <w:r w:rsidR="009D01FB" w:rsidRPr="00411AE0">
        <w:rPr>
          <w:rFonts w:ascii="Garamond" w:eastAsia="Cambria" w:hAnsi="Garamond" w:cs="Cambria"/>
          <w:sz w:val="24"/>
          <w:szCs w:val="24"/>
        </w:rPr>
        <w:t xml:space="preserve"> is </w:t>
      </w:r>
      <w:r w:rsidR="005A1552">
        <w:rPr>
          <w:rFonts w:ascii="Garamond" w:eastAsia="Cambria" w:hAnsi="Garamond" w:cs="Cambria"/>
          <w:sz w:val="24"/>
          <w:szCs w:val="24"/>
        </w:rPr>
        <w:t xml:space="preserve">constructed as </w:t>
      </w:r>
      <w:r w:rsidR="005223F2" w:rsidRPr="00411AE0">
        <w:rPr>
          <w:rFonts w:ascii="Garamond" w:eastAsia="Cambria" w:hAnsi="Garamond" w:cs="Cambria"/>
          <w:sz w:val="24"/>
          <w:szCs w:val="24"/>
        </w:rPr>
        <w:t>the ‘other-space’</w:t>
      </w:r>
      <w:r w:rsidR="009D01FB" w:rsidRPr="00411AE0">
        <w:rPr>
          <w:rFonts w:ascii="Garamond" w:eastAsia="Cambria" w:hAnsi="Garamond" w:cs="Cambria"/>
          <w:sz w:val="24"/>
          <w:szCs w:val="24"/>
        </w:rPr>
        <w:t xml:space="preserve"> of </w:t>
      </w:r>
      <w:r w:rsidRPr="00411AE0">
        <w:rPr>
          <w:rFonts w:ascii="Garamond" w:eastAsia="Cambria" w:hAnsi="Garamond" w:cs="Cambria"/>
          <w:sz w:val="24"/>
          <w:szCs w:val="24"/>
        </w:rPr>
        <w:t>the poor, migrants, workers, refugees, indigenous peoples, the environment, and other living and non</w:t>
      </w:r>
      <w:r w:rsidR="009D01FB" w:rsidRPr="00411AE0">
        <w:rPr>
          <w:rFonts w:ascii="Garamond" w:eastAsia="Cambria" w:hAnsi="Garamond" w:cs="Cambria"/>
          <w:sz w:val="24"/>
          <w:szCs w:val="24"/>
        </w:rPr>
        <w:t>-</w:t>
      </w:r>
      <w:r w:rsidRPr="00411AE0">
        <w:rPr>
          <w:rFonts w:ascii="Garamond" w:eastAsia="Cambria" w:hAnsi="Garamond" w:cs="Cambria"/>
          <w:sz w:val="24"/>
          <w:szCs w:val="24"/>
        </w:rPr>
        <w:t>human species knocking at the gates of the walled cities of law</w:t>
      </w:r>
      <w:r w:rsidR="009D01FB" w:rsidRPr="00411AE0">
        <w:rPr>
          <w:rFonts w:ascii="Garamond" w:eastAsia="Cambria" w:hAnsi="Garamond" w:cs="Cambria"/>
          <w:sz w:val="24"/>
          <w:szCs w:val="24"/>
        </w:rPr>
        <w:t>’s circle of concern</w:t>
      </w:r>
      <w:r w:rsidRPr="00411AE0">
        <w:rPr>
          <w:rFonts w:ascii="Garamond" w:eastAsia="Cambria" w:hAnsi="Garamond" w:cs="Cambria"/>
          <w:sz w:val="24"/>
          <w:szCs w:val="24"/>
        </w:rPr>
        <w:t>.</w:t>
      </w:r>
      <w:r w:rsidRPr="00411AE0">
        <w:rPr>
          <w:rFonts w:ascii="Garamond" w:eastAsia="Cambria" w:hAnsi="Garamond" w:cs="Cambria"/>
          <w:sz w:val="24"/>
          <w:szCs w:val="24"/>
          <w:vertAlign w:val="superscript"/>
        </w:rPr>
        <w:footnoteReference w:id="231"/>
      </w:r>
      <w:r w:rsidR="00153F59">
        <w:rPr>
          <w:rFonts w:ascii="Garamond" w:hAnsi="Garamond"/>
          <w:sz w:val="24"/>
          <w:szCs w:val="24"/>
        </w:rPr>
        <w:t xml:space="preserve"> </w:t>
      </w:r>
    </w:p>
    <w:p w14:paraId="45230911" w14:textId="0688821C" w:rsidR="007575C4" w:rsidRPr="0053133A" w:rsidRDefault="007575C4" w:rsidP="00B637C4">
      <w:pPr>
        <w:pStyle w:val="Normal1"/>
        <w:spacing w:after="200" w:line="240" w:lineRule="auto"/>
        <w:rPr>
          <w:rFonts w:ascii="Garamond" w:eastAsia="Cambria" w:hAnsi="Garamond" w:cs="Cambria"/>
          <w:color w:val="0A0A0A"/>
          <w:sz w:val="24"/>
          <w:szCs w:val="24"/>
        </w:rPr>
      </w:pPr>
      <w:r w:rsidRPr="0053133A">
        <w:rPr>
          <w:rFonts w:ascii="Garamond" w:eastAsia="Cambria" w:hAnsi="Garamond" w:cs="Cambria"/>
          <w:color w:val="0A0A0A"/>
          <w:sz w:val="24"/>
          <w:szCs w:val="24"/>
        </w:rPr>
        <w:t>5 CONCLUSION</w:t>
      </w:r>
    </w:p>
    <w:p w14:paraId="26192BAC" w14:textId="51CB81EE" w:rsidR="00321784" w:rsidRPr="00847E28" w:rsidRDefault="00321784" w:rsidP="0004749C">
      <w:pPr>
        <w:pStyle w:val="Normal1"/>
        <w:spacing w:after="200" w:line="240" w:lineRule="auto"/>
        <w:rPr>
          <w:rFonts w:ascii="Garamond" w:eastAsia="Cambria" w:hAnsi="Garamond" w:cs="Cambria"/>
          <w:color w:val="0A0A0A"/>
          <w:sz w:val="24"/>
          <w:szCs w:val="24"/>
        </w:rPr>
      </w:pPr>
      <w:r w:rsidRPr="00411AE0">
        <w:rPr>
          <w:rFonts w:ascii="Garamond" w:eastAsia="Cambria" w:hAnsi="Garamond" w:cs="Cambria"/>
          <w:color w:val="0A0A0A"/>
          <w:sz w:val="24"/>
          <w:szCs w:val="24"/>
        </w:rPr>
        <w:t>We have offered an admittedly brief</w:t>
      </w:r>
      <w:r>
        <w:rPr>
          <w:rFonts w:ascii="Garamond" w:eastAsia="Cambria" w:hAnsi="Garamond" w:cs="Cambria"/>
          <w:color w:val="0A0A0A"/>
          <w:sz w:val="24"/>
          <w:szCs w:val="24"/>
        </w:rPr>
        <w:t xml:space="preserve"> and selective</w:t>
      </w:r>
      <w:r w:rsidRPr="00411AE0">
        <w:rPr>
          <w:rFonts w:ascii="Garamond" w:eastAsia="Cambria" w:hAnsi="Garamond" w:cs="Cambria"/>
          <w:color w:val="0A0A0A"/>
          <w:sz w:val="24"/>
          <w:szCs w:val="24"/>
        </w:rPr>
        <w:t xml:space="preserve"> critical reading of legal personhood </w:t>
      </w:r>
      <w:r>
        <w:rPr>
          <w:rFonts w:ascii="Garamond" w:eastAsia="Cambria" w:hAnsi="Garamond" w:cs="Cambria"/>
          <w:color w:val="0A0A0A"/>
          <w:sz w:val="24"/>
          <w:szCs w:val="24"/>
        </w:rPr>
        <w:t>and</w:t>
      </w:r>
      <w:r w:rsidRPr="00411AE0">
        <w:rPr>
          <w:rFonts w:ascii="Garamond" w:eastAsia="Cambria" w:hAnsi="Garamond" w:cs="Cambria"/>
          <w:color w:val="0A0A0A"/>
          <w:sz w:val="24"/>
          <w:szCs w:val="24"/>
        </w:rPr>
        <w:t xml:space="preserve"> jurisdiction, </w:t>
      </w:r>
      <w:r>
        <w:rPr>
          <w:rFonts w:ascii="Garamond" w:eastAsia="Cambria" w:hAnsi="Garamond" w:cs="Cambria"/>
          <w:color w:val="0A0A0A"/>
          <w:sz w:val="24"/>
          <w:szCs w:val="24"/>
        </w:rPr>
        <w:t>construing</w:t>
      </w:r>
      <w:r w:rsidRPr="00411AE0">
        <w:rPr>
          <w:rFonts w:ascii="Garamond" w:eastAsia="Cambria" w:hAnsi="Garamond" w:cs="Cambria"/>
          <w:color w:val="0A0A0A"/>
          <w:sz w:val="24"/>
          <w:szCs w:val="24"/>
        </w:rPr>
        <w:t xml:space="preserve"> th</w:t>
      </w:r>
      <w:r>
        <w:rPr>
          <w:rFonts w:ascii="Garamond" w:eastAsia="Cambria" w:hAnsi="Garamond" w:cs="Cambria"/>
          <w:color w:val="0A0A0A"/>
          <w:sz w:val="24"/>
          <w:szCs w:val="24"/>
        </w:rPr>
        <w:t>em</w:t>
      </w:r>
      <w:r w:rsidRPr="00411AE0">
        <w:rPr>
          <w:rFonts w:ascii="Garamond" w:eastAsia="Cambria" w:hAnsi="Garamond" w:cs="Cambria"/>
          <w:color w:val="0A0A0A"/>
          <w:sz w:val="24"/>
          <w:szCs w:val="24"/>
        </w:rPr>
        <w:t xml:space="preserve"> as techniques of privilege and predation</w:t>
      </w:r>
      <w:r>
        <w:rPr>
          <w:rFonts w:ascii="Garamond" w:eastAsia="Cambria" w:hAnsi="Garamond" w:cs="Cambria"/>
          <w:color w:val="0A0A0A"/>
          <w:sz w:val="24"/>
          <w:szCs w:val="24"/>
        </w:rPr>
        <w:t xml:space="preserve"> </w:t>
      </w:r>
      <w:r w:rsidRPr="00411AE0">
        <w:rPr>
          <w:rFonts w:ascii="Garamond" w:eastAsia="Cambria" w:hAnsi="Garamond" w:cs="Cambria"/>
          <w:color w:val="0A0A0A"/>
          <w:sz w:val="24"/>
          <w:szCs w:val="24"/>
        </w:rPr>
        <w:t xml:space="preserve">and </w:t>
      </w:r>
      <w:r w:rsidR="000B5983">
        <w:rPr>
          <w:rFonts w:ascii="Garamond" w:eastAsia="Cambria" w:hAnsi="Garamond" w:cs="Cambria"/>
          <w:color w:val="0A0A0A"/>
          <w:sz w:val="24"/>
          <w:szCs w:val="24"/>
        </w:rPr>
        <w:t xml:space="preserve">as </w:t>
      </w:r>
      <w:r w:rsidRPr="00411AE0">
        <w:rPr>
          <w:rFonts w:ascii="Garamond" w:eastAsia="Cambria" w:hAnsi="Garamond" w:cs="Cambria"/>
          <w:color w:val="0A0A0A"/>
          <w:sz w:val="24"/>
          <w:szCs w:val="24"/>
        </w:rPr>
        <w:t>core elements in the production of a highly uneven, unjust</w:t>
      </w:r>
      <w:r>
        <w:rPr>
          <w:rFonts w:ascii="Garamond" w:eastAsia="Cambria" w:hAnsi="Garamond" w:cs="Cambria"/>
          <w:color w:val="0A0A0A"/>
          <w:sz w:val="24"/>
          <w:szCs w:val="24"/>
        </w:rPr>
        <w:t xml:space="preserve"> legal global order that reflects and amplifies existing patterns of power. Like other legal </w:t>
      </w:r>
      <w:r w:rsidR="005A4575">
        <w:rPr>
          <w:rFonts w:ascii="Garamond" w:eastAsia="Cambria" w:hAnsi="Garamond" w:cs="Cambria"/>
          <w:color w:val="0A0A0A"/>
          <w:sz w:val="24"/>
          <w:szCs w:val="24"/>
        </w:rPr>
        <w:t>constructs</w:t>
      </w:r>
      <w:r w:rsidRPr="00411AE0">
        <w:rPr>
          <w:rFonts w:ascii="Garamond" w:eastAsia="Cambria" w:hAnsi="Garamond" w:cs="Cambria"/>
          <w:color w:val="0A0A0A"/>
          <w:sz w:val="24"/>
          <w:szCs w:val="24"/>
        </w:rPr>
        <w:t xml:space="preserve"> </w:t>
      </w:r>
      <w:r>
        <w:rPr>
          <w:rFonts w:ascii="Garamond" w:eastAsia="Cambria" w:hAnsi="Garamond" w:cs="Cambria"/>
          <w:color w:val="0A0A0A"/>
          <w:sz w:val="24"/>
          <w:szCs w:val="24"/>
        </w:rPr>
        <w:t>(</w:t>
      </w:r>
      <w:r w:rsidRPr="00411AE0">
        <w:rPr>
          <w:rFonts w:ascii="Garamond" w:eastAsia="Cambria" w:hAnsi="Garamond" w:cs="Cambria"/>
          <w:color w:val="0A0A0A"/>
          <w:sz w:val="24"/>
          <w:szCs w:val="24"/>
        </w:rPr>
        <w:t>re</w:t>
      </w:r>
      <w:r>
        <w:rPr>
          <w:rFonts w:ascii="Garamond" w:eastAsia="Cambria" w:hAnsi="Garamond" w:cs="Cambria"/>
          <w:color w:val="0A0A0A"/>
          <w:sz w:val="24"/>
          <w:szCs w:val="24"/>
        </w:rPr>
        <w:t>)</w:t>
      </w:r>
      <w:r w:rsidRPr="00411AE0">
        <w:rPr>
          <w:rFonts w:ascii="Garamond" w:eastAsia="Cambria" w:hAnsi="Garamond" w:cs="Cambria"/>
          <w:color w:val="0A0A0A"/>
          <w:sz w:val="24"/>
          <w:szCs w:val="24"/>
        </w:rPr>
        <w:t>presented as neutral, technical artefacts of law</w:t>
      </w:r>
      <w:r>
        <w:rPr>
          <w:rFonts w:ascii="Garamond" w:eastAsia="Cambria" w:hAnsi="Garamond" w:cs="Cambria"/>
          <w:color w:val="0A0A0A"/>
          <w:sz w:val="24"/>
          <w:szCs w:val="24"/>
        </w:rPr>
        <w:t xml:space="preserve">, legal personhood and jurisdictional technique </w:t>
      </w:r>
      <w:r w:rsidR="005A4575">
        <w:rPr>
          <w:rFonts w:ascii="Garamond" w:eastAsia="Cambria" w:hAnsi="Garamond" w:cs="Cambria"/>
          <w:color w:val="0A0A0A"/>
          <w:sz w:val="24"/>
          <w:szCs w:val="24"/>
        </w:rPr>
        <w:t xml:space="preserve">reflect </w:t>
      </w:r>
      <w:r w:rsidR="0093131F">
        <w:rPr>
          <w:rFonts w:ascii="Garamond" w:eastAsia="Cambria" w:hAnsi="Garamond" w:cs="Cambria"/>
          <w:color w:val="0A0A0A"/>
          <w:sz w:val="24"/>
          <w:szCs w:val="24"/>
        </w:rPr>
        <w:t xml:space="preserve">the historical and contemporary imprint of </w:t>
      </w:r>
      <w:r>
        <w:rPr>
          <w:rFonts w:ascii="Garamond" w:eastAsia="Cambria" w:hAnsi="Garamond" w:cs="Cambria"/>
          <w:color w:val="0A0A0A"/>
          <w:sz w:val="24"/>
          <w:szCs w:val="24"/>
        </w:rPr>
        <w:t xml:space="preserve">privileged </w:t>
      </w:r>
      <w:r w:rsidR="00A00BFF">
        <w:rPr>
          <w:rFonts w:ascii="Garamond" w:eastAsia="Cambria" w:hAnsi="Garamond" w:cs="Cambria"/>
          <w:color w:val="0A0A0A"/>
          <w:sz w:val="24"/>
          <w:szCs w:val="24"/>
        </w:rPr>
        <w:t>Eurocentric</w:t>
      </w:r>
      <w:r w:rsidR="005426CE">
        <w:rPr>
          <w:rFonts w:ascii="Garamond" w:eastAsia="Cambria" w:hAnsi="Garamond" w:cs="Cambria"/>
          <w:color w:val="0A0A0A"/>
          <w:sz w:val="24"/>
          <w:szCs w:val="24"/>
        </w:rPr>
        <w:t>—and then Western (Global North)</w:t>
      </w:r>
      <w:r w:rsidR="00A00BFF">
        <w:rPr>
          <w:rFonts w:ascii="Garamond" w:eastAsia="Cambria" w:hAnsi="Garamond" w:cs="Cambria"/>
          <w:color w:val="0A0A0A"/>
          <w:sz w:val="24"/>
          <w:szCs w:val="24"/>
        </w:rPr>
        <w:t xml:space="preserve"> mastery</w:t>
      </w:r>
      <w:r w:rsidR="00B90EA7">
        <w:rPr>
          <w:rFonts w:ascii="Garamond" w:eastAsia="Cambria" w:hAnsi="Garamond" w:cs="Cambria"/>
          <w:color w:val="0A0A0A"/>
          <w:sz w:val="24"/>
          <w:szCs w:val="24"/>
        </w:rPr>
        <w:t xml:space="preserve">—a pattern subtending and </w:t>
      </w:r>
      <w:r w:rsidR="002C0062">
        <w:rPr>
          <w:rFonts w:ascii="Garamond" w:eastAsia="Cambria" w:hAnsi="Garamond" w:cs="Cambria"/>
          <w:color w:val="0A0A0A"/>
          <w:sz w:val="24"/>
          <w:szCs w:val="24"/>
        </w:rPr>
        <w:t>characterising</w:t>
      </w:r>
      <w:r w:rsidR="00B90EA7">
        <w:rPr>
          <w:rFonts w:ascii="Garamond" w:eastAsia="Cambria" w:hAnsi="Garamond" w:cs="Cambria"/>
          <w:color w:val="0A0A0A"/>
          <w:sz w:val="24"/>
          <w:szCs w:val="24"/>
        </w:rPr>
        <w:t xml:space="preserve"> the Anthropocene</w:t>
      </w:r>
      <w:r w:rsidR="00665648">
        <w:rPr>
          <w:rStyle w:val="FootnoteReference"/>
          <w:rFonts w:ascii="Garamond" w:eastAsia="Cambria" w:hAnsi="Garamond" w:cs="Cambria"/>
          <w:color w:val="0A0A0A"/>
          <w:sz w:val="24"/>
          <w:szCs w:val="24"/>
        </w:rPr>
        <w:footnoteReference w:id="232"/>
      </w:r>
      <w:r w:rsidR="00C1133A">
        <w:rPr>
          <w:rFonts w:ascii="Garamond" w:eastAsia="Cambria" w:hAnsi="Garamond" w:cs="Cambria"/>
          <w:color w:val="0A0A0A"/>
          <w:sz w:val="24"/>
          <w:szCs w:val="24"/>
        </w:rPr>
        <w:t xml:space="preserve"> and its patterns of coloniality.</w:t>
      </w:r>
      <w:r w:rsidR="003B7A96">
        <w:rPr>
          <w:rStyle w:val="FootnoteReference"/>
          <w:rFonts w:ascii="Garamond" w:eastAsia="Times New Roman" w:hAnsi="Garamond" w:cs="Times New Roman"/>
          <w:color w:val="000000"/>
          <w:sz w:val="24"/>
          <w:szCs w:val="24"/>
          <w:lang w:eastAsia="en-GB"/>
        </w:rPr>
        <w:footnoteReference w:id="233"/>
      </w:r>
      <w:r w:rsidR="003B7A96">
        <w:rPr>
          <w:rFonts w:ascii="Garamond" w:eastAsia="Times New Roman" w:hAnsi="Garamond" w:cs="Times New Roman"/>
          <w:color w:val="000000"/>
          <w:sz w:val="24"/>
          <w:szCs w:val="24"/>
          <w:lang w:eastAsia="en-GB"/>
        </w:rPr>
        <w:t xml:space="preserve"> </w:t>
      </w:r>
      <w:r w:rsidR="00C1133A">
        <w:rPr>
          <w:rFonts w:ascii="Garamond" w:eastAsia="Times New Roman" w:hAnsi="Garamond" w:cs="Times New Roman"/>
          <w:color w:val="000000"/>
          <w:sz w:val="24"/>
          <w:szCs w:val="24"/>
          <w:lang w:eastAsia="en-GB"/>
        </w:rPr>
        <w:t xml:space="preserve">Indeed, the </w:t>
      </w:r>
      <w:r w:rsidR="003B7A96">
        <w:rPr>
          <w:rFonts w:ascii="Garamond" w:eastAsia="Times New Roman" w:hAnsi="Garamond" w:cs="Times New Roman"/>
          <w:color w:val="000000"/>
          <w:sz w:val="24"/>
          <w:szCs w:val="24"/>
          <w:lang w:eastAsia="en-GB"/>
        </w:rPr>
        <w:t xml:space="preserve">Anthropocene concept </w:t>
      </w:r>
      <w:r w:rsidR="00C1133A">
        <w:rPr>
          <w:rFonts w:ascii="Garamond" w:eastAsia="Times New Roman" w:hAnsi="Garamond" w:cs="Times New Roman"/>
          <w:color w:val="000000"/>
          <w:sz w:val="24"/>
          <w:szCs w:val="24"/>
          <w:lang w:eastAsia="en-GB"/>
        </w:rPr>
        <w:t xml:space="preserve">itself </w:t>
      </w:r>
      <w:r w:rsidR="003B7A96">
        <w:rPr>
          <w:rFonts w:ascii="Garamond" w:eastAsia="Times New Roman" w:hAnsi="Garamond" w:cs="Times New Roman"/>
          <w:color w:val="000000"/>
          <w:sz w:val="24"/>
          <w:szCs w:val="24"/>
          <w:lang w:eastAsia="en-GB"/>
        </w:rPr>
        <w:t xml:space="preserve">has </w:t>
      </w:r>
      <w:r w:rsidR="00C1133A">
        <w:rPr>
          <w:rFonts w:ascii="Garamond" w:eastAsia="Times New Roman" w:hAnsi="Garamond" w:cs="Times New Roman"/>
          <w:color w:val="000000"/>
          <w:sz w:val="24"/>
          <w:szCs w:val="24"/>
          <w:lang w:eastAsia="en-GB"/>
        </w:rPr>
        <w:t xml:space="preserve">been </w:t>
      </w:r>
      <w:r w:rsidR="00D919FD">
        <w:rPr>
          <w:rFonts w:ascii="Garamond" w:eastAsia="Times New Roman" w:hAnsi="Garamond" w:cs="Times New Roman"/>
          <w:color w:val="000000"/>
          <w:sz w:val="24"/>
          <w:szCs w:val="24"/>
          <w:lang w:eastAsia="en-GB"/>
        </w:rPr>
        <w:t>accused of</w:t>
      </w:r>
      <w:r w:rsidR="00C1133A">
        <w:rPr>
          <w:rFonts w:ascii="Garamond" w:eastAsia="Times New Roman" w:hAnsi="Garamond" w:cs="Times New Roman"/>
          <w:color w:val="000000"/>
          <w:sz w:val="24"/>
          <w:szCs w:val="24"/>
          <w:lang w:eastAsia="en-GB"/>
        </w:rPr>
        <w:t xml:space="preserve"> a</w:t>
      </w:r>
      <w:r w:rsidR="003B7A96">
        <w:rPr>
          <w:rFonts w:ascii="Garamond" w:eastAsia="Times New Roman" w:hAnsi="Garamond" w:cs="Times New Roman"/>
          <w:color w:val="000000"/>
          <w:sz w:val="24"/>
          <w:szCs w:val="24"/>
          <w:lang w:eastAsia="en-GB"/>
        </w:rPr>
        <w:t xml:space="preserve"> ‘somewhat hidden Eurocentrism’</w:t>
      </w:r>
      <w:r w:rsidR="003B7A96">
        <w:rPr>
          <w:rStyle w:val="FootnoteReference"/>
          <w:rFonts w:ascii="Garamond" w:eastAsia="Times New Roman" w:hAnsi="Garamond" w:cs="Times New Roman"/>
          <w:color w:val="000000"/>
          <w:sz w:val="24"/>
          <w:szCs w:val="24"/>
          <w:lang w:eastAsia="en-GB"/>
        </w:rPr>
        <w:footnoteReference w:id="234"/>
      </w:r>
      <w:r w:rsidR="00C1133A">
        <w:rPr>
          <w:rFonts w:ascii="Garamond" w:eastAsia="Times New Roman" w:hAnsi="Garamond" w:cs="Times New Roman"/>
          <w:color w:val="000000"/>
          <w:sz w:val="24"/>
          <w:szCs w:val="24"/>
          <w:lang w:eastAsia="en-GB"/>
        </w:rPr>
        <w:t>—and criticised, along with ‘</w:t>
      </w:r>
      <w:r w:rsidR="003B7A96">
        <w:rPr>
          <w:rFonts w:ascii="Garamond" w:eastAsia="Times New Roman" w:hAnsi="Garamond" w:cs="Times New Roman"/>
          <w:color w:val="000000"/>
          <w:sz w:val="24"/>
          <w:szCs w:val="24"/>
          <w:lang w:eastAsia="en-GB"/>
        </w:rPr>
        <w:t>much of the analytical apparatus surrounding it—</w:t>
      </w:r>
      <w:r w:rsidR="00C1133A">
        <w:rPr>
          <w:rFonts w:ascii="Garamond" w:eastAsia="Times New Roman" w:hAnsi="Garamond" w:cs="Times New Roman"/>
          <w:color w:val="000000"/>
          <w:sz w:val="24"/>
          <w:szCs w:val="24"/>
          <w:lang w:eastAsia="en-GB"/>
        </w:rPr>
        <w:t>[for representing]</w:t>
      </w:r>
      <w:r w:rsidR="003B7A96">
        <w:rPr>
          <w:rFonts w:ascii="Garamond" w:eastAsia="Times New Roman" w:hAnsi="Garamond" w:cs="Times New Roman"/>
          <w:color w:val="000000"/>
          <w:sz w:val="24"/>
          <w:szCs w:val="24"/>
          <w:lang w:eastAsia="en-GB"/>
        </w:rPr>
        <w:t xml:space="preserve"> an effort to expand (rather homogenized) European historical experiences, frameworks and chronologies onto the rest of the world … and [</w:t>
      </w:r>
      <w:r w:rsidR="00C1133A">
        <w:rPr>
          <w:rFonts w:ascii="Garamond" w:eastAsia="Times New Roman" w:hAnsi="Garamond" w:cs="Times New Roman"/>
          <w:color w:val="000000"/>
          <w:sz w:val="24"/>
          <w:szCs w:val="24"/>
          <w:lang w:eastAsia="en-GB"/>
        </w:rPr>
        <w:t>for hiding</w:t>
      </w:r>
      <w:r w:rsidR="003B7A96">
        <w:rPr>
          <w:rFonts w:ascii="Garamond" w:eastAsia="Times New Roman" w:hAnsi="Garamond" w:cs="Times New Roman"/>
          <w:color w:val="000000"/>
          <w:sz w:val="24"/>
          <w:szCs w:val="24"/>
          <w:lang w:eastAsia="en-GB"/>
        </w:rPr>
        <w:t>] a disturbing extension of colonial discourse into a postcolonial world’.</w:t>
      </w:r>
      <w:r w:rsidR="003B7A96">
        <w:rPr>
          <w:rStyle w:val="FootnoteReference"/>
          <w:rFonts w:ascii="Garamond" w:eastAsia="Times New Roman" w:hAnsi="Garamond" w:cs="Times New Roman"/>
          <w:color w:val="000000"/>
          <w:sz w:val="24"/>
          <w:szCs w:val="24"/>
          <w:lang w:eastAsia="en-GB"/>
        </w:rPr>
        <w:footnoteReference w:id="235"/>
      </w:r>
      <w:r w:rsidR="003B7A96">
        <w:rPr>
          <w:rFonts w:ascii="Garamond" w:eastAsia="Times New Roman" w:hAnsi="Garamond" w:cs="Times New Roman"/>
          <w:color w:val="000000"/>
          <w:sz w:val="24"/>
          <w:szCs w:val="24"/>
          <w:lang w:eastAsia="en-GB"/>
        </w:rPr>
        <w:t xml:space="preserve"> </w:t>
      </w:r>
      <w:r w:rsidR="00C1133A">
        <w:rPr>
          <w:rFonts w:ascii="Garamond" w:eastAsia="Cambria" w:hAnsi="Garamond" w:cs="Cambria"/>
          <w:color w:val="0A0A0A"/>
          <w:sz w:val="24"/>
          <w:szCs w:val="24"/>
        </w:rPr>
        <w:br/>
        <w:t xml:space="preserve"> </w:t>
      </w:r>
      <w:r w:rsidR="00C1133A">
        <w:rPr>
          <w:rFonts w:ascii="Garamond" w:eastAsia="Cambria" w:hAnsi="Garamond" w:cs="Cambria"/>
          <w:color w:val="0A0A0A"/>
          <w:sz w:val="24"/>
          <w:szCs w:val="24"/>
        </w:rPr>
        <w:tab/>
      </w:r>
      <w:r w:rsidR="00806CC1">
        <w:rPr>
          <w:rFonts w:ascii="Garamond" w:eastAsia="Cambria" w:hAnsi="Garamond" w:cs="Cambria"/>
          <w:color w:val="0A0A0A"/>
          <w:sz w:val="24"/>
          <w:szCs w:val="24"/>
        </w:rPr>
        <w:t>W</w:t>
      </w:r>
      <w:r w:rsidR="00B90EA7">
        <w:rPr>
          <w:rFonts w:ascii="Garamond" w:eastAsia="Cambria" w:hAnsi="Garamond" w:cs="Cambria"/>
          <w:color w:val="0A0A0A"/>
          <w:sz w:val="24"/>
          <w:szCs w:val="24"/>
        </w:rPr>
        <w:t xml:space="preserve">e have drawn attention to </w:t>
      </w:r>
      <w:r w:rsidR="0093131F">
        <w:rPr>
          <w:rFonts w:ascii="Garamond" w:eastAsia="Cambria" w:hAnsi="Garamond" w:cs="Cambria"/>
          <w:color w:val="0A0A0A"/>
          <w:sz w:val="24"/>
          <w:szCs w:val="24"/>
        </w:rPr>
        <w:t xml:space="preserve">the persistent influence of </w:t>
      </w:r>
      <w:r w:rsidR="00A00BFF">
        <w:rPr>
          <w:rFonts w:ascii="Garamond" w:eastAsia="Cambria" w:hAnsi="Garamond" w:cs="Cambria"/>
          <w:color w:val="0A0A0A"/>
          <w:sz w:val="24"/>
          <w:szCs w:val="24"/>
        </w:rPr>
        <w:t xml:space="preserve">an </w:t>
      </w:r>
      <w:r w:rsidR="0093131F">
        <w:rPr>
          <w:rFonts w:ascii="Garamond" w:eastAsia="Cambria" w:hAnsi="Garamond" w:cs="Cambria"/>
          <w:color w:val="0A0A0A"/>
          <w:sz w:val="24"/>
          <w:szCs w:val="24"/>
        </w:rPr>
        <w:t xml:space="preserve">underlying </w:t>
      </w:r>
      <w:r w:rsidR="006554B2">
        <w:rPr>
          <w:rFonts w:ascii="Garamond" w:eastAsia="Cambria" w:hAnsi="Garamond" w:cs="Cambria"/>
          <w:color w:val="0A0A0A"/>
          <w:sz w:val="24"/>
          <w:szCs w:val="24"/>
        </w:rPr>
        <w:t xml:space="preserve">rationalistic, disembodied </w:t>
      </w:r>
      <w:r w:rsidR="00B90EA7">
        <w:rPr>
          <w:rFonts w:ascii="Garamond" w:eastAsia="Cambria" w:hAnsi="Garamond" w:cs="Cambria"/>
          <w:color w:val="0A0A0A"/>
          <w:sz w:val="24"/>
          <w:szCs w:val="24"/>
        </w:rPr>
        <w:t xml:space="preserve">Eurocentric </w:t>
      </w:r>
      <w:r w:rsidR="00A00BFF">
        <w:rPr>
          <w:rFonts w:ascii="Garamond" w:eastAsia="Cambria" w:hAnsi="Garamond" w:cs="Cambria"/>
          <w:color w:val="0A0A0A"/>
          <w:sz w:val="24"/>
          <w:szCs w:val="24"/>
        </w:rPr>
        <w:t>archetype ultimately instantiated by</w:t>
      </w:r>
      <w:r w:rsidR="005A4575">
        <w:rPr>
          <w:rFonts w:ascii="Garamond" w:eastAsia="Cambria" w:hAnsi="Garamond" w:cs="Cambria"/>
          <w:color w:val="0A0A0A"/>
          <w:sz w:val="24"/>
          <w:szCs w:val="24"/>
        </w:rPr>
        <w:t xml:space="preserve"> the TNC</w:t>
      </w:r>
      <w:r w:rsidR="00B90EA7">
        <w:rPr>
          <w:rFonts w:ascii="Garamond" w:eastAsia="Cambria" w:hAnsi="Garamond" w:cs="Cambria"/>
          <w:color w:val="0A0A0A"/>
          <w:sz w:val="24"/>
          <w:szCs w:val="24"/>
        </w:rPr>
        <w:t>.</w:t>
      </w:r>
      <w:r w:rsidR="005A4575">
        <w:rPr>
          <w:rFonts w:ascii="Garamond" w:eastAsia="Cambria" w:hAnsi="Garamond" w:cs="Cambria"/>
          <w:color w:val="0A0A0A"/>
          <w:sz w:val="24"/>
          <w:szCs w:val="24"/>
        </w:rPr>
        <w:t xml:space="preserve"> We have traced</w:t>
      </w:r>
      <w:r w:rsidR="00B90EA7">
        <w:rPr>
          <w:rFonts w:ascii="Garamond" w:eastAsia="Cambria" w:hAnsi="Garamond" w:cs="Cambria"/>
          <w:color w:val="0A0A0A"/>
          <w:sz w:val="24"/>
          <w:szCs w:val="24"/>
        </w:rPr>
        <w:t>, in this process,</w:t>
      </w:r>
      <w:r w:rsidR="005A4575">
        <w:rPr>
          <w:rFonts w:ascii="Garamond" w:eastAsia="Cambria" w:hAnsi="Garamond" w:cs="Cambria"/>
          <w:color w:val="0A0A0A"/>
          <w:sz w:val="24"/>
          <w:szCs w:val="24"/>
        </w:rPr>
        <w:t xml:space="preserve"> </w:t>
      </w:r>
      <w:r>
        <w:rPr>
          <w:rFonts w:ascii="Garamond" w:eastAsia="Cambria" w:hAnsi="Garamond" w:cs="Cambria"/>
          <w:color w:val="0A0A0A"/>
          <w:sz w:val="24"/>
          <w:szCs w:val="24"/>
        </w:rPr>
        <w:t>threads of ideological and material continuity between coloniality, capitalism and the neoliberal order</w:t>
      </w:r>
      <w:r w:rsidR="005A4575">
        <w:rPr>
          <w:rFonts w:ascii="Garamond" w:eastAsia="Cambria" w:hAnsi="Garamond" w:cs="Cambria"/>
          <w:color w:val="0A0A0A"/>
          <w:sz w:val="24"/>
          <w:szCs w:val="24"/>
        </w:rPr>
        <w:t xml:space="preserve">, </w:t>
      </w:r>
      <w:r w:rsidR="00B90EA7">
        <w:rPr>
          <w:rFonts w:ascii="Garamond" w:eastAsia="Cambria" w:hAnsi="Garamond" w:cs="Cambria"/>
          <w:color w:val="0A0A0A"/>
          <w:sz w:val="24"/>
          <w:szCs w:val="24"/>
        </w:rPr>
        <w:t xml:space="preserve">and we have noted that </w:t>
      </w:r>
      <w:r w:rsidR="0093131F">
        <w:rPr>
          <w:rFonts w:ascii="Garamond" w:eastAsia="Cambria" w:hAnsi="Garamond" w:cs="Cambria"/>
          <w:color w:val="0A0A0A"/>
          <w:sz w:val="24"/>
          <w:szCs w:val="24"/>
        </w:rPr>
        <w:t>m</w:t>
      </w:r>
      <w:r>
        <w:rPr>
          <w:rFonts w:ascii="Garamond" w:eastAsia="Cambria" w:hAnsi="Garamond" w:cs="Cambria"/>
          <w:color w:val="0A0A0A"/>
          <w:sz w:val="24"/>
          <w:szCs w:val="24"/>
        </w:rPr>
        <w:t>aterial, corporeal exposure to Anthropocene risks</w:t>
      </w:r>
      <w:r w:rsidR="00B90EA7">
        <w:rPr>
          <w:rFonts w:ascii="Garamond" w:eastAsia="Cambria" w:hAnsi="Garamond" w:cs="Cambria"/>
          <w:color w:val="0A0A0A"/>
          <w:sz w:val="24"/>
          <w:szCs w:val="24"/>
        </w:rPr>
        <w:t xml:space="preserve"> (which include</w:t>
      </w:r>
      <w:r w:rsidR="0093131F">
        <w:rPr>
          <w:rFonts w:ascii="Garamond" w:eastAsia="Cambria" w:hAnsi="Garamond" w:cs="Cambria"/>
          <w:color w:val="0A0A0A"/>
          <w:sz w:val="24"/>
          <w:szCs w:val="24"/>
        </w:rPr>
        <w:t xml:space="preserve"> the </w:t>
      </w:r>
      <w:r w:rsidR="005A4575">
        <w:rPr>
          <w:rFonts w:ascii="Garamond" w:eastAsia="Cambria" w:hAnsi="Garamond" w:cs="Cambria"/>
          <w:color w:val="0A0A0A"/>
          <w:sz w:val="24"/>
          <w:szCs w:val="24"/>
        </w:rPr>
        <w:t>climate crisis</w:t>
      </w:r>
      <w:r w:rsidR="00B90EA7">
        <w:rPr>
          <w:rFonts w:ascii="Garamond" w:eastAsia="Cambria" w:hAnsi="Garamond" w:cs="Cambria"/>
          <w:color w:val="0A0A0A"/>
          <w:sz w:val="24"/>
          <w:szCs w:val="24"/>
        </w:rPr>
        <w:t xml:space="preserve">) </w:t>
      </w:r>
      <w:r>
        <w:rPr>
          <w:rFonts w:ascii="Garamond" w:eastAsia="Cambria" w:hAnsi="Garamond" w:cs="Cambria"/>
          <w:color w:val="0A0A0A"/>
          <w:sz w:val="24"/>
          <w:szCs w:val="24"/>
        </w:rPr>
        <w:t>is, and remains, emphatically uneven.</w:t>
      </w:r>
      <w:r>
        <w:rPr>
          <w:rStyle w:val="FootnoteReference"/>
          <w:rFonts w:ascii="Garamond" w:eastAsia="Cambria" w:hAnsi="Garamond" w:cs="Cambria"/>
          <w:color w:val="0A0A0A"/>
          <w:sz w:val="24"/>
          <w:szCs w:val="24"/>
        </w:rPr>
        <w:footnoteReference w:id="236"/>
      </w:r>
      <w:r>
        <w:rPr>
          <w:rFonts w:ascii="Garamond" w:eastAsia="Cambria" w:hAnsi="Garamond" w:cs="Cambria"/>
          <w:color w:val="0A0A0A"/>
          <w:sz w:val="24"/>
          <w:szCs w:val="24"/>
        </w:rPr>
        <w:t xml:space="preserve"> </w:t>
      </w:r>
      <w:r w:rsidR="007C3B0B">
        <w:rPr>
          <w:rFonts w:ascii="Garamond" w:eastAsia="Cambria" w:hAnsi="Garamond" w:cs="Cambria"/>
          <w:color w:val="0A0A0A"/>
          <w:sz w:val="24"/>
          <w:szCs w:val="24"/>
        </w:rPr>
        <w:br/>
        <w:t xml:space="preserve"> </w:t>
      </w:r>
      <w:r w:rsidR="007C3B0B">
        <w:rPr>
          <w:rFonts w:ascii="Garamond" w:eastAsia="Cambria" w:hAnsi="Garamond" w:cs="Cambria"/>
          <w:color w:val="0A0A0A"/>
          <w:sz w:val="24"/>
          <w:szCs w:val="24"/>
        </w:rPr>
        <w:tab/>
      </w:r>
      <w:r w:rsidR="0076444C">
        <w:rPr>
          <w:rFonts w:ascii="Garamond" w:eastAsia="Cambria" w:hAnsi="Garamond" w:cs="Cambria"/>
          <w:color w:val="0A0A0A"/>
          <w:sz w:val="24"/>
          <w:szCs w:val="24"/>
        </w:rPr>
        <w:t>T</w:t>
      </w:r>
      <w:r w:rsidR="00B90EA7">
        <w:rPr>
          <w:rFonts w:ascii="Garamond" w:eastAsia="Cambria" w:hAnsi="Garamond" w:cs="Cambria"/>
          <w:color w:val="0A0A0A"/>
          <w:sz w:val="24"/>
          <w:szCs w:val="24"/>
        </w:rPr>
        <w:t>his unevenness</w:t>
      </w:r>
      <w:r w:rsidR="0076444C">
        <w:rPr>
          <w:rFonts w:ascii="Garamond" w:eastAsia="Cambria" w:hAnsi="Garamond" w:cs="Cambria"/>
          <w:color w:val="0A0A0A"/>
          <w:sz w:val="24"/>
          <w:szCs w:val="24"/>
        </w:rPr>
        <w:t xml:space="preserve"> is deeply troubling</w:t>
      </w:r>
      <w:r w:rsidR="00B90EA7">
        <w:rPr>
          <w:rFonts w:ascii="Garamond" w:eastAsia="Cambria" w:hAnsi="Garamond" w:cs="Cambria"/>
          <w:color w:val="0A0A0A"/>
          <w:sz w:val="24"/>
          <w:szCs w:val="24"/>
        </w:rPr>
        <w:t xml:space="preserve">. </w:t>
      </w:r>
      <w:r>
        <w:rPr>
          <w:rFonts w:ascii="Garamond" w:eastAsia="Cambria" w:hAnsi="Garamond" w:cs="Cambria"/>
          <w:color w:val="0A0A0A"/>
          <w:sz w:val="24"/>
          <w:szCs w:val="24"/>
        </w:rPr>
        <w:t xml:space="preserve">As the legal-economic incarnation of capitalist power, </w:t>
      </w:r>
      <w:r w:rsidR="00B90EA7">
        <w:rPr>
          <w:rFonts w:ascii="Garamond" w:eastAsia="Cambria" w:hAnsi="Garamond" w:cs="Cambria"/>
          <w:color w:val="0A0A0A"/>
          <w:sz w:val="24"/>
          <w:szCs w:val="24"/>
        </w:rPr>
        <w:t xml:space="preserve">the </w:t>
      </w:r>
      <w:r>
        <w:rPr>
          <w:rFonts w:ascii="Garamond" w:eastAsia="Cambria" w:hAnsi="Garamond" w:cs="Cambria"/>
          <w:color w:val="0A0A0A"/>
          <w:sz w:val="24"/>
          <w:szCs w:val="24"/>
        </w:rPr>
        <w:t>TNC’s privilege operates</w:t>
      </w:r>
      <w:r w:rsidR="00B90EA7">
        <w:rPr>
          <w:rFonts w:ascii="Garamond" w:eastAsia="Cambria" w:hAnsi="Garamond" w:cs="Cambria"/>
          <w:color w:val="0A0A0A"/>
          <w:sz w:val="24"/>
          <w:szCs w:val="24"/>
        </w:rPr>
        <w:t xml:space="preserve"> </w:t>
      </w:r>
      <w:r w:rsidRPr="00411AE0">
        <w:rPr>
          <w:rFonts w:ascii="Garamond" w:eastAsia="Cambria" w:hAnsi="Garamond" w:cs="Cambria"/>
          <w:color w:val="0A0A0A"/>
          <w:sz w:val="24"/>
          <w:szCs w:val="24"/>
        </w:rPr>
        <w:t xml:space="preserve">in </w:t>
      </w:r>
      <w:r w:rsidR="00B90EA7">
        <w:rPr>
          <w:rFonts w:ascii="Garamond" w:eastAsia="Cambria" w:hAnsi="Garamond" w:cs="Cambria"/>
          <w:color w:val="0A0A0A"/>
          <w:sz w:val="24"/>
          <w:szCs w:val="24"/>
        </w:rPr>
        <w:t>stark contrast</w:t>
      </w:r>
      <w:r w:rsidRPr="00411AE0">
        <w:rPr>
          <w:rFonts w:ascii="Garamond" w:eastAsia="Cambria" w:hAnsi="Garamond" w:cs="Cambria"/>
          <w:color w:val="0A0A0A"/>
          <w:sz w:val="24"/>
          <w:szCs w:val="24"/>
        </w:rPr>
        <w:t xml:space="preserve"> with the proliferation of walls and border</w:t>
      </w:r>
      <w:r w:rsidR="001E476A">
        <w:rPr>
          <w:rFonts w:ascii="Garamond" w:eastAsia="Cambria" w:hAnsi="Garamond" w:cs="Cambria"/>
          <w:color w:val="0A0A0A"/>
          <w:sz w:val="24"/>
          <w:szCs w:val="24"/>
        </w:rPr>
        <w:t>-</w:t>
      </w:r>
      <w:r w:rsidRPr="00411AE0">
        <w:rPr>
          <w:rFonts w:ascii="Garamond" w:eastAsia="Cambria" w:hAnsi="Garamond" w:cs="Cambria"/>
          <w:color w:val="0A0A0A"/>
          <w:sz w:val="24"/>
          <w:szCs w:val="24"/>
        </w:rPr>
        <w:t xml:space="preserve">hardening against </w:t>
      </w:r>
      <w:r>
        <w:rPr>
          <w:rFonts w:ascii="Garamond" w:eastAsia="Cambria" w:hAnsi="Garamond" w:cs="Cambria"/>
          <w:color w:val="0A0A0A"/>
          <w:sz w:val="24"/>
          <w:szCs w:val="24"/>
        </w:rPr>
        <w:t xml:space="preserve">marginalised </w:t>
      </w:r>
      <w:r w:rsidRPr="00411AE0">
        <w:rPr>
          <w:rFonts w:ascii="Garamond" w:eastAsia="Cambria" w:hAnsi="Garamond" w:cs="Cambria"/>
          <w:color w:val="0A0A0A"/>
          <w:sz w:val="24"/>
          <w:szCs w:val="24"/>
        </w:rPr>
        <w:t>‘others’</w:t>
      </w:r>
      <w:r w:rsidR="00DD2D4C">
        <w:rPr>
          <w:rFonts w:ascii="Garamond" w:eastAsia="Cambria" w:hAnsi="Garamond" w:cs="Cambria"/>
          <w:color w:val="0A0A0A"/>
          <w:sz w:val="24"/>
          <w:szCs w:val="24"/>
        </w:rPr>
        <w:t xml:space="preserve">. </w:t>
      </w:r>
      <w:r w:rsidRPr="00411AE0">
        <w:rPr>
          <w:rFonts w:ascii="Garamond" w:eastAsia="Cambria" w:hAnsi="Garamond" w:cs="Cambria"/>
          <w:color w:val="0A0A0A"/>
          <w:sz w:val="24"/>
          <w:szCs w:val="24"/>
        </w:rPr>
        <w:t xml:space="preserve">The long arc of law’s complicity in the production of </w:t>
      </w:r>
      <w:r w:rsidRPr="00411AE0">
        <w:rPr>
          <w:rFonts w:ascii="Garamond" w:eastAsia="Cambria" w:hAnsi="Garamond" w:cs="Cambria"/>
          <w:color w:val="0A0A0A"/>
          <w:sz w:val="24"/>
          <w:szCs w:val="24"/>
        </w:rPr>
        <w:lastRenderedPageBreak/>
        <w:t>global injustice</w:t>
      </w:r>
      <w:r w:rsidR="00651C41">
        <w:rPr>
          <w:rFonts w:ascii="Garamond" w:eastAsia="Cambria" w:hAnsi="Garamond" w:cs="Cambria"/>
          <w:color w:val="0A0A0A"/>
          <w:sz w:val="24"/>
          <w:szCs w:val="24"/>
        </w:rPr>
        <w:t xml:space="preserve"> and a ‘borderless world for global capital’</w:t>
      </w:r>
      <w:r w:rsidR="00651C41">
        <w:rPr>
          <w:rStyle w:val="FootnoteReference"/>
          <w:rFonts w:ascii="Garamond" w:eastAsia="Cambria" w:hAnsi="Garamond" w:cs="Cambria"/>
          <w:color w:val="0A0A0A"/>
          <w:sz w:val="24"/>
          <w:szCs w:val="24"/>
        </w:rPr>
        <w:footnoteReference w:id="237"/>
      </w:r>
      <w:r w:rsidRPr="00411AE0">
        <w:rPr>
          <w:rFonts w:ascii="Garamond" w:eastAsia="Cambria" w:hAnsi="Garamond" w:cs="Cambria"/>
          <w:color w:val="0A0A0A"/>
          <w:sz w:val="24"/>
          <w:szCs w:val="24"/>
        </w:rPr>
        <w:t xml:space="preserve"> makes the ‘walling of the state’ a particularly cruel response to the ‘fear of the dangerous alien’ now re-igniting the fantasy of the nation state as the besieged homeland sheltering the threatened national ‘we’ within its walls</w:t>
      </w:r>
      <w:r w:rsidRPr="00411AE0">
        <w:rPr>
          <w:rFonts w:ascii="Garamond" w:eastAsia="Cambria" w:hAnsi="Garamond" w:cs="Cambria"/>
          <w:sz w:val="24"/>
          <w:szCs w:val="24"/>
          <w:vertAlign w:val="superscript"/>
        </w:rPr>
        <w:footnoteReference w:id="238"/>
      </w:r>
      <w:r w:rsidR="00DD2D4C">
        <w:rPr>
          <w:rFonts w:ascii="Garamond" w:eastAsia="Cambria" w:hAnsi="Garamond" w:cs="Cambria"/>
          <w:color w:val="0A0A0A"/>
          <w:sz w:val="24"/>
          <w:szCs w:val="24"/>
        </w:rPr>
        <w:t>—whether that ‘</w:t>
      </w:r>
      <w:r>
        <w:rPr>
          <w:rFonts w:ascii="Garamond" w:eastAsia="Cambria" w:hAnsi="Garamond" w:cs="Cambria"/>
          <w:color w:val="0A0A0A"/>
          <w:sz w:val="24"/>
          <w:szCs w:val="24"/>
        </w:rPr>
        <w:t>alien</w:t>
      </w:r>
      <w:r w:rsidR="00DD2D4C">
        <w:rPr>
          <w:rFonts w:ascii="Garamond" w:eastAsia="Cambria" w:hAnsi="Garamond" w:cs="Cambria"/>
          <w:color w:val="0A0A0A"/>
          <w:sz w:val="24"/>
          <w:szCs w:val="24"/>
        </w:rPr>
        <w:t>’ is imagined to be</w:t>
      </w:r>
      <w:r>
        <w:rPr>
          <w:rFonts w:ascii="Garamond" w:eastAsia="Cambria" w:hAnsi="Garamond" w:cs="Cambria"/>
          <w:color w:val="0A0A0A"/>
          <w:sz w:val="24"/>
          <w:szCs w:val="24"/>
        </w:rPr>
        <w:t xml:space="preserve"> the climate migrant, the political refugee or the </w:t>
      </w:r>
      <w:r w:rsidR="00DD2D4C">
        <w:rPr>
          <w:rFonts w:ascii="Garamond" w:eastAsia="Cambria" w:hAnsi="Garamond" w:cs="Cambria"/>
          <w:color w:val="0A0A0A"/>
          <w:sz w:val="24"/>
          <w:szCs w:val="24"/>
        </w:rPr>
        <w:t xml:space="preserve">economically </w:t>
      </w:r>
      <w:r>
        <w:rPr>
          <w:rFonts w:ascii="Garamond" w:eastAsia="Cambria" w:hAnsi="Garamond" w:cs="Cambria"/>
          <w:color w:val="0A0A0A"/>
          <w:sz w:val="24"/>
          <w:szCs w:val="24"/>
        </w:rPr>
        <w:t>dispossessed ‘other’.</w:t>
      </w:r>
      <w:r w:rsidRPr="00411AE0">
        <w:rPr>
          <w:rFonts w:ascii="Garamond" w:eastAsia="Cambria" w:hAnsi="Garamond" w:cs="Cambria"/>
          <w:color w:val="0A0A0A"/>
          <w:sz w:val="24"/>
          <w:szCs w:val="24"/>
        </w:rPr>
        <w:t xml:space="preserve"> </w:t>
      </w:r>
      <w:r w:rsidR="00DD2D4C">
        <w:rPr>
          <w:rFonts w:ascii="Garamond" w:eastAsia="Cambria" w:hAnsi="Garamond" w:cs="Cambria"/>
          <w:color w:val="0A0A0A"/>
          <w:sz w:val="24"/>
          <w:szCs w:val="24"/>
        </w:rPr>
        <w:br/>
        <w:t xml:space="preserve"> </w:t>
      </w:r>
      <w:r w:rsidR="00DD2D4C">
        <w:rPr>
          <w:rFonts w:ascii="Garamond" w:eastAsia="Cambria" w:hAnsi="Garamond" w:cs="Cambria"/>
          <w:color w:val="0A0A0A"/>
          <w:sz w:val="24"/>
          <w:szCs w:val="24"/>
        </w:rPr>
        <w:tab/>
        <w:t>Our reflection—by foregrounding key historical patterns—suggests that the</w:t>
      </w:r>
      <w:r w:rsidR="00DD2D4C" w:rsidRPr="00411AE0">
        <w:rPr>
          <w:rFonts w:ascii="Garamond" w:eastAsia="Cambria" w:hAnsi="Garamond" w:cs="Cambria"/>
          <w:color w:val="0A0A0A"/>
          <w:sz w:val="24"/>
          <w:szCs w:val="24"/>
        </w:rPr>
        <w:t xml:space="preserve"> unrivalled powers of </w:t>
      </w:r>
      <w:r w:rsidR="00DD2D4C">
        <w:rPr>
          <w:rFonts w:ascii="Garamond" w:eastAsia="Cambria" w:hAnsi="Garamond" w:cs="Cambria"/>
          <w:color w:val="0A0A0A"/>
          <w:sz w:val="24"/>
          <w:szCs w:val="24"/>
        </w:rPr>
        <w:t>TNCs to exploit the advantages of legal p</w:t>
      </w:r>
      <w:r w:rsidR="00DD2D4C" w:rsidRPr="00411AE0">
        <w:rPr>
          <w:rFonts w:ascii="Garamond" w:eastAsia="Cambria" w:hAnsi="Garamond" w:cs="Cambria"/>
          <w:color w:val="0A0A0A"/>
          <w:sz w:val="24"/>
          <w:szCs w:val="24"/>
        </w:rPr>
        <w:t>erson</w:t>
      </w:r>
      <w:r w:rsidR="00DD2D4C">
        <w:rPr>
          <w:rFonts w:ascii="Garamond" w:eastAsia="Cambria" w:hAnsi="Garamond" w:cs="Cambria"/>
          <w:color w:val="0A0A0A"/>
          <w:sz w:val="24"/>
          <w:szCs w:val="24"/>
        </w:rPr>
        <w:t xml:space="preserve">ality </w:t>
      </w:r>
      <w:r w:rsidR="00DD2D4C" w:rsidRPr="00411AE0">
        <w:rPr>
          <w:rFonts w:ascii="Garamond" w:eastAsia="Cambria" w:hAnsi="Garamond" w:cs="Cambria"/>
          <w:color w:val="0A0A0A"/>
          <w:sz w:val="24"/>
          <w:szCs w:val="24"/>
        </w:rPr>
        <w:t>and</w:t>
      </w:r>
      <w:r w:rsidR="00DD2D4C">
        <w:rPr>
          <w:rFonts w:ascii="Garamond" w:eastAsia="Cambria" w:hAnsi="Garamond" w:cs="Cambria"/>
          <w:color w:val="0A0A0A"/>
          <w:sz w:val="24"/>
          <w:szCs w:val="24"/>
        </w:rPr>
        <w:t xml:space="preserve"> </w:t>
      </w:r>
      <w:r w:rsidR="001839A4">
        <w:rPr>
          <w:rFonts w:ascii="Garamond" w:eastAsia="Cambria" w:hAnsi="Garamond" w:cs="Cambria"/>
          <w:color w:val="0A0A0A"/>
          <w:sz w:val="24"/>
          <w:szCs w:val="24"/>
        </w:rPr>
        <w:t>evade jurisdictional accountability by utilising jurisdictional technique</w:t>
      </w:r>
      <w:r w:rsidR="00DD2D4C" w:rsidRPr="00411AE0">
        <w:rPr>
          <w:rFonts w:ascii="Garamond" w:eastAsia="Cambria" w:hAnsi="Garamond" w:cs="Cambria"/>
          <w:color w:val="0A0A0A"/>
          <w:sz w:val="24"/>
          <w:szCs w:val="24"/>
        </w:rPr>
        <w:t xml:space="preserve"> operate as </w:t>
      </w:r>
      <w:r w:rsidR="00DD2D4C">
        <w:rPr>
          <w:rFonts w:ascii="Garamond" w:eastAsia="Cambria" w:hAnsi="Garamond" w:cs="Cambria"/>
          <w:color w:val="0A0A0A"/>
          <w:sz w:val="24"/>
          <w:szCs w:val="24"/>
        </w:rPr>
        <w:t>a manifestation</w:t>
      </w:r>
      <w:r w:rsidR="00DD2D4C" w:rsidRPr="00411AE0">
        <w:rPr>
          <w:rFonts w:ascii="Garamond" w:eastAsia="Cambria" w:hAnsi="Garamond" w:cs="Cambria"/>
          <w:color w:val="0A0A0A"/>
          <w:sz w:val="24"/>
          <w:szCs w:val="24"/>
        </w:rPr>
        <w:t xml:space="preserve"> of power and oppression</w:t>
      </w:r>
      <w:r w:rsidR="00DD2D4C">
        <w:rPr>
          <w:rFonts w:ascii="Garamond" w:eastAsia="Cambria" w:hAnsi="Garamond" w:cs="Cambria"/>
          <w:color w:val="0A0A0A"/>
          <w:sz w:val="24"/>
          <w:szCs w:val="24"/>
        </w:rPr>
        <w:t xml:space="preserve"> that ultimately takes significant energy from selectively</w:t>
      </w:r>
      <w:r w:rsidR="00DD2D4C" w:rsidRPr="00411AE0">
        <w:rPr>
          <w:rFonts w:ascii="Garamond" w:eastAsia="Cambria" w:hAnsi="Garamond" w:cs="Cambria"/>
          <w:color w:val="0A0A0A"/>
          <w:sz w:val="24"/>
          <w:szCs w:val="24"/>
        </w:rPr>
        <w:t xml:space="preserve"> weaponise</w:t>
      </w:r>
      <w:r w:rsidR="00DD2D4C">
        <w:rPr>
          <w:rFonts w:ascii="Garamond" w:eastAsia="Cambria" w:hAnsi="Garamond" w:cs="Cambria"/>
          <w:color w:val="0A0A0A"/>
          <w:sz w:val="24"/>
          <w:szCs w:val="24"/>
        </w:rPr>
        <w:t>d</w:t>
      </w:r>
      <w:r w:rsidR="00DD2D4C" w:rsidRPr="00411AE0">
        <w:rPr>
          <w:rFonts w:ascii="Garamond" w:eastAsia="Cambria" w:hAnsi="Garamond" w:cs="Cambria"/>
          <w:color w:val="0A0A0A"/>
          <w:sz w:val="24"/>
          <w:szCs w:val="24"/>
        </w:rPr>
        <w:t xml:space="preserve"> notions of rationality and territoriality.</w:t>
      </w:r>
      <w:r w:rsidR="00DD2D4C">
        <w:rPr>
          <w:rFonts w:ascii="Garamond" w:eastAsia="Cambria" w:hAnsi="Garamond" w:cs="Cambria"/>
          <w:color w:val="0A0A0A"/>
          <w:sz w:val="24"/>
          <w:szCs w:val="24"/>
        </w:rPr>
        <w:t xml:space="preserve"> </w:t>
      </w:r>
      <w:r w:rsidRPr="00411AE0">
        <w:rPr>
          <w:rFonts w:ascii="Garamond" w:eastAsia="Cambria" w:hAnsi="Garamond" w:cs="Cambria"/>
          <w:color w:val="0A0A0A"/>
          <w:sz w:val="24"/>
          <w:szCs w:val="24"/>
        </w:rPr>
        <w:t>Future research and theorisation exploring the contrast between law’s ultimate insiders and its co-symptomatically produced outsiders should, we suggest, focus particular attention on the feats of selectivity cloaked by law’s putatively neutral operations</w:t>
      </w:r>
      <w:r w:rsidR="00DD2D4C">
        <w:rPr>
          <w:rFonts w:ascii="Garamond" w:eastAsia="Cambria" w:hAnsi="Garamond" w:cs="Cambria"/>
          <w:color w:val="0A0A0A"/>
          <w:sz w:val="24"/>
          <w:szCs w:val="24"/>
        </w:rPr>
        <w:t>—</w:t>
      </w:r>
      <w:r w:rsidRPr="00411AE0">
        <w:rPr>
          <w:rFonts w:ascii="Garamond" w:eastAsia="Cambria" w:hAnsi="Garamond" w:cs="Cambria"/>
          <w:color w:val="0A0A0A"/>
          <w:sz w:val="24"/>
          <w:szCs w:val="24"/>
        </w:rPr>
        <w:t xml:space="preserve">and explore in more detail than has been possible here, personhood and jurisdiction </w:t>
      </w:r>
      <w:r w:rsidR="00DD2D4C">
        <w:rPr>
          <w:rFonts w:ascii="Garamond" w:eastAsia="Cambria" w:hAnsi="Garamond" w:cs="Cambria"/>
          <w:color w:val="0A0A0A"/>
          <w:sz w:val="24"/>
          <w:szCs w:val="24"/>
        </w:rPr>
        <w:t>as</w:t>
      </w:r>
      <w:r w:rsidRPr="00411AE0">
        <w:rPr>
          <w:rFonts w:ascii="Garamond" w:eastAsia="Cambria" w:hAnsi="Garamond" w:cs="Cambria"/>
          <w:color w:val="0A0A0A"/>
          <w:sz w:val="24"/>
          <w:szCs w:val="24"/>
        </w:rPr>
        <w:t xml:space="preserve"> </w:t>
      </w:r>
      <w:r w:rsidR="005B7005">
        <w:rPr>
          <w:rFonts w:ascii="Garamond" w:eastAsia="Cambria" w:hAnsi="Garamond" w:cs="Cambria"/>
          <w:color w:val="0A0A0A"/>
          <w:sz w:val="24"/>
          <w:szCs w:val="24"/>
        </w:rPr>
        <w:t xml:space="preserve">important </w:t>
      </w:r>
      <w:r w:rsidRPr="00411AE0">
        <w:rPr>
          <w:rFonts w:ascii="Garamond" w:eastAsia="Cambria" w:hAnsi="Garamond" w:cs="Cambria"/>
          <w:color w:val="0A0A0A"/>
          <w:sz w:val="24"/>
          <w:szCs w:val="24"/>
        </w:rPr>
        <w:t>levers of neoliberal exclusion and predation in the ‘postcolonial’ global order.</w:t>
      </w:r>
      <w:r w:rsidR="001839A4">
        <w:rPr>
          <w:rFonts w:ascii="Garamond" w:eastAsia="Cambria" w:hAnsi="Garamond" w:cs="Cambria"/>
          <w:color w:val="0A0A0A"/>
          <w:sz w:val="24"/>
          <w:szCs w:val="24"/>
        </w:rPr>
        <w:t xml:space="preserve"> </w:t>
      </w:r>
    </w:p>
    <w:p w14:paraId="2EAD2A45" w14:textId="77777777" w:rsidR="00321784" w:rsidRDefault="00321784" w:rsidP="00321784"/>
    <w:p w14:paraId="24F33BDE" w14:textId="36828E91" w:rsidR="00DA3BE0" w:rsidRDefault="00DA3BE0" w:rsidP="00321784">
      <w:pPr>
        <w:pStyle w:val="Normal1"/>
        <w:spacing w:after="200" w:line="240" w:lineRule="auto"/>
        <w:rPr>
          <w:rFonts w:ascii="Garamond" w:eastAsia="Times New Roman" w:hAnsi="Garamond" w:cs="Times New Roman"/>
          <w:color w:val="000000"/>
          <w:sz w:val="24"/>
          <w:szCs w:val="24"/>
          <w:lang w:eastAsia="en-GB"/>
        </w:rPr>
      </w:pPr>
    </w:p>
    <w:p w14:paraId="399F7053" w14:textId="7BF13B2D" w:rsidR="006A3C76" w:rsidRPr="00227AFD" w:rsidRDefault="00DA3BE0" w:rsidP="00321784">
      <w:pPr>
        <w:pStyle w:val="Normal1"/>
        <w:spacing w:after="200" w:line="240" w:lineRule="auto"/>
        <w:rPr>
          <w:rFonts w:ascii="Garamond" w:eastAsia="Cambria" w:hAnsi="Garamond" w:cs="Cambria"/>
          <w:color w:val="0A0A0A"/>
          <w:sz w:val="24"/>
          <w:szCs w:val="24"/>
        </w:rPr>
      </w:pPr>
      <w:r>
        <w:rPr>
          <w:rFonts w:ascii="Garamond" w:eastAsia="Times New Roman" w:hAnsi="Garamond" w:cs="Times New Roman"/>
          <w:color w:val="000000"/>
          <w:sz w:val="24"/>
          <w:szCs w:val="24"/>
          <w:lang w:eastAsia="en-GB"/>
        </w:rPr>
        <w:br/>
      </w:r>
      <w:r w:rsidR="00503CFB">
        <w:rPr>
          <w:rFonts w:ascii="Garamond" w:eastAsia="Times New Roman" w:hAnsi="Garamond" w:cs="Times New Roman"/>
          <w:color w:val="000000"/>
          <w:sz w:val="24"/>
          <w:szCs w:val="24"/>
          <w:lang w:eastAsia="en-GB"/>
        </w:rPr>
        <w:br/>
      </w:r>
    </w:p>
    <w:sectPr w:rsidR="006A3C76" w:rsidRPr="00227AFD">
      <w:footerReference w:type="even" r:id="rId8"/>
      <w:footerReference w:type="default" r:id="rId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1DF7FA" w16cid:durableId="1FABFD53"/>
  <w16cid:commentId w16cid:paraId="2991A392" w16cid:durableId="1FABFD71"/>
  <w16cid:commentId w16cid:paraId="269FF17B" w16cid:durableId="1FABFDED"/>
  <w16cid:commentId w16cid:paraId="6F2E169F" w16cid:durableId="1FABFEA2"/>
  <w16cid:commentId w16cid:paraId="7DF4FCF5" w16cid:durableId="1FABFFA8"/>
  <w16cid:commentId w16cid:paraId="6C51DA15" w16cid:durableId="1FABFFBF"/>
  <w16cid:commentId w16cid:paraId="73A39CD4" w16cid:durableId="1FAC0018"/>
  <w16cid:commentId w16cid:paraId="6F5EC42C" w16cid:durableId="1FAF64DC"/>
  <w16cid:commentId w16cid:paraId="2CFB3C36" w16cid:durableId="1FAC0300"/>
  <w16cid:commentId w16cid:paraId="7656A9AF" w16cid:durableId="1FAC034F"/>
  <w16cid:commentId w16cid:paraId="6BF91EA6" w16cid:durableId="1FAF8B78"/>
  <w16cid:commentId w16cid:paraId="69C022A3" w16cid:durableId="1FAF8CB3"/>
  <w16cid:commentId w16cid:paraId="5F802668" w16cid:durableId="1FAF8D32"/>
  <w16cid:commentId w16cid:paraId="34DC059C" w16cid:durableId="1FAC073D"/>
  <w16cid:commentId w16cid:paraId="4EA601E7" w16cid:durableId="1FAC0C13"/>
  <w16cid:commentId w16cid:paraId="6A35BFFB" w16cid:durableId="1FAC0FE4"/>
  <w16cid:commentId w16cid:paraId="608FFFAB" w16cid:durableId="1FAF9165"/>
  <w16cid:commentId w16cid:paraId="014B6F85" w16cid:durableId="1FAF919E"/>
  <w16cid:commentId w16cid:paraId="4787D2C1" w16cid:durableId="1FAF93AC"/>
  <w16cid:commentId w16cid:paraId="2F274559" w16cid:durableId="1FAE71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32692" w14:textId="77777777" w:rsidR="002D4C66" w:rsidRDefault="002D4C66" w:rsidP="00D8759E">
      <w:pPr>
        <w:spacing w:after="0" w:line="240" w:lineRule="auto"/>
      </w:pPr>
      <w:r>
        <w:separator/>
      </w:r>
    </w:p>
  </w:endnote>
  <w:endnote w:type="continuationSeparator" w:id="0">
    <w:p w14:paraId="0E1DF467" w14:textId="77777777" w:rsidR="002D4C66" w:rsidRDefault="002D4C66" w:rsidP="00D87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Ten-Roman">
    <w:altName w:val="Cambria"/>
    <w:panose1 w:val="00000000000000000000"/>
    <w:charset w:val="00"/>
    <w:family w:val="roman"/>
    <w:notTrueType/>
    <w:pitch w:val="default"/>
    <w:sig w:usb0="00000003" w:usb1="00000000" w:usb2="00000000" w:usb3="00000000" w:csb0="00000001" w:csb1="00000000"/>
  </w:font>
  <w:font w:name="ˇıøW¸Á">
    <w:altName w:val="Cambria"/>
    <w:panose1 w:val="00000000000000000000"/>
    <w:charset w:val="4D"/>
    <w:family w:val="auto"/>
    <w:notTrueType/>
    <w:pitch w:val="default"/>
    <w:sig w:usb0="00000003" w:usb1="00000000" w:usb2="00000000" w:usb3="00000000" w:csb0="00000001" w:csb1="00000000"/>
  </w:font>
  <w:font w:name="–Oˆø/√Á">
    <w:altName w:val="Cambria"/>
    <w:panose1 w:val="00000000000000000000"/>
    <w:charset w:val="4D"/>
    <w:family w:val="auto"/>
    <w:notTrueType/>
    <w:pitch w:val="default"/>
    <w:sig w:usb0="00000003" w:usb1="00000000" w:usb2="00000000" w:usb3="00000000" w:csb0="00000001" w:csb1="00000000"/>
  </w:font>
  <w:font w:name="†ø˛øW&lt;ﬂ">
    <w:altName w:val="Cambria"/>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LTStd-Roman">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C449" w14:textId="77777777" w:rsidR="00082E6E" w:rsidRDefault="00082E6E" w:rsidP="00B07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05ABC0" w14:textId="77777777" w:rsidR="00082E6E" w:rsidRDefault="00082E6E" w:rsidP="00BB76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5BC09" w14:textId="525372F0" w:rsidR="00082E6E" w:rsidRDefault="00082E6E" w:rsidP="00B076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54FF">
      <w:rPr>
        <w:rStyle w:val="PageNumber"/>
        <w:noProof/>
      </w:rPr>
      <w:t>1</w:t>
    </w:r>
    <w:r>
      <w:rPr>
        <w:rStyle w:val="PageNumber"/>
      </w:rPr>
      <w:fldChar w:fldCharType="end"/>
    </w:r>
  </w:p>
  <w:p w14:paraId="789A1C1F" w14:textId="77777777" w:rsidR="00082E6E" w:rsidRDefault="00082E6E" w:rsidP="00B076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93861" w14:textId="77777777" w:rsidR="002D4C66" w:rsidRDefault="002D4C66" w:rsidP="00D8759E">
      <w:pPr>
        <w:spacing w:after="0" w:line="240" w:lineRule="auto"/>
      </w:pPr>
      <w:r>
        <w:separator/>
      </w:r>
    </w:p>
  </w:footnote>
  <w:footnote w:type="continuationSeparator" w:id="0">
    <w:p w14:paraId="30A1267A" w14:textId="77777777" w:rsidR="002D4C66" w:rsidRDefault="002D4C66" w:rsidP="00D8759E">
      <w:pPr>
        <w:spacing w:after="0" w:line="240" w:lineRule="auto"/>
      </w:pPr>
      <w:r>
        <w:continuationSeparator/>
      </w:r>
    </w:p>
  </w:footnote>
  <w:footnote w:id="1">
    <w:p w14:paraId="17123AAD" w14:textId="0B12B4F2" w:rsidR="00082E6E" w:rsidRPr="00411AE0" w:rsidRDefault="00082E6E">
      <w:pPr>
        <w:pStyle w:val="FootnoteText"/>
        <w:rPr>
          <w:rFonts w:ascii="Garamond" w:hAnsi="Garamond"/>
          <w:lang w:val="en-US"/>
        </w:rPr>
      </w:pPr>
      <w:r w:rsidRPr="00411AE0">
        <w:rPr>
          <w:rStyle w:val="FootnoteReference"/>
          <w:rFonts w:ascii="Garamond" w:hAnsi="Garamond"/>
        </w:rPr>
        <w:t>*</w:t>
      </w:r>
      <w:r w:rsidRPr="00411AE0">
        <w:rPr>
          <w:rFonts w:ascii="Garamond" w:hAnsi="Garamond"/>
        </w:rPr>
        <w:t xml:space="preserve"> </w:t>
      </w:r>
      <w:r>
        <w:rPr>
          <w:rFonts w:ascii="Garamond" w:hAnsi="Garamond"/>
        </w:rPr>
        <w:t>We would like to thank, for their warm feedback on an earlier draft: Richard Falk, Susan Marks and Upendra Baxi, and for some useful editorial suggestions, Sam Adelman. We would also like to thank Stephen Humphreys for his generous provision of anonymous reviewer comments; the anonymous reviewers of the JHRE; and Louis Kotze and Julia Dehm for their valuable guidance and observations. Any errors, of course, remain ours alone.</w:t>
      </w:r>
    </w:p>
  </w:footnote>
  <w:footnote w:id="2">
    <w:p w14:paraId="43F8AA7F" w14:textId="1AB110A1" w:rsidR="00082E6E" w:rsidRPr="00411AE0" w:rsidRDefault="00082E6E" w:rsidP="00161F5A">
      <w:pPr>
        <w:spacing w:line="240" w:lineRule="auto"/>
        <w:rPr>
          <w:rFonts w:ascii="Garamond" w:eastAsia="Times New Roman" w:hAnsi="Garamond" w:cs="Times New Roman"/>
          <w:sz w:val="20"/>
          <w:szCs w:val="20"/>
        </w:rPr>
      </w:pPr>
      <w:r w:rsidRPr="00411AE0">
        <w:rPr>
          <w:rStyle w:val="FootnoteReference"/>
          <w:rFonts w:ascii="Garamond" w:hAnsi="Garamond"/>
          <w:sz w:val="20"/>
          <w:szCs w:val="20"/>
        </w:rPr>
        <w:footnoteRef/>
      </w:r>
      <w:r w:rsidRPr="00411AE0">
        <w:rPr>
          <w:rFonts w:ascii="Garamond" w:hAnsi="Garamond"/>
          <w:sz w:val="20"/>
          <w:szCs w:val="20"/>
        </w:rPr>
        <w:t xml:space="preserve"> TNCs enjoy considerable, organised advantages in the world order. See, for a useful discussion, JG </w:t>
      </w:r>
      <w:r w:rsidRPr="00411AE0">
        <w:rPr>
          <w:rStyle w:val="author"/>
          <w:rFonts w:ascii="Garamond" w:eastAsia="Times New Roman" w:hAnsi="Garamond" w:cs="Arial"/>
          <w:color w:val="333333"/>
          <w:sz w:val="20"/>
          <w:szCs w:val="20"/>
          <w:bdr w:val="none" w:sz="0" w:space="0" w:color="auto" w:frame="1"/>
        </w:rPr>
        <w:t>Ruggie, ‘</w:t>
      </w:r>
      <w:r w:rsidRPr="00411AE0">
        <w:rPr>
          <w:rStyle w:val="articletitle"/>
          <w:rFonts w:ascii="Garamond" w:eastAsia="Times New Roman" w:hAnsi="Garamond" w:cs="Arial"/>
          <w:color w:val="333333"/>
          <w:sz w:val="20"/>
          <w:szCs w:val="20"/>
          <w:bdr w:val="none" w:sz="0" w:space="0" w:color="auto" w:frame="1"/>
        </w:rPr>
        <w:t>Multinationals as global institution: Power, authority and relative autonomy’ (2017)</w:t>
      </w:r>
      <w:r w:rsidRPr="00411AE0">
        <w:rPr>
          <w:rStyle w:val="apple-converted-space"/>
          <w:rFonts w:ascii="Garamond" w:eastAsia="Times New Roman" w:hAnsi="Garamond" w:cs="Arial"/>
          <w:color w:val="333333"/>
          <w:sz w:val="20"/>
          <w:szCs w:val="20"/>
          <w:shd w:val="clear" w:color="auto" w:fill="FFFFFF"/>
        </w:rPr>
        <w:t> </w:t>
      </w:r>
      <w:r w:rsidRPr="00411AE0">
        <w:rPr>
          <w:rStyle w:val="journaltitle"/>
          <w:rFonts w:ascii="Garamond" w:eastAsia="Times New Roman" w:hAnsi="Garamond" w:cs="Arial"/>
          <w:i/>
          <w:color w:val="333333"/>
          <w:sz w:val="20"/>
          <w:szCs w:val="20"/>
          <w:bdr w:val="none" w:sz="0" w:space="0" w:color="auto" w:frame="1"/>
        </w:rPr>
        <w:t>Regulation &amp; Governance</w:t>
      </w:r>
      <w:r w:rsidRPr="00411AE0">
        <w:rPr>
          <w:rFonts w:ascii="Garamond" w:eastAsia="Times New Roman" w:hAnsi="Garamond" w:cs="Arial"/>
          <w:color w:val="333333"/>
          <w:sz w:val="20"/>
          <w:szCs w:val="20"/>
          <w:shd w:val="clear" w:color="auto" w:fill="FFFFFF"/>
        </w:rPr>
        <w:t xml:space="preserve">, </w:t>
      </w:r>
      <w:r w:rsidRPr="00411AE0">
        <w:rPr>
          <w:rFonts w:ascii="Garamond" w:eastAsia="Times New Roman" w:hAnsi="Garamond" w:cs="Arial"/>
          <w:color w:val="000000" w:themeColor="text1"/>
          <w:sz w:val="20"/>
          <w:szCs w:val="20"/>
          <w:shd w:val="clear" w:color="auto" w:fill="FFFFFF"/>
        </w:rPr>
        <w:t>(doi:</w:t>
      </w:r>
      <w:r w:rsidRPr="00411AE0">
        <w:rPr>
          <w:rStyle w:val="apple-converted-space"/>
          <w:rFonts w:ascii="Garamond" w:eastAsia="Times New Roman" w:hAnsi="Garamond" w:cs="Arial"/>
          <w:color w:val="000000" w:themeColor="text1"/>
          <w:sz w:val="20"/>
          <w:szCs w:val="20"/>
          <w:shd w:val="clear" w:color="auto" w:fill="FFFFFF"/>
        </w:rPr>
        <w:t> </w:t>
      </w:r>
      <w:hyperlink r:id="rId1" w:tgtFrame="_blank" w:tooltip="Link to external resource: 10.1111/rego.12154" w:history="1">
        <w:r w:rsidRPr="00411AE0">
          <w:rPr>
            <w:rStyle w:val="Hyperlink"/>
            <w:rFonts w:ascii="Garamond" w:eastAsia="Times New Roman" w:hAnsi="Garamond" w:cs="Arial"/>
            <w:color w:val="000000" w:themeColor="text1"/>
            <w:sz w:val="20"/>
            <w:szCs w:val="20"/>
            <w:u w:val="none"/>
          </w:rPr>
          <w:t>10.1111/rego.12154</w:t>
        </w:r>
      </w:hyperlink>
      <w:r w:rsidRPr="00411AE0">
        <w:rPr>
          <w:rFonts w:ascii="Garamond" w:eastAsia="Times New Roman" w:hAnsi="Garamond" w:cs="Arial"/>
          <w:color w:val="000000" w:themeColor="text1"/>
          <w:sz w:val="20"/>
          <w:szCs w:val="20"/>
          <w:shd w:val="clear" w:color="auto" w:fill="FFFFFF"/>
        </w:rPr>
        <w:t xml:space="preserve">.  Date of last access: </w:t>
      </w:r>
      <w:r>
        <w:rPr>
          <w:rFonts w:ascii="Garamond" w:eastAsia="Times New Roman" w:hAnsi="Garamond" w:cs="Arial"/>
          <w:color w:val="000000" w:themeColor="text1"/>
          <w:sz w:val="20"/>
          <w:szCs w:val="20"/>
          <w:shd w:val="clear" w:color="auto" w:fill="FFFFFF"/>
        </w:rPr>
        <w:t>2</w:t>
      </w:r>
      <w:r w:rsidRPr="00411AE0">
        <w:rPr>
          <w:rFonts w:ascii="Garamond" w:eastAsia="Times New Roman" w:hAnsi="Garamond" w:cs="Arial"/>
          <w:color w:val="000000" w:themeColor="text1"/>
          <w:sz w:val="20"/>
          <w:szCs w:val="20"/>
          <w:shd w:val="clear" w:color="auto" w:fill="FFFFFF"/>
        </w:rPr>
        <w:t>6</w:t>
      </w:r>
      <w:r w:rsidRPr="00411AE0">
        <w:rPr>
          <w:rFonts w:ascii="Garamond" w:eastAsia="Times New Roman" w:hAnsi="Garamond" w:cs="Arial"/>
          <w:color w:val="000000" w:themeColor="text1"/>
          <w:sz w:val="20"/>
          <w:szCs w:val="20"/>
          <w:shd w:val="clear" w:color="auto" w:fill="FFFFFF"/>
          <w:vertAlign w:val="superscript"/>
        </w:rPr>
        <w:t>th</w:t>
      </w:r>
      <w:r w:rsidRPr="00411AE0">
        <w:rPr>
          <w:rFonts w:ascii="Garamond" w:eastAsia="Times New Roman" w:hAnsi="Garamond" w:cs="Arial"/>
          <w:color w:val="000000" w:themeColor="text1"/>
          <w:sz w:val="20"/>
          <w:szCs w:val="20"/>
          <w:shd w:val="clear" w:color="auto" w:fill="FFFFFF"/>
        </w:rPr>
        <w:t xml:space="preserve"> November 201</w:t>
      </w:r>
      <w:r>
        <w:rPr>
          <w:rFonts w:ascii="Garamond" w:eastAsia="Times New Roman" w:hAnsi="Garamond" w:cs="Arial"/>
          <w:color w:val="000000" w:themeColor="text1"/>
          <w:sz w:val="20"/>
          <w:szCs w:val="20"/>
          <w:shd w:val="clear" w:color="auto" w:fill="FFFFFF"/>
        </w:rPr>
        <w:t>8</w:t>
      </w:r>
      <w:r w:rsidRPr="00411AE0">
        <w:rPr>
          <w:rFonts w:ascii="Garamond" w:eastAsia="Times New Roman" w:hAnsi="Garamond" w:cs="Arial"/>
          <w:color w:val="000000" w:themeColor="text1"/>
          <w:sz w:val="20"/>
          <w:szCs w:val="20"/>
          <w:shd w:val="clear" w:color="auto" w:fill="FFFFFF"/>
        </w:rPr>
        <w:t>).</w:t>
      </w:r>
      <w:r>
        <w:rPr>
          <w:rFonts w:ascii="Garamond" w:eastAsia="Times New Roman" w:hAnsi="Garamond" w:cs="Arial"/>
          <w:color w:val="000000" w:themeColor="text1"/>
          <w:sz w:val="20"/>
          <w:szCs w:val="20"/>
          <w:shd w:val="clear" w:color="auto" w:fill="FFFFFF"/>
        </w:rPr>
        <w:t xml:space="preserve"> </w:t>
      </w:r>
    </w:p>
  </w:footnote>
  <w:footnote w:id="3">
    <w:p w14:paraId="35B1A972" w14:textId="77777777" w:rsidR="00082E6E" w:rsidRPr="00B765FD" w:rsidRDefault="00082E6E" w:rsidP="00161F5A">
      <w:pPr>
        <w:pStyle w:val="FootnoteText"/>
        <w:rPr>
          <w:rFonts w:ascii="Garamond" w:hAnsi="Garamond"/>
          <w:lang w:val="en-US"/>
        </w:rPr>
      </w:pPr>
      <w:r w:rsidRPr="007138F4">
        <w:rPr>
          <w:rStyle w:val="FootnoteReference"/>
          <w:rFonts w:ascii="Garamond" w:hAnsi="Garamond"/>
        </w:rPr>
        <w:footnoteRef/>
      </w:r>
      <w:r w:rsidRPr="00783F4B">
        <w:rPr>
          <w:rFonts w:ascii="Garamond" w:hAnsi="Garamond"/>
        </w:rPr>
        <w:t xml:space="preserve"> S Sassen, </w:t>
      </w:r>
      <w:r w:rsidRPr="00783F4B">
        <w:rPr>
          <w:rFonts w:ascii="Garamond" w:hAnsi="Garamond"/>
          <w:i/>
        </w:rPr>
        <w:t xml:space="preserve">Expulsions: Brutality and Complexity in the Global Economy </w:t>
      </w:r>
      <w:r w:rsidRPr="00783F4B">
        <w:rPr>
          <w:rFonts w:ascii="Garamond" w:hAnsi="Garamond"/>
        </w:rPr>
        <w:t xml:space="preserve">(Cambridge, Mass: Harvard University Press, 2014). Pressures are only likely to multiply with climate change driven displacements and deepening insecurity: J Barnett and WN Adger, ‘Climate change, </w:t>
      </w:r>
      <w:r w:rsidRPr="00E977AA">
        <w:rPr>
          <w:rFonts w:ascii="Garamond" w:hAnsi="Garamond"/>
        </w:rPr>
        <w:t xml:space="preserve">human security and violent conflict’ (2007) 26 </w:t>
      </w:r>
      <w:r w:rsidRPr="00E977AA">
        <w:rPr>
          <w:rFonts w:ascii="Garamond" w:hAnsi="Garamond"/>
          <w:i/>
        </w:rPr>
        <w:t>Political Geography</w:t>
      </w:r>
      <w:r w:rsidRPr="00E977AA">
        <w:rPr>
          <w:rFonts w:ascii="Garamond" w:hAnsi="Garamond"/>
        </w:rPr>
        <w:t xml:space="preserve"> 639-655.</w:t>
      </w:r>
    </w:p>
  </w:footnote>
  <w:footnote w:id="4">
    <w:p w14:paraId="110C81D2" w14:textId="6796A990" w:rsidR="00082E6E" w:rsidRPr="00A7059F" w:rsidRDefault="00082E6E" w:rsidP="007138F4">
      <w:pPr>
        <w:widowControl w:val="0"/>
        <w:autoSpaceDE w:val="0"/>
        <w:autoSpaceDN w:val="0"/>
        <w:adjustRightInd w:val="0"/>
        <w:spacing w:after="0" w:line="240" w:lineRule="auto"/>
        <w:rPr>
          <w:rFonts w:ascii="Garamond" w:hAnsi="Garamond" w:cs="Times New Roman"/>
          <w:color w:val="000000"/>
          <w:sz w:val="20"/>
          <w:szCs w:val="20"/>
          <w:lang w:val="en-US"/>
        </w:rPr>
      </w:pPr>
      <w:r w:rsidRPr="00A7059F">
        <w:rPr>
          <w:rStyle w:val="FootnoteReference"/>
          <w:rFonts w:ascii="Garamond" w:hAnsi="Garamond"/>
          <w:sz w:val="20"/>
          <w:szCs w:val="20"/>
        </w:rPr>
        <w:footnoteRef/>
      </w:r>
      <w:r w:rsidRPr="00A7059F">
        <w:rPr>
          <w:rFonts w:ascii="Garamond" w:hAnsi="Garamond"/>
          <w:sz w:val="20"/>
          <w:szCs w:val="20"/>
        </w:rPr>
        <w:t xml:space="preserve"> </w:t>
      </w:r>
      <w:r w:rsidRPr="00A7059F">
        <w:rPr>
          <w:rFonts w:ascii="Garamond" w:hAnsi="Garamond" w:cs="Times New Roman"/>
          <w:color w:val="000000"/>
          <w:sz w:val="20"/>
          <w:szCs w:val="20"/>
          <w:lang w:val="en-US"/>
        </w:rPr>
        <w:t xml:space="preserve"> </w:t>
      </w:r>
      <w:r>
        <w:rPr>
          <w:rFonts w:ascii="Garamond" w:hAnsi="Garamond" w:cs="Times New Roman"/>
          <w:color w:val="000000"/>
          <w:sz w:val="20"/>
          <w:szCs w:val="20"/>
          <w:lang w:val="en-US"/>
        </w:rPr>
        <w:t xml:space="preserve">D Haraway, </w:t>
      </w:r>
      <w:r w:rsidRPr="00A7059F">
        <w:rPr>
          <w:rFonts w:ascii="Garamond" w:hAnsi="Garamond" w:cs="Times New Roman"/>
          <w:color w:val="000000"/>
          <w:sz w:val="20"/>
          <w:szCs w:val="20"/>
          <w:lang w:val="en-US"/>
        </w:rPr>
        <w:t>‘Anthropocene, Capitolocene, Chthulucene: Staying with the Trouble’, a lecture given by Donna</w:t>
      </w:r>
    </w:p>
    <w:p w14:paraId="31E0FAEF" w14:textId="4C6641EC" w:rsidR="00082E6E" w:rsidRPr="00A7059F" w:rsidRDefault="00082E6E" w:rsidP="00A7059F">
      <w:pPr>
        <w:widowControl w:val="0"/>
        <w:autoSpaceDE w:val="0"/>
        <w:autoSpaceDN w:val="0"/>
        <w:adjustRightInd w:val="0"/>
        <w:spacing w:after="0" w:line="240" w:lineRule="auto"/>
        <w:rPr>
          <w:rFonts w:ascii="Garamond" w:hAnsi="Garamond" w:cs="Times New Roman"/>
          <w:color w:val="000000"/>
          <w:sz w:val="20"/>
          <w:szCs w:val="20"/>
          <w:lang w:val="en-US"/>
        </w:rPr>
      </w:pPr>
      <w:r w:rsidRPr="00A7059F">
        <w:rPr>
          <w:rFonts w:ascii="Garamond" w:hAnsi="Garamond" w:cs="Times New Roman"/>
          <w:color w:val="000000"/>
          <w:sz w:val="20"/>
          <w:szCs w:val="20"/>
          <w:lang w:val="en-US"/>
        </w:rPr>
        <w:t>Haraway at University of California, Santa Cruz on 5th September 2014, available at</w:t>
      </w:r>
      <w:r>
        <w:rPr>
          <w:rFonts w:ascii="Garamond" w:hAnsi="Garamond" w:cs="Times New Roman"/>
          <w:color w:val="000000"/>
          <w:sz w:val="20"/>
          <w:szCs w:val="20"/>
          <w:lang w:val="en-US"/>
        </w:rPr>
        <w:t xml:space="preserve"> </w:t>
      </w:r>
      <w:r w:rsidRPr="00A7059F">
        <w:rPr>
          <w:rFonts w:ascii="Garamond" w:hAnsi="Garamond" w:cs="Times New Roman"/>
          <w:color w:val="0000FF"/>
          <w:sz w:val="20"/>
          <w:szCs w:val="20"/>
          <w:lang w:val="en-US"/>
        </w:rPr>
        <w:t xml:space="preserve">https://vimeo.com/97663518 </w:t>
      </w:r>
      <w:r w:rsidRPr="00876D6B">
        <w:rPr>
          <w:rFonts w:ascii="Garamond" w:hAnsi="Garamond" w:cs="Times New Roman"/>
          <w:color w:val="000000"/>
          <w:sz w:val="20"/>
          <w:szCs w:val="20"/>
          <w:lang w:val="en-US"/>
        </w:rPr>
        <w:t xml:space="preserve"> (last accessed 26th November 2018</w:t>
      </w:r>
      <w:r w:rsidRPr="00A7059F">
        <w:rPr>
          <w:rFonts w:ascii="Garamond" w:hAnsi="Garamond" w:cs="Times New Roman"/>
          <w:color w:val="000000"/>
          <w:sz w:val="20"/>
          <w:szCs w:val="20"/>
          <w:lang w:val="en-US"/>
        </w:rPr>
        <w:t>)</w:t>
      </w:r>
      <w:r w:rsidRPr="00430190">
        <w:rPr>
          <w:rFonts w:ascii="Garamond" w:hAnsi="Garamond" w:cs="Times New Roman"/>
          <w:color w:val="000000"/>
          <w:sz w:val="20"/>
          <w:szCs w:val="20"/>
          <w:lang w:val="en-US"/>
        </w:rPr>
        <w:t xml:space="preserve">, </w:t>
      </w:r>
      <w:r w:rsidRPr="00A903E5">
        <w:rPr>
          <w:rFonts w:ascii="Garamond" w:hAnsi="Garamond" w:cs="Times New Roman"/>
          <w:color w:val="000000"/>
          <w:lang w:val="en-US"/>
        </w:rPr>
        <w:t>14.02.</w:t>
      </w:r>
    </w:p>
  </w:footnote>
  <w:footnote w:id="5">
    <w:p w14:paraId="1F077E77" w14:textId="440982DC" w:rsidR="00082E6E" w:rsidRPr="00B765FD" w:rsidRDefault="00082E6E" w:rsidP="0066262B">
      <w:pPr>
        <w:pStyle w:val="FootnoteText"/>
        <w:rPr>
          <w:rFonts w:ascii="Garamond" w:hAnsi="Garamond"/>
          <w:lang w:val="en-US"/>
        </w:rPr>
      </w:pPr>
      <w:r w:rsidRPr="00E977AA">
        <w:rPr>
          <w:rStyle w:val="FootnoteReference"/>
          <w:rFonts w:ascii="Garamond" w:hAnsi="Garamond"/>
        </w:rPr>
        <w:footnoteRef/>
      </w:r>
      <w:r w:rsidRPr="00E977AA">
        <w:rPr>
          <w:rFonts w:ascii="Garamond" w:hAnsi="Garamond"/>
        </w:rPr>
        <w:t xml:space="preserve"> </w:t>
      </w:r>
      <w:r w:rsidRPr="00B765FD">
        <w:rPr>
          <w:rFonts w:ascii="Garamond" w:hAnsi="Garamond" w:cs="Times New Roman"/>
          <w:lang w:val="en-US"/>
        </w:rPr>
        <w:t xml:space="preserve">A Malm and A Hornborg, ‘The Geology of Mankind? A Critique of the Anthropocene Narrative’ (2014) 1/1 </w:t>
      </w:r>
      <w:r w:rsidRPr="00B765FD">
        <w:rPr>
          <w:rFonts w:ascii="Garamond" w:hAnsi="Garamond" w:cs="Times New Roman"/>
          <w:i/>
          <w:lang w:val="en-US"/>
        </w:rPr>
        <w:t>The Anthropocene Review</w:t>
      </w:r>
      <w:r w:rsidRPr="00B765FD">
        <w:rPr>
          <w:rFonts w:ascii="Garamond" w:hAnsi="Garamond" w:cs="Times New Roman"/>
          <w:lang w:val="en-US"/>
        </w:rPr>
        <w:t xml:space="preserve"> 62–69, </w:t>
      </w:r>
      <w:r w:rsidRPr="00B765FD">
        <w:rPr>
          <w:rFonts w:ascii="Garamond" w:hAnsi="Garamond" w:cs="Times New Roman"/>
          <w:color w:val="262626"/>
          <w:lang w:val="en-US"/>
        </w:rPr>
        <w:t>63.</w:t>
      </w:r>
    </w:p>
  </w:footnote>
  <w:footnote w:id="6">
    <w:p w14:paraId="13E4DDE5" w14:textId="322CAEA8" w:rsidR="00082E6E" w:rsidRPr="00A7059F" w:rsidRDefault="00082E6E" w:rsidP="00A7059F">
      <w:pPr>
        <w:widowControl w:val="0"/>
        <w:autoSpaceDE w:val="0"/>
        <w:autoSpaceDN w:val="0"/>
        <w:adjustRightInd w:val="0"/>
        <w:spacing w:after="0" w:line="240" w:lineRule="auto"/>
        <w:rPr>
          <w:rFonts w:ascii="Garamond" w:hAnsi="Garamond" w:cs="Times New Roman"/>
          <w:sz w:val="20"/>
          <w:szCs w:val="20"/>
          <w:lang w:val="en-US"/>
        </w:rPr>
      </w:pPr>
      <w:r w:rsidRPr="00A7059F">
        <w:rPr>
          <w:rStyle w:val="FootnoteReference"/>
          <w:rFonts w:ascii="Garamond" w:hAnsi="Garamond"/>
          <w:sz w:val="20"/>
          <w:szCs w:val="20"/>
        </w:rPr>
        <w:footnoteRef/>
      </w:r>
      <w:r w:rsidRPr="00A7059F">
        <w:rPr>
          <w:rFonts w:ascii="Garamond" w:hAnsi="Garamond"/>
          <w:sz w:val="20"/>
          <w:szCs w:val="20"/>
        </w:rPr>
        <w:t xml:space="preserve"> ‘</w:t>
      </w:r>
      <w:r w:rsidRPr="00A7059F">
        <w:rPr>
          <w:rFonts w:ascii="Garamond" w:hAnsi="Garamond" w:cs="Times New Roman"/>
          <w:sz w:val="20"/>
          <w:szCs w:val="20"/>
          <w:lang w:val="en-US"/>
        </w:rPr>
        <w:t xml:space="preserve">The Anthropocene is the outcome of five hundred years of dispossession, capitalist accumulation, and neo/colonial globalization’: A Kanngieser and N Beuret, ‘Refusing the World: Silence, Commoning and the Anthropocene’ (2017) 116/2 </w:t>
      </w:r>
      <w:r w:rsidRPr="00A7059F">
        <w:rPr>
          <w:rFonts w:ascii="Garamond" w:hAnsi="Garamond" w:cs="Times New Roman"/>
          <w:i/>
          <w:sz w:val="20"/>
          <w:szCs w:val="20"/>
          <w:lang w:val="en-US"/>
        </w:rPr>
        <w:t>The South Atlantic Quarterly</w:t>
      </w:r>
      <w:r w:rsidRPr="00A7059F">
        <w:rPr>
          <w:rFonts w:ascii="Garamond" w:hAnsi="Garamond" w:cs="Times New Roman"/>
          <w:sz w:val="20"/>
          <w:szCs w:val="20"/>
          <w:lang w:val="en-US"/>
        </w:rPr>
        <w:t xml:space="preserve"> 362-380 at 376; S Lewis and M Maslin, ‘Defining the Anthropocene’ (2015) 519/7542 </w:t>
      </w:r>
      <w:r w:rsidRPr="00A7059F">
        <w:rPr>
          <w:rFonts w:ascii="Garamond" w:hAnsi="Garamond" w:cs="Times New Roman"/>
          <w:i/>
          <w:sz w:val="20"/>
          <w:szCs w:val="20"/>
          <w:lang w:val="en-US"/>
        </w:rPr>
        <w:t>Nature</w:t>
      </w:r>
      <w:r w:rsidRPr="00A7059F">
        <w:rPr>
          <w:rFonts w:ascii="Garamond" w:hAnsi="Garamond" w:cs="Times New Roman"/>
          <w:sz w:val="20"/>
          <w:szCs w:val="20"/>
          <w:lang w:val="en-US"/>
        </w:rPr>
        <w:t xml:space="preserve"> 171–80.</w:t>
      </w:r>
    </w:p>
  </w:footnote>
  <w:footnote w:id="7">
    <w:p w14:paraId="7CBD42A1" w14:textId="77596FC8" w:rsidR="00082E6E" w:rsidRPr="00B765FD" w:rsidRDefault="00082E6E" w:rsidP="00CB0DFA">
      <w:pPr>
        <w:pStyle w:val="FootnoteText"/>
        <w:rPr>
          <w:rFonts w:ascii="Garamond" w:hAnsi="Garamond"/>
        </w:rPr>
      </w:pPr>
      <w:r w:rsidRPr="00E977AA">
        <w:rPr>
          <w:rStyle w:val="FootnoteReference"/>
          <w:rFonts w:ascii="Garamond" w:hAnsi="Garamond"/>
        </w:rPr>
        <w:footnoteRef/>
      </w:r>
      <w:r w:rsidRPr="00E977AA">
        <w:rPr>
          <w:rFonts w:ascii="Garamond" w:hAnsi="Garamond"/>
        </w:rPr>
        <w:t xml:space="preserve"> P Kirby, </w:t>
      </w:r>
      <w:r w:rsidRPr="00B765FD">
        <w:rPr>
          <w:rFonts w:ascii="Garamond" w:hAnsi="Garamond"/>
          <w:i/>
        </w:rPr>
        <w:t>Vulnerability and Violence: The Impact of Globalisation</w:t>
      </w:r>
      <w:r w:rsidRPr="00B765FD">
        <w:rPr>
          <w:rFonts w:ascii="Garamond" w:hAnsi="Garamond"/>
        </w:rPr>
        <w:t xml:space="preserve"> (London, Ann Arbor: Pluto Press, 2006); Sassen (n </w:t>
      </w:r>
      <w:r>
        <w:rPr>
          <w:rFonts w:ascii="Garamond" w:hAnsi="Garamond"/>
        </w:rPr>
        <w:t>2</w:t>
      </w:r>
      <w:r w:rsidRPr="00B765FD">
        <w:rPr>
          <w:rFonts w:ascii="Garamond" w:hAnsi="Garamond"/>
        </w:rPr>
        <w:t>).</w:t>
      </w:r>
    </w:p>
  </w:footnote>
  <w:footnote w:id="8">
    <w:p w14:paraId="4CB0BC93" w14:textId="3D22306F" w:rsidR="00082E6E" w:rsidRPr="00A7059F" w:rsidRDefault="00082E6E">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w:t>
      </w:r>
      <w:r>
        <w:rPr>
          <w:rFonts w:ascii="Garamond" w:hAnsi="Garamond"/>
          <w:lang w:val="en-US"/>
        </w:rPr>
        <w:t>Lewis and Maslin (n 5).</w:t>
      </w:r>
    </w:p>
  </w:footnote>
  <w:footnote w:id="9">
    <w:p w14:paraId="69679505" w14:textId="69B5FB7A" w:rsidR="00082E6E" w:rsidRPr="00411AE0" w:rsidRDefault="00082E6E" w:rsidP="00411AE0">
      <w:pPr>
        <w:widowControl w:val="0"/>
        <w:autoSpaceDE w:val="0"/>
        <w:autoSpaceDN w:val="0"/>
        <w:adjustRightInd w:val="0"/>
        <w:spacing w:after="0" w:line="240" w:lineRule="auto"/>
        <w:rPr>
          <w:rFonts w:ascii="Garamond" w:hAnsi="Garamond" w:cs="Times New Roman"/>
          <w:sz w:val="20"/>
          <w:szCs w:val="20"/>
          <w:lang w:val="en-US"/>
        </w:rPr>
      </w:pPr>
      <w:r w:rsidRPr="00AB4BDA">
        <w:rPr>
          <w:rStyle w:val="FootnoteReference"/>
          <w:rFonts w:ascii="Garamond" w:hAnsi="Garamond"/>
          <w:sz w:val="20"/>
          <w:szCs w:val="20"/>
        </w:rPr>
        <w:footnoteRef/>
      </w:r>
      <w:r w:rsidRPr="004C4FA4">
        <w:rPr>
          <w:rFonts w:ascii="Garamond" w:hAnsi="Garamond"/>
          <w:sz w:val="20"/>
          <w:szCs w:val="20"/>
        </w:rPr>
        <w:t xml:space="preserve"> For a discussion</w:t>
      </w:r>
      <w:r w:rsidRPr="00984761">
        <w:rPr>
          <w:rFonts w:ascii="Garamond" w:hAnsi="Garamond"/>
          <w:sz w:val="20"/>
          <w:szCs w:val="20"/>
        </w:rPr>
        <w:t xml:space="preserve"> linking this point to the Anthropocene, see </w:t>
      </w:r>
      <w:r w:rsidRPr="00984761">
        <w:rPr>
          <w:rFonts w:ascii="Garamond" w:hAnsi="Garamond" w:cs="Times New Roman"/>
          <w:sz w:val="20"/>
          <w:szCs w:val="20"/>
          <w:lang w:val="en-US"/>
        </w:rPr>
        <w:t>Malm and Hornborg</w:t>
      </w:r>
      <w:r>
        <w:rPr>
          <w:rFonts w:ascii="Garamond" w:hAnsi="Garamond" w:cs="Times New Roman"/>
          <w:sz w:val="20"/>
          <w:szCs w:val="20"/>
          <w:lang w:val="en-US"/>
        </w:rPr>
        <w:t xml:space="preserve"> (n 4).</w:t>
      </w:r>
    </w:p>
  </w:footnote>
  <w:footnote w:id="10">
    <w:p w14:paraId="11969B6F" w14:textId="7CAAA091"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64473A">
        <w:rPr>
          <w:rFonts w:ascii="Garamond" w:hAnsi="Garamond" w:cs="Times New Roman"/>
          <w:lang w:val="en-US"/>
        </w:rPr>
        <w:t xml:space="preserve">R Radhakrishnan, </w:t>
      </w:r>
      <w:r w:rsidRPr="0064473A">
        <w:rPr>
          <w:rFonts w:ascii="Garamond" w:hAnsi="Garamond" w:cs="Times New Roman"/>
          <w:i/>
          <w:lang w:val="en-US"/>
        </w:rPr>
        <w:t>Theory in an Uneven World</w:t>
      </w:r>
      <w:r w:rsidRPr="0064473A">
        <w:rPr>
          <w:rFonts w:ascii="Garamond" w:hAnsi="Garamond" w:cs="Times New Roman"/>
          <w:lang w:val="en-US"/>
        </w:rPr>
        <w:t xml:space="preserve"> (Blackwell, Oxford 2003).</w:t>
      </w:r>
    </w:p>
  </w:footnote>
  <w:footnote w:id="11">
    <w:p w14:paraId="1DA75CFE" w14:textId="68B22875" w:rsidR="00082E6E" w:rsidRPr="00392170" w:rsidRDefault="00082E6E" w:rsidP="00607182">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Pr>
          <w:rFonts w:ascii="Garamond" w:hAnsi="Garamond"/>
          <w:lang w:val="en-US"/>
        </w:rPr>
        <w:t xml:space="preserve">T Marshall, </w:t>
      </w:r>
      <w:r>
        <w:rPr>
          <w:rFonts w:ascii="Garamond" w:hAnsi="Garamond"/>
          <w:i/>
          <w:lang w:val="en-US"/>
        </w:rPr>
        <w:t>The Age of Walls: How Barriers Between Nations Are Changing Our World</w:t>
      </w:r>
      <w:r>
        <w:rPr>
          <w:rFonts w:ascii="Garamond" w:hAnsi="Garamond"/>
          <w:lang w:val="en-US"/>
        </w:rPr>
        <w:t xml:space="preserve"> (New York: Scribner, 2018).</w:t>
      </w:r>
    </w:p>
  </w:footnote>
  <w:footnote w:id="12">
    <w:p w14:paraId="3118397A" w14:textId="77777777" w:rsidR="00082E6E" w:rsidRPr="00411AE0" w:rsidRDefault="00082E6E" w:rsidP="008E355B">
      <w:pPr>
        <w:spacing w:after="0" w:line="240" w:lineRule="auto"/>
        <w:rPr>
          <w:rFonts w:ascii="Garamond" w:eastAsia="Times New Roman" w:hAnsi="Garamond" w:cs="Times New Roman"/>
          <w:sz w:val="20"/>
          <w:szCs w:val="20"/>
        </w:rPr>
      </w:pPr>
      <w:r w:rsidRPr="00411AE0">
        <w:rPr>
          <w:rStyle w:val="FootnoteReference"/>
          <w:rFonts w:ascii="Garamond" w:hAnsi="Garamond"/>
          <w:sz w:val="20"/>
          <w:szCs w:val="20"/>
        </w:rPr>
        <w:footnoteRef/>
      </w:r>
      <w:r w:rsidRPr="00411AE0">
        <w:rPr>
          <w:rFonts w:ascii="Garamond" w:hAnsi="Garamond"/>
          <w:sz w:val="20"/>
          <w:szCs w:val="20"/>
        </w:rPr>
        <w:t xml:space="preserve"> For a comprehensive study of TNCs, see P Muchlinski, </w:t>
      </w:r>
      <w:r w:rsidRPr="00411AE0">
        <w:rPr>
          <w:rFonts w:ascii="Garamond" w:hAnsi="Garamond"/>
          <w:i/>
          <w:sz w:val="20"/>
          <w:szCs w:val="20"/>
        </w:rPr>
        <w:t xml:space="preserve">Multinational Enterprises and the Law </w:t>
      </w:r>
      <w:r w:rsidRPr="00411AE0">
        <w:rPr>
          <w:rFonts w:ascii="Garamond" w:hAnsi="Garamond"/>
          <w:sz w:val="20"/>
          <w:szCs w:val="20"/>
        </w:rPr>
        <w:t xml:space="preserve">(Oxford: OUP, 2007), especially at 125-171; </w:t>
      </w:r>
      <w:r w:rsidRPr="00411AE0">
        <w:rPr>
          <w:rFonts w:ascii="Garamond" w:hAnsi="Garamond" w:cs="Times New Roman"/>
          <w:spacing w:val="-2"/>
          <w:sz w:val="20"/>
          <w:szCs w:val="20"/>
        </w:rPr>
        <w:t xml:space="preserve">C Jochnick, ‘Confronting the Impunity of Non-State Actors: New Fields for the Promotion of Human Rights’ (1999) 21 </w:t>
      </w:r>
      <w:r w:rsidRPr="00411AE0">
        <w:rPr>
          <w:rFonts w:ascii="Garamond" w:hAnsi="Garamond" w:cs="Times New Roman"/>
          <w:i/>
          <w:spacing w:val="-2"/>
          <w:sz w:val="20"/>
          <w:szCs w:val="20"/>
        </w:rPr>
        <w:t xml:space="preserve">Human Rights Quarterly </w:t>
      </w:r>
      <w:r w:rsidRPr="00411AE0">
        <w:rPr>
          <w:rFonts w:ascii="Garamond" w:hAnsi="Garamond" w:cs="Times New Roman"/>
          <w:spacing w:val="-2"/>
          <w:sz w:val="20"/>
          <w:szCs w:val="20"/>
        </w:rPr>
        <w:t xml:space="preserve">56-79; </w:t>
      </w:r>
      <w:r>
        <w:rPr>
          <w:rFonts w:ascii="Garamond" w:hAnsi="Garamond" w:cs="Times New Roman"/>
          <w:spacing w:val="-2"/>
          <w:sz w:val="20"/>
          <w:szCs w:val="20"/>
        </w:rPr>
        <w:t xml:space="preserve">and for two salutary examples, </w:t>
      </w:r>
      <w:r w:rsidRPr="00411AE0">
        <w:rPr>
          <w:rFonts w:ascii="Garamond" w:eastAsia="Times New Roman" w:hAnsi="Garamond" w:cs="Times New Roman"/>
          <w:sz w:val="20"/>
          <w:szCs w:val="20"/>
        </w:rPr>
        <w:t xml:space="preserve">U Baxi, ‘Writing about impunity and environment: the “silver jubilee” of the Bhopal catastrophe’ (2010) 1/1 </w:t>
      </w:r>
      <w:r w:rsidRPr="00411AE0">
        <w:rPr>
          <w:rFonts w:ascii="Garamond" w:hAnsi="Garamond" w:cs="Times New Roman"/>
          <w:i/>
          <w:spacing w:val="-2"/>
          <w:sz w:val="20"/>
          <w:szCs w:val="20"/>
        </w:rPr>
        <w:t xml:space="preserve">Journal of Human Rights and the Environment </w:t>
      </w:r>
      <w:r w:rsidRPr="00411AE0">
        <w:rPr>
          <w:rFonts w:ascii="Garamond" w:hAnsi="Garamond" w:cs="Times New Roman"/>
          <w:spacing w:val="-2"/>
          <w:sz w:val="20"/>
          <w:szCs w:val="20"/>
        </w:rPr>
        <w:t xml:space="preserve">23-44; S Joseph, ‘Protracted lawfare: the tale of Chevron Texaco in the Amazon’ (2012) 3/1 1 </w:t>
      </w:r>
      <w:r w:rsidRPr="00411AE0">
        <w:rPr>
          <w:rFonts w:ascii="Garamond" w:hAnsi="Garamond" w:cs="Times New Roman"/>
          <w:i/>
          <w:spacing w:val="-2"/>
          <w:sz w:val="20"/>
          <w:szCs w:val="20"/>
        </w:rPr>
        <w:t xml:space="preserve">Journal of Human Rights and the Environment </w:t>
      </w:r>
      <w:r w:rsidRPr="00411AE0">
        <w:rPr>
          <w:rFonts w:ascii="Garamond" w:hAnsi="Garamond" w:cs="Times New Roman"/>
          <w:spacing w:val="-2"/>
          <w:sz w:val="20"/>
          <w:szCs w:val="20"/>
        </w:rPr>
        <w:t xml:space="preserve">70-91. </w:t>
      </w:r>
    </w:p>
  </w:footnote>
  <w:footnote w:id="13">
    <w:p w14:paraId="38A73CCA" w14:textId="77777777" w:rsidR="00082E6E" w:rsidRPr="00411AE0" w:rsidRDefault="00082E6E" w:rsidP="00607182">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See, for a well-established critique of such patterns, J Stiglitz, </w:t>
      </w:r>
      <w:r w:rsidRPr="00411AE0">
        <w:rPr>
          <w:rFonts w:ascii="Garamond" w:hAnsi="Garamond"/>
          <w:i/>
        </w:rPr>
        <w:t xml:space="preserve">Globalisation and its Discontents </w:t>
      </w:r>
      <w:r w:rsidRPr="00411AE0">
        <w:rPr>
          <w:rFonts w:ascii="Garamond" w:hAnsi="Garamond"/>
        </w:rPr>
        <w:t>(New York and London: WW Norton, 2002)</w:t>
      </w:r>
      <w:r>
        <w:rPr>
          <w:rFonts w:ascii="Garamond" w:hAnsi="Garamond"/>
        </w:rPr>
        <w:t>.</w:t>
      </w:r>
    </w:p>
  </w:footnote>
  <w:footnote w:id="14">
    <w:p w14:paraId="02D3D3EC" w14:textId="5365DD87" w:rsidR="00082E6E" w:rsidRPr="00411AE0" w:rsidRDefault="00082E6E" w:rsidP="00607182">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See, for example, GC Hufbauer and C Cimino-Isaacs, ‘Trump versus Globalization’ (2017) 26 </w:t>
      </w:r>
      <w:r w:rsidRPr="00411AE0">
        <w:rPr>
          <w:rFonts w:ascii="Garamond" w:hAnsi="Garamond"/>
          <w:i/>
        </w:rPr>
        <w:t xml:space="preserve">The Cairo Review of Global Affairs </w:t>
      </w:r>
      <w:r w:rsidRPr="00411AE0">
        <w:rPr>
          <w:rFonts w:ascii="Garamond" w:hAnsi="Garamond"/>
        </w:rPr>
        <w:t>28-39</w:t>
      </w:r>
      <w:r>
        <w:rPr>
          <w:rFonts w:ascii="Garamond" w:hAnsi="Garamond"/>
        </w:rPr>
        <w:t xml:space="preserve">. On the selectivity of appeals against globalisation, see Q Slobodian, ‘Trump, Populists and the Rise of Right Wing Globalization’ (2018) </w:t>
      </w:r>
      <w:r>
        <w:rPr>
          <w:rFonts w:ascii="Garamond" w:hAnsi="Garamond"/>
          <w:i/>
        </w:rPr>
        <w:t xml:space="preserve">New York Times </w:t>
      </w:r>
      <w:r>
        <w:rPr>
          <w:rFonts w:ascii="Garamond" w:hAnsi="Garamond"/>
        </w:rPr>
        <w:t>October 22</w:t>
      </w:r>
      <w:r w:rsidRPr="004512F7">
        <w:rPr>
          <w:rFonts w:ascii="Garamond" w:hAnsi="Garamond"/>
          <w:vertAlign w:val="superscript"/>
        </w:rPr>
        <w:t>nd</w:t>
      </w:r>
      <w:r>
        <w:rPr>
          <w:rFonts w:ascii="Garamond" w:hAnsi="Garamond"/>
        </w:rPr>
        <w:t xml:space="preserve"> 2018.</w:t>
      </w:r>
    </w:p>
  </w:footnote>
  <w:footnote w:id="15">
    <w:p w14:paraId="1375C39A" w14:textId="77777777" w:rsidR="00082E6E" w:rsidRPr="00411AE0" w:rsidRDefault="00082E6E" w:rsidP="00607182">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Oxfam figures on wealth are salutary: The 2017 report is available here: </w:t>
      </w:r>
      <w:hyperlink r:id="rId2" w:history="1">
        <w:r w:rsidRPr="003A012C">
          <w:rPr>
            <w:rStyle w:val="Hyperlink"/>
            <w:rFonts w:ascii="Garamond" w:hAnsi="Garamond"/>
          </w:rPr>
          <w:t>https</w:t>
        </w:r>
        <w:r w:rsidRPr="001D596E">
          <w:rPr>
            <w:rStyle w:val="Hyperlink"/>
            <w:rFonts w:ascii="Garamond" w:hAnsi="Garamond"/>
          </w:rPr>
          <w:t>://www.oxfam.org.uk/media-centre/press-releases/2017/01/eight-people-own-same-wealth-as-half-the-w</w:t>
        </w:r>
        <w:r w:rsidRPr="003A012C">
          <w:rPr>
            <w:rStyle w:val="Hyperlink"/>
            <w:rFonts w:ascii="Garamond" w:hAnsi="Garamond"/>
          </w:rPr>
          <w:t>orld</w:t>
        </w:r>
      </w:hyperlink>
      <w:r w:rsidRPr="001D596E">
        <w:rPr>
          <w:rFonts w:ascii="Garamond" w:hAnsi="Garamond"/>
        </w:rPr>
        <w:t xml:space="preserve"> (</w:t>
      </w:r>
      <w:r w:rsidRPr="00411AE0">
        <w:rPr>
          <w:rFonts w:ascii="Garamond" w:hAnsi="Garamond"/>
        </w:rPr>
        <w:t>date of last access: 19</w:t>
      </w:r>
      <w:r w:rsidRPr="00411AE0">
        <w:rPr>
          <w:rFonts w:ascii="Garamond" w:hAnsi="Garamond"/>
          <w:vertAlign w:val="superscript"/>
        </w:rPr>
        <w:t>th</w:t>
      </w:r>
      <w:r w:rsidRPr="00411AE0">
        <w:rPr>
          <w:rFonts w:ascii="Garamond" w:hAnsi="Garamond"/>
        </w:rPr>
        <w:t xml:space="preserve"> May 2018).</w:t>
      </w:r>
    </w:p>
  </w:footnote>
  <w:footnote w:id="16">
    <w:p w14:paraId="27DDADA3" w14:textId="05F05C8A" w:rsidR="00082E6E" w:rsidRPr="00411AE0" w:rsidRDefault="00082E6E" w:rsidP="00607182">
      <w:pPr>
        <w:widowControl w:val="0"/>
        <w:autoSpaceDE w:val="0"/>
        <w:autoSpaceDN w:val="0"/>
        <w:adjustRightInd w:val="0"/>
        <w:spacing w:after="0" w:line="240" w:lineRule="auto"/>
        <w:rPr>
          <w:rFonts w:ascii="Garamond" w:eastAsia="Times New Roman" w:hAnsi="Garamond" w:cs="Times New Roman"/>
          <w:sz w:val="20"/>
          <w:szCs w:val="20"/>
        </w:rPr>
      </w:pPr>
      <w:r w:rsidRPr="00411AE0">
        <w:rPr>
          <w:rStyle w:val="FootnoteReference"/>
          <w:rFonts w:ascii="Garamond" w:hAnsi="Garamond"/>
          <w:sz w:val="20"/>
          <w:szCs w:val="20"/>
        </w:rPr>
        <w:footnoteRef/>
      </w:r>
      <w:r w:rsidRPr="00411AE0">
        <w:rPr>
          <w:rFonts w:ascii="Garamond" w:hAnsi="Garamond"/>
          <w:sz w:val="20"/>
          <w:szCs w:val="20"/>
        </w:rPr>
        <w:t xml:space="preserve"> For a discussion of this and the related rise of a ‘global precariat’, see </w:t>
      </w:r>
      <w:r w:rsidRPr="00411AE0">
        <w:rPr>
          <w:rFonts w:ascii="Garamond" w:hAnsi="Garamond"/>
          <w:sz w:val="20"/>
          <w:szCs w:val="20"/>
          <w:lang w:val="en-US"/>
        </w:rPr>
        <w:t xml:space="preserve">G Standing, </w:t>
      </w:r>
      <w:r w:rsidRPr="00411AE0">
        <w:rPr>
          <w:rFonts w:ascii="Garamond" w:hAnsi="Garamond"/>
          <w:i/>
          <w:sz w:val="20"/>
          <w:szCs w:val="20"/>
          <w:lang w:val="en-US"/>
        </w:rPr>
        <w:t xml:space="preserve">The Precariat: A New Dangerous Class </w:t>
      </w:r>
      <w:r w:rsidRPr="00411AE0">
        <w:rPr>
          <w:rFonts w:ascii="Garamond" w:hAnsi="Garamond"/>
          <w:sz w:val="20"/>
          <w:szCs w:val="20"/>
          <w:lang w:val="en-US"/>
        </w:rPr>
        <w:t xml:space="preserve">(London: Bloomsbury 2011). For further discussion of the dangers to democracy presented by neoliberal globalisation and the emergence of widespread precarity, see S Nasstrom and S Kalm, ‘A democratic critique of precarity’ (2015) 5/4 </w:t>
      </w:r>
      <w:r w:rsidRPr="00411AE0">
        <w:rPr>
          <w:rFonts w:ascii="Garamond" w:hAnsi="Garamond"/>
          <w:i/>
          <w:sz w:val="20"/>
          <w:szCs w:val="20"/>
          <w:lang w:val="en-US"/>
        </w:rPr>
        <w:t xml:space="preserve">Global Discourse </w:t>
      </w:r>
      <w:r w:rsidRPr="00411AE0">
        <w:rPr>
          <w:rFonts w:ascii="Garamond" w:hAnsi="Garamond"/>
          <w:sz w:val="20"/>
          <w:szCs w:val="20"/>
          <w:lang w:val="en-US"/>
        </w:rPr>
        <w:t xml:space="preserve">556-573. </w:t>
      </w:r>
    </w:p>
  </w:footnote>
  <w:footnote w:id="17">
    <w:p w14:paraId="24AF0B05" w14:textId="0664AF92" w:rsidR="00082E6E" w:rsidRPr="00A903E5" w:rsidRDefault="00082E6E" w:rsidP="00592708">
      <w:pPr>
        <w:widowControl w:val="0"/>
        <w:autoSpaceDE w:val="0"/>
        <w:autoSpaceDN w:val="0"/>
        <w:adjustRightInd w:val="0"/>
        <w:spacing w:after="0" w:line="240" w:lineRule="auto"/>
        <w:rPr>
          <w:rFonts w:ascii="Garamond" w:hAnsi="Garamond"/>
          <w:lang w:val="en-US"/>
        </w:rPr>
      </w:pPr>
      <w:r w:rsidRPr="00A903E5">
        <w:rPr>
          <w:rStyle w:val="FootnoteReference"/>
          <w:rFonts w:ascii="Garamond" w:hAnsi="Garamond"/>
          <w:sz w:val="20"/>
          <w:szCs w:val="20"/>
        </w:rPr>
        <w:footnoteRef/>
      </w:r>
      <w:r w:rsidRPr="00A903E5">
        <w:rPr>
          <w:rFonts w:ascii="Garamond" w:hAnsi="Garamond"/>
          <w:sz w:val="20"/>
          <w:szCs w:val="20"/>
        </w:rPr>
        <w:t xml:space="preserve"> </w:t>
      </w:r>
      <w:r w:rsidRPr="00411AE0">
        <w:rPr>
          <w:rFonts w:ascii="Garamond" w:hAnsi="Garamond" w:cs="Tahoma"/>
          <w:color w:val="000000" w:themeColor="text1"/>
          <w:sz w:val="20"/>
        </w:rPr>
        <w:t xml:space="preserve">D Chakrabarty, </w:t>
      </w:r>
      <w:r w:rsidRPr="00411AE0">
        <w:rPr>
          <w:rFonts w:ascii="Garamond" w:hAnsi="Garamond" w:cs="Tahoma"/>
          <w:i/>
          <w:color w:val="000000" w:themeColor="text1"/>
          <w:sz w:val="20"/>
        </w:rPr>
        <w:t xml:space="preserve">Provincialising Europe </w:t>
      </w:r>
      <w:r w:rsidRPr="00411AE0">
        <w:rPr>
          <w:rFonts w:ascii="Garamond" w:hAnsi="Garamond" w:cs="Tahoma"/>
          <w:color w:val="000000" w:themeColor="text1"/>
          <w:sz w:val="20"/>
        </w:rPr>
        <w:t>(Princeton: Princeton University Press, 2007)</w:t>
      </w:r>
      <w:r>
        <w:rPr>
          <w:rFonts w:ascii="Garamond" w:hAnsi="Garamond" w:cs="Tahoma"/>
          <w:color w:val="000000" w:themeColor="text1"/>
          <w:sz w:val="20"/>
        </w:rPr>
        <w:t>.</w:t>
      </w:r>
    </w:p>
  </w:footnote>
  <w:footnote w:id="18">
    <w:p w14:paraId="331A3F7C" w14:textId="747700CD" w:rsidR="00082E6E" w:rsidRPr="00A7059F" w:rsidRDefault="00082E6E" w:rsidP="00F3634E">
      <w:pPr>
        <w:spacing w:after="0" w:line="240" w:lineRule="auto"/>
        <w:rPr>
          <w:rFonts w:ascii="Garamond" w:eastAsia="Times New Roman" w:hAnsi="Garamond" w:cs="Times New Roman"/>
          <w:sz w:val="20"/>
          <w:szCs w:val="20"/>
        </w:rPr>
      </w:pPr>
      <w:r w:rsidRPr="00411AE0">
        <w:rPr>
          <w:rStyle w:val="FootnoteReference"/>
          <w:rFonts w:ascii="Garamond" w:hAnsi="Garamond"/>
          <w:sz w:val="20"/>
          <w:szCs w:val="20"/>
        </w:rPr>
        <w:footnoteRef/>
      </w:r>
      <w:r w:rsidRPr="00411AE0">
        <w:rPr>
          <w:rFonts w:ascii="Garamond" w:hAnsi="Garamond"/>
          <w:sz w:val="20"/>
          <w:szCs w:val="20"/>
        </w:rPr>
        <w:t xml:space="preserve"> See </w:t>
      </w:r>
      <w:r w:rsidRPr="00145630">
        <w:rPr>
          <w:rStyle w:val="authors"/>
          <w:rFonts w:ascii="Garamond" w:eastAsia="Times New Roman" w:hAnsi="Garamond" w:cs="Times New Roman"/>
          <w:color w:val="333333"/>
          <w:sz w:val="20"/>
          <w:szCs w:val="20"/>
        </w:rPr>
        <w:t xml:space="preserve">S </w:t>
      </w:r>
      <w:r w:rsidRPr="00411AE0">
        <w:rPr>
          <w:rStyle w:val="authors"/>
          <w:rFonts w:ascii="Garamond" w:eastAsia="Times New Roman" w:hAnsi="Garamond" w:cs="Times New Roman"/>
          <w:color w:val="333333"/>
          <w:sz w:val="20"/>
          <w:szCs w:val="20"/>
        </w:rPr>
        <w:t xml:space="preserve">Chaturvedi </w:t>
      </w:r>
      <w:r>
        <w:rPr>
          <w:rStyle w:val="authors"/>
          <w:rFonts w:ascii="Garamond" w:eastAsia="Times New Roman" w:hAnsi="Garamond" w:cs="Times New Roman"/>
          <w:color w:val="333333"/>
          <w:sz w:val="20"/>
          <w:szCs w:val="20"/>
        </w:rPr>
        <w:t>and</w:t>
      </w:r>
      <w:r w:rsidRPr="00145630">
        <w:rPr>
          <w:rStyle w:val="authors"/>
          <w:rFonts w:ascii="Garamond" w:eastAsia="Times New Roman" w:hAnsi="Garamond" w:cs="Times New Roman"/>
          <w:color w:val="333333"/>
          <w:sz w:val="20"/>
          <w:szCs w:val="20"/>
        </w:rPr>
        <w:t xml:space="preserve"> T</w:t>
      </w:r>
      <w:r w:rsidRPr="00411AE0">
        <w:rPr>
          <w:rStyle w:val="authors"/>
          <w:rFonts w:ascii="Garamond" w:eastAsia="Times New Roman" w:hAnsi="Garamond" w:cs="Times New Roman"/>
          <w:color w:val="333333"/>
          <w:sz w:val="20"/>
          <w:szCs w:val="20"/>
        </w:rPr>
        <w:t xml:space="preserve"> Doyle</w:t>
      </w:r>
      <w:r>
        <w:rPr>
          <w:rStyle w:val="authors"/>
          <w:rFonts w:ascii="Garamond" w:eastAsia="Times New Roman" w:hAnsi="Garamond" w:cs="Times New Roman"/>
          <w:color w:val="333333"/>
          <w:sz w:val="20"/>
          <w:szCs w:val="20"/>
        </w:rPr>
        <w:t>,</w:t>
      </w:r>
      <w:r w:rsidRPr="00411AE0">
        <w:rPr>
          <w:rStyle w:val="apple-converted-space"/>
          <w:rFonts w:ascii="Garamond" w:eastAsia="Times New Roman" w:hAnsi="Garamond" w:cs="Times New Roman"/>
          <w:color w:val="333333"/>
          <w:sz w:val="20"/>
          <w:szCs w:val="20"/>
          <w:shd w:val="clear" w:color="auto" w:fill="FFFFFF"/>
        </w:rPr>
        <w:t> </w:t>
      </w:r>
      <w:r>
        <w:rPr>
          <w:rStyle w:val="apple-converted-space"/>
          <w:rFonts w:ascii="Garamond" w:eastAsia="Times New Roman" w:hAnsi="Garamond" w:cs="Times New Roman"/>
          <w:color w:val="333333"/>
          <w:sz w:val="20"/>
          <w:szCs w:val="20"/>
          <w:shd w:val="clear" w:color="auto" w:fill="FFFFFF"/>
        </w:rPr>
        <w:t>‘</w:t>
      </w:r>
      <w:r w:rsidRPr="00411AE0">
        <w:rPr>
          <w:rStyle w:val="arttitle"/>
          <w:rFonts w:ascii="Garamond" w:eastAsia="Times New Roman" w:hAnsi="Garamond" w:cs="Times New Roman"/>
          <w:color w:val="333333"/>
          <w:sz w:val="20"/>
          <w:szCs w:val="20"/>
        </w:rPr>
        <w:t>Geopolitic</w:t>
      </w:r>
      <w:r w:rsidRPr="00145630">
        <w:rPr>
          <w:rStyle w:val="arttitle"/>
          <w:rFonts w:ascii="Garamond" w:eastAsia="Times New Roman" w:hAnsi="Garamond" w:cs="Times New Roman"/>
          <w:color w:val="333333"/>
          <w:sz w:val="20"/>
          <w:szCs w:val="20"/>
        </w:rPr>
        <w:t xml:space="preserve">s of fear and the emergence of </w:t>
      </w:r>
      <w:r>
        <w:rPr>
          <w:rStyle w:val="arttitle"/>
          <w:rFonts w:ascii="Garamond" w:eastAsia="Times New Roman" w:hAnsi="Garamond" w:cs="Times New Roman"/>
          <w:color w:val="333333"/>
          <w:sz w:val="20"/>
          <w:szCs w:val="20"/>
        </w:rPr>
        <w:t>“</w:t>
      </w:r>
      <w:r w:rsidRPr="00145630">
        <w:rPr>
          <w:rStyle w:val="arttitle"/>
          <w:rFonts w:ascii="Garamond" w:eastAsia="Times New Roman" w:hAnsi="Garamond" w:cs="Times New Roman"/>
          <w:color w:val="333333"/>
          <w:sz w:val="20"/>
          <w:szCs w:val="20"/>
        </w:rPr>
        <w:t>climate refugees</w:t>
      </w:r>
      <w:r>
        <w:rPr>
          <w:rStyle w:val="arttitle"/>
          <w:rFonts w:ascii="Garamond" w:eastAsia="Times New Roman" w:hAnsi="Garamond" w:cs="Times New Roman"/>
          <w:color w:val="333333"/>
          <w:sz w:val="20"/>
          <w:szCs w:val="20"/>
        </w:rPr>
        <w:t>”</w:t>
      </w:r>
      <w:r w:rsidRPr="00411AE0">
        <w:rPr>
          <w:rStyle w:val="arttitle"/>
          <w:rFonts w:ascii="Garamond" w:eastAsia="Times New Roman" w:hAnsi="Garamond" w:cs="Times New Roman"/>
          <w:color w:val="333333"/>
          <w:sz w:val="20"/>
          <w:szCs w:val="20"/>
        </w:rPr>
        <w:t>: imaginative geographies of climate change and displacements in Bangladesh</w:t>
      </w:r>
      <w:r>
        <w:rPr>
          <w:rStyle w:val="arttitle"/>
          <w:rFonts w:ascii="Garamond" w:eastAsia="Times New Roman" w:hAnsi="Garamond" w:cs="Times New Roman"/>
          <w:color w:val="333333"/>
          <w:sz w:val="20"/>
          <w:szCs w:val="20"/>
        </w:rPr>
        <w:t xml:space="preserve">’ </w:t>
      </w:r>
      <w:r w:rsidRPr="00CB6DF6">
        <w:rPr>
          <w:rStyle w:val="date1"/>
          <w:rFonts w:ascii="Garamond" w:eastAsia="Times New Roman" w:hAnsi="Garamond" w:cs="Times New Roman"/>
          <w:color w:val="333333"/>
          <w:sz w:val="20"/>
          <w:szCs w:val="20"/>
        </w:rPr>
        <w:t>(2010)</w:t>
      </w:r>
      <w:r>
        <w:rPr>
          <w:rStyle w:val="date1"/>
          <w:rFonts w:ascii="Garamond" w:eastAsia="Times New Roman" w:hAnsi="Garamond" w:cs="Times New Roman"/>
          <w:color w:val="333333"/>
          <w:sz w:val="20"/>
          <w:szCs w:val="20"/>
        </w:rPr>
        <w:t xml:space="preserve"> </w:t>
      </w:r>
      <w:r>
        <w:rPr>
          <w:rStyle w:val="apple-converted-space"/>
          <w:rFonts w:ascii="Garamond" w:eastAsia="Times New Roman" w:hAnsi="Garamond" w:cs="Times New Roman"/>
          <w:color w:val="333333"/>
          <w:sz w:val="20"/>
          <w:szCs w:val="20"/>
          <w:shd w:val="clear" w:color="auto" w:fill="FFFFFF"/>
        </w:rPr>
        <w:t>6/2</w:t>
      </w:r>
      <w:r w:rsidRPr="00145630">
        <w:rPr>
          <w:rStyle w:val="arttitle"/>
          <w:rFonts w:ascii="Garamond" w:eastAsia="Times New Roman" w:hAnsi="Garamond" w:cs="Times New Roman"/>
          <w:color w:val="333333"/>
          <w:sz w:val="20"/>
          <w:szCs w:val="20"/>
        </w:rPr>
        <w:t xml:space="preserve"> </w:t>
      </w:r>
      <w:r w:rsidRPr="00411AE0">
        <w:rPr>
          <w:rStyle w:val="serialtitle"/>
          <w:rFonts w:ascii="Garamond" w:eastAsia="Times New Roman" w:hAnsi="Garamond" w:cs="Times New Roman"/>
          <w:i/>
          <w:color w:val="333333"/>
          <w:sz w:val="20"/>
          <w:szCs w:val="20"/>
        </w:rPr>
        <w:t>Journal of the Indian Ocean Region</w:t>
      </w:r>
      <w:r w:rsidRPr="00411AE0">
        <w:rPr>
          <w:rStyle w:val="serialtitle"/>
          <w:rFonts w:ascii="Garamond" w:eastAsia="Times New Roman" w:hAnsi="Garamond" w:cs="Times New Roman"/>
          <w:color w:val="333333"/>
          <w:sz w:val="20"/>
          <w:szCs w:val="20"/>
        </w:rPr>
        <w:t>,</w:t>
      </w:r>
      <w:r>
        <w:rPr>
          <w:rStyle w:val="serialtitle"/>
          <w:rFonts w:ascii="Garamond" w:eastAsia="Times New Roman" w:hAnsi="Garamond" w:cs="Times New Roman"/>
          <w:color w:val="333333"/>
          <w:sz w:val="20"/>
          <w:szCs w:val="20"/>
        </w:rPr>
        <w:t xml:space="preserve"> </w:t>
      </w:r>
      <w:r w:rsidRPr="00411AE0">
        <w:rPr>
          <w:rStyle w:val="pagerange"/>
          <w:rFonts w:ascii="Garamond" w:eastAsia="Times New Roman" w:hAnsi="Garamond" w:cs="Times New Roman"/>
          <w:color w:val="333333"/>
          <w:sz w:val="20"/>
          <w:szCs w:val="20"/>
        </w:rPr>
        <w:t>206-222</w:t>
      </w:r>
      <w:r w:rsidRPr="00145630">
        <w:rPr>
          <w:rStyle w:val="pagerange"/>
          <w:rFonts w:ascii="Garamond" w:eastAsia="Times New Roman" w:hAnsi="Garamond" w:cs="Times New Roman"/>
          <w:color w:val="333333"/>
          <w:sz w:val="20"/>
          <w:szCs w:val="20"/>
        </w:rPr>
        <w:t xml:space="preserve"> for a discussion of this that highlights</w:t>
      </w:r>
      <w:r>
        <w:rPr>
          <w:rStyle w:val="pagerange"/>
          <w:rFonts w:ascii="Garamond" w:eastAsia="Times New Roman" w:hAnsi="Garamond" w:cs="Times New Roman"/>
          <w:color w:val="333333"/>
          <w:sz w:val="20"/>
          <w:szCs w:val="20"/>
        </w:rPr>
        <w:t xml:space="preserve"> the construction of a geopolitics of fear and ‘boundary-reinforcing </w:t>
      </w:r>
      <w:r w:rsidRPr="00452D17">
        <w:rPr>
          <w:rStyle w:val="pagerange"/>
          <w:rFonts w:ascii="Garamond" w:eastAsia="Times New Roman" w:hAnsi="Garamond" w:cs="Times New Roman"/>
          <w:color w:val="333333"/>
          <w:sz w:val="20"/>
          <w:szCs w:val="20"/>
        </w:rPr>
        <w:t>cartographic anxieties about climate change-induced displacements and migrations’ (abstract).</w:t>
      </w:r>
      <w:r w:rsidRPr="005355BB">
        <w:rPr>
          <w:rStyle w:val="pagerange"/>
          <w:rFonts w:ascii="Garamond" w:eastAsia="Times New Roman" w:hAnsi="Garamond" w:cs="Times New Roman"/>
          <w:color w:val="333333"/>
          <w:sz w:val="20"/>
          <w:szCs w:val="20"/>
        </w:rPr>
        <w:t xml:space="preserve"> </w:t>
      </w:r>
    </w:p>
  </w:footnote>
  <w:footnote w:id="19">
    <w:p w14:paraId="07D4AE62" w14:textId="2649144C" w:rsidR="00082E6E" w:rsidRPr="00A7059F" w:rsidRDefault="00082E6E" w:rsidP="00452D17">
      <w:pPr>
        <w:widowControl w:val="0"/>
        <w:autoSpaceDE w:val="0"/>
        <w:autoSpaceDN w:val="0"/>
        <w:adjustRightInd w:val="0"/>
        <w:spacing w:after="0" w:line="240" w:lineRule="auto"/>
        <w:rPr>
          <w:rFonts w:ascii="Garamond" w:hAnsi="Garamond" w:cs="Times New Roman"/>
          <w:sz w:val="20"/>
          <w:szCs w:val="20"/>
          <w:lang w:val="en-US"/>
        </w:rPr>
      </w:pPr>
      <w:r w:rsidRPr="00A7059F">
        <w:rPr>
          <w:rStyle w:val="FootnoteReference"/>
          <w:rFonts w:ascii="Garamond" w:hAnsi="Garamond"/>
          <w:sz w:val="20"/>
          <w:szCs w:val="20"/>
        </w:rPr>
        <w:footnoteRef/>
      </w:r>
      <w:r w:rsidRPr="00A7059F">
        <w:rPr>
          <w:rFonts w:ascii="Garamond" w:hAnsi="Garamond"/>
          <w:sz w:val="20"/>
          <w:szCs w:val="20"/>
        </w:rPr>
        <w:t xml:space="preserve"> </w:t>
      </w:r>
      <w:r w:rsidRPr="00A7059F">
        <w:rPr>
          <w:rFonts w:ascii="Garamond" w:hAnsi="Garamond"/>
          <w:sz w:val="20"/>
          <w:szCs w:val="20"/>
          <w:lang w:val="en-US"/>
        </w:rPr>
        <w:t xml:space="preserve">Malm and Hornborg argue that the Anthropocene is marked by ‘differentiated vulnerability on all scales of human society’ and that ‘[f]or </w:t>
      </w:r>
      <w:r w:rsidRPr="00A7059F">
        <w:rPr>
          <w:rFonts w:ascii="Garamond" w:hAnsi="Garamond" w:cs="Times New Roman"/>
          <w:sz w:val="20"/>
          <w:szCs w:val="20"/>
          <w:lang w:val="en-US"/>
        </w:rPr>
        <w:t>the foreseeable future –</w:t>
      </w:r>
      <w:r>
        <w:rPr>
          <w:rFonts w:ascii="Garamond" w:hAnsi="Garamond" w:cs="Times New Roman"/>
          <w:sz w:val="20"/>
          <w:szCs w:val="20"/>
          <w:lang w:val="en-US"/>
        </w:rPr>
        <w:t xml:space="preserve"> </w:t>
      </w:r>
      <w:r w:rsidRPr="00A7059F">
        <w:rPr>
          <w:rFonts w:ascii="Garamond" w:hAnsi="Garamond" w:cs="Times New Roman"/>
          <w:sz w:val="20"/>
          <w:szCs w:val="20"/>
          <w:lang w:val="en-US"/>
        </w:rPr>
        <w:t>indeed, as long as there are human societies on Earth – there will be lifeboats for the rich</w:t>
      </w:r>
      <w:r>
        <w:rPr>
          <w:rFonts w:ascii="Garamond" w:hAnsi="Garamond" w:cs="Times New Roman"/>
          <w:sz w:val="20"/>
          <w:szCs w:val="20"/>
          <w:lang w:val="en-US"/>
        </w:rPr>
        <w:t xml:space="preserve"> </w:t>
      </w:r>
      <w:r w:rsidRPr="00A7059F">
        <w:rPr>
          <w:rFonts w:ascii="Garamond" w:hAnsi="Garamond" w:cs="Times New Roman"/>
          <w:sz w:val="20"/>
          <w:szCs w:val="20"/>
          <w:lang w:val="en-US"/>
        </w:rPr>
        <w:t>and privileged. If climate change represents a form of apocalypse, it is not universal, but</w:t>
      </w:r>
    </w:p>
    <w:p w14:paraId="52440982" w14:textId="0592487B" w:rsidR="00082E6E" w:rsidRPr="00411AE0" w:rsidRDefault="00082E6E" w:rsidP="00452D17">
      <w:pPr>
        <w:pStyle w:val="FootnoteText"/>
        <w:rPr>
          <w:rFonts w:ascii="Garamond" w:hAnsi="Garamond"/>
          <w:lang w:val="en-US"/>
        </w:rPr>
      </w:pPr>
      <w:r w:rsidRPr="00A7059F">
        <w:rPr>
          <w:rFonts w:ascii="Garamond" w:hAnsi="Garamond" w:cs="Times New Roman"/>
          <w:lang w:val="en-US"/>
        </w:rPr>
        <w:t>uneven and combined: the species is as much an abstraction at the end of the line as at the source</w:t>
      </w:r>
      <w:r>
        <w:rPr>
          <w:rFonts w:ascii="Garamond" w:hAnsi="Garamond" w:cs="Times New Roman"/>
          <w:lang w:val="en-US"/>
        </w:rPr>
        <w:t>’:</w:t>
      </w:r>
      <w:r w:rsidRPr="005355BB">
        <w:rPr>
          <w:rFonts w:ascii="Garamond" w:hAnsi="Garamond"/>
          <w:lang w:val="en-US"/>
        </w:rPr>
        <w:t xml:space="preserve"> (n 4)</w:t>
      </w:r>
      <w:r>
        <w:rPr>
          <w:rFonts w:ascii="Garamond" w:hAnsi="Garamond"/>
          <w:lang w:val="en-US"/>
        </w:rPr>
        <w:t xml:space="preserve"> at 63. </w:t>
      </w:r>
    </w:p>
  </w:footnote>
  <w:footnote w:id="20">
    <w:p w14:paraId="3D11B25B" w14:textId="72604440" w:rsidR="00082E6E" w:rsidRPr="00411AE0" w:rsidRDefault="00082E6E" w:rsidP="00411AE0">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See J Abu-Lughod, </w:t>
      </w:r>
      <w:r w:rsidRPr="00411AE0">
        <w:rPr>
          <w:rFonts w:ascii="Garamond" w:hAnsi="Garamond"/>
          <w:i/>
        </w:rPr>
        <w:t xml:space="preserve">Before the European Hegemony: The World System AD1250-1350 </w:t>
      </w:r>
      <w:r w:rsidRPr="00411AE0">
        <w:rPr>
          <w:rFonts w:ascii="Garamond" w:hAnsi="Garamond"/>
        </w:rPr>
        <w:t>(New York: Oxford University Press, 1989).</w:t>
      </w:r>
    </w:p>
  </w:footnote>
  <w:footnote w:id="21">
    <w:p w14:paraId="2ED45891" w14:textId="1AE16DDF"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W Twining, </w:t>
      </w:r>
      <w:r w:rsidRPr="00411AE0">
        <w:rPr>
          <w:rFonts w:ascii="Garamond" w:hAnsi="Garamond"/>
          <w:i/>
        </w:rPr>
        <w:t>Globalisation and Legal Theory</w:t>
      </w:r>
      <w:r w:rsidRPr="00411AE0">
        <w:rPr>
          <w:rFonts w:ascii="Garamond" w:hAnsi="Garamond"/>
        </w:rPr>
        <w:t xml:space="preserve"> (London: Butterworths, 2000) at 7.</w:t>
      </w:r>
    </w:p>
  </w:footnote>
  <w:footnote w:id="22">
    <w:p w14:paraId="4F01EE74" w14:textId="60AA9FC5"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Contemporary globalisation has been described as a ‘rush of products, ideas, persons and money [stimulated by] jet transportation, electronic telecommunication, massive decolonization and extensive computerization’: TW Luke, ‘New World Order or Neo-World Orders: Power, Politics and Ideology in Informationalizing Glocalities’ (1995) 91 </w:t>
      </w:r>
      <w:r w:rsidRPr="00411AE0">
        <w:rPr>
          <w:rFonts w:ascii="Garamond" w:hAnsi="Garamond"/>
          <w:i/>
        </w:rPr>
        <w:t>Global Modernities</w:t>
      </w:r>
      <w:r w:rsidRPr="00411AE0">
        <w:rPr>
          <w:rFonts w:ascii="Garamond" w:hAnsi="Garamond"/>
        </w:rPr>
        <w:t xml:space="preserve"> at 99-100</w:t>
      </w:r>
      <w:r w:rsidRPr="00411AE0">
        <w:rPr>
          <w:rFonts w:ascii="Garamond" w:hAnsi="Garamond"/>
          <w:i/>
        </w:rPr>
        <w:t xml:space="preserve">, </w:t>
      </w:r>
      <w:r w:rsidRPr="00411AE0">
        <w:rPr>
          <w:rFonts w:ascii="Garamond" w:hAnsi="Garamond"/>
        </w:rPr>
        <w:t xml:space="preserve">cited by R McCorquodale and R Fairbrother, ‘Globalization and Human Rights’ (1999) 21 </w:t>
      </w:r>
      <w:r w:rsidRPr="00411AE0">
        <w:rPr>
          <w:rFonts w:ascii="Garamond" w:hAnsi="Garamond"/>
          <w:i/>
        </w:rPr>
        <w:t>Human Rights Quarterly</w:t>
      </w:r>
      <w:r w:rsidRPr="00411AE0">
        <w:rPr>
          <w:rFonts w:ascii="Garamond" w:hAnsi="Garamond"/>
        </w:rPr>
        <w:t xml:space="preserve"> 735-766 at 738.</w:t>
      </w:r>
    </w:p>
  </w:footnote>
  <w:footnote w:id="23">
    <w:p w14:paraId="4F3D8AA8" w14:textId="41BA8A72"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B </w:t>
      </w:r>
      <w:r w:rsidR="00921FF7">
        <w:rPr>
          <w:rFonts w:ascii="Garamond" w:hAnsi="Garamond"/>
        </w:rPr>
        <w:t>d</w:t>
      </w:r>
      <w:r w:rsidRPr="00411AE0">
        <w:rPr>
          <w:rFonts w:ascii="Garamond" w:hAnsi="Garamond"/>
        </w:rPr>
        <w:t xml:space="preserve">e Sousa Santos, </w:t>
      </w:r>
      <w:r w:rsidRPr="00411AE0">
        <w:rPr>
          <w:rFonts w:ascii="Garamond" w:hAnsi="Garamond"/>
          <w:i/>
        </w:rPr>
        <w:t xml:space="preserve">Toward a New Legal Common Sense: Law, Globalization and Emancipation </w:t>
      </w:r>
      <w:r w:rsidRPr="00411AE0">
        <w:rPr>
          <w:rFonts w:ascii="Garamond" w:hAnsi="Garamond"/>
        </w:rPr>
        <w:t xml:space="preserve">(London: Butterworths, 2002) at 165.  </w:t>
      </w:r>
      <w:r w:rsidR="003750BF">
        <w:rPr>
          <w:rFonts w:ascii="Garamond" w:hAnsi="Garamond"/>
        </w:rPr>
        <w:t xml:space="preserve">De Sousa </w:t>
      </w:r>
      <w:r w:rsidRPr="00411AE0">
        <w:rPr>
          <w:rFonts w:ascii="Garamond" w:hAnsi="Garamond"/>
        </w:rPr>
        <w:t xml:space="preserve">Santos refers to a range of commentators committed to such a view: M Featherstone (ed), </w:t>
      </w:r>
      <w:r w:rsidRPr="00411AE0">
        <w:rPr>
          <w:rFonts w:ascii="Garamond" w:hAnsi="Garamond"/>
          <w:i/>
        </w:rPr>
        <w:t xml:space="preserve">Global Culture: Nationalism, Globalization and </w:t>
      </w:r>
      <w:r w:rsidRPr="00411AE0">
        <w:rPr>
          <w:rFonts w:ascii="Garamond" w:hAnsi="Garamond"/>
        </w:rPr>
        <w:t xml:space="preserve">Modernity (London: Sage, 1990); A Giddens, </w:t>
      </w:r>
      <w:r w:rsidRPr="00411AE0">
        <w:rPr>
          <w:rFonts w:ascii="Garamond" w:hAnsi="Garamond"/>
          <w:i/>
        </w:rPr>
        <w:t xml:space="preserve">Sociology </w:t>
      </w:r>
      <w:r w:rsidRPr="00411AE0">
        <w:rPr>
          <w:rFonts w:ascii="Garamond" w:hAnsi="Garamond"/>
        </w:rPr>
        <w:t>(Oxford: Polity Press, 1990); M Albrow and E King (eds</w:t>
      </w:r>
      <w:r>
        <w:rPr>
          <w:rFonts w:ascii="Garamond" w:hAnsi="Garamond"/>
        </w:rPr>
        <w:t>.</w:t>
      </w:r>
      <w:r w:rsidRPr="00411AE0">
        <w:rPr>
          <w:rFonts w:ascii="Garamond" w:hAnsi="Garamond"/>
        </w:rPr>
        <w:t xml:space="preserve">) </w:t>
      </w:r>
      <w:r w:rsidRPr="00411AE0">
        <w:rPr>
          <w:rFonts w:ascii="Garamond" w:hAnsi="Garamond"/>
          <w:i/>
        </w:rPr>
        <w:t>Globalization, Knowledge and Society</w:t>
      </w:r>
      <w:r w:rsidRPr="00411AE0">
        <w:rPr>
          <w:rFonts w:ascii="Garamond" w:hAnsi="Garamond"/>
        </w:rPr>
        <w:t xml:space="preserve"> (London: Sage, 1990).</w:t>
      </w:r>
    </w:p>
  </w:footnote>
  <w:footnote w:id="24">
    <w:p w14:paraId="61E24627" w14:textId="3D05DC27" w:rsidR="00082E6E" w:rsidRPr="00411AE0" w:rsidRDefault="00082E6E" w:rsidP="00CB0DFA">
      <w:pPr>
        <w:pStyle w:val="FootnoteText"/>
        <w:rPr>
          <w:rFonts w:ascii="Garamond" w:hAnsi="Garamond"/>
        </w:rPr>
      </w:pPr>
      <w:r w:rsidRPr="00411AE0">
        <w:rPr>
          <w:rStyle w:val="FootnoteReference"/>
          <w:rFonts w:ascii="Garamond" w:hAnsi="Garamond"/>
        </w:rPr>
        <w:footnoteRef/>
      </w:r>
      <w:r>
        <w:rPr>
          <w:rFonts w:ascii="Garamond" w:hAnsi="Garamond"/>
        </w:rPr>
        <w:t xml:space="preserve"> </w:t>
      </w:r>
      <w:r w:rsidR="00191D03">
        <w:rPr>
          <w:rFonts w:ascii="Garamond" w:hAnsi="Garamond"/>
        </w:rPr>
        <w:t xml:space="preserve">De Sousa </w:t>
      </w:r>
      <w:r w:rsidRPr="00411AE0">
        <w:rPr>
          <w:rFonts w:ascii="Garamond" w:hAnsi="Garamond"/>
        </w:rPr>
        <w:t>Santos</w:t>
      </w:r>
      <w:r>
        <w:rPr>
          <w:rFonts w:ascii="Garamond" w:hAnsi="Garamond"/>
        </w:rPr>
        <w:t xml:space="preserve"> (n 22) at </w:t>
      </w:r>
      <w:r w:rsidRPr="00411AE0">
        <w:rPr>
          <w:rFonts w:ascii="Garamond" w:hAnsi="Garamond"/>
        </w:rPr>
        <w:t>166.</w:t>
      </w:r>
    </w:p>
  </w:footnote>
  <w:footnote w:id="25">
    <w:p w14:paraId="40AA43C0" w14:textId="17312FC7"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U Baxi, </w:t>
      </w:r>
      <w:r w:rsidRPr="00411AE0">
        <w:rPr>
          <w:rFonts w:ascii="Garamond" w:hAnsi="Garamond"/>
          <w:i/>
        </w:rPr>
        <w:t>The Future of Human Rights</w:t>
      </w:r>
      <w:r w:rsidRPr="00411AE0">
        <w:rPr>
          <w:rFonts w:ascii="Garamond" w:hAnsi="Garamond"/>
        </w:rPr>
        <w:t xml:space="preserve"> (Oxford: OUP, 2006) at 235.</w:t>
      </w:r>
    </w:p>
  </w:footnote>
  <w:footnote w:id="26">
    <w:p w14:paraId="757F4B6B" w14:textId="0F43156A"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U Beck, </w:t>
      </w:r>
      <w:r w:rsidRPr="00411AE0">
        <w:rPr>
          <w:rFonts w:ascii="Garamond" w:hAnsi="Garamond"/>
          <w:i/>
        </w:rPr>
        <w:t>Power in the Global Age</w:t>
      </w:r>
      <w:r w:rsidRPr="00411AE0">
        <w:rPr>
          <w:rFonts w:ascii="Garamond" w:hAnsi="Garamond"/>
        </w:rPr>
        <w:t xml:space="preserve"> (Cambridge: Polity Press, 2005/2006) at 117.</w:t>
      </w:r>
    </w:p>
  </w:footnote>
  <w:footnote w:id="27">
    <w:p w14:paraId="2F7D3378" w14:textId="71CB54D1"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T Evans and AJ Ayers,  ‘In the Service of Power: The Global Political Economy of Citizenship and Human Rights’ (2006) 10 </w:t>
      </w:r>
      <w:r w:rsidRPr="00411AE0">
        <w:rPr>
          <w:rFonts w:ascii="Garamond" w:hAnsi="Garamond"/>
          <w:i/>
        </w:rPr>
        <w:t>Citizenship Studies</w:t>
      </w:r>
      <w:r w:rsidRPr="00411AE0">
        <w:rPr>
          <w:rFonts w:ascii="Garamond" w:hAnsi="Garamond"/>
        </w:rPr>
        <w:t xml:space="preserve"> 239-308, at 293.</w:t>
      </w:r>
    </w:p>
  </w:footnote>
  <w:footnote w:id="28">
    <w:p w14:paraId="24BE1662" w14:textId="24DB86EE"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More than one third of the world’s industrial output was produced by TNCs in as early as 1995, and although ‘the organizational novelty of the TNCs may be questioned from a world system perspective, it seems undeniable that their prevalence in the world economy, and the degree and efficacy of centralized direction they manage to achieve, manage to distinguish them from older forms of international business enterprise’: </w:t>
      </w:r>
      <w:r w:rsidR="00191D03">
        <w:rPr>
          <w:rFonts w:ascii="Garamond" w:hAnsi="Garamond"/>
        </w:rPr>
        <w:t xml:space="preserve">De Sousa </w:t>
      </w:r>
      <w:r w:rsidRPr="00411AE0">
        <w:rPr>
          <w:rFonts w:ascii="Garamond" w:hAnsi="Garamond"/>
        </w:rPr>
        <w:t>Santos</w:t>
      </w:r>
      <w:r>
        <w:rPr>
          <w:rFonts w:ascii="Garamond" w:hAnsi="Garamond"/>
        </w:rPr>
        <w:t xml:space="preserve"> (</w:t>
      </w:r>
      <w:r w:rsidRPr="00411AE0">
        <w:rPr>
          <w:rFonts w:ascii="Garamond" w:hAnsi="Garamond"/>
        </w:rPr>
        <w:t>n 2</w:t>
      </w:r>
      <w:r>
        <w:rPr>
          <w:rFonts w:ascii="Garamond" w:hAnsi="Garamond"/>
        </w:rPr>
        <w:t>2)</w:t>
      </w:r>
      <w:r w:rsidRPr="00411AE0">
        <w:rPr>
          <w:rFonts w:ascii="Garamond" w:hAnsi="Garamond"/>
        </w:rPr>
        <w:t xml:space="preserve"> at 168. Beck characterises contemporary globalisation as ‘one of the most important changes there has been in the history of power’ (Beck</w:t>
      </w:r>
      <w:r>
        <w:rPr>
          <w:rFonts w:ascii="Garamond" w:hAnsi="Garamond"/>
        </w:rPr>
        <w:t xml:space="preserve"> (n 29) </w:t>
      </w:r>
      <w:r w:rsidRPr="00411AE0">
        <w:rPr>
          <w:rFonts w:ascii="Garamond" w:hAnsi="Garamond"/>
        </w:rPr>
        <w:t xml:space="preserve">at 52) and TNCs as ‘private sector </w:t>
      </w:r>
      <w:r w:rsidRPr="00411AE0">
        <w:rPr>
          <w:rFonts w:ascii="Garamond" w:hAnsi="Garamond"/>
          <w:i/>
        </w:rPr>
        <w:t>quasi-states</w:t>
      </w:r>
      <w:r w:rsidRPr="00411AE0">
        <w:rPr>
          <w:rFonts w:ascii="Garamond" w:hAnsi="Garamond"/>
        </w:rPr>
        <w:t>’ (ibid, at 75).</w:t>
      </w:r>
    </w:p>
  </w:footnote>
  <w:footnote w:id="29">
    <w:p w14:paraId="2353919D" w14:textId="116D44BC"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R Shamir, ‘Corporate Social Responsibility: A Case of Hegemony and Counter-Hegemony’ in B de Sousa Santos and CA Rodrigues-Garavito, </w:t>
      </w:r>
      <w:r w:rsidRPr="00411AE0">
        <w:rPr>
          <w:rFonts w:ascii="Garamond" w:hAnsi="Garamond"/>
          <w:i/>
        </w:rPr>
        <w:t>Law and Globalisation from Below: Towards a Cosmopolitan Legality</w:t>
      </w:r>
      <w:r w:rsidRPr="00411AE0">
        <w:rPr>
          <w:rFonts w:ascii="Garamond" w:hAnsi="Garamond"/>
        </w:rPr>
        <w:t xml:space="preserve"> (Cambridge: Cambridge University Press, 2005) 92-117 at 92.</w:t>
      </w:r>
    </w:p>
  </w:footnote>
  <w:footnote w:id="30">
    <w:p w14:paraId="06AD4C26" w14:textId="227D071F" w:rsidR="00082E6E" w:rsidRPr="00411AE0" w:rsidRDefault="00082E6E" w:rsidP="00F51545">
      <w:pPr>
        <w:autoSpaceDE w:val="0"/>
        <w:autoSpaceDN w:val="0"/>
        <w:adjustRightInd w:val="0"/>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cs="TimesTen-Roman"/>
          <w:sz w:val="20"/>
          <w:szCs w:val="20"/>
        </w:rPr>
        <w:t xml:space="preserve">S Gill ‘Globalisation, Market Civilisation, and Disciplinary Neoliberalism’ (1995) 24 </w:t>
      </w:r>
      <w:r w:rsidRPr="00411AE0">
        <w:rPr>
          <w:rFonts w:ascii="Garamond" w:hAnsi="Garamond" w:cs="TimesTen-Roman"/>
          <w:i/>
          <w:sz w:val="20"/>
          <w:szCs w:val="20"/>
        </w:rPr>
        <w:t>Millennium Journal of International Studies</w:t>
      </w:r>
      <w:r w:rsidRPr="00411AE0">
        <w:rPr>
          <w:rFonts w:ascii="Garamond" w:hAnsi="Garamond" w:cs="TimesTen-Roman"/>
          <w:sz w:val="20"/>
          <w:szCs w:val="20"/>
        </w:rPr>
        <w:t xml:space="preserve">, 399- 423; </w:t>
      </w:r>
      <w:r w:rsidRPr="00411AE0">
        <w:rPr>
          <w:rFonts w:ascii="Garamond" w:hAnsi="Garamond"/>
          <w:sz w:val="20"/>
          <w:szCs w:val="20"/>
        </w:rPr>
        <w:t xml:space="preserve">D Schneiderman, ‘Constitutional Approaches to Privatization: An Inquiry into the Magnitude of Neo-Liberal Constitutionalism’ (2000) 63 </w:t>
      </w:r>
      <w:r w:rsidRPr="00411AE0">
        <w:rPr>
          <w:rFonts w:ascii="Garamond" w:hAnsi="Garamond" w:cs="TimesTen-Roman"/>
          <w:i/>
          <w:sz w:val="20"/>
          <w:szCs w:val="20"/>
        </w:rPr>
        <w:t>Law and Contemporary Problems</w:t>
      </w:r>
      <w:r w:rsidRPr="00411AE0">
        <w:rPr>
          <w:rFonts w:ascii="Garamond" w:hAnsi="Garamond" w:cs="TimesTen-Roman"/>
          <w:sz w:val="20"/>
          <w:szCs w:val="20"/>
        </w:rPr>
        <w:t xml:space="preserve"> 83-109; </w:t>
      </w:r>
      <w:r w:rsidRPr="00411AE0">
        <w:rPr>
          <w:rFonts w:ascii="Garamond" w:hAnsi="Garamond"/>
          <w:sz w:val="20"/>
          <w:szCs w:val="20"/>
        </w:rPr>
        <w:t xml:space="preserve">S. Gill, ‘Constitutionalizing Inequality and the Clash of Globalizations’ (2002) 4 </w:t>
      </w:r>
      <w:r w:rsidRPr="00411AE0">
        <w:rPr>
          <w:rFonts w:ascii="Garamond" w:hAnsi="Garamond"/>
          <w:i/>
          <w:sz w:val="20"/>
          <w:szCs w:val="20"/>
        </w:rPr>
        <w:t>International Studies Review</w:t>
      </w:r>
      <w:r w:rsidRPr="00411AE0">
        <w:rPr>
          <w:rFonts w:ascii="Garamond" w:hAnsi="Garamond"/>
          <w:sz w:val="20"/>
          <w:szCs w:val="20"/>
        </w:rPr>
        <w:t xml:space="preserve"> 47- 65.</w:t>
      </w:r>
    </w:p>
  </w:footnote>
  <w:footnote w:id="31">
    <w:p w14:paraId="6B58A0A8" w14:textId="0ACE5E27" w:rsidR="00082E6E" w:rsidRPr="003D5871"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See the various contributions in S Gill and AC Cutler (eds.), </w:t>
      </w:r>
      <w:r w:rsidRPr="00411AE0">
        <w:rPr>
          <w:rFonts w:ascii="Garamond" w:hAnsi="Garamond"/>
          <w:i/>
        </w:rPr>
        <w:t xml:space="preserve">New Constitutionalism and World Order </w:t>
      </w:r>
      <w:r w:rsidRPr="00411AE0">
        <w:rPr>
          <w:rFonts w:ascii="Garamond" w:hAnsi="Garamond"/>
        </w:rPr>
        <w:t xml:space="preserve">(Cambridge: </w:t>
      </w:r>
      <w:r w:rsidRPr="00391737">
        <w:rPr>
          <w:rFonts w:ascii="Garamond" w:hAnsi="Garamond"/>
        </w:rPr>
        <w:t>CUP, 2014).</w:t>
      </w:r>
      <w:r w:rsidRPr="00F3160C">
        <w:rPr>
          <w:rFonts w:ascii="Garamond" w:hAnsi="Garamond"/>
          <w:i/>
        </w:rPr>
        <w:t xml:space="preserve"> </w:t>
      </w:r>
      <w:r w:rsidRPr="00F3160C">
        <w:rPr>
          <w:rFonts w:ascii="Garamond" w:hAnsi="Garamond"/>
        </w:rPr>
        <w:t xml:space="preserve">In earlier work, Gill argues that </w:t>
      </w:r>
      <w:r w:rsidRPr="005C7C2E">
        <w:rPr>
          <w:rFonts w:ascii="Garamond" w:hAnsi="Garamond"/>
          <w:color w:val="000000"/>
        </w:rPr>
        <w:t>the new constitutionalism is the ‘</w:t>
      </w:r>
      <w:r w:rsidRPr="005C7C2E">
        <w:rPr>
          <w:rFonts w:ascii="Garamond" w:hAnsi="Garamond"/>
          <w:i/>
          <w:color w:val="000000"/>
        </w:rPr>
        <w:t>political/juridical</w:t>
      </w:r>
      <w:r w:rsidRPr="001E7B33">
        <w:rPr>
          <w:rFonts w:ascii="Garamond" w:hAnsi="Garamond"/>
          <w:color w:val="000000"/>
        </w:rPr>
        <w:t xml:space="preserve"> form specific to neoliberal processes of accumulation and to market civilization’: Gill, ‘Constitutionalizing Inequality’</w:t>
      </w:r>
      <w:r w:rsidRPr="003D5871">
        <w:rPr>
          <w:rFonts w:ascii="Garamond" w:hAnsi="Garamond"/>
          <w:color w:val="000000"/>
        </w:rPr>
        <w:t xml:space="preserve"> (n </w:t>
      </w:r>
      <w:r>
        <w:rPr>
          <w:rFonts w:ascii="Garamond" w:hAnsi="Garamond"/>
          <w:color w:val="000000"/>
        </w:rPr>
        <w:t>29</w:t>
      </w:r>
      <w:r w:rsidRPr="003D5871">
        <w:rPr>
          <w:rFonts w:ascii="Garamond" w:hAnsi="Garamond"/>
          <w:color w:val="000000"/>
        </w:rPr>
        <w:t>) at 48.</w:t>
      </w:r>
    </w:p>
  </w:footnote>
  <w:footnote w:id="32">
    <w:p w14:paraId="70C35C07" w14:textId="29FEA9AA" w:rsidR="00082E6E" w:rsidRPr="000754E6" w:rsidRDefault="00082E6E" w:rsidP="00CB0DFA">
      <w:pPr>
        <w:pStyle w:val="FootnoteText"/>
        <w:rPr>
          <w:rFonts w:ascii="Garamond" w:hAnsi="Garamond"/>
          <w:lang w:val="en-US"/>
        </w:rPr>
      </w:pPr>
      <w:r w:rsidRPr="000754E6">
        <w:rPr>
          <w:rStyle w:val="FootnoteReference"/>
          <w:rFonts w:ascii="Garamond" w:hAnsi="Garamond"/>
        </w:rPr>
        <w:footnoteRef/>
      </w:r>
      <w:r w:rsidRPr="000754E6">
        <w:rPr>
          <w:rFonts w:ascii="Garamond" w:hAnsi="Garamond"/>
        </w:rPr>
        <w:t xml:space="preserve"> Baxi (n 2</w:t>
      </w:r>
      <w:r>
        <w:rPr>
          <w:rFonts w:ascii="Garamond" w:hAnsi="Garamond"/>
        </w:rPr>
        <w:t>4</w:t>
      </w:r>
      <w:r w:rsidRPr="000754E6">
        <w:rPr>
          <w:rFonts w:ascii="Garamond" w:hAnsi="Garamond"/>
        </w:rPr>
        <w:t xml:space="preserve">) 248-9. </w:t>
      </w:r>
    </w:p>
  </w:footnote>
  <w:footnote w:id="33">
    <w:p w14:paraId="5FF9EE11" w14:textId="694D04D1" w:rsidR="00082E6E" w:rsidRPr="00DA3BE0" w:rsidRDefault="00082E6E">
      <w:pPr>
        <w:pStyle w:val="FootnoteText"/>
        <w:rPr>
          <w:rFonts w:ascii="Garamond" w:hAnsi="Garamond"/>
          <w:lang w:val="en-US"/>
        </w:rPr>
      </w:pPr>
      <w:r w:rsidRPr="00DA3BE0">
        <w:rPr>
          <w:rStyle w:val="FootnoteReference"/>
          <w:rFonts w:ascii="Garamond" w:hAnsi="Garamond"/>
        </w:rPr>
        <w:footnoteRef/>
      </w:r>
      <w:r w:rsidRPr="00DA3BE0">
        <w:rPr>
          <w:rFonts w:ascii="Garamond" w:hAnsi="Garamond"/>
        </w:rPr>
        <w:t xml:space="preserve"> </w:t>
      </w:r>
      <w:r w:rsidRPr="00DA3BE0">
        <w:rPr>
          <w:rFonts w:ascii="Garamond" w:hAnsi="Garamond"/>
          <w:color w:val="000000"/>
        </w:rPr>
        <w:t>Ibid, 248.</w:t>
      </w:r>
      <w:r>
        <w:rPr>
          <w:rFonts w:ascii="Garamond" w:hAnsi="Garamond"/>
          <w:color w:val="000000"/>
        </w:rPr>
        <w:t xml:space="preserve"> Emphasis original.</w:t>
      </w:r>
    </w:p>
  </w:footnote>
  <w:footnote w:id="34">
    <w:p w14:paraId="30D2FC36" w14:textId="282DF306" w:rsidR="00082E6E" w:rsidRPr="008B75D4" w:rsidRDefault="00082E6E">
      <w:pPr>
        <w:pStyle w:val="FootnoteText"/>
        <w:rPr>
          <w:rFonts w:ascii="Garamond" w:hAnsi="Garamond"/>
          <w:lang w:val="en-US"/>
        </w:rPr>
      </w:pPr>
      <w:r w:rsidRPr="00735F20">
        <w:rPr>
          <w:rStyle w:val="FootnoteReference"/>
          <w:rFonts w:ascii="Garamond" w:hAnsi="Garamond"/>
        </w:rPr>
        <w:footnoteRef/>
      </w:r>
      <w:r w:rsidRPr="00735F20">
        <w:rPr>
          <w:rFonts w:ascii="Garamond" w:hAnsi="Garamond"/>
        </w:rPr>
        <w:t xml:space="preserve"> </w:t>
      </w:r>
      <w:r w:rsidRPr="00BA5B5A">
        <w:rPr>
          <w:rFonts w:ascii="Garamond" w:hAnsi="Garamond"/>
          <w:lang w:val="en-US"/>
        </w:rPr>
        <w:t>Ibid</w:t>
      </w:r>
      <w:r w:rsidRPr="00BA5B5A">
        <w:rPr>
          <w:rFonts w:ascii="Garamond" w:hAnsi="Garamond"/>
          <w:color w:val="000000"/>
        </w:rPr>
        <w:t>, 246.</w:t>
      </w:r>
    </w:p>
  </w:footnote>
  <w:footnote w:id="35">
    <w:p w14:paraId="48076721" w14:textId="29BFB663" w:rsidR="00082E6E" w:rsidRPr="00487845" w:rsidRDefault="00082E6E">
      <w:pPr>
        <w:pStyle w:val="FootnoteText"/>
        <w:rPr>
          <w:rFonts w:ascii="Garamond" w:hAnsi="Garamond"/>
          <w:lang w:val="en-US"/>
        </w:rPr>
      </w:pPr>
      <w:r w:rsidRPr="00F3160C">
        <w:rPr>
          <w:rStyle w:val="FootnoteReference"/>
          <w:rFonts w:ascii="Garamond" w:hAnsi="Garamond"/>
        </w:rPr>
        <w:footnoteRef/>
      </w:r>
      <w:r w:rsidRPr="00F3160C">
        <w:rPr>
          <w:rFonts w:ascii="Garamond" w:hAnsi="Garamond"/>
        </w:rPr>
        <w:t xml:space="preserve"> </w:t>
      </w:r>
      <w:r w:rsidRPr="00F3160C">
        <w:rPr>
          <w:rFonts w:ascii="Garamond" w:hAnsi="Garamond"/>
          <w:lang w:val="en-US"/>
        </w:rPr>
        <w:t>Malm and Hornborg</w:t>
      </w:r>
      <w:r>
        <w:rPr>
          <w:rFonts w:ascii="Garamond" w:hAnsi="Garamond"/>
          <w:lang w:val="en-US"/>
        </w:rPr>
        <w:t xml:space="preserve"> (n 4); Lewis and Maslin (n 5).</w:t>
      </w:r>
    </w:p>
  </w:footnote>
  <w:footnote w:id="36">
    <w:p w14:paraId="1C01A7C5" w14:textId="129C39C1" w:rsidR="00082E6E" w:rsidRPr="00A7059F" w:rsidRDefault="00082E6E" w:rsidP="00CB0DFA">
      <w:pPr>
        <w:pStyle w:val="FootnoteText"/>
        <w:rPr>
          <w:rFonts w:ascii="Garamond" w:hAnsi="Garamond"/>
          <w:lang w:val="en-US"/>
        </w:rPr>
      </w:pPr>
      <w:r w:rsidRPr="005F627F">
        <w:rPr>
          <w:rStyle w:val="FootnoteReference"/>
          <w:rFonts w:ascii="Garamond" w:hAnsi="Garamond"/>
        </w:rPr>
        <w:footnoteRef/>
      </w:r>
      <w:r w:rsidRPr="005F627F">
        <w:rPr>
          <w:rFonts w:ascii="Garamond" w:hAnsi="Garamond"/>
        </w:rPr>
        <w:t xml:space="preserve"> A Quijano, ‘Coloniality and Modernity/Rationality’ in W Mignolo and A Escobar (eds.) </w:t>
      </w:r>
      <w:r w:rsidRPr="005F627F">
        <w:rPr>
          <w:rFonts w:ascii="Garamond" w:hAnsi="Garamond"/>
          <w:i/>
        </w:rPr>
        <w:t xml:space="preserve">Globalization and the Decolonial Option, </w:t>
      </w:r>
      <w:r w:rsidRPr="00A7059F">
        <w:rPr>
          <w:rFonts w:ascii="Garamond" w:hAnsi="Garamond"/>
        </w:rPr>
        <w:t xml:space="preserve">(London and New York: Routledge, 2010) 22-32; A Quijano, ‘Coloniality and Modernity/Rationality’ (2007) 21 </w:t>
      </w:r>
      <w:r w:rsidRPr="00A7059F">
        <w:rPr>
          <w:rFonts w:ascii="Garamond" w:hAnsi="Garamond"/>
          <w:i/>
        </w:rPr>
        <w:t xml:space="preserve">Cultural Studies </w:t>
      </w:r>
      <w:r w:rsidRPr="00A7059F">
        <w:rPr>
          <w:rFonts w:ascii="Garamond" w:hAnsi="Garamond"/>
        </w:rPr>
        <w:t>168-178.</w:t>
      </w:r>
    </w:p>
  </w:footnote>
  <w:footnote w:id="37">
    <w:p w14:paraId="7861F342" w14:textId="247C89C8" w:rsidR="00082E6E" w:rsidRPr="005F627F" w:rsidRDefault="00082E6E" w:rsidP="00A15E14">
      <w:pPr>
        <w:pStyle w:val="FootnoteText"/>
        <w:rPr>
          <w:rFonts w:ascii="Garamond" w:hAnsi="Garamond"/>
        </w:rPr>
      </w:pPr>
      <w:r w:rsidRPr="005F627F">
        <w:rPr>
          <w:rStyle w:val="FootnoteReference"/>
          <w:rFonts w:ascii="Garamond" w:hAnsi="Garamond"/>
        </w:rPr>
        <w:footnoteRef/>
      </w:r>
      <w:r w:rsidRPr="005F627F">
        <w:rPr>
          <w:rFonts w:ascii="Garamond" w:hAnsi="Garamond"/>
        </w:rPr>
        <w:t xml:space="preserve"> A </w:t>
      </w:r>
      <w:r w:rsidRPr="005F627F">
        <w:rPr>
          <w:rFonts w:ascii="Garamond" w:hAnsi="Garamond"/>
          <w:lang w:val="en-US"/>
        </w:rPr>
        <w:t xml:space="preserve">Anghie, </w:t>
      </w:r>
      <w:r w:rsidRPr="005F627F">
        <w:rPr>
          <w:rFonts w:ascii="Garamond" w:hAnsi="Garamond" w:cs="Times New Roman"/>
          <w:i/>
          <w:lang w:val="en-US"/>
        </w:rPr>
        <w:t>Imperialism, Sovereignty and the Making of International Law</w:t>
      </w:r>
      <w:r w:rsidRPr="005F627F">
        <w:rPr>
          <w:rFonts w:ascii="Garamond" w:hAnsi="Garamond" w:cs="Times New Roman"/>
          <w:lang w:val="en-US"/>
        </w:rPr>
        <w:t xml:space="preserve"> (Cambridge: CUP, 2005).</w:t>
      </w:r>
    </w:p>
  </w:footnote>
  <w:footnote w:id="38">
    <w:p w14:paraId="16EA388F" w14:textId="70BBA992" w:rsidR="00082E6E" w:rsidRPr="00A7059F" w:rsidRDefault="00082E6E">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w:t>
      </w:r>
      <w:r w:rsidRPr="00A7059F">
        <w:rPr>
          <w:rFonts w:ascii="Garamond" w:hAnsi="Garamond"/>
          <w:lang w:val="en-US"/>
        </w:rPr>
        <w:t>Lewis and Maslin</w:t>
      </w:r>
      <w:r>
        <w:rPr>
          <w:rFonts w:ascii="Garamond" w:hAnsi="Garamond"/>
          <w:lang w:val="en-US"/>
        </w:rPr>
        <w:t xml:space="preserve"> (n 5)</w:t>
      </w:r>
      <w:r w:rsidRPr="00A7059F">
        <w:rPr>
          <w:rFonts w:ascii="Garamond" w:hAnsi="Garamond"/>
          <w:lang w:val="en-US"/>
        </w:rPr>
        <w:t>.</w:t>
      </w:r>
    </w:p>
  </w:footnote>
  <w:footnote w:id="39">
    <w:p w14:paraId="53564684" w14:textId="4A483366" w:rsidR="00082E6E" w:rsidRPr="00526A46" w:rsidRDefault="00082E6E" w:rsidP="004512F7">
      <w:pPr>
        <w:widowControl w:val="0"/>
        <w:autoSpaceDE w:val="0"/>
        <w:autoSpaceDN w:val="0"/>
        <w:adjustRightInd w:val="0"/>
        <w:spacing w:after="0" w:line="240" w:lineRule="auto"/>
        <w:rPr>
          <w:rFonts w:ascii="Garamond" w:hAnsi="Garamond" w:cs="Times New Roman"/>
          <w:sz w:val="20"/>
          <w:szCs w:val="20"/>
          <w:lang w:val="en-US"/>
        </w:rPr>
      </w:pPr>
      <w:r w:rsidRPr="00526A46">
        <w:rPr>
          <w:rStyle w:val="FootnoteReference"/>
          <w:rFonts w:ascii="Garamond" w:hAnsi="Garamond"/>
          <w:sz w:val="20"/>
          <w:szCs w:val="20"/>
        </w:rPr>
        <w:footnoteRef/>
      </w:r>
      <w:r w:rsidRPr="00526A46">
        <w:rPr>
          <w:rFonts w:ascii="Garamond" w:hAnsi="Garamond"/>
          <w:sz w:val="20"/>
          <w:szCs w:val="20"/>
        </w:rPr>
        <w:t xml:space="preserve"> W Mignolo, </w:t>
      </w:r>
      <w:r w:rsidRPr="00526A46">
        <w:rPr>
          <w:rFonts w:ascii="Garamond" w:hAnsi="Garamond"/>
          <w:i/>
          <w:sz w:val="20"/>
          <w:szCs w:val="20"/>
        </w:rPr>
        <w:t>The Darker Side of Western Modernity. Global Futures, Decolonial Options</w:t>
      </w:r>
      <w:r w:rsidRPr="00526A46">
        <w:rPr>
          <w:rFonts w:ascii="Garamond" w:hAnsi="Garamond"/>
          <w:sz w:val="20"/>
          <w:szCs w:val="20"/>
        </w:rPr>
        <w:t xml:space="preserve"> (Duke Press, 2011), at 3. Mignolo argues that ‘[a]</w:t>
      </w:r>
      <w:r w:rsidRPr="00526A46">
        <w:rPr>
          <w:rFonts w:ascii="Garamond" w:hAnsi="Garamond" w:cs="Times New Roman"/>
          <w:sz w:val="20"/>
          <w:szCs w:val="20"/>
          <w:lang w:val="en-US"/>
        </w:rPr>
        <w:t>fter 1500 the world order entered into a process in which polycentrism began to be displaced by an emerging monocentric civilization (e.g., Western civilization)’ (at 28).</w:t>
      </w:r>
    </w:p>
  </w:footnote>
  <w:footnote w:id="40">
    <w:p w14:paraId="0F060BAD" w14:textId="181231F5" w:rsidR="00082E6E" w:rsidRPr="005F627F" w:rsidRDefault="00082E6E" w:rsidP="00CB0DFA">
      <w:pPr>
        <w:pStyle w:val="FootnoteText"/>
        <w:rPr>
          <w:rFonts w:ascii="Garamond" w:hAnsi="Garamond"/>
        </w:rPr>
      </w:pPr>
      <w:r w:rsidRPr="005F627F">
        <w:rPr>
          <w:rStyle w:val="FootnoteReference"/>
          <w:rFonts w:ascii="Garamond" w:hAnsi="Garamond"/>
        </w:rPr>
        <w:footnoteRef/>
      </w:r>
      <w:r w:rsidRPr="005F627F">
        <w:rPr>
          <w:rFonts w:ascii="Garamond" w:hAnsi="Garamond"/>
        </w:rPr>
        <w:t xml:space="preserve"> </w:t>
      </w:r>
      <w:r w:rsidRPr="005F627F">
        <w:rPr>
          <w:rFonts w:ascii="Garamond" w:hAnsi="Garamond"/>
          <w:lang w:val="en-US"/>
        </w:rPr>
        <w:t>Anghie (n 3</w:t>
      </w:r>
      <w:r>
        <w:rPr>
          <w:rFonts w:ascii="Garamond" w:hAnsi="Garamond"/>
          <w:lang w:val="en-US"/>
        </w:rPr>
        <w:t>6</w:t>
      </w:r>
      <w:r w:rsidRPr="005F627F">
        <w:rPr>
          <w:rFonts w:ascii="Garamond" w:hAnsi="Garamond"/>
          <w:lang w:val="en-US"/>
        </w:rPr>
        <w:t>)</w:t>
      </w:r>
      <w:r>
        <w:rPr>
          <w:rFonts w:ascii="Garamond" w:hAnsi="Garamond"/>
          <w:lang w:val="en-US"/>
        </w:rPr>
        <w:t>.</w:t>
      </w:r>
      <w:r w:rsidRPr="005F627F">
        <w:rPr>
          <w:rFonts w:ascii="Garamond" w:hAnsi="Garamond"/>
          <w:lang w:val="en-US"/>
        </w:rPr>
        <w:t xml:space="preserve"> </w:t>
      </w:r>
    </w:p>
  </w:footnote>
  <w:footnote w:id="41">
    <w:p w14:paraId="51338E2C" w14:textId="74E7486B" w:rsidR="00082E6E" w:rsidRPr="00A7059F" w:rsidRDefault="00082E6E" w:rsidP="00CB0DFA">
      <w:pPr>
        <w:widowControl w:val="0"/>
        <w:autoSpaceDE w:val="0"/>
        <w:autoSpaceDN w:val="0"/>
        <w:adjustRightInd w:val="0"/>
        <w:spacing w:after="0" w:line="240" w:lineRule="auto"/>
        <w:rPr>
          <w:rFonts w:ascii="Garamond" w:hAnsi="Garamond" w:cs="Times New Roman"/>
          <w:sz w:val="20"/>
          <w:szCs w:val="20"/>
          <w:lang w:val="en-US"/>
        </w:rPr>
      </w:pPr>
      <w:r w:rsidRPr="00A7059F">
        <w:rPr>
          <w:rStyle w:val="FootnoteReference"/>
          <w:rFonts w:ascii="Garamond" w:hAnsi="Garamond"/>
          <w:sz w:val="20"/>
          <w:szCs w:val="20"/>
        </w:rPr>
        <w:footnoteRef/>
      </w:r>
      <w:r w:rsidRPr="00A7059F">
        <w:rPr>
          <w:rFonts w:ascii="Garamond" w:hAnsi="Garamond"/>
          <w:sz w:val="20"/>
          <w:szCs w:val="20"/>
        </w:rPr>
        <w:t xml:space="preserve"> </w:t>
      </w:r>
      <w:r w:rsidRPr="00A7059F">
        <w:rPr>
          <w:rFonts w:ascii="Garamond" w:hAnsi="Garamond" w:cs="Times New Roman"/>
          <w:sz w:val="20"/>
          <w:szCs w:val="20"/>
          <w:lang w:val="en-US"/>
        </w:rPr>
        <w:t xml:space="preserve">J McLean, ‘The Transnational Corporation in History: Lessons for Today?’ (2004) 79 </w:t>
      </w:r>
      <w:r w:rsidRPr="00A7059F">
        <w:rPr>
          <w:rFonts w:ascii="Garamond" w:hAnsi="Garamond" w:cs="Times New Roman"/>
          <w:i/>
          <w:sz w:val="20"/>
          <w:szCs w:val="20"/>
          <w:lang w:val="en-US"/>
        </w:rPr>
        <w:t>Indiana Law Journal</w:t>
      </w:r>
      <w:r w:rsidRPr="00A7059F">
        <w:rPr>
          <w:rFonts w:ascii="Garamond" w:hAnsi="Garamond" w:cs="Times New Roman"/>
          <w:sz w:val="20"/>
          <w:szCs w:val="20"/>
          <w:lang w:val="en-US"/>
        </w:rPr>
        <w:t xml:space="preserve"> 363-377.</w:t>
      </w:r>
    </w:p>
  </w:footnote>
  <w:footnote w:id="42">
    <w:p w14:paraId="64BC001C" w14:textId="3971DA5B" w:rsidR="00082E6E" w:rsidRPr="005F627F" w:rsidRDefault="00082E6E" w:rsidP="00565C53">
      <w:pPr>
        <w:pStyle w:val="FootnoteText"/>
        <w:rPr>
          <w:rFonts w:ascii="Garamond" w:hAnsi="Garamond"/>
          <w:lang w:val="en-US"/>
        </w:rPr>
      </w:pPr>
      <w:r w:rsidRPr="005F627F">
        <w:rPr>
          <w:rStyle w:val="FootnoteReference"/>
          <w:rFonts w:ascii="Garamond" w:hAnsi="Garamond"/>
        </w:rPr>
        <w:footnoteRef/>
      </w:r>
      <w:r w:rsidRPr="005F627F">
        <w:rPr>
          <w:rFonts w:ascii="Garamond" w:hAnsi="Garamond"/>
        </w:rPr>
        <w:t xml:space="preserve"> </w:t>
      </w:r>
      <w:r w:rsidRPr="005F627F">
        <w:rPr>
          <w:rFonts w:ascii="Garamond" w:hAnsi="Garamond"/>
          <w:lang w:val="en-US"/>
        </w:rPr>
        <w:t>Ibid, at 364.</w:t>
      </w:r>
    </w:p>
  </w:footnote>
  <w:footnote w:id="43">
    <w:p w14:paraId="0F924328" w14:textId="4D355149" w:rsidR="00082E6E" w:rsidRPr="00A903E5" w:rsidRDefault="00082E6E" w:rsidP="00A7059F">
      <w:pPr>
        <w:widowControl w:val="0"/>
        <w:autoSpaceDE w:val="0"/>
        <w:autoSpaceDN w:val="0"/>
        <w:adjustRightInd w:val="0"/>
        <w:spacing w:after="0" w:line="240" w:lineRule="auto"/>
        <w:rPr>
          <w:lang w:val="en-US"/>
        </w:rPr>
      </w:pPr>
      <w:r w:rsidRPr="001F6564">
        <w:rPr>
          <w:rStyle w:val="FootnoteReference"/>
          <w:rFonts w:ascii="Garamond" w:hAnsi="Garamond"/>
          <w:sz w:val="20"/>
          <w:szCs w:val="20"/>
        </w:rPr>
        <w:footnoteRef/>
      </w:r>
      <w:r w:rsidRPr="001F6564">
        <w:rPr>
          <w:rFonts w:ascii="Garamond" w:hAnsi="Garamond"/>
          <w:sz w:val="20"/>
          <w:szCs w:val="20"/>
        </w:rPr>
        <w:t xml:space="preserve"> </w:t>
      </w:r>
      <w:r w:rsidRPr="00A903E5">
        <w:rPr>
          <w:rFonts w:ascii="Garamond" w:hAnsi="Garamond" w:cs="Times New Roman"/>
          <w:color w:val="000000"/>
          <w:sz w:val="20"/>
          <w:szCs w:val="20"/>
          <w:lang w:val="en-US"/>
        </w:rPr>
        <w:t>Chakrabarty</w:t>
      </w:r>
      <w:r>
        <w:rPr>
          <w:rFonts w:ascii="Garamond" w:hAnsi="Garamond" w:cs="Times New Roman"/>
          <w:color w:val="000000"/>
          <w:sz w:val="20"/>
          <w:szCs w:val="20"/>
          <w:lang w:val="en-US"/>
        </w:rPr>
        <w:t xml:space="preserve"> (n 16), 4.</w:t>
      </w:r>
    </w:p>
  </w:footnote>
  <w:footnote w:id="44">
    <w:p w14:paraId="2D09270B" w14:textId="5495CF24"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CB6DF6">
        <w:rPr>
          <w:rFonts w:ascii="Garamond" w:hAnsi="Garamond" w:cs="ˇıøW¸Á"/>
          <w:lang w:val="en-US"/>
        </w:rPr>
        <w:t xml:space="preserve">G Huggan and H Tiffin, ‘Green Postcolonialism’ (2007) 9(1) </w:t>
      </w:r>
      <w:r w:rsidRPr="00CB6DF6">
        <w:rPr>
          <w:rFonts w:ascii="Garamond" w:hAnsi="Garamond" w:cs="ˇıøW¸Á"/>
          <w:i/>
          <w:lang w:val="en-US"/>
        </w:rPr>
        <w:t xml:space="preserve">Interventions: International </w:t>
      </w:r>
      <w:r w:rsidRPr="00CB6DF6">
        <w:rPr>
          <w:rFonts w:ascii="Garamond" w:hAnsi="Garamond" w:cs="ˇıøW¸Á"/>
          <w:i/>
          <w:color w:val="000000" w:themeColor="text1"/>
          <w:lang w:val="en-US"/>
        </w:rPr>
        <w:t>Journal of Postcolonial Studies</w:t>
      </w:r>
      <w:r w:rsidRPr="00CB6DF6">
        <w:rPr>
          <w:rFonts w:ascii="Garamond" w:hAnsi="Garamond" w:cs="ˇıøW¸Á"/>
          <w:color w:val="000000" w:themeColor="text1"/>
          <w:lang w:val="en-US"/>
        </w:rPr>
        <w:t xml:space="preserve"> 1 –11</w:t>
      </w:r>
      <w:r>
        <w:rPr>
          <w:rFonts w:ascii="Garamond" w:hAnsi="Garamond" w:cs="ˇıøW¸Á"/>
          <w:color w:val="000000" w:themeColor="text1"/>
          <w:lang w:val="en-US"/>
        </w:rPr>
        <w:t>.</w:t>
      </w:r>
    </w:p>
  </w:footnote>
  <w:footnote w:id="45">
    <w:p w14:paraId="009F2EB2" w14:textId="117C4BF8" w:rsidR="00082E6E" w:rsidRPr="00411AE0" w:rsidRDefault="00082E6E" w:rsidP="000535DD">
      <w:pPr>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Quijano </w:t>
      </w:r>
      <w:r>
        <w:rPr>
          <w:rFonts w:ascii="Garamond" w:hAnsi="Garamond"/>
          <w:sz w:val="20"/>
          <w:szCs w:val="20"/>
        </w:rPr>
        <w:t>(n 35)</w:t>
      </w:r>
      <w:r w:rsidRPr="00411AE0">
        <w:rPr>
          <w:rFonts w:ascii="Garamond" w:hAnsi="Garamond"/>
          <w:sz w:val="20"/>
          <w:szCs w:val="20"/>
        </w:rPr>
        <w:t xml:space="preserve">. This is a concept also central to the work of Mignolo: W Mignolo, </w:t>
      </w:r>
      <w:r w:rsidRPr="00411AE0">
        <w:rPr>
          <w:rFonts w:ascii="Garamond" w:eastAsia="Times New Roman" w:hAnsi="Garamond" w:cs="Times New Roman"/>
          <w:i/>
          <w:iCs/>
          <w:color w:val="333333"/>
          <w:sz w:val="20"/>
          <w:szCs w:val="20"/>
          <w:shd w:val="clear" w:color="auto" w:fill="FFFFFF"/>
        </w:rPr>
        <w:t>The Darker Side of the Renaissance: Literacy, Territoriality, and Colonization</w:t>
      </w:r>
      <w:r w:rsidRPr="00411AE0">
        <w:rPr>
          <w:rFonts w:ascii="Garamond" w:eastAsia="Times New Roman" w:hAnsi="Garamond" w:cs="Times New Roman"/>
          <w:color w:val="333333"/>
          <w:sz w:val="20"/>
          <w:szCs w:val="20"/>
          <w:shd w:val="clear" w:color="auto" w:fill="FFFFFF"/>
        </w:rPr>
        <w:t xml:space="preserve"> (2nd edn.) (Ann Arbor: The University of Michigan Press, 2003).</w:t>
      </w:r>
    </w:p>
  </w:footnote>
  <w:footnote w:id="46">
    <w:p w14:paraId="1A765F52" w14:textId="7B1FFD70" w:rsidR="00082E6E" w:rsidRPr="00411AE0" w:rsidRDefault="00082E6E" w:rsidP="005B703E">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McLean</w:t>
      </w:r>
      <w:r>
        <w:rPr>
          <w:rFonts w:ascii="Garamond" w:hAnsi="Garamond"/>
          <w:sz w:val="20"/>
          <w:szCs w:val="20"/>
        </w:rPr>
        <w:t xml:space="preserve"> (n 40)</w:t>
      </w:r>
      <w:r w:rsidRPr="00411AE0">
        <w:rPr>
          <w:rFonts w:ascii="Garamond" w:hAnsi="Garamond"/>
          <w:sz w:val="20"/>
          <w:szCs w:val="20"/>
        </w:rPr>
        <w:t>. Koskenni</w:t>
      </w:r>
      <w:r>
        <w:rPr>
          <w:rFonts w:ascii="Garamond" w:hAnsi="Garamond"/>
          <w:sz w:val="20"/>
          <w:szCs w:val="20"/>
        </w:rPr>
        <w:t>e</w:t>
      </w:r>
      <w:r w:rsidRPr="00411AE0">
        <w:rPr>
          <w:rFonts w:ascii="Garamond" w:hAnsi="Garamond"/>
          <w:sz w:val="20"/>
          <w:szCs w:val="20"/>
        </w:rPr>
        <w:t xml:space="preserve">mi argues that </w:t>
      </w:r>
      <w:r w:rsidRPr="00411AE0">
        <w:rPr>
          <w:rFonts w:ascii="Garamond" w:hAnsi="Garamond" w:cs="Times New Roman"/>
          <w:sz w:val="20"/>
          <w:szCs w:val="20"/>
          <w:lang w:val="en-US"/>
        </w:rPr>
        <w:t>‘[a] basic history of international law might treat the East India Company’s rule over most of the Indian peninsula from 1757 as an aberration—while it was merely the most conspicuous case of the basic forms of English and early French colonial expansion’: M Koskeni</w:t>
      </w:r>
      <w:r>
        <w:rPr>
          <w:rFonts w:ascii="Garamond" w:hAnsi="Garamond" w:cs="Times New Roman"/>
          <w:sz w:val="20"/>
          <w:szCs w:val="20"/>
          <w:lang w:val="en-US"/>
        </w:rPr>
        <w:t>e</w:t>
      </w:r>
      <w:r w:rsidRPr="00411AE0">
        <w:rPr>
          <w:rFonts w:ascii="Garamond" w:hAnsi="Garamond" w:cs="Times New Roman"/>
          <w:sz w:val="20"/>
          <w:szCs w:val="20"/>
          <w:lang w:val="en-US"/>
        </w:rPr>
        <w:t xml:space="preserve">mi, ‘Expanding Histories of International Law’ (2016) 56 </w:t>
      </w:r>
      <w:r w:rsidRPr="00411AE0">
        <w:rPr>
          <w:rFonts w:ascii="Garamond" w:hAnsi="Garamond" w:cs="Times New Roman"/>
          <w:i/>
          <w:sz w:val="20"/>
          <w:szCs w:val="20"/>
          <w:lang w:val="en-US"/>
        </w:rPr>
        <w:t xml:space="preserve">American Journal of Legal History </w:t>
      </w:r>
      <w:r w:rsidRPr="00411AE0">
        <w:rPr>
          <w:rFonts w:ascii="Garamond" w:hAnsi="Garamond" w:cs="Times New Roman"/>
          <w:sz w:val="20"/>
          <w:szCs w:val="20"/>
          <w:lang w:val="en-US"/>
        </w:rPr>
        <w:t xml:space="preserve">104-112 </w:t>
      </w:r>
      <w:r w:rsidRPr="00411AE0">
        <w:rPr>
          <w:rFonts w:ascii="Garamond" w:hAnsi="Garamond"/>
          <w:sz w:val="20"/>
          <w:szCs w:val="20"/>
        </w:rPr>
        <w:t>at 109.</w:t>
      </w:r>
    </w:p>
  </w:footnote>
  <w:footnote w:id="47">
    <w:p w14:paraId="75CF0846" w14:textId="5482B00A" w:rsidR="00082E6E" w:rsidRPr="00411AE0" w:rsidRDefault="00082E6E" w:rsidP="00D60E23">
      <w:pPr>
        <w:widowControl w:val="0"/>
        <w:autoSpaceDE w:val="0"/>
        <w:autoSpaceDN w:val="0"/>
        <w:adjustRightInd w:val="0"/>
        <w:spacing w:after="0" w:line="240" w:lineRule="auto"/>
        <w:rPr>
          <w:rFonts w:ascii="Garamond" w:hAnsi="Garamond" w:cs="ˇıøW¸Á"/>
          <w:color w:val="000000" w:themeColor="text1"/>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cs="ˇıøW¸Á"/>
          <w:sz w:val="20"/>
          <w:szCs w:val="20"/>
          <w:lang w:val="en-US"/>
        </w:rPr>
        <w:t>Huggan and Tiffin</w:t>
      </w:r>
      <w:r>
        <w:rPr>
          <w:rFonts w:ascii="Garamond" w:hAnsi="Garamond" w:cs="ˇıøW¸Á"/>
          <w:sz w:val="20"/>
          <w:szCs w:val="20"/>
          <w:lang w:val="en-US"/>
        </w:rPr>
        <w:t xml:space="preserve"> (n 43) </w:t>
      </w:r>
      <w:r w:rsidRPr="00411AE0">
        <w:rPr>
          <w:rFonts w:ascii="Garamond" w:hAnsi="Garamond" w:cs="ˇıøW¸Á"/>
          <w:color w:val="000000" w:themeColor="text1"/>
          <w:sz w:val="20"/>
          <w:szCs w:val="20"/>
          <w:lang w:val="en-US"/>
        </w:rPr>
        <w:t>at 2.</w:t>
      </w:r>
    </w:p>
  </w:footnote>
  <w:footnote w:id="48">
    <w:p w14:paraId="726D1FC1" w14:textId="18059AB5" w:rsidR="00082E6E" w:rsidRPr="00411AE0" w:rsidRDefault="00082E6E" w:rsidP="00111F80">
      <w:pPr>
        <w:pStyle w:val="RefBook"/>
        <w:spacing w:line="240" w:lineRule="auto"/>
        <w:ind w:left="0" w:firstLine="0"/>
        <w:rPr>
          <w:rFonts w:ascii="Garamond" w:hAnsi="Garamond" w:cs="Tahoma"/>
          <w:color w:val="000000" w:themeColor="text1"/>
          <w:sz w:val="20"/>
          <w:lang w:val="en-GB"/>
        </w:rPr>
      </w:pPr>
      <w:r w:rsidRPr="00411AE0">
        <w:rPr>
          <w:rStyle w:val="FootnoteReference"/>
          <w:rFonts w:ascii="Garamond" w:hAnsi="Garamond"/>
          <w:color w:val="000000" w:themeColor="text1"/>
          <w:sz w:val="20"/>
        </w:rPr>
        <w:footnoteRef/>
      </w:r>
      <w:r w:rsidRPr="00411AE0">
        <w:rPr>
          <w:rFonts w:ascii="Garamond" w:hAnsi="Garamond"/>
          <w:color w:val="000000" w:themeColor="text1"/>
          <w:sz w:val="20"/>
        </w:rPr>
        <w:t xml:space="preserve"> </w:t>
      </w:r>
      <w:bookmarkStart w:id="1" w:name="Ref_954_FILE150311733P3014"/>
      <w:r w:rsidRPr="00411AE0">
        <w:rPr>
          <w:rFonts w:ascii="Garamond" w:hAnsi="Garamond"/>
          <w:color w:val="000000" w:themeColor="text1"/>
          <w:sz w:val="20"/>
        </w:rPr>
        <w:t xml:space="preserve">G </w:t>
      </w:r>
      <w:r w:rsidRPr="00411AE0">
        <w:rPr>
          <w:rFonts w:ascii="Garamond" w:hAnsi="Garamond" w:cs="Tahoma"/>
          <w:color w:val="000000" w:themeColor="text1"/>
          <w:sz w:val="20"/>
        </w:rPr>
        <w:t xml:space="preserve">Nanni, </w:t>
      </w:r>
      <w:r w:rsidRPr="00411AE0">
        <w:rPr>
          <w:rFonts w:ascii="Garamond" w:hAnsi="Garamond"/>
          <w:i/>
          <w:color w:val="000000" w:themeColor="text1"/>
          <w:sz w:val="20"/>
        </w:rPr>
        <w:t>The Colonization of Time: Ritual, Routine and Resistance in the British Empire</w:t>
      </w:r>
      <w:r w:rsidRPr="00411AE0">
        <w:rPr>
          <w:rFonts w:ascii="Garamond" w:hAnsi="Garamond"/>
          <w:color w:val="000000" w:themeColor="text1"/>
          <w:sz w:val="20"/>
        </w:rPr>
        <w:t xml:space="preserve"> (</w:t>
      </w:r>
      <w:r w:rsidRPr="00411AE0">
        <w:rPr>
          <w:rFonts w:ascii="Garamond" w:hAnsi="Garamond" w:cs="Tahoma"/>
          <w:color w:val="000000" w:themeColor="text1"/>
          <w:sz w:val="20"/>
        </w:rPr>
        <w:t xml:space="preserve">New York: Manchester University Press, 2012). Chakrabarty argues that </w:t>
      </w:r>
      <w:r w:rsidRPr="00411AE0">
        <w:rPr>
          <w:rFonts w:ascii="Garamond" w:hAnsi="Garamond" w:cs="Tahoma"/>
          <w:color w:val="000000" w:themeColor="text1"/>
          <w:sz w:val="20"/>
          <w:lang w:val="en-GB"/>
        </w:rPr>
        <w:t xml:space="preserve">the ideology of </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progress</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 xml:space="preserve"> in the nineteenth century </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 xml:space="preserve">made modernity or capitalism look not simply global but rather . . . something that became global </w:t>
      </w:r>
      <w:r w:rsidRPr="00411AE0">
        <w:rPr>
          <w:rFonts w:ascii="Garamond" w:hAnsi="Garamond"/>
          <w:i/>
          <w:color w:val="000000" w:themeColor="text1"/>
          <w:sz w:val="20"/>
          <w:lang w:val="en-GB"/>
        </w:rPr>
        <w:t>over</w:t>
      </w:r>
      <w:r w:rsidRPr="00411AE0">
        <w:rPr>
          <w:rFonts w:ascii="Garamond" w:hAnsi="Garamond"/>
          <w:color w:val="000000" w:themeColor="text1"/>
          <w:sz w:val="20"/>
          <w:lang w:val="en-GB"/>
        </w:rPr>
        <w:t xml:space="preserve"> </w:t>
      </w:r>
      <w:r w:rsidRPr="00411AE0">
        <w:rPr>
          <w:rFonts w:ascii="Garamond" w:hAnsi="Garamond" w:cs="Tahoma"/>
          <w:color w:val="000000" w:themeColor="text1"/>
          <w:sz w:val="20"/>
          <w:lang w:val="en-GB"/>
        </w:rPr>
        <w:t>time, by originating in one place (Europe) and then spreading outside it</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 a construction of historical</w:t>
      </w:r>
      <w:r w:rsidRPr="00411AE0">
        <w:rPr>
          <w:rFonts w:ascii="Garamond" w:hAnsi="Garamond" w:cs="Tahoma"/>
          <w:sz w:val="20"/>
          <w:lang w:val="en-GB"/>
        </w:rPr>
        <w:t xml:space="preserve"> </w:t>
      </w:r>
      <w:r w:rsidRPr="00411AE0">
        <w:rPr>
          <w:rFonts w:ascii="Garamond" w:hAnsi="Garamond" w:cs="Tahoma"/>
          <w:color w:val="000000" w:themeColor="text1"/>
          <w:sz w:val="20"/>
          <w:lang w:val="en-GB"/>
        </w:rPr>
        <w:t xml:space="preserve">time itself taking on a </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first in Europe, then elsewhere</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 xml:space="preserve"> structure</w:t>
      </w:r>
      <w:r w:rsidRPr="00411AE0">
        <w:rPr>
          <w:rFonts w:ascii="Garamond" w:hAnsi="Garamond"/>
          <w:color w:val="000000" w:themeColor="text1"/>
          <w:sz w:val="20"/>
          <w:lang w:val="en-GB"/>
        </w:rPr>
        <w:t>’</w:t>
      </w:r>
      <w:r w:rsidRPr="00411AE0">
        <w:rPr>
          <w:rFonts w:ascii="Garamond" w:hAnsi="Garamond" w:cs="Tahoma"/>
          <w:color w:val="000000" w:themeColor="text1"/>
          <w:sz w:val="20"/>
          <w:lang w:val="en-GB"/>
        </w:rPr>
        <w:t xml:space="preserve">: </w:t>
      </w:r>
      <w:bookmarkStart w:id="2" w:name="VLB_844_Ref_922_FILE150311733P3014"/>
      <w:r w:rsidRPr="00411AE0">
        <w:rPr>
          <w:rFonts w:ascii="Garamond" w:hAnsi="Garamond" w:cs="Tahoma"/>
          <w:color w:val="000000" w:themeColor="text1"/>
          <w:sz w:val="20"/>
          <w:lang w:val="en-GB"/>
        </w:rPr>
        <w:t>Chakrabarty</w:t>
      </w:r>
      <w:r>
        <w:rPr>
          <w:rFonts w:ascii="Garamond" w:hAnsi="Garamond" w:cs="Tahoma"/>
          <w:color w:val="000000" w:themeColor="text1"/>
          <w:sz w:val="20"/>
          <w:lang w:val="en-GB"/>
        </w:rPr>
        <w:t xml:space="preserve"> (n 16) </w:t>
      </w:r>
      <w:r w:rsidRPr="00411AE0">
        <w:rPr>
          <w:rFonts w:ascii="Garamond" w:hAnsi="Garamond" w:cs="Tahoma"/>
          <w:color w:val="000000" w:themeColor="text1"/>
          <w:sz w:val="20"/>
          <w:lang w:val="en-GB"/>
        </w:rPr>
        <w:t xml:space="preserve">at 7. </w:t>
      </w:r>
      <w:bookmarkEnd w:id="1"/>
      <w:bookmarkEnd w:id="2"/>
      <w:r w:rsidRPr="00411AE0">
        <w:rPr>
          <w:rFonts w:ascii="Garamond" w:hAnsi="Garamond" w:cs="Tahoma"/>
          <w:color w:val="000000" w:themeColor="text1"/>
          <w:sz w:val="20"/>
          <w:lang w:val="en-GB"/>
        </w:rPr>
        <w:t xml:space="preserve">For further discussion locating time as injustice against the production of the global, see A Grear, ‘Anthropocene “Time”’? A reflection on temporalities in the ‘New Age of the Human’ </w:t>
      </w:r>
      <w:r w:rsidRPr="00EB04FA">
        <w:rPr>
          <w:rFonts w:ascii="Garamond" w:hAnsi="Garamond" w:cs="Tahoma"/>
          <w:color w:val="auto"/>
          <w:sz w:val="20"/>
          <w:lang w:val="en-GB"/>
        </w:rPr>
        <w:t>in</w:t>
      </w:r>
      <w:r w:rsidRPr="00EB04FA">
        <w:rPr>
          <w:rFonts w:ascii="Garamond" w:hAnsi="Garamond"/>
          <w:color w:val="auto"/>
          <w:sz w:val="20"/>
        </w:rPr>
        <w:t xml:space="preserve"> A Philippopoulos-Mihalopoulos (ed.), </w:t>
      </w:r>
      <w:r w:rsidRPr="00EB04FA">
        <w:rPr>
          <w:rFonts w:ascii="Garamond" w:hAnsi="Garamond"/>
          <w:i/>
          <w:color w:val="auto"/>
          <w:sz w:val="20"/>
        </w:rPr>
        <w:t xml:space="preserve">Routledge Research Handbook on Law and Theory </w:t>
      </w:r>
      <w:r w:rsidRPr="00EB04FA">
        <w:rPr>
          <w:rFonts w:ascii="Garamond" w:hAnsi="Garamond"/>
          <w:color w:val="auto"/>
          <w:sz w:val="20"/>
        </w:rPr>
        <w:t>(London: Routledge, 2019) 297-315.</w:t>
      </w:r>
    </w:p>
  </w:footnote>
  <w:footnote w:id="49">
    <w:p w14:paraId="49C0F7B4" w14:textId="4AA60FB0"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Mignolo</w:t>
      </w:r>
      <w:r>
        <w:rPr>
          <w:rFonts w:ascii="Garamond" w:hAnsi="Garamond"/>
        </w:rPr>
        <w:t xml:space="preserve"> (n 38) </w:t>
      </w:r>
      <w:r w:rsidRPr="00411AE0">
        <w:rPr>
          <w:rFonts w:ascii="Garamond" w:hAnsi="Garamond"/>
        </w:rPr>
        <w:t>at 156.</w:t>
      </w:r>
    </w:p>
  </w:footnote>
  <w:footnote w:id="50">
    <w:p w14:paraId="0AEB8099" w14:textId="7E42AAE6" w:rsidR="00082E6E" w:rsidRPr="00411AE0" w:rsidRDefault="00082E6E" w:rsidP="00CB0DFA">
      <w:pPr>
        <w:pStyle w:val="FootnoteText"/>
        <w:rPr>
          <w:rFonts w:ascii="Garamond" w:hAnsi="Garamond"/>
          <w:i/>
        </w:rPr>
      </w:pPr>
      <w:r w:rsidRPr="00411AE0">
        <w:rPr>
          <w:rStyle w:val="FootnoteReference"/>
          <w:rFonts w:ascii="Garamond" w:hAnsi="Garamond"/>
        </w:rPr>
        <w:footnoteRef/>
      </w:r>
      <w:r w:rsidRPr="00411AE0">
        <w:rPr>
          <w:rFonts w:ascii="Garamond" w:hAnsi="Garamond"/>
        </w:rPr>
        <w:t xml:space="preserve"> A Quijano and M Ennis, ‘Views from the South’ (2000) 1/1 </w:t>
      </w:r>
      <w:r w:rsidRPr="00411AE0">
        <w:rPr>
          <w:rFonts w:ascii="Garamond" w:hAnsi="Garamond"/>
          <w:i/>
        </w:rPr>
        <w:t>Nepanta</w:t>
      </w:r>
      <w:r w:rsidRPr="00411AE0">
        <w:rPr>
          <w:rFonts w:ascii="Garamond" w:hAnsi="Garamond"/>
        </w:rPr>
        <w:t xml:space="preserve"> 533-580.</w:t>
      </w:r>
    </w:p>
  </w:footnote>
  <w:footnote w:id="51">
    <w:p w14:paraId="1E4DA14F" w14:textId="5FB4A355"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This is an explicit theme in Anghie</w:t>
      </w:r>
      <w:r>
        <w:rPr>
          <w:rFonts w:ascii="Garamond" w:hAnsi="Garamond"/>
        </w:rPr>
        <w:t xml:space="preserve"> (n 36)</w:t>
      </w:r>
      <w:r w:rsidRPr="00411AE0">
        <w:rPr>
          <w:rFonts w:ascii="Garamond" w:hAnsi="Garamond"/>
        </w:rPr>
        <w:t>.</w:t>
      </w:r>
    </w:p>
  </w:footnote>
  <w:footnote w:id="52">
    <w:p w14:paraId="59E0A620" w14:textId="631001E5"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F44E47">
        <w:rPr>
          <w:rFonts w:ascii="Garamond" w:hAnsi="Garamond" w:cs="Times New Roman"/>
          <w:lang w:val="en-US"/>
        </w:rPr>
        <w:t xml:space="preserve">PJ </w:t>
      </w:r>
      <w:r w:rsidRPr="00411AE0">
        <w:rPr>
          <w:rFonts w:ascii="Garamond" w:hAnsi="Garamond" w:cs="Times New Roman"/>
          <w:lang w:val="en-US"/>
        </w:rPr>
        <w:t xml:space="preserve">Crutzen,‘ Geology of Mankind’ (2002) 23 </w:t>
      </w:r>
      <w:r w:rsidRPr="00411AE0">
        <w:rPr>
          <w:rFonts w:ascii="Garamond" w:hAnsi="Garamond" w:cs="Times New Roman"/>
          <w:i/>
          <w:lang w:val="en-US"/>
        </w:rPr>
        <w:t>Nature</w:t>
      </w:r>
      <w:r>
        <w:rPr>
          <w:rFonts w:ascii="Garamond" w:hAnsi="Garamond" w:cs="Times New Roman"/>
          <w:lang w:val="en-US"/>
        </w:rPr>
        <w:t xml:space="preserve"> 415</w:t>
      </w:r>
      <w:r w:rsidRPr="00411AE0">
        <w:rPr>
          <w:rFonts w:ascii="Garamond" w:hAnsi="Garamond" w:cs="Times New Roman"/>
          <w:lang w:val="en-US"/>
        </w:rPr>
        <w:t>.</w:t>
      </w:r>
    </w:p>
  </w:footnote>
  <w:footnote w:id="53">
    <w:p w14:paraId="7579BBE5" w14:textId="5AEC2680" w:rsidR="00082E6E" w:rsidRPr="00411AE0" w:rsidRDefault="00082E6E" w:rsidP="00CB0DFA">
      <w:pPr>
        <w:widowControl w:val="0"/>
        <w:autoSpaceDE w:val="0"/>
        <w:autoSpaceDN w:val="0"/>
        <w:adjustRightInd w:val="0"/>
        <w:spacing w:after="0" w:line="240" w:lineRule="auto"/>
        <w:rPr>
          <w:rFonts w:ascii="Garamond" w:hAnsi="Garamond" w:cs="ˇıøW¸Á"/>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Malm and A Hornborg</w:t>
      </w:r>
      <w:r>
        <w:rPr>
          <w:rFonts w:ascii="Garamond" w:hAnsi="Garamond"/>
          <w:sz w:val="20"/>
          <w:szCs w:val="20"/>
          <w:lang w:val="en-US"/>
        </w:rPr>
        <w:t xml:space="preserve"> (n 4) </w:t>
      </w:r>
      <w:r w:rsidRPr="00411AE0">
        <w:rPr>
          <w:rFonts w:ascii="Garamond" w:hAnsi="Garamond"/>
          <w:sz w:val="20"/>
          <w:szCs w:val="20"/>
          <w:lang w:val="en-US"/>
        </w:rPr>
        <w:t>at 63-64.</w:t>
      </w:r>
    </w:p>
  </w:footnote>
  <w:footnote w:id="54">
    <w:p w14:paraId="3BDEC93E" w14:textId="52C8C19C" w:rsidR="00082E6E" w:rsidRPr="00411AE0" w:rsidRDefault="00082E6E" w:rsidP="00DE7F4A">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Bell argues that such technologies were pivotal in the extension of imperial political structures: </w:t>
      </w:r>
      <w:r w:rsidRPr="00411AE0">
        <w:rPr>
          <w:rFonts w:ascii="Garamond" w:hAnsi="Garamond" w:cs="Times New Roman"/>
          <w:sz w:val="20"/>
          <w:szCs w:val="20"/>
          <w:lang w:val="en-US"/>
        </w:rPr>
        <w:t xml:space="preserve">‘ultimately it was a cluster of later technological innovations that provided the catalyst for the transformation in political consciousness: some of the most spectacular engineering triumphs of the Victorians, most notably the ocean-traversing steamship and especially the submarine telegraph, precipitated a fundamental restructuring of imperial political thought’: D Bell, ‘Dissolving Distance: Technology, Space and Empire in British Political Thought 1770-1900’ (2005) 77 </w:t>
      </w:r>
      <w:r w:rsidRPr="00411AE0">
        <w:rPr>
          <w:rFonts w:ascii="Garamond" w:hAnsi="Garamond" w:cs="Times New Roman"/>
          <w:i/>
          <w:sz w:val="20"/>
          <w:szCs w:val="20"/>
          <w:lang w:val="en-US"/>
        </w:rPr>
        <w:t xml:space="preserve">The Journal of Modern History </w:t>
      </w:r>
      <w:r w:rsidRPr="00411AE0">
        <w:rPr>
          <w:rFonts w:ascii="Garamond" w:hAnsi="Garamond" w:cs="Times New Roman"/>
          <w:sz w:val="20"/>
          <w:szCs w:val="20"/>
          <w:lang w:val="en-US"/>
        </w:rPr>
        <w:t>523-562, at 526. Moreover, ‘[t]echnological change was not important simply because it helped to</w:t>
      </w:r>
      <w:r>
        <w:rPr>
          <w:rFonts w:ascii="Garamond" w:hAnsi="Garamond" w:cs="Times New Roman"/>
          <w:sz w:val="20"/>
          <w:szCs w:val="20"/>
          <w:lang w:val="en-US"/>
        </w:rPr>
        <w:t xml:space="preserve"> </w:t>
      </w:r>
      <w:r w:rsidRPr="00411AE0">
        <w:rPr>
          <w:rFonts w:ascii="Garamond" w:hAnsi="Garamond" w:cs="Times New Roman"/>
          <w:sz w:val="20"/>
          <w:szCs w:val="20"/>
          <w:lang w:val="en-US"/>
        </w:rPr>
        <w:t>meet imperial “goals” but because it reshaped the very identity and direction of the goals themselves’ (at 529).</w:t>
      </w:r>
    </w:p>
  </w:footnote>
  <w:footnote w:id="55">
    <w:p w14:paraId="13F46109" w14:textId="782599EF"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Pr>
          <w:rFonts w:ascii="Garamond" w:hAnsi="Garamond"/>
        </w:rPr>
        <w:t>Crutzen (n 51),</w:t>
      </w:r>
    </w:p>
  </w:footnote>
  <w:footnote w:id="56">
    <w:p w14:paraId="6B41B2B6" w14:textId="18361C15"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 xml:space="preserve">Malm and Hornborg, </w:t>
      </w:r>
      <w:r>
        <w:rPr>
          <w:rFonts w:ascii="Garamond" w:hAnsi="Garamond"/>
          <w:lang w:val="en-US"/>
        </w:rPr>
        <w:t>(</w:t>
      </w:r>
      <w:r w:rsidRPr="00411AE0">
        <w:rPr>
          <w:rFonts w:ascii="Garamond" w:hAnsi="Garamond"/>
          <w:lang w:val="en-US"/>
        </w:rPr>
        <w:t xml:space="preserve">n </w:t>
      </w:r>
      <w:r>
        <w:rPr>
          <w:rFonts w:ascii="Garamond" w:hAnsi="Garamond"/>
          <w:lang w:val="en-US"/>
        </w:rPr>
        <w:t>4)</w:t>
      </w:r>
      <w:r w:rsidRPr="00411AE0">
        <w:rPr>
          <w:rFonts w:ascii="Garamond" w:hAnsi="Garamond"/>
          <w:lang w:val="en-US"/>
        </w:rPr>
        <w:t xml:space="preserve"> at 64.</w:t>
      </w:r>
    </w:p>
  </w:footnote>
  <w:footnote w:id="57">
    <w:p w14:paraId="5271D319" w14:textId="558F6DAB"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Anghie</w:t>
      </w:r>
      <w:r>
        <w:rPr>
          <w:rFonts w:ascii="Garamond" w:hAnsi="Garamond"/>
          <w:lang w:val="en-US"/>
        </w:rPr>
        <w:t xml:space="preserve"> (n 36) </w:t>
      </w:r>
      <w:r w:rsidRPr="00411AE0">
        <w:rPr>
          <w:rFonts w:ascii="Garamond" w:hAnsi="Garamond" w:cs="Times New Roman"/>
          <w:lang w:val="en-US"/>
        </w:rPr>
        <w:t xml:space="preserve">at 211. This is the central theme in E Blanco and J Razzaque, </w:t>
      </w:r>
      <w:r w:rsidRPr="00411AE0">
        <w:rPr>
          <w:rFonts w:ascii="Garamond" w:hAnsi="Garamond" w:cs="Times New Roman"/>
          <w:i/>
          <w:lang w:val="en-US"/>
        </w:rPr>
        <w:t>Globalisation and Natural Resources Law</w:t>
      </w:r>
      <w:r w:rsidRPr="00411AE0">
        <w:rPr>
          <w:rFonts w:ascii="Garamond" w:hAnsi="Garamond" w:cs="Times New Roman"/>
          <w:lang w:val="en-US"/>
        </w:rPr>
        <w:t xml:space="preserve"> (Cheltenham and Northampton: Edward Elgar, 2011). See, especially, 33-54.</w:t>
      </w:r>
    </w:p>
  </w:footnote>
  <w:footnote w:id="58">
    <w:p w14:paraId="1AD51E61" w14:textId="7455C0BF"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A Anghie, ‘Francisco De Vitoria and the Colonial Origins of International Law’ (1996) 5/3 </w:t>
      </w:r>
      <w:r w:rsidRPr="00411AE0">
        <w:rPr>
          <w:rFonts w:ascii="Garamond" w:hAnsi="Garamond"/>
          <w:i/>
        </w:rPr>
        <w:t>Social and Legal Studies</w:t>
      </w:r>
      <w:r w:rsidRPr="00411AE0">
        <w:rPr>
          <w:rFonts w:ascii="Garamond" w:hAnsi="Garamond"/>
        </w:rPr>
        <w:t xml:space="preserve"> 321-336.</w:t>
      </w:r>
    </w:p>
  </w:footnote>
  <w:footnote w:id="59">
    <w:p w14:paraId="7CFB1F57" w14:textId="2C5E0A5C"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See, for various accounts of such </w:t>
      </w:r>
      <w:r w:rsidRPr="00E933AD">
        <w:rPr>
          <w:rFonts w:ascii="Garamond" w:hAnsi="Garamond"/>
        </w:rPr>
        <w:t xml:space="preserve">processes, M Koskenniemi, W Rech and J Fonseca </w:t>
      </w:r>
      <w:r w:rsidRPr="00493BEA">
        <w:rPr>
          <w:rFonts w:ascii="Garamond" w:hAnsi="Garamond"/>
        </w:rPr>
        <w:t xml:space="preserve">(eds.) </w:t>
      </w:r>
      <w:r w:rsidRPr="00493BEA">
        <w:rPr>
          <w:rFonts w:ascii="Garamond" w:hAnsi="Garamond"/>
          <w:i/>
        </w:rPr>
        <w:t>International Law and Empire: Historical Explorations</w:t>
      </w:r>
      <w:r w:rsidRPr="004512F7">
        <w:rPr>
          <w:rFonts w:ascii="Garamond" w:hAnsi="Garamond"/>
        </w:rPr>
        <w:t xml:space="preserve"> (Oxford: OUP, 2017). For the Spanish contribution in particular, see M </w:t>
      </w:r>
      <w:r w:rsidRPr="00E933AD">
        <w:rPr>
          <w:rFonts w:ascii="Garamond" w:hAnsi="Garamond"/>
        </w:rPr>
        <w:t>Koskenniemi, ‘Empire and International Law: the Real Spanish Contribution’</w:t>
      </w:r>
      <w:r w:rsidRPr="00411AE0">
        <w:rPr>
          <w:rFonts w:ascii="Garamond" w:hAnsi="Garamond"/>
        </w:rPr>
        <w:t xml:space="preserve"> (2011) 61/1 </w:t>
      </w:r>
      <w:r w:rsidRPr="00411AE0">
        <w:rPr>
          <w:rFonts w:ascii="Garamond" w:hAnsi="Garamond"/>
          <w:i/>
        </w:rPr>
        <w:t>University of Toronto Law Journal</w:t>
      </w:r>
      <w:r w:rsidRPr="00411AE0">
        <w:rPr>
          <w:rFonts w:ascii="Garamond" w:hAnsi="Garamond"/>
        </w:rPr>
        <w:t xml:space="preserve"> 1-36.</w:t>
      </w:r>
    </w:p>
  </w:footnote>
  <w:footnote w:id="60">
    <w:p w14:paraId="5C541135" w14:textId="31B1B4E2" w:rsidR="00082E6E" w:rsidRPr="00A903E5" w:rsidRDefault="00082E6E" w:rsidP="00A7059F">
      <w:pPr>
        <w:widowControl w:val="0"/>
        <w:autoSpaceDE w:val="0"/>
        <w:autoSpaceDN w:val="0"/>
        <w:adjustRightInd w:val="0"/>
        <w:spacing w:after="0" w:line="240" w:lineRule="auto"/>
        <w:rPr>
          <w:lang w:val="en-US"/>
        </w:rPr>
      </w:pPr>
      <w:r w:rsidRPr="00A903E5">
        <w:rPr>
          <w:rStyle w:val="FootnoteReference"/>
          <w:rFonts w:ascii="Garamond" w:hAnsi="Garamond"/>
          <w:sz w:val="20"/>
          <w:szCs w:val="20"/>
        </w:rPr>
        <w:footnoteRef/>
      </w:r>
      <w:r w:rsidRPr="00A903E5">
        <w:rPr>
          <w:rFonts w:ascii="Garamond" w:hAnsi="Garamond"/>
          <w:sz w:val="20"/>
          <w:szCs w:val="20"/>
        </w:rPr>
        <w:t xml:space="preserve"> </w:t>
      </w:r>
      <w:r w:rsidRPr="00A903E5">
        <w:rPr>
          <w:rFonts w:ascii="Garamond" w:hAnsi="Garamond" w:cs="Times New Roman"/>
          <w:color w:val="000000"/>
          <w:sz w:val="20"/>
          <w:szCs w:val="20"/>
          <w:lang w:val="en-US"/>
        </w:rPr>
        <w:t>Chakrabarty</w:t>
      </w:r>
      <w:r>
        <w:rPr>
          <w:rFonts w:ascii="Garamond" w:hAnsi="Garamond" w:cs="Times New Roman"/>
          <w:color w:val="000000"/>
          <w:sz w:val="20"/>
          <w:szCs w:val="20"/>
          <w:lang w:val="en-US"/>
        </w:rPr>
        <w:t xml:space="preserve"> (n 16); Mignolo (n 38). </w:t>
      </w:r>
    </w:p>
  </w:footnote>
  <w:footnote w:id="61">
    <w:p w14:paraId="48EE3DF9" w14:textId="72078196" w:rsidR="00082E6E" w:rsidRPr="00A96C0C"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lang w:val="en-US"/>
        </w:rPr>
        <w:t xml:space="preserve"> M Koskenniemi, ‘Sovereignty, Property and Empire: Early Modern English Contexts’ (2017) 18 </w:t>
      </w:r>
      <w:r w:rsidRPr="00411AE0">
        <w:rPr>
          <w:rFonts w:ascii="Garamond" w:hAnsi="Garamond"/>
          <w:i/>
          <w:lang w:val="en-US"/>
        </w:rPr>
        <w:t xml:space="preserve">Theoretical Inquiries in Law </w:t>
      </w:r>
      <w:r w:rsidRPr="00411AE0">
        <w:rPr>
          <w:rFonts w:ascii="Garamond" w:hAnsi="Garamond"/>
          <w:lang w:val="en-US"/>
        </w:rPr>
        <w:t>355-389.</w:t>
      </w:r>
      <w:r w:rsidRPr="00411AE0">
        <w:rPr>
          <w:rFonts w:ascii="Garamond" w:hAnsi="Garamond"/>
        </w:rPr>
        <w:t xml:space="preserve"> McLean</w:t>
      </w:r>
      <w:r>
        <w:rPr>
          <w:rFonts w:ascii="Garamond" w:hAnsi="Garamond"/>
        </w:rPr>
        <w:t xml:space="preserve"> (n 40) </w:t>
      </w:r>
      <w:r w:rsidRPr="00411AE0">
        <w:rPr>
          <w:rFonts w:ascii="Garamond" w:hAnsi="Garamond"/>
        </w:rPr>
        <w:t xml:space="preserve">argues that the question of ‘whether or not collectivities have enjoyed distinct legal identity has been crucial’ (at 364) to the history of colonial expansion and to its related questions of power. McLean traces corporate origins to the will of European monarchs. McLean demonstrates how corporations first became ‘for profit’ trading entities in the sixteenth century (at 365). Tellingly, she notes that in ‘the first two decades of the seventeenth century, some forty companies were granted trading monopolies by their respective governments over </w:t>
      </w:r>
      <w:r w:rsidRPr="00E17287">
        <w:rPr>
          <w:rFonts w:ascii="Garamond" w:hAnsi="Garamond"/>
        </w:rPr>
        <w:t>much of the known world’ (ibid). These monopoly powers covered trade and rights over national citizens a</w:t>
      </w:r>
      <w:r w:rsidRPr="00A96C0C">
        <w:rPr>
          <w:rFonts w:ascii="Garamond" w:hAnsi="Garamond"/>
        </w:rPr>
        <w:t xml:space="preserve">broad, and were an important source of national revenue as well as powerful corporate expressions of imperial and colonial ambition, McLean (n 40) </w:t>
      </w:r>
      <w:r w:rsidRPr="00A96C0C">
        <w:rPr>
          <w:rFonts w:ascii="Garamond" w:hAnsi="Garamond"/>
          <w:lang w:val="en-US"/>
        </w:rPr>
        <w:t xml:space="preserve">at 365. </w:t>
      </w:r>
    </w:p>
  </w:footnote>
  <w:footnote w:id="62">
    <w:p w14:paraId="3EB27FDD" w14:textId="7CA71F8A" w:rsidR="00082E6E" w:rsidRPr="00A7059F" w:rsidRDefault="00082E6E">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w:t>
      </w:r>
      <w:r w:rsidRPr="00A7059F">
        <w:rPr>
          <w:rFonts w:ascii="Garamond" w:hAnsi="Garamond"/>
          <w:lang w:val="en-US"/>
        </w:rPr>
        <w:t>McLean</w:t>
      </w:r>
      <w:r>
        <w:rPr>
          <w:rFonts w:ascii="Garamond" w:hAnsi="Garamond"/>
        </w:rPr>
        <w:t xml:space="preserve">, ibid, </w:t>
      </w:r>
      <w:r w:rsidRPr="00A7059F">
        <w:rPr>
          <w:rFonts w:ascii="Garamond" w:hAnsi="Garamond"/>
        </w:rPr>
        <w:t>365.</w:t>
      </w:r>
    </w:p>
  </w:footnote>
  <w:footnote w:id="63">
    <w:p w14:paraId="2A832DB2" w14:textId="3A950B78" w:rsidR="00082E6E" w:rsidRPr="00A7059F" w:rsidRDefault="00082E6E">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w:t>
      </w:r>
      <w:r>
        <w:rPr>
          <w:rFonts w:ascii="Garamond" w:hAnsi="Garamond"/>
          <w:lang w:val="en-US"/>
        </w:rPr>
        <w:t>Ibid</w:t>
      </w:r>
      <w:r w:rsidRPr="00A7059F">
        <w:rPr>
          <w:rFonts w:ascii="Garamond" w:hAnsi="Garamond"/>
          <w:lang w:val="en-US"/>
        </w:rPr>
        <w:t>.</w:t>
      </w:r>
    </w:p>
  </w:footnote>
  <w:footnote w:id="64">
    <w:p w14:paraId="7B41EE49" w14:textId="4D8A6177" w:rsidR="00082E6E" w:rsidRPr="00A7059F" w:rsidRDefault="00082E6E" w:rsidP="00CB0DFA">
      <w:pPr>
        <w:pStyle w:val="FootnoteText"/>
        <w:rPr>
          <w:rFonts w:ascii="Garamond" w:hAnsi="Garamond"/>
        </w:rPr>
      </w:pPr>
      <w:r w:rsidRPr="00E17287">
        <w:rPr>
          <w:rStyle w:val="FootnoteReference"/>
          <w:rFonts w:ascii="Garamond" w:hAnsi="Garamond"/>
        </w:rPr>
        <w:footnoteRef/>
      </w:r>
      <w:r w:rsidRPr="00E17287">
        <w:rPr>
          <w:rFonts w:ascii="Garamond" w:hAnsi="Garamond"/>
        </w:rPr>
        <w:t xml:space="preserve"> See the discussion of the history and construction of slavery and</w:t>
      </w:r>
      <w:r w:rsidRPr="00A96C0C">
        <w:rPr>
          <w:rFonts w:ascii="Garamond" w:hAnsi="Garamond"/>
        </w:rPr>
        <w:t xml:space="preserve"> race in S Martinot, </w:t>
      </w:r>
      <w:r w:rsidRPr="00A96C0C">
        <w:rPr>
          <w:rFonts w:ascii="Garamond" w:hAnsi="Garamond"/>
          <w:i/>
        </w:rPr>
        <w:t>The Rule of Racialization: Class, Identity, Governance</w:t>
      </w:r>
      <w:r w:rsidRPr="00A7059F">
        <w:rPr>
          <w:rFonts w:ascii="Garamond" w:hAnsi="Garamond"/>
        </w:rPr>
        <w:t xml:space="preserve"> (Philadelphia: Temple University Press, 2003).</w:t>
      </w:r>
    </w:p>
  </w:footnote>
  <w:footnote w:id="65">
    <w:p w14:paraId="650145A1" w14:textId="6AF14AA4" w:rsidR="00082E6E" w:rsidRPr="00411AE0" w:rsidRDefault="00082E6E">
      <w:pPr>
        <w:pStyle w:val="FootnoteText"/>
        <w:rPr>
          <w:rFonts w:ascii="Garamond" w:hAnsi="Garamond"/>
          <w:lang w:val="en-US"/>
        </w:rPr>
      </w:pPr>
      <w:r w:rsidRPr="00E17287">
        <w:rPr>
          <w:rStyle w:val="FootnoteReference"/>
          <w:rFonts w:ascii="Garamond" w:hAnsi="Garamond"/>
        </w:rPr>
        <w:footnoteRef/>
      </w:r>
      <w:r w:rsidRPr="00E17287">
        <w:rPr>
          <w:rFonts w:ascii="Garamond" w:hAnsi="Garamond"/>
        </w:rPr>
        <w:t xml:space="preserve"> C Federman, ‘Constructing Kinds of Persons in 1886: Corporate and Criminal’ (2003) 14 </w:t>
      </w:r>
      <w:r w:rsidRPr="00A96C0C">
        <w:rPr>
          <w:rFonts w:ascii="Garamond" w:hAnsi="Garamond"/>
          <w:i/>
        </w:rPr>
        <w:t xml:space="preserve">Law and Critique </w:t>
      </w:r>
      <w:r w:rsidRPr="00A96C0C">
        <w:rPr>
          <w:rFonts w:ascii="Garamond" w:hAnsi="Garamond"/>
        </w:rPr>
        <w:t xml:space="preserve">167-189. </w:t>
      </w:r>
      <w:r w:rsidRPr="00A96C0C">
        <w:rPr>
          <w:rFonts w:ascii="Garamond" w:hAnsi="Garamond" w:cs="Times New Roman"/>
          <w:color w:val="000000"/>
          <w:lang w:val="en-US"/>
        </w:rPr>
        <w:t>Federman’s</w:t>
      </w:r>
      <w:r w:rsidRPr="00411AE0">
        <w:rPr>
          <w:rFonts w:ascii="Garamond" w:hAnsi="Garamond" w:cs="Times New Roman"/>
          <w:color w:val="000000"/>
          <w:lang w:val="en-US"/>
        </w:rPr>
        <w:t xml:space="preserve"> research</w:t>
      </w:r>
      <w:r w:rsidRPr="00411AE0">
        <w:rPr>
          <w:rFonts w:ascii="Garamond" w:hAnsi="Garamond" w:cs="Times New Roman"/>
          <w:lang w:val="en-US"/>
        </w:rPr>
        <w:t xml:space="preserve"> </w:t>
      </w:r>
      <w:r w:rsidRPr="00411AE0">
        <w:rPr>
          <w:rFonts w:ascii="Garamond" w:hAnsi="Garamond" w:cs="Times New Roman"/>
          <w:color w:val="000000"/>
          <w:lang w:val="en-US"/>
        </w:rPr>
        <w:t>exposes the 19th-century corporation as ‘the new American man, the bodily</w:t>
      </w:r>
      <w:r w:rsidRPr="00411AE0">
        <w:rPr>
          <w:rFonts w:ascii="Garamond" w:hAnsi="Garamond" w:cs="Times New Roman"/>
          <w:lang w:val="en-US"/>
        </w:rPr>
        <w:t xml:space="preserve"> </w:t>
      </w:r>
      <w:r>
        <w:rPr>
          <w:rFonts w:ascii="Garamond" w:hAnsi="Garamond" w:cs="Times New Roman"/>
          <w:color w:val="000000"/>
          <w:lang w:val="en-US"/>
        </w:rPr>
        <w:t xml:space="preserve">expression of male power’, </w:t>
      </w:r>
      <w:r w:rsidRPr="00411AE0">
        <w:rPr>
          <w:rFonts w:ascii="Garamond" w:hAnsi="Garamond" w:cs="Times New Roman"/>
          <w:color w:val="000000" w:themeColor="text1"/>
          <w:lang w:val="en-US"/>
        </w:rPr>
        <w:t>at 181</w:t>
      </w:r>
      <w:r>
        <w:rPr>
          <w:rFonts w:ascii="Garamond" w:hAnsi="Garamond" w:cs="Times New Roman"/>
          <w:color w:val="000000" w:themeColor="text1"/>
          <w:lang w:val="en-US"/>
        </w:rPr>
        <w:t>,</w:t>
      </w:r>
      <w:r w:rsidRPr="00411AE0">
        <w:rPr>
          <w:rFonts w:ascii="Garamond" w:hAnsi="Garamond" w:cs="Times New Roman"/>
          <w:color w:val="000000"/>
          <w:lang w:val="en-US"/>
        </w:rPr>
        <w:t xml:space="preserve"> and it is abundantly clear from his analysis that </w:t>
      </w:r>
      <w:r w:rsidRPr="00411AE0">
        <w:rPr>
          <w:rFonts w:ascii="Garamond" w:hAnsi="Garamond"/>
          <w:lang w:val="en-US"/>
        </w:rPr>
        <w:t>this expression was also exclusively white.</w:t>
      </w:r>
    </w:p>
  </w:footnote>
  <w:footnote w:id="66">
    <w:p w14:paraId="1FA45365" w14:textId="02E5BE2F"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McLean</w:t>
      </w:r>
      <w:r>
        <w:rPr>
          <w:rFonts w:ascii="Garamond" w:hAnsi="Garamond"/>
          <w:lang w:val="en-US"/>
        </w:rPr>
        <w:t xml:space="preserve"> </w:t>
      </w:r>
      <w:r>
        <w:rPr>
          <w:rFonts w:ascii="Garamond" w:hAnsi="Garamond"/>
        </w:rPr>
        <w:t>(n 40)</w:t>
      </w:r>
      <w:r>
        <w:rPr>
          <w:rFonts w:ascii="Garamond" w:hAnsi="Garamond"/>
          <w:lang w:val="en-US"/>
        </w:rPr>
        <w:t xml:space="preserve"> </w:t>
      </w:r>
      <w:r w:rsidRPr="00411AE0">
        <w:rPr>
          <w:rFonts w:ascii="Garamond" w:hAnsi="Garamond"/>
          <w:lang w:val="en-US"/>
        </w:rPr>
        <w:t>370-1.</w:t>
      </w:r>
    </w:p>
  </w:footnote>
  <w:footnote w:id="67">
    <w:p w14:paraId="502C92E9" w14:textId="699EA5F3"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 xml:space="preserve">EM Wood, </w:t>
      </w:r>
      <w:r w:rsidRPr="00411AE0">
        <w:rPr>
          <w:rFonts w:ascii="Garamond" w:hAnsi="Garamond"/>
          <w:i/>
          <w:lang w:val="en-US"/>
        </w:rPr>
        <w:t xml:space="preserve">Empire of Capital </w:t>
      </w:r>
      <w:r w:rsidRPr="00411AE0">
        <w:rPr>
          <w:rFonts w:ascii="Garamond" w:hAnsi="Garamond"/>
          <w:lang w:val="en-US"/>
        </w:rPr>
        <w:t>(London: Verso, 2005).</w:t>
      </w:r>
    </w:p>
  </w:footnote>
  <w:footnote w:id="68">
    <w:p w14:paraId="034476D7" w14:textId="70DE8F91" w:rsidR="00082E6E" w:rsidRPr="00411AE0" w:rsidRDefault="00082E6E" w:rsidP="00E74EEC">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cs="Times New Roman"/>
          <w:sz w:val="20"/>
          <w:szCs w:val="20"/>
          <w:lang w:val="en-US"/>
        </w:rPr>
        <w:t xml:space="preserve"> Banerjee addresses capitalist ‘practices of organizational accumulation that involve violence, dispossession, and death’, linking them in a historical trajectory between colonial encounters and contemporary neoliberalism: SB Banerjee, ‘Necrocapitalism’ (2008) 29/12 </w:t>
      </w:r>
      <w:r w:rsidRPr="00411AE0">
        <w:rPr>
          <w:rFonts w:ascii="Garamond" w:hAnsi="Garamond" w:cs="Times New Roman"/>
          <w:i/>
          <w:sz w:val="20"/>
          <w:szCs w:val="20"/>
          <w:lang w:val="en-US"/>
        </w:rPr>
        <w:t xml:space="preserve">Organization Studies </w:t>
      </w:r>
      <w:r w:rsidRPr="00411AE0">
        <w:rPr>
          <w:rFonts w:ascii="Garamond" w:hAnsi="Garamond" w:cs="Times New Roman"/>
          <w:sz w:val="20"/>
          <w:szCs w:val="20"/>
          <w:lang w:val="en-US"/>
        </w:rPr>
        <w:t xml:space="preserve">1541-1563 at 1543. Banerjee explicitly bases ‘necrocapitalism’ on Mbembe’s ‘necropolitics’: A Mbembe, ‘Necropolitics’ (2003) 15/1 </w:t>
      </w:r>
      <w:r w:rsidRPr="00411AE0">
        <w:rPr>
          <w:rFonts w:ascii="Garamond" w:hAnsi="Garamond" w:cs="Times New Roman"/>
          <w:i/>
          <w:sz w:val="20"/>
          <w:szCs w:val="20"/>
          <w:lang w:val="en-US"/>
        </w:rPr>
        <w:t xml:space="preserve">Public Culture </w:t>
      </w:r>
      <w:r w:rsidRPr="00411AE0">
        <w:rPr>
          <w:rFonts w:ascii="Garamond" w:hAnsi="Garamond" w:cs="Times New Roman"/>
          <w:sz w:val="20"/>
          <w:szCs w:val="20"/>
          <w:lang w:val="en-US"/>
        </w:rPr>
        <w:t>11-40, necropolitics being ‘contemporary forms of subjugation of life to the power of death’: Mbembe, at 39, cited by Banerjee, at 1542.</w:t>
      </w:r>
    </w:p>
  </w:footnote>
  <w:footnote w:id="69">
    <w:p w14:paraId="1B847486" w14:textId="4CF59250"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Banerjee, ibid, at 1543.</w:t>
      </w:r>
    </w:p>
  </w:footnote>
  <w:footnote w:id="70">
    <w:p w14:paraId="2667A379" w14:textId="7E082150"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Ibid, </w:t>
      </w:r>
      <w:r w:rsidRPr="00411AE0">
        <w:rPr>
          <w:rFonts w:ascii="Garamond" w:hAnsi="Garamond" w:cs="Times New Roman"/>
          <w:lang w:val="en-US"/>
        </w:rPr>
        <w:t>1548.</w:t>
      </w:r>
    </w:p>
  </w:footnote>
  <w:footnote w:id="71">
    <w:p w14:paraId="472741BE" w14:textId="424FF93F" w:rsidR="00082E6E" w:rsidRPr="00411AE0" w:rsidRDefault="00082E6E" w:rsidP="00362B3B">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Ibid; Anghie</w:t>
      </w:r>
      <w:r>
        <w:rPr>
          <w:rFonts w:ascii="Garamond" w:hAnsi="Garamond"/>
          <w:sz w:val="20"/>
          <w:szCs w:val="20"/>
          <w:lang w:val="en-US"/>
        </w:rPr>
        <w:t xml:space="preserve"> (n 36)</w:t>
      </w:r>
      <w:r w:rsidRPr="00411AE0">
        <w:rPr>
          <w:rFonts w:ascii="Garamond" w:hAnsi="Garamond"/>
          <w:sz w:val="20"/>
          <w:szCs w:val="20"/>
          <w:lang w:val="en-US"/>
        </w:rPr>
        <w:t xml:space="preserve">. The complexities of the trajectories involved in this are penetratingly discussed in S Marks, ‘Empire’s Law’ (2003) 10 </w:t>
      </w:r>
      <w:r w:rsidRPr="00411AE0">
        <w:rPr>
          <w:rFonts w:ascii="Garamond" w:hAnsi="Garamond"/>
          <w:i/>
          <w:sz w:val="20"/>
          <w:szCs w:val="20"/>
          <w:lang w:val="en-US"/>
        </w:rPr>
        <w:t xml:space="preserve">Indiana Journal of Global Legal Studies </w:t>
      </w:r>
      <w:r w:rsidRPr="00411AE0">
        <w:rPr>
          <w:rFonts w:ascii="Garamond" w:hAnsi="Garamond"/>
          <w:sz w:val="20"/>
          <w:szCs w:val="20"/>
          <w:lang w:val="en-US"/>
        </w:rPr>
        <w:t>449-466. Marks analyses Hardt and Negri’s conception of ‘Empire’, which presents the relation between earlier imperialisms and contemporary global power as one characterized by deterritorialisation and reterritorialisation, unevenness and the persistence of familiar patterns of othering: ‘</w:t>
      </w:r>
      <w:r w:rsidRPr="00411AE0">
        <w:rPr>
          <w:rFonts w:ascii="Garamond" w:hAnsi="Garamond" w:cs="Times New Roman"/>
          <w:sz w:val="20"/>
          <w:szCs w:val="20"/>
          <w:lang w:val="en-US"/>
        </w:rPr>
        <w:t xml:space="preserve">With deterritorialization comes reterritorialization, in the sense that old dichotomies shape the operations of the new more complex systems of domination. That is to say, they mediate those systems, reflecting the uneven geography that is one of globalization's most widely remarked features. Indeed, Hardt and Negri observe that </w:t>
      </w:r>
      <w:r>
        <w:rPr>
          <w:rFonts w:ascii="Garamond" w:hAnsi="Garamond" w:cs="Times New Roman"/>
          <w:sz w:val="20"/>
          <w:szCs w:val="20"/>
          <w:lang w:val="en-US"/>
        </w:rPr>
        <w:t>“</w:t>
      </w:r>
      <w:r w:rsidRPr="00411AE0">
        <w:rPr>
          <w:rFonts w:ascii="Garamond" w:hAnsi="Garamond" w:cs="Times New Roman"/>
          <w:sz w:val="20"/>
          <w:szCs w:val="20"/>
          <w:lang w:val="en-US"/>
        </w:rPr>
        <w:t xml:space="preserve">the geographical and racial lines of oppression and exploitation that were established during the era of colonialism and imperialism have in many respects not declined but instead increased exponentially”’: Marks at 464, citing M Hardt and A Negri, </w:t>
      </w:r>
      <w:r w:rsidRPr="00411AE0">
        <w:rPr>
          <w:rFonts w:ascii="Garamond" w:hAnsi="Garamond" w:cs="Times New Roman"/>
          <w:i/>
          <w:sz w:val="20"/>
          <w:szCs w:val="20"/>
          <w:lang w:val="en-US"/>
        </w:rPr>
        <w:t xml:space="preserve">Empire </w:t>
      </w:r>
      <w:r w:rsidRPr="00411AE0">
        <w:rPr>
          <w:rFonts w:ascii="Garamond" w:hAnsi="Garamond" w:cs="Times New Roman"/>
          <w:sz w:val="20"/>
          <w:szCs w:val="20"/>
          <w:lang w:val="en-US"/>
        </w:rPr>
        <w:t>(Cambridge, Mass: Harvard University Press, 2000) at 43.</w:t>
      </w:r>
    </w:p>
  </w:footnote>
  <w:footnote w:id="72">
    <w:p w14:paraId="09CFDED3" w14:textId="78BD14EE" w:rsidR="00082E6E" w:rsidRPr="00A3054F" w:rsidRDefault="00082E6E" w:rsidP="00A3054F">
      <w:pPr>
        <w:widowControl w:val="0"/>
        <w:autoSpaceDE w:val="0"/>
        <w:autoSpaceDN w:val="0"/>
        <w:adjustRightInd w:val="0"/>
        <w:spacing w:after="0" w:line="240" w:lineRule="auto"/>
        <w:rPr>
          <w:rFonts w:ascii="Garamond" w:hAnsi="Garamond"/>
          <w:sz w:val="20"/>
          <w:szCs w:val="20"/>
        </w:rPr>
      </w:pPr>
      <w:r w:rsidRPr="00394562">
        <w:rPr>
          <w:rStyle w:val="FootnoteReference"/>
          <w:rFonts w:ascii="Garamond" w:hAnsi="Garamond"/>
          <w:sz w:val="20"/>
          <w:szCs w:val="20"/>
        </w:rPr>
        <w:footnoteRef/>
      </w:r>
      <w:r w:rsidRPr="00394562">
        <w:rPr>
          <w:rFonts w:ascii="Garamond" w:hAnsi="Garamond"/>
          <w:sz w:val="20"/>
          <w:szCs w:val="20"/>
        </w:rPr>
        <w:t xml:space="preserve"> </w:t>
      </w:r>
      <w:r w:rsidRPr="00715716">
        <w:rPr>
          <w:rFonts w:ascii="Garamond" w:hAnsi="Garamond"/>
          <w:color w:val="000000" w:themeColor="text1"/>
          <w:sz w:val="20"/>
          <w:szCs w:val="20"/>
          <w:lang w:val="en-US"/>
        </w:rPr>
        <w:t xml:space="preserve">D Harvey, </w:t>
      </w:r>
      <w:r w:rsidRPr="00715716">
        <w:rPr>
          <w:rFonts w:ascii="Garamond" w:hAnsi="Garamond"/>
          <w:i/>
          <w:color w:val="000000" w:themeColor="text1"/>
          <w:sz w:val="20"/>
          <w:szCs w:val="20"/>
          <w:lang w:val="en-US"/>
        </w:rPr>
        <w:t>A Brief History of Neoliberalism</w:t>
      </w:r>
      <w:r w:rsidRPr="00715716">
        <w:rPr>
          <w:rFonts w:ascii="Garamond" w:hAnsi="Garamond"/>
          <w:color w:val="000000" w:themeColor="text1"/>
          <w:sz w:val="20"/>
          <w:szCs w:val="20"/>
          <w:lang w:val="en-US"/>
        </w:rPr>
        <w:t xml:space="preserve"> (Oxford: OUP, 2005) </w:t>
      </w:r>
      <w:r w:rsidRPr="00715716">
        <w:rPr>
          <w:rFonts w:ascii="Garamond" w:hAnsi="Garamond"/>
          <w:sz w:val="20"/>
          <w:szCs w:val="20"/>
        </w:rPr>
        <w:t xml:space="preserve">at 11. </w:t>
      </w:r>
    </w:p>
  </w:footnote>
  <w:footnote w:id="73">
    <w:p w14:paraId="7195C3A7" w14:textId="0AECA2CB" w:rsidR="00082E6E" w:rsidRPr="00EF582D" w:rsidRDefault="00082E6E" w:rsidP="00DF1219">
      <w:pPr>
        <w:pStyle w:val="FootnoteText"/>
        <w:rPr>
          <w:rFonts w:ascii="Garamond" w:hAnsi="Garamond"/>
          <w:color w:val="000000" w:themeColor="text1"/>
          <w:lang w:val="en-US"/>
        </w:rPr>
      </w:pPr>
      <w:r w:rsidRPr="0014511E">
        <w:rPr>
          <w:rStyle w:val="FootnoteReference"/>
          <w:rFonts w:ascii="Garamond" w:hAnsi="Garamond"/>
          <w:color w:val="000000" w:themeColor="text1"/>
        </w:rPr>
        <w:footnoteRef/>
      </w:r>
      <w:r w:rsidRPr="00A3054F">
        <w:rPr>
          <w:rFonts w:ascii="Garamond" w:hAnsi="Garamond"/>
          <w:color w:val="000000" w:themeColor="text1"/>
        </w:rPr>
        <w:t xml:space="preserve"> </w:t>
      </w:r>
      <w:r w:rsidRPr="00A3054F">
        <w:rPr>
          <w:rFonts w:ascii="Garamond" w:hAnsi="Garamond"/>
          <w:color w:val="000000" w:themeColor="text1"/>
          <w:lang w:val="en-US"/>
        </w:rPr>
        <w:t xml:space="preserve">Ibid; </w:t>
      </w:r>
      <w:r w:rsidR="00BA68FE" w:rsidRPr="00715716">
        <w:rPr>
          <w:rFonts w:ascii="Garamond" w:hAnsi="Garamond"/>
        </w:rPr>
        <w:t xml:space="preserve">Importantly, </w:t>
      </w:r>
      <w:r w:rsidR="00BA68FE" w:rsidRPr="00A3054F">
        <w:rPr>
          <w:rFonts w:ascii="Garamond" w:hAnsi="Garamond"/>
        </w:rPr>
        <w:t xml:space="preserve">this web of constraints </w:t>
      </w:r>
      <w:r w:rsidR="00BA68FE">
        <w:rPr>
          <w:rFonts w:ascii="Garamond" w:hAnsi="Garamond"/>
        </w:rPr>
        <w:t>shields capital and property rights from democratic contestation</w:t>
      </w:r>
      <w:r w:rsidR="00BA68FE" w:rsidRPr="00EF582D">
        <w:rPr>
          <w:rFonts w:ascii="Garamond" w:hAnsi="Garamond"/>
        </w:rPr>
        <w:t xml:space="preserve">. As Slobodian has argued, neoliberalism was, in its origins, a search ‘for </w:t>
      </w:r>
      <w:r w:rsidR="00BA68FE" w:rsidRPr="00EF582D">
        <w:rPr>
          <w:rFonts w:ascii="Garamond" w:hAnsi="Garamond" w:cs="Times New Roman"/>
          <w:lang w:val="en-US"/>
        </w:rPr>
        <w:t xml:space="preserve">models of governance, at scales from the local to the global, that would best encase and protect the space of the world economy. Neoliberals described this as a campaign against “interventionism,” but it was clearly interventionist in its own right’: Q Slobodian, </w:t>
      </w:r>
      <w:r w:rsidR="00BA68FE" w:rsidRPr="00EF582D">
        <w:rPr>
          <w:rFonts w:ascii="Garamond" w:hAnsi="Garamond" w:cs="Times New Roman"/>
          <w:i/>
          <w:lang w:val="en-US"/>
        </w:rPr>
        <w:t xml:space="preserve">Globalists: The End of Empire and the Birth of Neoliberalism </w:t>
      </w:r>
      <w:r w:rsidR="00BA68FE" w:rsidRPr="00EF582D">
        <w:rPr>
          <w:rFonts w:ascii="Garamond" w:hAnsi="Garamond" w:cs="Times New Roman"/>
          <w:lang w:val="en-US"/>
        </w:rPr>
        <w:t>Cambridge, Massachusetts</w:t>
      </w:r>
      <w:r w:rsidR="00BA68FE" w:rsidRPr="00A3054F">
        <w:rPr>
          <w:rFonts w:ascii="Garamond" w:hAnsi="Garamond"/>
          <w:lang w:val="en-US"/>
        </w:rPr>
        <w:t xml:space="preserve">: Harvard University Press, 2018) at 92. </w:t>
      </w:r>
      <w:r w:rsidR="00BA68FE">
        <w:rPr>
          <w:rFonts w:ascii="Garamond" w:hAnsi="Garamond"/>
          <w:lang w:val="en-US"/>
        </w:rPr>
        <w:t xml:space="preserve">(With thanks to Julia Dehm for this point). </w:t>
      </w:r>
      <w:r w:rsidRPr="00A3054F">
        <w:rPr>
          <w:rFonts w:ascii="Garamond" w:hAnsi="Garamond"/>
          <w:color w:val="000000" w:themeColor="text1"/>
          <w:lang w:val="en-US"/>
        </w:rPr>
        <w:t xml:space="preserve">L Elliot, ‘World Bank Recommends Fewer Regulations Protecting Workers’ (2018) </w:t>
      </w:r>
      <w:r w:rsidRPr="00A3054F">
        <w:rPr>
          <w:rFonts w:ascii="Garamond" w:hAnsi="Garamond"/>
          <w:i/>
          <w:color w:val="000000" w:themeColor="text1"/>
          <w:lang w:val="en-US"/>
        </w:rPr>
        <w:t>The Guardian</w:t>
      </w:r>
      <w:r w:rsidRPr="00A3054F">
        <w:rPr>
          <w:rFonts w:ascii="Garamond" w:hAnsi="Garamond"/>
          <w:color w:val="000000" w:themeColor="text1"/>
          <w:lang w:val="en-US"/>
        </w:rPr>
        <w:t>, 20</w:t>
      </w:r>
      <w:r w:rsidRPr="00A3054F">
        <w:rPr>
          <w:rFonts w:ascii="Garamond" w:hAnsi="Garamond"/>
          <w:color w:val="000000" w:themeColor="text1"/>
          <w:vertAlign w:val="superscript"/>
          <w:lang w:val="en-US"/>
        </w:rPr>
        <w:t>th</w:t>
      </w:r>
      <w:r w:rsidRPr="00EF582D">
        <w:rPr>
          <w:rFonts w:ascii="Garamond" w:hAnsi="Garamond"/>
          <w:color w:val="000000" w:themeColor="text1"/>
          <w:lang w:val="en-US"/>
        </w:rPr>
        <w:t xml:space="preserve"> April.</w:t>
      </w:r>
    </w:p>
  </w:footnote>
  <w:footnote w:id="74">
    <w:p w14:paraId="6324D4B5" w14:textId="313B6749" w:rsidR="00082E6E" w:rsidRPr="00411AE0" w:rsidRDefault="00082E6E">
      <w:pPr>
        <w:pStyle w:val="FootnoteText"/>
        <w:rPr>
          <w:rFonts w:ascii="Garamond" w:hAnsi="Garamond"/>
          <w:lang w:val="en-US"/>
        </w:rPr>
      </w:pPr>
      <w:r w:rsidRPr="004C6D0D">
        <w:rPr>
          <w:rStyle w:val="FootnoteReference"/>
          <w:rFonts w:ascii="Garamond" w:hAnsi="Garamond"/>
        </w:rPr>
        <w:footnoteRef/>
      </w:r>
      <w:r w:rsidRPr="004C6D0D">
        <w:rPr>
          <w:rFonts w:ascii="Garamond" w:hAnsi="Garamond"/>
        </w:rPr>
        <w:t xml:space="preserve"> </w:t>
      </w:r>
      <w:r w:rsidRPr="00256409">
        <w:rPr>
          <w:rFonts w:ascii="Garamond" w:hAnsi="Garamond"/>
          <w:lang w:val="en-US"/>
        </w:rPr>
        <w:t xml:space="preserve">Baxi </w:t>
      </w:r>
      <w:r w:rsidRPr="00256409">
        <w:rPr>
          <w:rFonts w:ascii="Garamond" w:hAnsi="Garamond"/>
        </w:rPr>
        <w:t>(n 24)</w:t>
      </w:r>
      <w:r w:rsidRPr="00DF2793">
        <w:rPr>
          <w:rFonts w:ascii="Garamond" w:hAnsi="Garamond"/>
          <w:lang w:val="en-US"/>
        </w:rPr>
        <w:t xml:space="preserve"> at 248-9; </w:t>
      </w:r>
      <w:r w:rsidRPr="00DF2793">
        <w:rPr>
          <w:rFonts w:ascii="Garamond" w:hAnsi="Garamond"/>
        </w:rPr>
        <w:t xml:space="preserve">H Brabazon (ed.), </w:t>
      </w:r>
      <w:r w:rsidRPr="00DF2793">
        <w:rPr>
          <w:rFonts w:ascii="Garamond" w:hAnsi="Garamond"/>
          <w:i/>
        </w:rPr>
        <w:t xml:space="preserve">Neoliberal Legalist: Understanding the Role of Law in the Neoliberal Project </w:t>
      </w:r>
      <w:r w:rsidRPr="00807C65">
        <w:rPr>
          <w:rFonts w:ascii="Garamond" w:hAnsi="Garamond"/>
        </w:rPr>
        <w:t>(London: Taylor and Francis Ltd 2016).</w:t>
      </w:r>
      <w:r>
        <w:rPr>
          <w:rFonts w:ascii="Garamond" w:hAnsi="Garamond"/>
          <w:lang w:val="en-US"/>
        </w:rPr>
        <w:t xml:space="preserve"> </w:t>
      </w:r>
    </w:p>
  </w:footnote>
  <w:footnote w:id="75">
    <w:p w14:paraId="37CD3419" w14:textId="77822334" w:rsidR="00082E6E" w:rsidRPr="00411AE0" w:rsidRDefault="00082E6E" w:rsidP="00DF1219">
      <w:pPr>
        <w:pStyle w:val="FootnoteText"/>
        <w:rPr>
          <w:rFonts w:ascii="Garamond" w:hAnsi="Garamond"/>
          <w:color w:val="000000" w:themeColor="text1"/>
          <w:lang w:val="en-US"/>
        </w:rPr>
      </w:pPr>
      <w:r w:rsidRPr="00411AE0">
        <w:rPr>
          <w:rStyle w:val="FootnoteReference"/>
          <w:rFonts w:ascii="Garamond" w:hAnsi="Garamond"/>
          <w:color w:val="000000" w:themeColor="text1"/>
        </w:rPr>
        <w:footnoteRef/>
      </w:r>
      <w:r w:rsidRPr="00411AE0">
        <w:rPr>
          <w:rFonts w:ascii="Garamond" w:hAnsi="Garamond"/>
          <w:color w:val="000000" w:themeColor="text1"/>
        </w:rPr>
        <w:t xml:space="preserve"> </w:t>
      </w:r>
      <w:r w:rsidRPr="00411AE0">
        <w:rPr>
          <w:rFonts w:ascii="Garamond" w:hAnsi="Garamond"/>
          <w:color w:val="000000" w:themeColor="text1"/>
          <w:lang w:val="en-US"/>
        </w:rPr>
        <w:t>Harvey</w:t>
      </w:r>
      <w:r>
        <w:rPr>
          <w:rFonts w:ascii="Garamond" w:hAnsi="Garamond"/>
          <w:color w:val="000000" w:themeColor="text1"/>
          <w:lang w:val="en-US"/>
        </w:rPr>
        <w:t xml:space="preserve"> </w:t>
      </w:r>
      <w:r>
        <w:rPr>
          <w:rFonts w:ascii="Garamond" w:hAnsi="Garamond"/>
        </w:rPr>
        <w:t>(n 71)</w:t>
      </w:r>
      <w:r>
        <w:rPr>
          <w:rFonts w:ascii="Garamond" w:hAnsi="Garamond"/>
          <w:color w:val="000000" w:themeColor="text1"/>
          <w:lang w:val="en-US"/>
        </w:rPr>
        <w:t xml:space="preserve"> </w:t>
      </w:r>
      <w:r w:rsidRPr="00411AE0">
        <w:rPr>
          <w:rFonts w:ascii="Garamond" w:hAnsi="Garamond"/>
          <w:color w:val="000000" w:themeColor="text1"/>
          <w:lang w:val="en-US"/>
        </w:rPr>
        <w:t>at 5.</w:t>
      </w:r>
    </w:p>
  </w:footnote>
  <w:footnote w:id="76">
    <w:p w14:paraId="5D2F44F9" w14:textId="39602D19" w:rsidR="00082E6E" w:rsidRPr="00411AE0" w:rsidRDefault="00082E6E" w:rsidP="00F70D45">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Evans and Ayers</w:t>
      </w:r>
      <w:r>
        <w:rPr>
          <w:rFonts w:ascii="Garamond" w:hAnsi="Garamond"/>
          <w:sz w:val="20"/>
          <w:szCs w:val="20"/>
        </w:rPr>
        <w:t xml:space="preserve"> (n 26)</w:t>
      </w:r>
      <w:r w:rsidRPr="00411AE0">
        <w:rPr>
          <w:rFonts w:ascii="Garamond" w:hAnsi="Garamond"/>
          <w:sz w:val="20"/>
          <w:szCs w:val="20"/>
        </w:rPr>
        <w:t xml:space="preserve">. See also, </w:t>
      </w:r>
      <w:r w:rsidRPr="00074925">
        <w:rPr>
          <w:rFonts w:ascii="Garamond" w:hAnsi="Garamond"/>
          <w:sz w:val="20"/>
          <w:szCs w:val="20"/>
        </w:rPr>
        <w:t xml:space="preserve">Baxi </w:t>
      </w:r>
      <w:r w:rsidRPr="00B318B5">
        <w:rPr>
          <w:rFonts w:ascii="Garamond" w:hAnsi="Garamond"/>
          <w:sz w:val="20"/>
          <w:szCs w:val="20"/>
        </w:rPr>
        <w:t>(n 2</w:t>
      </w:r>
      <w:r>
        <w:rPr>
          <w:rFonts w:ascii="Garamond" w:hAnsi="Garamond"/>
          <w:sz w:val="20"/>
          <w:szCs w:val="20"/>
        </w:rPr>
        <w:t>4</w:t>
      </w:r>
      <w:r w:rsidRPr="00B318B5">
        <w:rPr>
          <w:rFonts w:ascii="Garamond" w:hAnsi="Garamond"/>
          <w:sz w:val="20"/>
          <w:szCs w:val="20"/>
        </w:rPr>
        <w:t xml:space="preserve">) </w:t>
      </w:r>
      <w:r w:rsidRPr="00074925">
        <w:rPr>
          <w:rFonts w:ascii="Garamond" w:hAnsi="Garamond"/>
          <w:sz w:val="20"/>
          <w:szCs w:val="20"/>
        </w:rPr>
        <w:t>for an</w:t>
      </w:r>
      <w:r w:rsidRPr="00411AE0">
        <w:rPr>
          <w:rFonts w:ascii="Garamond" w:hAnsi="Garamond"/>
          <w:sz w:val="20"/>
          <w:szCs w:val="20"/>
        </w:rPr>
        <w:t xml:space="preserve"> extensive discussion of ‘trade related market friendly’ human rights. The relationship between neoliberalism and human rights is, however, by no means monolithic or uncontested: S Moyn, ‘A Powerless Companion: Human Rights in the Age of Neoliberalism’ (2014) 77 </w:t>
      </w:r>
      <w:r w:rsidRPr="00411AE0">
        <w:rPr>
          <w:rFonts w:ascii="Garamond" w:hAnsi="Garamond"/>
          <w:i/>
          <w:sz w:val="20"/>
          <w:szCs w:val="20"/>
        </w:rPr>
        <w:t xml:space="preserve">Law and Contemporary Problems </w:t>
      </w:r>
      <w:r w:rsidRPr="00411AE0">
        <w:rPr>
          <w:rFonts w:ascii="Garamond" w:hAnsi="Garamond"/>
          <w:sz w:val="20"/>
          <w:szCs w:val="20"/>
        </w:rPr>
        <w:t xml:space="preserve">147-169. </w:t>
      </w:r>
    </w:p>
  </w:footnote>
  <w:footnote w:id="77">
    <w:p w14:paraId="31279097" w14:textId="7C350918" w:rsidR="00082E6E" w:rsidRPr="00411AE0" w:rsidRDefault="00082E6E" w:rsidP="00F70D45">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JD Ostry, P Loungani, and D Furceri; ‘Neoliberalism: Oversold’ (2016) 38 </w:t>
      </w:r>
      <w:r w:rsidRPr="00411AE0">
        <w:rPr>
          <w:rFonts w:ascii="Garamond" w:hAnsi="Garamond"/>
          <w:i/>
        </w:rPr>
        <w:t>Finance and Development</w:t>
      </w:r>
      <w:r w:rsidRPr="00411AE0">
        <w:rPr>
          <w:rFonts w:ascii="Garamond" w:hAnsi="Garamond"/>
        </w:rPr>
        <w:t xml:space="preserve"> 38-41 at 40 (Available at: </w:t>
      </w:r>
      <w:hyperlink r:id="rId3" w:history="1">
        <w:r w:rsidRPr="00411AE0">
          <w:rPr>
            <w:rStyle w:val="Hyperlink"/>
            <w:rFonts w:ascii="Garamond" w:hAnsi="Garamond"/>
          </w:rPr>
          <w:t>http://www.imf.org/external/pubs/ft/fandd/2016/06/pdf/ostry.pdf</w:t>
        </w:r>
      </w:hyperlink>
      <w:r w:rsidRPr="00411AE0">
        <w:rPr>
          <w:rFonts w:ascii="Garamond" w:hAnsi="Garamond"/>
        </w:rPr>
        <w:t xml:space="preserve"> Last accessed 26 September 2017).</w:t>
      </w:r>
    </w:p>
  </w:footnote>
  <w:footnote w:id="78">
    <w:p w14:paraId="1128D030" w14:textId="05B7D11A" w:rsidR="00082E6E" w:rsidRPr="008C4E16" w:rsidRDefault="00082E6E" w:rsidP="008C4E16">
      <w:pPr>
        <w:spacing w:line="240" w:lineRule="auto"/>
        <w:rPr>
          <w:rFonts w:ascii="Garamond" w:eastAsia="Times New Roman" w:hAnsi="Garamond" w:cs="Times New Roman"/>
          <w:sz w:val="20"/>
          <w:szCs w:val="20"/>
        </w:rPr>
      </w:pPr>
      <w:r w:rsidRPr="008C4E16">
        <w:rPr>
          <w:rStyle w:val="FootnoteReference"/>
          <w:rFonts w:ascii="Garamond" w:hAnsi="Garamond"/>
          <w:sz w:val="20"/>
          <w:szCs w:val="20"/>
        </w:rPr>
        <w:footnoteRef/>
      </w:r>
      <w:r w:rsidRPr="008C4E16">
        <w:rPr>
          <w:rFonts w:ascii="Garamond" w:hAnsi="Garamond"/>
          <w:sz w:val="20"/>
          <w:szCs w:val="20"/>
        </w:rPr>
        <w:t xml:space="preserve"> </w:t>
      </w:r>
      <w:r w:rsidRPr="008C4E16">
        <w:rPr>
          <w:rFonts w:ascii="Garamond" w:eastAsia="Times New Roman" w:hAnsi="Garamond" w:cs="Times New Roman"/>
          <w:color w:val="333333"/>
          <w:sz w:val="20"/>
          <w:szCs w:val="20"/>
          <w:shd w:val="clear" w:color="auto" w:fill="FFFFFF"/>
        </w:rPr>
        <w:t>Gill, ‘Globali</w:t>
      </w:r>
      <w:r>
        <w:rPr>
          <w:rFonts w:ascii="Garamond" w:eastAsia="Times New Roman" w:hAnsi="Garamond" w:cs="Times New Roman"/>
          <w:color w:val="333333"/>
          <w:sz w:val="20"/>
          <w:szCs w:val="20"/>
          <w:shd w:val="clear" w:color="auto" w:fill="FFFFFF"/>
        </w:rPr>
        <w:t>s</w:t>
      </w:r>
      <w:r w:rsidRPr="008C4E16">
        <w:rPr>
          <w:rFonts w:ascii="Garamond" w:eastAsia="Times New Roman" w:hAnsi="Garamond" w:cs="Times New Roman"/>
          <w:color w:val="333333"/>
          <w:sz w:val="20"/>
          <w:szCs w:val="20"/>
          <w:shd w:val="clear" w:color="auto" w:fill="FFFFFF"/>
        </w:rPr>
        <w:t>ation’ (n</w:t>
      </w:r>
      <w:r w:rsidRPr="00380198">
        <w:rPr>
          <w:rFonts w:ascii="Garamond" w:eastAsia="Times New Roman" w:hAnsi="Garamond" w:cs="Times New Roman"/>
          <w:color w:val="333333"/>
          <w:sz w:val="20"/>
          <w:szCs w:val="20"/>
          <w:shd w:val="clear" w:color="auto" w:fill="FFFFFF"/>
        </w:rPr>
        <w:t xml:space="preserve"> </w:t>
      </w:r>
      <w:r>
        <w:rPr>
          <w:rFonts w:ascii="Garamond" w:eastAsia="Times New Roman" w:hAnsi="Garamond" w:cs="Times New Roman"/>
          <w:color w:val="333333"/>
          <w:sz w:val="20"/>
          <w:szCs w:val="20"/>
          <w:shd w:val="clear" w:color="auto" w:fill="FFFFFF"/>
        </w:rPr>
        <w:t>29</w:t>
      </w:r>
      <w:r w:rsidRPr="00380198">
        <w:rPr>
          <w:rFonts w:ascii="Garamond" w:eastAsia="Times New Roman" w:hAnsi="Garamond" w:cs="Times New Roman"/>
          <w:color w:val="333333"/>
          <w:sz w:val="20"/>
          <w:szCs w:val="20"/>
          <w:shd w:val="clear" w:color="auto" w:fill="FFFFFF"/>
        </w:rPr>
        <w:t xml:space="preserve">), </w:t>
      </w:r>
      <w:r>
        <w:rPr>
          <w:rFonts w:ascii="Garamond" w:eastAsia="Times New Roman" w:hAnsi="Garamond" w:cs="Times New Roman"/>
          <w:color w:val="333333"/>
          <w:sz w:val="20"/>
          <w:szCs w:val="20"/>
          <w:shd w:val="clear" w:color="auto" w:fill="FFFFFF"/>
        </w:rPr>
        <w:t>points to persistent state intervention to impose market discipline for the weak and protection for the strong. This takes the form of the socialisation of debt</w:t>
      </w:r>
      <w:r w:rsidRPr="008C4E16">
        <w:rPr>
          <w:rFonts w:ascii="Garamond" w:eastAsia="Times New Roman" w:hAnsi="Garamond" w:cs="Times New Roman"/>
          <w:color w:val="333333"/>
          <w:sz w:val="20"/>
          <w:szCs w:val="20"/>
          <w:shd w:val="clear" w:color="auto" w:fill="FFFFFF"/>
        </w:rPr>
        <w:t xml:space="preserve"> </w:t>
      </w:r>
      <w:r>
        <w:rPr>
          <w:rFonts w:ascii="Garamond" w:eastAsia="Times New Roman" w:hAnsi="Garamond" w:cs="Times New Roman"/>
          <w:color w:val="333333"/>
          <w:sz w:val="20"/>
          <w:szCs w:val="20"/>
          <w:shd w:val="clear" w:color="auto" w:fill="FFFFFF"/>
        </w:rPr>
        <w:t xml:space="preserve">to bail out </w:t>
      </w:r>
      <w:r w:rsidRPr="008C4E16">
        <w:rPr>
          <w:rFonts w:ascii="Garamond" w:eastAsia="Times New Roman" w:hAnsi="Garamond" w:cs="Times New Roman"/>
          <w:color w:val="333333"/>
          <w:sz w:val="20"/>
          <w:szCs w:val="20"/>
        </w:rPr>
        <w:t>powerful financial interests have in both the global North and South</w:t>
      </w:r>
      <w:r>
        <w:rPr>
          <w:rFonts w:ascii="Garamond" w:eastAsia="Times New Roman" w:hAnsi="Garamond" w:cs="Times New Roman"/>
          <w:color w:val="333333"/>
          <w:sz w:val="20"/>
          <w:szCs w:val="20"/>
        </w:rPr>
        <w:t xml:space="preserve"> by drawing on government tax funds and by cutting spending on social benefits such as health and education. </w:t>
      </w:r>
      <w:r w:rsidRPr="008C4E16">
        <w:rPr>
          <w:rFonts w:ascii="Garamond" w:eastAsia="Times New Roman" w:hAnsi="Garamond" w:cs="Times New Roman"/>
          <w:color w:val="333333"/>
          <w:sz w:val="20"/>
          <w:szCs w:val="20"/>
        </w:rPr>
        <w:t>Th</w:t>
      </w:r>
      <w:r>
        <w:rPr>
          <w:rFonts w:ascii="Garamond" w:eastAsia="Times New Roman" w:hAnsi="Garamond" w:cs="Times New Roman"/>
          <w:color w:val="333333"/>
          <w:sz w:val="20"/>
          <w:szCs w:val="20"/>
        </w:rPr>
        <w:t xml:space="preserve">e </w:t>
      </w:r>
      <w:r w:rsidRPr="008C4E16">
        <w:rPr>
          <w:rFonts w:ascii="Garamond" w:eastAsia="Times New Roman" w:hAnsi="Garamond" w:cs="Times New Roman"/>
          <w:color w:val="333333"/>
          <w:sz w:val="20"/>
          <w:szCs w:val="20"/>
        </w:rPr>
        <w:t>narrative of debt</w:t>
      </w:r>
      <w:r>
        <w:rPr>
          <w:rFonts w:ascii="Garamond" w:eastAsia="Times New Roman" w:hAnsi="Garamond" w:cs="Times New Roman"/>
          <w:color w:val="333333"/>
          <w:sz w:val="20"/>
          <w:szCs w:val="20"/>
        </w:rPr>
        <w:t xml:space="preserve"> also </w:t>
      </w:r>
      <w:r w:rsidRPr="008C4E16">
        <w:rPr>
          <w:rFonts w:ascii="Garamond" w:eastAsia="Times New Roman" w:hAnsi="Garamond" w:cs="Times New Roman"/>
          <w:color w:val="333333"/>
          <w:sz w:val="20"/>
          <w:szCs w:val="20"/>
        </w:rPr>
        <w:t xml:space="preserve">acts to </w:t>
      </w:r>
      <w:r>
        <w:rPr>
          <w:rFonts w:ascii="Garamond" w:eastAsia="Times New Roman" w:hAnsi="Garamond" w:cs="Times New Roman"/>
          <w:color w:val="333333"/>
          <w:sz w:val="20"/>
          <w:szCs w:val="20"/>
        </w:rPr>
        <w:t>mask</w:t>
      </w:r>
      <w:r w:rsidRPr="008C4E16">
        <w:rPr>
          <w:rFonts w:ascii="Garamond" w:eastAsia="Times New Roman" w:hAnsi="Garamond" w:cs="Times New Roman"/>
          <w:color w:val="333333"/>
          <w:sz w:val="20"/>
          <w:szCs w:val="20"/>
        </w:rPr>
        <w:t xml:space="preserve"> </w:t>
      </w:r>
      <w:r>
        <w:rPr>
          <w:rFonts w:ascii="Garamond" w:eastAsia="Times New Roman" w:hAnsi="Garamond" w:cs="Times New Roman"/>
          <w:color w:val="333333"/>
          <w:sz w:val="20"/>
          <w:szCs w:val="20"/>
        </w:rPr>
        <w:t xml:space="preserve">systemic </w:t>
      </w:r>
      <w:r w:rsidRPr="008C4E16">
        <w:rPr>
          <w:rFonts w:ascii="Garamond" w:eastAsia="Times New Roman" w:hAnsi="Garamond" w:cs="Times New Roman"/>
          <w:color w:val="333333"/>
          <w:sz w:val="20"/>
          <w:szCs w:val="20"/>
        </w:rPr>
        <w:t>inequality</w:t>
      </w:r>
      <w:r w:rsidRPr="00013EBF">
        <w:rPr>
          <w:rFonts w:ascii="Garamond" w:eastAsia="Times New Roman" w:hAnsi="Garamond" w:cs="Times New Roman"/>
          <w:color w:val="333333"/>
          <w:sz w:val="20"/>
          <w:szCs w:val="20"/>
        </w:rPr>
        <w:t xml:space="preserve">. See </w:t>
      </w:r>
      <w:r w:rsidRPr="008C4E16">
        <w:rPr>
          <w:rFonts w:ascii="Garamond" w:eastAsia="Times New Roman" w:hAnsi="Garamond" w:cs="Times New Roman"/>
          <w:color w:val="333333"/>
          <w:sz w:val="20"/>
          <w:szCs w:val="20"/>
          <w:shd w:val="clear" w:color="auto" w:fill="FFFFFF"/>
        </w:rPr>
        <w:t>A Escobar, </w:t>
      </w:r>
      <w:r w:rsidRPr="008C4E16">
        <w:rPr>
          <w:rFonts w:ascii="Garamond" w:eastAsia="Times New Roman" w:hAnsi="Garamond" w:cs="Times New Roman"/>
          <w:i/>
          <w:iCs/>
          <w:color w:val="333333"/>
          <w:sz w:val="20"/>
          <w:szCs w:val="20"/>
        </w:rPr>
        <w:t>Encountering Development: The Making and Unmaking of the Third World</w:t>
      </w:r>
      <w:r w:rsidRPr="00013EBF">
        <w:rPr>
          <w:rFonts w:ascii="Garamond" w:eastAsia="Times New Roman" w:hAnsi="Garamond" w:cs="Times New Roman"/>
          <w:color w:val="333333"/>
          <w:sz w:val="20"/>
          <w:szCs w:val="20"/>
          <w:shd w:val="clear" w:color="auto" w:fill="FFFFFF"/>
        </w:rPr>
        <w:t xml:space="preserve"> (</w:t>
      </w:r>
      <w:r w:rsidRPr="008C4E16">
        <w:rPr>
          <w:rFonts w:ascii="Garamond" w:eastAsia="Times New Roman" w:hAnsi="Garamond" w:cs="Times New Roman"/>
          <w:color w:val="333333"/>
          <w:sz w:val="20"/>
          <w:szCs w:val="20"/>
          <w:shd w:val="clear" w:color="auto" w:fill="FFFFFF"/>
        </w:rPr>
        <w:t>Princeton, NJ: Princeton University Press, 1995</w:t>
      </w:r>
      <w:r>
        <w:rPr>
          <w:rFonts w:ascii="Garamond" w:eastAsia="Times New Roman" w:hAnsi="Garamond" w:cs="Times New Roman"/>
          <w:color w:val="333333"/>
          <w:sz w:val="20"/>
          <w:szCs w:val="20"/>
          <w:shd w:val="clear" w:color="auto" w:fill="FFFFFF"/>
        </w:rPr>
        <w:t>)</w:t>
      </w:r>
      <w:r w:rsidRPr="008C4E16">
        <w:rPr>
          <w:rFonts w:ascii="Garamond" w:eastAsia="Times New Roman" w:hAnsi="Garamond" w:cs="Times New Roman"/>
          <w:color w:val="333333"/>
          <w:sz w:val="20"/>
          <w:szCs w:val="20"/>
          <w:shd w:val="clear" w:color="auto" w:fill="FFFFFF"/>
        </w:rPr>
        <w:t>.</w:t>
      </w:r>
    </w:p>
  </w:footnote>
  <w:footnote w:id="79">
    <w:p w14:paraId="23CCD11E" w14:textId="096A34C5" w:rsidR="00082E6E" w:rsidRPr="005E4772" w:rsidRDefault="00082E6E" w:rsidP="00EC343F">
      <w:pPr>
        <w:widowControl w:val="0"/>
        <w:autoSpaceDE w:val="0"/>
        <w:autoSpaceDN w:val="0"/>
        <w:adjustRightInd w:val="0"/>
        <w:spacing w:after="0" w:line="240" w:lineRule="auto"/>
        <w:rPr>
          <w:rFonts w:ascii="Garamond" w:hAnsi="Garamond" w:cs="Times New Roman"/>
          <w:sz w:val="20"/>
          <w:szCs w:val="20"/>
          <w:lang w:val="en-US"/>
        </w:rPr>
      </w:pPr>
      <w:r w:rsidRPr="00EC343F">
        <w:rPr>
          <w:rStyle w:val="FootnoteReference"/>
          <w:rFonts w:ascii="Garamond" w:hAnsi="Garamond"/>
          <w:sz w:val="20"/>
          <w:szCs w:val="20"/>
        </w:rPr>
        <w:footnoteRef/>
      </w:r>
      <w:r w:rsidRPr="00EC343F">
        <w:rPr>
          <w:rFonts w:ascii="Garamond" w:hAnsi="Garamond"/>
          <w:sz w:val="20"/>
          <w:szCs w:val="20"/>
        </w:rPr>
        <w:t xml:space="preserve"> Gill note</w:t>
      </w:r>
      <w:r>
        <w:rPr>
          <w:rFonts w:ascii="Garamond" w:hAnsi="Garamond"/>
          <w:sz w:val="20"/>
          <w:szCs w:val="20"/>
        </w:rPr>
        <w:t>s</w:t>
      </w:r>
      <w:r w:rsidRPr="00EC343F">
        <w:rPr>
          <w:rFonts w:ascii="Garamond" w:hAnsi="Garamond"/>
          <w:sz w:val="20"/>
          <w:szCs w:val="20"/>
        </w:rPr>
        <w:t xml:space="preserve"> that ‘</w:t>
      </w:r>
      <w:r w:rsidRPr="00EC343F">
        <w:rPr>
          <w:rFonts w:ascii="Garamond" w:hAnsi="Garamond" w:cs="Times New Roman"/>
          <w:sz w:val="20"/>
          <w:szCs w:val="20"/>
          <w:lang w:val="en-US"/>
        </w:rPr>
        <w:t>one of the principal costs of the neoliberal, market-monetarist austerity policies, is persistent mass unemployment. Concentrated heavily among you</w:t>
      </w:r>
      <w:r w:rsidRPr="00013EBF">
        <w:rPr>
          <w:rFonts w:ascii="Garamond" w:hAnsi="Garamond" w:cs="Times New Roman"/>
          <w:sz w:val="20"/>
          <w:szCs w:val="20"/>
          <w:lang w:val="en-US"/>
        </w:rPr>
        <w:t>nger and less skilled workers, it partly explains tough immigration and asylum policies and . . . contributes to a potent mixture of social and economic dislocation, physical risks</w:t>
      </w:r>
      <w:r w:rsidRPr="008C4E16">
        <w:rPr>
          <w:rFonts w:ascii="Garamond" w:hAnsi="Garamond" w:cs="Times New Roman"/>
          <w:sz w:val="20"/>
          <w:szCs w:val="20"/>
          <w:lang w:val="en-US"/>
        </w:rPr>
        <w:t xml:space="preserve">, racism and xenophobia’: </w:t>
      </w:r>
      <w:r w:rsidRPr="00411AE0">
        <w:rPr>
          <w:rFonts w:ascii="Garamond" w:hAnsi="Garamond" w:cs="Times New Roman"/>
          <w:sz w:val="20"/>
          <w:szCs w:val="20"/>
          <w:lang w:val="en-US"/>
        </w:rPr>
        <w:t xml:space="preserve">S Gill, ‘European governance and new constitutionalism: Economic and Monetary Union and </w:t>
      </w:r>
      <w:r w:rsidRPr="00DF2793">
        <w:rPr>
          <w:rFonts w:ascii="Garamond" w:hAnsi="Garamond" w:cs="Times New Roman"/>
          <w:sz w:val="20"/>
          <w:szCs w:val="20"/>
          <w:lang w:val="en-US"/>
        </w:rPr>
        <w:t xml:space="preserve">alternatives to disciplinary Neoliberalism in Europe’ (1998) 3/1 </w:t>
      </w:r>
      <w:r w:rsidRPr="0022790B">
        <w:rPr>
          <w:rFonts w:ascii="Garamond" w:hAnsi="Garamond" w:cs="Times New Roman"/>
          <w:i/>
          <w:sz w:val="20"/>
          <w:szCs w:val="20"/>
          <w:lang w:val="en-US"/>
        </w:rPr>
        <w:t xml:space="preserve">New Political Economy </w:t>
      </w:r>
      <w:r w:rsidRPr="0022790B">
        <w:rPr>
          <w:rFonts w:ascii="Garamond" w:hAnsi="Garamond" w:cs="Times New Roman"/>
          <w:sz w:val="20"/>
          <w:szCs w:val="20"/>
          <w:lang w:val="en-US"/>
        </w:rPr>
        <w:t xml:space="preserve">5-26 </w:t>
      </w:r>
      <w:r w:rsidRPr="005E4772">
        <w:rPr>
          <w:rFonts w:ascii="Garamond" w:hAnsi="Garamond" w:cs="Times New Roman"/>
          <w:sz w:val="20"/>
          <w:szCs w:val="20"/>
          <w:lang w:val="en-US"/>
        </w:rPr>
        <w:t>at 6.</w:t>
      </w:r>
    </w:p>
  </w:footnote>
  <w:footnote w:id="80">
    <w:p w14:paraId="279CD034" w14:textId="6A25C611" w:rsidR="00082E6E" w:rsidRPr="0022790B" w:rsidRDefault="00082E6E" w:rsidP="0006095C">
      <w:pPr>
        <w:widowControl w:val="0"/>
        <w:autoSpaceDE w:val="0"/>
        <w:autoSpaceDN w:val="0"/>
        <w:adjustRightInd w:val="0"/>
        <w:spacing w:after="0" w:line="240" w:lineRule="auto"/>
        <w:rPr>
          <w:rFonts w:ascii="Garamond" w:hAnsi="Garamond" w:cs="Times New Roman"/>
          <w:sz w:val="20"/>
          <w:szCs w:val="20"/>
          <w:lang w:val="en-US"/>
        </w:rPr>
      </w:pPr>
      <w:r w:rsidRPr="00DF2793">
        <w:rPr>
          <w:rStyle w:val="FootnoteReference"/>
          <w:rFonts w:ascii="Garamond" w:hAnsi="Garamond"/>
          <w:sz w:val="20"/>
          <w:szCs w:val="20"/>
        </w:rPr>
        <w:footnoteRef/>
      </w:r>
      <w:r w:rsidRPr="00DF2793">
        <w:rPr>
          <w:rFonts w:ascii="Garamond" w:hAnsi="Garamond"/>
          <w:sz w:val="20"/>
          <w:szCs w:val="20"/>
        </w:rPr>
        <w:t xml:space="preserve"> </w:t>
      </w:r>
      <w:r w:rsidRPr="0022790B">
        <w:rPr>
          <w:rFonts w:ascii="Garamond" w:hAnsi="Garamond" w:cs="Times New Roman"/>
          <w:sz w:val="20"/>
          <w:szCs w:val="20"/>
          <w:lang w:val="en-US"/>
        </w:rPr>
        <w:t>Ibid.</w:t>
      </w:r>
    </w:p>
  </w:footnote>
  <w:footnote w:id="81">
    <w:p w14:paraId="262FAC4E" w14:textId="739EADD1" w:rsidR="00082E6E" w:rsidRPr="005E4772" w:rsidRDefault="00082E6E" w:rsidP="00F70D45">
      <w:pPr>
        <w:pStyle w:val="FootnoteText"/>
        <w:rPr>
          <w:rFonts w:ascii="Garamond" w:hAnsi="Garamond"/>
          <w:lang w:val="en-US"/>
        </w:rPr>
      </w:pPr>
      <w:r w:rsidRPr="005E4772">
        <w:rPr>
          <w:rStyle w:val="FootnoteReference"/>
          <w:rFonts w:ascii="Garamond" w:hAnsi="Garamond"/>
        </w:rPr>
        <w:footnoteRef/>
      </w:r>
      <w:r w:rsidRPr="005E4772">
        <w:rPr>
          <w:rFonts w:ascii="Garamond" w:hAnsi="Garamond"/>
        </w:rPr>
        <w:t xml:space="preserve"> Beck (n 29) at 123 notes that countries in the Global South are forced to submit to neoliberal strictures by the World Bank and Weste</w:t>
      </w:r>
      <w:r w:rsidRPr="00807C65">
        <w:rPr>
          <w:rFonts w:ascii="Garamond" w:hAnsi="Garamond"/>
        </w:rPr>
        <w:t>rn funding bodies, while Richardson notes that structural adjustments such as deregulation, privatisation an</w:t>
      </w:r>
      <w:r w:rsidRPr="009755FF">
        <w:rPr>
          <w:rFonts w:ascii="Garamond" w:hAnsi="Garamond"/>
        </w:rPr>
        <w:t>d the removal</w:t>
      </w:r>
      <w:r w:rsidRPr="00DA6BEB">
        <w:rPr>
          <w:rFonts w:ascii="Garamond" w:hAnsi="Garamond"/>
        </w:rPr>
        <w:t xml:space="preserve"> of protective policies are most aggressively forced on the </w:t>
      </w:r>
      <w:r>
        <w:rPr>
          <w:rFonts w:ascii="Garamond" w:hAnsi="Garamond"/>
        </w:rPr>
        <w:t>poorest and most</w:t>
      </w:r>
      <w:r w:rsidRPr="005E4772">
        <w:rPr>
          <w:rFonts w:ascii="Garamond" w:hAnsi="Garamond"/>
        </w:rPr>
        <w:t xml:space="preserve"> marginalised societies: JL </w:t>
      </w:r>
      <w:r w:rsidRPr="0022790B">
        <w:rPr>
          <w:rFonts w:ascii="Garamond" w:hAnsi="Garamond"/>
        </w:rPr>
        <w:t xml:space="preserve">Richardson, ‘Contending Liberalisms: Past and Present’(1997) 3 </w:t>
      </w:r>
      <w:r w:rsidRPr="0022790B">
        <w:rPr>
          <w:rFonts w:ascii="Garamond" w:hAnsi="Garamond"/>
          <w:i/>
        </w:rPr>
        <w:t>European Journal of International Relations</w:t>
      </w:r>
      <w:r w:rsidRPr="0022790B">
        <w:rPr>
          <w:rFonts w:ascii="Garamond" w:hAnsi="Garamond"/>
        </w:rPr>
        <w:t xml:space="preserve"> 5-33 at 21; </w:t>
      </w:r>
      <w:r w:rsidRPr="005E4772">
        <w:rPr>
          <w:rFonts w:ascii="Garamond" w:hAnsi="Garamond"/>
        </w:rPr>
        <w:t xml:space="preserve">‘The IMF and the World Bank: Puppets of the Neoliberal Onslaught’ (2000) 31/2 </w:t>
      </w:r>
      <w:r w:rsidRPr="005E4772">
        <w:rPr>
          <w:rFonts w:ascii="Garamond" w:hAnsi="Garamond"/>
          <w:i/>
        </w:rPr>
        <w:t>The Thistle</w:t>
      </w:r>
      <w:r w:rsidRPr="005E4772">
        <w:rPr>
          <w:rFonts w:ascii="Garamond" w:hAnsi="Garamond"/>
        </w:rPr>
        <w:t>, (available at http://www.mit.edu/~thistle/v13/2/imf.html Date of Last Access: 25</w:t>
      </w:r>
      <w:r w:rsidRPr="005E4772">
        <w:rPr>
          <w:rFonts w:ascii="Garamond" w:hAnsi="Garamond"/>
          <w:vertAlign w:val="superscript"/>
        </w:rPr>
        <w:t>th</w:t>
      </w:r>
      <w:r w:rsidRPr="005E4772">
        <w:rPr>
          <w:rFonts w:ascii="Garamond" w:hAnsi="Garamond"/>
        </w:rPr>
        <w:t xml:space="preserve"> April 2018)</w:t>
      </w:r>
      <w:r>
        <w:rPr>
          <w:rFonts w:ascii="Garamond" w:hAnsi="Garamond"/>
        </w:rPr>
        <w:t xml:space="preserve">; See also, S Pahuja, ‘Technologies of Empire: IMF Conditionality and the Re-Inscription of the North-South Divide’ (2000) 13 </w:t>
      </w:r>
      <w:r w:rsidRPr="00A90208">
        <w:rPr>
          <w:rFonts w:ascii="Garamond" w:hAnsi="Garamond"/>
          <w:i/>
        </w:rPr>
        <w:t>Leiden Journal of International Law</w:t>
      </w:r>
      <w:r>
        <w:rPr>
          <w:rFonts w:ascii="Garamond" w:hAnsi="Garamond"/>
        </w:rPr>
        <w:t xml:space="preserve"> 749-813.</w:t>
      </w:r>
    </w:p>
  </w:footnote>
  <w:footnote w:id="82">
    <w:p w14:paraId="38481BB6" w14:textId="3CE3D34B" w:rsidR="00082E6E" w:rsidRPr="00411AE0" w:rsidRDefault="00082E6E" w:rsidP="00F70D45">
      <w:pPr>
        <w:pStyle w:val="FootnoteText"/>
        <w:rPr>
          <w:rFonts w:ascii="Garamond" w:hAnsi="Garamond"/>
          <w:lang w:val="en-US"/>
        </w:rPr>
      </w:pPr>
      <w:r w:rsidRPr="00807C65">
        <w:rPr>
          <w:rStyle w:val="FootnoteReference"/>
          <w:rFonts w:ascii="Garamond" w:hAnsi="Garamond"/>
        </w:rPr>
        <w:footnoteRef/>
      </w:r>
      <w:r w:rsidRPr="00807C65">
        <w:rPr>
          <w:rFonts w:ascii="Garamond" w:hAnsi="Garamond"/>
        </w:rPr>
        <w:t xml:space="preserve"> </w:t>
      </w:r>
      <w:r w:rsidRPr="00807C65">
        <w:rPr>
          <w:rFonts w:ascii="Garamond" w:hAnsi="Garamond"/>
          <w:lang w:val="en-US"/>
        </w:rPr>
        <w:t xml:space="preserve">Harvey </w:t>
      </w:r>
      <w:r w:rsidRPr="00807C65">
        <w:rPr>
          <w:rFonts w:ascii="Garamond" w:hAnsi="Garamond"/>
        </w:rPr>
        <w:t>(n 71)</w:t>
      </w:r>
      <w:r w:rsidRPr="00807C65">
        <w:rPr>
          <w:rFonts w:ascii="Garamond" w:hAnsi="Garamond"/>
          <w:lang w:val="en-US"/>
        </w:rPr>
        <w:t xml:space="preserve"> at 16. Harvey here draws upon the careful reconstruction of the data undertaken by </w:t>
      </w:r>
      <w:r w:rsidRPr="00807C65">
        <w:rPr>
          <w:rFonts w:ascii="Garamond" w:eastAsia="Times New Roman" w:hAnsi="Garamond" w:cs="Times New Roman"/>
          <w:lang w:eastAsia="en-GB"/>
        </w:rPr>
        <w:t>Gerard</w:t>
      </w:r>
      <w:r w:rsidRPr="00411AE0">
        <w:rPr>
          <w:rFonts w:ascii="Garamond" w:eastAsia="Times New Roman" w:hAnsi="Garamond" w:cs="Times New Roman"/>
          <w:lang w:eastAsia="en-GB"/>
        </w:rPr>
        <w:t xml:space="preserve"> Dumenil and Dominique Levy.</w:t>
      </w:r>
    </w:p>
  </w:footnote>
  <w:footnote w:id="83">
    <w:p w14:paraId="757A1904" w14:textId="0B2DBC24" w:rsidR="00082E6E" w:rsidRPr="00411AE0" w:rsidRDefault="00082E6E" w:rsidP="00F70D45">
      <w:pPr>
        <w:pStyle w:val="FootnoteText"/>
        <w:rPr>
          <w:rFonts w:ascii="Garamond" w:hAnsi="Garamond"/>
          <w:color w:val="000000" w:themeColor="text1"/>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color w:val="000000" w:themeColor="text1"/>
          <w:lang w:val="en-US"/>
        </w:rPr>
        <w:t>Harvey</w:t>
      </w:r>
      <w:r>
        <w:rPr>
          <w:rFonts w:ascii="Garamond" w:hAnsi="Garamond"/>
          <w:color w:val="000000" w:themeColor="text1"/>
          <w:lang w:val="en-US"/>
        </w:rPr>
        <w:t xml:space="preserve"> </w:t>
      </w:r>
      <w:r>
        <w:rPr>
          <w:rFonts w:ascii="Garamond" w:hAnsi="Garamond"/>
        </w:rPr>
        <w:t>(n 71)</w:t>
      </w:r>
      <w:r>
        <w:rPr>
          <w:rFonts w:ascii="Garamond" w:hAnsi="Garamond"/>
          <w:color w:val="000000" w:themeColor="text1"/>
          <w:lang w:val="en-US"/>
        </w:rPr>
        <w:t xml:space="preserve"> </w:t>
      </w:r>
      <w:r w:rsidRPr="00411AE0">
        <w:rPr>
          <w:rFonts w:ascii="Garamond" w:hAnsi="Garamond"/>
          <w:color w:val="000000" w:themeColor="text1"/>
          <w:lang w:val="en-US"/>
        </w:rPr>
        <w:t>at 19.</w:t>
      </w:r>
    </w:p>
  </w:footnote>
  <w:footnote w:id="84">
    <w:p w14:paraId="3C4B2E17" w14:textId="370E0904" w:rsidR="00082E6E" w:rsidRPr="00411AE0" w:rsidRDefault="00082E6E" w:rsidP="003340B7">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Brabazon (</w:t>
      </w:r>
      <w:r>
        <w:rPr>
          <w:rFonts w:ascii="Garamond" w:hAnsi="Garamond"/>
        </w:rPr>
        <w:t>n 73</w:t>
      </w:r>
      <w:r w:rsidRPr="00411AE0">
        <w:rPr>
          <w:rFonts w:ascii="Garamond" w:hAnsi="Garamond"/>
        </w:rPr>
        <w:t>) at 2.</w:t>
      </w:r>
    </w:p>
  </w:footnote>
  <w:footnote w:id="85">
    <w:p w14:paraId="71773C4F" w14:textId="77777777" w:rsidR="00082E6E" w:rsidRPr="00411AE0" w:rsidRDefault="00082E6E" w:rsidP="00D464C0">
      <w:pPr>
        <w:spacing w:after="0" w:line="240" w:lineRule="auto"/>
        <w:rPr>
          <w:rFonts w:ascii="Garamond" w:eastAsia="Times New Roman" w:hAnsi="Garamond" w:cs="Times New Roman"/>
          <w:sz w:val="20"/>
          <w:szCs w:val="20"/>
        </w:rPr>
      </w:pPr>
      <w:r w:rsidRPr="00411AE0">
        <w:rPr>
          <w:rStyle w:val="FootnoteReference"/>
          <w:rFonts w:ascii="Garamond" w:hAnsi="Garamond"/>
          <w:color w:val="000000" w:themeColor="text1"/>
          <w:sz w:val="20"/>
          <w:szCs w:val="20"/>
        </w:rPr>
        <w:footnoteRef/>
      </w:r>
      <w:r w:rsidRPr="00411AE0">
        <w:rPr>
          <w:rFonts w:ascii="Garamond" w:hAnsi="Garamond"/>
          <w:color w:val="000000" w:themeColor="text1"/>
          <w:sz w:val="20"/>
          <w:szCs w:val="20"/>
        </w:rPr>
        <w:t xml:space="preserve"> AC </w:t>
      </w:r>
      <w:r w:rsidRPr="00411AE0">
        <w:rPr>
          <w:rFonts w:ascii="Garamond" w:hAnsi="Garamond"/>
          <w:color w:val="000000" w:themeColor="text1"/>
          <w:sz w:val="20"/>
          <w:szCs w:val="20"/>
          <w:lang w:val="en-US"/>
        </w:rPr>
        <w:t xml:space="preserve">Cutler, </w:t>
      </w:r>
      <w:r w:rsidRPr="00411AE0">
        <w:rPr>
          <w:rFonts w:ascii="Garamond" w:eastAsia="Times New Roman" w:hAnsi="Garamond" w:cs="Arial"/>
          <w:i/>
          <w:color w:val="000000" w:themeColor="text1"/>
          <w:sz w:val="20"/>
          <w:szCs w:val="20"/>
          <w:shd w:val="clear" w:color="auto" w:fill="FFFFFF"/>
        </w:rPr>
        <w:t>Private Power and Global Authority: Transnational Merchant Law in the Global Political Economy</w:t>
      </w:r>
      <w:r w:rsidRPr="00411AE0">
        <w:rPr>
          <w:rFonts w:ascii="Garamond" w:eastAsia="Times New Roman" w:hAnsi="Garamond" w:cs="Arial"/>
          <w:color w:val="000000" w:themeColor="text1"/>
          <w:sz w:val="20"/>
          <w:szCs w:val="20"/>
          <w:shd w:val="clear" w:color="auto" w:fill="FFFFFF"/>
        </w:rPr>
        <w:t xml:space="preserve"> (Cambridge: Cambridge University Press 2003), especially at 16-59.</w:t>
      </w:r>
    </w:p>
  </w:footnote>
  <w:footnote w:id="86">
    <w:p w14:paraId="11B35BF5" w14:textId="39A03EF9" w:rsidR="00082E6E" w:rsidRPr="00411AE0" w:rsidRDefault="00082E6E" w:rsidP="0072365F">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K Klare, ‘Law Making as Praxis’ (1979) 40 </w:t>
      </w:r>
      <w:r w:rsidRPr="00411AE0">
        <w:rPr>
          <w:rFonts w:ascii="Garamond" w:hAnsi="Garamond"/>
          <w:i/>
        </w:rPr>
        <w:t>Telos</w:t>
      </w:r>
      <w:r w:rsidRPr="00411AE0">
        <w:rPr>
          <w:rFonts w:ascii="Garamond" w:hAnsi="Garamond"/>
        </w:rPr>
        <w:t xml:space="preserve"> 123-135; Brabazon</w:t>
      </w:r>
      <w:r>
        <w:rPr>
          <w:rFonts w:ascii="Garamond" w:hAnsi="Garamond"/>
        </w:rPr>
        <w:t xml:space="preserve"> (n 73) </w:t>
      </w:r>
      <w:r w:rsidRPr="00411AE0">
        <w:rPr>
          <w:rFonts w:ascii="Garamond" w:hAnsi="Garamond"/>
        </w:rPr>
        <w:t>at 2.</w:t>
      </w:r>
    </w:p>
  </w:footnote>
  <w:footnote w:id="87">
    <w:p w14:paraId="48C12301" w14:textId="450FBEE2"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cs="Times New Roman"/>
        </w:rPr>
        <w:t xml:space="preserve">P Dardot and C Laval, </w:t>
      </w:r>
      <w:r w:rsidRPr="00411AE0">
        <w:rPr>
          <w:rFonts w:ascii="Garamond" w:hAnsi="Garamond" w:cs="Times New Roman"/>
          <w:i/>
        </w:rPr>
        <w:t xml:space="preserve">The New Way Of The World: On Neoliberal Society </w:t>
      </w:r>
      <w:r w:rsidRPr="00411AE0">
        <w:rPr>
          <w:rFonts w:ascii="Garamond" w:hAnsi="Garamond" w:cs="Times New Roman"/>
        </w:rPr>
        <w:t>(New York: Verso, 2013) at 33</w:t>
      </w:r>
      <w:r w:rsidRPr="00411AE0">
        <w:rPr>
          <w:rFonts w:ascii="Garamond" w:hAnsi="Garamond"/>
        </w:rPr>
        <w:t>.</w:t>
      </w:r>
    </w:p>
  </w:footnote>
  <w:footnote w:id="88">
    <w:p w14:paraId="0D331EB6" w14:textId="1B8DFD33" w:rsidR="00082E6E" w:rsidRPr="00A903E5" w:rsidRDefault="00082E6E" w:rsidP="00E07199">
      <w:pPr>
        <w:pStyle w:val="FootnoteText"/>
        <w:rPr>
          <w:rFonts w:ascii="Garamond" w:hAnsi="Garamond"/>
          <w:lang w:val="en-US"/>
        </w:rPr>
      </w:pPr>
      <w:r w:rsidRPr="00A903E5">
        <w:rPr>
          <w:rStyle w:val="FootnoteReference"/>
          <w:rFonts w:ascii="Garamond" w:hAnsi="Garamond"/>
        </w:rPr>
        <w:footnoteRef/>
      </w:r>
      <w:r w:rsidRPr="00A903E5">
        <w:rPr>
          <w:rFonts w:ascii="Garamond" w:hAnsi="Garamond"/>
        </w:rPr>
        <w:t xml:space="preserve"> </w:t>
      </w:r>
      <w:r w:rsidRPr="00A903E5">
        <w:rPr>
          <w:rFonts w:ascii="Garamond" w:hAnsi="Garamond"/>
          <w:lang w:val="en-US"/>
        </w:rPr>
        <w:t>Brabazon</w:t>
      </w:r>
      <w:r>
        <w:rPr>
          <w:rFonts w:ascii="Garamond" w:hAnsi="Garamond"/>
          <w:lang w:val="en-US"/>
        </w:rPr>
        <w:t xml:space="preserve"> (n 73)</w:t>
      </w:r>
      <w:r w:rsidRPr="00A903E5">
        <w:rPr>
          <w:rFonts w:ascii="Garamond" w:hAnsi="Garamond"/>
          <w:lang w:val="en-US"/>
        </w:rPr>
        <w:t xml:space="preserve"> at 12.</w:t>
      </w:r>
    </w:p>
  </w:footnote>
  <w:footnote w:id="89">
    <w:p w14:paraId="5D0AB2C8" w14:textId="77777777" w:rsidR="00082E6E" w:rsidRPr="00A903E5" w:rsidRDefault="00082E6E" w:rsidP="004A7DA4">
      <w:pPr>
        <w:pStyle w:val="FootnoteText"/>
        <w:rPr>
          <w:rFonts w:ascii="Garamond" w:hAnsi="Garamond"/>
          <w:lang w:val="en-US"/>
        </w:rPr>
      </w:pPr>
      <w:r w:rsidRPr="00A903E5">
        <w:rPr>
          <w:rStyle w:val="FootnoteReference"/>
          <w:rFonts w:ascii="Garamond" w:hAnsi="Garamond"/>
        </w:rPr>
        <w:footnoteRef/>
      </w:r>
      <w:r w:rsidRPr="00A903E5">
        <w:rPr>
          <w:rFonts w:ascii="Garamond" w:hAnsi="Garamond"/>
        </w:rPr>
        <w:t xml:space="preserve"> </w:t>
      </w:r>
      <w:r w:rsidRPr="00A903E5">
        <w:rPr>
          <w:rFonts w:ascii="Garamond" w:hAnsi="Garamond"/>
          <w:lang w:val="en-US"/>
        </w:rPr>
        <w:t>Ibid, at 5.</w:t>
      </w:r>
    </w:p>
  </w:footnote>
  <w:footnote w:id="90">
    <w:p w14:paraId="09DFD4ED" w14:textId="77777777" w:rsidR="00082E6E" w:rsidRPr="00411AE0" w:rsidRDefault="00082E6E" w:rsidP="00463C8D">
      <w:pPr>
        <w:pStyle w:val="FootnoteText"/>
        <w:rPr>
          <w:rFonts w:ascii="Garamond" w:hAnsi="Garamond"/>
        </w:rPr>
      </w:pPr>
      <w:r w:rsidRPr="0091035E">
        <w:rPr>
          <w:rStyle w:val="FootnoteReference"/>
          <w:rFonts w:ascii="Garamond" w:hAnsi="Garamond"/>
        </w:rPr>
        <w:footnoteRef/>
      </w:r>
      <w:r w:rsidRPr="0039038B">
        <w:rPr>
          <w:rFonts w:ascii="Garamond" w:hAnsi="Garamond"/>
        </w:rPr>
        <w:t xml:space="preserve"> P Mirowski, ‘The Political Movement that Dared not Speak its own Name: The Neoliberal Thought Collective Under Erasure’</w:t>
      </w:r>
      <w:r w:rsidRPr="00411AE0">
        <w:rPr>
          <w:rFonts w:ascii="Garamond" w:hAnsi="Garamond"/>
        </w:rPr>
        <w:t xml:space="preserve"> (2014) Working Paper n 23, Institute for New Economic Thinking (available at </w:t>
      </w:r>
      <w:hyperlink r:id="rId4" w:history="1">
        <w:r w:rsidRPr="00411AE0">
          <w:rPr>
            <w:rStyle w:val="Hyperlink"/>
            <w:rFonts w:ascii="Garamond" w:hAnsi="Garamond"/>
          </w:rPr>
          <w:t>http://cms.ineteconomics.org/uploads/papers/WP23-Mirowski.pdf</w:t>
        </w:r>
      </w:hyperlink>
      <w:r w:rsidRPr="00411AE0">
        <w:rPr>
          <w:rFonts w:ascii="Garamond" w:hAnsi="Garamond"/>
        </w:rPr>
        <w:t xml:space="preserve"> Date of Last Access: 25</w:t>
      </w:r>
      <w:r w:rsidRPr="00411AE0">
        <w:rPr>
          <w:rFonts w:ascii="Garamond" w:hAnsi="Garamond"/>
          <w:vertAlign w:val="superscript"/>
        </w:rPr>
        <w:t>th</w:t>
      </w:r>
      <w:r w:rsidRPr="00411AE0">
        <w:rPr>
          <w:rFonts w:ascii="Garamond" w:hAnsi="Garamond"/>
        </w:rPr>
        <w:t xml:space="preserve"> April 2018).</w:t>
      </w:r>
    </w:p>
  </w:footnote>
  <w:footnote w:id="91">
    <w:p w14:paraId="6AF84144" w14:textId="313748F2" w:rsidR="00082E6E" w:rsidRPr="00411AE0" w:rsidRDefault="00082E6E" w:rsidP="00463C8D">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Dardot and Laval</w:t>
      </w:r>
      <w:r>
        <w:rPr>
          <w:rFonts w:ascii="Garamond" w:hAnsi="Garamond"/>
        </w:rPr>
        <w:t xml:space="preserve"> (n 86) </w:t>
      </w:r>
      <w:r w:rsidRPr="00411AE0">
        <w:rPr>
          <w:rFonts w:ascii="Garamond" w:hAnsi="Garamond"/>
        </w:rPr>
        <w:t xml:space="preserve">at 3. </w:t>
      </w:r>
    </w:p>
  </w:footnote>
  <w:footnote w:id="92">
    <w:p w14:paraId="50ECBE3F" w14:textId="00D0F4C8" w:rsidR="00082E6E" w:rsidRPr="00577E37" w:rsidRDefault="00082E6E" w:rsidP="00463C8D">
      <w:pPr>
        <w:pStyle w:val="FootnoteText"/>
        <w:rPr>
          <w:rFonts w:ascii="Garamond" w:hAnsi="Garamond"/>
        </w:rPr>
      </w:pPr>
      <w:r w:rsidRPr="00844581">
        <w:rPr>
          <w:rStyle w:val="FootnoteReference"/>
          <w:rFonts w:ascii="Garamond" w:hAnsi="Garamond"/>
        </w:rPr>
        <w:footnoteRef/>
      </w:r>
      <w:r w:rsidRPr="00844581">
        <w:rPr>
          <w:rFonts w:ascii="Garamond" w:hAnsi="Garamond"/>
        </w:rPr>
        <w:t xml:space="preserve"> </w:t>
      </w:r>
      <w:r w:rsidRPr="00B44DC8">
        <w:rPr>
          <w:rFonts w:ascii="Garamond" w:hAnsi="Garamond" w:cs="Times New Roman"/>
        </w:rPr>
        <w:t xml:space="preserve">The reality is thus a far cry from economistic presentations of neoliberalism as </w:t>
      </w:r>
      <w:r w:rsidRPr="00B44DC8">
        <w:rPr>
          <w:rFonts w:ascii="Garamond" w:eastAsia="Times New Roman" w:hAnsi="Garamond" w:cs="Times New Roman"/>
          <w:lang w:eastAsia="en-GB"/>
        </w:rPr>
        <w:t>the solution to political and economic problems and the source of individual liberty</w:t>
      </w:r>
      <w:r w:rsidRPr="00577E37">
        <w:rPr>
          <w:rFonts w:ascii="Garamond" w:eastAsia="Times New Roman" w:hAnsi="Garamond" w:cs="Times New Roman"/>
          <w:lang w:eastAsia="en-GB"/>
        </w:rPr>
        <w:t xml:space="preserve">, as presented by </w:t>
      </w:r>
      <w:r w:rsidRPr="00411AE0">
        <w:rPr>
          <w:rFonts w:ascii="Garamond" w:hAnsi="Garamond"/>
          <w:color w:val="000000" w:themeColor="text1"/>
        </w:rPr>
        <w:t xml:space="preserve">FA Hayek, </w:t>
      </w:r>
      <w:r w:rsidRPr="00411AE0">
        <w:rPr>
          <w:rFonts w:ascii="Garamond" w:hAnsi="Garamond"/>
          <w:i/>
          <w:color w:val="000000" w:themeColor="text1"/>
        </w:rPr>
        <w:t>Road to Serfdom</w:t>
      </w:r>
      <w:r>
        <w:rPr>
          <w:rFonts w:ascii="Garamond" w:hAnsi="Garamond"/>
          <w:color w:val="000000" w:themeColor="text1"/>
        </w:rPr>
        <w:t xml:space="preserve"> (London: Routledge, 1944)</w:t>
      </w:r>
      <w:r w:rsidRPr="00577E37">
        <w:rPr>
          <w:rFonts w:ascii="Garamond" w:hAnsi="Garamond"/>
        </w:rPr>
        <w:t xml:space="preserve"> </w:t>
      </w:r>
      <w:r>
        <w:rPr>
          <w:rFonts w:ascii="Garamond" w:hAnsi="Garamond"/>
        </w:rPr>
        <w:t xml:space="preserve">and by </w:t>
      </w:r>
      <w:r w:rsidRPr="00577E37">
        <w:rPr>
          <w:rFonts w:ascii="Garamond" w:hAnsi="Garamond"/>
        </w:rPr>
        <w:t xml:space="preserve">M Friedman, </w:t>
      </w:r>
      <w:r w:rsidRPr="00577E37">
        <w:rPr>
          <w:rFonts w:ascii="Garamond" w:hAnsi="Garamond"/>
          <w:i/>
        </w:rPr>
        <w:t>Capitalism and Freedom</w:t>
      </w:r>
      <w:r w:rsidRPr="00577E37">
        <w:rPr>
          <w:rFonts w:ascii="Garamond" w:hAnsi="Garamond"/>
        </w:rPr>
        <w:t xml:space="preserve"> (Chicago: University of Chicago Press 1962).</w:t>
      </w:r>
    </w:p>
  </w:footnote>
  <w:footnote w:id="93">
    <w:p w14:paraId="254B4A22" w14:textId="3E01C28F" w:rsidR="00082E6E" w:rsidRPr="00A7059F" w:rsidRDefault="00082E6E" w:rsidP="00463C8D">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cs="Times New Roman"/>
        </w:rPr>
        <w:t xml:space="preserve">While it is clear that neoliberalism has hegemonic ambition and implications, it is important to remember that neoliberalism is also multiple and </w:t>
      </w:r>
      <w:r w:rsidRPr="005552BB">
        <w:rPr>
          <w:rFonts w:ascii="Garamond" w:hAnsi="Garamond" w:cs="Times New Roman"/>
        </w:rPr>
        <w:t xml:space="preserve">contradictory. For an analysis, see J Newman, ‘Landscapes of antagonism: Local governance, neoliberalism and austerity’ (2014) 51/15 </w:t>
      </w:r>
      <w:r w:rsidRPr="00A7059F">
        <w:rPr>
          <w:rFonts w:ascii="Garamond" w:hAnsi="Garamond" w:cs="Times New Roman"/>
          <w:i/>
        </w:rPr>
        <w:t>Urban Studies</w:t>
      </w:r>
      <w:r w:rsidRPr="00A7059F">
        <w:rPr>
          <w:rFonts w:ascii="Garamond" w:hAnsi="Garamond" w:cs="Times New Roman"/>
        </w:rPr>
        <w:t xml:space="preserve"> 3290-3305. As noted above, it is in part the very heterogeneity of neoliberal actors and dynamics that co-produce the degree of ideological hegemony operating to restrain choice as the policy level</w:t>
      </w:r>
      <w:r>
        <w:rPr>
          <w:rFonts w:ascii="Garamond" w:hAnsi="Garamond" w:cs="Times New Roman"/>
        </w:rPr>
        <w:t>.</w:t>
      </w:r>
    </w:p>
  </w:footnote>
  <w:footnote w:id="94">
    <w:p w14:paraId="5467CC9F" w14:textId="4548C520" w:rsidR="00082E6E" w:rsidRPr="005552BB" w:rsidRDefault="00082E6E" w:rsidP="005552BB">
      <w:pPr>
        <w:widowControl w:val="0"/>
        <w:autoSpaceDE w:val="0"/>
        <w:autoSpaceDN w:val="0"/>
        <w:adjustRightInd w:val="0"/>
        <w:spacing w:after="0" w:line="240" w:lineRule="auto"/>
        <w:rPr>
          <w:rFonts w:ascii="Garamond" w:hAnsi="Garamond" w:cs="Times New Roman"/>
          <w:sz w:val="20"/>
          <w:szCs w:val="20"/>
          <w:lang w:val="en-US"/>
        </w:rPr>
      </w:pPr>
      <w:r w:rsidRPr="00A7059F">
        <w:rPr>
          <w:rStyle w:val="FootnoteReference"/>
          <w:rFonts w:ascii="Garamond" w:hAnsi="Garamond"/>
          <w:sz w:val="20"/>
          <w:szCs w:val="20"/>
        </w:rPr>
        <w:footnoteRef/>
      </w:r>
      <w:r w:rsidRPr="00A7059F">
        <w:rPr>
          <w:rFonts w:ascii="Garamond" w:hAnsi="Garamond"/>
          <w:sz w:val="20"/>
          <w:szCs w:val="20"/>
        </w:rPr>
        <w:t xml:space="preserve"> </w:t>
      </w:r>
      <w:r w:rsidRPr="00A7059F">
        <w:rPr>
          <w:rFonts w:ascii="Garamond" w:hAnsi="Garamond" w:cs="Times New Roman"/>
          <w:sz w:val="20"/>
          <w:szCs w:val="20"/>
          <w:lang w:val="en-US"/>
        </w:rPr>
        <w:t xml:space="preserve">Lewis and Maslin (n 5). See also SL Lewis and MA Maslin, </w:t>
      </w:r>
      <w:r w:rsidRPr="00A7059F">
        <w:rPr>
          <w:rFonts w:ascii="Garamond" w:hAnsi="Garamond" w:cs="Times New Roman"/>
          <w:i/>
          <w:sz w:val="20"/>
          <w:szCs w:val="20"/>
          <w:lang w:val="en-US"/>
        </w:rPr>
        <w:t xml:space="preserve">The Human Planet: How We Created the Anthropocene </w:t>
      </w:r>
      <w:r w:rsidRPr="00A7059F">
        <w:rPr>
          <w:rFonts w:ascii="Garamond" w:hAnsi="Garamond" w:cs="Times New Roman"/>
          <w:sz w:val="20"/>
          <w:szCs w:val="20"/>
          <w:lang w:val="en-US"/>
        </w:rPr>
        <w:t xml:space="preserve">(London: Penguin/Random House, 2018); </w:t>
      </w:r>
      <w:r w:rsidRPr="00A7059F">
        <w:rPr>
          <w:rFonts w:ascii="Garamond" w:hAnsi="Garamond" w:cs="–Oˆø/√Á"/>
          <w:sz w:val="20"/>
          <w:szCs w:val="20"/>
          <w:lang w:val="en-US"/>
        </w:rPr>
        <w:t>WE Connolly and BJ Macdonald</w:t>
      </w:r>
      <w:r>
        <w:rPr>
          <w:rFonts w:ascii="Garamond" w:hAnsi="Garamond" w:cs="–Oˆø/√Á"/>
          <w:sz w:val="20"/>
          <w:szCs w:val="20"/>
          <w:lang w:val="en-US"/>
        </w:rPr>
        <w:t>,</w:t>
      </w:r>
      <w:r w:rsidRPr="00A7059F">
        <w:rPr>
          <w:rFonts w:ascii="Garamond" w:hAnsi="Garamond" w:cs="–Oˆø/√Á"/>
          <w:sz w:val="20"/>
          <w:szCs w:val="20"/>
          <w:lang w:val="en-US"/>
        </w:rPr>
        <w:t xml:space="preserve"> </w:t>
      </w:r>
      <w:r>
        <w:rPr>
          <w:rFonts w:ascii="Garamond" w:hAnsi="Garamond" w:cs="–Oˆø/√Á"/>
          <w:sz w:val="20"/>
          <w:szCs w:val="20"/>
          <w:lang w:val="en-US"/>
        </w:rPr>
        <w:t>‘</w:t>
      </w:r>
      <w:r w:rsidRPr="00A7059F">
        <w:rPr>
          <w:rFonts w:ascii="Garamond" w:hAnsi="Garamond" w:cs="–Oˆø/√Á"/>
          <w:sz w:val="20"/>
          <w:szCs w:val="20"/>
          <w:lang w:val="en-US"/>
        </w:rPr>
        <w:t>Confronting the</w:t>
      </w:r>
      <w:r>
        <w:rPr>
          <w:rFonts w:ascii="Garamond" w:hAnsi="Garamond" w:cs="–Oˆø/√Á"/>
          <w:sz w:val="20"/>
          <w:szCs w:val="20"/>
          <w:lang w:val="en-US"/>
        </w:rPr>
        <w:t xml:space="preserve"> </w:t>
      </w:r>
      <w:r w:rsidRPr="00A7059F">
        <w:rPr>
          <w:rFonts w:ascii="Garamond" w:hAnsi="Garamond" w:cs="–Oˆø/√Á"/>
          <w:sz w:val="20"/>
          <w:szCs w:val="20"/>
          <w:lang w:val="en-US"/>
        </w:rPr>
        <w:t>Anthropocene and Contesting Neoliberalism: An Interview with William E. Connolly</w:t>
      </w:r>
      <w:r>
        <w:rPr>
          <w:rFonts w:ascii="Garamond" w:hAnsi="Garamond" w:cs="–Oˆø/√Á"/>
          <w:sz w:val="20"/>
          <w:szCs w:val="20"/>
          <w:lang w:val="en-US"/>
        </w:rPr>
        <w:t>’</w:t>
      </w:r>
      <w:r w:rsidRPr="00A7059F">
        <w:rPr>
          <w:rFonts w:ascii="Garamond" w:hAnsi="Garamond" w:cs="–Oˆø/√Á"/>
          <w:sz w:val="20"/>
          <w:szCs w:val="20"/>
          <w:lang w:val="en-US"/>
        </w:rPr>
        <w:t>,</w:t>
      </w:r>
      <w:r>
        <w:rPr>
          <w:rFonts w:ascii="Garamond" w:hAnsi="Garamond" w:cs="–Oˆø/√Á"/>
          <w:sz w:val="20"/>
          <w:szCs w:val="20"/>
          <w:lang w:val="en-US"/>
        </w:rPr>
        <w:t xml:space="preserve"> </w:t>
      </w:r>
      <w:r w:rsidRPr="00E37406">
        <w:rPr>
          <w:rFonts w:ascii="Garamond" w:hAnsi="Garamond" w:cs="–Oˆø/√Á"/>
          <w:sz w:val="20"/>
          <w:szCs w:val="20"/>
          <w:lang w:val="en-US"/>
        </w:rPr>
        <w:t xml:space="preserve">(2015) </w:t>
      </w:r>
      <w:r>
        <w:rPr>
          <w:rFonts w:ascii="Garamond" w:hAnsi="Garamond" w:cs="–Oˆø/√Á"/>
          <w:sz w:val="20"/>
          <w:szCs w:val="20"/>
          <w:lang w:val="en-US"/>
        </w:rPr>
        <w:t>37/2</w:t>
      </w:r>
      <w:r w:rsidRPr="00A7059F">
        <w:rPr>
          <w:rFonts w:ascii="Garamond" w:hAnsi="Garamond" w:cs="–Oˆø/√Á"/>
          <w:sz w:val="20"/>
          <w:szCs w:val="20"/>
          <w:lang w:val="en-US"/>
        </w:rPr>
        <w:t xml:space="preserve"> </w:t>
      </w:r>
      <w:r w:rsidRPr="00A7059F">
        <w:rPr>
          <w:rFonts w:ascii="Garamond" w:hAnsi="Garamond" w:cs="–Oˆø/√Á"/>
          <w:i/>
          <w:sz w:val="20"/>
          <w:szCs w:val="20"/>
          <w:lang w:val="en-US"/>
        </w:rPr>
        <w:t>New Political</w:t>
      </w:r>
      <w:r>
        <w:rPr>
          <w:rFonts w:ascii="Garamond" w:hAnsi="Garamond" w:cs="–Oˆø/√Á"/>
          <w:i/>
          <w:sz w:val="20"/>
          <w:szCs w:val="20"/>
          <w:lang w:val="en-US"/>
        </w:rPr>
        <w:t xml:space="preserve"> </w:t>
      </w:r>
      <w:r w:rsidRPr="00A7059F">
        <w:rPr>
          <w:rFonts w:ascii="Garamond" w:hAnsi="Garamond" w:cs="–Oˆø/√Á"/>
          <w:i/>
          <w:sz w:val="20"/>
          <w:szCs w:val="20"/>
          <w:lang w:val="en-US"/>
        </w:rPr>
        <w:t>Science</w:t>
      </w:r>
      <w:r w:rsidRPr="005552BB">
        <w:rPr>
          <w:rFonts w:ascii="Garamond" w:hAnsi="Garamond" w:cs="–Oˆø/√Á"/>
          <w:sz w:val="20"/>
          <w:szCs w:val="20"/>
          <w:lang w:val="en-US"/>
        </w:rPr>
        <w:t xml:space="preserve"> </w:t>
      </w:r>
      <w:r w:rsidRPr="00A7059F">
        <w:rPr>
          <w:rFonts w:ascii="Garamond" w:hAnsi="Garamond" w:cs="–Oˆø/√Á"/>
          <w:sz w:val="20"/>
          <w:szCs w:val="20"/>
          <w:lang w:val="en-US"/>
        </w:rPr>
        <w:t>259-275</w:t>
      </w:r>
      <w:r w:rsidRPr="005552BB">
        <w:rPr>
          <w:rFonts w:ascii="Garamond" w:hAnsi="Garamond" w:cs="–Oˆø/√Á"/>
          <w:sz w:val="20"/>
          <w:szCs w:val="20"/>
          <w:lang w:val="en-US"/>
        </w:rPr>
        <w:t>.</w:t>
      </w:r>
    </w:p>
  </w:footnote>
  <w:footnote w:id="95">
    <w:p w14:paraId="6AE59ABC" w14:textId="0D9FB11B" w:rsidR="00082E6E" w:rsidRPr="00F37FFB" w:rsidRDefault="00082E6E" w:rsidP="00BB0A25">
      <w:pPr>
        <w:widowControl w:val="0"/>
        <w:autoSpaceDE w:val="0"/>
        <w:autoSpaceDN w:val="0"/>
        <w:adjustRightInd w:val="0"/>
        <w:spacing w:after="0" w:line="240" w:lineRule="auto"/>
        <w:rPr>
          <w:rFonts w:ascii="Garamond" w:hAnsi="Garamond"/>
          <w:sz w:val="20"/>
          <w:szCs w:val="20"/>
          <w:lang w:val="en-US"/>
        </w:rPr>
      </w:pPr>
      <w:r w:rsidRPr="00A7059F">
        <w:rPr>
          <w:rStyle w:val="FootnoteReference"/>
          <w:rFonts w:ascii="Garamond" w:hAnsi="Garamond"/>
          <w:sz w:val="20"/>
          <w:szCs w:val="20"/>
        </w:rPr>
        <w:footnoteRef/>
      </w:r>
      <w:r w:rsidRPr="00A7059F">
        <w:rPr>
          <w:rFonts w:ascii="Garamond" w:hAnsi="Garamond"/>
          <w:sz w:val="20"/>
          <w:szCs w:val="20"/>
        </w:rPr>
        <w:t xml:space="preserve"> </w:t>
      </w:r>
      <w:r>
        <w:rPr>
          <w:rFonts w:ascii="Garamond" w:hAnsi="Garamond"/>
          <w:sz w:val="20"/>
          <w:szCs w:val="20"/>
        </w:rPr>
        <w:t xml:space="preserve">See, for example, </w:t>
      </w:r>
      <w:r w:rsidRPr="00CB6DF6">
        <w:rPr>
          <w:rFonts w:ascii="Garamond" w:hAnsi="Garamond" w:cs="Times New Roman"/>
          <w:sz w:val="20"/>
          <w:szCs w:val="20"/>
          <w:lang w:val="en-US"/>
        </w:rPr>
        <w:t xml:space="preserve">LB Solum, ‘Legal </w:t>
      </w:r>
      <w:r w:rsidRPr="00411AE0">
        <w:rPr>
          <w:rFonts w:ascii="Garamond" w:hAnsi="Garamond" w:cs="Times New Roman"/>
          <w:sz w:val="20"/>
          <w:szCs w:val="20"/>
          <w:lang w:val="en-US"/>
        </w:rPr>
        <w:t xml:space="preserve">Personhood for Artificial Intelligences’ (1992) 70 </w:t>
      </w:r>
      <w:r w:rsidRPr="00411AE0">
        <w:rPr>
          <w:rFonts w:ascii="Garamond" w:hAnsi="Garamond" w:cs="Times New Roman"/>
          <w:i/>
          <w:sz w:val="20"/>
          <w:szCs w:val="20"/>
          <w:lang w:val="en-US"/>
        </w:rPr>
        <w:t xml:space="preserve">North Carolina Law Review </w:t>
      </w:r>
      <w:r w:rsidRPr="00411AE0">
        <w:rPr>
          <w:rFonts w:ascii="Garamond" w:hAnsi="Garamond" w:cs="Times New Roman"/>
          <w:sz w:val="20"/>
          <w:szCs w:val="20"/>
          <w:lang w:val="en-US"/>
        </w:rPr>
        <w:t xml:space="preserve">1231; G Teubner, ‘Rights of Non-Humans? Electronic Agents and Animals as New Actors in Politics and Law’ (2006) 33 </w:t>
      </w:r>
      <w:r w:rsidRPr="00411AE0">
        <w:rPr>
          <w:rFonts w:ascii="Garamond" w:hAnsi="Garamond" w:cs="Times New Roman"/>
          <w:i/>
          <w:sz w:val="20"/>
          <w:szCs w:val="20"/>
          <w:lang w:val="en-US"/>
        </w:rPr>
        <w:t>Journal of Law and Society</w:t>
      </w:r>
      <w:r w:rsidRPr="00411AE0">
        <w:rPr>
          <w:rFonts w:ascii="Garamond" w:hAnsi="Garamond" w:cs="Times New Roman"/>
          <w:sz w:val="20"/>
          <w:szCs w:val="20"/>
          <w:lang w:val="en-US"/>
        </w:rPr>
        <w:t xml:space="preserve"> 497. An extensive literature concerning the implications of a range of developments for legal and human rights circles around related questions: For examples, see P Cavalieri, </w:t>
      </w:r>
      <w:r w:rsidRPr="00411AE0">
        <w:rPr>
          <w:rFonts w:ascii="Garamond" w:hAnsi="Garamond" w:cs="Times New Roman"/>
          <w:i/>
          <w:sz w:val="20"/>
          <w:szCs w:val="20"/>
          <w:lang w:val="en-US"/>
        </w:rPr>
        <w:t>The Animal Question: Why Nonhuman Animals Deserve Human Rights</w:t>
      </w:r>
      <w:r w:rsidRPr="00411AE0">
        <w:rPr>
          <w:rFonts w:ascii="Garamond" w:hAnsi="Garamond" w:cs="Times New Roman"/>
          <w:sz w:val="20"/>
          <w:szCs w:val="20"/>
          <w:lang w:val="en-US"/>
        </w:rPr>
        <w:t xml:space="preserve"> (Oxford University Press, 2001); CR Sunstein and MC Nussbaum (eds), </w:t>
      </w:r>
      <w:r w:rsidRPr="00411AE0">
        <w:rPr>
          <w:rFonts w:ascii="Garamond" w:hAnsi="Garamond" w:cs="Times New Roman"/>
          <w:i/>
          <w:sz w:val="20"/>
          <w:szCs w:val="20"/>
          <w:lang w:val="en-US"/>
        </w:rPr>
        <w:t xml:space="preserve">Animal Rights: Current Debates and New </w:t>
      </w:r>
      <w:r w:rsidRPr="002C626B">
        <w:rPr>
          <w:rFonts w:ascii="Garamond" w:hAnsi="Garamond" w:cs="Times New Roman"/>
          <w:i/>
          <w:sz w:val="20"/>
          <w:szCs w:val="20"/>
          <w:lang w:val="en-US"/>
        </w:rPr>
        <w:t>Directions</w:t>
      </w:r>
      <w:r w:rsidRPr="00F37FFB">
        <w:rPr>
          <w:rFonts w:ascii="Garamond" w:hAnsi="Garamond" w:cs="Times New Roman"/>
          <w:sz w:val="20"/>
          <w:szCs w:val="20"/>
          <w:lang w:val="en-US"/>
        </w:rPr>
        <w:t xml:space="preserve"> (Oxford University Press, 2004). </w:t>
      </w:r>
    </w:p>
  </w:footnote>
  <w:footnote w:id="96">
    <w:p w14:paraId="68744708" w14:textId="77777777" w:rsidR="00082E6E" w:rsidRPr="00320E32" w:rsidRDefault="00082E6E" w:rsidP="001F3D28">
      <w:pPr>
        <w:spacing w:after="0" w:line="240" w:lineRule="auto"/>
        <w:rPr>
          <w:rFonts w:ascii="Garamond" w:eastAsia="Times New Roman" w:hAnsi="Garamond" w:cs="Times New Roman"/>
        </w:rPr>
      </w:pPr>
      <w:r w:rsidRPr="00A903E5">
        <w:rPr>
          <w:rStyle w:val="FootnoteReference"/>
          <w:rFonts w:ascii="Garamond" w:hAnsi="Garamond"/>
          <w:sz w:val="20"/>
          <w:szCs w:val="20"/>
        </w:rPr>
        <w:footnoteRef/>
      </w:r>
      <w:r w:rsidRPr="00A903E5">
        <w:rPr>
          <w:rFonts w:ascii="Garamond" w:hAnsi="Garamond"/>
          <w:sz w:val="20"/>
          <w:szCs w:val="20"/>
        </w:rPr>
        <w:t xml:space="preserve"> </w:t>
      </w:r>
      <w:r w:rsidRPr="00484FAE">
        <w:rPr>
          <w:rFonts w:ascii="Garamond" w:hAnsi="Garamond"/>
          <w:sz w:val="20"/>
          <w:szCs w:val="20"/>
          <w:lang w:val="en-US"/>
        </w:rPr>
        <w:t xml:space="preserve">Famously, for example, the Whangaui River and the Te Urewera (a former National Park) in New Zealand have been granted legal personality: See CJ Iorns Magellanes, ‘“Nature as an Ancestor”: Two Examples of Legal Personality for Nature in New Zealand’ (2015) </w:t>
      </w:r>
      <w:r w:rsidRPr="00484FAE">
        <w:rPr>
          <w:rFonts w:ascii="Garamond" w:hAnsi="Garamond"/>
          <w:i/>
          <w:sz w:val="20"/>
          <w:szCs w:val="20"/>
          <w:lang w:val="en-US"/>
        </w:rPr>
        <w:t>Vertigo</w:t>
      </w:r>
      <w:r w:rsidRPr="00484FAE">
        <w:rPr>
          <w:rFonts w:ascii="Garamond" w:hAnsi="Garamond"/>
          <w:sz w:val="20"/>
          <w:szCs w:val="20"/>
          <w:lang w:val="en-US"/>
        </w:rPr>
        <w:t xml:space="preserve"> (available at: </w:t>
      </w:r>
      <w:hyperlink r:id="rId5" w:history="1">
        <w:r w:rsidRPr="00484FAE">
          <w:rPr>
            <w:rStyle w:val="Hyperlink"/>
            <w:rFonts w:ascii="Garamond" w:hAnsi="Garamond"/>
            <w:sz w:val="20"/>
            <w:szCs w:val="20"/>
            <w:lang w:val="en-US"/>
          </w:rPr>
          <w:t>https://journals.openedition.org/vertigo/16199</w:t>
        </w:r>
      </w:hyperlink>
      <w:r w:rsidRPr="00484FAE">
        <w:rPr>
          <w:rFonts w:ascii="Garamond" w:hAnsi="Garamond"/>
          <w:sz w:val="20"/>
          <w:szCs w:val="20"/>
          <w:lang w:val="en-US"/>
        </w:rPr>
        <w:t>) Date of last access, 19</w:t>
      </w:r>
      <w:r w:rsidRPr="00A903E5">
        <w:rPr>
          <w:rFonts w:ascii="Garamond" w:hAnsi="Garamond"/>
          <w:sz w:val="20"/>
          <w:szCs w:val="20"/>
          <w:vertAlign w:val="superscript"/>
          <w:lang w:val="en-US"/>
        </w:rPr>
        <w:t>th</w:t>
      </w:r>
      <w:r w:rsidRPr="00484FAE">
        <w:rPr>
          <w:rFonts w:ascii="Garamond" w:hAnsi="Garamond"/>
          <w:sz w:val="20"/>
          <w:szCs w:val="20"/>
          <w:lang w:val="en-US"/>
        </w:rPr>
        <w:t xml:space="preserve"> November 2018. Iorns Magellanes notes, </w:t>
      </w:r>
      <w:r w:rsidRPr="00320E32">
        <w:rPr>
          <w:rFonts w:ascii="Garamond" w:hAnsi="Garamond"/>
          <w:sz w:val="20"/>
          <w:szCs w:val="20"/>
          <w:lang w:val="en-US"/>
        </w:rPr>
        <w:t>rightly, however, that ‘</w:t>
      </w:r>
      <w:r w:rsidRPr="005552BB">
        <w:rPr>
          <w:rFonts w:ascii="Garamond" w:eastAsia="Times New Roman" w:hAnsi="Garamond" w:cs="Times New Roman"/>
          <w:sz w:val="20"/>
          <w:szCs w:val="20"/>
          <w:shd w:val="clear" w:color="auto" w:fill="FFFFFF"/>
        </w:rPr>
        <w:t>these changes have been agreed to for human rights reasons, not for environmental protection reasons’.</w:t>
      </w:r>
    </w:p>
  </w:footnote>
  <w:footnote w:id="97">
    <w:p w14:paraId="3063329D" w14:textId="77777777" w:rsidR="00082E6E" w:rsidRPr="00A903E5" w:rsidRDefault="00082E6E" w:rsidP="00C177D9">
      <w:pPr>
        <w:pStyle w:val="FootnoteText"/>
        <w:rPr>
          <w:rFonts w:ascii="Garamond" w:hAnsi="Garamond"/>
          <w:lang w:val="en-US"/>
        </w:rPr>
      </w:pPr>
      <w:r w:rsidRPr="00A903E5">
        <w:rPr>
          <w:rStyle w:val="FootnoteReference"/>
          <w:rFonts w:ascii="Garamond" w:hAnsi="Garamond"/>
        </w:rPr>
        <w:footnoteRef/>
      </w:r>
      <w:r w:rsidRPr="00A903E5">
        <w:rPr>
          <w:rFonts w:ascii="Garamond" w:hAnsi="Garamond"/>
        </w:rPr>
        <w:t xml:space="preserve"> </w:t>
      </w:r>
      <w:r w:rsidRPr="00A903E5">
        <w:rPr>
          <w:rFonts w:ascii="Garamond" w:hAnsi="Garamond"/>
          <w:lang w:val="en-US"/>
        </w:rPr>
        <w:t>For a fascinating discussion, see E Mussawir and C Parsley, ‘</w:t>
      </w:r>
      <w:r>
        <w:rPr>
          <w:rFonts w:ascii="Garamond" w:hAnsi="Garamond"/>
          <w:lang w:val="en-US"/>
        </w:rPr>
        <w:t xml:space="preserve">The law of persons today: at the margins of jurisprudence’ (2017) 11/1 </w:t>
      </w:r>
      <w:r>
        <w:rPr>
          <w:rFonts w:ascii="Garamond" w:hAnsi="Garamond"/>
          <w:i/>
          <w:lang w:val="en-US"/>
        </w:rPr>
        <w:t>Law and Humanities</w:t>
      </w:r>
      <w:r>
        <w:rPr>
          <w:rFonts w:ascii="Garamond" w:hAnsi="Garamond"/>
          <w:lang w:val="en-US"/>
        </w:rPr>
        <w:t xml:space="preserve"> 44-63.</w:t>
      </w:r>
    </w:p>
  </w:footnote>
  <w:footnote w:id="98">
    <w:p w14:paraId="69EBA4F8" w14:textId="77777777" w:rsidR="00082E6E" w:rsidRPr="00A903E5" w:rsidRDefault="00082E6E" w:rsidP="00BB0A25">
      <w:pPr>
        <w:pStyle w:val="FootnoteText"/>
        <w:rPr>
          <w:rFonts w:ascii="Garamond" w:hAnsi="Garamond"/>
          <w:lang w:val="en-US"/>
        </w:rPr>
      </w:pPr>
      <w:r w:rsidRPr="00A903E5">
        <w:rPr>
          <w:rStyle w:val="FootnoteReference"/>
          <w:rFonts w:ascii="Garamond" w:hAnsi="Garamond"/>
        </w:rPr>
        <w:footnoteRef/>
      </w:r>
      <w:r w:rsidRPr="00A903E5">
        <w:rPr>
          <w:rFonts w:ascii="Garamond" w:hAnsi="Garamond"/>
        </w:rPr>
        <w:t xml:space="preserve"> </w:t>
      </w:r>
      <w:r w:rsidRPr="00A903E5">
        <w:rPr>
          <w:rFonts w:ascii="Garamond" w:hAnsi="Garamond"/>
          <w:lang w:val="en-US"/>
        </w:rPr>
        <w:t xml:space="preserve">A Rawson and B Mansfield, ‘Producing juridical knowledge: </w:t>
      </w:r>
      <w:r w:rsidRPr="00A878EE">
        <w:rPr>
          <w:rFonts w:ascii="Garamond" w:hAnsi="Garamond"/>
          <w:lang w:val="en-US"/>
        </w:rPr>
        <w:t>“Rights of Natu</w:t>
      </w:r>
      <w:r w:rsidRPr="00A903E5">
        <w:rPr>
          <w:rFonts w:ascii="Garamond" w:hAnsi="Garamond"/>
          <w:lang w:val="en-US"/>
        </w:rPr>
        <w:t xml:space="preserve">re” or the naturalization of rights?’ (2018) 1 </w:t>
      </w:r>
      <w:r w:rsidRPr="00A903E5">
        <w:rPr>
          <w:rFonts w:ascii="Garamond" w:hAnsi="Garamond"/>
          <w:i/>
          <w:lang w:val="en-US"/>
        </w:rPr>
        <w:t xml:space="preserve">Nature and Space </w:t>
      </w:r>
      <w:r w:rsidRPr="00A903E5">
        <w:rPr>
          <w:rFonts w:ascii="Garamond" w:hAnsi="Garamond"/>
          <w:lang w:val="en-US"/>
        </w:rPr>
        <w:t xml:space="preserve">99-119. </w:t>
      </w:r>
    </w:p>
  </w:footnote>
  <w:footnote w:id="99">
    <w:p w14:paraId="79B7153D" w14:textId="26BD6E1C" w:rsidR="00082E6E" w:rsidRPr="00411AE0" w:rsidRDefault="00082E6E" w:rsidP="00665421">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T</w:t>
      </w:r>
      <w:r w:rsidRPr="00411AE0">
        <w:rPr>
          <w:rFonts w:ascii="Garamond" w:hAnsi="Garamond" w:cs="Times New Roman"/>
          <w:sz w:val="20"/>
          <w:szCs w:val="20"/>
          <w:lang w:val="en-US"/>
        </w:rPr>
        <w:t xml:space="preserve">he legal person and legal rights presuppose one another in an analytical sense: </w:t>
      </w:r>
      <w:r w:rsidRPr="00411AE0">
        <w:rPr>
          <w:rFonts w:ascii="Garamond" w:hAnsi="Garamond"/>
          <w:sz w:val="20"/>
          <w:szCs w:val="20"/>
        </w:rPr>
        <w:t xml:space="preserve">‘The subject is a creation of the law, an artificial entity which serves as the logical support of legal relations.  Right and subject come into life together’: </w:t>
      </w:r>
      <w:r>
        <w:rPr>
          <w:rFonts w:ascii="Garamond" w:hAnsi="Garamond"/>
          <w:sz w:val="20"/>
          <w:szCs w:val="20"/>
        </w:rPr>
        <w:t>(</w:t>
      </w:r>
      <w:r w:rsidRPr="00411AE0">
        <w:rPr>
          <w:rFonts w:ascii="Garamond" w:hAnsi="Garamond" w:cs="Times New Roman"/>
          <w:sz w:val="20"/>
          <w:szCs w:val="20"/>
          <w:lang w:val="en-US"/>
        </w:rPr>
        <w:t xml:space="preserve">C Douzinas, </w:t>
      </w:r>
      <w:r w:rsidRPr="00411AE0">
        <w:rPr>
          <w:rFonts w:ascii="Garamond" w:hAnsi="Garamond" w:cs="Times New Roman"/>
          <w:i/>
          <w:sz w:val="20"/>
          <w:szCs w:val="20"/>
          <w:lang w:val="en-US"/>
        </w:rPr>
        <w:t>The End of Human Rights</w:t>
      </w:r>
      <w:r w:rsidRPr="00411AE0">
        <w:rPr>
          <w:rFonts w:ascii="Garamond" w:hAnsi="Garamond" w:cs="Times New Roman"/>
          <w:sz w:val="20"/>
          <w:szCs w:val="20"/>
          <w:lang w:val="en-US"/>
        </w:rPr>
        <w:t xml:space="preserve"> (Oxford: Hart Publishing, 2000) at 233) though the substance of the relationship varies, not least in line with differing theoretical accounts of rights and legal personhood. See, for example: </w:t>
      </w:r>
      <w:r w:rsidRPr="00411AE0">
        <w:rPr>
          <w:rFonts w:ascii="Garamond" w:hAnsi="Garamond"/>
          <w:sz w:val="20"/>
          <w:szCs w:val="20"/>
        </w:rPr>
        <w:t xml:space="preserve">A Nekam, </w:t>
      </w:r>
      <w:r w:rsidRPr="00411AE0">
        <w:rPr>
          <w:rFonts w:ascii="Garamond" w:hAnsi="Garamond"/>
          <w:i/>
          <w:sz w:val="20"/>
          <w:szCs w:val="20"/>
        </w:rPr>
        <w:t>The Personality Conception of the Legal Entity</w:t>
      </w:r>
      <w:r w:rsidRPr="00411AE0">
        <w:rPr>
          <w:rFonts w:ascii="Garamond" w:hAnsi="Garamond"/>
          <w:sz w:val="20"/>
          <w:szCs w:val="20"/>
        </w:rPr>
        <w:t xml:space="preserve"> (Boston: Harvard University Press, 1938); A Peacocke and G Gillet, </w:t>
      </w:r>
      <w:r w:rsidRPr="00411AE0">
        <w:rPr>
          <w:rFonts w:ascii="Garamond" w:hAnsi="Garamond"/>
          <w:i/>
          <w:sz w:val="20"/>
          <w:szCs w:val="20"/>
        </w:rPr>
        <w:t>Persons and Personality</w:t>
      </w:r>
      <w:r w:rsidRPr="00411AE0">
        <w:rPr>
          <w:rFonts w:ascii="Garamond" w:hAnsi="Garamond"/>
          <w:sz w:val="20"/>
          <w:szCs w:val="20"/>
        </w:rPr>
        <w:t xml:space="preserve">: </w:t>
      </w:r>
      <w:r w:rsidRPr="00411AE0">
        <w:rPr>
          <w:rFonts w:ascii="Garamond" w:hAnsi="Garamond"/>
          <w:i/>
          <w:sz w:val="20"/>
          <w:szCs w:val="20"/>
        </w:rPr>
        <w:t xml:space="preserve">A Contemporary Inquiry </w:t>
      </w:r>
      <w:r w:rsidRPr="00411AE0">
        <w:rPr>
          <w:rFonts w:ascii="Garamond" w:hAnsi="Garamond"/>
          <w:sz w:val="20"/>
          <w:szCs w:val="20"/>
        </w:rPr>
        <w:t xml:space="preserve">(Oxford: Blackwell, 1987); DP Derham, ‘Theories of Legal Personality’ in LC Webb (ed.) </w:t>
      </w:r>
      <w:r w:rsidRPr="00411AE0">
        <w:rPr>
          <w:rFonts w:ascii="Garamond" w:hAnsi="Garamond"/>
          <w:i/>
          <w:sz w:val="20"/>
          <w:szCs w:val="20"/>
        </w:rPr>
        <w:t>Legal Personality and Political Pluralism</w:t>
      </w:r>
      <w:r w:rsidRPr="00411AE0">
        <w:rPr>
          <w:rFonts w:ascii="Garamond" w:hAnsi="Garamond"/>
          <w:sz w:val="20"/>
          <w:szCs w:val="20"/>
        </w:rPr>
        <w:t xml:space="preserve"> (New York: Cambridge University Press, 1958)</w:t>
      </w:r>
      <w:r w:rsidRPr="00411AE0">
        <w:rPr>
          <w:rFonts w:ascii="Garamond" w:hAnsi="Garamond" w:cs="Times New Roman"/>
          <w:sz w:val="20"/>
          <w:szCs w:val="20"/>
          <w:lang w:val="en-US"/>
        </w:rPr>
        <w:t xml:space="preserve">; </w:t>
      </w:r>
      <w:r w:rsidRPr="00411AE0">
        <w:rPr>
          <w:rFonts w:ascii="Garamond" w:hAnsi="Garamond"/>
          <w:sz w:val="20"/>
          <w:szCs w:val="20"/>
        </w:rPr>
        <w:t xml:space="preserve">N Naffine, ‘The Nature of Legal Personality’, in M Davies and N Naffine, </w:t>
      </w:r>
      <w:r w:rsidRPr="00411AE0">
        <w:rPr>
          <w:rFonts w:ascii="Garamond" w:hAnsi="Garamond"/>
          <w:i/>
          <w:sz w:val="20"/>
          <w:szCs w:val="20"/>
        </w:rPr>
        <w:t xml:space="preserve">Are Persons Property?  Legal Debates about Property and Personality </w:t>
      </w:r>
      <w:r w:rsidRPr="00411AE0">
        <w:rPr>
          <w:rFonts w:ascii="Garamond" w:hAnsi="Garamond"/>
          <w:sz w:val="20"/>
          <w:szCs w:val="20"/>
        </w:rPr>
        <w:t>(Aldershot: Ashgate, 2001).</w:t>
      </w:r>
    </w:p>
  </w:footnote>
  <w:footnote w:id="100">
    <w:p w14:paraId="7FB6CFC6" w14:textId="697F3247"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See, for example, the detailed historical account offered by </w:t>
      </w:r>
      <w:r w:rsidRPr="00411AE0">
        <w:rPr>
          <w:rFonts w:ascii="Garamond" w:hAnsi="Garamond"/>
          <w:lang w:val="en-US"/>
        </w:rPr>
        <w:t xml:space="preserve">M Ishay, </w:t>
      </w:r>
      <w:r w:rsidRPr="00411AE0">
        <w:rPr>
          <w:rFonts w:ascii="Garamond" w:hAnsi="Garamond"/>
          <w:i/>
        </w:rPr>
        <w:t>The History of Human Rights: From Ancient Times to the Globalization Era</w:t>
      </w:r>
      <w:r w:rsidRPr="00411AE0">
        <w:rPr>
          <w:rFonts w:ascii="Garamond" w:hAnsi="Garamond"/>
        </w:rPr>
        <w:t xml:space="preserve"> (Berkeley: University of California Press, 2004). </w:t>
      </w:r>
      <w:r w:rsidRPr="00411AE0">
        <w:rPr>
          <w:rFonts w:ascii="Garamond" w:hAnsi="Garamond"/>
          <w:lang w:val="en-US"/>
        </w:rPr>
        <w:t>See also N Stammers, ‘</w:t>
      </w:r>
      <w:r w:rsidRPr="00411AE0">
        <w:rPr>
          <w:rFonts w:ascii="Garamond" w:hAnsi="Garamond"/>
        </w:rPr>
        <w:t xml:space="preserve">Social Movements and the Social Construction of Human Rights’ (1999) 21 </w:t>
      </w:r>
      <w:r w:rsidRPr="00411AE0">
        <w:rPr>
          <w:rFonts w:ascii="Garamond" w:hAnsi="Garamond"/>
          <w:i/>
        </w:rPr>
        <w:t xml:space="preserve">Human Rights Quarterly </w:t>
      </w:r>
      <w:r w:rsidRPr="00411AE0">
        <w:rPr>
          <w:rFonts w:ascii="Garamond" w:hAnsi="Garamond"/>
        </w:rPr>
        <w:t>980-1008.</w:t>
      </w:r>
    </w:p>
  </w:footnote>
  <w:footnote w:id="101">
    <w:p w14:paraId="234DE0A2" w14:textId="1AF6FB8D"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Ishay, ibid; Stammers, ibid. </w:t>
      </w:r>
      <w:r w:rsidRPr="00411AE0">
        <w:rPr>
          <w:rFonts w:ascii="Garamond" w:eastAsia="Times New Roman" w:hAnsi="Garamond" w:cs="Times New Roman"/>
          <w:color w:val="000000" w:themeColor="text1"/>
          <w:lang w:eastAsia="en-GB"/>
        </w:rPr>
        <w:t xml:space="preserve">As Stone has noted, rights were originally attributed to only a very narrow class of human beings, rarely to ‘others’ beyond family or tribal kinship networks, and seldom to women and children: </w:t>
      </w:r>
      <w:r w:rsidRPr="00411AE0">
        <w:rPr>
          <w:rFonts w:ascii="Garamond" w:hAnsi="Garamond"/>
          <w:lang w:val="en-US"/>
        </w:rPr>
        <w:t xml:space="preserve">C Stone, ‘Should Trees Have Standing? Towards Legal Rights for Natural Objects’ (2012) 0 </w:t>
      </w:r>
      <w:r w:rsidRPr="00411AE0">
        <w:rPr>
          <w:rFonts w:ascii="Garamond" w:hAnsi="Garamond"/>
          <w:i/>
          <w:lang w:val="en-US"/>
        </w:rPr>
        <w:t xml:space="preserve">Journal of Human Rights and the Environment </w:t>
      </w:r>
      <w:r w:rsidRPr="00411AE0">
        <w:rPr>
          <w:rFonts w:ascii="Garamond" w:hAnsi="Garamond"/>
          <w:lang w:val="en-US"/>
        </w:rPr>
        <w:t xml:space="preserve">Special Issue: ‘Should Trees Have Standing: 40 Years On?’ S4-S55 at S4, citing Charles Darwin, </w:t>
      </w:r>
      <w:r w:rsidRPr="00411AE0">
        <w:rPr>
          <w:rFonts w:ascii="Garamond" w:hAnsi="Garamond"/>
          <w:i/>
          <w:lang w:val="en-US"/>
        </w:rPr>
        <w:t>The Descent of Man</w:t>
      </w:r>
      <w:r w:rsidRPr="00411AE0">
        <w:rPr>
          <w:rFonts w:ascii="Garamond" w:hAnsi="Garamond"/>
          <w:lang w:val="en-US"/>
        </w:rPr>
        <w:t xml:space="preserve"> (2</w:t>
      </w:r>
      <w:r w:rsidRPr="00411AE0">
        <w:rPr>
          <w:rFonts w:ascii="Garamond" w:hAnsi="Garamond"/>
          <w:vertAlign w:val="superscript"/>
          <w:lang w:val="en-US"/>
        </w:rPr>
        <w:t>nd</w:t>
      </w:r>
      <w:r w:rsidRPr="00411AE0">
        <w:rPr>
          <w:rFonts w:ascii="Garamond" w:hAnsi="Garamond"/>
          <w:lang w:val="en-US"/>
        </w:rPr>
        <w:t xml:space="preserve"> edn, 1874) at 113-4.</w:t>
      </w:r>
    </w:p>
  </w:footnote>
  <w:footnote w:id="102">
    <w:p w14:paraId="4D95FE41" w14:textId="68E22FDE"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There are various vigorous critiques of the stubborn exclusivity of the law’s human person and of law’s failure of true recognition for those humans who do not fit the template of the white, propertied European male. This exclusivity marks the entire history of human rights. See Ishay</w:t>
      </w:r>
      <w:r>
        <w:rPr>
          <w:rFonts w:ascii="Garamond" w:hAnsi="Garamond"/>
        </w:rPr>
        <w:t xml:space="preserve"> (n 100)</w:t>
      </w:r>
      <w:r w:rsidRPr="00411AE0">
        <w:rPr>
          <w:rFonts w:ascii="Garamond" w:hAnsi="Garamond"/>
        </w:rPr>
        <w:t xml:space="preserve">; J Scott, </w:t>
      </w:r>
      <w:r w:rsidRPr="00411AE0">
        <w:rPr>
          <w:rFonts w:ascii="Garamond" w:hAnsi="Garamond"/>
          <w:i/>
        </w:rPr>
        <w:t xml:space="preserve">Only Paradoxes to Offer: French Feminists and the Rights of Man </w:t>
      </w:r>
      <w:r w:rsidRPr="00411AE0">
        <w:rPr>
          <w:rFonts w:ascii="Garamond" w:hAnsi="Garamond"/>
        </w:rPr>
        <w:t xml:space="preserve"> (Cambridge Mass.: Harvard University Press, 1996); D Otto, ‘Disconcerting “Masculinities”: Reinventing the Gendered Subject(s) of International Human Rights Law in D Buss and A Manji (eds.) </w:t>
      </w:r>
      <w:r w:rsidRPr="00411AE0">
        <w:rPr>
          <w:rFonts w:ascii="Garamond" w:hAnsi="Garamond"/>
          <w:i/>
        </w:rPr>
        <w:t>International Law: Modern Feminist Approaches</w:t>
      </w:r>
      <w:r w:rsidRPr="00411AE0">
        <w:rPr>
          <w:rFonts w:ascii="Garamond" w:hAnsi="Garamond"/>
        </w:rPr>
        <w:t xml:space="preserve"> (Oxford: Hart Publishing, 2005) 105-129; D Otto, ‘Lost in Translation: Rescripting the Sexed Subjects of International Human Rights Law’ in A Orford</w:t>
      </w:r>
      <w:r>
        <w:rPr>
          <w:rFonts w:ascii="Garamond" w:hAnsi="Garamond"/>
        </w:rPr>
        <w:t xml:space="preserve"> </w:t>
      </w:r>
      <w:r w:rsidRPr="00411AE0">
        <w:rPr>
          <w:rFonts w:ascii="Garamond" w:hAnsi="Garamond"/>
        </w:rPr>
        <w:t xml:space="preserve">(ed.), </w:t>
      </w:r>
      <w:r w:rsidRPr="00411AE0">
        <w:rPr>
          <w:rFonts w:ascii="Garamond" w:hAnsi="Garamond"/>
          <w:i/>
        </w:rPr>
        <w:t>International Law and its Others</w:t>
      </w:r>
      <w:r w:rsidRPr="00411AE0">
        <w:rPr>
          <w:rFonts w:ascii="Garamond" w:hAnsi="Garamond"/>
        </w:rPr>
        <w:t xml:space="preserve"> (Cambridge: Cambridge University Press, 2006).</w:t>
      </w:r>
    </w:p>
  </w:footnote>
  <w:footnote w:id="103">
    <w:p w14:paraId="0E47D55D" w14:textId="66A93E47"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For an invigorating critical ecological feminist account of this, see V Plumwood, </w:t>
      </w:r>
      <w:r w:rsidRPr="00411AE0">
        <w:rPr>
          <w:rFonts w:ascii="Garamond" w:hAnsi="Garamond"/>
          <w:i/>
        </w:rPr>
        <w:t>Feminism and the Mastery of Nature</w:t>
      </w:r>
      <w:r w:rsidRPr="00411AE0">
        <w:rPr>
          <w:rFonts w:ascii="Garamond" w:hAnsi="Garamond"/>
        </w:rPr>
        <w:t xml:space="preserve"> (London and New York: Routledge, 1993).</w:t>
      </w:r>
    </w:p>
  </w:footnote>
  <w:footnote w:id="104">
    <w:p w14:paraId="74D10AC7" w14:textId="48533EE6" w:rsidR="00082E6E" w:rsidRPr="00411AE0" w:rsidRDefault="00082E6E" w:rsidP="00504187">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Otto</w:t>
      </w:r>
      <w:r>
        <w:rPr>
          <w:rFonts w:ascii="Garamond" w:hAnsi="Garamond"/>
          <w:lang w:val="en-US"/>
        </w:rPr>
        <w:t xml:space="preserve"> (n 101)</w:t>
      </w:r>
      <w:r w:rsidRPr="00411AE0">
        <w:rPr>
          <w:rFonts w:ascii="Garamond" w:hAnsi="Garamond"/>
          <w:lang w:val="en-US"/>
        </w:rPr>
        <w:t xml:space="preserve">; N Naffine, ‘Women and the Cast of Legal Persons’ in J Jones, A Grear, RA Fenton and K Stevenson, </w:t>
      </w:r>
      <w:r w:rsidRPr="00411AE0">
        <w:rPr>
          <w:rFonts w:ascii="Garamond" w:hAnsi="Garamond"/>
          <w:i/>
          <w:lang w:val="en-US"/>
        </w:rPr>
        <w:t xml:space="preserve">Gender, Sexualities and Law </w:t>
      </w:r>
      <w:r w:rsidRPr="00411AE0">
        <w:rPr>
          <w:rFonts w:ascii="Garamond" w:hAnsi="Garamond"/>
          <w:lang w:val="en-US"/>
        </w:rPr>
        <w:t>(London: Routledge, 2011) 15-25.</w:t>
      </w:r>
    </w:p>
  </w:footnote>
  <w:footnote w:id="105">
    <w:p w14:paraId="129764C3" w14:textId="13750DC1" w:rsidR="00082E6E" w:rsidRPr="00411AE0" w:rsidRDefault="00082E6E" w:rsidP="00504187">
      <w:pPr>
        <w:widowControl w:val="0"/>
        <w:autoSpaceDE w:val="0"/>
        <w:autoSpaceDN w:val="0"/>
        <w:adjustRightInd w:val="0"/>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 xml:space="preserve">JE Nijman, ‘Paul Ricoeur and International Law. Beyond “The End of the Subject”: Towards a Reconceptualization of International Legal Personality’ (2007) 20 </w:t>
      </w:r>
      <w:r w:rsidRPr="00411AE0">
        <w:rPr>
          <w:rFonts w:ascii="Garamond" w:hAnsi="Garamond"/>
          <w:i/>
          <w:sz w:val="20"/>
          <w:szCs w:val="20"/>
          <w:lang w:val="en-US"/>
        </w:rPr>
        <w:t>Leiden Journal of International Law</w:t>
      </w:r>
      <w:r w:rsidRPr="00411AE0">
        <w:rPr>
          <w:rFonts w:ascii="Garamond" w:hAnsi="Garamond"/>
          <w:sz w:val="20"/>
          <w:szCs w:val="20"/>
          <w:lang w:val="en-US"/>
        </w:rPr>
        <w:t xml:space="preserve"> 25-64. </w:t>
      </w:r>
    </w:p>
  </w:footnote>
  <w:footnote w:id="106">
    <w:p w14:paraId="5501590A" w14:textId="67FCF357" w:rsidR="00082E6E" w:rsidRPr="00411AE0" w:rsidRDefault="00082E6E" w:rsidP="00504187">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M Koskenni</w:t>
      </w:r>
      <w:r>
        <w:rPr>
          <w:rFonts w:ascii="Garamond" w:hAnsi="Garamond"/>
          <w:lang w:val="en-US"/>
        </w:rPr>
        <w:t>e</w:t>
      </w:r>
      <w:r w:rsidRPr="00411AE0">
        <w:rPr>
          <w:rFonts w:ascii="Garamond" w:hAnsi="Garamond"/>
          <w:lang w:val="en-US"/>
        </w:rPr>
        <w:t xml:space="preserve">mi, </w:t>
      </w:r>
      <w:r w:rsidRPr="00411AE0">
        <w:rPr>
          <w:rFonts w:ascii="Garamond" w:hAnsi="Garamond"/>
          <w:i/>
          <w:lang w:val="en-US"/>
        </w:rPr>
        <w:t xml:space="preserve">From Apology to Utopia: The Structure of International Legal Argument </w:t>
      </w:r>
      <w:r w:rsidRPr="00411AE0">
        <w:rPr>
          <w:rFonts w:ascii="Garamond" w:hAnsi="Garamond"/>
          <w:lang w:val="en-US"/>
        </w:rPr>
        <w:t>(Reissue) (Cambridge: CUP, 2005) at 224.</w:t>
      </w:r>
    </w:p>
  </w:footnote>
  <w:footnote w:id="107">
    <w:p w14:paraId="6F2792B1" w14:textId="032EBB73"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cs="Times New Roman"/>
          <w:lang w:val="en-US"/>
        </w:rPr>
        <w:t>Nijman</w:t>
      </w:r>
      <w:r>
        <w:rPr>
          <w:rFonts w:ascii="Garamond" w:hAnsi="Garamond" w:cs="Times New Roman"/>
          <w:lang w:val="en-US"/>
        </w:rPr>
        <w:t xml:space="preserve"> (</w:t>
      </w:r>
      <w:r w:rsidRPr="00411AE0">
        <w:rPr>
          <w:rFonts w:ascii="Garamond" w:hAnsi="Garamond" w:cs="Times New Roman"/>
          <w:lang w:val="en-US"/>
        </w:rPr>
        <w:t>n 1</w:t>
      </w:r>
      <w:r>
        <w:rPr>
          <w:rFonts w:ascii="Garamond" w:hAnsi="Garamond" w:cs="Times New Roman"/>
          <w:lang w:val="en-US"/>
        </w:rPr>
        <w:t>04)</w:t>
      </w:r>
      <w:r w:rsidRPr="00411AE0">
        <w:rPr>
          <w:rFonts w:ascii="Garamond" w:hAnsi="Garamond" w:cs="Times New Roman"/>
          <w:lang w:val="en-US"/>
        </w:rPr>
        <w:t xml:space="preserve"> </w:t>
      </w:r>
      <w:r w:rsidRPr="00411AE0">
        <w:rPr>
          <w:rFonts w:ascii="Garamond" w:hAnsi="Garamond"/>
          <w:lang w:val="en-US"/>
        </w:rPr>
        <w:t xml:space="preserve">at 26.  </w:t>
      </w:r>
    </w:p>
  </w:footnote>
  <w:footnote w:id="108">
    <w:p w14:paraId="48222A1D" w14:textId="1423FC2F" w:rsidR="00082E6E" w:rsidRPr="00411AE0" w:rsidRDefault="00082E6E" w:rsidP="00504187">
      <w:pPr>
        <w:widowControl w:val="0"/>
        <w:autoSpaceDE w:val="0"/>
        <w:autoSpaceDN w:val="0"/>
        <w:adjustRightInd w:val="0"/>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 xml:space="preserve">K Knop, ‘Re/statements: Feminism and State Sovereignty in International Law’ (1993) 3 </w:t>
      </w:r>
      <w:r w:rsidRPr="00411AE0">
        <w:rPr>
          <w:rFonts w:ascii="Garamond" w:hAnsi="Garamond"/>
          <w:i/>
          <w:sz w:val="20"/>
          <w:szCs w:val="20"/>
          <w:lang w:val="en-US"/>
        </w:rPr>
        <w:t xml:space="preserve">Transnational Law and Contemporary Problems </w:t>
      </w:r>
      <w:r w:rsidRPr="00411AE0">
        <w:rPr>
          <w:rFonts w:ascii="Garamond" w:hAnsi="Garamond"/>
          <w:sz w:val="20"/>
          <w:szCs w:val="20"/>
          <w:lang w:val="en-US"/>
        </w:rPr>
        <w:t>293-344.  Knop rightly makes the obvious point that ‘</w:t>
      </w:r>
      <w:r w:rsidRPr="00411AE0">
        <w:rPr>
          <w:rFonts w:ascii="Garamond" w:hAnsi="Garamond" w:cs="Times New Roman"/>
          <w:sz w:val="20"/>
          <w:szCs w:val="20"/>
          <w:lang w:val="en-US"/>
        </w:rPr>
        <w:t xml:space="preserve">States are not like individuals in the significant respect that they are not unified beings, they are not </w:t>
      </w:r>
      <w:r w:rsidRPr="00411AE0">
        <w:rPr>
          <w:rFonts w:ascii="Garamond" w:hAnsi="Garamond"/>
          <w:sz w:val="20"/>
          <w:szCs w:val="20"/>
          <w:lang w:val="en-US"/>
        </w:rPr>
        <w:t>irreducible units of analysis’ (at 320). There is, however, ‘</w:t>
      </w:r>
      <w:r w:rsidRPr="00411AE0">
        <w:rPr>
          <w:rFonts w:ascii="Garamond" w:hAnsi="Garamond" w:cs="Times New Roman"/>
          <w:sz w:val="20"/>
          <w:szCs w:val="20"/>
          <w:lang w:val="en-US"/>
        </w:rPr>
        <w:t xml:space="preserve">plenty of room for critique, for examining, in Kirsti McClure's words, </w:t>
      </w:r>
      <w:r>
        <w:rPr>
          <w:rFonts w:ascii="Garamond" w:hAnsi="Garamond" w:cs="Times New Roman"/>
          <w:sz w:val="20"/>
          <w:szCs w:val="20"/>
          <w:lang w:val="en-US"/>
        </w:rPr>
        <w:t>“</w:t>
      </w:r>
      <w:r w:rsidRPr="00411AE0">
        <w:rPr>
          <w:rFonts w:ascii="Garamond" w:hAnsi="Garamond" w:cs="Times New Roman"/>
          <w:sz w:val="20"/>
          <w:szCs w:val="20"/>
          <w:lang w:val="en-US"/>
        </w:rPr>
        <w:t>the complicity between the sovereign subject and the sovereign state in modern political theory</w:t>
      </w:r>
      <w:r>
        <w:rPr>
          <w:rFonts w:ascii="Garamond" w:hAnsi="Garamond" w:cs="Times New Roman"/>
          <w:sz w:val="20"/>
          <w:szCs w:val="20"/>
          <w:lang w:val="en-US"/>
        </w:rPr>
        <w:t>”</w:t>
      </w:r>
      <w:r w:rsidRPr="00411AE0">
        <w:rPr>
          <w:rFonts w:ascii="Garamond" w:hAnsi="Garamond" w:cs="Times New Roman"/>
          <w:sz w:val="20"/>
          <w:szCs w:val="20"/>
          <w:lang w:val="en-US"/>
        </w:rPr>
        <w:t xml:space="preserve">’: JB Elshtain, ‘Sovereign God, Sovereign State, Sovereign Self’ (1991) 66/5 </w:t>
      </w:r>
      <w:r w:rsidRPr="00411AE0">
        <w:rPr>
          <w:rFonts w:ascii="Garamond" w:hAnsi="Garamond" w:cs="Times New Roman"/>
          <w:i/>
          <w:sz w:val="20"/>
          <w:szCs w:val="20"/>
          <w:lang w:val="en-US"/>
        </w:rPr>
        <w:t xml:space="preserve">Notre Dame Law Review </w:t>
      </w:r>
      <w:r w:rsidRPr="00411AE0">
        <w:rPr>
          <w:rFonts w:ascii="Garamond" w:hAnsi="Garamond" w:cs="Times New Roman"/>
          <w:sz w:val="20"/>
          <w:szCs w:val="20"/>
          <w:lang w:val="en-US"/>
        </w:rPr>
        <w:t xml:space="preserve">1355-1378 at 1375. </w:t>
      </w:r>
    </w:p>
  </w:footnote>
  <w:footnote w:id="109">
    <w:p w14:paraId="2FC1CA6C" w14:textId="6BA0F0FA" w:rsidR="00082E6E" w:rsidRPr="00411AE0" w:rsidRDefault="00082E6E" w:rsidP="00B0650D">
      <w:pPr>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P Halewood, ‘Law’s Bodies: Disembodiment and the Structure of Liberal Property Rights’ (1996) 81 </w:t>
      </w:r>
      <w:r w:rsidRPr="00411AE0">
        <w:rPr>
          <w:rFonts w:ascii="Garamond" w:hAnsi="Garamond"/>
          <w:i/>
          <w:sz w:val="20"/>
          <w:szCs w:val="20"/>
        </w:rPr>
        <w:t>Iowa Law Review</w:t>
      </w:r>
      <w:r w:rsidRPr="00411AE0">
        <w:rPr>
          <w:rFonts w:ascii="Garamond" w:hAnsi="Garamond"/>
          <w:sz w:val="20"/>
          <w:szCs w:val="20"/>
        </w:rPr>
        <w:t xml:space="preserve"> 1331-1393. The centrality of the masculine subject presents pervasive challenges for non-male others in all fields of law—even human rights. See, for example, F Beveridge and S Mullally, ‘International Human Rights and Body Politics’ in J Bridgeman and S Millns (eds.) </w:t>
      </w:r>
      <w:r w:rsidRPr="00411AE0">
        <w:rPr>
          <w:rFonts w:ascii="Garamond" w:hAnsi="Garamond"/>
          <w:i/>
          <w:sz w:val="20"/>
          <w:szCs w:val="20"/>
        </w:rPr>
        <w:t xml:space="preserve">Law and Body Politics: Regulating the Female Body </w:t>
      </w:r>
      <w:r w:rsidRPr="00411AE0">
        <w:rPr>
          <w:rFonts w:ascii="Garamond" w:hAnsi="Garamond"/>
          <w:sz w:val="20"/>
          <w:szCs w:val="20"/>
        </w:rPr>
        <w:t>(Aldershot: Dartmouth, 1995).</w:t>
      </w:r>
    </w:p>
  </w:footnote>
  <w:footnote w:id="110">
    <w:p w14:paraId="387F5964" w14:textId="6A2F70FB" w:rsidR="00082E6E" w:rsidRPr="00411AE0" w:rsidRDefault="00082E6E" w:rsidP="00B0650D">
      <w:pPr>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Davies and Naffine</w:t>
      </w:r>
      <w:r>
        <w:rPr>
          <w:rFonts w:ascii="Garamond" w:hAnsi="Garamond"/>
          <w:sz w:val="20"/>
          <w:szCs w:val="20"/>
        </w:rPr>
        <w:t xml:space="preserve"> (n 98)</w:t>
      </w:r>
      <w:r w:rsidRPr="00411AE0">
        <w:rPr>
          <w:rFonts w:ascii="Garamond" w:hAnsi="Garamond"/>
          <w:sz w:val="20"/>
          <w:szCs w:val="20"/>
        </w:rPr>
        <w:t>.</w:t>
      </w:r>
    </w:p>
  </w:footnote>
  <w:footnote w:id="111">
    <w:p w14:paraId="08952819" w14:textId="778A7104" w:rsidR="00082E6E" w:rsidRPr="0043460E" w:rsidRDefault="00082E6E" w:rsidP="00B0650D">
      <w:pPr>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J </w:t>
      </w:r>
      <w:r w:rsidRPr="00563F49">
        <w:rPr>
          <w:rFonts w:ascii="Garamond" w:hAnsi="Garamond"/>
          <w:sz w:val="20"/>
          <w:szCs w:val="20"/>
          <w:lang w:val="en-US"/>
        </w:rPr>
        <w:t>Nedelsky</w:t>
      </w:r>
      <w:r w:rsidRPr="0043460E">
        <w:rPr>
          <w:rFonts w:ascii="Garamond" w:hAnsi="Garamond"/>
          <w:sz w:val="20"/>
          <w:szCs w:val="20"/>
        </w:rPr>
        <w:t xml:space="preserve">, ‘Law, Boundaries and the Bounded Self’ (1990) 30 </w:t>
      </w:r>
      <w:r w:rsidRPr="0043460E">
        <w:rPr>
          <w:rFonts w:ascii="Garamond" w:hAnsi="Garamond"/>
          <w:i/>
          <w:sz w:val="20"/>
          <w:szCs w:val="20"/>
        </w:rPr>
        <w:t>Representations</w:t>
      </w:r>
      <w:r w:rsidRPr="0043460E">
        <w:rPr>
          <w:rFonts w:ascii="Garamond" w:hAnsi="Garamond"/>
          <w:sz w:val="20"/>
          <w:szCs w:val="20"/>
        </w:rPr>
        <w:t xml:space="preserve"> 162-189.</w:t>
      </w:r>
    </w:p>
  </w:footnote>
  <w:footnote w:id="112">
    <w:p w14:paraId="5D300798" w14:textId="390E4166" w:rsidR="00082E6E" w:rsidRPr="0043460E" w:rsidRDefault="00082E6E" w:rsidP="00504187">
      <w:pPr>
        <w:pStyle w:val="FootnoteText"/>
        <w:rPr>
          <w:rFonts w:ascii="Garamond" w:hAnsi="Garamond"/>
          <w:lang w:val="en-US"/>
        </w:rPr>
      </w:pPr>
      <w:r w:rsidRPr="00563F49">
        <w:rPr>
          <w:rStyle w:val="FootnoteReference"/>
          <w:rFonts w:ascii="Garamond" w:hAnsi="Garamond"/>
        </w:rPr>
        <w:footnoteRef/>
      </w:r>
      <w:r w:rsidRPr="00563F49">
        <w:rPr>
          <w:rFonts w:ascii="Garamond" w:hAnsi="Garamond"/>
        </w:rPr>
        <w:t xml:space="preserve"> </w:t>
      </w:r>
      <w:r w:rsidRPr="0043460E">
        <w:rPr>
          <w:rFonts w:ascii="Garamond" w:hAnsi="Garamond"/>
          <w:lang w:val="en-US"/>
        </w:rPr>
        <w:t>Stone (n 10</w:t>
      </w:r>
      <w:r>
        <w:rPr>
          <w:rFonts w:ascii="Garamond" w:hAnsi="Garamond"/>
          <w:lang w:val="en-US"/>
        </w:rPr>
        <w:t>0</w:t>
      </w:r>
      <w:r w:rsidRPr="0043460E">
        <w:rPr>
          <w:rFonts w:ascii="Garamond" w:hAnsi="Garamond"/>
          <w:lang w:val="en-US"/>
        </w:rPr>
        <w:t>) at S6.</w:t>
      </w:r>
    </w:p>
  </w:footnote>
  <w:footnote w:id="113">
    <w:p w14:paraId="16A03B1F" w14:textId="72EFB553" w:rsidR="00082E6E" w:rsidRPr="0043460E" w:rsidRDefault="00082E6E" w:rsidP="00504187">
      <w:pPr>
        <w:pStyle w:val="FootnoteText"/>
        <w:rPr>
          <w:rFonts w:ascii="Garamond" w:hAnsi="Garamond"/>
          <w:lang w:val="en-US"/>
        </w:rPr>
      </w:pPr>
      <w:r w:rsidRPr="00563F49">
        <w:rPr>
          <w:rStyle w:val="FootnoteReference"/>
          <w:rFonts w:ascii="Garamond" w:hAnsi="Garamond"/>
        </w:rPr>
        <w:footnoteRef/>
      </w:r>
      <w:r w:rsidRPr="00563F49">
        <w:rPr>
          <w:rFonts w:ascii="Garamond" w:hAnsi="Garamond"/>
        </w:rPr>
        <w:t xml:space="preserve"> Federman </w:t>
      </w:r>
      <w:r w:rsidRPr="0043460E">
        <w:rPr>
          <w:rFonts w:ascii="Garamond" w:hAnsi="Garamond"/>
        </w:rPr>
        <w:t>(n 6</w:t>
      </w:r>
      <w:r>
        <w:rPr>
          <w:rFonts w:ascii="Garamond" w:hAnsi="Garamond"/>
        </w:rPr>
        <w:t>4</w:t>
      </w:r>
      <w:r w:rsidRPr="0043460E">
        <w:rPr>
          <w:rFonts w:ascii="Garamond" w:hAnsi="Garamond"/>
        </w:rPr>
        <w:t>).</w:t>
      </w:r>
    </w:p>
  </w:footnote>
  <w:footnote w:id="114">
    <w:p w14:paraId="0501C8A7" w14:textId="6A70E8F4" w:rsidR="00082E6E" w:rsidRPr="00A7059F" w:rsidRDefault="00082E6E" w:rsidP="007830FC">
      <w:pPr>
        <w:spacing w:after="0" w:line="240" w:lineRule="auto"/>
        <w:rPr>
          <w:rFonts w:ascii="Garamond" w:hAnsi="Garamond"/>
          <w:sz w:val="20"/>
          <w:szCs w:val="20"/>
          <w:lang w:val="en-US"/>
        </w:rPr>
      </w:pPr>
      <w:r w:rsidRPr="0043460E">
        <w:rPr>
          <w:rStyle w:val="FootnoteReference"/>
          <w:rFonts w:ascii="Garamond" w:hAnsi="Garamond"/>
          <w:sz w:val="20"/>
          <w:szCs w:val="20"/>
        </w:rPr>
        <w:footnoteRef/>
      </w:r>
      <w:r w:rsidRPr="0043460E">
        <w:rPr>
          <w:rFonts w:ascii="Garamond" w:hAnsi="Garamond"/>
          <w:sz w:val="20"/>
          <w:szCs w:val="20"/>
        </w:rPr>
        <w:t xml:space="preserve"> Ishay</w:t>
      </w:r>
      <w:r w:rsidRPr="0067033B">
        <w:rPr>
          <w:rFonts w:ascii="Garamond" w:hAnsi="Garamond"/>
          <w:sz w:val="20"/>
          <w:szCs w:val="20"/>
        </w:rPr>
        <w:t xml:space="preserve"> </w:t>
      </w:r>
      <w:r w:rsidRPr="00A7059F">
        <w:rPr>
          <w:rFonts w:ascii="Garamond" w:hAnsi="Garamond"/>
          <w:sz w:val="20"/>
          <w:szCs w:val="20"/>
        </w:rPr>
        <w:t>(n 100);</w:t>
      </w:r>
      <w:r w:rsidRPr="00563F49">
        <w:rPr>
          <w:rFonts w:ascii="Garamond" w:hAnsi="Garamond"/>
          <w:sz w:val="20"/>
          <w:szCs w:val="20"/>
        </w:rPr>
        <w:t xml:space="preserve"> L Hunt, </w:t>
      </w:r>
      <w:r w:rsidRPr="0043460E">
        <w:rPr>
          <w:rFonts w:ascii="Garamond" w:hAnsi="Garamond"/>
          <w:i/>
          <w:sz w:val="20"/>
          <w:szCs w:val="20"/>
        </w:rPr>
        <w:t xml:space="preserve">The French Revolution and Human Rights: A Brief Documentary History </w:t>
      </w:r>
      <w:r w:rsidRPr="0043460E">
        <w:rPr>
          <w:rFonts w:ascii="Garamond" w:hAnsi="Garamond"/>
          <w:sz w:val="20"/>
          <w:szCs w:val="20"/>
        </w:rPr>
        <w:t>(New York: Bedford/St Martins Press, 1996).</w:t>
      </w:r>
    </w:p>
  </w:footnote>
  <w:footnote w:id="115">
    <w:p w14:paraId="307B691D" w14:textId="7780966D" w:rsidR="00082E6E" w:rsidRPr="009014DD" w:rsidRDefault="00082E6E" w:rsidP="00504187">
      <w:pPr>
        <w:pStyle w:val="FootnoteText"/>
        <w:rPr>
          <w:rFonts w:ascii="Garamond" w:hAnsi="Garamond"/>
          <w:lang w:val="en-US"/>
        </w:rPr>
      </w:pPr>
      <w:r w:rsidRPr="00563F49">
        <w:rPr>
          <w:rStyle w:val="FootnoteReference"/>
          <w:rFonts w:ascii="Garamond" w:hAnsi="Garamond"/>
        </w:rPr>
        <w:footnoteRef/>
      </w:r>
      <w:r w:rsidRPr="00563F49">
        <w:rPr>
          <w:rFonts w:ascii="Garamond" w:hAnsi="Garamond"/>
        </w:rPr>
        <w:t xml:space="preserve"> </w:t>
      </w:r>
      <w:r w:rsidRPr="0043460E">
        <w:rPr>
          <w:rFonts w:ascii="Garamond" w:hAnsi="Garamond" w:cs="TimesTen-Roman"/>
        </w:rPr>
        <w:t xml:space="preserve">Gill ‘Globalisation’ (n </w:t>
      </w:r>
      <w:r w:rsidRPr="0067033B">
        <w:rPr>
          <w:rFonts w:ascii="Garamond" w:hAnsi="Garamond" w:cs="TimesTen-Roman"/>
        </w:rPr>
        <w:t>29</w:t>
      </w:r>
      <w:r w:rsidRPr="00AA051A">
        <w:rPr>
          <w:rFonts w:ascii="Garamond" w:hAnsi="Garamond" w:cs="TimesTen-Roman"/>
        </w:rPr>
        <w:t>); Gill and Cutler (n 3</w:t>
      </w:r>
      <w:r>
        <w:rPr>
          <w:rFonts w:ascii="Garamond" w:hAnsi="Garamond" w:cs="TimesTen-Roman"/>
        </w:rPr>
        <w:t>0</w:t>
      </w:r>
      <w:r w:rsidRPr="00AA051A">
        <w:rPr>
          <w:rFonts w:ascii="Garamond" w:hAnsi="Garamond" w:cs="TimesTen-Roman"/>
        </w:rPr>
        <w:t>).</w:t>
      </w:r>
    </w:p>
  </w:footnote>
  <w:footnote w:id="116">
    <w:p w14:paraId="097C4B17" w14:textId="5704D897" w:rsidR="00082E6E" w:rsidRPr="00A7059F" w:rsidRDefault="00082E6E" w:rsidP="007830FC">
      <w:pPr>
        <w:spacing w:after="0" w:line="240" w:lineRule="auto"/>
        <w:rPr>
          <w:rFonts w:ascii="Garamond" w:eastAsia="Times New Roman" w:hAnsi="Garamond" w:cs="Times New Roman"/>
          <w:b/>
          <w:sz w:val="20"/>
          <w:szCs w:val="20"/>
        </w:rPr>
      </w:pPr>
      <w:r w:rsidRPr="00BB3CF7">
        <w:rPr>
          <w:rStyle w:val="FootnoteReference"/>
          <w:rFonts w:ascii="Garamond" w:hAnsi="Garamond"/>
          <w:color w:val="000000" w:themeColor="text1"/>
          <w:sz w:val="20"/>
          <w:szCs w:val="20"/>
        </w:rPr>
        <w:footnoteRef/>
      </w:r>
      <w:r w:rsidRPr="00BB3CF7">
        <w:rPr>
          <w:rFonts w:ascii="Garamond" w:hAnsi="Garamond"/>
          <w:color w:val="000000" w:themeColor="text1"/>
          <w:sz w:val="20"/>
          <w:szCs w:val="20"/>
        </w:rPr>
        <w:t xml:space="preserve"> </w:t>
      </w:r>
      <w:r w:rsidRPr="00E37406">
        <w:rPr>
          <w:rFonts w:ascii="Garamond" w:hAnsi="Garamond"/>
          <w:sz w:val="20"/>
          <w:szCs w:val="20"/>
        </w:rPr>
        <w:t xml:space="preserve">C Harding, U Kohl and N Salmon, </w:t>
      </w:r>
      <w:r w:rsidRPr="00E37406">
        <w:rPr>
          <w:rFonts w:ascii="Garamond" w:hAnsi="Garamond"/>
          <w:i/>
          <w:sz w:val="20"/>
          <w:szCs w:val="20"/>
        </w:rPr>
        <w:t xml:space="preserve">Human Rights in the Market Place: The Exploitation of Rights Protection by Economic Actors </w:t>
      </w:r>
      <w:r w:rsidRPr="00E37406">
        <w:rPr>
          <w:rFonts w:ascii="Garamond" w:hAnsi="Garamond"/>
          <w:sz w:val="20"/>
          <w:szCs w:val="20"/>
        </w:rPr>
        <w:t xml:space="preserve">(Aldershot: Ashgate, 2008); A </w:t>
      </w:r>
      <w:r w:rsidRPr="00E37406">
        <w:rPr>
          <w:rFonts w:ascii="Garamond" w:hAnsi="Garamond"/>
          <w:sz w:val="20"/>
          <w:szCs w:val="20"/>
          <w:lang w:val="en-US"/>
        </w:rPr>
        <w:t xml:space="preserve">Grear, </w:t>
      </w:r>
      <w:r w:rsidRPr="00E37406">
        <w:rPr>
          <w:rFonts w:ascii="Garamond" w:hAnsi="Garamond"/>
          <w:i/>
          <w:sz w:val="20"/>
          <w:szCs w:val="20"/>
          <w:lang w:val="en-US"/>
        </w:rPr>
        <w:t>Redirecting Human Rights: Facing the Challenge of Corporate Legal Humanity</w:t>
      </w:r>
      <w:r w:rsidRPr="00E37406">
        <w:rPr>
          <w:rFonts w:ascii="Garamond" w:hAnsi="Garamond"/>
          <w:sz w:val="20"/>
          <w:szCs w:val="20"/>
          <w:lang w:val="en-US"/>
        </w:rPr>
        <w:t xml:space="preserve"> (Basingstoke: Palgrave MacMillan, 2010)</w:t>
      </w:r>
      <w:r>
        <w:rPr>
          <w:rFonts w:ascii="Garamond" w:hAnsi="Garamond"/>
          <w:sz w:val="20"/>
          <w:szCs w:val="20"/>
          <w:lang w:val="en-US"/>
        </w:rPr>
        <w:t xml:space="preserve">. </w:t>
      </w:r>
      <w:r>
        <w:rPr>
          <w:rFonts w:ascii="Garamond" w:hAnsi="Garamond"/>
          <w:color w:val="000000" w:themeColor="text1"/>
          <w:sz w:val="20"/>
          <w:szCs w:val="20"/>
        </w:rPr>
        <w:t>See also</w:t>
      </w:r>
      <w:r w:rsidRPr="00BB3CF7">
        <w:rPr>
          <w:rFonts w:ascii="Garamond" w:hAnsi="Garamond"/>
          <w:color w:val="000000" w:themeColor="text1"/>
          <w:sz w:val="20"/>
          <w:szCs w:val="20"/>
        </w:rPr>
        <w:t xml:space="preserve">, </w:t>
      </w:r>
      <w:r w:rsidRPr="00BB3CF7">
        <w:rPr>
          <w:rFonts w:ascii="Garamond" w:eastAsia="Times New Roman" w:hAnsi="Garamond" w:cs="Times New Roman"/>
          <w:color w:val="000000" w:themeColor="text1"/>
          <w:spacing w:val="-8"/>
          <w:sz w:val="20"/>
          <w:szCs w:val="20"/>
          <w:shd w:val="clear" w:color="auto" w:fill="FFFFFF"/>
        </w:rPr>
        <w:t xml:space="preserve">MT Kamminga and S Zia-Zarifi (eds.), </w:t>
      </w:r>
      <w:r w:rsidRPr="00BB3CF7">
        <w:rPr>
          <w:rFonts w:ascii="Garamond" w:eastAsia="Times New Roman" w:hAnsi="Garamond" w:cs="Times New Roman"/>
          <w:i/>
          <w:color w:val="000000" w:themeColor="text1"/>
          <w:spacing w:val="-8"/>
          <w:sz w:val="20"/>
          <w:szCs w:val="20"/>
          <w:shd w:val="clear" w:color="auto" w:fill="FFFFFF"/>
        </w:rPr>
        <w:t xml:space="preserve">Liability of Multinational Corporations Under International Law </w:t>
      </w:r>
      <w:r w:rsidRPr="00BB3CF7">
        <w:rPr>
          <w:rFonts w:ascii="Garamond" w:eastAsia="Times New Roman" w:hAnsi="Garamond" w:cs="Times New Roman"/>
          <w:color w:val="000000" w:themeColor="text1"/>
          <w:spacing w:val="-8"/>
          <w:sz w:val="20"/>
          <w:szCs w:val="20"/>
          <w:shd w:val="clear" w:color="auto" w:fill="FFFFFF"/>
        </w:rPr>
        <w:t xml:space="preserve">(The Hague: Kluwer Law International, 2000); </w:t>
      </w:r>
      <w:r>
        <w:rPr>
          <w:rFonts w:ascii="Garamond" w:eastAsia="Times New Roman" w:hAnsi="Garamond" w:cs="Times New Roman"/>
          <w:color w:val="000000" w:themeColor="text1"/>
          <w:spacing w:val="-8"/>
          <w:sz w:val="20"/>
          <w:szCs w:val="20"/>
          <w:shd w:val="clear" w:color="auto" w:fill="FFFFFF"/>
        </w:rPr>
        <w:t xml:space="preserve"> </w:t>
      </w:r>
      <w:r w:rsidRPr="00BB3CF7">
        <w:rPr>
          <w:rFonts w:ascii="Garamond" w:eastAsia="Times New Roman" w:hAnsi="Garamond" w:cs="Times New Roman"/>
          <w:color w:val="000000" w:themeColor="text1"/>
          <w:spacing w:val="-8"/>
          <w:sz w:val="20"/>
          <w:szCs w:val="20"/>
          <w:shd w:val="clear" w:color="auto" w:fill="FFFFFF"/>
        </w:rPr>
        <w:t xml:space="preserve">SR Ratner, ‘Corporations and Human Rights: A Theory of Legal Responsibility’ (2001) 111 </w:t>
      </w:r>
      <w:r w:rsidRPr="00A7059F">
        <w:rPr>
          <w:rFonts w:ascii="Garamond" w:eastAsia="Times New Roman" w:hAnsi="Garamond" w:cs="Times New Roman"/>
          <w:i/>
          <w:color w:val="000000" w:themeColor="text1"/>
          <w:spacing w:val="-8"/>
          <w:sz w:val="20"/>
          <w:szCs w:val="20"/>
          <w:shd w:val="clear" w:color="auto" w:fill="FFFFFF"/>
        </w:rPr>
        <w:t>Yale Law Journal</w:t>
      </w:r>
      <w:r w:rsidRPr="00A7059F">
        <w:rPr>
          <w:rFonts w:ascii="Garamond" w:eastAsia="Times New Roman" w:hAnsi="Garamond" w:cs="Times New Roman"/>
          <w:color w:val="000000" w:themeColor="text1"/>
          <w:spacing w:val="-8"/>
          <w:sz w:val="20"/>
          <w:szCs w:val="20"/>
          <w:shd w:val="clear" w:color="auto" w:fill="FFFFFF"/>
        </w:rPr>
        <w:t xml:space="preserve"> 443-545; P Blumberg, ‘Accountability of Multinational Corporations: The Barriers Presented by Concepts of the Corporate Juridical Entity’ (2001) 24 </w:t>
      </w:r>
      <w:r w:rsidRPr="00A7059F">
        <w:rPr>
          <w:rFonts w:ascii="Garamond" w:eastAsia="Times New Roman" w:hAnsi="Garamond" w:cs="Times New Roman"/>
          <w:i/>
          <w:color w:val="000000" w:themeColor="text1"/>
          <w:spacing w:val="-8"/>
          <w:sz w:val="20"/>
          <w:szCs w:val="20"/>
          <w:shd w:val="clear" w:color="auto" w:fill="FFFFFF"/>
        </w:rPr>
        <w:t xml:space="preserve">Hastings International and Comparative Law Review </w:t>
      </w:r>
      <w:r w:rsidRPr="00A7059F">
        <w:rPr>
          <w:rFonts w:ascii="Garamond" w:eastAsia="Times New Roman" w:hAnsi="Garamond" w:cs="Times New Roman"/>
          <w:color w:val="000000" w:themeColor="text1"/>
          <w:spacing w:val="-8"/>
          <w:sz w:val="20"/>
          <w:szCs w:val="20"/>
          <w:shd w:val="clear" w:color="auto" w:fill="FFFFFF"/>
        </w:rPr>
        <w:t xml:space="preserve">297-320; CB Onwuekwe, ‘Reconciling the Scramble for Foreign Direct Investments and Environmental Prudence: A Developing Country’s Nightmare’ (2006) 7(1) </w:t>
      </w:r>
      <w:r w:rsidRPr="00A7059F">
        <w:rPr>
          <w:rFonts w:ascii="Garamond" w:eastAsia="Times New Roman" w:hAnsi="Garamond" w:cs="Times New Roman"/>
          <w:i/>
          <w:color w:val="000000" w:themeColor="text1"/>
          <w:spacing w:val="-8"/>
          <w:sz w:val="20"/>
          <w:szCs w:val="20"/>
          <w:shd w:val="clear" w:color="auto" w:fill="FFFFFF"/>
        </w:rPr>
        <w:t>Journal of World Investment and Trade</w:t>
      </w:r>
      <w:r w:rsidRPr="00A7059F">
        <w:rPr>
          <w:rFonts w:ascii="Garamond" w:eastAsia="Times New Roman" w:hAnsi="Garamond" w:cs="Times New Roman"/>
          <w:color w:val="000000" w:themeColor="text1"/>
          <w:spacing w:val="-8"/>
          <w:sz w:val="20"/>
          <w:szCs w:val="20"/>
          <w:shd w:val="clear" w:color="auto" w:fill="FFFFFF"/>
        </w:rPr>
        <w:t xml:space="preserve"> 115-141</w:t>
      </w:r>
      <w:r w:rsidRPr="00A7059F">
        <w:rPr>
          <w:rFonts w:ascii="Garamond" w:eastAsia="Calibri" w:hAnsi="Garamond" w:cs="Times New Roman"/>
          <w:bCs/>
          <w:sz w:val="20"/>
          <w:szCs w:val="20"/>
        </w:rPr>
        <w:t>.</w:t>
      </w:r>
    </w:p>
  </w:footnote>
  <w:footnote w:id="117">
    <w:p w14:paraId="7A147354" w14:textId="23D1E7D0" w:rsidR="00082E6E" w:rsidRPr="00A7059F" w:rsidRDefault="00082E6E">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w:t>
      </w:r>
      <w:r w:rsidRPr="00A7059F">
        <w:rPr>
          <w:rFonts w:ascii="Garamond" w:hAnsi="Garamond"/>
          <w:lang w:val="en-US"/>
        </w:rPr>
        <w:t xml:space="preserve">Otto (n 101). </w:t>
      </w:r>
    </w:p>
  </w:footnote>
  <w:footnote w:id="118">
    <w:p w14:paraId="06A409CA" w14:textId="46B6EEAE" w:rsidR="00082E6E" w:rsidRPr="009014DD" w:rsidRDefault="00082E6E">
      <w:pPr>
        <w:pStyle w:val="FootnoteText"/>
        <w:rPr>
          <w:rFonts w:ascii="Garamond" w:hAnsi="Garamond"/>
          <w:lang w:val="en-US"/>
        </w:rPr>
      </w:pPr>
      <w:r w:rsidRPr="00563F49">
        <w:rPr>
          <w:rStyle w:val="FootnoteReference"/>
          <w:rFonts w:ascii="Garamond" w:hAnsi="Garamond"/>
        </w:rPr>
        <w:footnoteRef/>
      </w:r>
      <w:r w:rsidRPr="00563F49">
        <w:rPr>
          <w:rFonts w:ascii="Garamond" w:hAnsi="Garamond"/>
        </w:rPr>
        <w:t xml:space="preserve"> </w:t>
      </w:r>
      <w:r w:rsidRPr="0043460E">
        <w:rPr>
          <w:rFonts w:ascii="Garamond" w:hAnsi="Garamond"/>
          <w:lang w:val="en-US"/>
        </w:rPr>
        <w:t xml:space="preserve">Ishay </w:t>
      </w:r>
      <w:r w:rsidRPr="0043460E">
        <w:rPr>
          <w:rFonts w:ascii="Garamond" w:hAnsi="Garamond"/>
        </w:rPr>
        <w:t>(n 100</w:t>
      </w:r>
      <w:r w:rsidRPr="0067033B">
        <w:rPr>
          <w:rFonts w:ascii="Garamond" w:hAnsi="Garamond"/>
        </w:rPr>
        <w:t>)</w:t>
      </w:r>
      <w:r w:rsidRPr="00AA051A">
        <w:rPr>
          <w:rFonts w:ascii="Garamond" w:hAnsi="Garamond"/>
          <w:lang w:val="en-US"/>
        </w:rPr>
        <w:t xml:space="preserve">; Stammers </w:t>
      </w:r>
      <w:r w:rsidRPr="00AA051A">
        <w:rPr>
          <w:rFonts w:ascii="Garamond" w:hAnsi="Garamond"/>
        </w:rPr>
        <w:t>(n 102)</w:t>
      </w:r>
      <w:r w:rsidRPr="00AA051A">
        <w:rPr>
          <w:rFonts w:ascii="Garamond" w:hAnsi="Garamond"/>
          <w:lang w:val="en-US"/>
        </w:rPr>
        <w:t>; Hunt</w:t>
      </w:r>
      <w:r w:rsidRPr="009014DD">
        <w:rPr>
          <w:rFonts w:ascii="Garamond" w:hAnsi="Garamond"/>
          <w:lang w:val="en-US"/>
        </w:rPr>
        <w:t xml:space="preserve"> (n 115).</w:t>
      </w:r>
    </w:p>
  </w:footnote>
  <w:footnote w:id="119">
    <w:p w14:paraId="007B312F" w14:textId="2F31BDAA" w:rsidR="00082E6E" w:rsidRPr="00BB3CF7" w:rsidRDefault="00082E6E" w:rsidP="007830FC">
      <w:pPr>
        <w:spacing w:after="0" w:line="240" w:lineRule="auto"/>
        <w:rPr>
          <w:rFonts w:ascii="Garamond" w:hAnsi="Garamond"/>
          <w:sz w:val="20"/>
          <w:szCs w:val="20"/>
        </w:rPr>
      </w:pPr>
      <w:r w:rsidRPr="00BB3CF7">
        <w:rPr>
          <w:rStyle w:val="FootnoteReference"/>
          <w:rFonts w:ascii="Garamond" w:hAnsi="Garamond"/>
          <w:sz w:val="20"/>
          <w:szCs w:val="20"/>
        </w:rPr>
        <w:footnoteRef/>
      </w:r>
      <w:r w:rsidRPr="00BB3CF7">
        <w:rPr>
          <w:rFonts w:ascii="Garamond" w:hAnsi="Garamond"/>
          <w:sz w:val="20"/>
          <w:szCs w:val="20"/>
        </w:rPr>
        <w:t xml:space="preserve"> Harding, </w:t>
      </w:r>
      <w:r>
        <w:rPr>
          <w:rFonts w:ascii="Garamond" w:hAnsi="Garamond"/>
          <w:sz w:val="20"/>
          <w:szCs w:val="20"/>
        </w:rPr>
        <w:t>et al (n 115)</w:t>
      </w:r>
      <w:r w:rsidRPr="00BB3CF7">
        <w:rPr>
          <w:rFonts w:ascii="Garamond" w:hAnsi="Garamond"/>
          <w:sz w:val="20"/>
          <w:szCs w:val="20"/>
        </w:rPr>
        <w:t xml:space="preserve">; A </w:t>
      </w:r>
      <w:r w:rsidRPr="00BB3CF7">
        <w:rPr>
          <w:rFonts w:ascii="Garamond" w:hAnsi="Garamond"/>
          <w:sz w:val="20"/>
          <w:szCs w:val="20"/>
          <w:lang w:val="en-US"/>
        </w:rPr>
        <w:t>Grear</w:t>
      </w:r>
      <w:r>
        <w:rPr>
          <w:rFonts w:ascii="Garamond" w:hAnsi="Garamond"/>
          <w:sz w:val="20"/>
          <w:szCs w:val="20"/>
          <w:lang w:val="en-US"/>
        </w:rPr>
        <w:t xml:space="preserve"> (n 115)</w:t>
      </w:r>
      <w:r w:rsidRPr="00BB3CF7">
        <w:rPr>
          <w:rFonts w:ascii="Garamond" w:hAnsi="Garamond"/>
          <w:sz w:val="20"/>
          <w:szCs w:val="20"/>
          <w:lang w:val="en-US"/>
        </w:rPr>
        <w:t>.</w:t>
      </w:r>
    </w:p>
  </w:footnote>
  <w:footnote w:id="120">
    <w:p w14:paraId="111A8F3A" w14:textId="6932694D" w:rsidR="00082E6E" w:rsidRPr="00411AE0" w:rsidRDefault="00082E6E" w:rsidP="009D4538">
      <w:pPr>
        <w:autoSpaceDE w:val="0"/>
        <w:autoSpaceDN w:val="0"/>
        <w:adjustRightInd w:val="0"/>
        <w:spacing w:after="0" w:line="240" w:lineRule="auto"/>
        <w:rPr>
          <w:rFonts w:ascii="Garamond" w:hAnsi="Garamond"/>
          <w:sz w:val="20"/>
          <w:szCs w:val="20"/>
          <w:lang w:val="en-US"/>
        </w:rPr>
      </w:pPr>
      <w:r w:rsidRPr="002900DC">
        <w:rPr>
          <w:rStyle w:val="FootnoteReference"/>
          <w:rFonts w:ascii="Garamond" w:hAnsi="Garamond"/>
          <w:sz w:val="20"/>
          <w:szCs w:val="20"/>
        </w:rPr>
        <w:footnoteRef/>
      </w:r>
      <w:r w:rsidRPr="002900DC">
        <w:rPr>
          <w:rFonts w:ascii="Garamond" w:hAnsi="Garamond"/>
          <w:sz w:val="20"/>
          <w:szCs w:val="20"/>
        </w:rPr>
        <w:t xml:space="preserve"> On the accumulation</w:t>
      </w:r>
      <w:r w:rsidRPr="00411AE0">
        <w:rPr>
          <w:rFonts w:ascii="Garamond" w:hAnsi="Garamond"/>
          <w:sz w:val="20"/>
          <w:szCs w:val="20"/>
        </w:rPr>
        <w:t xml:space="preserve"> of rights, see Grear</w:t>
      </w:r>
      <w:r>
        <w:rPr>
          <w:rFonts w:ascii="Garamond" w:hAnsi="Garamond"/>
          <w:sz w:val="20"/>
          <w:szCs w:val="20"/>
        </w:rPr>
        <w:t xml:space="preserve"> (n 115)</w:t>
      </w:r>
      <w:r w:rsidRPr="00411AE0">
        <w:rPr>
          <w:rFonts w:ascii="Garamond" w:hAnsi="Garamond"/>
          <w:sz w:val="20"/>
          <w:szCs w:val="20"/>
        </w:rPr>
        <w:t>; Harding et al</w:t>
      </w:r>
      <w:r>
        <w:rPr>
          <w:rFonts w:ascii="Garamond" w:hAnsi="Garamond"/>
          <w:sz w:val="20"/>
          <w:szCs w:val="20"/>
        </w:rPr>
        <w:t xml:space="preserve"> (n 120)</w:t>
      </w:r>
      <w:r w:rsidRPr="00411AE0">
        <w:rPr>
          <w:rFonts w:ascii="Garamond" w:hAnsi="Garamond"/>
          <w:sz w:val="20"/>
          <w:szCs w:val="20"/>
        </w:rPr>
        <w:t xml:space="preserve">; GA Marks, ‘The Personification of the Business Corporation in American Law’ (1987) 54 </w:t>
      </w:r>
      <w:r w:rsidRPr="00411AE0">
        <w:rPr>
          <w:rFonts w:ascii="Garamond" w:hAnsi="Garamond"/>
          <w:i/>
          <w:sz w:val="20"/>
          <w:szCs w:val="20"/>
        </w:rPr>
        <w:t>The University of Chicago Law Review</w:t>
      </w:r>
      <w:r w:rsidRPr="00411AE0">
        <w:rPr>
          <w:rFonts w:ascii="Garamond" w:hAnsi="Garamond"/>
          <w:sz w:val="20"/>
          <w:szCs w:val="20"/>
        </w:rPr>
        <w:t xml:space="preserve"> 1441-1483; CJ Mayer, ‘Personalising the Impersonal: Corporations and the Bill of Rights’ (1990) 41 </w:t>
      </w:r>
      <w:r w:rsidRPr="00411AE0">
        <w:rPr>
          <w:rFonts w:ascii="Garamond" w:hAnsi="Garamond"/>
          <w:i/>
          <w:sz w:val="20"/>
          <w:szCs w:val="20"/>
        </w:rPr>
        <w:t>Hastings Law Journal</w:t>
      </w:r>
      <w:r w:rsidRPr="00411AE0">
        <w:rPr>
          <w:rFonts w:ascii="Garamond" w:hAnsi="Garamond"/>
          <w:sz w:val="20"/>
          <w:szCs w:val="20"/>
        </w:rPr>
        <w:t xml:space="preserve"> 577-663; M Emberland, </w:t>
      </w:r>
      <w:r w:rsidRPr="009D4538">
        <w:rPr>
          <w:rFonts w:ascii="Garamond" w:hAnsi="Garamond"/>
          <w:i/>
          <w:sz w:val="20"/>
          <w:szCs w:val="20"/>
        </w:rPr>
        <w:t>T</w:t>
      </w:r>
      <w:r w:rsidRPr="00A17E88">
        <w:rPr>
          <w:rFonts w:ascii="Garamond" w:hAnsi="Garamond"/>
          <w:i/>
          <w:sz w:val="20"/>
          <w:szCs w:val="20"/>
        </w:rPr>
        <w:t>h</w:t>
      </w:r>
      <w:r w:rsidRPr="00411AE0">
        <w:rPr>
          <w:rFonts w:ascii="Garamond" w:hAnsi="Garamond"/>
          <w:i/>
          <w:sz w:val="20"/>
          <w:szCs w:val="20"/>
        </w:rPr>
        <w:t xml:space="preserve">e Human Rights of Companies: Exploring the Structure of ECHR Protection </w:t>
      </w:r>
      <w:r w:rsidRPr="00411AE0">
        <w:rPr>
          <w:rFonts w:ascii="Garamond" w:hAnsi="Garamond"/>
          <w:sz w:val="20"/>
          <w:szCs w:val="20"/>
        </w:rPr>
        <w:t>(Oxford: Oxford University Press, 2006).  On the corporate form as the image of the masculinist, property-centred subject, see Federman</w:t>
      </w:r>
      <w:r>
        <w:rPr>
          <w:rFonts w:ascii="Garamond" w:hAnsi="Garamond"/>
          <w:sz w:val="20"/>
          <w:szCs w:val="20"/>
        </w:rPr>
        <w:t xml:space="preserve"> (n 64)</w:t>
      </w:r>
      <w:r w:rsidRPr="00411AE0">
        <w:rPr>
          <w:rFonts w:ascii="Garamond" w:hAnsi="Garamond"/>
          <w:sz w:val="20"/>
          <w:szCs w:val="20"/>
        </w:rPr>
        <w:t xml:space="preserve">; </w:t>
      </w:r>
      <w:r w:rsidRPr="00411AE0">
        <w:rPr>
          <w:rFonts w:ascii="Garamond" w:hAnsi="Garamond" w:cs="Times New Roman"/>
          <w:sz w:val="20"/>
          <w:szCs w:val="20"/>
        </w:rPr>
        <w:t xml:space="preserve">K Lahey and SW Salter, ‘Corporate Law in Legal Theory and Legal Scholarship: From Classicism to Feminism’ (1985) 23/4 </w:t>
      </w:r>
      <w:r w:rsidRPr="00411AE0">
        <w:rPr>
          <w:rFonts w:ascii="Garamond" w:hAnsi="Garamond" w:cs="Times New Roman"/>
          <w:i/>
          <w:sz w:val="20"/>
          <w:szCs w:val="20"/>
        </w:rPr>
        <w:t xml:space="preserve">Osgood Hall Law Journal </w:t>
      </w:r>
      <w:r w:rsidRPr="00411AE0">
        <w:rPr>
          <w:rFonts w:ascii="Garamond" w:hAnsi="Garamond" w:cs="Times New Roman"/>
          <w:sz w:val="20"/>
          <w:szCs w:val="20"/>
        </w:rPr>
        <w:t>543-572</w:t>
      </w:r>
      <w:r w:rsidRPr="00411AE0">
        <w:rPr>
          <w:rFonts w:ascii="Garamond" w:hAnsi="Garamond"/>
          <w:sz w:val="20"/>
          <w:szCs w:val="20"/>
        </w:rPr>
        <w:t>: ‘</w:t>
      </w:r>
      <w:r w:rsidRPr="00411AE0">
        <w:rPr>
          <w:rFonts w:ascii="Garamond" w:hAnsi="Garamond" w:cs="Times New Roman"/>
          <w:sz w:val="20"/>
          <w:szCs w:val="20"/>
        </w:rPr>
        <w:t>the business corporation is a perfection of the masculi</w:t>
      </w:r>
      <w:r>
        <w:rPr>
          <w:rFonts w:ascii="Garamond" w:hAnsi="Garamond" w:cs="Times New Roman"/>
          <w:sz w:val="20"/>
          <w:szCs w:val="20"/>
        </w:rPr>
        <w:t>ni</w:t>
      </w:r>
      <w:r w:rsidRPr="00411AE0">
        <w:rPr>
          <w:rFonts w:ascii="Garamond" w:hAnsi="Garamond" w:cs="Times New Roman"/>
          <w:sz w:val="20"/>
          <w:szCs w:val="20"/>
        </w:rPr>
        <w:t>st vision of self—existence as property, separation of accountability and enjoyment, abstract rules as justice, domination as ownership’ (at 555). The ‘corporate legal form . . . perfects and depoliticizes domination . . .’ (ibid).</w:t>
      </w:r>
      <w:r>
        <w:rPr>
          <w:rFonts w:ascii="Garamond" w:hAnsi="Garamond" w:cs="Times New Roman"/>
          <w:sz w:val="20"/>
          <w:szCs w:val="20"/>
        </w:rPr>
        <w:t xml:space="preserve"> </w:t>
      </w:r>
    </w:p>
  </w:footnote>
  <w:footnote w:id="121">
    <w:p w14:paraId="3B932CCF" w14:textId="4F28A43D" w:rsidR="00082E6E" w:rsidRPr="00815651" w:rsidRDefault="00082E6E" w:rsidP="00965787">
      <w:pPr>
        <w:widowControl w:val="0"/>
        <w:autoSpaceDE w:val="0"/>
        <w:autoSpaceDN w:val="0"/>
        <w:adjustRightInd w:val="0"/>
        <w:spacing w:after="0" w:line="240" w:lineRule="auto"/>
        <w:rPr>
          <w:rFonts w:ascii="Garamond" w:hAnsi="Garamond"/>
          <w:sz w:val="20"/>
          <w:szCs w:val="20"/>
          <w:lang w:val="en-US"/>
        </w:rPr>
      </w:pPr>
      <w:r w:rsidRPr="007A588A">
        <w:rPr>
          <w:rStyle w:val="FootnoteReference"/>
          <w:rFonts w:ascii="Garamond" w:hAnsi="Garamond"/>
          <w:sz w:val="20"/>
          <w:szCs w:val="20"/>
        </w:rPr>
        <w:footnoteRef/>
      </w:r>
      <w:r w:rsidRPr="007A588A">
        <w:rPr>
          <w:rFonts w:ascii="Garamond" w:hAnsi="Garamond"/>
          <w:sz w:val="20"/>
          <w:szCs w:val="20"/>
        </w:rPr>
        <w:t xml:space="preserve"> </w:t>
      </w:r>
      <w:r w:rsidRPr="0033239F">
        <w:rPr>
          <w:rFonts w:ascii="Garamond" w:hAnsi="Garamond" w:cs="Times New Roman"/>
          <w:sz w:val="20"/>
          <w:szCs w:val="20"/>
          <w:lang w:val="en-US"/>
        </w:rPr>
        <w:t xml:space="preserve">J Berg, ‘Of Elephants and Embryos: A Proposed Framework for Legal Personhood’ (2007) 59 </w:t>
      </w:r>
      <w:r w:rsidRPr="007D1DB5">
        <w:rPr>
          <w:rFonts w:ascii="Garamond" w:hAnsi="Garamond" w:cs="Times New Roman"/>
          <w:i/>
          <w:sz w:val="20"/>
          <w:szCs w:val="20"/>
          <w:lang w:val="en-US"/>
        </w:rPr>
        <w:t xml:space="preserve">Hastings Law Journal </w:t>
      </w:r>
      <w:r w:rsidRPr="0084710F">
        <w:rPr>
          <w:rFonts w:ascii="Garamond" w:hAnsi="Garamond" w:cs="Times New Roman"/>
          <w:sz w:val="20"/>
          <w:szCs w:val="20"/>
          <w:lang w:val="en-US"/>
        </w:rPr>
        <w:t xml:space="preserve">369-406. Berg notes </w:t>
      </w:r>
      <w:r w:rsidRPr="000006C1">
        <w:rPr>
          <w:rFonts w:ascii="Garamond" w:hAnsi="Garamond" w:cs="Times New Roman"/>
          <w:color w:val="000000" w:themeColor="text1"/>
          <w:sz w:val="20"/>
          <w:szCs w:val="20"/>
          <w:lang w:val="en-US"/>
        </w:rPr>
        <w:t xml:space="preserve">that </w:t>
      </w:r>
      <w:r w:rsidRPr="00772475">
        <w:rPr>
          <w:rFonts w:ascii="Garamond" w:eastAsia="Times New Roman" w:hAnsi="Garamond" w:cs="Times New Roman"/>
          <w:color w:val="000000" w:themeColor="text1"/>
          <w:sz w:val="20"/>
          <w:szCs w:val="20"/>
          <w:lang w:eastAsia="en-GB"/>
        </w:rPr>
        <w:t>‘</w:t>
      </w:r>
      <w:r w:rsidRPr="00772475">
        <w:rPr>
          <w:rFonts w:ascii="Garamond" w:hAnsi="Garamond" w:cs="Times New Roman"/>
          <w:color w:val="000000" w:themeColor="text1"/>
          <w:sz w:val="20"/>
          <w:szCs w:val="20"/>
          <w:lang w:val="en-US"/>
        </w:rPr>
        <w:t>[a</w:t>
      </w:r>
      <w:r w:rsidRPr="00772475">
        <w:rPr>
          <w:rFonts w:ascii="Garamond" w:hAnsi="Garamond" w:cs="Times New Roman"/>
          <w:sz w:val="20"/>
          <w:szCs w:val="20"/>
          <w:lang w:val="en-US"/>
        </w:rPr>
        <w:t>]lthough many philosophers have struggled with the concept of moral personhood, legal personhood has largely been ignored outside of the corporate context’ (</w:t>
      </w:r>
      <w:r w:rsidRPr="0017677B">
        <w:rPr>
          <w:rFonts w:ascii="Garamond" w:hAnsi="Garamond"/>
          <w:sz w:val="20"/>
          <w:szCs w:val="20"/>
          <w:lang w:val="en-US"/>
        </w:rPr>
        <w:t xml:space="preserve">at </w:t>
      </w:r>
      <w:r w:rsidRPr="00D541FE">
        <w:rPr>
          <w:rFonts w:ascii="Garamond" w:hAnsi="Garamond" w:cs="Times New Roman"/>
          <w:sz w:val="20"/>
          <w:szCs w:val="20"/>
          <w:lang w:val="en-US"/>
        </w:rPr>
        <w:t>370).</w:t>
      </w:r>
    </w:p>
  </w:footnote>
  <w:footnote w:id="122">
    <w:p w14:paraId="0A8EE29A" w14:textId="1BC93C0E" w:rsidR="00082E6E" w:rsidRPr="00F605DD" w:rsidRDefault="00082E6E">
      <w:pPr>
        <w:pStyle w:val="FootnoteText"/>
        <w:rPr>
          <w:rFonts w:ascii="Garamond" w:hAnsi="Garamond"/>
          <w:lang w:val="en-US"/>
        </w:rPr>
      </w:pPr>
      <w:r w:rsidRPr="00F605DD">
        <w:rPr>
          <w:rStyle w:val="FootnoteReference"/>
          <w:rFonts w:ascii="Garamond" w:hAnsi="Garamond"/>
        </w:rPr>
        <w:footnoteRef/>
      </w:r>
      <w:r w:rsidRPr="00F605DD">
        <w:rPr>
          <w:rFonts w:ascii="Garamond" w:hAnsi="Garamond"/>
        </w:rPr>
        <w:t xml:space="preserve"> </w:t>
      </w:r>
      <w:r w:rsidRPr="007A588A">
        <w:rPr>
          <w:rFonts w:ascii="Garamond" w:hAnsi="Garamond"/>
        </w:rPr>
        <w:t xml:space="preserve">A </w:t>
      </w:r>
      <w:r w:rsidRPr="0033239F">
        <w:rPr>
          <w:rFonts w:ascii="Garamond" w:hAnsi="Garamond"/>
          <w:lang w:val="en-US"/>
        </w:rPr>
        <w:t xml:space="preserve">Grear, </w:t>
      </w:r>
      <w:r w:rsidRPr="007D1DB5">
        <w:rPr>
          <w:rFonts w:ascii="Garamond" w:eastAsia="Times New Roman" w:hAnsi="Garamond" w:cs="Times New Roman"/>
          <w:bCs/>
          <w:iCs/>
        </w:rPr>
        <w:t>‘“Mind the Gap”: One Dilemma Concerning the Expansion of Legal Subjectivity in the Age of Globalisation’</w:t>
      </w:r>
      <w:r w:rsidRPr="0084710F">
        <w:rPr>
          <w:rFonts w:ascii="Garamond" w:eastAsia="Times New Roman" w:hAnsi="Garamond" w:cs="Times New Roman"/>
          <w:bCs/>
          <w:i/>
          <w:iCs/>
        </w:rPr>
        <w:t xml:space="preserve"> </w:t>
      </w:r>
      <w:r w:rsidRPr="0084710F">
        <w:rPr>
          <w:rFonts w:ascii="Garamond" w:eastAsia="Times New Roman" w:hAnsi="Garamond" w:cs="Times New Roman"/>
          <w:bCs/>
          <w:iCs/>
        </w:rPr>
        <w:t>(2011) 1/1</w:t>
      </w:r>
      <w:r w:rsidRPr="0084710F">
        <w:rPr>
          <w:rFonts w:ascii="Garamond" w:eastAsia="Times New Roman" w:hAnsi="Garamond" w:cs="Times New Roman"/>
          <w:bCs/>
          <w:i/>
          <w:iCs/>
        </w:rPr>
        <w:t xml:space="preserve"> Law, Crime and History </w:t>
      </w:r>
      <w:r w:rsidRPr="0084710F">
        <w:rPr>
          <w:rFonts w:ascii="Garamond" w:eastAsia="Times New Roman" w:hAnsi="Garamond" w:cs="Times New Roman"/>
          <w:bCs/>
          <w:iCs/>
        </w:rPr>
        <w:t>1-8.</w:t>
      </w:r>
    </w:p>
  </w:footnote>
  <w:footnote w:id="123">
    <w:p w14:paraId="487F521B" w14:textId="4DFEA4AF" w:rsidR="00082E6E" w:rsidRPr="00772475" w:rsidRDefault="00082E6E" w:rsidP="001C7FBF">
      <w:pPr>
        <w:widowControl w:val="0"/>
        <w:autoSpaceDE w:val="0"/>
        <w:autoSpaceDN w:val="0"/>
        <w:adjustRightInd w:val="0"/>
        <w:spacing w:after="0" w:line="240" w:lineRule="auto"/>
        <w:rPr>
          <w:rFonts w:ascii="Garamond" w:hAnsi="Garamond" w:cs="Times New Roman"/>
          <w:sz w:val="20"/>
          <w:szCs w:val="20"/>
          <w:lang w:val="en-US"/>
        </w:rPr>
      </w:pPr>
      <w:r w:rsidRPr="007A588A">
        <w:rPr>
          <w:rStyle w:val="FootnoteReference"/>
          <w:rFonts w:ascii="Garamond" w:hAnsi="Garamond"/>
          <w:sz w:val="20"/>
          <w:szCs w:val="20"/>
        </w:rPr>
        <w:footnoteRef/>
      </w:r>
      <w:r w:rsidRPr="007A588A">
        <w:rPr>
          <w:rFonts w:ascii="Garamond" w:hAnsi="Garamond"/>
          <w:sz w:val="20"/>
          <w:szCs w:val="20"/>
        </w:rPr>
        <w:t xml:space="preserve"> </w:t>
      </w:r>
      <w:r w:rsidRPr="0033239F">
        <w:rPr>
          <w:rFonts w:ascii="Garamond" w:hAnsi="Garamond"/>
          <w:sz w:val="20"/>
          <w:szCs w:val="20"/>
        </w:rPr>
        <w:t xml:space="preserve">N </w:t>
      </w:r>
      <w:r w:rsidRPr="007D1DB5">
        <w:rPr>
          <w:rFonts w:ascii="Garamond" w:hAnsi="Garamond"/>
          <w:sz w:val="20"/>
          <w:szCs w:val="20"/>
        </w:rPr>
        <w:t xml:space="preserve">Naffine, </w:t>
      </w:r>
      <w:r w:rsidRPr="0084710F">
        <w:rPr>
          <w:rFonts w:ascii="Garamond" w:hAnsi="Garamond"/>
          <w:sz w:val="20"/>
          <w:szCs w:val="20"/>
        </w:rPr>
        <w:t xml:space="preserve">‘Who are Law’s Persons? From Cheshire Cats to Responsible Subjects’ (2003) 66/3 </w:t>
      </w:r>
      <w:r w:rsidRPr="0084710F">
        <w:rPr>
          <w:rFonts w:ascii="Garamond" w:hAnsi="Garamond"/>
          <w:i/>
          <w:sz w:val="20"/>
          <w:szCs w:val="20"/>
        </w:rPr>
        <w:t xml:space="preserve">Modern Law Review </w:t>
      </w:r>
      <w:r w:rsidRPr="000006C1">
        <w:rPr>
          <w:rFonts w:ascii="Garamond" w:hAnsi="Garamond"/>
          <w:sz w:val="20"/>
          <w:szCs w:val="20"/>
        </w:rPr>
        <w:t xml:space="preserve">346-367 at 362. The ‘natural person’ of law is </w:t>
      </w:r>
      <w:r w:rsidRPr="00772475">
        <w:rPr>
          <w:rFonts w:ascii="Garamond" w:hAnsi="Garamond" w:cs="Times New Roman"/>
          <w:sz w:val="20"/>
          <w:szCs w:val="20"/>
          <w:lang w:val="en-US"/>
        </w:rPr>
        <w:t>without exception considered to be of human genetic origin: Berg (n 1</w:t>
      </w:r>
      <w:r>
        <w:rPr>
          <w:rFonts w:ascii="Garamond" w:hAnsi="Garamond" w:cs="Times New Roman"/>
          <w:sz w:val="20"/>
          <w:szCs w:val="20"/>
          <w:lang w:val="en-US"/>
        </w:rPr>
        <w:t>2</w:t>
      </w:r>
      <w:r w:rsidRPr="00772475">
        <w:rPr>
          <w:rFonts w:ascii="Garamond" w:hAnsi="Garamond" w:cs="Times New Roman"/>
          <w:sz w:val="20"/>
          <w:szCs w:val="20"/>
          <w:lang w:val="en-US"/>
        </w:rPr>
        <w:t>0) at 373.</w:t>
      </w:r>
    </w:p>
  </w:footnote>
  <w:footnote w:id="124">
    <w:p w14:paraId="577DC47A" w14:textId="055CF318" w:rsidR="00082E6E" w:rsidRPr="0049231C" w:rsidRDefault="00082E6E" w:rsidP="00CB0DFA">
      <w:pPr>
        <w:pStyle w:val="FootnoteText"/>
        <w:rPr>
          <w:rFonts w:ascii="Garamond" w:hAnsi="Garamond"/>
          <w:lang w:val="en-US"/>
        </w:rPr>
      </w:pPr>
      <w:r w:rsidRPr="0017677B">
        <w:rPr>
          <w:rStyle w:val="FootnoteReference"/>
          <w:rFonts w:ascii="Garamond" w:hAnsi="Garamond"/>
        </w:rPr>
        <w:footnoteRef/>
      </w:r>
      <w:r w:rsidRPr="00D541FE">
        <w:rPr>
          <w:rFonts w:ascii="Garamond" w:hAnsi="Garamond"/>
        </w:rPr>
        <w:t xml:space="preserve"> See, for exam</w:t>
      </w:r>
      <w:r w:rsidRPr="00815651">
        <w:rPr>
          <w:rFonts w:ascii="Garamond" w:hAnsi="Garamond"/>
        </w:rPr>
        <w:t xml:space="preserve">ple, Nekam (n </w:t>
      </w:r>
      <w:r>
        <w:rPr>
          <w:rFonts w:ascii="Garamond" w:hAnsi="Garamond"/>
        </w:rPr>
        <w:t>98</w:t>
      </w:r>
      <w:r w:rsidRPr="00815651">
        <w:rPr>
          <w:rFonts w:ascii="Garamond" w:hAnsi="Garamond"/>
        </w:rPr>
        <w:t xml:space="preserve">). </w:t>
      </w:r>
    </w:p>
  </w:footnote>
  <w:footnote w:id="125">
    <w:p w14:paraId="0EE76107" w14:textId="59E6A5C7" w:rsidR="00082E6E" w:rsidRPr="00411AE0" w:rsidRDefault="00082E6E" w:rsidP="004957DA">
      <w:pPr>
        <w:widowControl w:val="0"/>
        <w:autoSpaceDE w:val="0"/>
        <w:autoSpaceDN w:val="0"/>
        <w:adjustRightInd w:val="0"/>
        <w:spacing w:after="0" w:line="240" w:lineRule="auto"/>
        <w:rPr>
          <w:rFonts w:ascii="Garamond" w:hAnsi="Garamond" w:cs="Times New Roman"/>
          <w:sz w:val="20"/>
          <w:szCs w:val="20"/>
          <w:lang w:val="en-US"/>
        </w:rPr>
      </w:pPr>
      <w:r w:rsidRPr="007A588A">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 xml:space="preserve">Naffine makes this assumption—an assumption that seems connected to the argument that </w:t>
      </w:r>
      <w:r w:rsidRPr="00411AE0">
        <w:rPr>
          <w:rFonts w:ascii="Garamond" w:hAnsi="Garamond" w:cs="Times New Roman"/>
          <w:sz w:val="20"/>
          <w:szCs w:val="20"/>
          <w:lang w:val="en-US"/>
        </w:rPr>
        <w:t>‘[a]nything can be a [positivist’s] legal entity’</w:t>
      </w:r>
      <w:r>
        <w:rPr>
          <w:rFonts w:ascii="Garamond" w:hAnsi="Garamond" w:cs="Times New Roman"/>
          <w:sz w:val="20"/>
          <w:szCs w:val="20"/>
          <w:lang w:val="en-US"/>
        </w:rPr>
        <w:t xml:space="preserve"> (n 122) </w:t>
      </w:r>
      <w:r w:rsidRPr="00411AE0">
        <w:rPr>
          <w:rFonts w:ascii="Garamond" w:hAnsi="Garamond"/>
          <w:sz w:val="20"/>
          <w:szCs w:val="20"/>
          <w:lang w:eastAsia="en-GB"/>
        </w:rPr>
        <w:t>at 351.</w:t>
      </w:r>
    </w:p>
  </w:footnote>
  <w:footnote w:id="126">
    <w:p w14:paraId="5F8C7236" w14:textId="35B8E892"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 xml:space="preserve">A Grear, ‘Law’s Entities: Complexity, Plasticity and Justice’ (2013) 4/1 </w:t>
      </w:r>
      <w:r w:rsidRPr="00411AE0">
        <w:rPr>
          <w:rFonts w:ascii="Garamond" w:hAnsi="Garamond"/>
          <w:i/>
          <w:lang w:val="en-US"/>
        </w:rPr>
        <w:t xml:space="preserve">Jurisprudence </w:t>
      </w:r>
      <w:r w:rsidRPr="00411AE0">
        <w:rPr>
          <w:rFonts w:ascii="Garamond" w:hAnsi="Garamond"/>
          <w:lang w:val="en-US"/>
        </w:rPr>
        <w:t>76-101</w:t>
      </w:r>
      <w:r>
        <w:rPr>
          <w:rFonts w:ascii="Garamond" w:hAnsi="Garamond"/>
        </w:rPr>
        <w:t xml:space="preserve"> </w:t>
      </w:r>
      <w:r w:rsidRPr="00411AE0">
        <w:rPr>
          <w:rFonts w:ascii="Garamond" w:hAnsi="Garamond"/>
        </w:rPr>
        <w:t>at</w:t>
      </w:r>
      <w:r w:rsidRPr="00411AE0">
        <w:rPr>
          <w:rFonts w:ascii="Garamond" w:hAnsi="Garamond"/>
          <w:lang w:val="en-US"/>
        </w:rPr>
        <w:t xml:space="preserve"> 84.</w:t>
      </w:r>
    </w:p>
  </w:footnote>
  <w:footnote w:id="127">
    <w:p w14:paraId="2A065FCE" w14:textId="4DB2F640"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Ibid at 88.</w:t>
      </w:r>
    </w:p>
  </w:footnote>
  <w:footnote w:id="128">
    <w:p w14:paraId="0796BA66" w14:textId="007296C4"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eastAsia="Times New Roman" w:hAnsi="Garamond" w:cs="Times New Roman"/>
          <w:color w:val="000000" w:themeColor="text1"/>
          <w:lang w:eastAsia="en-GB"/>
        </w:rPr>
        <w:t xml:space="preserve">Famously, for Kelsen, the </w:t>
      </w:r>
      <w:r w:rsidRPr="00411AE0">
        <w:rPr>
          <w:rFonts w:ascii="Garamond" w:hAnsi="Garamond"/>
          <w:lang w:eastAsia="en-GB"/>
        </w:rPr>
        <w:t xml:space="preserve">‘so-called physical person ... is not a human being, but the personified unity of the legal norms that obligate or authorise one and the same human being’: </w:t>
      </w:r>
      <w:r w:rsidRPr="00411AE0">
        <w:rPr>
          <w:rFonts w:ascii="Garamond" w:hAnsi="Garamond"/>
        </w:rPr>
        <w:t xml:space="preserve">H Kelsen, </w:t>
      </w:r>
      <w:r w:rsidRPr="00411AE0">
        <w:rPr>
          <w:rFonts w:ascii="Garamond" w:hAnsi="Garamond"/>
          <w:i/>
        </w:rPr>
        <w:t>Pure Theory of Law</w:t>
      </w:r>
      <w:r w:rsidRPr="00411AE0">
        <w:rPr>
          <w:rFonts w:ascii="Garamond" w:hAnsi="Garamond"/>
        </w:rPr>
        <w:t xml:space="preserve"> (Berkeley: University of California Press, 1967) 173-4. </w:t>
      </w:r>
      <w:r w:rsidRPr="00411AE0">
        <w:rPr>
          <w:rFonts w:ascii="Garamond" w:eastAsia="Times New Roman" w:hAnsi="Garamond" w:cs="Times New Roman"/>
          <w:color w:val="000000" w:themeColor="text1"/>
          <w:lang w:eastAsia="en-GB"/>
        </w:rPr>
        <w:t>International legal personality is no exception, and despite reformulations, ‘within mainstream positive international law the established concept of personhood is indeed [Kelsen’s] formal description of “subject of rights and duties under international law”’</w:t>
      </w:r>
      <w:r w:rsidRPr="00411AE0">
        <w:rPr>
          <w:rFonts w:ascii="Garamond" w:hAnsi="Garamond"/>
          <w:lang w:val="en-US"/>
        </w:rPr>
        <w:t>: Nijman</w:t>
      </w:r>
      <w:r>
        <w:rPr>
          <w:rFonts w:ascii="Garamond" w:hAnsi="Garamond"/>
          <w:lang w:val="en-US"/>
        </w:rPr>
        <w:t xml:space="preserve"> (n 104)</w:t>
      </w:r>
      <w:r w:rsidRPr="00411AE0">
        <w:rPr>
          <w:rFonts w:ascii="Garamond" w:hAnsi="Garamond"/>
          <w:lang w:val="en-US"/>
        </w:rPr>
        <w:t xml:space="preserve"> at 32</w:t>
      </w:r>
      <w:r w:rsidRPr="00411AE0">
        <w:rPr>
          <w:rFonts w:ascii="Garamond" w:hAnsi="Garamond"/>
          <w:lang w:eastAsia="en-GB"/>
        </w:rPr>
        <w:t>.</w:t>
      </w:r>
    </w:p>
  </w:footnote>
  <w:footnote w:id="129">
    <w:p w14:paraId="3C7998A5" w14:textId="470E9E04" w:rsidR="00082E6E" w:rsidRPr="00411AE0" w:rsidRDefault="00082E6E" w:rsidP="00546E02">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Naffine</w:t>
      </w:r>
      <w:r>
        <w:rPr>
          <w:rFonts w:ascii="Garamond" w:hAnsi="Garamond"/>
          <w:lang w:val="en-US"/>
        </w:rPr>
        <w:t xml:space="preserve"> </w:t>
      </w:r>
      <w:r>
        <w:rPr>
          <w:rFonts w:ascii="Garamond" w:hAnsi="Garamond" w:cs="Times New Roman"/>
          <w:lang w:val="en-US"/>
        </w:rPr>
        <w:t>(n 122)</w:t>
      </w:r>
      <w:r>
        <w:rPr>
          <w:rFonts w:ascii="Garamond" w:hAnsi="Garamond"/>
          <w:lang w:val="en-US"/>
        </w:rPr>
        <w:t xml:space="preserve"> </w:t>
      </w:r>
      <w:r w:rsidRPr="00411AE0">
        <w:rPr>
          <w:rFonts w:ascii="Garamond" w:hAnsi="Garamond"/>
        </w:rPr>
        <w:t>at 351.</w:t>
      </w:r>
    </w:p>
  </w:footnote>
  <w:footnote w:id="130">
    <w:p w14:paraId="34EE1148" w14:textId="16D0DDDE" w:rsidR="00082E6E" w:rsidRPr="00411AE0" w:rsidRDefault="00082E6E" w:rsidP="001E47C3">
      <w:pPr>
        <w:widowControl w:val="0"/>
        <w:autoSpaceDE w:val="0"/>
        <w:autoSpaceDN w:val="0"/>
        <w:adjustRightInd w:val="0"/>
        <w:spacing w:after="0" w:line="240" w:lineRule="auto"/>
        <w:rPr>
          <w:rFonts w:ascii="Garamond" w:hAnsi="Garamond" w:cs="Times New Roman"/>
          <w:i/>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Naffine, ibid, at 362. </w:t>
      </w:r>
      <w:r w:rsidRPr="00411AE0">
        <w:rPr>
          <w:rFonts w:ascii="Garamond" w:hAnsi="Garamond"/>
          <w:sz w:val="20"/>
          <w:szCs w:val="20"/>
          <w:lang w:val="en-US"/>
        </w:rPr>
        <w:t>Naffine identifies three templates of legal personhood in Naffine</w:t>
      </w:r>
      <w:r>
        <w:rPr>
          <w:rFonts w:ascii="Garamond" w:hAnsi="Garamond"/>
          <w:sz w:val="20"/>
          <w:szCs w:val="20"/>
          <w:lang w:val="en-US"/>
        </w:rPr>
        <w:t xml:space="preserve"> </w:t>
      </w:r>
      <w:r>
        <w:rPr>
          <w:rFonts w:ascii="Garamond" w:hAnsi="Garamond" w:cs="Times New Roman"/>
          <w:sz w:val="20"/>
          <w:szCs w:val="20"/>
          <w:lang w:val="en-US"/>
        </w:rPr>
        <w:t>(n 122)</w:t>
      </w:r>
      <w:r w:rsidRPr="00411AE0">
        <w:rPr>
          <w:rFonts w:ascii="Garamond" w:hAnsi="Garamond"/>
          <w:sz w:val="20"/>
          <w:szCs w:val="20"/>
          <w:lang w:val="en-US"/>
        </w:rPr>
        <w:t xml:space="preserve"> but later, in N Naffine, </w:t>
      </w:r>
      <w:r w:rsidRPr="00411AE0">
        <w:rPr>
          <w:rFonts w:ascii="Garamond" w:hAnsi="Garamond" w:cs="Times New Roman"/>
          <w:i/>
          <w:sz w:val="20"/>
          <w:szCs w:val="20"/>
          <w:lang w:val="en-US"/>
        </w:rPr>
        <w:t xml:space="preserve">Law’s Meaning of Life: Philosophy, Religion, Darwin and the Legal Person </w:t>
      </w:r>
      <w:r w:rsidRPr="00411AE0">
        <w:rPr>
          <w:rFonts w:ascii="Garamond" w:hAnsi="Garamond" w:cs="Times New Roman"/>
          <w:sz w:val="20"/>
          <w:szCs w:val="20"/>
          <w:lang w:val="en-US"/>
        </w:rPr>
        <w:t xml:space="preserve">(Oxford: Hart Publishing, 2009) </w:t>
      </w:r>
      <w:r w:rsidRPr="00411AE0">
        <w:rPr>
          <w:rFonts w:ascii="Garamond" w:hAnsi="Garamond"/>
          <w:sz w:val="20"/>
          <w:szCs w:val="20"/>
          <w:lang w:val="en-US"/>
        </w:rPr>
        <w:t xml:space="preserve">adds a fourth category. </w:t>
      </w:r>
    </w:p>
  </w:footnote>
  <w:footnote w:id="131">
    <w:p w14:paraId="7429072E" w14:textId="2C122276"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Pr>
          <w:rFonts w:ascii="Garamond" w:hAnsi="Garamond"/>
        </w:rPr>
        <w:t xml:space="preserve">Naffine </w:t>
      </w:r>
      <w:r>
        <w:rPr>
          <w:rFonts w:ascii="Garamond" w:hAnsi="Garamond" w:cs="Times New Roman"/>
          <w:lang w:val="en-US"/>
        </w:rPr>
        <w:t xml:space="preserve">(n 122) </w:t>
      </w:r>
      <w:r w:rsidRPr="00411AE0">
        <w:rPr>
          <w:rFonts w:ascii="Garamond" w:hAnsi="Garamond"/>
        </w:rPr>
        <w:t xml:space="preserve">355. </w:t>
      </w:r>
      <w:r w:rsidRPr="00411AE0">
        <w:rPr>
          <w:rFonts w:ascii="Garamond" w:eastAsia="Times New Roman" w:hAnsi="Garamond" w:cs="Times New Roman"/>
          <w:color w:val="000000" w:themeColor="text1"/>
          <w:lang w:eastAsia="en-GB"/>
        </w:rPr>
        <w:t xml:space="preserve">Even Nekam, who offers one of the ‘purest’ positivist accounts, is forced to acknowledge that ‘the legal entity’ is ‘always something in whose experimental </w:t>
      </w:r>
      <w:r w:rsidRPr="00411AE0">
        <w:rPr>
          <w:rFonts w:ascii="Garamond" w:hAnsi="Garamond"/>
          <w:lang w:eastAsia="en-GB"/>
        </w:rPr>
        <w:t xml:space="preserve">existence the community believes’—this, despite the fact that the legal entity’s qualities are defined by law and that ‘all the other eventual qualities of the beneficiary [of rights] will be totally immaterial from [the law’s] point of view’: </w:t>
      </w:r>
      <w:r w:rsidRPr="00411AE0">
        <w:rPr>
          <w:rFonts w:ascii="Garamond" w:hAnsi="Garamond"/>
        </w:rPr>
        <w:t>Nekam</w:t>
      </w:r>
      <w:r>
        <w:rPr>
          <w:rFonts w:ascii="Garamond" w:hAnsi="Garamond"/>
        </w:rPr>
        <w:t xml:space="preserve"> (n 98)</w:t>
      </w:r>
      <w:r w:rsidRPr="00411AE0">
        <w:rPr>
          <w:rFonts w:ascii="Garamond" w:hAnsi="Garamond"/>
        </w:rPr>
        <w:t xml:space="preserve"> at 40. </w:t>
      </w:r>
      <w:r w:rsidRPr="00411AE0">
        <w:rPr>
          <w:rFonts w:ascii="Garamond" w:hAnsi="Garamond"/>
          <w:lang w:eastAsia="en-GB"/>
        </w:rPr>
        <w:t xml:space="preserve">Radin, meanwhile, notes that law is forced to ‘take into account the real concrete human being as a prolific source of [legal] relations’: </w:t>
      </w:r>
      <w:r w:rsidRPr="00411AE0">
        <w:rPr>
          <w:rFonts w:ascii="Garamond" w:hAnsi="Garamond"/>
        </w:rPr>
        <w:t xml:space="preserve">M Radin, ‘The Endless Problem of Corporate Personality’ (1932) 32 </w:t>
      </w:r>
      <w:r w:rsidRPr="00411AE0">
        <w:rPr>
          <w:rFonts w:ascii="Garamond" w:hAnsi="Garamond"/>
          <w:i/>
        </w:rPr>
        <w:t>Columbia Law Review</w:t>
      </w:r>
      <w:r w:rsidRPr="00411AE0">
        <w:rPr>
          <w:rFonts w:ascii="Garamond" w:hAnsi="Garamond"/>
        </w:rPr>
        <w:t xml:space="preserve"> 643–667, at 651.</w:t>
      </w:r>
    </w:p>
  </w:footnote>
  <w:footnote w:id="132">
    <w:p w14:paraId="11A38831" w14:textId="4EC0DC30"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Naffine</w:t>
      </w:r>
      <w:r>
        <w:rPr>
          <w:rFonts w:ascii="Garamond" w:hAnsi="Garamond"/>
        </w:rPr>
        <w:t xml:space="preserve"> </w:t>
      </w:r>
      <w:r>
        <w:rPr>
          <w:rFonts w:ascii="Garamond" w:hAnsi="Garamond" w:cs="Times New Roman"/>
          <w:lang w:val="en-US"/>
        </w:rPr>
        <w:t>(n 122)</w:t>
      </w:r>
      <w:r>
        <w:rPr>
          <w:rFonts w:ascii="Garamond" w:hAnsi="Garamond"/>
        </w:rPr>
        <w:t xml:space="preserve"> </w:t>
      </w:r>
      <w:r w:rsidRPr="00411AE0">
        <w:rPr>
          <w:rFonts w:ascii="Garamond" w:hAnsi="Garamond"/>
        </w:rPr>
        <w:t>at 356.</w:t>
      </w:r>
    </w:p>
  </w:footnote>
  <w:footnote w:id="133">
    <w:p w14:paraId="78E8EFCA" w14:textId="57CBF6AD"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See references</w:t>
      </w:r>
      <w:r>
        <w:rPr>
          <w:rFonts w:ascii="Garamond" w:hAnsi="Garamond"/>
        </w:rPr>
        <w:t xml:space="preserve"> above (n 101).</w:t>
      </w:r>
    </w:p>
  </w:footnote>
  <w:footnote w:id="134">
    <w:p w14:paraId="43F52FBC" w14:textId="6F7B065D" w:rsidR="00082E6E" w:rsidRPr="00411AE0" w:rsidRDefault="00082E6E" w:rsidP="002D7A8F">
      <w:pPr>
        <w:widowControl w:val="0"/>
        <w:autoSpaceDE w:val="0"/>
        <w:autoSpaceDN w:val="0"/>
        <w:adjustRightInd w:val="0"/>
        <w:spacing w:after="0" w:line="240" w:lineRule="auto"/>
        <w:rPr>
          <w:rFonts w:ascii="Garamond" w:hAnsi="Garamond"/>
          <w:sz w:val="20"/>
          <w:szCs w:val="20"/>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cs="Times New Roman"/>
          <w:sz w:val="20"/>
          <w:szCs w:val="20"/>
          <w:lang w:val="en-US"/>
        </w:rPr>
        <w:t xml:space="preserve">N Naffine, ‘The Nature of Legal Personality’ in </w:t>
      </w:r>
      <w:r w:rsidRPr="00411AE0">
        <w:rPr>
          <w:rFonts w:ascii="Garamond" w:hAnsi="Garamond"/>
          <w:sz w:val="20"/>
          <w:szCs w:val="20"/>
        </w:rPr>
        <w:t>Davies and Naffine</w:t>
      </w:r>
      <w:r>
        <w:rPr>
          <w:rFonts w:ascii="Garamond" w:hAnsi="Garamond"/>
          <w:sz w:val="20"/>
          <w:szCs w:val="20"/>
        </w:rPr>
        <w:t xml:space="preserve"> (n 98)</w:t>
      </w:r>
      <w:r w:rsidRPr="00411AE0">
        <w:rPr>
          <w:rFonts w:ascii="Garamond" w:hAnsi="Garamond"/>
          <w:sz w:val="20"/>
          <w:szCs w:val="20"/>
        </w:rPr>
        <w:t xml:space="preserve"> at 56. Emphasis added.</w:t>
      </w:r>
    </w:p>
  </w:footnote>
  <w:footnote w:id="135">
    <w:p w14:paraId="728266A2" w14:textId="77777777" w:rsidR="00082E6E" w:rsidRPr="00411AE0" w:rsidRDefault="00082E6E" w:rsidP="00AB4080">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Well captured by Kapur’s analysis of ‘discriminatory universalism’ and the role of ‘Reason’ in </w:t>
      </w:r>
      <w:r w:rsidRPr="00411AE0">
        <w:rPr>
          <w:rFonts w:ascii="Garamond" w:hAnsi="Garamond" w:cs="Times New Roman"/>
          <w:sz w:val="20"/>
          <w:szCs w:val="20"/>
          <w:lang w:val="en-US"/>
        </w:rPr>
        <w:t xml:space="preserve">R Kapur, ‘Human Rights in the 21st Century: Take a Walk on the Dark Side’ (2006) 28 </w:t>
      </w:r>
      <w:r w:rsidRPr="00411AE0">
        <w:rPr>
          <w:rFonts w:ascii="Garamond" w:hAnsi="Garamond" w:cs="Times New Roman"/>
          <w:i/>
          <w:sz w:val="20"/>
          <w:szCs w:val="20"/>
          <w:lang w:val="en-US"/>
        </w:rPr>
        <w:t xml:space="preserve">Sydney Law Review </w:t>
      </w:r>
      <w:r w:rsidRPr="00411AE0">
        <w:rPr>
          <w:rFonts w:ascii="Garamond" w:hAnsi="Garamond" w:cs="Times New Roman"/>
          <w:sz w:val="20"/>
          <w:szCs w:val="20"/>
          <w:lang w:val="en-US"/>
        </w:rPr>
        <w:t>665-687.</w:t>
      </w:r>
    </w:p>
  </w:footnote>
  <w:footnote w:id="136">
    <w:p w14:paraId="18A7D16A" w14:textId="44D7EE8F" w:rsidR="00082E6E" w:rsidRPr="00411AE0" w:rsidRDefault="00082E6E">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Halewood</w:t>
      </w:r>
      <w:r>
        <w:rPr>
          <w:rFonts w:ascii="Garamond" w:hAnsi="Garamond"/>
        </w:rPr>
        <w:t xml:space="preserve"> (n 108)</w:t>
      </w:r>
      <w:r w:rsidRPr="00411AE0">
        <w:rPr>
          <w:rFonts w:ascii="Garamond" w:hAnsi="Garamond"/>
        </w:rPr>
        <w:t>.</w:t>
      </w:r>
    </w:p>
  </w:footnote>
  <w:footnote w:id="137">
    <w:p w14:paraId="414DD881" w14:textId="36DEC496"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P Cheah, D Fraser and J Grbich (eds), </w:t>
      </w:r>
      <w:r w:rsidRPr="00411AE0">
        <w:rPr>
          <w:rFonts w:ascii="Garamond" w:hAnsi="Garamond"/>
          <w:i/>
        </w:rPr>
        <w:t>Thinking Through the Body of Law</w:t>
      </w:r>
      <w:r w:rsidRPr="00411AE0">
        <w:rPr>
          <w:rFonts w:ascii="Garamond" w:hAnsi="Garamond"/>
        </w:rPr>
        <w:t xml:space="preserve"> (St Leonards: Allen and Unwin, 1996) at </w:t>
      </w:r>
      <w:r w:rsidRPr="00411AE0">
        <w:rPr>
          <w:rFonts w:ascii="Garamond" w:hAnsi="Garamond"/>
          <w:i/>
        </w:rPr>
        <w:t>xv</w:t>
      </w:r>
      <w:r w:rsidRPr="00411AE0">
        <w:rPr>
          <w:rFonts w:ascii="Garamond" w:hAnsi="Garamond"/>
        </w:rPr>
        <w:t xml:space="preserve">, cited by SD Sclater, ‘Introduction’ in A Bainham, SD Sclater, and M Richards, </w:t>
      </w:r>
      <w:r w:rsidRPr="00411AE0">
        <w:rPr>
          <w:rFonts w:ascii="Garamond" w:hAnsi="Garamond"/>
          <w:i/>
        </w:rPr>
        <w:t>Body Lore and Laws</w:t>
      </w:r>
      <w:r w:rsidRPr="00411AE0">
        <w:rPr>
          <w:rFonts w:ascii="Garamond" w:hAnsi="Garamond"/>
        </w:rPr>
        <w:t xml:space="preserve"> (Oxford: Hart, 2002) at 1.</w:t>
      </w:r>
    </w:p>
  </w:footnote>
  <w:footnote w:id="138">
    <w:p w14:paraId="62779923" w14:textId="174361BD" w:rsidR="00082E6E" w:rsidRPr="00411AE0" w:rsidRDefault="00082E6E" w:rsidP="00CB0DFA">
      <w:pPr>
        <w:pStyle w:val="FootnoteText"/>
        <w:rPr>
          <w:rFonts w:ascii="Garamond" w:hAnsi="Garamond"/>
        </w:rPr>
      </w:pPr>
      <w:r w:rsidRPr="00411AE0">
        <w:rPr>
          <w:rStyle w:val="FootnoteReference"/>
          <w:rFonts w:ascii="Garamond" w:hAnsi="Garamond"/>
        </w:rPr>
        <w:footnoteRef/>
      </w:r>
      <w:r w:rsidRPr="00411AE0">
        <w:rPr>
          <w:rFonts w:ascii="Garamond" w:hAnsi="Garamond"/>
        </w:rPr>
        <w:t xml:space="preserve"> Halewood</w:t>
      </w:r>
      <w:r>
        <w:rPr>
          <w:rFonts w:ascii="Garamond" w:hAnsi="Garamond"/>
        </w:rPr>
        <w:t xml:space="preserve"> (n 108), </w:t>
      </w:r>
      <w:r w:rsidRPr="00411AE0">
        <w:rPr>
          <w:rFonts w:ascii="Garamond" w:hAnsi="Garamond"/>
        </w:rPr>
        <w:t>analysing liberal law’s property-centred rationalism, points out that it is precisely the ‘separation of subjects from objects … shearing all distinguishing embodiment or particularity [and it is this ideological sleight of hand which] permits the formal equality of legal subjects’</w:t>
      </w:r>
      <w:r w:rsidRPr="00411AE0">
        <w:rPr>
          <w:rFonts w:ascii="Garamond" w:hAnsi="Garamond"/>
          <w:color w:val="000000"/>
        </w:rPr>
        <w:t xml:space="preserve">: </w:t>
      </w:r>
      <w:r w:rsidRPr="00411AE0">
        <w:rPr>
          <w:rFonts w:ascii="Garamond" w:hAnsi="Garamond"/>
        </w:rPr>
        <w:t>at 1340.</w:t>
      </w:r>
    </w:p>
  </w:footnote>
  <w:footnote w:id="139">
    <w:p w14:paraId="16F87C5F" w14:textId="7DF75EED" w:rsidR="00082E6E" w:rsidRPr="00411AE0" w:rsidRDefault="00082E6E" w:rsidP="002154F8">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 xml:space="preserve">The archetypal </w:t>
      </w:r>
      <w:r>
        <w:rPr>
          <w:rFonts w:ascii="Garamond" w:hAnsi="Garamond"/>
          <w:sz w:val="20"/>
          <w:szCs w:val="20"/>
          <w:lang w:val="en-US"/>
        </w:rPr>
        <w:t xml:space="preserve">human </w:t>
      </w:r>
      <w:r w:rsidRPr="00411AE0">
        <w:rPr>
          <w:rFonts w:ascii="Garamond" w:hAnsi="Garamond"/>
          <w:sz w:val="20"/>
          <w:szCs w:val="20"/>
          <w:lang w:val="en-US"/>
        </w:rPr>
        <w:t xml:space="preserve">‘body’ of international law (including human rights law) is masculine, racially white and Eurocentric, but this body is ‘smuggled’ into a ‘neutral’ abstract universal, precisely in order to disguise its particularity and privilege. It is notable, moreover, that non-white, non-Europeans were feminised: </w:t>
      </w:r>
      <w:r w:rsidRPr="00411AE0">
        <w:rPr>
          <w:rFonts w:ascii="Garamond" w:hAnsi="Garamond" w:cs="Times New Roman"/>
          <w:color w:val="000000"/>
          <w:sz w:val="20"/>
          <w:szCs w:val="20"/>
          <w:lang w:val="en-US"/>
        </w:rPr>
        <w:t>‘The feminization of the Orient is one of the enduring themes in the scholarly study of colonialism. The colonial authorities represented the natives as passive, ignorant, irrational outwardly submissive but inwardly guileful, sexually unrestrained and emotionally demanding—not inherently female characteristics, perhaps, but defined as a trope in opposition to the self-mastery and openness that the hypermasculinized colonizing Westerners ascribed to themselves’: TM Lurhmann</w:t>
      </w:r>
      <w:r w:rsidRPr="00411AE0">
        <w:rPr>
          <w:rFonts w:ascii="Garamond" w:hAnsi="Garamond" w:cs="Times New Roman"/>
          <w:sz w:val="20"/>
          <w:szCs w:val="20"/>
          <w:lang w:val="en-US"/>
        </w:rPr>
        <w:t xml:space="preserve">, ‘The good Parsi: The post-colonial feminization of a colonial elite’ (1994) 29 </w:t>
      </w:r>
      <w:r w:rsidRPr="00411AE0">
        <w:rPr>
          <w:rFonts w:ascii="Garamond" w:hAnsi="Garamond" w:cs="Times New Roman"/>
          <w:i/>
          <w:sz w:val="20"/>
          <w:szCs w:val="20"/>
          <w:lang w:val="en-US"/>
        </w:rPr>
        <w:t>Man</w:t>
      </w:r>
      <w:r w:rsidRPr="00411AE0">
        <w:rPr>
          <w:rFonts w:ascii="Garamond" w:hAnsi="Garamond" w:cs="Times New Roman"/>
          <w:sz w:val="20"/>
          <w:szCs w:val="20"/>
          <w:lang w:val="en-US"/>
        </w:rPr>
        <w:t xml:space="preserve"> 333–357, at </w:t>
      </w:r>
      <w:r w:rsidRPr="00411AE0">
        <w:rPr>
          <w:rFonts w:ascii="Garamond" w:hAnsi="Garamond" w:cs="Times New Roman"/>
          <w:color w:val="000000"/>
          <w:sz w:val="20"/>
          <w:szCs w:val="20"/>
          <w:lang w:val="en-US"/>
        </w:rPr>
        <w:t>333.</w:t>
      </w:r>
    </w:p>
  </w:footnote>
  <w:footnote w:id="140">
    <w:p w14:paraId="685C75FD" w14:textId="0F0951E6" w:rsidR="00082E6E" w:rsidRPr="00411AE0" w:rsidRDefault="00082E6E" w:rsidP="00604C93">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Kapur</w:t>
      </w:r>
      <w:r>
        <w:rPr>
          <w:rFonts w:ascii="Garamond" w:hAnsi="Garamond"/>
          <w:sz w:val="20"/>
          <w:szCs w:val="20"/>
        </w:rPr>
        <w:t xml:space="preserve"> (n 134)</w:t>
      </w:r>
      <w:r w:rsidRPr="00411AE0">
        <w:rPr>
          <w:rFonts w:ascii="Garamond" w:hAnsi="Garamond"/>
          <w:sz w:val="20"/>
          <w:szCs w:val="20"/>
        </w:rPr>
        <w:t>; M Dekha.</w:t>
      </w:r>
      <w:r w:rsidRPr="00411AE0">
        <w:rPr>
          <w:rFonts w:ascii="Garamond" w:hAnsi="Garamond" w:cs="Times New Roman"/>
          <w:sz w:val="20"/>
          <w:szCs w:val="20"/>
          <w:lang w:val="en-US"/>
        </w:rPr>
        <w:t xml:space="preserve"> ‘Intersectionality and Post-Human Visions of Equality’ (2008) 23 </w:t>
      </w:r>
      <w:r w:rsidRPr="00411AE0">
        <w:rPr>
          <w:rFonts w:ascii="Garamond" w:hAnsi="Garamond" w:cs="Times New Roman"/>
          <w:i/>
          <w:sz w:val="20"/>
          <w:szCs w:val="20"/>
          <w:lang w:val="en-US"/>
        </w:rPr>
        <w:t>Wisconsin Journal of Law, Gender and Society</w:t>
      </w:r>
      <w:r w:rsidRPr="00411AE0">
        <w:rPr>
          <w:rFonts w:ascii="Garamond" w:hAnsi="Garamond" w:cs="Times New Roman"/>
          <w:sz w:val="20"/>
          <w:szCs w:val="20"/>
          <w:lang w:val="en-US"/>
        </w:rPr>
        <w:t xml:space="preserve"> 249-267. For more, see (as referenced by Dekha) S Salih, ‘Filling Up the Space between Mankind and Ape: Racism, Speciesism and the Androphilic Ape’ (2007) 38 </w:t>
      </w:r>
      <w:r w:rsidRPr="00411AE0">
        <w:rPr>
          <w:rFonts w:ascii="Garamond" w:hAnsi="Garamond" w:cs="Times New Roman"/>
          <w:i/>
          <w:sz w:val="20"/>
          <w:szCs w:val="20"/>
          <w:lang w:val="en-US"/>
        </w:rPr>
        <w:t>Ariel</w:t>
      </w:r>
      <w:r w:rsidRPr="00411AE0">
        <w:rPr>
          <w:rFonts w:ascii="Garamond" w:hAnsi="Garamond" w:cs="Times New Roman"/>
          <w:sz w:val="20"/>
          <w:szCs w:val="20"/>
          <w:lang w:val="en-US"/>
        </w:rPr>
        <w:t xml:space="preserve"> 95-111.</w:t>
      </w:r>
    </w:p>
  </w:footnote>
  <w:footnote w:id="141">
    <w:p w14:paraId="3E27686A" w14:textId="6EE28688" w:rsidR="00082E6E" w:rsidRPr="00411AE0" w:rsidRDefault="00082E6E" w:rsidP="009E53AD">
      <w:pPr>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R </w:t>
      </w:r>
      <w:r w:rsidRPr="00411AE0">
        <w:rPr>
          <w:rFonts w:ascii="Garamond" w:hAnsi="Garamond" w:cs="Times New Roman"/>
          <w:sz w:val="20"/>
          <w:szCs w:val="20"/>
        </w:rPr>
        <w:t xml:space="preserve">Kapur, ‘The Citizen and the Migrant: Postcolonial Anxieties, Law, and the Politics of Exclusion/Inclusion’ (2007) 8/2 </w:t>
      </w:r>
      <w:r w:rsidRPr="00411AE0">
        <w:rPr>
          <w:rFonts w:ascii="Garamond" w:hAnsi="Garamond" w:cs="Times New Roman"/>
          <w:i/>
          <w:iCs/>
          <w:sz w:val="20"/>
          <w:szCs w:val="20"/>
        </w:rPr>
        <w:t xml:space="preserve">Theoretical Inquiries in Law </w:t>
      </w:r>
      <w:r w:rsidRPr="00411AE0">
        <w:rPr>
          <w:rFonts w:ascii="Garamond" w:hAnsi="Garamond" w:cs="Times New Roman"/>
          <w:sz w:val="20"/>
          <w:szCs w:val="20"/>
        </w:rPr>
        <w:t>537-570 at 541.</w:t>
      </w:r>
    </w:p>
  </w:footnote>
  <w:footnote w:id="142">
    <w:p w14:paraId="08DD8DDE" w14:textId="345A7685" w:rsidR="00082E6E" w:rsidRPr="00411AE0" w:rsidRDefault="00082E6E" w:rsidP="009E53AD">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As Ahmed has put it, ‘[t]he disembodiment of the masculine perspective is itself an inscription of a body, a body which is so comfortable we needn’t know it was there, a body which is simply a home for a mind, and doesn’t interrupt it, confuse it, deceive it with irrationalism, or bleeding, or pregnancy’: S Ahmed, ‘Deconstruction and Law’s Other: Towards a Feminist Theory of Embodied Legal Rights’ (1995) 4 </w:t>
      </w:r>
      <w:r w:rsidRPr="00411AE0">
        <w:rPr>
          <w:rFonts w:ascii="Garamond" w:hAnsi="Garamond"/>
          <w:i/>
        </w:rPr>
        <w:t>Social and Legal Studies</w:t>
      </w:r>
      <w:r w:rsidRPr="00411AE0">
        <w:rPr>
          <w:rFonts w:ascii="Garamond" w:hAnsi="Garamond"/>
        </w:rPr>
        <w:t xml:space="preserve"> 55-73 at 56.</w:t>
      </w:r>
    </w:p>
  </w:footnote>
  <w:footnote w:id="143">
    <w:p w14:paraId="70EC0606" w14:textId="77777777" w:rsidR="00082E6E" w:rsidRPr="00411AE0" w:rsidRDefault="00082E6E" w:rsidP="00633036">
      <w:pPr>
        <w:spacing w:line="240" w:lineRule="auto"/>
        <w:rPr>
          <w:rFonts w:ascii="Garamond" w:hAnsi="Garamond"/>
          <w:sz w:val="20"/>
          <w:szCs w:val="20"/>
        </w:rPr>
      </w:pPr>
      <w:r w:rsidRPr="00411AE0">
        <w:rPr>
          <w:rStyle w:val="FootnoteReference"/>
          <w:rFonts w:ascii="Garamond" w:hAnsi="Garamond"/>
          <w:sz w:val="20"/>
          <w:szCs w:val="20"/>
        </w:rPr>
        <w:footnoteRef/>
      </w:r>
      <w:r w:rsidRPr="00411AE0">
        <w:rPr>
          <w:rFonts w:ascii="Garamond" w:hAnsi="Garamond"/>
          <w:sz w:val="20"/>
          <w:szCs w:val="20"/>
        </w:rPr>
        <w:t xml:space="preserve"> K </w:t>
      </w:r>
      <w:r w:rsidRPr="00411AE0">
        <w:rPr>
          <w:rFonts w:ascii="Garamond" w:hAnsi="Garamond"/>
          <w:sz w:val="20"/>
          <w:szCs w:val="20"/>
          <w:lang w:val="en-US"/>
        </w:rPr>
        <w:t xml:space="preserve">Green, </w:t>
      </w:r>
      <w:r w:rsidRPr="00411AE0">
        <w:rPr>
          <w:rFonts w:ascii="Garamond" w:hAnsi="Garamond"/>
          <w:sz w:val="20"/>
          <w:szCs w:val="20"/>
        </w:rPr>
        <w:t xml:space="preserve">‘Citizens and Squatters: Under the Surfaces of Land Law’ in Bright, S, and Dewar, J, (eds) </w:t>
      </w:r>
      <w:r w:rsidRPr="00411AE0">
        <w:rPr>
          <w:rFonts w:ascii="Garamond" w:hAnsi="Garamond"/>
          <w:i/>
          <w:sz w:val="20"/>
          <w:szCs w:val="20"/>
        </w:rPr>
        <w:t xml:space="preserve">Land Law: Themes and Perspectives </w:t>
      </w:r>
      <w:r w:rsidRPr="00411AE0">
        <w:rPr>
          <w:rFonts w:ascii="Garamond" w:hAnsi="Garamond"/>
          <w:sz w:val="20"/>
          <w:szCs w:val="20"/>
        </w:rPr>
        <w:t>(Oxford: Oxford University Press, 1998) 229-256.</w:t>
      </w:r>
    </w:p>
  </w:footnote>
  <w:footnote w:id="144">
    <w:p w14:paraId="37DA08AB" w14:textId="19A909AB" w:rsidR="00082E6E" w:rsidRPr="00411AE0" w:rsidRDefault="00082E6E" w:rsidP="009601AE">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cs="Times New Roman"/>
          <w:sz w:val="20"/>
          <w:szCs w:val="20"/>
          <w:lang w:val="en-US"/>
        </w:rPr>
        <w:t xml:space="preserve">D Nibert, </w:t>
      </w:r>
      <w:r w:rsidRPr="00411AE0">
        <w:rPr>
          <w:rFonts w:ascii="Garamond" w:hAnsi="Garamond" w:cs="Times New Roman"/>
          <w:i/>
          <w:sz w:val="20"/>
          <w:szCs w:val="20"/>
          <w:lang w:val="en-US"/>
        </w:rPr>
        <w:t>Animal Rights, Human Rights: Entanglements of Oppression and Liberation</w:t>
      </w:r>
      <w:r w:rsidRPr="00411AE0">
        <w:rPr>
          <w:rFonts w:ascii="Garamond" w:hAnsi="Garamond" w:cs="Times New Roman"/>
          <w:sz w:val="20"/>
          <w:szCs w:val="20"/>
          <w:lang w:val="en-US"/>
        </w:rPr>
        <w:t xml:space="preserve"> (Lanham MD: Rowman and Littlefield, 2002)</w:t>
      </w:r>
    </w:p>
  </w:footnote>
  <w:footnote w:id="145">
    <w:p w14:paraId="27FDB194" w14:textId="77777777" w:rsidR="00082E6E" w:rsidRPr="00CB6DF6" w:rsidRDefault="00082E6E" w:rsidP="00807207">
      <w:pPr>
        <w:pStyle w:val="FootnoteText"/>
        <w:rPr>
          <w:rFonts w:ascii="Garamond" w:hAnsi="Garamond"/>
          <w:lang w:val="en-US"/>
        </w:rPr>
      </w:pPr>
      <w:r w:rsidRPr="00CB6DF6">
        <w:rPr>
          <w:rStyle w:val="FootnoteReference"/>
          <w:rFonts w:ascii="Garamond" w:hAnsi="Garamond"/>
        </w:rPr>
        <w:footnoteRef/>
      </w:r>
      <w:r w:rsidRPr="00CB6DF6">
        <w:rPr>
          <w:rFonts w:ascii="Garamond" w:hAnsi="Garamond"/>
        </w:rPr>
        <w:t xml:space="preserve"> </w:t>
      </w:r>
      <w:r w:rsidRPr="00CB6DF6">
        <w:rPr>
          <w:rFonts w:ascii="Garamond" w:hAnsi="Garamond"/>
          <w:lang w:val="en-US"/>
        </w:rPr>
        <w:t xml:space="preserve">A Orford, ‘Food Security, Free Trade and the Battle for the State’ (2015) 11/2 </w:t>
      </w:r>
      <w:r w:rsidRPr="00CB6DF6">
        <w:rPr>
          <w:rFonts w:ascii="Garamond" w:hAnsi="Garamond"/>
          <w:i/>
          <w:lang w:val="en-US"/>
        </w:rPr>
        <w:t xml:space="preserve">Journal of International Law and International Relations </w:t>
      </w:r>
      <w:r w:rsidRPr="00CB6DF6">
        <w:rPr>
          <w:rFonts w:ascii="Garamond" w:hAnsi="Garamond"/>
          <w:lang w:val="en-US"/>
        </w:rPr>
        <w:t>1-67, at 22.</w:t>
      </w:r>
    </w:p>
  </w:footnote>
  <w:footnote w:id="146">
    <w:p w14:paraId="4FA5B920" w14:textId="7397ADE8" w:rsidR="00082E6E" w:rsidRPr="00411AE0" w:rsidRDefault="00082E6E" w:rsidP="00CB0DF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See McLean</w:t>
      </w:r>
      <w:r>
        <w:rPr>
          <w:rFonts w:ascii="Garamond" w:hAnsi="Garamond"/>
          <w:lang w:val="en-US"/>
        </w:rPr>
        <w:t xml:space="preserve"> </w:t>
      </w:r>
      <w:r>
        <w:rPr>
          <w:rFonts w:ascii="Garamond" w:hAnsi="Garamond"/>
        </w:rPr>
        <w:t xml:space="preserve">(n 40) </w:t>
      </w:r>
      <w:r w:rsidRPr="00411AE0">
        <w:rPr>
          <w:rFonts w:ascii="Garamond" w:hAnsi="Garamond"/>
          <w:lang w:val="en-US"/>
        </w:rPr>
        <w:t>and related discussions.</w:t>
      </w:r>
    </w:p>
  </w:footnote>
  <w:footnote w:id="147">
    <w:p w14:paraId="11ABAB6E" w14:textId="7892AEB4" w:rsidR="00082E6E" w:rsidRPr="00D25DE9" w:rsidRDefault="00082E6E" w:rsidP="00D25DE9">
      <w:pPr>
        <w:widowControl w:val="0"/>
        <w:autoSpaceDE w:val="0"/>
        <w:autoSpaceDN w:val="0"/>
        <w:adjustRightInd w:val="0"/>
        <w:spacing w:after="0" w:line="240" w:lineRule="auto"/>
        <w:rPr>
          <w:rFonts w:ascii="Garamond" w:hAnsi="Garamond"/>
          <w:sz w:val="20"/>
          <w:szCs w:val="20"/>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Anghie</w:t>
      </w:r>
      <w:r>
        <w:rPr>
          <w:rFonts w:ascii="Garamond" w:hAnsi="Garamond"/>
          <w:lang w:val="en-US"/>
        </w:rPr>
        <w:t xml:space="preserve"> (n 36)</w:t>
      </w:r>
      <w:r w:rsidRPr="00411AE0">
        <w:rPr>
          <w:rFonts w:ascii="Garamond" w:hAnsi="Garamond"/>
          <w:lang w:val="en-US"/>
        </w:rPr>
        <w:t>; Marks</w:t>
      </w:r>
      <w:r>
        <w:rPr>
          <w:rFonts w:ascii="Garamond" w:hAnsi="Garamond"/>
          <w:lang w:val="en-US"/>
        </w:rPr>
        <w:t xml:space="preserve"> (n 70</w:t>
      </w:r>
      <w:r w:rsidRPr="00D25DE9">
        <w:rPr>
          <w:rFonts w:ascii="Garamond" w:hAnsi="Garamond"/>
          <w:sz w:val="20"/>
          <w:szCs w:val="20"/>
          <w:lang w:val="en-US"/>
        </w:rPr>
        <w:t xml:space="preserve">). See also, for a detailed discussion of early TNCs, their form and the motivations driving their structural design, AM </w:t>
      </w:r>
      <w:r w:rsidRPr="00D25DE9">
        <w:rPr>
          <w:rFonts w:ascii="Garamond" w:hAnsi="Garamond" w:cs="Times New Roman"/>
          <w:sz w:val="20"/>
          <w:szCs w:val="20"/>
          <w:lang w:val="en-US"/>
        </w:rPr>
        <w:t xml:space="preserve">Carlos and S Nicholas, ‘Giants of an Earlier Capitalism: The Early Chartered Trading Companies as Modern Multinationals’ (1988) 62 </w:t>
      </w:r>
      <w:r w:rsidRPr="00D25DE9">
        <w:rPr>
          <w:rFonts w:ascii="Garamond" w:hAnsi="Garamond" w:cs="Times New Roman"/>
          <w:i/>
          <w:sz w:val="20"/>
          <w:szCs w:val="20"/>
          <w:lang w:val="en-US"/>
        </w:rPr>
        <w:t>Business History Review</w:t>
      </w:r>
      <w:r w:rsidRPr="00D25DE9">
        <w:rPr>
          <w:rFonts w:ascii="Garamond" w:hAnsi="Garamond" w:cs="Times New Roman"/>
          <w:sz w:val="20"/>
          <w:szCs w:val="20"/>
          <w:lang w:val="en-US"/>
        </w:rPr>
        <w:t xml:space="preserve"> 398-419</w:t>
      </w:r>
      <w:r>
        <w:rPr>
          <w:rFonts w:ascii="Garamond" w:hAnsi="Garamond" w:cs="Times New Roman"/>
          <w:sz w:val="20"/>
          <w:szCs w:val="20"/>
          <w:lang w:val="en-US"/>
        </w:rPr>
        <w:t xml:space="preserve">; </w:t>
      </w:r>
      <w:r w:rsidRPr="00D25DE9">
        <w:rPr>
          <w:rFonts w:ascii="Garamond" w:hAnsi="Garamond"/>
          <w:sz w:val="20"/>
          <w:szCs w:val="20"/>
          <w:lang w:val="en-US"/>
        </w:rPr>
        <w:t xml:space="preserve">SRH Jones and SP Ville, ‘Efficient Transactors or Rent-Seeking Monopolists? The Rationale for Early Chartered Trading Companies’ (1996) 56/4 </w:t>
      </w:r>
      <w:r w:rsidRPr="00D25DE9">
        <w:rPr>
          <w:rFonts w:ascii="Garamond" w:hAnsi="Garamond" w:cs="Times New Roman"/>
          <w:i/>
          <w:sz w:val="20"/>
          <w:szCs w:val="20"/>
          <w:lang w:val="en-US"/>
        </w:rPr>
        <w:t>The Journal of Economic History</w:t>
      </w:r>
      <w:r w:rsidRPr="00D25DE9">
        <w:rPr>
          <w:rFonts w:ascii="Garamond" w:hAnsi="Garamond" w:cs="Times New Roman"/>
          <w:sz w:val="20"/>
          <w:szCs w:val="20"/>
          <w:lang w:val="en-US"/>
        </w:rPr>
        <w:t xml:space="preserve"> </w:t>
      </w:r>
      <w:r>
        <w:rPr>
          <w:rFonts w:ascii="Garamond" w:hAnsi="Garamond" w:cs="Times New Roman"/>
          <w:sz w:val="20"/>
          <w:szCs w:val="20"/>
          <w:lang w:val="en-US"/>
        </w:rPr>
        <w:t>898-915.</w:t>
      </w:r>
    </w:p>
  </w:footnote>
  <w:footnote w:id="148">
    <w:p w14:paraId="23BBEB40" w14:textId="6E3F1CBC" w:rsidR="00082E6E" w:rsidRPr="00D25DE9" w:rsidRDefault="00082E6E" w:rsidP="00CB0DFA">
      <w:pPr>
        <w:pStyle w:val="FootnoteText"/>
        <w:rPr>
          <w:rFonts w:ascii="Garamond" w:hAnsi="Garamond"/>
          <w:lang w:val="en-US"/>
        </w:rPr>
      </w:pPr>
      <w:r w:rsidRPr="00E76C4F">
        <w:rPr>
          <w:rStyle w:val="FootnoteReference"/>
          <w:rFonts w:ascii="Garamond" w:hAnsi="Garamond"/>
        </w:rPr>
        <w:footnoteRef/>
      </w:r>
      <w:r w:rsidRPr="00E76C4F">
        <w:rPr>
          <w:rFonts w:ascii="Garamond" w:hAnsi="Garamond"/>
        </w:rPr>
        <w:t xml:space="preserve"> Federman</w:t>
      </w:r>
      <w:r w:rsidRPr="00D25DE9">
        <w:rPr>
          <w:rFonts w:ascii="Garamond" w:hAnsi="Garamond"/>
        </w:rPr>
        <w:t xml:space="preserve"> (n 6</w:t>
      </w:r>
      <w:r>
        <w:rPr>
          <w:rFonts w:ascii="Garamond" w:hAnsi="Garamond"/>
        </w:rPr>
        <w:t>4</w:t>
      </w:r>
      <w:r w:rsidRPr="00D25DE9">
        <w:rPr>
          <w:rFonts w:ascii="Garamond" w:hAnsi="Garamond"/>
        </w:rPr>
        <w:t>)</w:t>
      </w:r>
      <w:r w:rsidRPr="00D25DE9">
        <w:rPr>
          <w:rFonts w:ascii="Garamond" w:hAnsi="Garamond"/>
          <w:lang w:val="en-US"/>
        </w:rPr>
        <w:t>; Lahey and Salter (n 1</w:t>
      </w:r>
      <w:r>
        <w:rPr>
          <w:rFonts w:ascii="Garamond" w:hAnsi="Garamond"/>
          <w:lang w:val="en-US"/>
        </w:rPr>
        <w:t>19</w:t>
      </w:r>
      <w:r w:rsidRPr="00D25DE9">
        <w:rPr>
          <w:rFonts w:ascii="Garamond" w:hAnsi="Garamond"/>
          <w:lang w:val="en-US"/>
        </w:rPr>
        <w:t>).</w:t>
      </w:r>
    </w:p>
  </w:footnote>
  <w:footnote w:id="149">
    <w:p w14:paraId="60B6DD60" w14:textId="063E4B51" w:rsidR="00082E6E" w:rsidRPr="00411AE0" w:rsidRDefault="00082E6E" w:rsidP="000C70C1">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Pr>
          <w:rFonts w:ascii="Garamond" w:hAnsi="Garamond"/>
          <w:lang w:val="en-US"/>
        </w:rPr>
        <w:t xml:space="preserve">Federman (n 64), </w:t>
      </w:r>
      <w:r w:rsidRPr="00411AE0">
        <w:rPr>
          <w:rFonts w:ascii="Garamond" w:hAnsi="Garamond"/>
          <w:lang w:val="en-US"/>
        </w:rPr>
        <w:t>169.</w:t>
      </w:r>
    </w:p>
  </w:footnote>
  <w:footnote w:id="150">
    <w:p w14:paraId="53F380AB" w14:textId="14D42C3C" w:rsidR="00082E6E" w:rsidRPr="00411AE0" w:rsidRDefault="00082E6E" w:rsidP="009B4C51">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00191D03">
        <w:rPr>
          <w:rFonts w:ascii="Garamond" w:hAnsi="Garamond"/>
        </w:rPr>
        <w:t xml:space="preserve">De Sousa </w:t>
      </w:r>
      <w:r w:rsidRPr="00411AE0">
        <w:rPr>
          <w:rFonts w:ascii="Garamond" w:hAnsi="Garamond"/>
          <w:color w:val="000000"/>
        </w:rPr>
        <w:t>Santos</w:t>
      </w:r>
      <w:r>
        <w:rPr>
          <w:rFonts w:ascii="Garamond" w:hAnsi="Garamond"/>
          <w:color w:val="000000"/>
        </w:rPr>
        <w:t xml:space="preserve"> (n 22) </w:t>
      </w:r>
      <w:r w:rsidRPr="00411AE0">
        <w:rPr>
          <w:rFonts w:ascii="Garamond" w:hAnsi="Garamond"/>
          <w:color w:val="000000"/>
        </w:rPr>
        <w:t xml:space="preserve">at 268.  </w:t>
      </w:r>
    </w:p>
  </w:footnote>
  <w:footnote w:id="151">
    <w:p w14:paraId="2A222788" w14:textId="45D83C4E" w:rsidR="00082E6E" w:rsidRPr="00BC770C" w:rsidRDefault="00082E6E" w:rsidP="00D5141A">
      <w:pPr>
        <w:widowControl w:val="0"/>
        <w:autoSpaceDE w:val="0"/>
        <w:autoSpaceDN w:val="0"/>
        <w:adjustRightInd w:val="0"/>
        <w:spacing w:after="0" w:line="240" w:lineRule="auto"/>
        <w:rPr>
          <w:rFonts w:ascii="Garamond" w:hAnsi="Garamond"/>
          <w:sz w:val="20"/>
          <w:szCs w:val="20"/>
          <w:lang w:val="en-US"/>
        </w:rPr>
      </w:pPr>
      <w:r w:rsidRPr="007A3632">
        <w:rPr>
          <w:rStyle w:val="FootnoteReference"/>
          <w:rFonts w:ascii="Garamond" w:hAnsi="Garamond"/>
          <w:sz w:val="20"/>
          <w:szCs w:val="20"/>
        </w:rPr>
        <w:footnoteRef/>
      </w:r>
      <w:r w:rsidRPr="007A3632">
        <w:rPr>
          <w:rFonts w:ascii="Garamond" w:hAnsi="Garamond"/>
          <w:sz w:val="20"/>
          <w:szCs w:val="20"/>
        </w:rPr>
        <w:t xml:space="preserve"> </w:t>
      </w:r>
      <w:r w:rsidRPr="007A3632">
        <w:rPr>
          <w:rFonts w:ascii="Garamond" w:hAnsi="Garamond" w:cs="Times New Roman"/>
          <w:sz w:val="20"/>
          <w:szCs w:val="20"/>
          <w:lang w:val="en-US"/>
        </w:rPr>
        <w:t xml:space="preserve"> Belcher has argued that ‘a cursory glance at the history of English company law reveals the maleness of the company…  Although corporate legal theory has always used the seemingly gender neutral formula of the company as a separate legal person, at the birth of this concept the person was male’: A Belcher, ‘Th</w:t>
      </w:r>
      <w:r w:rsidRPr="00A029A0">
        <w:rPr>
          <w:rFonts w:ascii="Garamond" w:hAnsi="Garamond" w:cs="Times New Roman"/>
          <w:sz w:val="20"/>
          <w:szCs w:val="20"/>
          <w:lang w:val="en-US"/>
        </w:rPr>
        <w:t>e “gendered company” revisited’, in Jones et al</w:t>
      </w:r>
      <w:r>
        <w:rPr>
          <w:rFonts w:ascii="Garamond" w:hAnsi="Garamond" w:cs="Times New Roman"/>
          <w:sz w:val="20"/>
          <w:szCs w:val="20"/>
          <w:lang w:val="en-US"/>
        </w:rPr>
        <w:t xml:space="preserve"> (n 103) </w:t>
      </w:r>
      <w:r w:rsidRPr="00A029A0">
        <w:rPr>
          <w:rFonts w:ascii="Garamond" w:hAnsi="Garamond" w:cs="Times New Roman"/>
          <w:sz w:val="20"/>
          <w:szCs w:val="20"/>
          <w:lang w:val="en-US"/>
        </w:rPr>
        <w:t>at 65. The corporation</w:t>
      </w:r>
      <w:r w:rsidRPr="00BC770C">
        <w:rPr>
          <w:rFonts w:ascii="Garamond" w:hAnsi="Garamond" w:cs="Times New Roman"/>
          <w:color w:val="000000"/>
          <w:sz w:val="20"/>
          <w:szCs w:val="20"/>
          <w:lang w:val="en-US"/>
        </w:rPr>
        <w:t xml:space="preserve"> is also a thoroughly racial construction: Federman (n 6</w:t>
      </w:r>
      <w:r>
        <w:rPr>
          <w:rFonts w:ascii="Garamond" w:hAnsi="Garamond" w:cs="Times New Roman"/>
          <w:color w:val="000000"/>
          <w:sz w:val="20"/>
          <w:szCs w:val="20"/>
          <w:lang w:val="en-US"/>
        </w:rPr>
        <w:t>4</w:t>
      </w:r>
      <w:r w:rsidRPr="00BC770C">
        <w:rPr>
          <w:rFonts w:ascii="Garamond" w:hAnsi="Garamond" w:cs="Times New Roman"/>
          <w:color w:val="000000"/>
          <w:sz w:val="20"/>
          <w:szCs w:val="20"/>
          <w:lang w:val="en-US"/>
        </w:rPr>
        <w:t>)</w:t>
      </w:r>
      <w:r w:rsidRPr="00BC770C">
        <w:rPr>
          <w:rFonts w:ascii="Garamond" w:hAnsi="Garamond"/>
          <w:sz w:val="20"/>
          <w:szCs w:val="20"/>
          <w:lang w:val="en-US"/>
        </w:rPr>
        <w:t>.</w:t>
      </w:r>
    </w:p>
  </w:footnote>
  <w:footnote w:id="152">
    <w:p w14:paraId="3F9BF850" w14:textId="55679B36" w:rsidR="00082E6E" w:rsidRPr="00411AE0" w:rsidRDefault="00082E6E" w:rsidP="004B730E">
      <w:pPr>
        <w:widowControl w:val="0"/>
        <w:autoSpaceDE w:val="0"/>
        <w:autoSpaceDN w:val="0"/>
        <w:adjustRightInd w:val="0"/>
        <w:spacing w:after="0" w:line="240" w:lineRule="auto"/>
        <w:rPr>
          <w:rFonts w:ascii="Garamond" w:hAnsi="Garamond"/>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Grear argues that </w:t>
      </w:r>
      <w:r w:rsidRPr="00411AE0">
        <w:rPr>
          <w:rFonts w:ascii="Garamond" w:hAnsi="Garamond" w:cs="Times New Roman"/>
          <w:sz w:val="20"/>
          <w:szCs w:val="20"/>
          <w:lang w:val="en-US"/>
        </w:rPr>
        <w:t>‘[t]he corporation is quintessentially disembodied and also the ultimate personification of market imperatives, presenting a form of subjectivity that perfectly fits, expresses, facilitates and perhaps even intensifies the priorities of capitalism itself’: Grear</w:t>
      </w:r>
      <w:r>
        <w:rPr>
          <w:rFonts w:ascii="Garamond" w:hAnsi="Garamond" w:cs="Times New Roman"/>
          <w:sz w:val="20"/>
          <w:szCs w:val="20"/>
          <w:lang w:val="en-US"/>
        </w:rPr>
        <w:t xml:space="preserve"> (n 115) </w:t>
      </w:r>
      <w:r w:rsidRPr="00411AE0">
        <w:rPr>
          <w:rFonts w:ascii="Garamond" w:hAnsi="Garamond" w:cs="Times New Roman"/>
          <w:sz w:val="20"/>
          <w:szCs w:val="20"/>
          <w:lang w:val="en-US"/>
        </w:rPr>
        <w:t xml:space="preserve">at 97. See also, </w:t>
      </w:r>
      <w:r w:rsidRPr="00411AE0">
        <w:rPr>
          <w:rFonts w:ascii="Garamond" w:hAnsi="Garamond"/>
          <w:sz w:val="20"/>
          <w:szCs w:val="20"/>
        </w:rPr>
        <w:t xml:space="preserve">M Neocleous, ‘Staging Power: Marx, Hobbes and the Personification of Capital,’ (2003) 14 </w:t>
      </w:r>
      <w:r w:rsidRPr="00411AE0">
        <w:rPr>
          <w:rFonts w:ascii="Garamond" w:hAnsi="Garamond"/>
          <w:i/>
          <w:sz w:val="20"/>
          <w:szCs w:val="20"/>
        </w:rPr>
        <w:t>Law and Critique</w:t>
      </w:r>
      <w:r w:rsidRPr="00411AE0">
        <w:rPr>
          <w:rFonts w:ascii="Garamond" w:hAnsi="Garamond"/>
          <w:sz w:val="20"/>
          <w:szCs w:val="20"/>
        </w:rPr>
        <w:t xml:space="preserve"> 147-165.</w:t>
      </w:r>
    </w:p>
  </w:footnote>
  <w:footnote w:id="153">
    <w:p w14:paraId="5D91E6E2" w14:textId="68E12C57" w:rsidR="00082E6E" w:rsidRPr="00196D9D" w:rsidRDefault="00082E6E" w:rsidP="00B45C39">
      <w:pPr>
        <w:spacing w:after="0" w:line="240" w:lineRule="auto"/>
        <w:outlineLvl w:val="2"/>
        <w:rPr>
          <w:rFonts w:ascii="Garamond" w:eastAsiaTheme="minorEastAsia" w:hAnsi="Garamond" w:cs="Times New Roman"/>
          <w:color w:val="000000"/>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‘T</w:t>
      </w:r>
      <w:r w:rsidRPr="00411AE0">
        <w:rPr>
          <w:rFonts w:ascii="Garamond" w:eastAsiaTheme="minorEastAsia" w:hAnsi="Garamond" w:cs="Times New Roman"/>
          <w:color w:val="000000"/>
          <w:sz w:val="20"/>
          <w:szCs w:val="20"/>
          <w:lang w:val="en-US"/>
        </w:rPr>
        <w:t xml:space="preserve">he very design of the corporation as a legal form can be read as an analogue to the idealised characteristics of European (and colonial) masculinity: separate legal personality, limited liability and the separation between </w:t>
      </w:r>
      <w:r w:rsidRPr="00556634">
        <w:rPr>
          <w:rFonts w:ascii="Garamond" w:eastAsiaTheme="minorEastAsia" w:hAnsi="Garamond" w:cs="Times New Roman"/>
          <w:color w:val="000000"/>
          <w:sz w:val="20"/>
          <w:szCs w:val="20"/>
          <w:lang w:val="en-US"/>
        </w:rPr>
        <w:t xml:space="preserve">ownership and control—as well as the legal duty placed upon company directors to pursue profit above all else—are </w:t>
      </w:r>
      <w:r w:rsidRPr="00EB1C0A">
        <w:rPr>
          <w:rFonts w:ascii="Garamond" w:eastAsiaTheme="minorEastAsia" w:hAnsi="Garamond" w:cs="Times New Roman"/>
          <w:color w:val="000000"/>
          <w:sz w:val="20"/>
          <w:szCs w:val="20"/>
          <w:lang w:val="en-US"/>
        </w:rPr>
        <w:t xml:space="preserve">legible as direct analogues to the mythic white, European </w:t>
      </w:r>
      <w:r w:rsidRPr="00196D9D">
        <w:rPr>
          <w:rFonts w:ascii="Garamond" w:eastAsiaTheme="minorEastAsia" w:hAnsi="Garamond" w:cs="Times New Roman"/>
          <w:color w:val="000000"/>
          <w:sz w:val="20"/>
          <w:szCs w:val="20"/>
          <w:lang w:val="en-US"/>
        </w:rPr>
        <w:t xml:space="preserve">male’: </w:t>
      </w:r>
      <w:r w:rsidRPr="00A7059F">
        <w:rPr>
          <w:rFonts w:ascii="Garamond" w:hAnsi="Garamond" w:cs="Times New Roman"/>
          <w:sz w:val="20"/>
          <w:szCs w:val="20"/>
          <w:lang w:val="en-US"/>
        </w:rPr>
        <w:t xml:space="preserve">A Grear, ‘Deconstructing </w:t>
      </w:r>
      <w:r w:rsidRPr="00A7059F">
        <w:rPr>
          <w:rFonts w:ascii="Garamond" w:hAnsi="Garamond" w:cs="Times New Roman"/>
          <w:i/>
          <w:sz w:val="20"/>
          <w:szCs w:val="20"/>
          <w:lang w:val="en-US"/>
        </w:rPr>
        <w:t>Anthropos</w:t>
      </w:r>
      <w:r w:rsidRPr="00A7059F">
        <w:rPr>
          <w:rFonts w:ascii="Garamond" w:hAnsi="Garamond" w:cs="Times New Roman"/>
          <w:sz w:val="20"/>
          <w:szCs w:val="20"/>
          <w:lang w:val="en-US"/>
        </w:rPr>
        <w:t>: A Critical Legal Reflection on “Anthropocentric”</w:t>
      </w:r>
      <w:r w:rsidRPr="00196D9D">
        <w:rPr>
          <w:rFonts w:ascii="Garamond" w:hAnsi="Garamond" w:cs="Times New Roman"/>
          <w:sz w:val="20"/>
          <w:szCs w:val="20"/>
          <w:lang w:val="en-US"/>
        </w:rPr>
        <w:t xml:space="preserve"> Law and Anthropocene “Humanity</w:t>
      </w:r>
      <w:r w:rsidRPr="00A7059F">
        <w:rPr>
          <w:rFonts w:ascii="Garamond" w:hAnsi="Garamond" w:cs="Times New Roman"/>
          <w:sz w:val="20"/>
          <w:szCs w:val="20"/>
          <w:lang w:val="en-US"/>
        </w:rPr>
        <w:t xml:space="preserve">”’ (2015) 26/3 </w:t>
      </w:r>
      <w:r w:rsidRPr="00A7059F">
        <w:rPr>
          <w:rFonts w:ascii="Garamond" w:hAnsi="Garamond" w:cs="Times New Roman"/>
          <w:i/>
          <w:sz w:val="20"/>
          <w:szCs w:val="20"/>
          <w:lang w:val="en-US"/>
        </w:rPr>
        <w:t>Law and Critique</w:t>
      </w:r>
      <w:r w:rsidRPr="00A7059F">
        <w:rPr>
          <w:rFonts w:ascii="Garamond" w:hAnsi="Garamond" w:cs="Times New Roman"/>
          <w:sz w:val="20"/>
          <w:szCs w:val="20"/>
          <w:lang w:val="en-US"/>
        </w:rPr>
        <w:t xml:space="preserve"> 225-</w:t>
      </w:r>
      <w:r>
        <w:rPr>
          <w:rFonts w:ascii="Garamond" w:hAnsi="Garamond" w:cs="Times New Roman"/>
          <w:sz w:val="20"/>
          <w:szCs w:val="20"/>
          <w:lang w:val="en-US"/>
        </w:rPr>
        <w:t>2</w:t>
      </w:r>
      <w:r w:rsidRPr="00A7059F">
        <w:rPr>
          <w:rFonts w:ascii="Garamond" w:hAnsi="Garamond" w:cs="Times New Roman"/>
          <w:sz w:val="20"/>
          <w:szCs w:val="20"/>
          <w:lang w:val="en-US"/>
        </w:rPr>
        <w:t>49</w:t>
      </w:r>
      <w:r>
        <w:rPr>
          <w:rFonts w:ascii="Garamond" w:hAnsi="Garamond" w:cs="Times New Roman"/>
          <w:sz w:val="20"/>
          <w:szCs w:val="20"/>
          <w:lang w:val="en-US"/>
        </w:rPr>
        <w:t xml:space="preserve"> at</w:t>
      </w:r>
      <w:r>
        <w:rPr>
          <w:rFonts w:ascii="Garamond" w:eastAsia="Calibri" w:hAnsi="Garamond" w:cs="Times New Roman"/>
          <w:bCs/>
          <w:sz w:val="20"/>
          <w:szCs w:val="20"/>
        </w:rPr>
        <w:t xml:space="preserve"> </w:t>
      </w:r>
      <w:r w:rsidRPr="00196D9D">
        <w:rPr>
          <w:rFonts w:ascii="Garamond" w:eastAsia="Calibri" w:hAnsi="Garamond" w:cs="Times New Roman"/>
          <w:bCs/>
          <w:sz w:val="20"/>
          <w:szCs w:val="20"/>
        </w:rPr>
        <w:t>242.</w:t>
      </w:r>
      <w:r w:rsidRPr="00196D9D">
        <w:rPr>
          <w:rFonts w:ascii="Garamond" w:eastAsiaTheme="minorEastAsia" w:hAnsi="Garamond" w:cs="Times New Roman"/>
          <w:color w:val="000000"/>
          <w:sz w:val="20"/>
          <w:szCs w:val="20"/>
          <w:lang w:val="en-US"/>
        </w:rPr>
        <w:t xml:space="preserve">  </w:t>
      </w:r>
    </w:p>
  </w:footnote>
  <w:footnote w:id="154">
    <w:p w14:paraId="5A3966EE" w14:textId="68DE333B" w:rsidR="00082E6E" w:rsidRPr="00C44D4C" w:rsidRDefault="00082E6E" w:rsidP="00C44D4C">
      <w:pPr>
        <w:widowControl w:val="0"/>
        <w:autoSpaceDE w:val="0"/>
        <w:autoSpaceDN w:val="0"/>
        <w:adjustRightInd w:val="0"/>
        <w:spacing w:after="0" w:line="240" w:lineRule="auto"/>
        <w:rPr>
          <w:rFonts w:ascii="Garamond" w:hAnsi="Garamond"/>
          <w:color w:val="333333"/>
          <w:sz w:val="20"/>
          <w:szCs w:val="20"/>
        </w:rPr>
      </w:pPr>
      <w:r w:rsidRPr="00A7059F">
        <w:rPr>
          <w:rStyle w:val="FootnoteReference"/>
          <w:rFonts w:ascii="Garamond" w:hAnsi="Garamond"/>
          <w:sz w:val="20"/>
          <w:szCs w:val="20"/>
        </w:rPr>
        <w:footnoteRef/>
      </w:r>
      <w:r w:rsidRPr="00A7059F">
        <w:rPr>
          <w:rFonts w:ascii="Garamond" w:hAnsi="Garamond"/>
          <w:sz w:val="20"/>
          <w:szCs w:val="20"/>
        </w:rPr>
        <w:t xml:space="preserve"> Such multiplicity </w:t>
      </w:r>
      <w:r w:rsidRPr="00A7059F">
        <w:rPr>
          <w:rFonts w:ascii="Garamond" w:hAnsi="Garamond" w:cs="TimesLTStd-Roman"/>
          <w:sz w:val="20"/>
          <w:szCs w:val="20"/>
        </w:rPr>
        <w:t>gives rise to legal complications concerning</w:t>
      </w:r>
      <w:r w:rsidRPr="003B0326">
        <w:rPr>
          <w:rFonts w:ascii="Garamond" w:hAnsi="Garamond" w:cs="TimesLTStd-Roman"/>
          <w:sz w:val="20"/>
          <w:szCs w:val="20"/>
        </w:rPr>
        <w:t xml:space="preserve"> ‘the corporate veil’: </w:t>
      </w:r>
      <w:r w:rsidRPr="00EB1C0A">
        <w:rPr>
          <w:rFonts w:ascii="Garamond" w:hAnsi="Garamond" w:cs="Times New Roman"/>
          <w:sz w:val="20"/>
          <w:szCs w:val="20"/>
          <w:lang w:val="en-US"/>
        </w:rPr>
        <w:t>P</w:t>
      </w:r>
      <w:r w:rsidRPr="007546F3">
        <w:rPr>
          <w:rFonts w:ascii="Garamond" w:hAnsi="Garamond" w:cs="Times New Roman"/>
          <w:sz w:val="20"/>
          <w:szCs w:val="20"/>
          <w:lang w:val="en-US"/>
        </w:rPr>
        <w:t xml:space="preserve"> Muchlinski, </w:t>
      </w:r>
      <w:r>
        <w:rPr>
          <w:rFonts w:ascii="Garamond" w:hAnsi="Garamond"/>
          <w:color w:val="333333"/>
          <w:sz w:val="20"/>
          <w:szCs w:val="20"/>
        </w:rPr>
        <w:t xml:space="preserve">‘Limited liability and multinational enterprises: a case for reform?’ (2010) 34 </w:t>
      </w:r>
      <w:r>
        <w:rPr>
          <w:rFonts w:ascii="Garamond" w:hAnsi="Garamond"/>
          <w:i/>
          <w:color w:val="333333"/>
          <w:sz w:val="20"/>
          <w:szCs w:val="20"/>
        </w:rPr>
        <w:t xml:space="preserve">Cambridge Journal of Economics </w:t>
      </w:r>
      <w:r>
        <w:rPr>
          <w:rFonts w:ascii="Garamond" w:hAnsi="Garamond"/>
          <w:color w:val="333333"/>
          <w:sz w:val="20"/>
          <w:szCs w:val="20"/>
        </w:rPr>
        <w:t xml:space="preserve">915-928, at 916. Nor is this dilemma is satisfactorily addressed by the development of an enterprise liability-based approach, notwithstanding the fact that the approach has given rise to a less narrow interpretation of corporate veil jurisprudence. Cases of ‘lifting’ or ‘piercing’ the corporate veil still overwhelmingly concern the use of a corporation as a means of fraud—and ‘the courts are reluctant to go beyond this narrow range </w:t>
      </w:r>
      <w:r w:rsidRPr="00C44D4C">
        <w:rPr>
          <w:rFonts w:ascii="Garamond" w:hAnsi="Garamond"/>
          <w:color w:val="333333"/>
          <w:sz w:val="20"/>
          <w:szCs w:val="20"/>
        </w:rPr>
        <w:t xml:space="preserve">of exceptions [in order] to maintain the strict integrity of entity doctrine’: ibid, 919. In short, as </w:t>
      </w:r>
      <w:r w:rsidRPr="00C44D4C">
        <w:rPr>
          <w:rFonts w:ascii="Garamond" w:hAnsi="Garamond" w:cs="Times New Roman"/>
          <w:sz w:val="20"/>
          <w:szCs w:val="20"/>
          <w:lang w:val="en-US"/>
        </w:rPr>
        <w:t>Dangerman and Schellnhuber argue, when it comes to TNCs, ‘</w:t>
      </w:r>
      <w:r w:rsidRPr="00C44D4C">
        <w:rPr>
          <w:rFonts w:ascii="Garamond" w:hAnsi="Garamond"/>
          <w:color w:val="333333"/>
          <w:sz w:val="20"/>
          <w:szCs w:val="20"/>
        </w:rPr>
        <w:t>what often is considered a well-balanced legal-financial construction has an asymmetric and unbalanced foundation’ (at E556)</w:t>
      </w:r>
      <w:r>
        <w:rPr>
          <w:rFonts w:ascii="Garamond" w:hAnsi="Garamond"/>
          <w:color w:val="333333"/>
          <w:sz w:val="20"/>
          <w:szCs w:val="20"/>
        </w:rPr>
        <w:t>:</w:t>
      </w:r>
      <w:r w:rsidRPr="00C44D4C">
        <w:rPr>
          <w:rFonts w:ascii="Garamond" w:hAnsi="Garamond"/>
          <w:color w:val="333333"/>
          <w:sz w:val="20"/>
          <w:szCs w:val="20"/>
        </w:rPr>
        <w:t xml:space="preserve"> ‘the </w:t>
      </w:r>
      <w:r w:rsidRPr="00C44D4C">
        <w:rPr>
          <w:rFonts w:ascii="Garamond" w:hAnsi="Garamond" w:cs="Times New Roman"/>
          <w:color w:val="333333"/>
          <w:sz w:val="20"/>
          <w:szCs w:val="20"/>
        </w:rPr>
        <w:t>specific legal-financial framework . . . grants sweeping power to the shareholders, who invest in, influence, and determine (through the pressure of the demand for immediate profits) the course of the company but actively blocks feedback . . . from any system that is or may be affected by the company’s decisions and actions. In other words . . . potentially stabilizing feedback loops that could confine unsustainable runaway dynamics are blocked’ (ibid)</w:t>
      </w:r>
      <w:r>
        <w:rPr>
          <w:rFonts w:ascii="Garamond" w:hAnsi="Garamond" w:cs="Times New Roman"/>
          <w:color w:val="333333"/>
          <w:sz w:val="20"/>
          <w:szCs w:val="20"/>
        </w:rPr>
        <w:t xml:space="preserve">: </w:t>
      </w:r>
      <w:r>
        <w:rPr>
          <w:rFonts w:ascii="Garamond" w:hAnsi="Garamond" w:cs="Times New Roman"/>
          <w:sz w:val="20"/>
          <w:szCs w:val="20"/>
          <w:lang w:val="en-US"/>
        </w:rPr>
        <w:t>J Dangerman and HJ Schellnhuber</w:t>
      </w:r>
      <w:r w:rsidRPr="00CB6DF6">
        <w:rPr>
          <w:rFonts w:ascii="Garamond" w:hAnsi="Garamond" w:cs="Times New Roman"/>
          <w:sz w:val="20"/>
          <w:szCs w:val="20"/>
          <w:lang w:val="en-US"/>
        </w:rPr>
        <w:t>, ‘Energy Systems Transformation’</w:t>
      </w:r>
      <w:r>
        <w:rPr>
          <w:rFonts w:ascii="Garamond" w:hAnsi="Garamond" w:cs="Times New Roman"/>
          <w:sz w:val="20"/>
          <w:szCs w:val="20"/>
          <w:lang w:val="en-US"/>
        </w:rPr>
        <w:t xml:space="preserve"> (</w:t>
      </w:r>
      <w:r w:rsidRPr="00CB6DF6">
        <w:rPr>
          <w:rFonts w:ascii="Garamond" w:hAnsi="Garamond" w:cs="Times New Roman"/>
          <w:sz w:val="20"/>
          <w:szCs w:val="20"/>
          <w:lang w:val="en-US"/>
        </w:rPr>
        <w:t xml:space="preserve">2013) </w:t>
      </w:r>
      <w:r w:rsidRPr="00411AE0">
        <w:rPr>
          <w:rFonts w:ascii="Garamond" w:hAnsi="Garamond" w:cs="Times New Roman"/>
          <w:i/>
          <w:sz w:val="20"/>
          <w:szCs w:val="20"/>
          <w:lang w:val="en-US"/>
        </w:rPr>
        <w:t>PNAS</w:t>
      </w:r>
      <w:r w:rsidRPr="00CB6DF6">
        <w:rPr>
          <w:rFonts w:ascii="Garamond" w:hAnsi="Garamond" w:cs="Times New Roman"/>
          <w:sz w:val="20"/>
          <w:szCs w:val="20"/>
          <w:lang w:val="en-US"/>
        </w:rPr>
        <w:t xml:space="preserve"> E549-E558</w:t>
      </w:r>
      <w:r>
        <w:rPr>
          <w:rFonts w:ascii="Garamond" w:hAnsi="Garamond" w:cs="Times New Roman"/>
          <w:sz w:val="20"/>
          <w:szCs w:val="20"/>
          <w:lang w:val="en-US"/>
        </w:rPr>
        <w:t xml:space="preserve"> (a</w:t>
      </w:r>
      <w:r w:rsidRPr="00CB6DF6">
        <w:rPr>
          <w:rFonts w:ascii="Garamond" w:hAnsi="Garamond" w:cs="Times New Roman"/>
          <w:sz w:val="20"/>
          <w:szCs w:val="20"/>
          <w:lang w:val="en-US"/>
        </w:rPr>
        <w:t xml:space="preserve">vailable at </w:t>
      </w:r>
      <w:hyperlink r:id="rId6" w:history="1">
        <w:r w:rsidRPr="00BE47D8">
          <w:rPr>
            <w:rStyle w:val="Hyperlink"/>
            <w:rFonts w:ascii="Garamond" w:hAnsi="Garamond" w:cs="Times New Roman"/>
            <w:sz w:val="20"/>
            <w:szCs w:val="20"/>
            <w:lang w:val="en-US"/>
          </w:rPr>
          <w:t>www.pnas.org/cgi/doi/10.1073/pnas.1219791110</w:t>
        </w:r>
      </w:hyperlink>
      <w:r>
        <w:rPr>
          <w:rFonts w:ascii="Garamond" w:hAnsi="Garamond" w:cs="Times New Roman"/>
          <w:sz w:val="20"/>
          <w:szCs w:val="20"/>
          <w:lang w:val="en-US"/>
        </w:rPr>
        <w:t>)</w:t>
      </w:r>
      <w:r>
        <w:rPr>
          <w:rFonts w:ascii="Garamond" w:hAnsi="Garamond" w:cs="Times New Roman"/>
          <w:color w:val="333333"/>
          <w:sz w:val="20"/>
          <w:szCs w:val="20"/>
        </w:rPr>
        <w:t>.</w:t>
      </w:r>
    </w:p>
  </w:footnote>
  <w:footnote w:id="155">
    <w:p w14:paraId="391709C0" w14:textId="12BA23F6" w:rsidR="00082E6E" w:rsidRPr="007426D4" w:rsidRDefault="00082E6E">
      <w:pPr>
        <w:pStyle w:val="FootnoteText"/>
        <w:rPr>
          <w:lang w:val="en-US"/>
        </w:rPr>
      </w:pPr>
      <w:r>
        <w:rPr>
          <w:rStyle w:val="FootnoteReference"/>
        </w:rPr>
        <w:footnoteRef/>
      </w:r>
      <w:r>
        <w:t xml:space="preserve"> </w:t>
      </w:r>
      <w:r w:rsidRPr="007546F3">
        <w:rPr>
          <w:rFonts w:ascii="Garamond" w:hAnsi="Garamond" w:cs="Times New Roman"/>
          <w:lang w:val="en-US"/>
        </w:rPr>
        <w:t>Muchlinski,</w:t>
      </w:r>
      <w:r>
        <w:rPr>
          <w:rFonts w:ascii="Garamond" w:hAnsi="Garamond" w:cs="Times New Roman"/>
          <w:lang w:val="en-US"/>
        </w:rPr>
        <w:t xml:space="preserve"> </w:t>
      </w:r>
      <w:r>
        <w:rPr>
          <w:rFonts w:ascii="Garamond" w:hAnsi="Garamond"/>
          <w:color w:val="333333"/>
        </w:rPr>
        <w:t>(n 153) at 916.</w:t>
      </w:r>
    </w:p>
  </w:footnote>
  <w:footnote w:id="156">
    <w:p w14:paraId="696EBD09" w14:textId="5CA14446" w:rsidR="00082E6E" w:rsidRPr="00C44D4C" w:rsidRDefault="00082E6E" w:rsidP="00D622D9">
      <w:pPr>
        <w:pStyle w:val="FootnoteText"/>
        <w:rPr>
          <w:rFonts w:ascii="Garamond" w:hAnsi="Garamond"/>
          <w:lang w:val="en-US"/>
        </w:rPr>
      </w:pPr>
      <w:r w:rsidRPr="00152841">
        <w:rPr>
          <w:rStyle w:val="FootnoteReference"/>
          <w:rFonts w:ascii="Garamond" w:hAnsi="Garamond"/>
        </w:rPr>
        <w:footnoteRef/>
      </w:r>
      <w:r w:rsidRPr="00152841">
        <w:rPr>
          <w:rFonts w:ascii="Garamond" w:hAnsi="Garamond"/>
        </w:rPr>
        <w:t xml:space="preserve"> </w:t>
      </w:r>
      <w:r w:rsidRPr="00C44D4C">
        <w:rPr>
          <w:rFonts w:ascii="Garamond" w:hAnsi="Garamond"/>
          <w:lang w:val="en-US"/>
        </w:rPr>
        <w:t xml:space="preserve">Halewood </w:t>
      </w:r>
      <w:r w:rsidRPr="00C44D4C">
        <w:rPr>
          <w:rFonts w:ascii="Garamond" w:hAnsi="Garamond"/>
        </w:rPr>
        <w:t>(n 1</w:t>
      </w:r>
      <w:r>
        <w:rPr>
          <w:rFonts w:ascii="Garamond" w:hAnsi="Garamond"/>
        </w:rPr>
        <w:t>08</w:t>
      </w:r>
      <w:r w:rsidRPr="00C44D4C">
        <w:rPr>
          <w:rFonts w:ascii="Garamond" w:hAnsi="Garamond"/>
        </w:rPr>
        <w:t xml:space="preserve">) </w:t>
      </w:r>
      <w:r w:rsidRPr="00C44D4C">
        <w:rPr>
          <w:rFonts w:ascii="Garamond" w:hAnsi="Garamond"/>
          <w:lang w:val="en-US"/>
        </w:rPr>
        <w:t>at 1335.</w:t>
      </w:r>
    </w:p>
  </w:footnote>
  <w:footnote w:id="157">
    <w:p w14:paraId="610DBFEB" w14:textId="204B54B6" w:rsidR="00082E6E" w:rsidRPr="00C44D4C" w:rsidRDefault="00082E6E">
      <w:pPr>
        <w:pStyle w:val="FootnoteText"/>
        <w:rPr>
          <w:lang w:val="en-US"/>
        </w:rPr>
      </w:pPr>
      <w:r w:rsidRPr="00A17ABF">
        <w:rPr>
          <w:rStyle w:val="FootnoteReference"/>
          <w:rFonts w:ascii="Garamond" w:hAnsi="Garamond"/>
        </w:rPr>
        <w:footnoteRef/>
      </w:r>
      <w:r w:rsidRPr="00E72658">
        <w:rPr>
          <w:rFonts w:ascii="Garamond" w:hAnsi="Garamond"/>
        </w:rPr>
        <w:t xml:space="preserve"> </w:t>
      </w:r>
      <w:r w:rsidRPr="00E72658">
        <w:rPr>
          <w:rFonts w:ascii="Garamond" w:hAnsi="Garamond"/>
          <w:color w:val="333333"/>
        </w:rPr>
        <w:t>Dangerman and Schellnhuber (n 1</w:t>
      </w:r>
      <w:r>
        <w:rPr>
          <w:rFonts w:ascii="Garamond" w:hAnsi="Garamond"/>
          <w:color w:val="333333"/>
        </w:rPr>
        <w:t>53</w:t>
      </w:r>
      <w:r w:rsidRPr="00E72658">
        <w:rPr>
          <w:rFonts w:ascii="Garamond" w:hAnsi="Garamond"/>
          <w:color w:val="333333"/>
        </w:rPr>
        <w:t>) E556.</w:t>
      </w:r>
      <w:r>
        <w:rPr>
          <w:rFonts w:ascii="Garamond" w:hAnsi="Garamond"/>
          <w:color w:val="333333"/>
        </w:rPr>
        <w:t xml:space="preserve"> </w:t>
      </w:r>
    </w:p>
  </w:footnote>
  <w:footnote w:id="158">
    <w:p w14:paraId="6E19793A" w14:textId="2865A259" w:rsidR="00082E6E" w:rsidRPr="00EA04B6" w:rsidRDefault="00082E6E">
      <w:pPr>
        <w:pStyle w:val="FootnoteText"/>
        <w:rPr>
          <w:rFonts w:ascii="Garamond" w:hAnsi="Garamond"/>
          <w:lang w:val="en-US"/>
        </w:rPr>
      </w:pPr>
      <w:r w:rsidRPr="00EA04B6">
        <w:rPr>
          <w:rStyle w:val="FootnoteReference"/>
          <w:rFonts w:ascii="Garamond" w:hAnsi="Garamond"/>
        </w:rPr>
        <w:footnoteRef/>
      </w:r>
      <w:r w:rsidRPr="00EA04B6">
        <w:rPr>
          <w:rFonts w:ascii="Garamond" w:hAnsi="Garamond"/>
        </w:rPr>
        <w:t xml:space="preserve"> </w:t>
      </w:r>
      <w:r>
        <w:rPr>
          <w:rFonts w:ascii="Garamond" w:hAnsi="Garamond"/>
          <w:color w:val="333333"/>
        </w:rPr>
        <w:t>Ibid</w:t>
      </w:r>
      <w:r w:rsidRPr="00EA04B6">
        <w:rPr>
          <w:rFonts w:ascii="Garamond" w:hAnsi="Garamond"/>
          <w:color w:val="333333"/>
        </w:rPr>
        <w:t>.</w:t>
      </w:r>
    </w:p>
  </w:footnote>
  <w:footnote w:id="159">
    <w:p w14:paraId="516D9505" w14:textId="5FD91B0A" w:rsidR="00082E6E" w:rsidRPr="00EA04B6" w:rsidRDefault="00082E6E" w:rsidP="007700F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EA04B6">
        <w:rPr>
          <w:rFonts w:ascii="Garamond" w:hAnsi="Garamond"/>
          <w:sz w:val="20"/>
          <w:szCs w:val="20"/>
          <w:vertAlign w:val="superscript"/>
        </w:rPr>
        <w:footnoteRef/>
      </w:r>
      <w:r w:rsidRPr="00EA04B6">
        <w:rPr>
          <w:rFonts w:ascii="Garamond" w:eastAsia="Cambria" w:hAnsi="Garamond" w:cs="Cambria"/>
          <w:color w:val="000000"/>
          <w:sz w:val="20"/>
          <w:szCs w:val="20"/>
        </w:rPr>
        <w:t xml:space="preserve">  S Dorsett and S McVeigh, ‘Jurisprudences of Jurisdiction: Matters of Public Authority’ (2015) 23/4 </w:t>
      </w:r>
      <w:r w:rsidRPr="00EA04B6">
        <w:rPr>
          <w:rFonts w:ascii="Garamond" w:eastAsia="Cambria" w:hAnsi="Garamond" w:cs="Cambria"/>
          <w:i/>
          <w:color w:val="000000"/>
          <w:sz w:val="20"/>
          <w:szCs w:val="20"/>
        </w:rPr>
        <w:t>Griff</w:t>
      </w:r>
      <w:r>
        <w:rPr>
          <w:rFonts w:ascii="Garamond" w:eastAsia="Cambria" w:hAnsi="Garamond" w:cs="Cambria"/>
          <w:i/>
          <w:color w:val="000000"/>
          <w:sz w:val="20"/>
          <w:szCs w:val="20"/>
        </w:rPr>
        <w:t>i</w:t>
      </w:r>
      <w:r w:rsidRPr="00EA04B6">
        <w:rPr>
          <w:rFonts w:ascii="Garamond" w:eastAsia="Cambria" w:hAnsi="Garamond" w:cs="Cambria"/>
          <w:i/>
          <w:color w:val="000000"/>
          <w:sz w:val="20"/>
          <w:szCs w:val="20"/>
        </w:rPr>
        <w:t>th Law Review</w:t>
      </w:r>
      <w:r w:rsidRPr="00EA04B6">
        <w:rPr>
          <w:rFonts w:ascii="Garamond" w:eastAsia="Cambria" w:hAnsi="Garamond" w:cs="Cambria"/>
          <w:color w:val="000000"/>
          <w:sz w:val="20"/>
          <w:szCs w:val="20"/>
        </w:rPr>
        <w:t xml:space="preserve"> 569-588, at 569.</w:t>
      </w:r>
    </w:p>
  </w:footnote>
  <w:footnote w:id="160">
    <w:p w14:paraId="4714F2D9" w14:textId="1974CEA7" w:rsidR="00082E6E" w:rsidRPr="004E0F71" w:rsidRDefault="00082E6E" w:rsidP="005A0375">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3F3A35">
        <w:rPr>
          <w:rFonts w:ascii="Garamond" w:hAnsi="Garamond"/>
          <w:sz w:val="20"/>
          <w:szCs w:val="20"/>
          <w:vertAlign w:val="superscript"/>
        </w:rPr>
        <w:footnoteRef/>
      </w:r>
      <w:r w:rsidRPr="003F3A35">
        <w:rPr>
          <w:rFonts w:ascii="Garamond" w:eastAsia="Cambria" w:hAnsi="Garamond" w:cs="Cambria"/>
          <w:color w:val="000000"/>
          <w:sz w:val="20"/>
          <w:szCs w:val="20"/>
        </w:rPr>
        <w:t xml:space="preserve"> Such studies already exist: FA Mann</w:t>
      </w:r>
      <w:r w:rsidRPr="004E0F71">
        <w:rPr>
          <w:rFonts w:ascii="Garamond" w:eastAsia="Cambria" w:hAnsi="Garamond" w:cs="Cambria"/>
          <w:color w:val="000000"/>
          <w:sz w:val="20"/>
          <w:szCs w:val="20"/>
        </w:rPr>
        <w:t xml:space="preserve">, ‘The Doctrine of Jurisdiction in International Law’ </w:t>
      </w:r>
      <w:r w:rsidRPr="004E0F71">
        <w:rPr>
          <w:rFonts w:ascii="Garamond" w:eastAsia="Cambria" w:hAnsi="Garamond" w:cs="Cambria"/>
          <w:i/>
          <w:color w:val="000000"/>
          <w:sz w:val="20"/>
          <w:szCs w:val="20"/>
        </w:rPr>
        <w:t xml:space="preserve">Studies in International </w:t>
      </w:r>
      <w:r w:rsidRPr="003F3A35">
        <w:rPr>
          <w:rFonts w:ascii="Garamond" w:eastAsia="Cambria" w:hAnsi="Garamond" w:cs="Cambria"/>
          <w:color w:val="000000"/>
          <w:sz w:val="20"/>
          <w:szCs w:val="20"/>
        </w:rPr>
        <w:t xml:space="preserve">Law (Oxford, Clarendon 1973); C Ryngaert, </w:t>
      </w:r>
      <w:r w:rsidRPr="003F3A35">
        <w:rPr>
          <w:rFonts w:ascii="Garamond" w:eastAsia="Cambria" w:hAnsi="Garamond" w:cs="Cambria"/>
          <w:i/>
          <w:color w:val="000000"/>
          <w:sz w:val="20"/>
          <w:szCs w:val="20"/>
        </w:rPr>
        <w:t xml:space="preserve">Jurisdiction in International Law </w:t>
      </w:r>
      <w:r w:rsidRPr="003F3A35">
        <w:rPr>
          <w:rFonts w:ascii="Garamond" w:eastAsia="Cambria" w:hAnsi="Garamond" w:cs="Cambria"/>
          <w:color w:val="000000"/>
          <w:sz w:val="20"/>
          <w:szCs w:val="20"/>
        </w:rPr>
        <w:t>(Oxford: Oxford University Press, 2015) (2</w:t>
      </w:r>
      <w:r w:rsidRPr="003F3A35">
        <w:rPr>
          <w:rFonts w:ascii="Garamond" w:eastAsia="Cambria" w:hAnsi="Garamond" w:cs="Cambria"/>
          <w:color w:val="000000"/>
          <w:sz w:val="20"/>
          <w:szCs w:val="20"/>
          <w:vertAlign w:val="superscript"/>
        </w:rPr>
        <w:t>nd</w:t>
      </w:r>
      <w:r w:rsidRPr="003F3A35">
        <w:rPr>
          <w:rFonts w:ascii="Garamond" w:eastAsia="Cambria" w:hAnsi="Garamond" w:cs="Cambria"/>
          <w:color w:val="000000"/>
          <w:sz w:val="20"/>
          <w:szCs w:val="20"/>
        </w:rPr>
        <w:t xml:space="preserve"> edn.), this section aligns more closely with S McVeigh (ed.)</w:t>
      </w:r>
      <w:r w:rsidRPr="003F3A35">
        <w:rPr>
          <w:rFonts w:ascii="Garamond" w:eastAsia="Cambria" w:hAnsi="Garamond" w:cs="Cambria"/>
          <w:i/>
          <w:color w:val="000000"/>
          <w:sz w:val="20"/>
          <w:szCs w:val="20"/>
        </w:rPr>
        <w:t xml:space="preserve"> Jurisprudence of Jurisdiction</w:t>
      </w:r>
      <w:r w:rsidRPr="003F3A35">
        <w:rPr>
          <w:rFonts w:ascii="Garamond" w:eastAsia="Cambria" w:hAnsi="Garamond" w:cs="Cambria"/>
          <w:color w:val="000000"/>
          <w:sz w:val="20"/>
          <w:szCs w:val="20"/>
        </w:rPr>
        <w:t xml:space="preserve"> (New York: Routledge-</w:t>
      </w:r>
      <w:r w:rsidRPr="004E0F71">
        <w:rPr>
          <w:rFonts w:ascii="Garamond" w:eastAsia="Cambria" w:hAnsi="Garamond" w:cs="Cambria"/>
          <w:color w:val="000000"/>
          <w:sz w:val="20"/>
          <w:szCs w:val="20"/>
        </w:rPr>
        <w:t>Cavendish, 2007) 3.</w:t>
      </w:r>
    </w:p>
  </w:footnote>
  <w:footnote w:id="161">
    <w:p w14:paraId="5C2B8FD1" w14:textId="08D2528E" w:rsidR="00082E6E" w:rsidRPr="00225FF5" w:rsidRDefault="00082E6E">
      <w:pPr>
        <w:pStyle w:val="FootnoteText"/>
        <w:rPr>
          <w:rFonts w:ascii="Garamond" w:hAnsi="Garamond"/>
        </w:rPr>
      </w:pPr>
      <w:r w:rsidRPr="004E0F71">
        <w:rPr>
          <w:rStyle w:val="FootnoteReference"/>
          <w:rFonts w:ascii="Garamond" w:hAnsi="Garamond"/>
        </w:rPr>
        <w:footnoteRef/>
      </w:r>
      <w:r w:rsidRPr="004E0F71">
        <w:rPr>
          <w:rFonts w:ascii="Garamond" w:hAnsi="Garamond"/>
        </w:rPr>
        <w:t xml:space="preserve"> </w:t>
      </w:r>
      <w:r w:rsidR="00F72FD9" w:rsidRPr="004E0F71">
        <w:rPr>
          <w:rFonts w:ascii="Garamond" w:hAnsi="Garamond"/>
        </w:rPr>
        <w:t>McVeigh</w:t>
      </w:r>
      <w:r w:rsidR="00D875A1">
        <w:rPr>
          <w:rFonts w:ascii="Garamond" w:hAnsi="Garamond"/>
        </w:rPr>
        <w:t xml:space="preserve">, ibid, </w:t>
      </w:r>
      <w:r w:rsidR="00D00E9C" w:rsidRPr="004E0F71">
        <w:rPr>
          <w:rFonts w:ascii="Garamond" w:hAnsi="Garamond"/>
        </w:rPr>
        <w:t xml:space="preserve">at </w:t>
      </w:r>
      <w:r w:rsidR="00D00E9C" w:rsidRPr="004E0F71">
        <w:rPr>
          <w:rFonts w:ascii="Garamond" w:hAnsi="Garamond"/>
          <w:i/>
        </w:rPr>
        <w:t>i</w:t>
      </w:r>
      <w:r w:rsidR="00D00E9C" w:rsidRPr="004E0F71">
        <w:rPr>
          <w:rFonts w:ascii="Garamond" w:hAnsi="Garamond"/>
        </w:rPr>
        <w:t xml:space="preserve">. </w:t>
      </w:r>
      <w:r w:rsidR="004E0F71">
        <w:rPr>
          <w:rFonts w:ascii="Garamond" w:hAnsi="Garamond"/>
        </w:rPr>
        <w:t xml:space="preserve">For an analysis of jurisdiction as a legal-political amalgam, see </w:t>
      </w:r>
      <w:r w:rsidRPr="004E0F71">
        <w:rPr>
          <w:rFonts w:ascii="Garamond" w:hAnsi="Garamond"/>
        </w:rPr>
        <w:t>A Kaushal</w:t>
      </w:r>
      <w:r w:rsidRPr="003F3A35">
        <w:rPr>
          <w:rFonts w:ascii="Garamond" w:hAnsi="Garamond"/>
        </w:rPr>
        <w:t>, ‘</w:t>
      </w:r>
      <w:r w:rsidRPr="004E0F71">
        <w:rPr>
          <w:rFonts w:ascii="Garamond" w:hAnsi="Garamond"/>
        </w:rPr>
        <w:t>The</w:t>
      </w:r>
      <w:r w:rsidRPr="000133AB">
        <w:rPr>
          <w:rFonts w:ascii="Garamond" w:hAnsi="Garamond"/>
        </w:rPr>
        <w:t xml:space="preserve"> Politics </w:t>
      </w:r>
      <w:r w:rsidRPr="00225FF5">
        <w:rPr>
          <w:rFonts w:ascii="Garamond" w:hAnsi="Garamond"/>
        </w:rPr>
        <w:t xml:space="preserve">of Jurisdiction’ (2015) 78/5 </w:t>
      </w:r>
      <w:r w:rsidRPr="00225FF5">
        <w:rPr>
          <w:rFonts w:ascii="Garamond" w:hAnsi="Garamond"/>
          <w:i/>
        </w:rPr>
        <w:t>Modern Law Review</w:t>
      </w:r>
      <w:r w:rsidRPr="00225FF5">
        <w:rPr>
          <w:rFonts w:ascii="Garamond" w:hAnsi="Garamond"/>
        </w:rPr>
        <w:t xml:space="preserve"> 759-792.</w:t>
      </w:r>
    </w:p>
  </w:footnote>
  <w:footnote w:id="162">
    <w:p w14:paraId="05FC1CA2" w14:textId="41DAEEC6" w:rsidR="00082E6E" w:rsidRPr="00411AE0" w:rsidRDefault="00082E6E" w:rsidP="000930E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B6C4F">
        <w:rPr>
          <w:rFonts w:ascii="Garamond" w:hAnsi="Garamond"/>
          <w:sz w:val="20"/>
          <w:szCs w:val="20"/>
          <w:vertAlign w:val="superscript"/>
        </w:rPr>
        <w:footnoteRef/>
      </w:r>
      <w:r w:rsidRPr="000133AB">
        <w:rPr>
          <w:rFonts w:ascii="Garamond" w:eastAsia="Cambria" w:hAnsi="Garamond" w:cs="Cambria"/>
          <w:color w:val="000000"/>
          <w:sz w:val="20"/>
          <w:szCs w:val="20"/>
        </w:rPr>
        <w:t xml:space="preserve"> Ibid; S Pasternak, ‘Jurisdiction and Settler Colonialism: Where Laws Meet’ (2014) 29/2 </w:t>
      </w:r>
      <w:r w:rsidRPr="000133AB">
        <w:rPr>
          <w:rFonts w:ascii="Garamond" w:eastAsia="Cambria" w:hAnsi="Garamond" w:cs="Cambria"/>
          <w:i/>
          <w:color w:val="000000"/>
          <w:sz w:val="20"/>
          <w:szCs w:val="20"/>
        </w:rPr>
        <w:t>Canadian Journal of Law and Society</w:t>
      </w:r>
      <w:r w:rsidRPr="00225FF5">
        <w:rPr>
          <w:rFonts w:ascii="Garamond" w:eastAsia="Cambria" w:hAnsi="Garamond" w:cs="Cambria"/>
          <w:color w:val="000000"/>
          <w:sz w:val="20"/>
          <w:szCs w:val="20"/>
        </w:rPr>
        <w:t xml:space="preserve"> Special Issue on Law and Decolonization, 145-161. And, as Sam Adelman observed in a comment on an earlier draft of this text, ‘In Hobbes’s mythical moment in which the social contract is struck, the Leviathan and his jurisdiction (his right to say the law) are coeval, and</w:t>
      </w:r>
      <w:r w:rsidRPr="00411AE0">
        <w:rPr>
          <w:rFonts w:ascii="Garamond" w:eastAsia="Cambria" w:hAnsi="Garamond" w:cs="Cambria"/>
          <w:color w:val="000000"/>
          <w:sz w:val="20"/>
          <w:szCs w:val="20"/>
        </w:rPr>
        <w:t xml:space="preserve"> rights are ceded in exchange for protection—a tension that runs through liberalism like a recurring thread’.</w:t>
      </w:r>
    </w:p>
  </w:footnote>
  <w:footnote w:id="163">
    <w:p w14:paraId="33E33923" w14:textId="4E3D6B07" w:rsidR="00082E6E" w:rsidRPr="00411AE0" w:rsidRDefault="00082E6E">
      <w:pPr>
        <w:pStyle w:val="Normal1"/>
        <w:widowControl w:val="0"/>
        <w:spacing w:after="0" w:line="240" w:lineRule="auto"/>
        <w:rPr>
          <w:rFonts w:ascii="Garamond" w:eastAsia="Times New Roman" w:hAnsi="Garamond" w:cs="Times New Roman"/>
          <w:sz w:val="20"/>
          <w:szCs w:val="20"/>
        </w:rPr>
      </w:pPr>
      <w:r w:rsidRPr="00225FF5">
        <w:rPr>
          <w:rFonts w:ascii="Garamond" w:hAnsi="Garamond"/>
          <w:sz w:val="20"/>
          <w:szCs w:val="20"/>
          <w:vertAlign w:val="superscript"/>
        </w:rPr>
        <w:footnoteRef/>
      </w:r>
      <w:r w:rsidRPr="00225FF5">
        <w:rPr>
          <w:rFonts w:ascii="Garamond" w:eastAsia="Cambria" w:hAnsi="Garamond" w:cs="Cambria"/>
          <w:sz w:val="20"/>
          <w:szCs w:val="20"/>
        </w:rPr>
        <w:t xml:space="preserve"> As a concept, jurisdiction is etymologically derived from ‘the saying of the law’, from the Latin </w:t>
      </w:r>
      <w:r w:rsidRPr="00225FF5">
        <w:rPr>
          <w:rFonts w:ascii="Garamond" w:eastAsia="Cambria" w:hAnsi="Garamond" w:cs="Cambria"/>
          <w:i/>
          <w:sz w:val="20"/>
          <w:szCs w:val="20"/>
        </w:rPr>
        <w:t>ius</w:t>
      </w:r>
      <w:r w:rsidRPr="00225FF5">
        <w:rPr>
          <w:rFonts w:ascii="Garamond" w:eastAsia="Cambria" w:hAnsi="Garamond" w:cs="Cambria"/>
          <w:sz w:val="20"/>
          <w:szCs w:val="20"/>
        </w:rPr>
        <w:t xml:space="preserve"> (law’) and </w:t>
      </w:r>
      <w:r w:rsidRPr="00225FF5">
        <w:rPr>
          <w:rFonts w:ascii="Garamond" w:eastAsia="Cambria" w:hAnsi="Garamond" w:cs="Cambria"/>
          <w:i/>
          <w:sz w:val="20"/>
          <w:szCs w:val="20"/>
        </w:rPr>
        <w:t xml:space="preserve">dicere </w:t>
      </w:r>
      <w:r w:rsidRPr="00225FF5">
        <w:rPr>
          <w:rFonts w:ascii="Garamond" w:eastAsia="Cambria" w:hAnsi="Garamond" w:cs="Cambria"/>
          <w:sz w:val="20"/>
          <w:szCs w:val="20"/>
        </w:rPr>
        <w:t>(‘to speak’).</w:t>
      </w:r>
      <w:r>
        <w:rPr>
          <w:rFonts w:ascii="Garamond" w:eastAsia="Cambria" w:hAnsi="Garamond" w:cs="Cambria"/>
          <w:sz w:val="20"/>
          <w:szCs w:val="20"/>
        </w:rPr>
        <w:t xml:space="preserve"> </w:t>
      </w:r>
    </w:p>
  </w:footnote>
  <w:footnote w:id="164">
    <w:p w14:paraId="2F13B5BA" w14:textId="316C05DC" w:rsidR="00082E6E" w:rsidRPr="00411AE0" w:rsidRDefault="00082E6E" w:rsidP="00F17E18">
      <w:pPr>
        <w:pStyle w:val="Normal1"/>
        <w:pBdr>
          <w:top w:val="nil"/>
          <w:left w:val="nil"/>
          <w:bottom w:val="nil"/>
          <w:right w:val="nil"/>
          <w:between w:val="nil"/>
        </w:pBdr>
        <w:spacing w:after="0" w:line="240" w:lineRule="auto"/>
        <w:rPr>
          <w:rFonts w:ascii="Garamond" w:eastAsia="Cambria" w:hAnsi="Garamond" w:cs="Cambria"/>
          <w:b/>
          <w:bCs/>
          <w:color w:val="000000"/>
          <w:sz w:val="20"/>
          <w:szCs w:val="20"/>
          <w:lang w:val="en"/>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J </w:t>
      </w:r>
      <w:r w:rsidRPr="00411AE0">
        <w:rPr>
          <w:rFonts w:ascii="Garamond" w:eastAsia="Cambria" w:hAnsi="Garamond" w:cs="Cambria"/>
          <w:color w:val="000000"/>
          <w:sz w:val="20"/>
          <w:szCs w:val="20"/>
          <w:lang w:val="en"/>
        </w:rPr>
        <w:t xml:space="preserve">Bomhoff, ‘The Reach of Rights: “The Foreign” and “The Private” in Conflict-of-Laws, State-Action, and Fundamental-Rights Cases with Foreign Elements, 71 </w:t>
      </w:r>
      <w:r w:rsidRPr="00411AE0">
        <w:rPr>
          <w:rFonts w:ascii="Garamond" w:eastAsia="Cambria" w:hAnsi="Garamond" w:cs="Cambria"/>
          <w:i/>
          <w:iCs/>
          <w:color w:val="000000"/>
          <w:sz w:val="20"/>
          <w:szCs w:val="20"/>
          <w:lang w:val="en"/>
        </w:rPr>
        <w:t>Law and Contemporary Problems</w:t>
      </w:r>
      <w:r w:rsidRPr="00411AE0">
        <w:rPr>
          <w:rFonts w:ascii="Garamond" w:eastAsia="Cambria" w:hAnsi="Garamond" w:cs="Cambria"/>
          <w:color w:val="000000"/>
          <w:sz w:val="20"/>
          <w:szCs w:val="20"/>
          <w:lang w:val="en"/>
        </w:rPr>
        <w:t xml:space="preserve"> 39-72 (Summer 2008)</w:t>
      </w:r>
      <w:r>
        <w:rPr>
          <w:rFonts w:ascii="Garamond" w:eastAsia="Cambria" w:hAnsi="Garamond" w:cs="Cambria"/>
          <w:color w:val="000000"/>
          <w:sz w:val="20"/>
          <w:szCs w:val="20"/>
          <w:lang w:val="en"/>
        </w:rPr>
        <w:t>.</w:t>
      </w:r>
      <w:r w:rsidRPr="00411AE0">
        <w:rPr>
          <w:rFonts w:ascii="Garamond" w:eastAsia="Cambria" w:hAnsi="Garamond" w:cs="Cambria"/>
          <w:color w:val="000000"/>
          <w:sz w:val="20"/>
          <w:szCs w:val="20"/>
          <w:lang w:val="en"/>
        </w:rPr>
        <w:t xml:space="preserve"> Available at: </w:t>
      </w:r>
      <w:hyperlink r:id="rId7" w:history="1">
        <w:r w:rsidRPr="00411AE0">
          <w:rPr>
            <w:rStyle w:val="Hyperlink"/>
            <w:rFonts w:ascii="Garamond" w:eastAsia="Cambria" w:hAnsi="Garamond" w:cs="Cambria"/>
            <w:sz w:val="20"/>
            <w:szCs w:val="20"/>
            <w:lang w:val="en"/>
          </w:rPr>
          <w:t>https://scholarship.law.duke.edu/lcp/vol71/iss3/3/</w:t>
        </w:r>
      </w:hyperlink>
      <w:r w:rsidRPr="00411AE0">
        <w:rPr>
          <w:rFonts w:ascii="Garamond" w:eastAsia="Cambria" w:hAnsi="Garamond" w:cs="Cambria"/>
          <w:color w:val="000000"/>
          <w:sz w:val="20"/>
          <w:szCs w:val="20"/>
          <w:lang w:val="en"/>
        </w:rPr>
        <w:t xml:space="preserve"> Date of Last Access: 25</w:t>
      </w:r>
      <w:r w:rsidRPr="00411AE0">
        <w:rPr>
          <w:rFonts w:ascii="Garamond" w:eastAsia="Cambria" w:hAnsi="Garamond" w:cs="Cambria"/>
          <w:color w:val="000000"/>
          <w:sz w:val="20"/>
          <w:szCs w:val="20"/>
          <w:vertAlign w:val="superscript"/>
          <w:lang w:val="en"/>
        </w:rPr>
        <w:t>th</w:t>
      </w:r>
      <w:r w:rsidRPr="00411AE0">
        <w:rPr>
          <w:rFonts w:ascii="Garamond" w:eastAsia="Cambria" w:hAnsi="Garamond" w:cs="Cambria"/>
          <w:color w:val="000000"/>
          <w:sz w:val="20"/>
          <w:szCs w:val="20"/>
          <w:lang w:val="en"/>
        </w:rPr>
        <w:t xml:space="preserve"> April 2018.</w:t>
      </w:r>
    </w:p>
  </w:footnote>
  <w:footnote w:id="165">
    <w:p w14:paraId="129D3E23" w14:textId="7F33F99F" w:rsidR="00082E6E" w:rsidRPr="00411AE0" w:rsidRDefault="00082E6E" w:rsidP="001F1F27">
      <w:pPr>
        <w:pStyle w:val="Normal1"/>
        <w:spacing w:after="0" w:line="240" w:lineRule="auto"/>
        <w:rPr>
          <w:rFonts w:ascii="Garamond" w:eastAsia="Cambria" w:hAnsi="Garamond" w:cs="Cambria"/>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w:t>
      </w:r>
      <w:r w:rsidRPr="00411AE0">
        <w:rPr>
          <w:rFonts w:ascii="Garamond" w:hAnsi="Garamond"/>
          <w:sz w:val="20"/>
          <w:szCs w:val="20"/>
          <w:lang w:val="en"/>
        </w:rPr>
        <w:t>R Thompson Ford, ‘Law’s Territory (A History of Jurisdiction)’</w:t>
      </w:r>
      <w:r>
        <w:rPr>
          <w:rFonts w:ascii="Garamond" w:hAnsi="Garamond"/>
          <w:sz w:val="20"/>
          <w:szCs w:val="20"/>
          <w:lang w:val="en"/>
        </w:rPr>
        <w:t xml:space="preserve"> </w:t>
      </w:r>
      <w:r w:rsidRPr="00411AE0">
        <w:rPr>
          <w:rFonts w:ascii="Garamond" w:hAnsi="Garamond"/>
          <w:sz w:val="20"/>
          <w:szCs w:val="20"/>
          <w:lang w:val="en"/>
        </w:rPr>
        <w:t xml:space="preserve">(1999) 97 </w:t>
      </w:r>
      <w:r w:rsidRPr="00411AE0">
        <w:rPr>
          <w:rFonts w:ascii="Garamond" w:hAnsi="Garamond"/>
          <w:i/>
          <w:sz w:val="20"/>
          <w:szCs w:val="20"/>
          <w:lang w:val="en"/>
        </w:rPr>
        <w:t>Michigan Law Review</w:t>
      </w:r>
      <w:r w:rsidRPr="00411AE0">
        <w:rPr>
          <w:rFonts w:ascii="Garamond" w:hAnsi="Garamond"/>
          <w:sz w:val="20"/>
          <w:szCs w:val="20"/>
          <w:lang w:val="en"/>
        </w:rPr>
        <w:t xml:space="preserve"> 843-930</w:t>
      </w:r>
      <w:r w:rsidRPr="00411AE0">
        <w:rPr>
          <w:rFonts w:ascii="Garamond" w:eastAsia="Cambria" w:hAnsi="Garamond" w:cs="Cambria"/>
          <w:sz w:val="20"/>
          <w:szCs w:val="20"/>
        </w:rPr>
        <w:t xml:space="preserve"> at 855.</w:t>
      </w:r>
    </w:p>
  </w:footnote>
  <w:footnote w:id="166">
    <w:p w14:paraId="35658EE5" w14:textId="5E120B25" w:rsidR="00082E6E" w:rsidRPr="00411AE0" w:rsidRDefault="00082E6E" w:rsidP="001F1F27">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McVeigh</w:t>
      </w:r>
      <w:r>
        <w:rPr>
          <w:rFonts w:ascii="Garamond" w:eastAsia="Cambria" w:hAnsi="Garamond" w:cs="Cambria"/>
          <w:color w:val="000000"/>
          <w:sz w:val="20"/>
          <w:szCs w:val="20"/>
        </w:rPr>
        <w:t xml:space="preserve">, (n 159) </w:t>
      </w:r>
      <w:r w:rsidRPr="004254CB">
        <w:rPr>
          <w:rFonts w:ascii="Garamond" w:eastAsia="Cambria" w:hAnsi="Garamond" w:cs="Cambria"/>
          <w:color w:val="000000"/>
          <w:sz w:val="20"/>
          <w:szCs w:val="20"/>
        </w:rPr>
        <w:t xml:space="preserve">at </w:t>
      </w:r>
      <w:r w:rsidRPr="00A7059F">
        <w:rPr>
          <w:rFonts w:ascii="Garamond" w:eastAsia="Cambria" w:hAnsi="Garamond" w:cs="Cambria"/>
          <w:color w:val="000000"/>
          <w:sz w:val="20"/>
          <w:szCs w:val="20"/>
        </w:rPr>
        <w:t>4 and 39</w:t>
      </w:r>
      <w:r w:rsidRPr="00305DC6">
        <w:rPr>
          <w:rFonts w:ascii="Garamond" w:eastAsia="Cambria" w:hAnsi="Garamond" w:cs="Cambria"/>
          <w:color w:val="000000"/>
          <w:sz w:val="20"/>
          <w:szCs w:val="20"/>
        </w:rPr>
        <w:t>.</w:t>
      </w:r>
      <w:r>
        <w:rPr>
          <w:rFonts w:ascii="Garamond" w:eastAsia="Cambria" w:hAnsi="Garamond" w:cs="Cambria"/>
          <w:color w:val="000000"/>
          <w:sz w:val="20"/>
          <w:szCs w:val="20"/>
        </w:rPr>
        <w:t xml:space="preserve"> </w:t>
      </w:r>
    </w:p>
  </w:footnote>
  <w:footnote w:id="167">
    <w:p w14:paraId="1427BA4A" w14:textId="7C80477E" w:rsidR="00082E6E" w:rsidRPr="00411AE0" w:rsidRDefault="00082E6E" w:rsidP="007A5617">
      <w:pPr>
        <w:spacing w:after="0" w:line="240" w:lineRule="auto"/>
        <w:rPr>
          <w:rFonts w:ascii="Garamond" w:hAnsi="Garamond"/>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M </w:t>
      </w:r>
      <w:r w:rsidRPr="00411AE0">
        <w:rPr>
          <w:rFonts w:ascii="Garamond" w:hAnsi="Garamond" w:cs="Helvetica"/>
          <w:color w:val="333333"/>
          <w:sz w:val="20"/>
          <w:szCs w:val="20"/>
          <w:lang w:val="en"/>
        </w:rPr>
        <w:t>Keyes, ‘The Suppression of State Interests in International Litigation’ in McVeigh (</w:t>
      </w:r>
      <w:r>
        <w:rPr>
          <w:rFonts w:ascii="Garamond" w:hAnsi="Garamond" w:cs="Helvetica"/>
          <w:color w:val="333333"/>
          <w:sz w:val="20"/>
          <w:szCs w:val="20"/>
          <w:lang w:val="en"/>
        </w:rPr>
        <w:t>n 159</w:t>
      </w:r>
      <w:r w:rsidRPr="00411AE0">
        <w:rPr>
          <w:rFonts w:ascii="Garamond" w:hAnsi="Garamond" w:cs="Helvetica"/>
          <w:color w:val="333333"/>
          <w:sz w:val="20"/>
          <w:szCs w:val="20"/>
          <w:lang w:val="en"/>
        </w:rPr>
        <w:t>)</w:t>
      </w:r>
      <w:r>
        <w:rPr>
          <w:rFonts w:ascii="Garamond" w:hAnsi="Garamond" w:cs="Helvetica"/>
          <w:color w:val="333333"/>
          <w:sz w:val="20"/>
          <w:szCs w:val="20"/>
          <w:lang w:val="en"/>
        </w:rPr>
        <w:t xml:space="preserve">. </w:t>
      </w:r>
    </w:p>
  </w:footnote>
  <w:footnote w:id="168">
    <w:p w14:paraId="53226D37" w14:textId="5BDCF2EA" w:rsidR="00082E6E" w:rsidRPr="00411AE0" w:rsidRDefault="00082E6E" w:rsidP="0030004F">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Ibid.</w:t>
      </w:r>
    </w:p>
  </w:footnote>
  <w:footnote w:id="169">
    <w:p w14:paraId="1A860E83" w14:textId="1C2808FC" w:rsidR="00082E6E" w:rsidRPr="00411AE0" w:rsidRDefault="00082E6E" w:rsidP="00D1564F">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Dorset</w:t>
      </w:r>
      <w:r>
        <w:rPr>
          <w:rFonts w:ascii="Garamond" w:eastAsia="Cambria" w:hAnsi="Garamond" w:cs="Cambria"/>
          <w:color w:val="000000"/>
          <w:sz w:val="20"/>
          <w:szCs w:val="20"/>
        </w:rPr>
        <w:t xml:space="preserve">t and </w:t>
      </w:r>
      <w:r w:rsidRPr="00411AE0">
        <w:rPr>
          <w:rFonts w:ascii="Garamond" w:eastAsia="Cambria" w:hAnsi="Garamond" w:cs="Cambria"/>
          <w:color w:val="000000"/>
          <w:sz w:val="20"/>
          <w:szCs w:val="20"/>
        </w:rPr>
        <w:t>McVeigh</w:t>
      </w:r>
      <w:r>
        <w:rPr>
          <w:rFonts w:ascii="Garamond" w:eastAsia="Cambria" w:hAnsi="Garamond" w:cs="Cambria"/>
          <w:color w:val="000000"/>
          <w:sz w:val="20"/>
          <w:szCs w:val="20"/>
        </w:rPr>
        <w:t xml:space="preserve"> (n 158) </w:t>
      </w:r>
      <w:r w:rsidRPr="00411AE0">
        <w:rPr>
          <w:rFonts w:ascii="Garamond" w:eastAsia="Cambria" w:hAnsi="Garamond" w:cs="Cambria"/>
          <w:color w:val="000000"/>
          <w:sz w:val="20"/>
          <w:szCs w:val="20"/>
        </w:rPr>
        <w:t>at 569.</w:t>
      </w:r>
    </w:p>
  </w:footnote>
  <w:footnote w:id="170">
    <w:p w14:paraId="23E76706" w14:textId="46ED73A1" w:rsidR="00082E6E" w:rsidRPr="00411AE0" w:rsidRDefault="00082E6E" w:rsidP="001F1F27">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Ford</w:t>
      </w:r>
      <w:r>
        <w:rPr>
          <w:rFonts w:ascii="Garamond" w:eastAsia="Cambria" w:hAnsi="Garamond" w:cs="Cambria"/>
          <w:color w:val="000000"/>
          <w:sz w:val="20"/>
          <w:szCs w:val="20"/>
        </w:rPr>
        <w:t xml:space="preserve"> (n 164)</w:t>
      </w:r>
      <w:r w:rsidRPr="00411AE0">
        <w:rPr>
          <w:rFonts w:ascii="Garamond" w:eastAsia="Cambria" w:hAnsi="Garamond" w:cs="Cambria"/>
          <w:color w:val="000000"/>
          <w:sz w:val="20"/>
          <w:szCs w:val="20"/>
        </w:rPr>
        <w:t xml:space="preserve"> at 844, developed later in this section when examining the relationship between jurisdiction and territory.</w:t>
      </w:r>
    </w:p>
  </w:footnote>
  <w:footnote w:id="171">
    <w:p w14:paraId="7F6803D4" w14:textId="15901D9A" w:rsidR="00082E6E" w:rsidRPr="00411AE0" w:rsidRDefault="00082E6E" w:rsidP="001F1F27">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Ibid.</w:t>
      </w:r>
    </w:p>
  </w:footnote>
  <w:footnote w:id="172">
    <w:p w14:paraId="5467D420" w14:textId="6FA685DB" w:rsidR="00082E6E" w:rsidRPr="009145EE" w:rsidRDefault="00082E6E" w:rsidP="001F1F27">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w:t>
      </w:r>
      <w:r w:rsidRPr="009145EE">
        <w:rPr>
          <w:rFonts w:ascii="Garamond" w:hAnsi="Garamond"/>
          <w:color w:val="000000"/>
          <w:sz w:val="20"/>
          <w:szCs w:val="20"/>
        </w:rPr>
        <w:t>Ibid: ‘</w:t>
      </w:r>
      <w:r w:rsidRPr="009145EE">
        <w:rPr>
          <w:rFonts w:ascii="Garamond" w:hAnsi="Garamond"/>
          <w:sz w:val="20"/>
          <w:szCs w:val="20"/>
        </w:rPr>
        <w:t>I must emphasize that the opposition described above is a conceptual distinction between jurisdictions. The opposition exists in the realm of rhetoric and discourse. It guides our perceptions and our actions, and may be more or less accurate way of describing the world. More importantly, its usefulness may depend less on its descriptive accuracy and more on its effectiveness as an epistemological filter. The dyad may not describe what we experience. Rather, it may influence how we think about what we experience</w:t>
      </w:r>
      <w:r>
        <w:rPr>
          <w:rFonts w:ascii="Garamond" w:hAnsi="Garamond"/>
          <w:sz w:val="20"/>
          <w:szCs w:val="20"/>
        </w:rPr>
        <w:t>’ (at 862-3)</w:t>
      </w:r>
      <w:r w:rsidRPr="009145EE">
        <w:rPr>
          <w:rFonts w:ascii="Garamond" w:hAnsi="Garamond"/>
          <w:sz w:val="20"/>
          <w:szCs w:val="20"/>
        </w:rPr>
        <w:t>.</w:t>
      </w:r>
    </w:p>
  </w:footnote>
  <w:footnote w:id="173">
    <w:p w14:paraId="2E41B00F" w14:textId="2AB1B01F"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9145EE">
        <w:rPr>
          <w:rFonts w:ascii="Garamond" w:hAnsi="Garamond"/>
          <w:sz w:val="20"/>
          <w:szCs w:val="20"/>
          <w:vertAlign w:val="superscript"/>
        </w:rPr>
        <w:footnoteRef/>
      </w:r>
      <w:r w:rsidRPr="009145EE">
        <w:rPr>
          <w:rFonts w:ascii="Garamond" w:eastAsia="Cambria" w:hAnsi="Garamond" w:cs="Cambria"/>
          <w:color w:val="000000"/>
          <w:sz w:val="20"/>
          <w:szCs w:val="20"/>
        </w:rPr>
        <w:t xml:space="preserve"> The terms ‘egocentric’ and ‘geocentric’ discussed by </w:t>
      </w:r>
      <w:r w:rsidR="00191D03">
        <w:rPr>
          <w:rFonts w:ascii="Garamond" w:eastAsia="Cambria" w:hAnsi="Garamond" w:cs="Cambria"/>
          <w:color w:val="000000"/>
          <w:sz w:val="20"/>
          <w:szCs w:val="20"/>
        </w:rPr>
        <w:t xml:space="preserve">De Sousa </w:t>
      </w:r>
      <w:r w:rsidRPr="009145EE">
        <w:rPr>
          <w:rFonts w:ascii="Garamond" w:eastAsia="Cambria" w:hAnsi="Garamond" w:cs="Cambria"/>
          <w:color w:val="000000"/>
          <w:sz w:val="20"/>
          <w:szCs w:val="20"/>
        </w:rPr>
        <w:t>Santos are chosen over the more</w:t>
      </w:r>
      <w:r>
        <w:rPr>
          <w:rFonts w:ascii="Garamond" w:eastAsia="Cambria" w:hAnsi="Garamond" w:cs="Cambria"/>
          <w:color w:val="000000"/>
          <w:sz w:val="20"/>
          <w:szCs w:val="20"/>
        </w:rPr>
        <w:t xml:space="preserve"> familiar terms ‘personal’ or ‘territorial’ jurisdiction because they reflect more accurately the use of jurisdictional technique by the TNC: B d</w:t>
      </w:r>
      <w:r w:rsidRPr="00411AE0">
        <w:rPr>
          <w:rFonts w:ascii="Garamond" w:eastAsia="Cambria" w:hAnsi="Garamond" w:cs="Cambria"/>
          <w:color w:val="000000"/>
          <w:sz w:val="20"/>
          <w:szCs w:val="20"/>
        </w:rPr>
        <w:t>e Sousa Santos, ‘Law: A Map of Misreading</w:t>
      </w:r>
      <w:r>
        <w:rPr>
          <w:rFonts w:ascii="Garamond" w:eastAsia="Cambria" w:hAnsi="Garamond" w:cs="Cambria"/>
          <w:color w:val="000000"/>
          <w:sz w:val="20"/>
          <w:szCs w:val="20"/>
        </w:rPr>
        <w:t>.</w:t>
      </w:r>
      <w:r w:rsidRPr="00411AE0">
        <w:rPr>
          <w:rFonts w:ascii="Garamond" w:eastAsia="Cambria" w:hAnsi="Garamond" w:cs="Cambria"/>
          <w:color w:val="000000"/>
          <w:sz w:val="20"/>
          <w:szCs w:val="20"/>
        </w:rPr>
        <w:t xml:space="preserve"> Toward a Postmodern Conception of Law’ (1987) 14 </w:t>
      </w:r>
      <w:r w:rsidRPr="00411AE0">
        <w:rPr>
          <w:rFonts w:ascii="Garamond" w:eastAsia="Cambria" w:hAnsi="Garamond" w:cs="Cambria"/>
          <w:i/>
          <w:color w:val="000000"/>
          <w:sz w:val="20"/>
          <w:szCs w:val="20"/>
        </w:rPr>
        <w:t>Journal of Law and Society</w:t>
      </w:r>
      <w:r w:rsidRPr="00411AE0">
        <w:rPr>
          <w:rFonts w:ascii="Garamond" w:eastAsia="Cambria" w:hAnsi="Garamond" w:cs="Cambria"/>
          <w:color w:val="000000"/>
          <w:sz w:val="20"/>
          <w:szCs w:val="20"/>
        </w:rPr>
        <w:t xml:space="preserve"> 279-302, at 281; 287</w:t>
      </w:r>
      <w:r>
        <w:rPr>
          <w:rFonts w:ascii="Garamond" w:eastAsia="Cambria" w:hAnsi="Garamond" w:cs="Cambria"/>
          <w:color w:val="000000"/>
          <w:sz w:val="20"/>
          <w:szCs w:val="20"/>
        </w:rPr>
        <w:t>.</w:t>
      </w:r>
    </w:p>
  </w:footnote>
  <w:footnote w:id="174">
    <w:p w14:paraId="290C0086" w14:textId="1E79B74A"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Ford</w:t>
      </w:r>
      <w:r>
        <w:rPr>
          <w:rFonts w:ascii="Garamond" w:eastAsia="Cambria" w:hAnsi="Garamond" w:cs="Cambria"/>
          <w:color w:val="000000"/>
          <w:sz w:val="20"/>
          <w:szCs w:val="20"/>
        </w:rPr>
        <w:t xml:space="preserve"> (n 164) </w:t>
      </w:r>
      <w:r w:rsidRPr="00411AE0">
        <w:rPr>
          <w:rFonts w:ascii="Garamond" w:eastAsia="Cambria" w:hAnsi="Garamond" w:cs="Cambria"/>
          <w:color w:val="000000"/>
          <w:sz w:val="20"/>
          <w:szCs w:val="20"/>
        </w:rPr>
        <w:t>at 863.</w:t>
      </w:r>
    </w:p>
  </w:footnote>
  <w:footnote w:id="175">
    <w:p w14:paraId="4C7CDCAF" w14:textId="7582C04E" w:rsidR="00082E6E" w:rsidRPr="00411AE0" w:rsidRDefault="00082E6E" w:rsidP="000D557D">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 example, this is often stated of indigenous peoples: ‘[I]ndigenous peoples… have an intimate connection to the land; the rationale for talking about who they are is tied to the land’: Stella Tamang, Indigenous leader, </w:t>
      </w:r>
      <w:r w:rsidRPr="00411AE0">
        <w:rPr>
          <w:rFonts w:ascii="Garamond" w:hAnsi="Garamond"/>
          <w:sz w:val="20"/>
          <w:szCs w:val="20"/>
        </w:rPr>
        <w:t xml:space="preserve"> </w:t>
      </w:r>
      <w:hyperlink r:id="rId8" w:history="1">
        <w:r w:rsidRPr="00411AE0">
          <w:rPr>
            <w:rStyle w:val="Hyperlink"/>
            <w:rFonts w:ascii="Garamond" w:eastAsia="Cambria" w:hAnsi="Garamond" w:cs="Cambria"/>
            <w:sz w:val="20"/>
            <w:szCs w:val="20"/>
          </w:rPr>
          <w:t>http://www.un.org/esa/socdev/unpfii/documents/DRIPS_en.pdf</w:t>
        </w:r>
      </w:hyperlink>
      <w:r>
        <w:rPr>
          <w:rFonts w:ascii="Garamond" w:eastAsia="Cambria" w:hAnsi="Garamond" w:cs="Cambria"/>
          <w:color w:val="000000"/>
          <w:sz w:val="20"/>
          <w:szCs w:val="20"/>
        </w:rPr>
        <w:t xml:space="preserve">. </w:t>
      </w:r>
      <w:r w:rsidRPr="00411AE0">
        <w:rPr>
          <w:rFonts w:ascii="Garamond" w:eastAsia="Cambria" w:hAnsi="Garamond" w:cs="Cambria"/>
          <w:color w:val="000000"/>
          <w:sz w:val="20"/>
          <w:szCs w:val="20"/>
        </w:rPr>
        <w:t>See also United Nations Declaration on the Rights of Indigenous Peoples, Arts 28 and 29.</w:t>
      </w:r>
    </w:p>
  </w:footnote>
  <w:footnote w:id="176">
    <w:p w14:paraId="6D2B14C4" w14:textId="3E795684" w:rsidR="00082E6E" w:rsidRPr="00411AE0" w:rsidRDefault="00082E6E" w:rsidP="00BC55E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The best example is perhaps that of Israelis and Palestinians, and their relationship with the Promised Land and the Holy City of Jerusalem: Ford</w:t>
      </w:r>
      <w:r>
        <w:rPr>
          <w:rFonts w:ascii="Garamond" w:eastAsia="Cambria" w:hAnsi="Garamond" w:cs="Cambria"/>
          <w:color w:val="000000"/>
          <w:sz w:val="20"/>
          <w:szCs w:val="20"/>
        </w:rPr>
        <w:t xml:space="preserve"> (n 164)</w:t>
      </w:r>
      <w:r w:rsidRPr="00411AE0">
        <w:rPr>
          <w:rFonts w:ascii="Garamond" w:eastAsia="Cambria" w:hAnsi="Garamond" w:cs="Cambria"/>
          <w:color w:val="000000"/>
          <w:sz w:val="20"/>
          <w:szCs w:val="20"/>
        </w:rPr>
        <w:t xml:space="preserve"> at 850.</w:t>
      </w:r>
    </w:p>
  </w:footnote>
  <w:footnote w:id="177">
    <w:p w14:paraId="28C89253" w14:textId="7A4FEE22" w:rsidR="00082E6E" w:rsidRPr="00411AE0" w:rsidRDefault="00082E6E" w:rsidP="00BC55E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Ibid.</w:t>
      </w:r>
    </w:p>
  </w:footnote>
  <w:footnote w:id="178">
    <w:p w14:paraId="31A23C04" w14:textId="676F832A" w:rsidR="00082E6E" w:rsidRPr="00411AE0" w:rsidRDefault="00082E6E" w:rsidP="00BC55E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Ibid.</w:t>
      </w:r>
    </w:p>
  </w:footnote>
  <w:footnote w:id="179">
    <w:p w14:paraId="37E53255" w14:textId="5FB31A50" w:rsidR="00082E6E" w:rsidRPr="00411AE0" w:rsidRDefault="00082E6E" w:rsidP="00BC55E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Ibid. </w:t>
      </w:r>
      <w:r>
        <w:rPr>
          <w:rFonts w:ascii="Garamond" w:eastAsia="Cambria" w:hAnsi="Garamond" w:cs="Cambria"/>
          <w:color w:val="000000"/>
          <w:sz w:val="20"/>
          <w:szCs w:val="20"/>
        </w:rPr>
        <w:t xml:space="preserve">Ford </w:t>
      </w:r>
      <w:r w:rsidRPr="00411AE0">
        <w:rPr>
          <w:rFonts w:ascii="Garamond" w:eastAsia="Cambria" w:hAnsi="Garamond" w:cs="Cambria"/>
          <w:color w:val="000000"/>
          <w:sz w:val="20"/>
          <w:szCs w:val="20"/>
        </w:rPr>
        <w:t xml:space="preserve">gives the example of electoral districts, made for administrative convenience (at 861). We could also add the partition of Africa at the Conference of Berlin, redrawing the map of the continent for the convenience of the European powers, in a purely artificial, synthetic, fashion: see R McCorquodale and R Pangalangan, ‘Pushing the Limitations of Territorial Boundaries’  (2001) 12/5 </w:t>
      </w:r>
      <w:r w:rsidRPr="00411AE0">
        <w:rPr>
          <w:rFonts w:ascii="Garamond" w:eastAsia="Cambria" w:hAnsi="Garamond" w:cs="Cambria"/>
          <w:i/>
          <w:color w:val="000000"/>
          <w:sz w:val="20"/>
          <w:szCs w:val="20"/>
        </w:rPr>
        <w:t>European Journal of International Law</w:t>
      </w:r>
      <w:r w:rsidRPr="00411AE0">
        <w:rPr>
          <w:rFonts w:ascii="Garamond" w:eastAsia="Cambria" w:hAnsi="Garamond" w:cs="Cambria"/>
          <w:color w:val="000000"/>
          <w:sz w:val="20"/>
          <w:szCs w:val="20"/>
        </w:rPr>
        <w:t xml:space="preserve"> 867-888, at 878, recalling the partition of Africa.</w:t>
      </w:r>
    </w:p>
  </w:footnote>
  <w:footnote w:id="180">
    <w:p w14:paraId="22ED0EAE" w14:textId="4FF8EE7A" w:rsidR="00082E6E" w:rsidRPr="00411AE0" w:rsidRDefault="00082E6E" w:rsidP="00BC55EB">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Ford</w:t>
      </w:r>
      <w:r>
        <w:rPr>
          <w:rFonts w:ascii="Garamond" w:eastAsia="Cambria" w:hAnsi="Garamond" w:cs="Cambria"/>
          <w:color w:val="000000"/>
          <w:sz w:val="20"/>
          <w:szCs w:val="20"/>
        </w:rPr>
        <w:t xml:space="preserve"> (n 164)</w:t>
      </w:r>
      <w:r w:rsidRPr="00411AE0">
        <w:rPr>
          <w:rFonts w:ascii="Garamond" w:eastAsia="Cambria" w:hAnsi="Garamond" w:cs="Cambria"/>
          <w:color w:val="000000"/>
          <w:sz w:val="20"/>
          <w:szCs w:val="20"/>
        </w:rPr>
        <w:t xml:space="preserve"> at 861.</w:t>
      </w:r>
    </w:p>
  </w:footnote>
  <w:footnote w:id="181">
    <w:p w14:paraId="1B229D18" w14:textId="6ABA9CF5" w:rsidR="00082E6E" w:rsidRPr="00411AE0"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Ford, ibid, at 873, citing Maine: ‘it is … not true that the territorial character of sovereignty was always recognised’: H Maine, </w:t>
      </w:r>
      <w:r w:rsidRPr="00411AE0">
        <w:rPr>
          <w:rFonts w:ascii="Garamond" w:eastAsia="Cambria" w:hAnsi="Garamond" w:cs="Cambria"/>
          <w:i/>
          <w:color w:val="000000"/>
          <w:sz w:val="20"/>
          <w:szCs w:val="20"/>
        </w:rPr>
        <w:t>Ancient Law</w:t>
      </w:r>
      <w:r w:rsidRPr="00411AE0">
        <w:rPr>
          <w:rFonts w:ascii="Garamond" w:eastAsia="Cambria" w:hAnsi="Garamond" w:cs="Cambria"/>
          <w:color w:val="000000"/>
          <w:sz w:val="20"/>
          <w:szCs w:val="20"/>
        </w:rPr>
        <w:t xml:space="preserve"> (Arizona: University of Arizona Press 1986 (1864)) at 98-99: The ruler of a nation was ‘the king of a people, and not king of a territory’ (Ford, ibid). Maine, as cited by Ford, explains that the origin of territoriality can be found with the Capetian dynasty whose sovereign evolved from the King of the Franks—a people—to the King of France—a territory: Maine, ibid, 103-4. This model was later adopted in England by the Norman conquerors: Ford, ibid; Maine, ibid, at 104. </w:t>
      </w:r>
    </w:p>
  </w:footnote>
  <w:footnote w:id="182">
    <w:p w14:paraId="79BB7BA4" w14:textId="18211F26" w:rsidR="00082E6E" w:rsidRPr="00411AE0"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w:t>
      </w:r>
      <w:r w:rsidR="000A4FBC">
        <w:rPr>
          <w:rFonts w:ascii="Garamond" w:eastAsia="Cambria" w:hAnsi="Garamond" w:cs="Cambria"/>
          <w:color w:val="000000"/>
          <w:sz w:val="20"/>
          <w:szCs w:val="20"/>
        </w:rPr>
        <w:t xml:space="preserve">De Sousa </w:t>
      </w:r>
      <w:r w:rsidRPr="00411AE0">
        <w:rPr>
          <w:rFonts w:ascii="Garamond" w:eastAsia="Cambria" w:hAnsi="Garamond" w:cs="Cambria"/>
          <w:color w:val="000000"/>
          <w:sz w:val="20"/>
          <w:szCs w:val="20"/>
        </w:rPr>
        <w:t>Santos</w:t>
      </w:r>
      <w:r>
        <w:rPr>
          <w:rFonts w:ascii="Garamond" w:eastAsia="Cambria" w:hAnsi="Garamond" w:cs="Cambria"/>
          <w:color w:val="000000"/>
          <w:sz w:val="20"/>
          <w:szCs w:val="20"/>
        </w:rPr>
        <w:t xml:space="preserve"> (172)</w:t>
      </w:r>
      <w:r w:rsidRPr="00411AE0">
        <w:rPr>
          <w:rFonts w:ascii="Garamond" w:eastAsia="Cambria" w:hAnsi="Garamond" w:cs="Cambria"/>
          <w:color w:val="000000"/>
          <w:sz w:val="20"/>
          <w:szCs w:val="20"/>
        </w:rPr>
        <w:t xml:space="preserve"> 292.</w:t>
      </w:r>
    </w:p>
  </w:footnote>
  <w:footnote w:id="183">
    <w:p w14:paraId="28832FFA" w14:textId="3AD334D5" w:rsidR="00082E6E" w:rsidRPr="00411AE0" w:rsidRDefault="00082E6E" w:rsidP="005F0FD6">
      <w:pPr>
        <w:pStyle w:val="Normal1"/>
        <w:spacing w:after="0" w:line="240" w:lineRule="auto"/>
        <w:rPr>
          <w:rFonts w:ascii="Garamond" w:eastAsia="Cambria" w:hAnsi="Garamond" w:cs="Cambria"/>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Ford</w:t>
      </w:r>
      <w:r>
        <w:rPr>
          <w:rFonts w:ascii="Garamond" w:eastAsia="Cambria" w:hAnsi="Garamond" w:cs="Cambria"/>
          <w:sz w:val="20"/>
          <w:szCs w:val="20"/>
        </w:rPr>
        <w:t xml:space="preserve"> </w:t>
      </w:r>
      <w:r>
        <w:rPr>
          <w:rFonts w:ascii="Garamond" w:eastAsia="Cambria" w:hAnsi="Garamond" w:cs="Cambria"/>
          <w:color w:val="000000"/>
          <w:sz w:val="20"/>
          <w:szCs w:val="20"/>
        </w:rPr>
        <w:t>(n 164)</w:t>
      </w:r>
      <w:r w:rsidRPr="00411AE0">
        <w:rPr>
          <w:rFonts w:ascii="Garamond" w:eastAsia="Cambria" w:hAnsi="Garamond" w:cs="Cambria"/>
          <w:sz w:val="20"/>
          <w:szCs w:val="20"/>
        </w:rPr>
        <w:t xml:space="preserve"> at 842, notwithstanding the existence of early European city-states</w:t>
      </w:r>
      <w:r>
        <w:rPr>
          <w:rFonts w:ascii="Garamond" w:eastAsia="Cambria" w:hAnsi="Garamond" w:cs="Cambria"/>
          <w:sz w:val="20"/>
          <w:szCs w:val="20"/>
        </w:rPr>
        <w:t>.</w:t>
      </w:r>
    </w:p>
  </w:footnote>
  <w:footnote w:id="184">
    <w:p w14:paraId="4BD444CA" w14:textId="5ED1FEB2" w:rsidR="00082E6E" w:rsidRPr="00411AE0"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W Mignolo, </w:t>
      </w:r>
      <w:r w:rsidRPr="00411AE0">
        <w:rPr>
          <w:rFonts w:ascii="Garamond" w:eastAsia="Cambria" w:hAnsi="Garamond" w:cs="Cambria"/>
          <w:i/>
          <w:color w:val="000000"/>
          <w:sz w:val="20"/>
          <w:szCs w:val="20"/>
        </w:rPr>
        <w:t xml:space="preserve">The Dark Side of The Renaissance: Literacy, Territoriality and Colonization </w:t>
      </w:r>
      <w:r w:rsidRPr="00411AE0">
        <w:rPr>
          <w:rFonts w:ascii="Garamond" w:eastAsia="Cambria" w:hAnsi="Garamond" w:cs="Cambria"/>
          <w:color w:val="000000"/>
          <w:sz w:val="20"/>
          <w:szCs w:val="20"/>
        </w:rPr>
        <w:t>(Ann Arbor: University of Michigan Press, 1995).</w:t>
      </w:r>
    </w:p>
  </w:footnote>
  <w:footnote w:id="185">
    <w:p w14:paraId="295FD15A" w14:textId="539E9A4E" w:rsidR="00082E6E" w:rsidRPr="00411AE0"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Ford</w:t>
      </w:r>
      <w:r>
        <w:rPr>
          <w:rFonts w:ascii="Garamond" w:eastAsia="Cambria" w:hAnsi="Garamond" w:cs="Cambria"/>
          <w:color w:val="000000"/>
          <w:sz w:val="20"/>
          <w:szCs w:val="20"/>
        </w:rPr>
        <w:t xml:space="preserve"> (n 164) </w:t>
      </w:r>
      <w:r w:rsidRPr="00411AE0">
        <w:rPr>
          <w:rFonts w:ascii="Garamond" w:eastAsia="Cambria" w:hAnsi="Garamond" w:cs="Cambria"/>
          <w:color w:val="000000"/>
          <w:sz w:val="20"/>
          <w:szCs w:val="20"/>
        </w:rPr>
        <w:t>at 844.</w:t>
      </w:r>
    </w:p>
  </w:footnote>
  <w:footnote w:id="186">
    <w:p w14:paraId="5BEF269C" w14:textId="06914A6E" w:rsidR="00082E6E" w:rsidRPr="00411AE0" w:rsidRDefault="00082E6E" w:rsidP="005F0FD6">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Ibid.</w:t>
      </w:r>
    </w:p>
  </w:footnote>
  <w:footnote w:id="187">
    <w:p w14:paraId="00A9225E" w14:textId="68BD8602" w:rsidR="00082E6E" w:rsidRPr="00ED56E7"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1817F5">
        <w:rPr>
          <w:rFonts w:ascii="Garamond" w:hAnsi="Garamond"/>
          <w:sz w:val="20"/>
          <w:szCs w:val="20"/>
          <w:vertAlign w:val="superscript"/>
        </w:rPr>
        <w:footnoteRef/>
      </w:r>
      <w:r w:rsidRPr="001817F5">
        <w:rPr>
          <w:rFonts w:ascii="Garamond" w:eastAsia="Cambria" w:hAnsi="Garamond" w:cs="Cambria"/>
          <w:color w:val="000000"/>
          <w:sz w:val="20"/>
          <w:szCs w:val="20"/>
        </w:rPr>
        <w:t xml:space="preserve"> Ibid, at 844, citing W Kymlica, </w:t>
      </w:r>
      <w:r w:rsidRPr="00ED56E7">
        <w:rPr>
          <w:rFonts w:ascii="Garamond" w:eastAsia="Cambria" w:hAnsi="Garamond" w:cs="Cambria"/>
          <w:i/>
          <w:color w:val="000000"/>
          <w:sz w:val="20"/>
          <w:szCs w:val="20"/>
        </w:rPr>
        <w:t xml:space="preserve">Liberalism, Community and Culture </w:t>
      </w:r>
      <w:r w:rsidRPr="00ED56E7">
        <w:rPr>
          <w:rFonts w:ascii="Garamond" w:eastAsia="Cambria" w:hAnsi="Garamond" w:cs="Cambria"/>
          <w:color w:val="000000"/>
          <w:sz w:val="20"/>
          <w:szCs w:val="20"/>
        </w:rPr>
        <w:t>(Oxford: Clarendon, 1991).</w:t>
      </w:r>
    </w:p>
  </w:footnote>
  <w:footnote w:id="188">
    <w:p w14:paraId="73980EA4" w14:textId="069294C1" w:rsidR="00082E6E" w:rsidRPr="00ED56E7"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1817F5">
        <w:rPr>
          <w:rFonts w:ascii="Garamond" w:hAnsi="Garamond"/>
          <w:sz w:val="20"/>
          <w:szCs w:val="20"/>
          <w:vertAlign w:val="superscript"/>
        </w:rPr>
        <w:footnoteRef/>
      </w:r>
      <w:r w:rsidRPr="001817F5">
        <w:rPr>
          <w:rFonts w:ascii="Garamond" w:eastAsia="Cambria" w:hAnsi="Garamond" w:cs="Cambria"/>
          <w:color w:val="000000"/>
          <w:sz w:val="20"/>
          <w:szCs w:val="20"/>
        </w:rPr>
        <w:t xml:space="preserve"> Cutler</w:t>
      </w:r>
      <w:r w:rsidRPr="00ED56E7">
        <w:rPr>
          <w:rFonts w:ascii="Garamond" w:eastAsia="Cambria" w:hAnsi="Garamond" w:cs="Cambria"/>
          <w:color w:val="000000"/>
          <w:sz w:val="20"/>
          <w:szCs w:val="20"/>
        </w:rPr>
        <w:t xml:space="preserve"> (n 8</w:t>
      </w:r>
      <w:r>
        <w:rPr>
          <w:rFonts w:ascii="Garamond" w:eastAsia="Cambria" w:hAnsi="Garamond" w:cs="Cambria"/>
          <w:color w:val="000000"/>
          <w:sz w:val="20"/>
          <w:szCs w:val="20"/>
        </w:rPr>
        <w:t>4</w:t>
      </w:r>
      <w:r w:rsidRPr="00ED56E7">
        <w:rPr>
          <w:rFonts w:ascii="Garamond" w:eastAsia="Cambria" w:hAnsi="Garamond" w:cs="Cambria"/>
          <w:color w:val="000000"/>
          <w:sz w:val="20"/>
          <w:szCs w:val="20"/>
        </w:rPr>
        <w:t xml:space="preserve">). </w:t>
      </w:r>
    </w:p>
  </w:footnote>
  <w:footnote w:id="189">
    <w:p w14:paraId="2B76A703" w14:textId="6644002C" w:rsidR="00082E6E" w:rsidRPr="00ED56E7"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1817F5">
        <w:rPr>
          <w:rFonts w:ascii="Garamond" w:hAnsi="Garamond"/>
          <w:sz w:val="20"/>
          <w:szCs w:val="20"/>
          <w:vertAlign w:val="superscript"/>
        </w:rPr>
        <w:footnoteRef/>
      </w:r>
      <w:r>
        <w:rPr>
          <w:rFonts w:ascii="Garamond" w:eastAsia="Cambria" w:hAnsi="Garamond" w:cs="Cambria"/>
          <w:color w:val="000000"/>
          <w:sz w:val="20"/>
          <w:szCs w:val="20"/>
        </w:rPr>
        <w:t xml:space="preserve"> </w:t>
      </w:r>
      <w:r w:rsidRPr="001817F5">
        <w:rPr>
          <w:rFonts w:ascii="Garamond" w:eastAsia="Cambria" w:hAnsi="Garamond" w:cs="Cambria"/>
          <w:color w:val="000000"/>
          <w:sz w:val="20"/>
          <w:szCs w:val="20"/>
        </w:rPr>
        <w:t>D Croxton, ‘The Peace of Westphalia of 1648 and the Orig</w:t>
      </w:r>
      <w:r w:rsidRPr="00ED56E7">
        <w:rPr>
          <w:rFonts w:ascii="Garamond" w:eastAsia="Cambria" w:hAnsi="Garamond" w:cs="Cambria"/>
          <w:color w:val="000000"/>
          <w:sz w:val="20"/>
          <w:szCs w:val="20"/>
        </w:rPr>
        <w:t xml:space="preserve">ins of Sovereignty’ (1999) 21/3 </w:t>
      </w:r>
      <w:r w:rsidRPr="00ED56E7">
        <w:rPr>
          <w:rFonts w:ascii="Garamond" w:eastAsia="Cambria" w:hAnsi="Garamond" w:cs="Cambria"/>
          <w:i/>
          <w:color w:val="000000"/>
          <w:sz w:val="20"/>
          <w:szCs w:val="20"/>
        </w:rPr>
        <w:t>International History Review</w:t>
      </w:r>
      <w:r w:rsidRPr="00ED56E7">
        <w:rPr>
          <w:rFonts w:ascii="Garamond" w:eastAsia="Cambria" w:hAnsi="Garamond" w:cs="Cambria"/>
          <w:color w:val="000000"/>
          <w:sz w:val="20"/>
          <w:szCs w:val="20"/>
        </w:rPr>
        <w:t xml:space="preserve"> 569–591.</w:t>
      </w:r>
    </w:p>
  </w:footnote>
  <w:footnote w:id="190">
    <w:p w14:paraId="0C8781DD" w14:textId="4061719A" w:rsidR="00082E6E" w:rsidRPr="00337C7B" w:rsidRDefault="00082E6E">
      <w:pPr>
        <w:pStyle w:val="FootnoteText"/>
        <w:rPr>
          <w:rFonts w:ascii="Garamond" w:hAnsi="Garamond"/>
          <w:lang w:val="en-US"/>
        </w:rPr>
      </w:pPr>
      <w:r w:rsidRPr="00337C7B">
        <w:rPr>
          <w:rStyle w:val="FootnoteReference"/>
          <w:rFonts w:ascii="Garamond" w:hAnsi="Garamond"/>
        </w:rPr>
        <w:footnoteRef/>
      </w:r>
      <w:r w:rsidRPr="00337C7B">
        <w:rPr>
          <w:rFonts w:ascii="Garamond" w:hAnsi="Garamond"/>
        </w:rPr>
        <w:t xml:space="preserve"> </w:t>
      </w:r>
      <w:r w:rsidRPr="00337C7B">
        <w:rPr>
          <w:rFonts w:ascii="Garamond" w:hAnsi="Garamond"/>
          <w:lang w:val="en-US"/>
        </w:rPr>
        <w:t>Ford (n 16</w:t>
      </w:r>
      <w:r>
        <w:rPr>
          <w:rFonts w:ascii="Garamond" w:hAnsi="Garamond"/>
          <w:lang w:val="en-US"/>
        </w:rPr>
        <w:t>4</w:t>
      </w:r>
      <w:r w:rsidRPr="00337C7B">
        <w:rPr>
          <w:rFonts w:ascii="Garamond" w:hAnsi="Garamond"/>
          <w:lang w:val="en-US"/>
        </w:rPr>
        <w:t>) at 867.</w:t>
      </w:r>
    </w:p>
  </w:footnote>
  <w:footnote w:id="191">
    <w:p w14:paraId="01F1DFA8" w14:textId="59C77E43" w:rsidR="00082E6E" w:rsidRPr="00411AE0"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1817F5">
        <w:rPr>
          <w:rFonts w:ascii="Garamond" w:hAnsi="Garamond"/>
          <w:sz w:val="20"/>
          <w:szCs w:val="20"/>
          <w:vertAlign w:val="superscript"/>
        </w:rPr>
        <w:footnoteRef/>
      </w:r>
      <w:r>
        <w:rPr>
          <w:rFonts w:ascii="Garamond" w:eastAsia="Cambria" w:hAnsi="Garamond" w:cs="Cambria"/>
          <w:color w:val="000000"/>
          <w:sz w:val="20"/>
          <w:szCs w:val="20"/>
        </w:rPr>
        <w:t xml:space="preserve"> </w:t>
      </w:r>
      <w:r w:rsidRPr="00337C7B">
        <w:rPr>
          <w:rFonts w:ascii="Garamond" w:eastAsia="Cambria" w:hAnsi="Garamond" w:cs="Cambria"/>
          <w:color w:val="000000"/>
          <w:sz w:val="20"/>
          <w:szCs w:val="20"/>
        </w:rPr>
        <w:t>McCorquodale and Pangalangan (n 17</w:t>
      </w:r>
      <w:r>
        <w:rPr>
          <w:rFonts w:ascii="Garamond" w:eastAsia="Cambria" w:hAnsi="Garamond" w:cs="Cambria"/>
          <w:color w:val="000000"/>
          <w:sz w:val="20"/>
          <w:szCs w:val="20"/>
        </w:rPr>
        <w:t>8</w:t>
      </w:r>
      <w:r w:rsidRPr="00337C7B">
        <w:rPr>
          <w:rFonts w:ascii="Garamond" w:eastAsia="Cambria" w:hAnsi="Garamond" w:cs="Cambria"/>
          <w:color w:val="000000"/>
          <w:sz w:val="20"/>
          <w:szCs w:val="20"/>
        </w:rPr>
        <w:t>) at 878.</w:t>
      </w:r>
    </w:p>
  </w:footnote>
  <w:footnote w:id="192">
    <w:p w14:paraId="371DE109" w14:textId="16EA92FD" w:rsidR="00082E6E" w:rsidRPr="00411AE0" w:rsidRDefault="00082E6E" w:rsidP="005F0FD6">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Dorse</w:t>
      </w:r>
      <w:r>
        <w:rPr>
          <w:rFonts w:ascii="Garamond" w:eastAsia="Cambria" w:hAnsi="Garamond" w:cs="Cambria"/>
          <w:color w:val="000000"/>
          <w:sz w:val="20"/>
          <w:szCs w:val="20"/>
        </w:rPr>
        <w:t>t</w:t>
      </w:r>
      <w:r w:rsidRPr="00411AE0">
        <w:rPr>
          <w:rFonts w:ascii="Garamond" w:eastAsia="Cambria" w:hAnsi="Garamond" w:cs="Cambria"/>
          <w:color w:val="000000"/>
          <w:sz w:val="20"/>
          <w:szCs w:val="20"/>
        </w:rPr>
        <w:t>t and McVeigh</w:t>
      </w:r>
      <w:r>
        <w:rPr>
          <w:rFonts w:ascii="Garamond" w:eastAsia="Cambria" w:hAnsi="Garamond" w:cs="Cambria"/>
          <w:color w:val="000000"/>
          <w:sz w:val="20"/>
          <w:szCs w:val="20"/>
        </w:rPr>
        <w:t xml:space="preserve"> (n 158) </w:t>
      </w:r>
      <w:r w:rsidRPr="00411AE0">
        <w:rPr>
          <w:rFonts w:ascii="Garamond" w:eastAsia="Cambria" w:hAnsi="Garamond" w:cs="Cambria"/>
          <w:color w:val="000000"/>
          <w:sz w:val="20"/>
          <w:szCs w:val="20"/>
        </w:rPr>
        <w:t>at 569.</w:t>
      </w:r>
    </w:p>
  </w:footnote>
  <w:footnote w:id="193">
    <w:p w14:paraId="104EE82C" w14:textId="4015BB78" w:rsidR="00082E6E" w:rsidRPr="00411AE0" w:rsidRDefault="00082E6E" w:rsidP="00C02A73">
      <w:pPr>
        <w:pStyle w:val="Normal1"/>
        <w:pBdr>
          <w:top w:val="nil"/>
          <w:left w:val="nil"/>
          <w:bottom w:val="nil"/>
          <w:right w:val="nil"/>
          <w:between w:val="nil"/>
        </w:pBdr>
        <w:spacing w:after="0"/>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‘Deciding who governs where—the basic jurisdictional question—is not only important in itself but also has the effect of determining </w:t>
      </w:r>
      <w:r w:rsidRPr="00411AE0">
        <w:rPr>
          <w:rFonts w:ascii="Garamond" w:eastAsia="Cambria" w:hAnsi="Garamond" w:cs="Cambria"/>
          <w:bCs/>
          <w:i/>
          <w:color w:val="000000"/>
          <w:sz w:val="20"/>
          <w:szCs w:val="20"/>
        </w:rPr>
        <w:t>how</w:t>
      </w:r>
      <w:r w:rsidRPr="00411AE0">
        <w:rPr>
          <w:rFonts w:ascii="Garamond" w:eastAsia="Cambria" w:hAnsi="Garamond" w:cs="Cambria"/>
          <w:b/>
          <w:bCs/>
          <w:color w:val="000000"/>
          <w:sz w:val="20"/>
          <w:szCs w:val="20"/>
        </w:rPr>
        <w:t xml:space="preserve"> </w:t>
      </w:r>
      <w:r w:rsidRPr="00411AE0">
        <w:rPr>
          <w:rFonts w:ascii="Garamond" w:eastAsia="Cambria" w:hAnsi="Garamond" w:cs="Cambria"/>
          <w:color w:val="000000"/>
          <w:sz w:val="20"/>
          <w:szCs w:val="20"/>
        </w:rPr>
        <w:t xml:space="preserve">something is governed’: M Valverde, ‘Studying the governance of crime and security: Space, time and jurisdiction’ (2014) 14/1 </w:t>
      </w:r>
      <w:r w:rsidRPr="00411AE0">
        <w:rPr>
          <w:rFonts w:ascii="Garamond" w:eastAsia="Cambria" w:hAnsi="Garamond" w:cs="Cambria"/>
          <w:i/>
          <w:color w:val="000000"/>
          <w:sz w:val="20"/>
          <w:szCs w:val="20"/>
        </w:rPr>
        <w:t xml:space="preserve">Criminology and Criminal Justice </w:t>
      </w:r>
      <w:r w:rsidRPr="00411AE0">
        <w:rPr>
          <w:rFonts w:ascii="Garamond" w:eastAsia="Cambria" w:hAnsi="Garamond" w:cs="Cambria"/>
          <w:color w:val="000000"/>
          <w:sz w:val="20"/>
          <w:szCs w:val="20"/>
        </w:rPr>
        <w:t>379-391 at 382. See also, Ford</w:t>
      </w:r>
      <w:r>
        <w:rPr>
          <w:rFonts w:ascii="Garamond" w:eastAsia="Cambria" w:hAnsi="Garamond" w:cs="Cambria"/>
          <w:color w:val="000000"/>
          <w:sz w:val="20"/>
          <w:szCs w:val="20"/>
        </w:rPr>
        <w:t xml:space="preserve"> (n 164) </w:t>
      </w:r>
      <w:r w:rsidRPr="00411AE0">
        <w:rPr>
          <w:rFonts w:ascii="Garamond" w:eastAsia="Cambria" w:hAnsi="Garamond" w:cs="Cambria"/>
          <w:color w:val="000000"/>
          <w:sz w:val="20"/>
          <w:szCs w:val="20"/>
        </w:rPr>
        <w:t>at 844. This theme is developed later in this section when examining the relationship of jurisdiction with territory.</w:t>
      </w:r>
    </w:p>
  </w:footnote>
  <w:footnote w:id="194">
    <w:p w14:paraId="3E2D988E" w14:textId="6C8D688C" w:rsidR="00082E6E" w:rsidRPr="00411AE0" w:rsidRDefault="00082E6E" w:rsidP="004E01F3">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Blanco and Razzaque</w:t>
      </w:r>
      <w:r>
        <w:rPr>
          <w:rFonts w:ascii="Garamond" w:hAnsi="Garamond"/>
          <w:color w:val="000000"/>
          <w:sz w:val="20"/>
          <w:szCs w:val="20"/>
        </w:rPr>
        <w:t xml:space="preserve"> (n 58) </w:t>
      </w:r>
      <w:r w:rsidRPr="00411AE0">
        <w:rPr>
          <w:rFonts w:ascii="Garamond" w:hAnsi="Garamond"/>
          <w:color w:val="000000"/>
          <w:sz w:val="20"/>
          <w:szCs w:val="20"/>
        </w:rPr>
        <w:t>at 39-43.</w:t>
      </w:r>
    </w:p>
  </w:footnote>
  <w:footnote w:id="195">
    <w:p w14:paraId="76425EBE" w14:textId="1CC5AFFB"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Ford</w:t>
      </w:r>
      <w:r>
        <w:rPr>
          <w:rFonts w:ascii="Garamond" w:eastAsia="Cambria" w:hAnsi="Garamond" w:cs="Cambria"/>
          <w:color w:val="000000"/>
          <w:sz w:val="20"/>
          <w:szCs w:val="20"/>
        </w:rPr>
        <w:t xml:space="preserve"> (n 164) </w:t>
      </w:r>
      <w:r w:rsidRPr="00411AE0">
        <w:rPr>
          <w:rFonts w:ascii="Garamond" w:eastAsia="Cambria" w:hAnsi="Garamond" w:cs="Cambria"/>
          <w:color w:val="000000"/>
          <w:sz w:val="20"/>
          <w:szCs w:val="20"/>
        </w:rPr>
        <w:t>at 873 citing Maine</w:t>
      </w:r>
      <w:r>
        <w:rPr>
          <w:rFonts w:ascii="Garamond" w:eastAsia="Cambria" w:hAnsi="Garamond" w:cs="Cambria"/>
          <w:color w:val="000000"/>
          <w:sz w:val="20"/>
          <w:szCs w:val="20"/>
        </w:rPr>
        <w:t xml:space="preserve"> (n 180) </w:t>
      </w:r>
      <w:r w:rsidRPr="00411AE0">
        <w:rPr>
          <w:rFonts w:ascii="Garamond" w:eastAsia="Cambria" w:hAnsi="Garamond" w:cs="Cambria"/>
          <w:color w:val="000000"/>
          <w:sz w:val="20"/>
          <w:szCs w:val="20"/>
        </w:rPr>
        <w:t>at 98-99.</w:t>
      </w:r>
    </w:p>
  </w:footnote>
  <w:footnote w:id="196">
    <w:p w14:paraId="33EFEBDF" w14:textId="4BACAA95" w:rsidR="00082E6E" w:rsidRPr="00411AE0" w:rsidRDefault="00082E6E" w:rsidP="00CB2C88">
      <w:pPr>
        <w:widowControl w:val="0"/>
        <w:autoSpaceDE w:val="0"/>
        <w:autoSpaceDN w:val="0"/>
        <w:adjustRightInd w:val="0"/>
        <w:spacing w:after="0" w:line="240" w:lineRule="auto"/>
        <w:rPr>
          <w:rFonts w:ascii="Garamond" w:hAnsi="Garamond" w:cs="Times New Roman"/>
          <w:sz w:val="20"/>
          <w:szCs w:val="20"/>
          <w:lang w:val="en-US"/>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Although Marks (n </w:t>
      </w:r>
      <w:r>
        <w:rPr>
          <w:rFonts w:ascii="Garamond" w:eastAsia="Cambria" w:hAnsi="Garamond" w:cs="Cambria"/>
          <w:color w:val="000000"/>
          <w:sz w:val="20"/>
          <w:szCs w:val="20"/>
        </w:rPr>
        <w:t>70</w:t>
      </w:r>
      <w:r w:rsidRPr="00411AE0">
        <w:rPr>
          <w:rFonts w:ascii="Garamond" w:eastAsia="Cambria" w:hAnsi="Garamond" w:cs="Cambria"/>
          <w:color w:val="000000"/>
          <w:sz w:val="20"/>
          <w:szCs w:val="20"/>
        </w:rPr>
        <w:t xml:space="preserve">) in her analysis of Hardt and Negri (n </w:t>
      </w:r>
      <w:r>
        <w:rPr>
          <w:rFonts w:ascii="Garamond" w:eastAsia="Cambria" w:hAnsi="Garamond" w:cs="Cambria"/>
          <w:color w:val="000000"/>
          <w:sz w:val="20"/>
          <w:szCs w:val="20"/>
        </w:rPr>
        <w:t>70</w:t>
      </w:r>
      <w:r w:rsidRPr="00411AE0">
        <w:rPr>
          <w:rFonts w:ascii="Garamond" w:eastAsia="Cambria" w:hAnsi="Garamond" w:cs="Cambria"/>
          <w:color w:val="000000"/>
          <w:sz w:val="20"/>
          <w:szCs w:val="20"/>
        </w:rPr>
        <w:t>), observes that ‘a process of deterritorialisation has occurred with respect to earlier systems of exploitation and exclusion’</w:t>
      </w:r>
      <w:r>
        <w:rPr>
          <w:rFonts w:ascii="Garamond" w:eastAsia="Cambria" w:hAnsi="Garamond" w:cs="Cambria"/>
          <w:color w:val="000000"/>
          <w:sz w:val="20"/>
          <w:szCs w:val="20"/>
        </w:rPr>
        <w:t>—</w:t>
      </w:r>
      <w:r w:rsidRPr="00411AE0">
        <w:rPr>
          <w:rFonts w:ascii="Garamond" w:eastAsia="Cambria" w:hAnsi="Garamond" w:cs="Cambria"/>
          <w:color w:val="000000"/>
          <w:sz w:val="20"/>
          <w:szCs w:val="20"/>
        </w:rPr>
        <w:t xml:space="preserve">at 463. </w:t>
      </w:r>
    </w:p>
  </w:footnote>
  <w:footnote w:id="197">
    <w:p w14:paraId="365A4112" w14:textId="3A18FA75" w:rsidR="00082E6E" w:rsidRPr="00411AE0" w:rsidRDefault="00082E6E" w:rsidP="00D86751">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Dorsett and McVeigh</w:t>
      </w:r>
      <w:r>
        <w:rPr>
          <w:rFonts w:ascii="Garamond" w:eastAsia="Cambria" w:hAnsi="Garamond" w:cs="Cambria"/>
          <w:color w:val="000000"/>
          <w:sz w:val="20"/>
          <w:szCs w:val="20"/>
        </w:rPr>
        <w:t xml:space="preserve"> (n 158) </w:t>
      </w:r>
      <w:r w:rsidRPr="00411AE0">
        <w:rPr>
          <w:rFonts w:ascii="Garamond" w:eastAsia="Cambria" w:hAnsi="Garamond" w:cs="Cambria"/>
          <w:color w:val="000000"/>
          <w:sz w:val="20"/>
          <w:szCs w:val="20"/>
        </w:rPr>
        <w:t>at 569.</w:t>
      </w:r>
    </w:p>
  </w:footnote>
  <w:footnote w:id="198">
    <w:p w14:paraId="3F7F30A6" w14:textId="34656D6B" w:rsidR="00082E6E" w:rsidRPr="00411AE0" w:rsidRDefault="00082E6E" w:rsidP="00D86751">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Ibid.</w:t>
      </w:r>
    </w:p>
  </w:footnote>
  <w:footnote w:id="199">
    <w:p w14:paraId="0D7A135E" w14:textId="10130628" w:rsidR="00082E6E" w:rsidRPr="00411AE0" w:rsidRDefault="00082E6E" w:rsidP="00D86751">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Ibid, at 572.</w:t>
      </w:r>
    </w:p>
  </w:footnote>
  <w:footnote w:id="200">
    <w:p w14:paraId="54A2C7CF" w14:textId="449C7D79" w:rsidR="00082E6E" w:rsidRPr="00411AE0" w:rsidRDefault="00082E6E" w:rsidP="00434B42">
      <w:pP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E Blanco, ‘State owned oil companies, North-South and South-South perspectives on investment’ in J Razzaque, J Shawkat and JH Bhuiyan (eds.) </w:t>
      </w:r>
      <w:r w:rsidRPr="00411AE0">
        <w:rPr>
          <w:rFonts w:ascii="Garamond" w:eastAsia="Cambria" w:hAnsi="Garamond" w:cs="Cambria"/>
          <w:i/>
          <w:color w:val="000000"/>
          <w:sz w:val="20"/>
          <w:szCs w:val="20"/>
        </w:rPr>
        <w:t xml:space="preserve">International Natural Resources Law, Investment and Sustainability </w:t>
      </w:r>
      <w:r w:rsidRPr="00411AE0">
        <w:rPr>
          <w:rFonts w:ascii="Garamond" w:eastAsia="Cambria" w:hAnsi="Garamond" w:cs="Cambria"/>
          <w:color w:val="000000"/>
          <w:sz w:val="20"/>
          <w:szCs w:val="20"/>
        </w:rPr>
        <w:t xml:space="preserve">(Abingdon: Routledge, 2017) 203- 334, at 203-5 discussing the power and influence of the East India Company. See also, A Wild, </w:t>
      </w:r>
      <w:r w:rsidRPr="00411AE0">
        <w:rPr>
          <w:rFonts w:ascii="Garamond" w:eastAsia="Cambria" w:hAnsi="Garamond" w:cs="Cambria"/>
          <w:i/>
          <w:color w:val="000000"/>
          <w:sz w:val="20"/>
          <w:szCs w:val="20"/>
        </w:rPr>
        <w:t xml:space="preserve">The East India Company: Trade and Conquest from </w:t>
      </w:r>
      <w:r w:rsidRPr="00411AE0">
        <w:rPr>
          <w:rFonts w:ascii="Garamond" w:eastAsia="Cambria" w:hAnsi="Garamond" w:cs="Cambria"/>
          <w:color w:val="000000"/>
          <w:sz w:val="20"/>
          <w:szCs w:val="20"/>
        </w:rPr>
        <w:t>1600 (Glasgow: Harper Collins, 1999); McLean</w:t>
      </w:r>
      <w:r>
        <w:rPr>
          <w:rFonts w:ascii="Garamond" w:eastAsia="Cambria" w:hAnsi="Garamond" w:cs="Cambria"/>
          <w:color w:val="000000"/>
          <w:sz w:val="20"/>
          <w:szCs w:val="20"/>
        </w:rPr>
        <w:t xml:space="preserve"> </w:t>
      </w:r>
      <w:r>
        <w:rPr>
          <w:rFonts w:ascii="Garamond" w:hAnsi="Garamond"/>
        </w:rPr>
        <w:t>(n 43)</w:t>
      </w:r>
      <w:r w:rsidRPr="00411AE0">
        <w:rPr>
          <w:rFonts w:ascii="Garamond" w:eastAsia="Cambria" w:hAnsi="Garamond" w:cs="Cambria"/>
          <w:color w:val="000000"/>
          <w:sz w:val="20"/>
          <w:szCs w:val="20"/>
        </w:rPr>
        <w:t>.</w:t>
      </w:r>
    </w:p>
  </w:footnote>
  <w:footnote w:id="201">
    <w:p w14:paraId="52DA362A" w14:textId="6B4D3CA8" w:rsidR="00082E6E" w:rsidRPr="00411AE0" w:rsidRDefault="00082E6E" w:rsidP="00D86751">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Dorset</w:t>
      </w:r>
      <w:r>
        <w:rPr>
          <w:rFonts w:ascii="Garamond" w:eastAsia="Cambria" w:hAnsi="Garamond" w:cs="Cambria"/>
          <w:color w:val="000000"/>
          <w:sz w:val="20"/>
          <w:szCs w:val="20"/>
        </w:rPr>
        <w:t>t</w:t>
      </w:r>
      <w:r w:rsidRPr="00411AE0">
        <w:rPr>
          <w:rFonts w:ascii="Garamond" w:eastAsia="Cambria" w:hAnsi="Garamond" w:cs="Cambria"/>
          <w:color w:val="000000"/>
          <w:sz w:val="20"/>
          <w:szCs w:val="20"/>
        </w:rPr>
        <w:t xml:space="preserve"> and McVeigh</w:t>
      </w:r>
      <w:r>
        <w:rPr>
          <w:rFonts w:ascii="Garamond" w:eastAsia="Cambria" w:hAnsi="Garamond" w:cs="Cambria"/>
          <w:color w:val="000000"/>
          <w:sz w:val="20"/>
          <w:szCs w:val="20"/>
        </w:rPr>
        <w:t xml:space="preserve"> (n 158) </w:t>
      </w:r>
      <w:r w:rsidRPr="00411AE0">
        <w:rPr>
          <w:rFonts w:ascii="Garamond" w:eastAsia="Cambria" w:hAnsi="Garamond" w:cs="Cambria"/>
          <w:color w:val="000000"/>
          <w:sz w:val="20"/>
          <w:szCs w:val="20"/>
        </w:rPr>
        <w:t xml:space="preserve">at 569. </w:t>
      </w:r>
    </w:p>
  </w:footnote>
  <w:footnote w:id="202">
    <w:p w14:paraId="185CB8AF" w14:textId="0D1CF74A" w:rsidR="00082E6E" w:rsidRPr="00411AE0" w:rsidRDefault="00082E6E" w:rsidP="00D86751">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Anghie</w:t>
      </w:r>
      <w:r>
        <w:rPr>
          <w:rFonts w:ascii="Garamond" w:eastAsia="Cambria" w:hAnsi="Garamond" w:cs="Cambria"/>
          <w:color w:val="000000"/>
          <w:sz w:val="20"/>
          <w:szCs w:val="20"/>
        </w:rPr>
        <w:t xml:space="preserve"> (n 57) </w:t>
      </w:r>
      <w:r w:rsidRPr="00411AE0">
        <w:rPr>
          <w:rFonts w:ascii="Garamond" w:eastAsia="Cambria" w:hAnsi="Garamond" w:cs="Cambria"/>
          <w:color w:val="000000"/>
          <w:sz w:val="20"/>
          <w:szCs w:val="20"/>
        </w:rPr>
        <w:t>at 332.</w:t>
      </w:r>
    </w:p>
  </w:footnote>
  <w:footnote w:id="203">
    <w:p w14:paraId="3825D9BB" w14:textId="2AEB6157" w:rsidR="00082E6E" w:rsidRPr="00411AE0" w:rsidRDefault="00082E6E" w:rsidP="00D86751">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GJ Ames, </w:t>
      </w:r>
      <w:r w:rsidRPr="00411AE0">
        <w:rPr>
          <w:rFonts w:ascii="Garamond" w:hAnsi="Garamond"/>
          <w:i/>
          <w:color w:val="000000"/>
          <w:sz w:val="20"/>
          <w:szCs w:val="20"/>
        </w:rPr>
        <w:t xml:space="preserve">The Globe Encompassed: The Age of European Discovery, 1500-1700 </w:t>
      </w:r>
      <w:r w:rsidRPr="00411AE0">
        <w:rPr>
          <w:rFonts w:ascii="Garamond" w:hAnsi="Garamond"/>
          <w:color w:val="000000"/>
          <w:sz w:val="20"/>
          <w:szCs w:val="20"/>
        </w:rPr>
        <w:t>(Upper Saddle River, NJ: Pearson, 2007) at 102-103.</w:t>
      </w:r>
    </w:p>
  </w:footnote>
  <w:footnote w:id="204">
    <w:p w14:paraId="5D7CB675" w14:textId="67858F44"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These characteristics are closely related to the imputation of organic community: see discussion and references in section 4a, above. </w:t>
      </w:r>
    </w:p>
  </w:footnote>
  <w:footnote w:id="205">
    <w:p w14:paraId="779406E7" w14:textId="3E6F9E0E" w:rsidR="00082E6E" w:rsidRPr="00411AE0" w:rsidRDefault="00082E6E" w:rsidP="004E01F3">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Kapur</w:t>
      </w:r>
      <w:r>
        <w:rPr>
          <w:rFonts w:ascii="Garamond" w:hAnsi="Garamond"/>
          <w:color w:val="000000"/>
          <w:sz w:val="20"/>
          <w:szCs w:val="20"/>
        </w:rPr>
        <w:t xml:space="preserve"> (n 134)</w:t>
      </w:r>
      <w:r w:rsidRPr="00411AE0">
        <w:rPr>
          <w:rFonts w:ascii="Garamond" w:hAnsi="Garamond"/>
          <w:color w:val="000000"/>
          <w:sz w:val="20"/>
          <w:szCs w:val="20"/>
        </w:rPr>
        <w:t>; Kapur</w:t>
      </w:r>
      <w:r>
        <w:rPr>
          <w:rFonts w:ascii="Garamond" w:hAnsi="Garamond"/>
          <w:color w:val="000000"/>
          <w:sz w:val="20"/>
          <w:szCs w:val="20"/>
        </w:rPr>
        <w:t xml:space="preserve"> (n 140) </w:t>
      </w:r>
      <w:r w:rsidRPr="00411AE0">
        <w:rPr>
          <w:rFonts w:ascii="Garamond" w:hAnsi="Garamond"/>
          <w:color w:val="000000"/>
          <w:sz w:val="20"/>
          <w:szCs w:val="20"/>
        </w:rPr>
        <w:t xml:space="preserve">at 541.  </w:t>
      </w:r>
    </w:p>
  </w:footnote>
  <w:footnote w:id="206">
    <w:p w14:paraId="04D9B4D2" w14:textId="5B0F64C3" w:rsidR="00082E6E" w:rsidRPr="00411AE0" w:rsidRDefault="00082E6E" w:rsidP="004E01F3">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Quijano</w:t>
      </w:r>
      <w:r>
        <w:rPr>
          <w:rFonts w:ascii="Garamond" w:hAnsi="Garamond"/>
          <w:color w:val="000000"/>
          <w:sz w:val="20"/>
          <w:szCs w:val="20"/>
        </w:rPr>
        <w:t xml:space="preserve"> (n 35)</w:t>
      </w:r>
      <w:r w:rsidRPr="00411AE0">
        <w:rPr>
          <w:rFonts w:ascii="Garamond" w:hAnsi="Garamond"/>
          <w:color w:val="000000"/>
          <w:sz w:val="20"/>
          <w:szCs w:val="20"/>
        </w:rPr>
        <w:t xml:space="preserve">.  The point is also made by E Said, </w:t>
      </w:r>
      <w:r w:rsidRPr="00411AE0">
        <w:rPr>
          <w:rFonts w:ascii="Garamond" w:hAnsi="Garamond"/>
          <w:i/>
          <w:color w:val="000000"/>
          <w:sz w:val="20"/>
          <w:szCs w:val="20"/>
        </w:rPr>
        <w:t>Culture and Imperialism</w:t>
      </w:r>
      <w:r w:rsidRPr="00411AE0">
        <w:rPr>
          <w:rFonts w:ascii="Garamond" w:hAnsi="Garamond"/>
          <w:color w:val="000000"/>
          <w:sz w:val="20"/>
          <w:szCs w:val="20"/>
        </w:rPr>
        <w:t xml:space="preserve"> (London: Chatto and Windus, 1993)</w:t>
      </w:r>
      <w:r>
        <w:rPr>
          <w:rFonts w:ascii="Garamond" w:hAnsi="Garamond"/>
          <w:color w:val="000000"/>
          <w:sz w:val="20"/>
          <w:szCs w:val="20"/>
        </w:rPr>
        <w:t>.</w:t>
      </w:r>
    </w:p>
  </w:footnote>
  <w:footnote w:id="207">
    <w:p w14:paraId="253EC940" w14:textId="0D963D0C" w:rsidR="00082E6E" w:rsidRPr="00411AE0" w:rsidRDefault="00082E6E" w:rsidP="004E01F3">
      <w:pPr>
        <w:pStyle w:val="Normal1"/>
        <w:pBdr>
          <w:top w:val="nil"/>
          <w:left w:val="nil"/>
          <w:bottom w:val="nil"/>
          <w:right w:val="nil"/>
          <w:between w:val="nil"/>
        </w:pBdr>
        <w:spacing w:after="0" w:line="240" w:lineRule="auto"/>
        <w:rPr>
          <w:rFonts w:ascii="Garamond" w:hAnsi="Garamond"/>
          <w:color w:val="000000"/>
          <w:sz w:val="20"/>
          <w:szCs w:val="20"/>
        </w:rPr>
      </w:pPr>
      <w:r w:rsidRPr="00411AE0">
        <w:rPr>
          <w:rFonts w:ascii="Garamond" w:hAnsi="Garamond"/>
          <w:sz w:val="20"/>
          <w:szCs w:val="20"/>
          <w:vertAlign w:val="superscript"/>
        </w:rPr>
        <w:footnoteRef/>
      </w:r>
      <w:r w:rsidRPr="00411AE0">
        <w:rPr>
          <w:rFonts w:ascii="Garamond" w:hAnsi="Garamond"/>
          <w:color w:val="000000"/>
          <w:sz w:val="20"/>
          <w:szCs w:val="20"/>
        </w:rPr>
        <w:t xml:space="preserve"> See, A Anghie, ‘The Evolution of Interntional Law: Colonial and Postcolonial Realities’ (2006) 27/5 </w:t>
      </w:r>
      <w:r w:rsidRPr="00411AE0">
        <w:rPr>
          <w:rFonts w:ascii="Garamond" w:hAnsi="Garamond"/>
          <w:i/>
          <w:color w:val="000000"/>
          <w:sz w:val="20"/>
          <w:szCs w:val="20"/>
        </w:rPr>
        <w:t xml:space="preserve">Third World Quarterly </w:t>
      </w:r>
      <w:r w:rsidRPr="00411AE0">
        <w:rPr>
          <w:rFonts w:ascii="Garamond" w:hAnsi="Garamond"/>
          <w:color w:val="000000"/>
          <w:sz w:val="20"/>
          <w:szCs w:val="20"/>
        </w:rPr>
        <w:t xml:space="preserve">739-753, at 743 discussing Francisco de Vitoria and the School of Salamanca’s role in the creation of international law. Anghie explains how Vitoria, often remembered as the champion of the rights of indigenous non-European peoples—saw the indigenous as possessing a type of ‘imperfect rationality’—and thus as </w:t>
      </w:r>
      <w:r>
        <w:rPr>
          <w:rFonts w:ascii="Garamond" w:hAnsi="Garamond"/>
          <w:color w:val="000000"/>
          <w:sz w:val="20"/>
          <w:szCs w:val="20"/>
        </w:rPr>
        <w:t xml:space="preserve">being </w:t>
      </w:r>
      <w:r w:rsidRPr="00411AE0">
        <w:rPr>
          <w:rFonts w:ascii="Garamond" w:hAnsi="Garamond"/>
          <w:color w:val="000000"/>
          <w:sz w:val="20"/>
          <w:szCs w:val="20"/>
        </w:rPr>
        <w:t xml:space="preserve">subject to natural law but in need of, by virtue of their ‘imperfections’, the intervention of the Spanish.  </w:t>
      </w:r>
    </w:p>
  </w:footnote>
  <w:footnote w:id="208">
    <w:p w14:paraId="4C406A03" w14:textId="080B0F5D"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See, generally, Mignolo (</w:t>
      </w:r>
      <w:r>
        <w:rPr>
          <w:rFonts w:ascii="Garamond" w:eastAsia="Cambria" w:hAnsi="Garamond" w:cs="Cambria"/>
          <w:color w:val="000000"/>
          <w:sz w:val="20"/>
          <w:szCs w:val="20"/>
        </w:rPr>
        <w:t>n 38</w:t>
      </w:r>
      <w:r w:rsidRPr="00411AE0">
        <w:rPr>
          <w:rFonts w:ascii="Garamond" w:eastAsia="Cambria" w:hAnsi="Garamond" w:cs="Cambria"/>
          <w:color w:val="000000"/>
          <w:sz w:val="20"/>
          <w:szCs w:val="20"/>
        </w:rPr>
        <w:t>) and Quijano (n 3</w:t>
      </w:r>
      <w:r>
        <w:rPr>
          <w:rFonts w:ascii="Garamond" w:eastAsia="Cambria" w:hAnsi="Garamond" w:cs="Cambria"/>
          <w:color w:val="000000"/>
          <w:sz w:val="20"/>
          <w:szCs w:val="20"/>
        </w:rPr>
        <w:t>5</w:t>
      </w:r>
      <w:r w:rsidRPr="00411AE0">
        <w:rPr>
          <w:rFonts w:ascii="Garamond" w:eastAsia="Cambria" w:hAnsi="Garamond" w:cs="Cambria"/>
          <w:color w:val="000000"/>
          <w:sz w:val="20"/>
          <w:szCs w:val="20"/>
        </w:rPr>
        <w:t>)</w:t>
      </w:r>
      <w:r>
        <w:rPr>
          <w:rFonts w:ascii="Garamond" w:eastAsia="Cambria" w:hAnsi="Garamond" w:cs="Cambria"/>
          <w:color w:val="000000"/>
          <w:sz w:val="20"/>
          <w:szCs w:val="20"/>
        </w:rPr>
        <w:t>.</w:t>
      </w:r>
    </w:p>
  </w:footnote>
  <w:footnote w:id="209">
    <w:p w14:paraId="5E2FE089" w14:textId="4911B318"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M Paz, ‘The Law of Walls’ (2017) 28/2 </w:t>
      </w:r>
      <w:r w:rsidRPr="00411AE0">
        <w:rPr>
          <w:rFonts w:ascii="Garamond" w:eastAsia="Cambria" w:hAnsi="Garamond" w:cs="Cambria"/>
          <w:i/>
          <w:color w:val="000000"/>
          <w:sz w:val="20"/>
          <w:szCs w:val="20"/>
        </w:rPr>
        <w:t>European Journal of International Law</w:t>
      </w:r>
      <w:r w:rsidRPr="00411AE0">
        <w:rPr>
          <w:rFonts w:ascii="Garamond" w:eastAsia="Cambria" w:hAnsi="Garamond" w:cs="Cambria"/>
          <w:color w:val="000000"/>
          <w:sz w:val="20"/>
          <w:szCs w:val="20"/>
        </w:rPr>
        <w:t>;</w:t>
      </w:r>
      <w:r w:rsidRPr="00411AE0">
        <w:rPr>
          <w:rFonts w:ascii="Garamond" w:eastAsia="Cambria" w:hAnsi="Garamond" w:cs="Cambria"/>
          <w:i/>
          <w:color w:val="000000"/>
          <w:sz w:val="20"/>
          <w:szCs w:val="20"/>
        </w:rPr>
        <w:t xml:space="preserve"> </w:t>
      </w:r>
      <w:r w:rsidRPr="00411AE0">
        <w:rPr>
          <w:rFonts w:ascii="Garamond" w:eastAsia="Cambria" w:hAnsi="Garamond" w:cs="Cambria"/>
          <w:color w:val="000000"/>
          <w:sz w:val="20"/>
          <w:szCs w:val="20"/>
        </w:rPr>
        <w:t xml:space="preserve">S Sassen, ‘Excavating Power: In Search of Frontier Zones and New Actors’ (2000) 17/1 </w:t>
      </w:r>
      <w:r w:rsidRPr="00411AE0">
        <w:rPr>
          <w:rFonts w:ascii="Garamond" w:eastAsia="Cambria" w:hAnsi="Garamond" w:cs="Cambria"/>
          <w:i/>
          <w:color w:val="000000"/>
          <w:sz w:val="20"/>
          <w:szCs w:val="20"/>
        </w:rPr>
        <w:t xml:space="preserve">Theory, Culture &amp; Society </w:t>
      </w:r>
      <w:r w:rsidRPr="00411AE0">
        <w:rPr>
          <w:rFonts w:ascii="Garamond" w:eastAsia="Cambria" w:hAnsi="Garamond" w:cs="Cambria"/>
          <w:color w:val="000000"/>
          <w:sz w:val="20"/>
          <w:szCs w:val="20"/>
        </w:rPr>
        <w:t xml:space="preserve">163-170; S Sassen, </w:t>
      </w:r>
      <w:r w:rsidRPr="00411AE0">
        <w:rPr>
          <w:rFonts w:ascii="Garamond" w:eastAsia="Cambria" w:hAnsi="Garamond" w:cs="Cambria"/>
          <w:i/>
          <w:color w:val="000000"/>
          <w:sz w:val="20"/>
          <w:szCs w:val="20"/>
        </w:rPr>
        <w:t xml:space="preserve">Cities in the World Economy </w:t>
      </w:r>
      <w:r w:rsidRPr="00411AE0">
        <w:rPr>
          <w:rFonts w:ascii="Garamond" w:eastAsia="Cambria" w:hAnsi="Garamond" w:cs="Cambria"/>
          <w:color w:val="000000"/>
          <w:sz w:val="20"/>
          <w:szCs w:val="20"/>
        </w:rPr>
        <w:t xml:space="preserve">(Thousand Oaks CA: Sage, 2000). </w:t>
      </w:r>
    </w:p>
  </w:footnote>
  <w:footnote w:id="210">
    <w:p w14:paraId="6DC5D3BD" w14:textId="11CF3000"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This point is made by Marks</w:t>
      </w:r>
      <w:r>
        <w:rPr>
          <w:rFonts w:ascii="Garamond" w:eastAsia="Cambria" w:hAnsi="Garamond" w:cs="Cambria"/>
          <w:color w:val="000000"/>
          <w:sz w:val="20"/>
          <w:szCs w:val="20"/>
        </w:rPr>
        <w:t xml:space="preserve"> </w:t>
      </w:r>
      <w:r w:rsidRPr="00411AE0">
        <w:rPr>
          <w:rFonts w:ascii="Garamond" w:eastAsia="Cambria" w:hAnsi="Garamond" w:cs="Cambria"/>
          <w:color w:val="000000"/>
          <w:sz w:val="20"/>
          <w:szCs w:val="20"/>
        </w:rPr>
        <w:t xml:space="preserve">when she discusses the change in the understanding of ‘sovereignty’ from the early formulations of classical international law to the new formulations where it ceases to be solely an attribute of the nation state and becomes an ‘attribute of global power’: Marks (n </w:t>
      </w:r>
      <w:r>
        <w:rPr>
          <w:rFonts w:ascii="Garamond" w:eastAsia="Cambria" w:hAnsi="Garamond" w:cs="Cambria"/>
          <w:color w:val="000000"/>
          <w:sz w:val="20"/>
          <w:szCs w:val="20"/>
        </w:rPr>
        <w:t>70</w:t>
      </w:r>
      <w:r w:rsidRPr="00411AE0">
        <w:rPr>
          <w:rFonts w:ascii="Garamond" w:eastAsia="Cambria" w:hAnsi="Garamond" w:cs="Cambria"/>
          <w:color w:val="000000"/>
          <w:sz w:val="20"/>
          <w:szCs w:val="20"/>
        </w:rPr>
        <w:t>) at 466.</w:t>
      </w:r>
    </w:p>
  </w:footnote>
  <w:footnote w:id="211">
    <w:p w14:paraId="73B7437E" w14:textId="4FBCB2C6" w:rsidR="00082E6E" w:rsidRPr="00A7059F" w:rsidRDefault="00082E6E">
      <w:pPr>
        <w:pStyle w:val="FootnoteText"/>
        <w:rPr>
          <w:lang w:val="en-US"/>
        </w:rPr>
      </w:pPr>
      <w:r w:rsidRPr="00411AE0">
        <w:rPr>
          <w:rStyle w:val="FootnoteReference"/>
          <w:rFonts w:ascii="Garamond" w:hAnsi="Garamond"/>
        </w:rPr>
        <w:footnoteRef/>
      </w:r>
      <w:r w:rsidRPr="00411AE0">
        <w:rPr>
          <w:rFonts w:ascii="Garamond" w:hAnsi="Garamond"/>
        </w:rPr>
        <w:t xml:space="preserve"> </w:t>
      </w:r>
      <w:r w:rsidRPr="00CB6DF6">
        <w:rPr>
          <w:rFonts w:ascii="Garamond" w:eastAsia="Cambria" w:hAnsi="Garamond" w:cs="Cambria"/>
          <w:color w:val="000000"/>
        </w:rPr>
        <w:t xml:space="preserve">W Brown, </w:t>
      </w:r>
      <w:r w:rsidRPr="00CB6DF6">
        <w:rPr>
          <w:rFonts w:ascii="Garamond" w:eastAsia="Cambria" w:hAnsi="Garamond" w:cs="Cambria"/>
          <w:i/>
          <w:color w:val="0A0A0A"/>
          <w:highlight w:val="white"/>
        </w:rPr>
        <w:t xml:space="preserve">Walled States, Waning Sovereignty </w:t>
      </w:r>
      <w:r w:rsidRPr="00CB6DF6">
        <w:rPr>
          <w:rFonts w:ascii="Garamond" w:eastAsia="Cambria" w:hAnsi="Garamond" w:cs="Cambria"/>
          <w:color w:val="0A0A0A"/>
          <w:highlight w:val="white"/>
        </w:rPr>
        <w:t>(New York: Zone Books, 2010)</w:t>
      </w:r>
      <w:r>
        <w:rPr>
          <w:rFonts w:ascii="Garamond" w:eastAsia="Cambria" w:hAnsi="Garamond" w:cs="Cambria"/>
          <w:color w:val="0A0A0A"/>
        </w:rPr>
        <w:t xml:space="preserve">; </w:t>
      </w:r>
      <w:r>
        <w:rPr>
          <w:rFonts w:ascii="Garamond" w:hAnsi="Garamond"/>
        </w:rPr>
        <w:t xml:space="preserve">Marshall (n 10); </w:t>
      </w:r>
      <w:r w:rsidRPr="00E96D1B">
        <w:rPr>
          <w:rFonts w:ascii="Garamond" w:hAnsi="Garamond"/>
          <w:lang w:val="en-US"/>
        </w:rPr>
        <w:t>J Sonnevend, ‘Our New Walls: The Rise o</w:t>
      </w:r>
      <w:r w:rsidRPr="00CB6DF6">
        <w:rPr>
          <w:rFonts w:ascii="Garamond" w:hAnsi="Garamond"/>
          <w:lang w:val="en-US"/>
        </w:rPr>
        <w:t xml:space="preserve">f Separation Barriers in the Age of Globalization’, May 2017, </w:t>
      </w:r>
      <w:r w:rsidRPr="00CB6DF6">
        <w:rPr>
          <w:rFonts w:ascii="Garamond" w:hAnsi="Garamond"/>
          <w:i/>
          <w:lang w:val="en-US"/>
        </w:rPr>
        <w:t>e-International Relations</w:t>
      </w:r>
      <w:r w:rsidRPr="00CB6DF6">
        <w:rPr>
          <w:rFonts w:ascii="Garamond" w:hAnsi="Garamond"/>
          <w:lang w:val="en-US"/>
        </w:rPr>
        <w:t xml:space="preserve"> (available at: </w:t>
      </w:r>
      <w:hyperlink r:id="rId9" w:history="1">
        <w:r w:rsidRPr="00CB6DF6">
          <w:rPr>
            <w:rStyle w:val="Hyperlink"/>
            <w:rFonts w:ascii="Garamond" w:hAnsi="Garamond"/>
            <w:lang w:val="en-US"/>
          </w:rPr>
          <w:t>http://www.e-ir.info/2017/05/25/our-new-walls-the-rise-of-separation-barriers-in-the-age-of-globalization/</w:t>
        </w:r>
      </w:hyperlink>
      <w:r w:rsidRPr="00CB6DF6">
        <w:rPr>
          <w:rFonts w:ascii="Garamond" w:hAnsi="Garamond"/>
          <w:lang w:val="en-US"/>
        </w:rPr>
        <w:t xml:space="preserve"> Date of last access 11</w:t>
      </w:r>
      <w:r w:rsidRPr="00CB6DF6">
        <w:rPr>
          <w:rFonts w:ascii="Garamond" w:hAnsi="Garamond"/>
          <w:vertAlign w:val="superscript"/>
          <w:lang w:val="en-US"/>
        </w:rPr>
        <w:t>th</w:t>
      </w:r>
      <w:r w:rsidRPr="00CB6DF6">
        <w:rPr>
          <w:rFonts w:ascii="Garamond" w:hAnsi="Garamond"/>
          <w:lang w:val="en-US"/>
        </w:rPr>
        <w:t xml:space="preserve"> December 2017); S Granados, Z Murphy, K Schaul, A Faiola, </w:t>
      </w:r>
      <w:r w:rsidRPr="00CB6DF6">
        <w:rPr>
          <w:rFonts w:ascii="Garamond" w:hAnsi="Garamond"/>
          <w:i/>
          <w:lang w:val="en-US"/>
        </w:rPr>
        <w:t>Raising Barriers: A New Age of Walls</w:t>
      </w:r>
      <w:r w:rsidRPr="00CB6DF6">
        <w:rPr>
          <w:rFonts w:ascii="Garamond" w:hAnsi="Garamond"/>
          <w:lang w:val="en-US"/>
        </w:rPr>
        <w:t xml:space="preserve">—a multimedia exploration: available at </w:t>
      </w:r>
      <w:hyperlink r:id="rId10" w:history="1">
        <w:r w:rsidRPr="00CB6DF6">
          <w:rPr>
            <w:rStyle w:val="Hyperlink"/>
            <w:rFonts w:ascii="Garamond" w:hAnsi="Garamond"/>
            <w:lang w:val="en-US"/>
          </w:rPr>
          <w:t>https://www.washingtonpost.com/graphics/world/border-barriers/global-illegal-immigration-prevention/</w:t>
        </w:r>
      </w:hyperlink>
      <w:r w:rsidRPr="00CB6DF6">
        <w:rPr>
          <w:rFonts w:ascii="Garamond" w:hAnsi="Garamond"/>
          <w:lang w:val="en-US"/>
        </w:rPr>
        <w:t xml:space="preserve"> Date of last access 11</w:t>
      </w:r>
      <w:r w:rsidRPr="00CB6DF6">
        <w:rPr>
          <w:rFonts w:ascii="Garamond" w:hAnsi="Garamond"/>
          <w:vertAlign w:val="superscript"/>
          <w:lang w:val="en-US"/>
        </w:rPr>
        <w:t>th</w:t>
      </w:r>
      <w:r w:rsidRPr="00CB6DF6">
        <w:rPr>
          <w:rFonts w:ascii="Garamond" w:hAnsi="Garamond"/>
          <w:lang w:val="en-US"/>
        </w:rPr>
        <w:t xml:space="preserve"> December 2017.</w:t>
      </w:r>
    </w:p>
  </w:footnote>
  <w:footnote w:id="212">
    <w:p w14:paraId="5958F00C" w14:textId="60ED072E" w:rsidR="00082E6E" w:rsidRPr="00411AE0" w:rsidRDefault="00082E6E" w:rsidP="004B6F81">
      <w:pPr>
        <w:widowControl w:val="0"/>
        <w:autoSpaceDE w:val="0"/>
        <w:autoSpaceDN w:val="0"/>
        <w:adjustRightInd w:val="0"/>
        <w:spacing w:after="0" w:line="240" w:lineRule="auto"/>
        <w:rPr>
          <w:rFonts w:ascii="Garamond" w:hAnsi="Garamond" w:cs="Times New Roman"/>
          <w:sz w:val="20"/>
          <w:szCs w:val="20"/>
          <w:lang w:val="en-US"/>
        </w:rPr>
      </w:pPr>
      <w:r w:rsidRPr="00411AE0">
        <w:rPr>
          <w:rFonts w:ascii="Garamond" w:hAnsi="Garamond"/>
          <w:sz w:val="20"/>
          <w:szCs w:val="20"/>
          <w:vertAlign w:val="superscript"/>
        </w:rPr>
        <w:footnoteRef/>
      </w:r>
      <w:r w:rsidRPr="00411AE0">
        <w:rPr>
          <w:rFonts w:ascii="Garamond" w:hAnsi="Garamond"/>
          <w:color w:val="000000"/>
          <w:sz w:val="20"/>
          <w:szCs w:val="20"/>
        </w:rPr>
        <w:t xml:space="preserve"> K Raustiala,’The Geography of Justice’ (2005) </w:t>
      </w:r>
      <w:r w:rsidRPr="00411AE0">
        <w:rPr>
          <w:rFonts w:ascii="Garamond" w:hAnsi="Garamond"/>
          <w:i/>
          <w:color w:val="000000"/>
          <w:sz w:val="20"/>
          <w:szCs w:val="20"/>
        </w:rPr>
        <w:t xml:space="preserve">Fordham Law Review </w:t>
      </w:r>
      <w:r w:rsidRPr="00411AE0">
        <w:rPr>
          <w:rFonts w:ascii="Garamond" w:hAnsi="Garamond"/>
          <w:color w:val="000000"/>
          <w:sz w:val="20"/>
          <w:szCs w:val="20"/>
        </w:rPr>
        <w:t xml:space="preserve">101-155. Raustiala points out that </w:t>
      </w:r>
      <w:r w:rsidRPr="00411AE0">
        <w:rPr>
          <w:rFonts w:ascii="Garamond" w:hAnsi="Garamond" w:cs="Times New Roman"/>
          <w:sz w:val="20"/>
          <w:szCs w:val="20"/>
          <w:lang w:val="en-US"/>
        </w:rPr>
        <w:t>‘[t]he supposition that law and legal remedies are connected to, or limited by, territorial location—a concept I term “legal spatiality”—is commonplace and intuitive … . The concept is suffused throughout the law. Yet, perhaps precisely because it so commonplace, the assumptions embedded in legal spatiality are rarely examined and surprisingly ill-defended’ (at 102-3).</w:t>
      </w:r>
      <w:r w:rsidRPr="00411AE0">
        <w:rPr>
          <w:rFonts w:ascii="Garamond" w:hAnsi="Garamond"/>
          <w:color w:val="000000"/>
          <w:sz w:val="20"/>
          <w:szCs w:val="20"/>
        </w:rPr>
        <w:t xml:space="preserve"> </w:t>
      </w:r>
    </w:p>
  </w:footnote>
  <w:footnote w:id="213">
    <w:p w14:paraId="7C03B4B7" w14:textId="1D299D8B"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S Sassen, ‘When Territory Deborders Territoriality’ (2013) 1/1 </w:t>
      </w:r>
      <w:r w:rsidRPr="00411AE0">
        <w:rPr>
          <w:rFonts w:ascii="Garamond" w:eastAsia="Cambria" w:hAnsi="Garamond" w:cs="Cambria"/>
          <w:i/>
          <w:color w:val="000000"/>
          <w:sz w:val="20"/>
          <w:szCs w:val="20"/>
        </w:rPr>
        <w:t xml:space="preserve">Territory, Politics, Governance </w:t>
      </w:r>
      <w:r w:rsidRPr="00411AE0">
        <w:rPr>
          <w:rFonts w:ascii="Garamond" w:eastAsia="Cambria" w:hAnsi="Garamond" w:cs="Cambria"/>
          <w:color w:val="000000"/>
          <w:sz w:val="20"/>
          <w:szCs w:val="20"/>
        </w:rPr>
        <w:t>21-45 at 22.  Sassen lists a range of scholarship addressing this problem.</w:t>
      </w:r>
    </w:p>
  </w:footnote>
  <w:footnote w:id="214">
    <w:p w14:paraId="3538BA5B" w14:textId="45F77602" w:rsidR="00082E6E" w:rsidRPr="00411AE0" w:rsidRDefault="00082E6E" w:rsidP="00215211">
      <w:pPr>
        <w:widowControl w:val="0"/>
        <w:autoSpaceDE w:val="0"/>
        <w:autoSpaceDN w:val="0"/>
        <w:adjustRightInd w:val="0"/>
        <w:spacing w:after="0" w:line="240" w:lineRule="auto"/>
        <w:rPr>
          <w:rFonts w:ascii="Garamond" w:hAnsi="Garamond" w:cs="Times New Roman"/>
          <w:color w:val="231F20"/>
          <w:sz w:val="20"/>
          <w:szCs w:val="20"/>
          <w:lang w:val="en-US"/>
        </w:rPr>
      </w:pPr>
      <w:r w:rsidRPr="00411AE0">
        <w:rPr>
          <w:rFonts w:ascii="Garamond" w:hAnsi="Garamond"/>
          <w:sz w:val="20"/>
          <w:szCs w:val="20"/>
          <w:vertAlign w:val="superscript"/>
        </w:rPr>
        <w:footnoteRef/>
      </w:r>
      <w:r w:rsidRPr="00411AE0">
        <w:rPr>
          <w:rFonts w:ascii="Garamond" w:hAnsi="Garamond"/>
          <w:color w:val="000000"/>
          <w:sz w:val="20"/>
          <w:szCs w:val="20"/>
        </w:rPr>
        <w:t xml:space="preserve"> Territoriality is often deployed as a legal construct that marks the exclusive authority of a state over its territory: </w:t>
      </w:r>
      <w:r w:rsidRPr="00411AE0">
        <w:rPr>
          <w:rFonts w:ascii="Garamond" w:eastAsia="Cambria" w:hAnsi="Garamond" w:cs="Cambria"/>
          <w:color w:val="000000"/>
          <w:sz w:val="20"/>
          <w:szCs w:val="20"/>
        </w:rPr>
        <w:t>Sassen</w:t>
      </w:r>
      <w:r>
        <w:rPr>
          <w:rFonts w:ascii="Garamond" w:eastAsia="Cambria" w:hAnsi="Garamond" w:cs="Cambria"/>
          <w:color w:val="000000"/>
          <w:sz w:val="20"/>
          <w:szCs w:val="20"/>
        </w:rPr>
        <w:t xml:space="preserve">, ibid, </w:t>
      </w:r>
      <w:r w:rsidRPr="00411AE0">
        <w:rPr>
          <w:rFonts w:ascii="Garamond" w:eastAsia="Cambria" w:hAnsi="Garamond" w:cs="Cambria"/>
          <w:color w:val="000000"/>
          <w:sz w:val="20"/>
          <w:szCs w:val="20"/>
        </w:rPr>
        <w:t>at 23. Sassen ‘[seeks]</w:t>
      </w:r>
      <w:r w:rsidRPr="00411AE0">
        <w:rPr>
          <w:rFonts w:ascii="Garamond" w:hAnsi="Garamond" w:cs="Times New Roman"/>
          <w:color w:val="231F20"/>
          <w:sz w:val="20"/>
          <w:szCs w:val="20"/>
          <w:lang w:val="en-US"/>
        </w:rPr>
        <w:t xml:space="preserve"> to escape [the] analytic flattening of territory into one historical instantiation, national-state territory, by conceptualizing territory as a capability with embedded logics of power and of claim making’, ibid. </w:t>
      </w:r>
    </w:p>
  </w:footnote>
  <w:footnote w:id="215">
    <w:p w14:paraId="40B39021" w14:textId="152327FB" w:rsidR="00082E6E" w:rsidRPr="00411AE0" w:rsidRDefault="00082E6E" w:rsidP="00F161B4">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Baxi</w:t>
      </w:r>
      <w:r>
        <w:rPr>
          <w:rFonts w:ascii="Garamond" w:hAnsi="Garamond"/>
          <w:lang w:val="en-US"/>
        </w:rPr>
        <w:t xml:space="preserve"> </w:t>
      </w:r>
      <w:r>
        <w:rPr>
          <w:rFonts w:ascii="Garamond" w:hAnsi="Garamond"/>
        </w:rPr>
        <w:t xml:space="preserve">(n 24) at </w:t>
      </w:r>
      <w:r w:rsidRPr="00411AE0">
        <w:rPr>
          <w:rFonts w:ascii="Garamond" w:hAnsi="Garamond"/>
          <w:color w:val="000000"/>
        </w:rPr>
        <w:t>246.</w:t>
      </w:r>
    </w:p>
  </w:footnote>
  <w:footnote w:id="216">
    <w:p w14:paraId="0A107226" w14:textId="00C177B1" w:rsidR="00082E6E" w:rsidRPr="00411AE0" w:rsidRDefault="00082E6E" w:rsidP="0056326A">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Blumberg</w:t>
      </w:r>
      <w:r>
        <w:rPr>
          <w:rFonts w:ascii="Garamond" w:hAnsi="Garamond"/>
        </w:rPr>
        <w:t xml:space="preserve"> (n 115)</w:t>
      </w:r>
      <w:r w:rsidRPr="00411AE0">
        <w:rPr>
          <w:rFonts w:ascii="Garamond" w:hAnsi="Garamond"/>
        </w:rPr>
        <w:t xml:space="preserve">. </w:t>
      </w:r>
    </w:p>
  </w:footnote>
  <w:footnote w:id="217">
    <w:p w14:paraId="383C99A1" w14:textId="2C0F1EA8" w:rsidR="00082E6E" w:rsidRPr="00411AE0" w:rsidRDefault="00082E6E" w:rsidP="00FD086F">
      <w:pPr>
        <w:widowControl w:val="0"/>
        <w:autoSpaceDE w:val="0"/>
        <w:autoSpaceDN w:val="0"/>
        <w:adjustRightInd w:val="0"/>
        <w:spacing w:after="0" w:line="240" w:lineRule="auto"/>
        <w:rPr>
          <w:rFonts w:ascii="Garamond" w:hAnsi="Garamond" w:cs="Times New Roman"/>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sz w:val="20"/>
          <w:szCs w:val="20"/>
          <w:lang w:val="en-US"/>
        </w:rPr>
        <w:t>For an analysis of contemporary modes of neoliberal expulsion, see Sassen</w:t>
      </w:r>
      <w:r>
        <w:rPr>
          <w:rFonts w:ascii="Garamond" w:hAnsi="Garamond"/>
          <w:sz w:val="20"/>
          <w:szCs w:val="20"/>
          <w:lang w:val="en-US"/>
        </w:rPr>
        <w:t xml:space="preserve"> (n 2)</w:t>
      </w:r>
      <w:r w:rsidRPr="00411AE0">
        <w:rPr>
          <w:rFonts w:ascii="Garamond" w:hAnsi="Garamond"/>
          <w:sz w:val="20"/>
          <w:szCs w:val="20"/>
          <w:lang w:val="en-US"/>
        </w:rPr>
        <w:t xml:space="preserve">. For earlier patterns, see </w:t>
      </w:r>
      <w:r w:rsidRPr="00411AE0">
        <w:rPr>
          <w:rFonts w:ascii="Garamond" w:hAnsi="Garamond" w:cs="Times New Roman"/>
          <w:sz w:val="20"/>
          <w:szCs w:val="20"/>
          <w:lang w:val="en-US"/>
        </w:rPr>
        <w:t>Wood</w:t>
      </w:r>
      <w:r>
        <w:rPr>
          <w:rFonts w:ascii="Garamond" w:hAnsi="Garamond" w:cs="Times New Roman"/>
          <w:sz w:val="20"/>
          <w:szCs w:val="20"/>
          <w:lang w:val="en-US"/>
        </w:rPr>
        <w:t xml:space="preserve"> (n 66)</w:t>
      </w:r>
      <w:r w:rsidRPr="00411AE0">
        <w:rPr>
          <w:rFonts w:ascii="Garamond" w:hAnsi="Garamond" w:cs="Times New Roman"/>
          <w:i/>
          <w:sz w:val="20"/>
          <w:szCs w:val="20"/>
          <w:lang w:val="en-US"/>
        </w:rPr>
        <w:t xml:space="preserve"> </w:t>
      </w:r>
      <w:r w:rsidRPr="00411AE0">
        <w:rPr>
          <w:rFonts w:ascii="Garamond" w:hAnsi="Garamond" w:cs="Times New Roman"/>
          <w:sz w:val="20"/>
          <w:szCs w:val="20"/>
          <w:lang w:val="en-US"/>
        </w:rPr>
        <w:t>at 67–94.</w:t>
      </w:r>
    </w:p>
  </w:footnote>
  <w:footnote w:id="218">
    <w:p w14:paraId="07DE8A63" w14:textId="3F363C24" w:rsidR="00082E6E" w:rsidRPr="00411AE0" w:rsidRDefault="00082E6E" w:rsidP="00FD086F">
      <w:pPr>
        <w:pStyle w:val="FootnoteText"/>
        <w:rPr>
          <w:rFonts w:ascii="Garamond" w:hAnsi="Garamond"/>
          <w:lang w:val="en-US"/>
        </w:rPr>
      </w:pPr>
      <w:r w:rsidRPr="00411AE0">
        <w:rPr>
          <w:rStyle w:val="FootnoteReference"/>
          <w:rFonts w:ascii="Garamond" w:hAnsi="Garamond"/>
        </w:rPr>
        <w:footnoteRef/>
      </w:r>
      <w:r w:rsidRPr="00411AE0">
        <w:rPr>
          <w:rFonts w:ascii="Garamond" w:hAnsi="Garamond"/>
        </w:rPr>
        <w:t xml:space="preserve"> </w:t>
      </w:r>
      <w:r w:rsidRPr="00411AE0">
        <w:rPr>
          <w:rFonts w:ascii="Garamond" w:hAnsi="Garamond"/>
          <w:lang w:val="en-US"/>
        </w:rPr>
        <w:t>Sassen</w:t>
      </w:r>
      <w:r>
        <w:rPr>
          <w:rFonts w:ascii="Garamond" w:hAnsi="Garamond"/>
          <w:lang w:val="en-US"/>
        </w:rPr>
        <w:t xml:space="preserve"> (n 2) </w:t>
      </w:r>
      <w:r w:rsidRPr="00411AE0">
        <w:rPr>
          <w:rFonts w:ascii="Garamond" w:hAnsi="Garamond"/>
          <w:lang w:val="en-US"/>
        </w:rPr>
        <w:t>at 12.</w:t>
      </w:r>
    </w:p>
  </w:footnote>
  <w:footnote w:id="219">
    <w:p w14:paraId="7F6FA3B8" w14:textId="38FBE67E" w:rsidR="00082E6E" w:rsidRPr="00CF198C" w:rsidRDefault="00082E6E" w:rsidP="00FD086F">
      <w:pPr>
        <w:widowControl w:val="0"/>
        <w:autoSpaceDE w:val="0"/>
        <w:autoSpaceDN w:val="0"/>
        <w:adjustRightInd w:val="0"/>
        <w:spacing w:after="0" w:line="240" w:lineRule="auto"/>
        <w:rPr>
          <w:rFonts w:ascii="Garamond" w:hAnsi="Garamond" w:cs="Times New Roman"/>
          <w:i/>
          <w:sz w:val="20"/>
          <w:szCs w:val="20"/>
          <w:lang w:val="en-US"/>
        </w:rPr>
      </w:pPr>
      <w:r w:rsidRPr="00411AE0">
        <w:rPr>
          <w:rStyle w:val="FootnoteReference"/>
          <w:rFonts w:ascii="Garamond" w:hAnsi="Garamond"/>
          <w:sz w:val="20"/>
          <w:szCs w:val="20"/>
        </w:rPr>
        <w:footnoteRef/>
      </w:r>
      <w:r w:rsidRPr="00411AE0">
        <w:rPr>
          <w:rFonts w:ascii="Garamond" w:hAnsi="Garamond"/>
          <w:sz w:val="20"/>
          <w:szCs w:val="20"/>
        </w:rPr>
        <w:t xml:space="preserve"> </w:t>
      </w:r>
      <w:r w:rsidRPr="00411AE0">
        <w:rPr>
          <w:rFonts w:ascii="Garamond" w:hAnsi="Garamond" w:cs="Times New Roman"/>
          <w:sz w:val="20"/>
          <w:szCs w:val="20"/>
          <w:lang w:val="en-US"/>
        </w:rPr>
        <w:t>P McMichael, ‘The Land Grab and Corporate Food Regime Restructuring’ (2012 ) 39</w:t>
      </w:r>
      <w:r>
        <w:rPr>
          <w:rFonts w:ascii="Garamond" w:hAnsi="Garamond" w:cs="Times New Roman"/>
          <w:sz w:val="20"/>
          <w:szCs w:val="20"/>
          <w:lang w:val="en-US"/>
        </w:rPr>
        <w:t>/3-4</w:t>
      </w:r>
      <w:r w:rsidRPr="00DB435D">
        <w:rPr>
          <w:rFonts w:ascii="Garamond" w:hAnsi="Garamond" w:cs="Times New Roman"/>
          <w:sz w:val="20"/>
          <w:szCs w:val="20"/>
          <w:lang w:val="en-US"/>
        </w:rPr>
        <w:t xml:space="preserve"> </w:t>
      </w:r>
      <w:r w:rsidRPr="00411AE0">
        <w:rPr>
          <w:rFonts w:ascii="Garamond" w:hAnsi="Garamond" w:cs="Times New Roman"/>
          <w:i/>
          <w:sz w:val="20"/>
          <w:szCs w:val="20"/>
          <w:lang w:val="en-US"/>
        </w:rPr>
        <w:t>The</w:t>
      </w:r>
      <w:r>
        <w:rPr>
          <w:rFonts w:ascii="Garamond" w:hAnsi="Garamond" w:cs="Times New Roman"/>
          <w:i/>
          <w:sz w:val="20"/>
          <w:szCs w:val="20"/>
          <w:lang w:val="en-US"/>
        </w:rPr>
        <w:t xml:space="preserve"> </w:t>
      </w:r>
      <w:r w:rsidRPr="00411AE0">
        <w:rPr>
          <w:rFonts w:ascii="Garamond" w:hAnsi="Garamond" w:cs="Times New Roman"/>
          <w:i/>
          <w:sz w:val="20"/>
          <w:szCs w:val="20"/>
          <w:lang w:val="en-US"/>
        </w:rPr>
        <w:t>Journal of Peasant Studies</w:t>
      </w:r>
      <w:r w:rsidRPr="00411AE0">
        <w:rPr>
          <w:rFonts w:ascii="Garamond" w:hAnsi="Garamond" w:cs="Times New Roman"/>
          <w:sz w:val="20"/>
          <w:szCs w:val="20"/>
          <w:lang w:val="en-US"/>
        </w:rPr>
        <w:t xml:space="preserve"> 681–</w:t>
      </w:r>
      <w:r w:rsidRPr="00DB435D">
        <w:rPr>
          <w:rFonts w:ascii="Garamond" w:hAnsi="Garamond" w:cs="Times New Roman"/>
          <w:sz w:val="20"/>
          <w:szCs w:val="20"/>
          <w:lang w:val="en-US"/>
        </w:rPr>
        <w:t>701; C Corson and KI MacDonald,</w:t>
      </w:r>
      <w:r w:rsidRPr="00411AE0">
        <w:rPr>
          <w:rFonts w:ascii="Garamond" w:hAnsi="Garamond" w:cs="Times New Roman"/>
          <w:sz w:val="20"/>
          <w:szCs w:val="20"/>
          <w:lang w:val="en-US"/>
        </w:rPr>
        <w:t xml:space="preserve"> ‘Enclosing the Global Commons: the</w:t>
      </w:r>
      <w:r>
        <w:rPr>
          <w:rFonts w:ascii="Garamond" w:hAnsi="Garamond" w:cs="Times New Roman"/>
          <w:i/>
          <w:sz w:val="20"/>
          <w:szCs w:val="20"/>
          <w:lang w:val="en-US"/>
        </w:rPr>
        <w:t xml:space="preserve"> </w:t>
      </w:r>
      <w:r w:rsidRPr="00411AE0">
        <w:rPr>
          <w:rFonts w:ascii="Garamond" w:hAnsi="Garamond" w:cs="Times New Roman"/>
          <w:sz w:val="20"/>
          <w:szCs w:val="20"/>
          <w:lang w:val="en-US"/>
        </w:rPr>
        <w:t xml:space="preserve">Convention on Biological </w:t>
      </w:r>
      <w:r w:rsidRPr="00BA1702">
        <w:rPr>
          <w:rFonts w:ascii="Garamond" w:hAnsi="Garamond" w:cs="Times New Roman"/>
          <w:sz w:val="20"/>
          <w:szCs w:val="20"/>
          <w:lang w:val="en-US"/>
        </w:rPr>
        <w:t>Diversity and Green Grabbing’</w:t>
      </w:r>
      <w:r w:rsidRPr="00CF198C">
        <w:rPr>
          <w:rFonts w:ascii="Garamond" w:hAnsi="Garamond" w:cs="Times New Roman"/>
          <w:sz w:val="20"/>
          <w:szCs w:val="20"/>
          <w:lang w:val="en-US"/>
        </w:rPr>
        <w:t xml:space="preserve"> (2012) 39/2 </w:t>
      </w:r>
      <w:r w:rsidRPr="00CF198C">
        <w:rPr>
          <w:rFonts w:ascii="Garamond" w:hAnsi="Garamond" w:cs="Times New Roman"/>
          <w:i/>
          <w:sz w:val="20"/>
          <w:szCs w:val="20"/>
          <w:lang w:val="en-US"/>
        </w:rPr>
        <w:t xml:space="preserve">The Journal of Peasant Studies </w:t>
      </w:r>
      <w:r w:rsidRPr="00CF198C">
        <w:rPr>
          <w:rFonts w:ascii="Garamond" w:hAnsi="Garamond" w:cs="Times New Roman"/>
          <w:sz w:val="20"/>
          <w:szCs w:val="20"/>
          <w:lang w:val="en-US"/>
        </w:rPr>
        <w:t>263–83.</w:t>
      </w:r>
    </w:p>
  </w:footnote>
  <w:footnote w:id="220">
    <w:p w14:paraId="78E8CD0A" w14:textId="12E34DB5" w:rsidR="00082E6E" w:rsidRPr="00CF198C" w:rsidRDefault="00082E6E" w:rsidP="00FD086F">
      <w:pPr>
        <w:pStyle w:val="FootnoteText"/>
        <w:rPr>
          <w:rFonts w:ascii="Garamond" w:hAnsi="Garamond"/>
          <w:lang w:val="en-US"/>
        </w:rPr>
      </w:pPr>
      <w:r w:rsidRPr="00CF198C">
        <w:rPr>
          <w:rStyle w:val="FootnoteReference"/>
          <w:rFonts w:ascii="Garamond" w:hAnsi="Garamond"/>
        </w:rPr>
        <w:footnoteRef/>
      </w:r>
      <w:r w:rsidRPr="00CF198C">
        <w:rPr>
          <w:rFonts w:ascii="Garamond" w:hAnsi="Garamond"/>
        </w:rPr>
        <w:t xml:space="preserve"> </w:t>
      </w:r>
      <w:r w:rsidRPr="00CF198C">
        <w:rPr>
          <w:rFonts w:ascii="Garamond" w:hAnsi="Garamond" w:cs="Times New Roman"/>
          <w:lang w:val="en-US"/>
        </w:rPr>
        <w:t xml:space="preserve">Radhakrishnan (n </w:t>
      </w:r>
      <w:r>
        <w:rPr>
          <w:rFonts w:ascii="Garamond" w:hAnsi="Garamond" w:cs="Times New Roman"/>
          <w:lang w:val="en-US"/>
        </w:rPr>
        <w:t>9</w:t>
      </w:r>
      <w:r w:rsidRPr="00CF198C">
        <w:rPr>
          <w:rFonts w:ascii="Garamond" w:hAnsi="Garamond" w:cs="Times New Roman"/>
          <w:lang w:val="en-US"/>
        </w:rPr>
        <w:t>).</w:t>
      </w:r>
    </w:p>
  </w:footnote>
  <w:footnote w:id="221">
    <w:p w14:paraId="0C1B6A20" w14:textId="460A0C70" w:rsidR="00082E6E" w:rsidRPr="00CF198C" w:rsidRDefault="00082E6E">
      <w:pPr>
        <w:pStyle w:val="FootnoteText"/>
        <w:rPr>
          <w:rFonts w:ascii="Garamond" w:hAnsi="Garamond"/>
          <w:lang w:val="en-US"/>
        </w:rPr>
      </w:pPr>
      <w:r w:rsidRPr="00CF198C">
        <w:rPr>
          <w:rStyle w:val="FootnoteReference"/>
          <w:rFonts w:ascii="Garamond" w:hAnsi="Garamond"/>
        </w:rPr>
        <w:footnoteRef/>
      </w:r>
      <w:r w:rsidRPr="00CF198C">
        <w:rPr>
          <w:rFonts w:ascii="Garamond" w:hAnsi="Garamond"/>
        </w:rPr>
        <w:t xml:space="preserve"> </w:t>
      </w:r>
      <w:r w:rsidRPr="00CF198C">
        <w:rPr>
          <w:rFonts w:ascii="Garamond" w:hAnsi="Garamond"/>
          <w:lang w:val="en-US"/>
        </w:rPr>
        <w:t>Brabazon</w:t>
      </w:r>
      <w:r>
        <w:rPr>
          <w:rFonts w:ascii="Garamond" w:hAnsi="Garamond"/>
          <w:lang w:val="en-US"/>
        </w:rPr>
        <w:t xml:space="preserve"> (n 73)</w:t>
      </w:r>
      <w:r w:rsidRPr="00CF198C">
        <w:rPr>
          <w:rFonts w:ascii="Garamond" w:hAnsi="Garamond"/>
          <w:lang w:val="en-US"/>
        </w:rPr>
        <w:t>.</w:t>
      </w:r>
    </w:p>
  </w:footnote>
  <w:footnote w:id="222">
    <w:p w14:paraId="330A0240" w14:textId="0F3BB1B5" w:rsidR="00082E6E" w:rsidRPr="00CF198C"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BA1702">
        <w:rPr>
          <w:rFonts w:ascii="Garamond" w:hAnsi="Garamond"/>
          <w:sz w:val="20"/>
          <w:szCs w:val="20"/>
          <w:vertAlign w:val="superscript"/>
        </w:rPr>
        <w:footnoteRef/>
      </w:r>
      <w:r w:rsidRPr="00CF198C">
        <w:rPr>
          <w:rFonts w:ascii="Garamond" w:eastAsia="Cambria" w:hAnsi="Garamond" w:cs="Cambria"/>
          <w:color w:val="000000"/>
          <w:sz w:val="20"/>
          <w:szCs w:val="20"/>
        </w:rPr>
        <w:t xml:space="preserve"> </w:t>
      </w:r>
      <w:r w:rsidR="00814FF7">
        <w:rPr>
          <w:rFonts w:ascii="Garamond" w:eastAsia="Cambria" w:hAnsi="Garamond" w:cs="Cambria"/>
          <w:color w:val="000000"/>
          <w:sz w:val="20"/>
          <w:szCs w:val="20"/>
        </w:rPr>
        <w:t xml:space="preserve">De Sousa </w:t>
      </w:r>
      <w:r w:rsidRPr="00CF198C">
        <w:rPr>
          <w:rFonts w:ascii="Garamond" w:eastAsia="Cambria" w:hAnsi="Garamond" w:cs="Cambria"/>
          <w:color w:val="000000"/>
          <w:sz w:val="20"/>
          <w:szCs w:val="20"/>
        </w:rPr>
        <w:t>Santos (17</w:t>
      </w:r>
      <w:r>
        <w:rPr>
          <w:rFonts w:ascii="Garamond" w:eastAsia="Cambria" w:hAnsi="Garamond" w:cs="Cambria"/>
          <w:color w:val="000000"/>
          <w:sz w:val="20"/>
          <w:szCs w:val="20"/>
        </w:rPr>
        <w:t>2</w:t>
      </w:r>
      <w:r w:rsidRPr="00CF198C">
        <w:rPr>
          <w:rFonts w:ascii="Garamond" w:eastAsia="Cambria" w:hAnsi="Garamond" w:cs="Cambria"/>
          <w:color w:val="000000"/>
          <w:sz w:val="20"/>
          <w:szCs w:val="20"/>
        </w:rPr>
        <w:t>) at 287.</w:t>
      </w:r>
    </w:p>
  </w:footnote>
  <w:footnote w:id="223">
    <w:p w14:paraId="49EC607F" w14:textId="6B914092" w:rsidR="00082E6E" w:rsidRPr="00411AE0" w:rsidRDefault="00082E6E" w:rsidP="005A4280">
      <w:pPr>
        <w:pStyle w:val="Normal1"/>
        <w:spacing w:after="0" w:line="240" w:lineRule="auto"/>
        <w:rPr>
          <w:rFonts w:ascii="Garamond" w:eastAsia="Cambria" w:hAnsi="Garamond" w:cs="Cambria"/>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S Sassen, ‘Borders, Walls and Crumbling Sovereignty’ (2012) 40/1 </w:t>
      </w:r>
      <w:r w:rsidRPr="00411AE0">
        <w:rPr>
          <w:rFonts w:ascii="Garamond" w:eastAsia="Cambria" w:hAnsi="Garamond" w:cs="Cambria"/>
          <w:i/>
          <w:sz w:val="20"/>
          <w:szCs w:val="20"/>
        </w:rPr>
        <w:t xml:space="preserve">Political Theory </w:t>
      </w:r>
      <w:r w:rsidRPr="00411AE0">
        <w:rPr>
          <w:rFonts w:ascii="Garamond" w:eastAsia="Cambria" w:hAnsi="Garamond" w:cs="Cambria"/>
          <w:sz w:val="20"/>
          <w:szCs w:val="20"/>
        </w:rPr>
        <w:t>116-122</w:t>
      </w:r>
      <w:r>
        <w:rPr>
          <w:rFonts w:ascii="Garamond" w:eastAsia="Cambria" w:hAnsi="Garamond" w:cs="Cambria"/>
          <w:sz w:val="20"/>
          <w:szCs w:val="20"/>
        </w:rPr>
        <w:t>,</w:t>
      </w:r>
      <w:r w:rsidRPr="00411AE0">
        <w:rPr>
          <w:rFonts w:ascii="Garamond" w:eastAsia="Cambria" w:hAnsi="Garamond" w:cs="Cambria"/>
          <w:sz w:val="20"/>
          <w:szCs w:val="20"/>
        </w:rPr>
        <w:t xml:space="preserve"> at 118. </w:t>
      </w:r>
    </w:p>
  </w:footnote>
  <w:footnote w:id="224">
    <w:p w14:paraId="0577A90B" w14:textId="1CB13956" w:rsidR="00082E6E" w:rsidRPr="00411AE0" w:rsidRDefault="00082E6E" w:rsidP="004E01F3">
      <w:pPr>
        <w:pStyle w:val="Normal1"/>
        <w:pBdr>
          <w:top w:val="nil"/>
          <w:left w:val="nil"/>
          <w:bottom w:val="nil"/>
          <w:right w:val="nil"/>
          <w:between w:val="nil"/>
        </w:pBdr>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S Sassen, ‘Bordering capabilities versus borders: Implications for national borders’ (2009) 30/3 </w:t>
      </w:r>
      <w:r w:rsidRPr="00411AE0">
        <w:rPr>
          <w:rFonts w:ascii="Garamond" w:eastAsia="Cambria" w:hAnsi="Garamond" w:cs="Cambria"/>
          <w:i/>
          <w:color w:val="000000"/>
          <w:sz w:val="20"/>
          <w:szCs w:val="20"/>
        </w:rPr>
        <w:t>Michigan Journal of International Law</w:t>
      </w:r>
      <w:r w:rsidRPr="00411AE0">
        <w:rPr>
          <w:rFonts w:ascii="Garamond" w:eastAsia="Cambria" w:hAnsi="Garamond" w:cs="Cambria"/>
          <w:color w:val="000000"/>
          <w:sz w:val="20"/>
          <w:szCs w:val="20"/>
        </w:rPr>
        <w:t xml:space="preserve"> 567-597. </w:t>
      </w:r>
    </w:p>
  </w:footnote>
  <w:footnote w:id="225">
    <w:p w14:paraId="735FB997" w14:textId="77777777" w:rsidR="00082E6E" w:rsidRPr="00411AE0" w:rsidRDefault="00082E6E" w:rsidP="00C94B34">
      <w:pPr>
        <w:widowControl w:val="0"/>
        <w:autoSpaceDE w:val="0"/>
        <w:autoSpaceDN w:val="0"/>
        <w:adjustRightInd w:val="0"/>
        <w:spacing w:after="0" w:line="240" w:lineRule="auto"/>
        <w:rPr>
          <w:rFonts w:ascii="Garamond" w:eastAsia="Cambria" w:hAnsi="Garamond" w:cs="Cambria"/>
          <w:color w:val="000000"/>
          <w:sz w:val="20"/>
          <w:szCs w:val="20"/>
        </w:rPr>
      </w:pPr>
      <w:r w:rsidRPr="00411AE0">
        <w:rPr>
          <w:rFonts w:ascii="Garamond" w:hAnsi="Garamond"/>
          <w:sz w:val="20"/>
          <w:szCs w:val="20"/>
          <w:vertAlign w:val="superscript"/>
        </w:rPr>
        <w:footnoteRef/>
      </w:r>
      <w:r w:rsidRPr="00411AE0">
        <w:rPr>
          <w:rFonts w:ascii="Garamond" w:eastAsia="Cambria" w:hAnsi="Garamond" w:cs="Cambria"/>
          <w:color w:val="000000"/>
          <w:sz w:val="20"/>
          <w:szCs w:val="20"/>
        </w:rPr>
        <w:t xml:space="preserve"> A term coined by Daniel Bethlehem, which despite its resonance with Fukayama’s ‘End of History’, draws more on </w:t>
      </w:r>
      <w:r w:rsidRPr="00411AE0">
        <w:rPr>
          <w:rFonts w:ascii="Garamond" w:hAnsi="Garamond" w:cs="Times New Roman"/>
          <w:color w:val="000000"/>
          <w:sz w:val="20"/>
          <w:szCs w:val="20"/>
          <w:lang w:val="en-US"/>
        </w:rPr>
        <w:t xml:space="preserve">Friedman’s </w:t>
      </w:r>
      <w:r w:rsidRPr="00411AE0">
        <w:rPr>
          <w:rFonts w:ascii="Garamond" w:hAnsi="Garamond" w:cs="Times New Roman"/>
          <w:i/>
          <w:color w:val="000000"/>
          <w:sz w:val="20"/>
          <w:szCs w:val="20"/>
          <w:lang w:val="en-US"/>
        </w:rPr>
        <w:t>The World is Flat</w:t>
      </w:r>
      <w:r w:rsidRPr="00411AE0">
        <w:rPr>
          <w:rFonts w:ascii="Garamond" w:hAnsi="Garamond" w:cs="Times New Roman"/>
          <w:color w:val="000000"/>
          <w:sz w:val="20"/>
          <w:szCs w:val="20"/>
          <w:lang w:val="en-US"/>
        </w:rPr>
        <w:t xml:space="preserve">: </w:t>
      </w:r>
      <w:r w:rsidRPr="00411AE0">
        <w:rPr>
          <w:rFonts w:ascii="Garamond" w:eastAsia="Cambria" w:hAnsi="Garamond" w:cs="Cambria"/>
          <w:color w:val="000000"/>
          <w:sz w:val="20"/>
          <w:szCs w:val="20"/>
        </w:rPr>
        <w:t xml:space="preserve">D Bethlehem, ‘The End of Geography: The Changing Nature of the International System and the Challenge to International Law’ (2014) 25/1 </w:t>
      </w:r>
      <w:r w:rsidRPr="00411AE0">
        <w:rPr>
          <w:rFonts w:ascii="Garamond" w:eastAsia="Cambria" w:hAnsi="Garamond" w:cs="Cambria"/>
          <w:i/>
          <w:color w:val="000000"/>
          <w:sz w:val="20"/>
          <w:szCs w:val="20"/>
        </w:rPr>
        <w:t xml:space="preserve">European Journal of International Law </w:t>
      </w:r>
      <w:r w:rsidRPr="00411AE0">
        <w:rPr>
          <w:rFonts w:ascii="Garamond" w:eastAsia="Cambria" w:hAnsi="Garamond" w:cs="Cambria"/>
          <w:color w:val="000000"/>
          <w:sz w:val="20"/>
          <w:szCs w:val="20"/>
        </w:rPr>
        <w:t xml:space="preserve">9-24, at 11. Bethlehem refers, of course, to F Fukayama, </w:t>
      </w:r>
      <w:r w:rsidRPr="00411AE0">
        <w:rPr>
          <w:rFonts w:ascii="Garamond" w:eastAsia="Cambria" w:hAnsi="Garamond" w:cs="Cambria"/>
          <w:i/>
          <w:color w:val="000000"/>
          <w:sz w:val="20"/>
          <w:szCs w:val="20"/>
        </w:rPr>
        <w:t>The End of History and the Last Man</w:t>
      </w:r>
      <w:r w:rsidRPr="00411AE0">
        <w:rPr>
          <w:rFonts w:ascii="Garamond" w:eastAsia="Cambria" w:hAnsi="Garamond" w:cs="Cambria"/>
          <w:color w:val="000000"/>
          <w:sz w:val="20"/>
          <w:szCs w:val="20"/>
        </w:rPr>
        <w:t xml:space="preserve"> (New York: McMillan—The Free Press, 1992)</w:t>
      </w:r>
      <w:r w:rsidRPr="00411AE0">
        <w:rPr>
          <w:rFonts w:ascii="Garamond" w:eastAsia="Cambria" w:hAnsi="Garamond" w:cs="Cambria"/>
          <w:i/>
          <w:color w:val="000000"/>
          <w:sz w:val="20"/>
          <w:szCs w:val="20"/>
        </w:rPr>
        <w:t xml:space="preserve"> </w:t>
      </w:r>
      <w:r w:rsidRPr="00411AE0">
        <w:rPr>
          <w:rFonts w:ascii="Garamond" w:eastAsia="Cambria" w:hAnsi="Garamond" w:cs="Cambria"/>
          <w:color w:val="000000"/>
          <w:sz w:val="20"/>
          <w:szCs w:val="20"/>
        </w:rPr>
        <w:t xml:space="preserve">and to T Friedman, </w:t>
      </w:r>
      <w:r w:rsidRPr="00411AE0">
        <w:rPr>
          <w:rFonts w:ascii="Garamond" w:hAnsi="Garamond" w:cs="Times New Roman"/>
          <w:i/>
          <w:sz w:val="20"/>
          <w:szCs w:val="20"/>
          <w:lang w:val="en-US"/>
        </w:rPr>
        <w:t>The World Is Flat: A Brief History of the Globalized World in the Twenty-First Century</w:t>
      </w:r>
      <w:r w:rsidRPr="00411AE0">
        <w:rPr>
          <w:rFonts w:ascii="Garamond" w:hAnsi="Garamond" w:cs="Times New Roman"/>
          <w:sz w:val="20"/>
          <w:szCs w:val="20"/>
          <w:lang w:val="en-US"/>
        </w:rPr>
        <w:t xml:space="preserve"> (New York: Farrar, Strauss and Giroux, 2005).</w:t>
      </w:r>
    </w:p>
  </w:footnote>
  <w:footnote w:id="226">
    <w:p w14:paraId="5A9CC9EF" w14:textId="3911E2CF" w:rsidR="00082E6E" w:rsidRPr="00411AE0" w:rsidRDefault="00082E6E" w:rsidP="004E01F3">
      <w:pPr>
        <w:pStyle w:val="Normal1"/>
        <w:spacing w:after="0" w:line="240" w:lineRule="auto"/>
        <w:rPr>
          <w:rFonts w:ascii="Garamond" w:eastAsia="Cambria" w:hAnsi="Garamond" w:cs="Cambria"/>
          <w:sz w:val="20"/>
          <w:szCs w:val="20"/>
        </w:rPr>
      </w:pPr>
      <w:r w:rsidRPr="006345CA">
        <w:rPr>
          <w:rFonts w:ascii="Garamond" w:hAnsi="Garamond"/>
          <w:sz w:val="20"/>
          <w:szCs w:val="20"/>
          <w:vertAlign w:val="superscript"/>
        </w:rPr>
        <w:footnoteRef/>
      </w:r>
      <w:r w:rsidRPr="006345CA">
        <w:rPr>
          <w:rFonts w:ascii="Garamond" w:eastAsia="Cambria" w:hAnsi="Garamond" w:cs="Cambria"/>
          <w:sz w:val="20"/>
          <w:szCs w:val="20"/>
        </w:rPr>
        <w:t xml:space="preserve"> See above (n 1</w:t>
      </w:r>
      <w:r>
        <w:rPr>
          <w:rFonts w:ascii="Garamond" w:eastAsia="Cambria" w:hAnsi="Garamond" w:cs="Cambria"/>
          <w:sz w:val="20"/>
          <w:szCs w:val="20"/>
        </w:rPr>
        <w:t>72</w:t>
      </w:r>
      <w:r w:rsidRPr="006345CA">
        <w:rPr>
          <w:rFonts w:ascii="Garamond" w:eastAsia="Cambria" w:hAnsi="Garamond" w:cs="Cambria"/>
          <w:sz w:val="20"/>
          <w:szCs w:val="20"/>
        </w:rPr>
        <w:t>).</w:t>
      </w:r>
    </w:p>
  </w:footnote>
  <w:footnote w:id="227">
    <w:p w14:paraId="4BFBC5D7" w14:textId="32C6409F" w:rsidR="00082E6E" w:rsidRPr="00411AE0" w:rsidRDefault="00082E6E" w:rsidP="004E01F3">
      <w:pPr>
        <w:pStyle w:val="Normal1"/>
        <w:spacing w:after="0" w:line="240" w:lineRule="auto"/>
        <w:rPr>
          <w:rFonts w:ascii="Garamond" w:eastAsia="Cambria" w:hAnsi="Garamond" w:cs="Cambria"/>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These codes are overwhelmingly voluntarist, in large part due to corporate resistance to the imposition of binding standards: </w:t>
      </w:r>
      <w:r w:rsidRPr="00411AE0">
        <w:rPr>
          <w:rFonts w:ascii="Garamond" w:hAnsi="Garamond"/>
          <w:sz w:val="20"/>
          <w:szCs w:val="20"/>
        </w:rPr>
        <w:t>See UNHRCOR, Report of the Special Representative of the Secretary-General [SRSG] On the Issue of Human Rights and Transnational Corporations and Other Business Enterprises, Business and Human Rights: Towards Operationalizing the ‘Protect, Respect and Remedy’ Framework</w:t>
      </w:r>
      <w:r w:rsidRPr="00411AE0">
        <w:rPr>
          <w:rFonts w:ascii="Garamond" w:hAnsi="Garamond"/>
          <w:i/>
          <w:sz w:val="20"/>
          <w:szCs w:val="20"/>
          <w:lang w:val="en-US"/>
        </w:rPr>
        <w:t>,</w:t>
      </w:r>
      <w:r w:rsidRPr="00411AE0">
        <w:rPr>
          <w:rFonts w:ascii="Garamond" w:hAnsi="Garamond"/>
          <w:sz w:val="20"/>
          <w:szCs w:val="20"/>
        </w:rPr>
        <w:t xml:space="preserve"> UN Doc A/HRC/11/13</w:t>
      </w:r>
      <w:r w:rsidRPr="00411AE0">
        <w:rPr>
          <w:rFonts w:ascii="Garamond" w:hAnsi="Garamond"/>
          <w:sz w:val="20"/>
          <w:szCs w:val="20"/>
          <w:lang w:val="en-US"/>
        </w:rPr>
        <w:t xml:space="preserve"> (2009)</w:t>
      </w:r>
      <w:r w:rsidRPr="00411AE0">
        <w:rPr>
          <w:rFonts w:ascii="Garamond" w:hAnsi="Garamond"/>
          <w:sz w:val="20"/>
          <w:szCs w:val="20"/>
        </w:rPr>
        <w:t>; UN Global Compact</w:t>
      </w:r>
      <w:r w:rsidRPr="00411AE0">
        <w:rPr>
          <w:rFonts w:ascii="Garamond" w:hAnsi="Garamond"/>
          <w:sz w:val="20"/>
          <w:szCs w:val="20"/>
          <w:lang w:val="en-US"/>
        </w:rPr>
        <w:t xml:space="preserve">: </w:t>
      </w:r>
      <w:r w:rsidRPr="00411AE0">
        <w:rPr>
          <w:rFonts w:ascii="Garamond" w:hAnsi="Garamond"/>
          <w:sz w:val="20"/>
          <w:szCs w:val="20"/>
        </w:rPr>
        <w:t>unglobalcompact.org</w:t>
      </w:r>
      <w:r w:rsidRPr="00411AE0">
        <w:rPr>
          <w:rFonts w:ascii="Garamond" w:hAnsi="Garamond"/>
          <w:sz w:val="20"/>
          <w:szCs w:val="20"/>
          <w:lang w:val="en-US"/>
        </w:rPr>
        <w:t xml:space="preserve"> (Date of Last Access 25</w:t>
      </w:r>
      <w:r w:rsidRPr="00411AE0">
        <w:rPr>
          <w:rFonts w:ascii="Garamond" w:hAnsi="Garamond"/>
          <w:sz w:val="20"/>
          <w:szCs w:val="20"/>
          <w:vertAlign w:val="superscript"/>
          <w:lang w:val="en-US"/>
        </w:rPr>
        <w:t>th</w:t>
      </w:r>
      <w:r w:rsidRPr="00411AE0">
        <w:rPr>
          <w:rFonts w:ascii="Garamond" w:hAnsi="Garamond"/>
          <w:sz w:val="20"/>
          <w:szCs w:val="20"/>
          <w:lang w:val="en-US"/>
        </w:rPr>
        <w:t xml:space="preserve"> April 2018</w:t>
      </w:r>
      <w:r w:rsidRPr="00411AE0">
        <w:rPr>
          <w:rFonts w:ascii="Garamond" w:hAnsi="Garamond"/>
          <w:sz w:val="20"/>
          <w:szCs w:val="20"/>
        </w:rPr>
        <w:t>); OECD</w:t>
      </w:r>
      <w:r w:rsidRPr="00411AE0">
        <w:rPr>
          <w:rFonts w:ascii="Garamond" w:hAnsi="Garamond"/>
          <w:sz w:val="20"/>
          <w:szCs w:val="20"/>
          <w:lang w:val="en-US"/>
        </w:rPr>
        <w:t xml:space="preserve"> </w:t>
      </w:r>
      <w:r w:rsidRPr="00411AE0">
        <w:rPr>
          <w:rFonts w:ascii="Garamond" w:hAnsi="Garamond"/>
          <w:sz w:val="20"/>
          <w:szCs w:val="20"/>
        </w:rPr>
        <w:t>Declaration on International Investment and Multinational Enterprises (Ministerial Meeting)</w:t>
      </w:r>
      <w:r w:rsidRPr="00411AE0">
        <w:rPr>
          <w:rFonts w:ascii="Garamond" w:hAnsi="Garamond"/>
          <w:sz w:val="20"/>
          <w:szCs w:val="20"/>
          <w:lang w:val="en-US"/>
        </w:rPr>
        <w:t xml:space="preserve">, The OECD Guidelines for Multinational Enterprises </w:t>
      </w:r>
      <w:r w:rsidRPr="00411AE0">
        <w:rPr>
          <w:rFonts w:ascii="Garamond" w:hAnsi="Garamond"/>
          <w:sz w:val="20"/>
          <w:szCs w:val="20"/>
        </w:rPr>
        <w:t>(25</w:t>
      </w:r>
      <w:r w:rsidRPr="00411AE0">
        <w:rPr>
          <w:rFonts w:ascii="Garamond" w:hAnsi="Garamond"/>
          <w:sz w:val="20"/>
          <w:szCs w:val="20"/>
          <w:vertAlign w:val="superscript"/>
        </w:rPr>
        <w:t>th</w:t>
      </w:r>
      <w:r w:rsidRPr="00411AE0">
        <w:rPr>
          <w:rFonts w:ascii="Garamond" w:hAnsi="Garamond"/>
          <w:sz w:val="20"/>
          <w:szCs w:val="20"/>
        </w:rPr>
        <w:t xml:space="preserve">  May 2011); The Voluntary Principles on Security and Human Rights</w:t>
      </w:r>
      <w:r w:rsidRPr="00411AE0">
        <w:rPr>
          <w:rFonts w:ascii="Garamond" w:hAnsi="Garamond"/>
          <w:sz w:val="20"/>
          <w:szCs w:val="20"/>
          <w:lang w:val="en-US"/>
        </w:rPr>
        <w:t>:</w:t>
      </w:r>
      <w:r w:rsidRPr="00411AE0">
        <w:rPr>
          <w:rFonts w:ascii="Garamond" w:hAnsi="Garamond"/>
          <w:sz w:val="20"/>
          <w:szCs w:val="20"/>
        </w:rPr>
        <w:t xml:space="preserve"> voluntaryprinciples.org (Date of Last Access, 25</w:t>
      </w:r>
      <w:r w:rsidRPr="00411AE0">
        <w:rPr>
          <w:rFonts w:ascii="Garamond" w:hAnsi="Garamond"/>
          <w:sz w:val="20"/>
          <w:szCs w:val="20"/>
          <w:vertAlign w:val="superscript"/>
        </w:rPr>
        <w:t>th</w:t>
      </w:r>
      <w:r w:rsidRPr="00411AE0">
        <w:rPr>
          <w:rFonts w:ascii="Garamond" w:hAnsi="Garamond"/>
          <w:sz w:val="20"/>
          <w:szCs w:val="20"/>
        </w:rPr>
        <w:t xml:space="preserve"> April 2018); P Simons, ‘</w:t>
      </w:r>
      <w:r w:rsidRPr="00411AE0">
        <w:rPr>
          <w:rFonts w:ascii="Garamond" w:hAnsi="Garamond" w:cs="Times New Roman"/>
          <w:sz w:val="20"/>
          <w:szCs w:val="20"/>
        </w:rPr>
        <w:t>Corporate Voluntarism and Human Rights: The Adequacy and Effectiveness of Voluntary Self-Regulation Regimes’ (2004)</w:t>
      </w:r>
      <w:r w:rsidRPr="00411AE0">
        <w:rPr>
          <w:rFonts w:ascii="Garamond" w:hAnsi="Garamond" w:cs="Times New Roman"/>
          <w:i/>
          <w:sz w:val="20"/>
          <w:szCs w:val="20"/>
        </w:rPr>
        <w:t xml:space="preserve"> </w:t>
      </w:r>
      <w:r w:rsidRPr="00411AE0">
        <w:rPr>
          <w:rFonts w:ascii="Garamond" w:hAnsi="Garamond" w:cs="Times New Roman"/>
          <w:sz w:val="20"/>
          <w:szCs w:val="20"/>
        </w:rPr>
        <w:t xml:space="preserve">59 </w:t>
      </w:r>
      <w:r w:rsidRPr="00411AE0">
        <w:rPr>
          <w:rFonts w:ascii="Garamond" w:hAnsi="Garamond" w:cs="Times New Roman"/>
          <w:i/>
          <w:sz w:val="20"/>
          <w:szCs w:val="20"/>
        </w:rPr>
        <w:t xml:space="preserve">Relations Industrielles/Industrial Relations </w:t>
      </w:r>
      <w:r w:rsidRPr="00411AE0">
        <w:rPr>
          <w:rFonts w:ascii="Garamond" w:hAnsi="Garamond" w:cs="Times New Roman"/>
          <w:sz w:val="20"/>
          <w:szCs w:val="20"/>
        </w:rPr>
        <w:t>101-141.</w:t>
      </w:r>
    </w:p>
  </w:footnote>
  <w:footnote w:id="228">
    <w:p w14:paraId="14E1B827" w14:textId="722FD03C" w:rsidR="00082E6E" w:rsidRPr="00411AE0" w:rsidRDefault="00082E6E" w:rsidP="004E01F3">
      <w:pPr>
        <w:pStyle w:val="Normal1"/>
        <w:spacing w:after="0" w:line="240" w:lineRule="auto"/>
        <w:rPr>
          <w:rFonts w:ascii="Garamond" w:eastAsia="Cambria" w:hAnsi="Garamond" w:cs="Cambria"/>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Investment Arbitration Tribunals, for example. These have proliferated extensively: S Sassen, </w:t>
      </w:r>
      <w:r w:rsidRPr="00411AE0">
        <w:rPr>
          <w:rFonts w:ascii="Garamond" w:eastAsia="Cambria" w:hAnsi="Garamond" w:cs="Cambria"/>
          <w:i/>
          <w:sz w:val="20"/>
          <w:szCs w:val="20"/>
        </w:rPr>
        <w:t xml:space="preserve">Losing Control? Sovereignty in an Age of Globalization </w:t>
      </w:r>
      <w:r w:rsidRPr="00411AE0">
        <w:rPr>
          <w:rFonts w:ascii="Garamond" w:eastAsia="Cambria" w:hAnsi="Garamond" w:cs="Cambria"/>
          <w:sz w:val="20"/>
          <w:szCs w:val="20"/>
        </w:rPr>
        <w:t>(New York: Columbia University Press, 1996), at 15-16.</w:t>
      </w:r>
    </w:p>
  </w:footnote>
  <w:footnote w:id="229">
    <w:p w14:paraId="21717D92" w14:textId="542CCA66" w:rsidR="00082E6E" w:rsidRPr="00411AE0" w:rsidRDefault="00082E6E" w:rsidP="004E01F3">
      <w:pPr>
        <w:pStyle w:val="Normal1"/>
        <w:spacing w:after="0" w:line="240" w:lineRule="auto"/>
        <w:rPr>
          <w:rFonts w:ascii="Garamond" w:eastAsia="Cambria" w:hAnsi="Garamond" w:cs="Cambria"/>
          <w:sz w:val="20"/>
          <w:szCs w:val="20"/>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C Cutler, </w:t>
      </w:r>
      <w:r w:rsidRPr="00411AE0">
        <w:rPr>
          <w:rFonts w:ascii="Garamond" w:eastAsia="Cambria" w:hAnsi="Garamond" w:cs="Cambria"/>
          <w:i/>
          <w:sz w:val="20"/>
          <w:szCs w:val="20"/>
        </w:rPr>
        <w:t xml:space="preserve">Private Power and Global Authority: Transnational Merchant Law in the Global Political Economy </w:t>
      </w:r>
      <w:r w:rsidRPr="00411AE0">
        <w:rPr>
          <w:rFonts w:ascii="Garamond" w:eastAsia="Cambria" w:hAnsi="Garamond" w:cs="Cambria"/>
          <w:sz w:val="20"/>
          <w:szCs w:val="20"/>
        </w:rPr>
        <w:t>(Cambridge: CUP, 2003)</w:t>
      </w:r>
      <w:r w:rsidRPr="00411AE0">
        <w:rPr>
          <w:rFonts w:ascii="Garamond" w:eastAsia="Cambria" w:hAnsi="Garamond" w:cs="Cambria"/>
          <w:i/>
          <w:sz w:val="20"/>
          <w:szCs w:val="20"/>
        </w:rPr>
        <w:t xml:space="preserve">. </w:t>
      </w:r>
      <w:r w:rsidRPr="00411AE0">
        <w:rPr>
          <w:rFonts w:ascii="Garamond" w:eastAsia="Cambria" w:hAnsi="Garamond" w:cs="Cambria"/>
          <w:sz w:val="20"/>
          <w:szCs w:val="20"/>
        </w:rPr>
        <w:t xml:space="preserve">M Sonarajah decribes investment law as a struggle between developed and developing countries: M Sonarajah, </w:t>
      </w:r>
      <w:r w:rsidRPr="00411AE0">
        <w:rPr>
          <w:rFonts w:ascii="Garamond" w:eastAsia="Cambria" w:hAnsi="Garamond" w:cs="Cambria"/>
          <w:i/>
          <w:sz w:val="20"/>
          <w:szCs w:val="20"/>
        </w:rPr>
        <w:t xml:space="preserve">The international Law of Foreign Investment </w:t>
      </w:r>
      <w:r w:rsidRPr="00411AE0">
        <w:rPr>
          <w:rFonts w:ascii="Garamond" w:eastAsia="Cambria" w:hAnsi="Garamond" w:cs="Cambria"/>
          <w:sz w:val="20"/>
          <w:szCs w:val="20"/>
        </w:rPr>
        <w:t xml:space="preserve"> (New York: Cambridge University Press, 2010). </w:t>
      </w:r>
    </w:p>
  </w:footnote>
  <w:footnote w:id="230">
    <w:p w14:paraId="559E759B" w14:textId="7E36F06B" w:rsidR="00082E6E" w:rsidRPr="005C1A8C" w:rsidRDefault="00082E6E" w:rsidP="009A02B4">
      <w:pPr>
        <w:widowControl w:val="0"/>
        <w:autoSpaceDE w:val="0"/>
        <w:autoSpaceDN w:val="0"/>
        <w:adjustRightInd w:val="0"/>
        <w:spacing w:after="0" w:line="240" w:lineRule="auto"/>
        <w:rPr>
          <w:rFonts w:ascii="Garamond" w:hAnsi="Garamond" w:cs="Times New Roman"/>
          <w:sz w:val="20"/>
          <w:szCs w:val="20"/>
          <w:lang w:val="en-US"/>
        </w:rPr>
      </w:pPr>
      <w:r w:rsidRPr="00411AE0">
        <w:rPr>
          <w:rFonts w:ascii="Garamond" w:hAnsi="Garamond"/>
          <w:sz w:val="20"/>
          <w:szCs w:val="20"/>
          <w:vertAlign w:val="superscript"/>
        </w:rPr>
        <w:footnoteRef/>
      </w:r>
      <w:r w:rsidRPr="00411AE0">
        <w:rPr>
          <w:rFonts w:ascii="Garamond" w:eastAsia="Cambria" w:hAnsi="Garamond" w:cs="Cambria"/>
          <w:sz w:val="20"/>
          <w:szCs w:val="20"/>
        </w:rPr>
        <w:t xml:space="preserve"> Sassen</w:t>
      </w:r>
      <w:r>
        <w:rPr>
          <w:rFonts w:ascii="Garamond" w:eastAsia="Cambria" w:hAnsi="Garamond" w:cs="Cambria"/>
          <w:sz w:val="20"/>
          <w:szCs w:val="20"/>
        </w:rPr>
        <w:t xml:space="preserve"> (n 227) </w:t>
      </w:r>
      <w:r w:rsidRPr="00411AE0">
        <w:rPr>
          <w:rFonts w:ascii="Garamond" w:eastAsia="Cambria" w:hAnsi="Garamond" w:cs="Cambria"/>
          <w:sz w:val="20"/>
          <w:szCs w:val="20"/>
        </w:rPr>
        <w:t>at 29-30. Sassen points out, relatedly, that ‘[a]</w:t>
      </w:r>
      <w:r w:rsidRPr="00411AE0">
        <w:rPr>
          <w:rFonts w:ascii="Garamond" w:hAnsi="Garamond" w:cs="Times New Roman"/>
          <w:sz w:val="20"/>
          <w:szCs w:val="20"/>
          <w:lang w:val="en-US"/>
        </w:rPr>
        <w:t xml:space="preserve"> rather peculiar passion for legality (and lawyers) </w:t>
      </w:r>
      <w:r w:rsidRPr="00665648">
        <w:rPr>
          <w:rFonts w:ascii="Garamond" w:hAnsi="Garamond" w:cs="Times New Roman"/>
          <w:sz w:val="20"/>
          <w:szCs w:val="20"/>
          <w:lang w:val="en-US"/>
        </w:rPr>
        <w:t>drives the globalization of the corporate economy, and there has been a massive amount of legal inno</w:t>
      </w:r>
      <w:r w:rsidRPr="00B90EA7">
        <w:rPr>
          <w:rFonts w:ascii="Garamond" w:hAnsi="Garamond" w:cs="Times New Roman"/>
          <w:sz w:val="20"/>
          <w:szCs w:val="20"/>
          <w:lang w:val="en-US"/>
        </w:rPr>
        <w:t xml:space="preserve">vation around </w:t>
      </w:r>
      <w:r w:rsidRPr="00B05AE4">
        <w:rPr>
          <w:rFonts w:ascii="Garamond" w:hAnsi="Garamond" w:cs="Times New Roman"/>
          <w:sz w:val="20"/>
          <w:szCs w:val="20"/>
          <w:lang w:val="en-US"/>
        </w:rPr>
        <w:t>the growth of globaliz</w:t>
      </w:r>
      <w:r w:rsidRPr="005C1A8C">
        <w:rPr>
          <w:rFonts w:ascii="Garamond" w:hAnsi="Garamond" w:cs="Times New Roman"/>
          <w:sz w:val="20"/>
          <w:szCs w:val="20"/>
          <w:lang w:val="en-US"/>
        </w:rPr>
        <w:t>ation’: ibid, at 6.</w:t>
      </w:r>
    </w:p>
  </w:footnote>
  <w:footnote w:id="231">
    <w:p w14:paraId="14EB9F62" w14:textId="4F9E6978" w:rsidR="00082E6E" w:rsidRPr="00A7059F" w:rsidRDefault="00082E6E" w:rsidP="004E01F3">
      <w:pPr>
        <w:pStyle w:val="Normal1"/>
        <w:pBdr>
          <w:top w:val="nil"/>
          <w:left w:val="nil"/>
          <w:bottom w:val="nil"/>
          <w:right w:val="nil"/>
          <w:between w:val="nil"/>
        </w:pBdr>
        <w:spacing w:after="0" w:line="240" w:lineRule="auto"/>
        <w:rPr>
          <w:rFonts w:ascii="Garamond" w:eastAsia="Cambria" w:hAnsi="Garamond" w:cs="Cambria"/>
          <w:color w:val="FFC000"/>
          <w:sz w:val="20"/>
          <w:szCs w:val="20"/>
        </w:rPr>
      </w:pPr>
      <w:r w:rsidRPr="00A7059F">
        <w:rPr>
          <w:rFonts w:ascii="Garamond" w:hAnsi="Garamond"/>
          <w:sz w:val="20"/>
          <w:szCs w:val="20"/>
          <w:vertAlign w:val="superscript"/>
        </w:rPr>
        <w:footnoteRef/>
      </w:r>
      <w:r w:rsidRPr="00A7059F">
        <w:rPr>
          <w:rFonts w:ascii="Garamond" w:eastAsia="Cambria" w:hAnsi="Garamond" w:cs="Cambria"/>
          <w:color w:val="000000"/>
          <w:sz w:val="20"/>
          <w:szCs w:val="20"/>
        </w:rPr>
        <w:t xml:space="preserve"> Human Rights litigation against TNCs under the Alien Tort Claims Act in the USA provides a good example of this ‘legal knocking at the doors’. </w:t>
      </w:r>
    </w:p>
  </w:footnote>
  <w:footnote w:id="232">
    <w:p w14:paraId="0D5AE566" w14:textId="2C337FC2" w:rsidR="00082E6E" w:rsidRPr="00A7059F" w:rsidRDefault="00082E6E">
      <w:pPr>
        <w:pStyle w:val="FootnoteText"/>
        <w:rPr>
          <w:rFonts w:ascii="Garamond" w:hAnsi="Garamond"/>
          <w:lang w:val="en-US"/>
        </w:rPr>
      </w:pPr>
      <w:r w:rsidRPr="00B05AE4">
        <w:rPr>
          <w:rStyle w:val="FootnoteReference"/>
          <w:rFonts w:ascii="Garamond" w:hAnsi="Garamond"/>
        </w:rPr>
        <w:footnoteRef/>
      </w:r>
      <w:r w:rsidRPr="00B05AE4">
        <w:rPr>
          <w:rFonts w:ascii="Garamond" w:hAnsi="Garamond"/>
        </w:rPr>
        <w:t xml:space="preserve"> </w:t>
      </w:r>
      <w:r w:rsidRPr="005C1A8C">
        <w:rPr>
          <w:rFonts w:ascii="Garamond" w:hAnsi="Garamond" w:cs="Times New Roman"/>
          <w:lang w:val="en-US"/>
        </w:rPr>
        <w:t>C Gonzalez, ‘Bridging the North-South Divide: International Environmental Law in the Anthropocene</w:t>
      </w:r>
      <w:r w:rsidRPr="005C1A8C">
        <w:rPr>
          <w:rFonts w:ascii="Garamond" w:hAnsi="Garamond"/>
          <w:lang w:val="en-US"/>
        </w:rPr>
        <w:t xml:space="preserve">’ (2015) 32 </w:t>
      </w:r>
      <w:r w:rsidRPr="005C1A8C">
        <w:rPr>
          <w:rFonts w:ascii="Garamond" w:hAnsi="Garamond"/>
          <w:i/>
          <w:lang w:val="en-US"/>
        </w:rPr>
        <w:t>Pace Environmental Law Review</w:t>
      </w:r>
      <w:r w:rsidRPr="00A7059F">
        <w:rPr>
          <w:rFonts w:ascii="Garamond" w:hAnsi="Garamond"/>
          <w:lang w:val="en-US"/>
        </w:rPr>
        <w:t xml:space="preserve"> 407–34.</w:t>
      </w:r>
    </w:p>
  </w:footnote>
  <w:footnote w:id="233">
    <w:p w14:paraId="47328FB5" w14:textId="73E1733E" w:rsidR="00082E6E" w:rsidRPr="00A7059F" w:rsidRDefault="00082E6E" w:rsidP="003B7A96">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w:t>
      </w:r>
      <w:r w:rsidRPr="005C1A8C">
        <w:rPr>
          <w:rFonts w:ascii="Garamond" w:hAnsi="Garamond" w:cs="Times New Roman"/>
          <w:lang w:val="en-US"/>
        </w:rPr>
        <w:t>Malm and Hornborg</w:t>
      </w:r>
      <w:r>
        <w:rPr>
          <w:rFonts w:ascii="Garamond" w:hAnsi="Garamond" w:cs="Times New Roman"/>
          <w:lang w:val="en-US"/>
        </w:rPr>
        <w:t xml:space="preserve"> (n 4);</w:t>
      </w:r>
      <w:r w:rsidRPr="005C1A8C">
        <w:rPr>
          <w:rFonts w:ascii="Garamond" w:hAnsi="Garamond" w:cs="Times New Roman"/>
          <w:lang w:val="en-US"/>
        </w:rPr>
        <w:t xml:space="preserve"> Grear, </w:t>
      </w:r>
      <w:r>
        <w:rPr>
          <w:rFonts w:ascii="Garamond" w:hAnsi="Garamond" w:cs="Times New Roman"/>
          <w:lang w:val="en-US"/>
        </w:rPr>
        <w:t xml:space="preserve">(n 152); </w:t>
      </w:r>
      <w:r w:rsidRPr="005C1A8C">
        <w:rPr>
          <w:rFonts w:ascii="Garamond" w:hAnsi="Garamond" w:cs="Times New Roman"/>
          <w:lang w:val="en-US"/>
        </w:rPr>
        <w:t xml:space="preserve">and although he ultimately affirms a negative universalism, </w:t>
      </w:r>
      <w:r w:rsidRPr="005C1A8C">
        <w:rPr>
          <w:rFonts w:ascii="Garamond" w:hAnsi="Garamond"/>
        </w:rPr>
        <w:t xml:space="preserve">D Chakrabarty, ‘The Climate of history: Four theses’ (2009) 35 </w:t>
      </w:r>
      <w:r w:rsidRPr="00A7059F">
        <w:rPr>
          <w:rFonts w:ascii="Garamond" w:hAnsi="Garamond" w:cs="Times"/>
          <w:i/>
          <w:iCs/>
        </w:rPr>
        <w:t xml:space="preserve">Critical Inquiry </w:t>
      </w:r>
      <w:r w:rsidRPr="00A7059F">
        <w:rPr>
          <w:rFonts w:ascii="Garamond" w:hAnsi="Garamond" w:cs="Times New Roman"/>
        </w:rPr>
        <w:t xml:space="preserve">35: 197–222. See also, </w:t>
      </w:r>
      <w:r w:rsidRPr="00A7059F">
        <w:rPr>
          <w:rFonts w:ascii="Garamond" w:hAnsi="Garamond" w:cs="Times New Roman"/>
          <w:lang w:val="en-US"/>
        </w:rPr>
        <w:t xml:space="preserve">KD Morrison, ‘ Provincializing the Anthropocene’ (2015) 673 </w:t>
      </w:r>
      <w:r w:rsidRPr="00A7059F">
        <w:rPr>
          <w:rFonts w:ascii="Garamond" w:hAnsi="Garamond" w:cs="Times New Roman"/>
          <w:i/>
          <w:lang w:val="en-US"/>
        </w:rPr>
        <w:t xml:space="preserve">Seminar </w:t>
      </w:r>
      <w:r w:rsidRPr="00A7059F">
        <w:rPr>
          <w:rFonts w:ascii="Garamond" w:hAnsi="Garamond" w:cs="Times New Roman"/>
          <w:lang w:val="en-US"/>
        </w:rPr>
        <w:t>75, 75-76.</w:t>
      </w:r>
    </w:p>
  </w:footnote>
  <w:footnote w:id="234">
    <w:p w14:paraId="79BFF641" w14:textId="2B0F02BE" w:rsidR="00082E6E" w:rsidRPr="00A7059F" w:rsidRDefault="00082E6E" w:rsidP="003B7A96">
      <w:pPr>
        <w:pStyle w:val="FootnoteText"/>
        <w:rPr>
          <w:rFonts w:ascii="Garamond" w:hAnsi="Garamond"/>
          <w:lang w:val="en-US"/>
        </w:rPr>
      </w:pPr>
      <w:r w:rsidRPr="00A7059F">
        <w:rPr>
          <w:rStyle w:val="FootnoteReference"/>
          <w:rFonts w:ascii="Garamond" w:hAnsi="Garamond"/>
        </w:rPr>
        <w:footnoteRef/>
      </w:r>
      <w:r w:rsidRPr="00A7059F">
        <w:rPr>
          <w:rFonts w:ascii="Garamond" w:hAnsi="Garamond"/>
        </w:rPr>
        <w:t xml:space="preserve"> Morrison, </w:t>
      </w:r>
      <w:r>
        <w:rPr>
          <w:rFonts w:ascii="Garamond" w:hAnsi="Garamond"/>
          <w:lang w:val="en-US"/>
        </w:rPr>
        <w:t>i</w:t>
      </w:r>
      <w:r w:rsidRPr="00A7059F">
        <w:rPr>
          <w:rFonts w:ascii="Garamond" w:hAnsi="Garamond"/>
          <w:lang w:val="en-US"/>
        </w:rPr>
        <w:t>bid, 75.</w:t>
      </w:r>
    </w:p>
  </w:footnote>
  <w:footnote w:id="235">
    <w:p w14:paraId="54572435" w14:textId="77777777" w:rsidR="00082E6E" w:rsidRPr="005C1A8C" w:rsidRDefault="00082E6E" w:rsidP="003B7A96">
      <w:pPr>
        <w:pStyle w:val="FootnoteText"/>
        <w:rPr>
          <w:rFonts w:ascii="Garamond" w:hAnsi="Garamond"/>
          <w:lang w:val="en-US"/>
        </w:rPr>
      </w:pPr>
      <w:r w:rsidRPr="00B05AE4">
        <w:rPr>
          <w:rStyle w:val="FootnoteReference"/>
          <w:rFonts w:ascii="Garamond" w:hAnsi="Garamond"/>
        </w:rPr>
        <w:footnoteRef/>
      </w:r>
      <w:r w:rsidRPr="00B05AE4">
        <w:rPr>
          <w:rFonts w:ascii="Garamond" w:hAnsi="Garamond"/>
        </w:rPr>
        <w:t xml:space="preserve"> </w:t>
      </w:r>
      <w:r w:rsidRPr="005C1A8C">
        <w:rPr>
          <w:rFonts w:ascii="Garamond" w:hAnsi="Garamond" w:cs="Times New Roman"/>
          <w:lang w:val="en-US"/>
        </w:rPr>
        <w:t>Morrison, ibid, 75-76.</w:t>
      </w:r>
    </w:p>
  </w:footnote>
  <w:footnote w:id="236">
    <w:p w14:paraId="49506282" w14:textId="79E8F82E" w:rsidR="00082E6E" w:rsidRPr="000256EC" w:rsidRDefault="00082E6E" w:rsidP="00321784">
      <w:pPr>
        <w:pStyle w:val="FootnoteText"/>
        <w:rPr>
          <w:rFonts w:ascii="Garamond" w:hAnsi="Garamond"/>
          <w:lang w:val="en-US"/>
        </w:rPr>
      </w:pPr>
      <w:r w:rsidRPr="00B05AE4">
        <w:rPr>
          <w:rStyle w:val="FootnoteReference"/>
          <w:rFonts w:ascii="Garamond" w:hAnsi="Garamond"/>
        </w:rPr>
        <w:footnoteRef/>
      </w:r>
      <w:r w:rsidRPr="00B05AE4">
        <w:rPr>
          <w:rFonts w:ascii="Garamond" w:hAnsi="Garamond"/>
        </w:rPr>
        <w:t xml:space="preserve"> </w:t>
      </w:r>
      <w:r w:rsidRPr="005C1A8C">
        <w:rPr>
          <w:rFonts w:ascii="Garamond" w:hAnsi="Garamond"/>
          <w:lang w:val="en-US"/>
        </w:rPr>
        <w:t>Malm</w:t>
      </w:r>
      <w:r w:rsidRPr="000256EC">
        <w:rPr>
          <w:rFonts w:ascii="Garamond" w:hAnsi="Garamond"/>
          <w:lang w:val="en-US"/>
        </w:rPr>
        <w:t xml:space="preserve"> and Hornborg (n 4).</w:t>
      </w:r>
    </w:p>
  </w:footnote>
  <w:footnote w:id="237">
    <w:p w14:paraId="6FC6BAA5" w14:textId="7985EFA6" w:rsidR="00082E6E" w:rsidRPr="000256EC" w:rsidRDefault="00082E6E">
      <w:pPr>
        <w:pStyle w:val="FootnoteText"/>
        <w:rPr>
          <w:rFonts w:ascii="Garamond" w:hAnsi="Garamond"/>
          <w:lang w:val="en-US"/>
        </w:rPr>
      </w:pPr>
      <w:r w:rsidRPr="000256EC">
        <w:rPr>
          <w:rStyle w:val="FootnoteReference"/>
          <w:rFonts w:ascii="Garamond" w:hAnsi="Garamond"/>
        </w:rPr>
        <w:footnoteRef/>
      </w:r>
      <w:r w:rsidRPr="000256EC">
        <w:rPr>
          <w:rFonts w:ascii="Garamond" w:hAnsi="Garamond"/>
        </w:rPr>
        <w:t xml:space="preserve"> </w:t>
      </w:r>
      <w:r w:rsidRPr="00411AE0">
        <w:rPr>
          <w:rFonts w:ascii="Garamond" w:hAnsi="Garamond"/>
        </w:rPr>
        <w:t>Baxi</w:t>
      </w:r>
      <w:r>
        <w:rPr>
          <w:rFonts w:ascii="Garamond" w:hAnsi="Garamond"/>
        </w:rPr>
        <w:t xml:space="preserve"> (n 24) at 246.</w:t>
      </w:r>
    </w:p>
  </w:footnote>
  <w:footnote w:id="238">
    <w:p w14:paraId="2BDFF67C" w14:textId="2247A5B9" w:rsidR="00082E6E" w:rsidRDefault="00082E6E" w:rsidP="00321784">
      <w:pPr>
        <w:widowControl w:val="0"/>
        <w:autoSpaceDE w:val="0"/>
        <w:autoSpaceDN w:val="0"/>
        <w:adjustRightInd w:val="0"/>
        <w:spacing w:after="0" w:line="240" w:lineRule="auto"/>
        <w:rPr>
          <w:rFonts w:ascii="Cambria" w:eastAsia="Cambria" w:hAnsi="Cambria" w:cs="Cambria"/>
          <w:color w:val="000000"/>
          <w:sz w:val="20"/>
          <w:szCs w:val="20"/>
        </w:rPr>
      </w:pPr>
      <w:r w:rsidRPr="006D0FEF">
        <w:rPr>
          <w:rFonts w:ascii="Garamond" w:hAnsi="Garamond"/>
          <w:sz w:val="20"/>
          <w:szCs w:val="20"/>
          <w:vertAlign w:val="superscript"/>
        </w:rPr>
        <w:footnoteRef/>
      </w:r>
      <w:r w:rsidRPr="006D0FEF">
        <w:rPr>
          <w:rFonts w:ascii="Garamond" w:eastAsia="Cambria" w:hAnsi="Garamond" w:cs="Cambria"/>
          <w:color w:val="000000"/>
          <w:sz w:val="20"/>
          <w:szCs w:val="20"/>
        </w:rPr>
        <w:t xml:space="preserve"> Brown</w:t>
      </w:r>
      <w:r>
        <w:rPr>
          <w:rFonts w:ascii="Garamond" w:eastAsia="Cambria" w:hAnsi="Garamond" w:cs="Cambria"/>
          <w:color w:val="000000"/>
          <w:sz w:val="20"/>
          <w:szCs w:val="20"/>
        </w:rPr>
        <w:t xml:space="preserve"> (n 210)</w:t>
      </w:r>
      <w:r w:rsidRPr="006D0FEF">
        <w:rPr>
          <w:rFonts w:ascii="Garamond" w:eastAsia="Cambria" w:hAnsi="Garamond" w:cs="Cambria"/>
          <w:color w:val="000000"/>
          <w:sz w:val="20"/>
          <w:szCs w:val="20"/>
        </w:rPr>
        <w:t>,</w:t>
      </w:r>
      <w:r>
        <w:rPr>
          <w:rFonts w:ascii="Garamond" w:eastAsia="Cambria" w:hAnsi="Garamond" w:cs="Cambria"/>
          <w:color w:val="0A0A0A"/>
          <w:sz w:val="20"/>
          <w:szCs w:val="20"/>
        </w:rPr>
        <w:t xml:space="preserve"> </w:t>
      </w:r>
      <w:r w:rsidRPr="00C62B76">
        <w:rPr>
          <w:rFonts w:ascii="Garamond" w:eastAsia="Cambria" w:hAnsi="Garamond" w:cs="Cambria"/>
          <w:color w:val="0A0A0A"/>
          <w:sz w:val="20"/>
          <w:szCs w:val="20"/>
          <w:highlight w:val="white"/>
        </w:rPr>
        <w:t>115-9. Brown argues that the projection of danger onto the alien both draws on and fuels a fantasy of containment for which walls are the ultimate icon’ (ibid, at 117).</w:t>
      </w:r>
      <w:r w:rsidRPr="00C62B76">
        <w:rPr>
          <w:rFonts w:ascii="Garamond" w:eastAsia="Cambria" w:hAnsi="Garamond" w:cs="Cambria"/>
          <w:color w:val="0A0A0A"/>
          <w:sz w:val="20"/>
          <w:szCs w:val="20"/>
        </w:rPr>
        <w:t xml:space="preserve"> Thus we return, full circle, to the anxieties contextualising the beginning</w:t>
      </w:r>
      <w:r w:rsidRPr="00411AE0">
        <w:rPr>
          <w:rFonts w:ascii="Garamond" w:eastAsia="Cambria" w:hAnsi="Garamond" w:cs="Cambria"/>
          <w:color w:val="0A0A0A"/>
          <w:sz w:val="20"/>
          <w:szCs w:val="20"/>
        </w:rPr>
        <w:t xml:space="preserve"> of our exploration.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F1CA3"/>
    <w:multiLevelType w:val="hybridMultilevel"/>
    <w:tmpl w:val="0BA03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AD7FA1"/>
    <w:multiLevelType w:val="multilevel"/>
    <w:tmpl w:val="2D7C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9E"/>
    <w:rsid w:val="00000291"/>
    <w:rsid w:val="000006C1"/>
    <w:rsid w:val="00000E94"/>
    <w:rsid w:val="00001029"/>
    <w:rsid w:val="00001A72"/>
    <w:rsid w:val="00001B64"/>
    <w:rsid w:val="00002556"/>
    <w:rsid w:val="000025D1"/>
    <w:rsid w:val="00002A26"/>
    <w:rsid w:val="00002D13"/>
    <w:rsid w:val="0000322E"/>
    <w:rsid w:val="000032C0"/>
    <w:rsid w:val="00003B09"/>
    <w:rsid w:val="00004B26"/>
    <w:rsid w:val="00004FC6"/>
    <w:rsid w:val="00006955"/>
    <w:rsid w:val="0000741E"/>
    <w:rsid w:val="000077D6"/>
    <w:rsid w:val="00007D20"/>
    <w:rsid w:val="000101D2"/>
    <w:rsid w:val="00010241"/>
    <w:rsid w:val="00011008"/>
    <w:rsid w:val="00011960"/>
    <w:rsid w:val="00012D3E"/>
    <w:rsid w:val="000133AB"/>
    <w:rsid w:val="0001398F"/>
    <w:rsid w:val="00013EBF"/>
    <w:rsid w:val="000145B0"/>
    <w:rsid w:val="00014880"/>
    <w:rsid w:val="00015ACB"/>
    <w:rsid w:val="00016522"/>
    <w:rsid w:val="00016EE1"/>
    <w:rsid w:val="000171DD"/>
    <w:rsid w:val="00017A52"/>
    <w:rsid w:val="00021924"/>
    <w:rsid w:val="00022189"/>
    <w:rsid w:val="00023165"/>
    <w:rsid w:val="00023796"/>
    <w:rsid w:val="00024369"/>
    <w:rsid w:val="000246B3"/>
    <w:rsid w:val="0002556A"/>
    <w:rsid w:val="000256EC"/>
    <w:rsid w:val="00025D19"/>
    <w:rsid w:val="0002612F"/>
    <w:rsid w:val="000275B9"/>
    <w:rsid w:val="00027E05"/>
    <w:rsid w:val="00027FAC"/>
    <w:rsid w:val="000307BD"/>
    <w:rsid w:val="00031772"/>
    <w:rsid w:val="00031920"/>
    <w:rsid w:val="0003240E"/>
    <w:rsid w:val="000324DA"/>
    <w:rsid w:val="000326F9"/>
    <w:rsid w:val="00032784"/>
    <w:rsid w:val="00032A41"/>
    <w:rsid w:val="00032E20"/>
    <w:rsid w:val="000338F8"/>
    <w:rsid w:val="00034147"/>
    <w:rsid w:val="0003486B"/>
    <w:rsid w:val="00034F03"/>
    <w:rsid w:val="00036B63"/>
    <w:rsid w:val="00037B78"/>
    <w:rsid w:val="0004023A"/>
    <w:rsid w:val="000406DC"/>
    <w:rsid w:val="00040CF1"/>
    <w:rsid w:val="00040D8C"/>
    <w:rsid w:val="00041703"/>
    <w:rsid w:val="00041932"/>
    <w:rsid w:val="00042A7C"/>
    <w:rsid w:val="00042C59"/>
    <w:rsid w:val="00042CC6"/>
    <w:rsid w:val="00042D1A"/>
    <w:rsid w:val="00043571"/>
    <w:rsid w:val="00043E97"/>
    <w:rsid w:val="00043FDB"/>
    <w:rsid w:val="000443BC"/>
    <w:rsid w:val="000444DA"/>
    <w:rsid w:val="00044A12"/>
    <w:rsid w:val="00045CFC"/>
    <w:rsid w:val="00045DBF"/>
    <w:rsid w:val="0004749C"/>
    <w:rsid w:val="000478B9"/>
    <w:rsid w:val="00047DE1"/>
    <w:rsid w:val="000500FD"/>
    <w:rsid w:val="00051244"/>
    <w:rsid w:val="0005173E"/>
    <w:rsid w:val="000517F6"/>
    <w:rsid w:val="00051859"/>
    <w:rsid w:val="00051ED2"/>
    <w:rsid w:val="000523D6"/>
    <w:rsid w:val="00052772"/>
    <w:rsid w:val="000534EA"/>
    <w:rsid w:val="000535DD"/>
    <w:rsid w:val="00053DA8"/>
    <w:rsid w:val="000541D6"/>
    <w:rsid w:val="00054DB2"/>
    <w:rsid w:val="00055135"/>
    <w:rsid w:val="00055A88"/>
    <w:rsid w:val="000562FC"/>
    <w:rsid w:val="00056787"/>
    <w:rsid w:val="0005681B"/>
    <w:rsid w:val="00056F5A"/>
    <w:rsid w:val="00056F87"/>
    <w:rsid w:val="00060489"/>
    <w:rsid w:val="000605AE"/>
    <w:rsid w:val="0006095C"/>
    <w:rsid w:val="00062110"/>
    <w:rsid w:val="00063A18"/>
    <w:rsid w:val="000643B0"/>
    <w:rsid w:val="00064A17"/>
    <w:rsid w:val="00065031"/>
    <w:rsid w:val="00065252"/>
    <w:rsid w:val="0006529B"/>
    <w:rsid w:val="0006590F"/>
    <w:rsid w:val="00066246"/>
    <w:rsid w:val="00066299"/>
    <w:rsid w:val="00067B54"/>
    <w:rsid w:val="00067F64"/>
    <w:rsid w:val="00067FA8"/>
    <w:rsid w:val="000700AE"/>
    <w:rsid w:val="00070D35"/>
    <w:rsid w:val="000711F4"/>
    <w:rsid w:val="00071513"/>
    <w:rsid w:val="000719F6"/>
    <w:rsid w:val="00071AB4"/>
    <w:rsid w:val="00071DF9"/>
    <w:rsid w:val="00071F26"/>
    <w:rsid w:val="0007207A"/>
    <w:rsid w:val="000725C5"/>
    <w:rsid w:val="0007286B"/>
    <w:rsid w:val="00072ABC"/>
    <w:rsid w:val="00072B01"/>
    <w:rsid w:val="00072F1D"/>
    <w:rsid w:val="00073963"/>
    <w:rsid w:val="00073AF8"/>
    <w:rsid w:val="000741C9"/>
    <w:rsid w:val="00074250"/>
    <w:rsid w:val="00074925"/>
    <w:rsid w:val="00074C5D"/>
    <w:rsid w:val="000754E6"/>
    <w:rsid w:val="00075829"/>
    <w:rsid w:val="00075CBE"/>
    <w:rsid w:val="00075D1D"/>
    <w:rsid w:val="00076C60"/>
    <w:rsid w:val="0007712B"/>
    <w:rsid w:val="00077A73"/>
    <w:rsid w:val="00080D8B"/>
    <w:rsid w:val="00080E15"/>
    <w:rsid w:val="00080E7C"/>
    <w:rsid w:val="0008242B"/>
    <w:rsid w:val="00082965"/>
    <w:rsid w:val="00082E6E"/>
    <w:rsid w:val="0008412D"/>
    <w:rsid w:val="000842C0"/>
    <w:rsid w:val="00084D18"/>
    <w:rsid w:val="00085606"/>
    <w:rsid w:val="00085E3F"/>
    <w:rsid w:val="00087E97"/>
    <w:rsid w:val="00090A2B"/>
    <w:rsid w:val="00091ABC"/>
    <w:rsid w:val="00091DD5"/>
    <w:rsid w:val="0009298E"/>
    <w:rsid w:val="000930EB"/>
    <w:rsid w:val="0009419C"/>
    <w:rsid w:val="00095175"/>
    <w:rsid w:val="000951A7"/>
    <w:rsid w:val="00095638"/>
    <w:rsid w:val="00096484"/>
    <w:rsid w:val="00097270"/>
    <w:rsid w:val="00097C6C"/>
    <w:rsid w:val="000A05D4"/>
    <w:rsid w:val="000A07C6"/>
    <w:rsid w:val="000A1857"/>
    <w:rsid w:val="000A268D"/>
    <w:rsid w:val="000A2894"/>
    <w:rsid w:val="000A31A1"/>
    <w:rsid w:val="000A3791"/>
    <w:rsid w:val="000A37AE"/>
    <w:rsid w:val="000A37ED"/>
    <w:rsid w:val="000A40E8"/>
    <w:rsid w:val="000A45BD"/>
    <w:rsid w:val="000A4A18"/>
    <w:rsid w:val="000A4D48"/>
    <w:rsid w:val="000A4FBC"/>
    <w:rsid w:val="000A50E2"/>
    <w:rsid w:val="000A54B7"/>
    <w:rsid w:val="000A5779"/>
    <w:rsid w:val="000A59E5"/>
    <w:rsid w:val="000A5DB5"/>
    <w:rsid w:val="000A5E86"/>
    <w:rsid w:val="000A5FFB"/>
    <w:rsid w:val="000A6092"/>
    <w:rsid w:val="000A6B56"/>
    <w:rsid w:val="000A6E91"/>
    <w:rsid w:val="000A79ED"/>
    <w:rsid w:val="000B01CB"/>
    <w:rsid w:val="000B0AE0"/>
    <w:rsid w:val="000B0CA2"/>
    <w:rsid w:val="000B1704"/>
    <w:rsid w:val="000B3030"/>
    <w:rsid w:val="000B36C2"/>
    <w:rsid w:val="000B3B9E"/>
    <w:rsid w:val="000B4171"/>
    <w:rsid w:val="000B434B"/>
    <w:rsid w:val="000B51CE"/>
    <w:rsid w:val="000B5983"/>
    <w:rsid w:val="000B6164"/>
    <w:rsid w:val="000B6A15"/>
    <w:rsid w:val="000C0946"/>
    <w:rsid w:val="000C1ECF"/>
    <w:rsid w:val="000C231B"/>
    <w:rsid w:val="000C2D0E"/>
    <w:rsid w:val="000C31B2"/>
    <w:rsid w:val="000C686E"/>
    <w:rsid w:val="000C70C1"/>
    <w:rsid w:val="000C7439"/>
    <w:rsid w:val="000C7879"/>
    <w:rsid w:val="000C7C53"/>
    <w:rsid w:val="000D0657"/>
    <w:rsid w:val="000D0C38"/>
    <w:rsid w:val="000D11E1"/>
    <w:rsid w:val="000D139E"/>
    <w:rsid w:val="000D186C"/>
    <w:rsid w:val="000D2060"/>
    <w:rsid w:val="000D23C5"/>
    <w:rsid w:val="000D303E"/>
    <w:rsid w:val="000D338E"/>
    <w:rsid w:val="000D48A4"/>
    <w:rsid w:val="000D4FD1"/>
    <w:rsid w:val="000D50E5"/>
    <w:rsid w:val="000D557D"/>
    <w:rsid w:val="000D5874"/>
    <w:rsid w:val="000D5CEE"/>
    <w:rsid w:val="000D609D"/>
    <w:rsid w:val="000D6351"/>
    <w:rsid w:val="000D6523"/>
    <w:rsid w:val="000D6C75"/>
    <w:rsid w:val="000D7D1F"/>
    <w:rsid w:val="000E1F70"/>
    <w:rsid w:val="000E23E3"/>
    <w:rsid w:val="000E26E3"/>
    <w:rsid w:val="000E279C"/>
    <w:rsid w:val="000E2952"/>
    <w:rsid w:val="000E31DC"/>
    <w:rsid w:val="000E4108"/>
    <w:rsid w:val="000E4677"/>
    <w:rsid w:val="000E46DF"/>
    <w:rsid w:val="000E56FA"/>
    <w:rsid w:val="000E5713"/>
    <w:rsid w:val="000E6165"/>
    <w:rsid w:val="000E678B"/>
    <w:rsid w:val="000E695B"/>
    <w:rsid w:val="000F051C"/>
    <w:rsid w:val="000F05A7"/>
    <w:rsid w:val="000F1813"/>
    <w:rsid w:val="000F1B6E"/>
    <w:rsid w:val="000F1FE5"/>
    <w:rsid w:val="000F266D"/>
    <w:rsid w:val="000F2714"/>
    <w:rsid w:val="000F2AB2"/>
    <w:rsid w:val="000F330B"/>
    <w:rsid w:val="000F35FF"/>
    <w:rsid w:val="000F36AC"/>
    <w:rsid w:val="000F37A2"/>
    <w:rsid w:val="000F3C6F"/>
    <w:rsid w:val="000F3E5C"/>
    <w:rsid w:val="000F470A"/>
    <w:rsid w:val="000F47CE"/>
    <w:rsid w:val="000F4EB3"/>
    <w:rsid w:val="000F520F"/>
    <w:rsid w:val="000F60EE"/>
    <w:rsid w:val="000F6B0E"/>
    <w:rsid w:val="000F6B4A"/>
    <w:rsid w:val="000F730F"/>
    <w:rsid w:val="000F759D"/>
    <w:rsid w:val="000F79F4"/>
    <w:rsid w:val="000F7A92"/>
    <w:rsid w:val="000F7BF2"/>
    <w:rsid w:val="00100281"/>
    <w:rsid w:val="001003AA"/>
    <w:rsid w:val="001006D9"/>
    <w:rsid w:val="001015A6"/>
    <w:rsid w:val="00101A8A"/>
    <w:rsid w:val="001028C2"/>
    <w:rsid w:val="0010422E"/>
    <w:rsid w:val="00104D0F"/>
    <w:rsid w:val="00106E72"/>
    <w:rsid w:val="001073D0"/>
    <w:rsid w:val="0011016D"/>
    <w:rsid w:val="0011127E"/>
    <w:rsid w:val="00111F80"/>
    <w:rsid w:val="00112858"/>
    <w:rsid w:val="0011325B"/>
    <w:rsid w:val="00113543"/>
    <w:rsid w:val="00113B45"/>
    <w:rsid w:val="001140B9"/>
    <w:rsid w:val="00114588"/>
    <w:rsid w:val="00115415"/>
    <w:rsid w:val="001155CD"/>
    <w:rsid w:val="00115F24"/>
    <w:rsid w:val="00117358"/>
    <w:rsid w:val="0011749D"/>
    <w:rsid w:val="00117E0A"/>
    <w:rsid w:val="00117E44"/>
    <w:rsid w:val="00120B80"/>
    <w:rsid w:val="00121D13"/>
    <w:rsid w:val="00121DD0"/>
    <w:rsid w:val="001232AB"/>
    <w:rsid w:val="001250A0"/>
    <w:rsid w:val="00125E0E"/>
    <w:rsid w:val="001262D9"/>
    <w:rsid w:val="001263B9"/>
    <w:rsid w:val="00126B49"/>
    <w:rsid w:val="00127B8B"/>
    <w:rsid w:val="001301CA"/>
    <w:rsid w:val="0013042E"/>
    <w:rsid w:val="00130CF2"/>
    <w:rsid w:val="00132BCC"/>
    <w:rsid w:val="0013357E"/>
    <w:rsid w:val="00133630"/>
    <w:rsid w:val="001338A2"/>
    <w:rsid w:val="00134174"/>
    <w:rsid w:val="00135D19"/>
    <w:rsid w:val="00136810"/>
    <w:rsid w:val="00136CDF"/>
    <w:rsid w:val="00137B41"/>
    <w:rsid w:val="00140D7F"/>
    <w:rsid w:val="00140D89"/>
    <w:rsid w:val="001416A4"/>
    <w:rsid w:val="001440D2"/>
    <w:rsid w:val="0014511E"/>
    <w:rsid w:val="00145223"/>
    <w:rsid w:val="00145630"/>
    <w:rsid w:val="00145694"/>
    <w:rsid w:val="00145EB7"/>
    <w:rsid w:val="00146149"/>
    <w:rsid w:val="001476D9"/>
    <w:rsid w:val="00150344"/>
    <w:rsid w:val="0015037E"/>
    <w:rsid w:val="00150B6B"/>
    <w:rsid w:val="00150E21"/>
    <w:rsid w:val="001513FA"/>
    <w:rsid w:val="0015173B"/>
    <w:rsid w:val="00151B3B"/>
    <w:rsid w:val="00151D56"/>
    <w:rsid w:val="00151F65"/>
    <w:rsid w:val="001521F8"/>
    <w:rsid w:val="00152547"/>
    <w:rsid w:val="00152763"/>
    <w:rsid w:val="00152841"/>
    <w:rsid w:val="00152DE2"/>
    <w:rsid w:val="0015361A"/>
    <w:rsid w:val="0015368F"/>
    <w:rsid w:val="00153F59"/>
    <w:rsid w:val="00153F90"/>
    <w:rsid w:val="001546F9"/>
    <w:rsid w:val="00154839"/>
    <w:rsid w:val="00154C43"/>
    <w:rsid w:val="00154FB4"/>
    <w:rsid w:val="0015516D"/>
    <w:rsid w:val="001555D7"/>
    <w:rsid w:val="001560CA"/>
    <w:rsid w:val="001567EB"/>
    <w:rsid w:val="00157108"/>
    <w:rsid w:val="00157CDF"/>
    <w:rsid w:val="001608A6"/>
    <w:rsid w:val="00161F5A"/>
    <w:rsid w:val="00162A53"/>
    <w:rsid w:val="00162E61"/>
    <w:rsid w:val="0016383D"/>
    <w:rsid w:val="00163AC9"/>
    <w:rsid w:val="00164429"/>
    <w:rsid w:val="001646C7"/>
    <w:rsid w:val="00164AE7"/>
    <w:rsid w:val="001662D0"/>
    <w:rsid w:val="00166A64"/>
    <w:rsid w:val="0016727A"/>
    <w:rsid w:val="00167ACB"/>
    <w:rsid w:val="001703D3"/>
    <w:rsid w:val="001704E7"/>
    <w:rsid w:val="001706BD"/>
    <w:rsid w:val="001706CF"/>
    <w:rsid w:val="001707FC"/>
    <w:rsid w:val="00170988"/>
    <w:rsid w:val="001711FD"/>
    <w:rsid w:val="0017266E"/>
    <w:rsid w:val="00172AEE"/>
    <w:rsid w:val="00173469"/>
    <w:rsid w:val="00173DA9"/>
    <w:rsid w:val="0017435E"/>
    <w:rsid w:val="00174916"/>
    <w:rsid w:val="00174A76"/>
    <w:rsid w:val="00174AAC"/>
    <w:rsid w:val="001750D1"/>
    <w:rsid w:val="0017555E"/>
    <w:rsid w:val="001757AF"/>
    <w:rsid w:val="0017642F"/>
    <w:rsid w:val="0017677B"/>
    <w:rsid w:val="00177215"/>
    <w:rsid w:val="00177EB9"/>
    <w:rsid w:val="001805D1"/>
    <w:rsid w:val="001807DD"/>
    <w:rsid w:val="0018155D"/>
    <w:rsid w:val="001817F5"/>
    <w:rsid w:val="00181A8D"/>
    <w:rsid w:val="00181DA9"/>
    <w:rsid w:val="00181E43"/>
    <w:rsid w:val="00182782"/>
    <w:rsid w:val="00182DF5"/>
    <w:rsid w:val="001835EB"/>
    <w:rsid w:val="001839A4"/>
    <w:rsid w:val="00184143"/>
    <w:rsid w:val="001843A0"/>
    <w:rsid w:val="00184BA3"/>
    <w:rsid w:val="00185A1D"/>
    <w:rsid w:val="00185DB8"/>
    <w:rsid w:val="00186BC4"/>
    <w:rsid w:val="00187800"/>
    <w:rsid w:val="00187F9D"/>
    <w:rsid w:val="001901AB"/>
    <w:rsid w:val="00190DF6"/>
    <w:rsid w:val="00191848"/>
    <w:rsid w:val="00191D03"/>
    <w:rsid w:val="001920B4"/>
    <w:rsid w:val="0019212D"/>
    <w:rsid w:val="0019297B"/>
    <w:rsid w:val="00192A07"/>
    <w:rsid w:val="00192B97"/>
    <w:rsid w:val="00192BB0"/>
    <w:rsid w:val="00193403"/>
    <w:rsid w:val="001937DF"/>
    <w:rsid w:val="00193EF8"/>
    <w:rsid w:val="001940BD"/>
    <w:rsid w:val="001941F1"/>
    <w:rsid w:val="001955B2"/>
    <w:rsid w:val="0019625F"/>
    <w:rsid w:val="00196463"/>
    <w:rsid w:val="00196D9D"/>
    <w:rsid w:val="0019758A"/>
    <w:rsid w:val="001A00F5"/>
    <w:rsid w:val="001A05D6"/>
    <w:rsid w:val="001A0626"/>
    <w:rsid w:val="001A072A"/>
    <w:rsid w:val="001A10DF"/>
    <w:rsid w:val="001A1413"/>
    <w:rsid w:val="001A193C"/>
    <w:rsid w:val="001A29D0"/>
    <w:rsid w:val="001A3BC8"/>
    <w:rsid w:val="001A3D0E"/>
    <w:rsid w:val="001A4285"/>
    <w:rsid w:val="001A4446"/>
    <w:rsid w:val="001A4AA4"/>
    <w:rsid w:val="001A5E47"/>
    <w:rsid w:val="001A5E99"/>
    <w:rsid w:val="001A6C03"/>
    <w:rsid w:val="001A791F"/>
    <w:rsid w:val="001B0882"/>
    <w:rsid w:val="001B0D50"/>
    <w:rsid w:val="001B0EF1"/>
    <w:rsid w:val="001B0EF3"/>
    <w:rsid w:val="001B0F39"/>
    <w:rsid w:val="001B27A3"/>
    <w:rsid w:val="001B3C26"/>
    <w:rsid w:val="001B3D13"/>
    <w:rsid w:val="001B4724"/>
    <w:rsid w:val="001B4A02"/>
    <w:rsid w:val="001B5D14"/>
    <w:rsid w:val="001B61E7"/>
    <w:rsid w:val="001B7017"/>
    <w:rsid w:val="001B715F"/>
    <w:rsid w:val="001C0AEB"/>
    <w:rsid w:val="001C1BB2"/>
    <w:rsid w:val="001C2179"/>
    <w:rsid w:val="001C4CBE"/>
    <w:rsid w:val="001C5331"/>
    <w:rsid w:val="001C5A7D"/>
    <w:rsid w:val="001C5B41"/>
    <w:rsid w:val="001C5F96"/>
    <w:rsid w:val="001C6237"/>
    <w:rsid w:val="001C63CA"/>
    <w:rsid w:val="001C68B2"/>
    <w:rsid w:val="001C7B0E"/>
    <w:rsid w:val="001C7FBF"/>
    <w:rsid w:val="001D0B3B"/>
    <w:rsid w:val="001D0E3C"/>
    <w:rsid w:val="001D1522"/>
    <w:rsid w:val="001D1D37"/>
    <w:rsid w:val="001D1EA9"/>
    <w:rsid w:val="001D200D"/>
    <w:rsid w:val="001D30A0"/>
    <w:rsid w:val="001D3730"/>
    <w:rsid w:val="001D3F9F"/>
    <w:rsid w:val="001D4237"/>
    <w:rsid w:val="001D46DB"/>
    <w:rsid w:val="001D4B7E"/>
    <w:rsid w:val="001D52D2"/>
    <w:rsid w:val="001D596E"/>
    <w:rsid w:val="001D5D9A"/>
    <w:rsid w:val="001D5EC1"/>
    <w:rsid w:val="001D6585"/>
    <w:rsid w:val="001D6DF6"/>
    <w:rsid w:val="001E09F9"/>
    <w:rsid w:val="001E0F36"/>
    <w:rsid w:val="001E105F"/>
    <w:rsid w:val="001E156B"/>
    <w:rsid w:val="001E1B56"/>
    <w:rsid w:val="001E20C7"/>
    <w:rsid w:val="001E22A7"/>
    <w:rsid w:val="001E278B"/>
    <w:rsid w:val="001E2D5F"/>
    <w:rsid w:val="001E3215"/>
    <w:rsid w:val="001E4421"/>
    <w:rsid w:val="001E476A"/>
    <w:rsid w:val="001E47C3"/>
    <w:rsid w:val="001E48B1"/>
    <w:rsid w:val="001E4B2B"/>
    <w:rsid w:val="001E5024"/>
    <w:rsid w:val="001E50D9"/>
    <w:rsid w:val="001E6064"/>
    <w:rsid w:val="001E6D17"/>
    <w:rsid w:val="001E709A"/>
    <w:rsid w:val="001E7283"/>
    <w:rsid w:val="001E73EB"/>
    <w:rsid w:val="001E7A28"/>
    <w:rsid w:val="001E7B33"/>
    <w:rsid w:val="001F0587"/>
    <w:rsid w:val="001F07BB"/>
    <w:rsid w:val="001F0D7E"/>
    <w:rsid w:val="001F1721"/>
    <w:rsid w:val="001F1788"/>
    <w:rsid w:val="001F1F27"/>
    <w:rsid w:val="001F2659"/>
    <w:rsid w:val="001F2FCD"/>
    <w:rsid w:val="001F2FE9"/>
    <w:rsid w:val="001F3D28"/>
    <w:rsid w:val="001F4821"/>
    <w:rsid w:val="001F5C0A"/>
    <w:rsid w:val="001F6564"/>
    <w:rsid w:val="001F69AE"/>
    <w:rsid w:val="001F77F3"/>
    <w:rsid w:val="001F7817"/>
    <w:rsid w:val="00200D7E"/>
    <w:rsid w:val="00201845"/>
    <w:rsid w:val="0020273E"/>
    <w:rsid w:val="0020291B"/>
    <w:rsid w:val="00202DD4"/>
    <w:rsid w:val="00203547"/>
    <w:rsid w:val="0020409B"/>
    <w:rsid w:val="00204393"/>
    <w:rsid w:val="00204826"/>
    <w:rsid w:val="00204A4F"/>
    <w:rsid w:val="00204C6F"/>
    <w:rsid w:val="00204F08"/>
    <w:rsid w:val="002054BB"/>
    <w:rsid w:val="002058D9"/>
    <w:rsid w:val="00205DB9"/>
    <w:rsid w:val="00206A83"/>
    <w:rsid w:val="00206EBB"/>
    <w:rsid w:val="00207937"/>
    <w:rsid w:val="00210630"/>
    <w:rsid w:val="0021073E"/>
    <w:rsid w:val="00210E9A"/>
    <w:rsid w:val="002127B5"/>
    <w:rsid w:val="00212809"/>
    <w:rsid w:val="00212B46"/>
    <w:rsid w:val="00212CB0"/>
    <w:rsid w:val="00212E7E"/>
    <w:rsid w:val="00213488"/>
    <w:rsid w:val="00213662"/>
    <w:rsid w:val="00213686"/>
    <w:rsid w:val="00213772"/>
    <w:rsid w:val="002138A2"/>
    <w:rsid w:val="002140DB"/>
    <w:rsid w:val="00214150"/>
    <w:rsid w:val="002144E9"/>
    <w:rsid w:val="00214FBF"/>
    <w:rsid w:val="00215211"/>
    <w:rsid w:val="002154B7"/>
    <w:rsid w:val="002154F8"/>
    <w:rsid w:val="00215E60"/>
    <w:rsid w:val="002160F8"/>
    <w:rsid w:val="0021635C"/>
    <w:rsid w:val="0021643D"/>
    <w:rsid w:val="00216A33"/>
    <w:rsid w:val="00216B0B"/>
    <w:rsid w:val="00216CB6"/>
    <w:rsid w:val="00216FD2"/>
    <w:rsid w:val="00217168"/>
    <w:rsid w:val="0021732E"/>
    <w:rsid w:val="00217565"/>
    <w:rsid w:val="00217966"/>
    <w:rsid w:val="002202B8"/>
    <w:rsid w:val="002213D1"/>
    <w:rsid w:val="00221502"/>
    <w:rsid w:val="0022265D"/>
    <w:rsid w:val="002243FC"/>
    <w:rsid w:val="00224522"/>
    <w:rsid w:val="00224A6F"/>
    <w:rsid w:val="00225684"/>
    <w:rsid w:val="00225FF5"/>
    <w:rsid w:val="002265BF"/>
    <w:rsid w:val="00226FBF"/>
    <w:rsid w:val="00226FC7"/>
    <w:rsid w:val="00227464"/>
    <w:rsid w:val="0022790B"/>
    <w:rsid w:val="0022791B"/>
    <w:rsid w:val="00227AFD"/>
    <w:rsid w:val="002305CA"/>
    <w:rsid w:val="002307E3"/>
    <w:rsid w:val="00230A63"/>
    <w:rsid w:val="00231EDA"/>
    <w:rsid w:val="002325E7"/>
    <w:rsid w:val="00233244"/>
    <w:rsid w:val="00233904"/>
    <w:rsid w:val="00233F10"/>
    <w:rsid w:val="00234AC3"/>
    <w:rsid w:val="00235231"/>
    <w:rsid w:val="002354AD"/>
    <w:rsid w:val="002355C8"/>
    <w:rsid w:val="00236CC2"/>
    <w:rsid w:val="0023727E"/>
    <w:rsid w:val="002373FA"/>
    <w:rsid w:val="00240687"/>
    <w:rsid w:val="0024132B"/>
    <w:rsid w:val="002413C3"/>
    <w:rsid w:val="00241C7C"/>
    <w:rsid w:val="00242C0F"/>
    <w:rsid w:val="00242CFB"/>
    <w:rsid w:val="00243DE0"/>
    <w:rsid w:val="00244050"/>
    <w:rsid w:val="00244434"/>
    <w:rsid w:val="00244776"/>
    <w:rsid w:val="002454C7"/>
    <w:rsid w:val="00246B8C"/>
    <w:rsid w:val="00246F6A"/>
    <w:rsid w:val="00247B6D"/>
    <w:rsid w:val="00250499"/>
    <w:rsid w:val="002509D4"/>
    <w:rsid w:val="00250AEF"/>
    <w:rsid w:val="00251061"/>
    <w:rsid w:val="0025219C"/>
    <w:rsid w:val="002523AD"/>
    <w:rsid w:val="00252888"/>
    <w:rsid w:val="0025291D"/>
    <w:rsid w:val="00253F38"/>
    <w:rsid w:val="00254148"/>
    <w:rsid w:val="0025438A"/>
    <w:rsid w:val="0025477E"/>
    <w:rsid w:val="002553DA"/>
    <w:rsid w:val="0025560A"/>
    <w:rsid w:val="00255D64"/>
    <w:rsid w:val="00256409"/>
    <w:rsid w:val="00256D6A"/>
    <w:rsid w:val="00257658"/>
    <w:rsid w:val="002600C5"/>
    <w:rsid w:val="002601AF"/>
    <w:rsid w:val="002602FB"/>
    <w:rsid w:val="0026186C"/>
    <w:rsid w:val="00261FCE"/>
    <w:rsid w:val="0026262F"/>
    <w:rsid w:val="00262804"/>
    <w:rsid w:val="00262B38"/>
    <w:rsid w:val="00262BA5"/>
    <w:rsid w:val="0026353E"/>
    <w:rsid w:val="002639B9"/>
    <w:rsid w:val="00264492"/>
    <w:rsid w:val="00264AC6"/>
    <w:rsid w:val="002651A1"/>
    <w:rsid w:val="002657B6"/>
    <w:rsid w:val="00265A7E"/>
    <w:rsid w:val="00266B4B"/>
    <w:rsid w:val="00266D33"/>
    <w:rsid w:val="00267648"/>
    <w:rsid w:val="00267B0E"/>
    <w:rsid w:val="0027005E"/>
    <w:rsid w:val="002701D9"/>
    <w:rsid w:val="002704A2"/>
    <w:rsid w:val="002705DB"/>
    <w:rsid w:val="00271F94"/>
    <w:rsid w:val="00272025"/>
    <w:rsid w:val="002722DF"/>
    <w:rsid w:val="00272641"/>
    <w:rsid w:val="00272B0E"/>
    <w:rsid w:val="0027300A"/>
    <w:rsid w:val="00273F99"/>
    <w:rsid w:val="002747C5"/>
    <w:rsid w:val="00275ED3"/>
    <w:rsid w:val="00276096"/>
    <w:rsid w:val="0027640C"/>
    <w:rsid w:val="00276AA8"/>
    <w:rsid w:val="00276C46"/>
    <w:rsid w:val="002806B5"/>
    <w:rsid w:val="002809EA"/>
    <w:rsid w:val="002809FB"/>
    <w:rsid w:val="002815F2"/>
    <w:rsid w:val="00281656"/>
    <w:rsid w:val="0028243C"/>
    <w:rsid w:val="00282B68"/>
    <w:rsid w:val="00283B8A"/>
    <w:rsid w:val="00283BF3"/>
    <w:rsid w:val="00283FEF"/>
    <w:rsid w:val="00284B10"/>
    <w:rsid w:val="00285EFB"/>
    <w:rsid w:val="002868AF"/>
    <w:rsid w:val="00286CD1"/>
    <w:rsid w:val="0028744D"/>
    <w:rsid w:val="002875F7"/>
    <w:rsid w:val="002878CD"/>
    <w:rsid w:val="002900DC"/>
    <w:rsid w:val="00290E6D"/>
    <w:rsid w:val="00291B1C"/>
    <w:rsid w:val="00292745"/>
    <w:rsid w:val="00292A6A"/>
    <w:rsid w:val="00292E54"/>
    <w:rsid w:val="002930B3"/>
    <w:rsid w:val="00293AC1"/>
    <w:rsid w:val="00293D2A"/>
    <w:rsid w:val="0029508C"/>
    <w:rsid w:val="00296F2F"/>
    <w:rsid w:val="0029747A"/>
    <w:rsid w:val="00297D61"/>
    <w:rsid w:val="002A0362"/>
    <w:rsid w:val="002A0CEA"/>
    <w:rsid w:val="002A1CDB"/>
    <w:rsid w:val="002A1DAF"/>
    <w:rsid w:val="002A1EA9"/>
    <w:rsid w:val="002A27E4"/>
    <w:rsid w:val="002A2EF8"/>
    <w:rsid w:val="002A3B44"/>
    <w:rsid w:val="002A3B6C"/>
    <w:rsid w:val="002A3F57"/>
    <w:rsid w:val="002A4802"/>
    <w:rsid w:val="002A547F"/>
    <w:rsid w:val="002A565F"/>
    <w:rsid w:val="002A5831"/>
    <w:rsid w:val="002A58EE"/>
    <w:rsid w:val="002A5E00"/>
    <w:rsid w:val="002A5E08"/>
    <w:rsid w:val="002A6CED"/>
    <w:rsid w:val="002A6D31"/>
    <w:rsid w:val="002A7077"/>
    <w:rsid w:val="002B0184"/>
    <w:rsid w:val="002B05AD"/>
    <w:rsid w:val="002B05C9"/>
    <w:rsid w:val="002B0A03"/>
    <w:rsid w:val="002B0ED9"/>
    <w:rsid w:val="002B1356"/>
    <w:rsid w:val="002B16F3"/>
    <w:rsid w:val="002B1E2E"/>
    <w:rsid w:val="002B3529"/>
    <w:rsid w:val="002B3997"/>
    <w:rsid w:val="002B3EDC"/>
    <w:rsid w:val="002B44D6"/>
    <w:rsid w:val="002B48E6"/>
    <w:rsid w:val="002B4FD0"/>
    <w:rsid w:val="002B53AA"/>
    <w:rsid w:val="002B59D1"/>
    <w:rsid w:val="002B5BAF"/>
    <w:rsid w:val="002B6602"/>
    <w:rsid w:val="002B76A9"/>
    <w:rsid w:val="002B7C4F"/>
    <w:rsid w:val="002C0062"/>
    <w:rsid w:val="002C04BF"/>
    <w:rsid w:val="002C1558"/>
    <w:rsid w:val="002C1762"/>
    <w:rsid w:val="002C1D8C"/>
    <w:rsid w:val="002C25DB"/>
    <w:rsid w:val="002C28FB"/>
    <w:rsid w:val="002C2B30"/>
    <w:rsid w:val="002C3B7D"/>
    <w:rsid w:val="002C4377"/>
    <w:rsid w:val="002C4435"/>
    <w:rsid w:val="002C57F0"/>
    <w:rsid w:val="002C59EC"/>
    <w:rsid w:val="002C5A9F"/>
    <w:rsid w:val="002C7D14"/>
    <w:rsid w:val="002C7E76"/>
    <w:rsid w:val="002D0988"/>
    <w:rsid w:val="002D0DAA"/>
    <w:rsid w:val="002D1554"/>
    <w:rsid w:val="002D1A2D"/>
    <w:rsid w:val="002D1CF1"/>
    <w:rsid w:val="002D26B9"/>
    <w:rsid w:val="002D3351"/>
    <w:rsid w:val="002D4190"/>
    <w:rsid w:val="002D4A30"/>
    <w:rsid w:val="002D4A36"/>
    <w:rsid w:val="002D4B4D"/>
    <w:rsid w:val="002D4C66"/>
    <w:rsid w:val="002D5498"/>
    <w:rsid w:val="002D54B3"/>
    <w:rsid w:val="002D54BB"/>
    <w:rsid w:val="002D5F44"/>
    <w:rsid w:val="002D64F6"/>
    <w:rsid w:val="002D6E0D"/>
    <w:rsid w:val="002D7702"/>
    <w:rsid w:val="002D787E"/>
    <w:rsid w:val="002D7A8F"/>
    <w:rsid w:val="002E0C5B"/>
    <w:rsid w:val="002E0EF8"/>
    <w:rsid w:val="002E14A6"/>
    <w:rsid w:val="002E1E21"/>
    <w:rsid w:val="002E22DD"/>
    <w:rsid w:val="002E25D6"/>
    <w:rsid w:val="002E3458"/>
    <w:rsid w:val="002E35BF"/>
    <w:rsid w:val="002E3690"/>
    <w:rsid w:val="002E36D6"/>
    <w:rsid w:val="002E4B19"/>
    <w:rsid w:val="002E4FDA"/>
    <w:rsid w:val="002E5122"/>
    <w:rsid w:val="002E66EB"/>
    <w:rsid w:val="002E7329"/>
    <w:rsid w:val="002F01CD"/>
    <w:rsid w:val="002F0302"/>
    <w:rsid w:val="002F06D2"/>
    <w:rsid w:val="002F0837"/>
    <w:rsid w:val="002F2497"/>
    <w:rsid w:val="002F2621"/>
    <w:rsid w:val="002F3001"/>
    <w:rsid w:val="002F3655"/>
    <w:rsid w:val="002F3666"/>
    <w:rsid w:val="002F3814"/>
    <w:rsid w:val="002F3E94"/>
    <w:rsid w:val="002F3F3B"/>
    <w:rsid w:val="002F49FB"/>
    <w:rsid w:val="002F4B27"/>
    <w:rsid w:val="002F4E97"/>
    <w:rsid w:val="002F5064"/>
    <w:rsid w:val="002F55FF"/>
    <w:rsid w:val="002F5874"/>
    <w:rsid w:val="002F5F9F"/>
    <w:rsid w:val="002F6849"/>
    <w:rsid w:val="002F7B16"/>
    <w:rsid w:val="0030004F"/>
    <w:rsid w:val="003001D1"/>
    <w:rsid w:val="003007E5"/>
    <w:rsid w:val="00301594"/>
    <w:rsid w:val="0030206A"/>
    <w:rsid w:val="00302D50"/>
    <w:rsid w:val="0030392E"/>
    <w:rsid w:val="003041B3"/>
    <w:rsid w:val="003041D6"/>
    <w:rsid w:val="0030422E"/>
    <w:rsid w:val="00304B1D"/>
    <w:rsid w:val="0030561D"/>
    <w:rsid w:val="00305DC6"/>
    <w:rsid w:val="003066AB"/>
    <w:rsid w:val="003068FF"/>
    <w:rsid w:val="003077C2"/>
    <w:rsid w:val="00307A91"/>
    <w:rsid w:val="00307FCC"/>
    <w:rsid w:val="00310717"/>
    <w:rsid w:val="00310F50"/>
    <w:rsid w:val="003110D8"/>
    <w:rsid w:val="00312009"/>
    <w:rsid w:val="0031214C"/>
    <w:rsid w:val="00312B34"/>
    <w:rsid w:val="003133D0"/>
    <w:rsid w:val="003137E1"/>
    <w:rsid w:val="00313B54"/>
    <w:rsid w:val="00313B7C"/>
    <w:rsid w:val="00313E87"/>
    <w:rsid w:val="00314256"/>
    <w:rsid w:val="00314765"/>
    <w:rsid w:val="00315781"/>
    <w:rsid w:val="003158F8"/>
    <w:rsid w:val="00315CCA"/>
    <w:rsid w:val="00316152"/>
    <w:rsid w:val="0032023D"/>
    <w:rsid w:val="003203D6"/>
    <w:rsid w:val="00320CC2"/>
    <w:rsid w:val="00320E32"/>
    <w:rsid w:val="00320FE8"/>
    <w:rsid w:val="00321784"/>
    <w:rsid w:val="00322059"/>
    <w:rsid w:val="003221CE"/>
    <w:rsid w:val="00322FD9"/>
    <w:rsid w:val="00323540"/>
    <w:rsid w:val="0032497B"/>
    <w:rsid w:val="003267FA"/>
    <w:rsid w:val="00326A3C"/>
    <w:rsid w:val="00326DC4"/>
    <w:rsid w:val="003274CF"/>
    <w:rsid w:val="00327ED0"/>
    <w:rsid w:val="00330531"/>
    <w:rsid w:val="00330D86"/>
    <w:rsid w:val="003317E2"/>
    <w:rsid w:val="00331ACC"/>
    <w:rsid w:val="0033239F"/>
    <w:rsid w:val="00332452"/>
    <w:rsid w:val="00332935"/>
    <w:rsid w:val="00333497"/>
    <w:rsid w:val="0033374C"/>
    <w:rsid w:val="00333F80"/>
    <w:rsid w:val="003340B7"/>
    <w:rsid w:val="00334140"/>
    <w:rsid w:val="00334DC2"/>
    <w:rsid w:val="003355AB"/>
    <w:rsid w:val="00335635"/>
    <w:rsid w:val="00335FE5"/>
    <w:rsid w:val="0033684D"/>
    <w:rsid w:val="00336869"/>
    <w:rsid w:val="0033686E"/>
    <w:rsid w:val="00336E0B"/>
    <w:rsid w:val="00337373"/>
    <w:rsid w:val="00337C7B"/>
    <w:rsid w:val="00337D60"/>
    <w:rsid w:val="00337FB3"/>
    <w:rsid w:val="003404D1"/>
    <w:rsid w:val="0034089D"/>
    <w:rsid w:val="0034154E"/>
    <w:rsid w:val="00341902"/>
    <w:rsid w:val="00342018"/>
    <w:rsid w:val="003427DE"/>
    <w:rsid w:val="00342F6F"/>
    <w:rsid w:val="003433E2"/>
    <w:rsid w:val="003438CF"/>
    <w:rsid w:val="00343A9E"/>
    <w:rsid w:val="00344102"/>
    <w:rsid w:val="00344E13"/>
    <w:rsid w:val="00344E43"/>
    <w:rsid w:val="00345CE2"/>
    <w:rsid w:val="00345F30"/>
    <w:rsid w:val="003465E2"/>
    <w:rsid w:val="00346672"/>
    <w:rsid w:val="00346707"/>
    <w:rsid w:val="00346AE7"/>
    <w:rsid w:val="00346F11"/>
    <w:rsid w:val="003500EE"/>
    <w:rsid w:val="00350680"/>
    <w:rsid w:val="00351049"/>
    <w:rsid w:val="003515B3"/>
    <w:rsid w:val="00351C30"/>
    <w:rsid w:val="00351DCE"/>
    <w:rsid w:val="00352257"/>
    <w:rsid w:val="003525C8"/>
    <w:rsid w:val="003538E1"/>
    <w:rsid w:val="00354107"/>
    <w:rsid w:val="0035481F"/>
    <w:rsid w:val="00354E0F"/>
    <w:rsid w:val="00355332"/>
    <w:rsid w:val="003557C6"/>
    <w:rsid w:val="003558A8"/>
    <w:rsid w:val="00355C01"/>
    <w:rsid w:val="00355ED7"/>
    <w:rsid w:val="00355F32"/>
    <w:rsid w:val="00356056"/>
    <w:rsid w:val="003566DF"/>
    <w:rsid w:val="0035685B"/>
    <w:rsid w:val="00357454"/>
    <w:rsid w:val="00357471"/>
    <w:rsid w:val="00357759"/>
    <w:rsid w:val="00357917"/>
    <w:rsid w:val="00357E1D"/>
    <w:rsid w:val="00360644"/>
    <w:rsid w:val="00362B3B"/>
    <w:rsid w:val="0036350D"/>
    <w:rsid w:val="00363BB5"/>
    <w:rsid w:val="00363F8A"/>
    <w:rsid w:val="00363FBB"/>
    <w:rsid w:val="00364240"/>
    <w:rsid w:val="003645C7"/>
    <w:rsid w:val="00364E35"/>
    <w:rsid w:val="00365467"/>
    <w:rsid w:val="00365667"/>
    <w:rsid w:val="00365985"/>
    <w:rsid w:val="003660A3"/>
    <w:rsid w:val="003666CA"/>
    <w:rsid w:val="00366741"/>
    <w:rsid w:val="00366C20"/>
    <w:rsid w:val="003707DF"/>
    <w:rsid w:val="0037086F"/>
    <w:rsid w:val="00370DF7"/>
    <w:rsid w:val="003710BA"/>
    <w:rsid w:val="00371543"/>
    <w:rsid w:val="00371B7D"/>
    <w:rsid w:val="00371BF8"/>
    <w:rsid w:val="0037359B"/>
    <w:rsid w:val="00373DA0"/>
    <w:rsid w:val="0037470E"/>
    <w:rsid w:val="003750BF"/>
    <w:rsid w:val="00376899"/>
    <w:rsid w:val="00376C38"/>
    <w:rsid w:val="003776DD"/>
    <w:rsid w:val="00377C8B"/>
    <w:rsid w:val="00380198"/>
    <w:rsid w:val="00380F4B"/>
    <w:rsid w:val="003814EA"/>
    <w:rsid w:val="003829B4"/>
    <w:rsid w:val="003831DE"/>
    <w:rsid w:val="003842ED"/>
    <w:rsid w:val="00384885"/>
    <w:rsid w:val="00384AAE"/>
    <w:rsid w:val="00384AEC"/>
    <w:rsid w:val="003851B8"/>
    <w:rsid w:val="0038569B"/>
    <w:rsid w:val="00386061"/>
    <w:rsid w:val="00386284"/>
    <w:rsid w:val="003909C2"/>
    <w:rsid w:val="00390DA2"/>
    <w:rsid w:val="003914AC"/>
    <w:rsid w:val="00391737"/>
    <w:rsid w:val="00392170"/>
    <w:rsid w:val="003922B0"/>
    <w:rsid w:val="00392ED8"/>
    <w:rsid w:val="003934BE"/>
    <w:rsid w:val="00393BAC"/>
    <w:rsid w:val="00393DC4"/>
    <w:rsid w:val="003942C6"/>
    <w:rsid w:val="00394562"/>
    <w:rsid w:val="00395E01"/>
    <w:rsid w:val="00396502"/>
    <w:rsid w:val="00396C87"/>
    <w:rsid w:val="00397799"/>
    <w:rsid w:val="00397D65"/>
    <w:rsid w:val="003A006F"/>
    <w:rsid w:val="003A012C"/>
    <w:rsid w:val="003A2603"/>
    <w:rsid w:val="003A2D8E"/>
    <w:rsid w:val="003A3826"/>
    <w:rsid w:val="003A386F"/>
    <w:rsid w:val="003A3B33"/>
    <w:rsid w:val="003A3DAC"/>
    <w:rsid w:val="003A3E31"/>
    <w:rsid w:val="003A4031"/>
    <w:rsid w:val="003A4584"/>
    <w:rsid w:val="003A461C"/>
    <w:rsid w:val="003A4D1C"/>
    <w:rsid w:val="003A5DED"/>
    <w:rsid w:val="003A6046"/>
    <w:rsid w:val="003A604E"/>
    <w:rsid w:val="003A606E"/>
    <w:rsid w:val="003A60B3"/>
    <w:rsid w:val="003A6988"/>
    <w:rsid w:val="003A6D38"/>
    <w:rsid w:val="003A6F85"/>
    <w:rsid w:val="003A7211"/>
    <w:rsid w:val="003A722A"/>
    <w:rsid w:val="003A7272"/>
    <w:rsid w:val="003B0326"/>
    <w:rsid w:val="003B0A37"/>
    <w:rsid w:val="003B0FF7"/>
    <w:rsid w:val="003B1221"/>
    <w:rsid w:val="003B12B3"/>
    <w:rsid w:val="003B2A33"/>
    <w:rsid w:val="003B2F83"/>
    <w:rsid w:val="003B333C"/>
    <w:rsid w:val="003B4510"/>
    <w:rsid w:val="003B4B93"/>
    <w:rsid w:val="003B4D5A"/>
    <w:rsid w:val="003B5D47"/>
    <w:rsid w:val="003B6147"/>
    <w:rsid w:val="003B7A96"/>
    <w:rsid w:val="003C03FC"/>
    <w:rsid w:val="003C07F6"/>
    <w:rsid w:val="003C1F9C"/>
    <w:rsid w:val="003C24FF"/>
    <w:rsid w:val="003C25A3"/>
    <w:rsid w:val="003C2D34"/>
    <w:rsid w:val="003C3057"/>
    <w:rsid w:val="003C32D4"/>
    <w:rsid w:val="003C3A4F"/>
    <w:rsid w:val="003C4096"/>
    <w:rsid w:val="003C4698"/>
    <w:rsid w:val="003C4BC3"/>
    <w:rsid w:val="003C65A4"/>
    <w:rsid w:val="003C6921"/>
    <w:rsid w:val="003C75F9"/>
    <w:rsid w:val="003D0066"/>
    <w:rsid w:val="003D02BC"/>
    <w:rsid w:val="003D0805"/>
    <w:rsid w:val="003D093F"/>
    <w:rsid w:val="003D094E"/>
    <w:rsid w:val="003D110B"/>
    <w:rsid w:val="003D19BE"/>
    <w:rsid w:val="003D2CFC"/>
    <w:rsid w:val="003D364E"/>
    <w:rsid w:val="003D37C7"/>
    <w:rsid w:val="003D4CEA"/>
    <w:rsid w:val="003D4ECF"/>
    <w:rsid w:val="003D5871"/>
    <w:rsid w:val="003D639F"/>
    <w:rsid w:val="003D658D"/>
    <w:rsid w:val="003D6A24"/>
    <w:rsid w:val="003D6DAD"/>
    <w:rsid w:val="003E0BB6"/>
    <w:rsid w:val="003E0C1E"/>
    <w:rsid w:val="003E0D10"/>
    <w:rsid w:val="003E1CB8"/>
    <w:rsid w:val="003E24D2"/>
    <w:rsid w:val="003E3304"/>
    <w:rsid w:val="003E3C17"/>
    <w:rsid w:val="003E3D0A"/>
    <w:rsid w:val="003E3EF2"/>
    <w:rsid w:val="003E4006"/>
    <w:rsid w:val="003E4D38"/>
    <w:rsid w:val="003E4DC4"/>
    <w:rsid w:val="003E4E42"/>
    <w:rsid w:val="003E53E3"/>
    <w:rsid w:val="003E6805"/>
    <w:rsid w:val="003E6A4E"/>
    <w:rsid w:val="003E6C22"/>
    <w:rsid w:val="003E7336"/>
    <w:rsid w:val="003F031E"/>
    <w:rsid w:val="003F045F"/>
    <w:rsid w:val="003F07F9"/>
    <w:rsid w:val="003F0C12"/>
    <w:rsid w:val="003F0C97"/>
    <w:rsid w:val="003F0EA1"/>
    <w:rsid w:val="003F105A"/>
    <w:rsid w:val="003F1268"/>
    <w:rsid w:val="003F211D"/>
    <w:rsid w:val="003F28E9"/>
    <w:rsid w:val="003F29F9"/>
    <w:rsid w:val="003F2E04"/>
    <w:rsid w:val="003F2FA1"/>
    <w:rsid w:val="003F32E8"/>
    <w:rsid w:val="003F3348"/>
    <w:rsid w:val="003F3A0C"/>
    <w:rsid w:val="003F3A35"/>
    <w:rsid w:val="003F3D86"/>
    <w:rsid w:val="003F467B"/>
    <w:rsid w:val="003F500A"/>
    <w:rsid w:val="003F5394"/>
    <w:rsid w:val="003F595D"/>
    <w:rsid w:val="003F68F5"/>
    <w:rsid w:val="003F704E"/>
    <w:rsid w:val="003F7698"/>
    <w:rsid w:val="003F7ED2"/>
    <w:rsid w:val="0040002D"/>
    <w:rsid w:val="004005D5"/>
    <w:rsid w:val="00400BCB"/>
    <w:rsid w:val="0040144A"/>
    <w:rsid w:val="0040257F"/>
    <w:rsid w:val="004025F0"/>
    <w:rsid w:val="004034EC"/>
    <w:rsid w:val="00403B21"/>
    <w:rsid w:val="00404BD8"/>
    <w:rsid w:val="00404BEC"/>
    <w:rsid w:val="00404C6D"/>
    <w:rsid w:val="004068D5"/>
    <w:rsid w:val="0040747A"/>
    <w:rsid w:val="0040772E"/>
    <w:rsid w:val="00407EC9"/>
    <w:rsid w:val="00410CCE"/>
    <w:rsid w:val="004110B5"/>
    <w:rsid w:val="0041117A"/>
    <w:rsid w:val="00411AE0"/>
    <w:rsid w:val="00411EE5"/>
    <w:rsid w:val="00412057"/>
    <w:rsid w:val="00412C0C"/>
    <w:rsid w:val="00412F29"/>
    <w:rsid w:val="00413394"/>
    <w:rsid w:val="004139B3"/>
    <w:rsid w:val="00414D7C"/>
    <w:rsid w:val="00414EB3"/>
    <w:rsid w:val="0041620C"/>
    <w:rsid w:val="004162E8"/>
    <w:rsid w:val="00417FC2"/>
    <w:rsid w:val="0042078D"/>
    <w:rsid w:val="00420F4F"/>
    <w:rsid w:val="0042118B"/>
    <w:rsid w:val="004213A2"/>
    <w:rsid w:val="00421B5F"/>
    <w:rsid w:val="004221F2"/>
    <w:rsid w:val="0042231B"/>
    <w:rsid w:val="00422EF1"/>
    <w:rsid w:val="0042305C"/>
    <w:rsid w:val="004238D4"/>
    <w:rsid w:val="00423C24"/>
    <w:rsid w:val="00424261"/>
    <w:rsid w:val="00424312"/>
    <w:rsid w:val="00424CCE"/>
    <w:rsid w:val="004254CB"/>
    <w:rsid w:val="00425CD2"/>
    <w:rsid w:val="00425DCF"/>
    <w:rsid w:val="00426E4A"/>
    <w:rsid w:val="00427066"/>
    <w:rsid w:val="004278FD"/>
    <w:rsid w:val="00430190"/>
    <w:rsid w:val="00430410"/>
    <w:rsid w:val="0043050B"/>
    <w:rsid w:val="004305A4"/>
    <w:rsid w:val="004307CA"/>
    <w:rsid w:val="00430F7D"/>
    <w:rsid w:val="00431257"/>
    <w:rsid w:val="00432102"/>
    <w:rsid w:val="00432ADF"/>
    <w:rsid w:val="00432CDF"/>
    <w:rsid w:val="004333ED"/>
    <w:rsid w:val="00433B75"/>
    <w:rsid w:val="00433CFF"/>
    <w:rsid w:val="004342D8"/>
    <w:rsid w:val="0043460E"/>
    <w:rsid w:val="00434B42"/>
    <w:rsid w:val="00434E3B"/>
    <w:rsid w:val="0043638E"/>
    <w:rsid w:val="004377BC"/>
    <w:rsid w:val="00440D09"/>
    <w:rsid w:val="00440D8A"/>
    <w:rsid w:val="00441113"/>
    <w:rsid w:val="0044178F"/>
    <w:rsid w:val="00441B71"/>
    <w:rsid w:val="004424E0"/>
    <w:rsid w:val="0044260C"/>
    <w:rsid w:val="00442E41"/>
    <w:rsid w:val="004430D9"/>
    <w:rsid w:val="00443600"/>
    <w:rsid w:val="0044413A"/>
    <w:rsid w:val="004444B5"/>
    <w:rsid w:val="004457EE"/>
    <w:rsid w:val="0044656C"/>
    <w:rsid w:val="004465FA"/>
    <w:rsid w:val="0044661E"/>
    <w:rsid w:val="00446938"/>
    <w:rsid w:val="00446B39"/>
    <w:rsid w:val="00446EAF"/>
    <w:rsid w:val="00447398"/>
    <w:rsid w:val="0045003F"/>
    <w:rsid w:val="00450388"/>
    <w:rsid w:val="004511C9"/>
    <w:rsid w:val="004512F7"/>
    <w:rsid w:val="00451605"/>
    <w:rsid w:val="00451799"/>
    <w:rsid w:val="0045193E"/>
    <w:rsid w:val="00451F79"/>
    <w:rsid w:val="00452AB9"/>
    <w:rsid w:val="00452B20"/>
    <w:rsid w:val="00452C69"/>
    <w:rsid w:val="00452D17"/>
    <w:rsid w:val="00453F8F"/>
    <w:rsid w:val="00454FA2"/>
    <w:rsid w:val="00455496"/>
    <w:rsid w:val="0045608D"/>
    <w:rsid w:val="00456663"/>
    <w:rsid w:val="0045690F"/>
    <w:rsid w:val="00457AD0"/>
    <w:rsid w:val="00457F45"/>
    <w:rsid w:val="004602BB"/>
    <w:rsid w:val="004612D5"/>
    <w:rsid w:val="00461B2F"/>
    <w:rsid w:val="004632FD"/>
    <w:rsid w:val="0046356E"/>
    <w:rsid w:val="00463C8D"/>
    <w:rsid w:val="00463D94"/>
    <w:rsid w:val="0046457D"/>
    <w:rsid w:val="00466BAA"/>
    <w:rsid w:val="00466BB3"/>
    <w:rsid w:val="00470FA0"/>
    <w:rsid w:val="0047173D"/>
    <w:rsid w:val="00471E82"/>
    <w:rsid w:val="00472531"/>
    <w:rsid w:val="00472712"/>
    <w:rsid w:val="004727F3"/>
    <w:rsid w:val="00473BBC"/>
    <w:rsid w:val="00473D0F"/>
    <w:rsid w:val="0047514D"/>
    <w:rsid w:val="0047652E"/>
    <w:rsid w:val="0047683B"/>
    <w:rsid w:val="00476C1E"/>
    <w:rsid w:val="0047767B"/>
    <w:rsid w:val="00477A34"/>
    <w:rsid w:val="0048017B"/>
    <w:rsid w:val="004803D0"/>
    <w:rsid w:val="00480CF4"/>
    <w:rsid w:val="00480E4A"/>
    <w:rsid w:val="00480EC6"/>
    <w:rsid w:val="0048109A"/>
    <w:rsid w:val="004812EE"/>
    <w:rsid w:val="00481565"/>
    <w:rsid w:val="0048186E"/>
    <w:rsid w:val="004818BB"/>
    <w:rsid w:val="00482707"/>
    <w:rsid w:val="0048288E"/>
    <w:rsid w:val="00483274"/>
    <w:rsid w:val="0048340C"/>
    <w:rsid w:val="00483CBE"/>
    <w:rsid w:val="00484FEB"/>
    <w:rsid w:val="00486DC9"/>
    <w:rsid w:val="004872F7"/>
    <w:rsid w:val="00487845"/>
    <w:rsid w:val="00490109"/>
    <w:rsid w:val="00490518"/>
    <w:rsid w:val="00490FE6"/>
    <w:rsid w:val="004917A4"/>
    <w:rsid w:val="00491A83"/>
    <w:rsid w:val="0049211E"/>
    <w:rsid w:val="0049231C"/>
    <w:rsid w:val="004932B0"/>
    <w:rsid w:val="00493637"/>
    <w:rsid w:val="00493BEA"/>
    <w:rsid w:val="004941F0"/>
    <w:rsid w:val="0049473F"/>
    <w:rsid w:val="00495403"/>
    <w:rsid w:val="004957DA"/>
    <w:rsid w:val="0049593F"/>
    <w:rsid w:val="00495F55"/>
    <w:rsid w:val="004966B7"/>
    <w:rsid w:val="00496743"/>
    <w:rsid w:val="00496E84"/>
    <w:rsid w:val="00497729"/>
    <w:rsid w:val="004A039C"/>
    <w:rsid w:val="004A0536"/>
    <w:rsid w:val="004A05B0"/>
    <w:rsid w:val="004A185C"/>
    <w:rsid w:val="004A1AE8"/>
    <w:rsid w:val="004A1BAE"/>
    <w:rsid w:val="004A204A"/>
    <w:rsid w:val="004A2206"/>
    <w:rsid w:val="004A26B5"/>
    <w:rsid w:val="004A2A8A"/>
    <w:rsid w:val="004A3377"/>
    <w:rsid w:val="004A37D2"/>
    <w:rsid w:val="004A3856"/>
    <w:rsid w:val="004A45BD"/>
    <w:rsid w:val="004A4916"/>
    <w:rsid w:val="004A4A41"/>
    <w:rsid w:val="004A4DE8"/>
    <w:rsid w:val="004A6547"/>
    <w:rsid w:val="004A6627"/>
    <w:rsid w:val="004A66DE"/>
    <w:rsid w:val="004A6E99"/>
    <w:rsid w:val="004A7D94"/>
    <w:rsid w:val="004A7DA4"/>
    <w:rsid w:val="004B0766"/>
    <w:rsid w:val="004B0EE3"/>
    <w:rsid w:val="004B1398"/>
    <w:rsid w:val="004B271C"/>
    <w:rsid w:val="004B2E61"/>
    <w:rsid w:val="004B4A4F"/>
    <w:rsid w:val="004B5696"/>
    <w:rsid w:val="004B60B5"/>
    <w:rsid w:val="004B611D"/>
    <w:rsid w:val="004B679B"/>
    <w:rsid w:val="004B6C4F"/>
    <w:rsid w:val="004B6F81"/>
    <w:rsid w:val="004B730E"/>
    <w:rsid w:val="004B7C57"/>
    <w:rsid w:val="004C0686"/>
    <w:rsid w:val="004C0836"/>
    <w:rsid w:val="004C0EC3"/>
    <w:rsid w:val="004C0FFA"/>
    <w:rsid w:val="004C12D8"/>
    <w:rsid w:val="004C18EB"/>
    <w:rsid w:val="004C1A6C"/>
    <w:rsid w:val="004C1CA5"/>
    <w:rsid w:val="004C1CCA"/>
    <w:rsid w:val="004C2F38"/>
    <w:rsid w:val="004C346D"/>
    <w:rsid w:val="004C368F"/>
    <w:rsid w:val="004C36BE"/>
    <w:rsid w:val="004C37BB"/>
    <w:rsid w:val="004C3926"/>
    <w:rsid w:val="004C3FE8"/>
    <w:rsid w:val="004C42C7"/>
    <w:rsid w:val="004C4A2E"/>
    <w:rsid w:val="004C4FA4"/>
    <w:rsid w:val="004C55E6"/>
    <w:rsid w:val="004C599B"/>
    <w:rsid w:val="004C5D42"/>
    <w:rsid w:val="004C5FDA"/>
    <w:rsid w:val="004C6BA4"/>
    <w:rsid w:val="004C6D0D"/>
    <w:rsid w:val="004C6FC9"/>
    <w:rsid w:val="004C6FCF"/>
    <w:rsid w:val="004C71A2"/>
    <w:rsid w:val="004C72EC"/>
    <w:rsid w:val="004C77E9"/>
    <w:rsid w:val="004D01DA"/>
    <w:rsid w:val="004D0FC7"/>
    <w:rsid w:val="004D1443"/>
    <w:rsid w:val="004D1B03"/>
    <w:rsid w:val="004D2844"/>
    <w:rsid w:val="004D37CC"/>
    <w:rsid w:val="004D3FF1"/>
    <w:rsid w:val="004D4174"/>
    <w:rsid w:val="004D48CA"/>
    <w:rsid w:val="004D53CE"/>
    <w:rsid w:val="004D5DAF"/>
    <w:rsid w:val="004D62C4"/>
    <w:rsid w:val="004D6A80"/>
    <w:rsid w:val="004D6AB0"/>
    <w:rsid w:val="004D6C93"/>
    <w:rsid w:val="004D707A"/>
    <w:rsid w:val="004D79E7"/>
    <w:rsid w:val="004E01F3"/>
    <w:rsid w:val="004E09D5"/>
    <w:rsid w:val="004E0F71"/>
    <w:rsid w:val="004E1021"/>
    <w:rsid w:val="004E1252"/>
    <w:rsid w:val="004E1883"/>
    <w:rsid w:val="004E2454"/>
    <w:rsid w:val="004E50FD"/>
    <w:rsid w:val="004E631F"/>
    <w:rsid w:val="004E64A4"/>
    <w:rsid w:val="004E7BCD"/>
    <w:rsid w:val="004F0A7C"/>
    <w:rsid w:val="004F13F9"/>
    <w:rsid w:val="004F166C"/>
    <w:rsid w:val="004F208A"/>
    <w:rsid w:val="004F223C"/>
    <w:rsid w:val="004F2A48"/>
    <w:rsid w:val="004F2CBC"/>
    <w:rsid w:val="004F3C97"/>
    <w:rsid w:val="004F4142"/>
    <w:rsid w:val="004F4D37"/>
    <w:rsid w:val="004F4F10"/>
    <w:rsid w:val="004F5144"/>
    <w:rsid w:val="004F5279"/>
    <w:rsid w:val="004F5B84"/>
    <w:rsid w:val="004F63B7"/>
    <w:rsid w:val="004F71F7"/>
    <w:rsid w:val="004F7316"/>
    <w:rsid w:val="005003C6"/>
    <w:rsid w:val="00500AD7"/>
    <w:rsid w:val="00500C5A"/>
    <w:rsid w:val="005012B6"/>
    <w:rsid w:val="0050132F"/>
    <w:rsid w:val="00501C81"/>
    <w:rsid w:val="00502720"/>
    <w:rsid w:val="00503CFB"/>
    <w:rsid w:val="00504056"/>
    <w:rsid w:val="00504187"/>
    <w:rsid w:val="00504C3B"/>
    <w:rsid w:val="005051A5"/>
    <w:rsid w:val="00505A46"/>
    <w:rsid w:val="005061AF"/>
    <w:rsid w:val="00506961"/>
    <w:rsid w:val="00507806"/>
    <w:rsid w:val="00510E66"/>
    <w:rsid w:val="00511079"/>
    <w:rsid w:val="0051205D"/>
    <w:rsid w:val="00512864"/>
    <w:rsid w:val="005133A1"/>
    <w:rsid w:val="005137C3"/>
    <w:rsid w:val="00515D9E"/>
    <w:rsid w:val="00516E0F"/>
    <w:rsid w:val="00517D21"/>
    <w:rsid w:val="00517EC6"/>
    <w:rsid w:val="00517F04"/>
    <w:rsid w:val="005200F8"/>
    <w:rsid w:val="0052021A"/>
    <w:rsid w:val="00521375"/>
    <w:rsid w:val="005217BE"/>
    <w:rsid w:val="00521866"/>
    <w:rsid w:val="005223F2"/>
    <w:rsid w:val="005228CE"/>
    <w:rsid w:val="005243BB"/>
    <w:rsid w:val="0052498A"/>
    <w:rsid w:val="00525059"/>
    <w:rsid w:val="005251E6"/>
    <w:rsid w:val="00525204"/>
    <w:rsid w:val="0052542B"/>
    <w:rsid w:val="00525C4B"/>
    <w:rsid w:val="00526350"/>
    <w:rsid w:val="005266BA"/>
    <w:rsid w:val="00526A46"/>
    <w:rsid w:val="00527ED7"/>
    <w:rsid w:val="005304FB"/>
    <w:rsid w:val="005308FA"/>
    <w:rsid w:val="0053110A"/>
    <w:rsid w:val="005312D4"/>
    <w:rsid w:val="0053133A"/>
    <w:rsid w:val="005316D1"/>
    <w:rsid w:val="00531F24"/>
    <w:rsid w:val="00532127"/>
    <w:rsid w:val="00532E09"/>
    <w:rsid w:val="00533E30"/>
    <w:rsid w:val="0053409C"/>
    <w:rsid w:val="005355BB"/>
    <w:rsid w:val="00535753"/>
    <w:rsid w:val="005360F3"/>
    <w:rsid w:val="00536BAD"/>
    <w:rsid w:val="00536BE7"/>
    <w:rsid w:val="00537039"/>
    <w:rsid w:val="00537354"/>
    <w:rsid w:val="00540B8E"/>
    <w:rsid w:val="00540DF9"/>
    <w:rsid w:val="00541644"/>
    <w:rsid w:val="005426CE"/>
    <w:rsid w:val="0054286C"/>
    <w:rsid w:val="00543C2D"/>
    <w:rsid w:val="00543D6F"/>
    <w:rsid w:val="00545435"/>
    <w:rsid w:val="00545CE5"/>
    <w:rsid w:val="00546E02"/>
    <w:rsid w:val="00547494"/>
    <w:rsid w:val="00550431"/>
    <w:rsid w:val="005505AC"/>
    <w:rsid w:val="00551338"/>
    <w:rsid w:val="00551677"/>
    <w:rsid w:val="005518BB"/>
    <w:rsid w:val="00552131"/>
    <w:rsid w:val="005529A9"/>
    <w:rsid w:val="00552D1D"/>
    <w:rsid w:val="00552DEC"/>
    <w:rsid w:val="00554281"/>
    <w:rsid w:val="00554531"/>
    <w:rsid w:val="005552BB"/>
    <w:rsid w:val="0055537E"/>
    <w:rsid w:val="00555491"/>
    <w:rsid w:val="005557AA"/>
    <w:rsid w:val="00555BAE"/>
    <w:rsid w:val="00556634"/>
    <w:rsid w:val="005566D9"/>
    <w:rsid w:val="00556BDA"/>
    <w:rsid w:val="00560210"/>
    <w:rsid w:val="005607F9"/>
    <w:rsid w:val="00562674"/>
    <w:rsid w:val="00562842"/>
    <w:rsid w:val="00563229"/>
    <w:rsid w:val="0056326A"/>
    <w:rsid w:val="00563649"/>
    <w:rsid w:val="00563F49"/>
    <w:rsid w:val="00564420"/>
    <w:rsid w:val="00564541"/>
    <w:rsid w:val="00564767"/>
    <w:rsid w:val="00564BDE"/>
    <w:rsid w:val="00564C2A"/>
    <w:rsid w:val="005650A7"/>
    <w:rsid w:val="00565C53"/>
    <w:rsid w:val="00565DAE"/>
    <w:rsid w:val="00565F23"/>
    <w:rsid w:val="00566087"/>
    <w:rsid w:val="00566202"/>
    <w:rsid w:val="00566642"/>
    <w:rsid w:val="005667FE"/>
    <w:rsid w:val="00567411"/>
    <w:rsid w:val="005674FA"/>
    <w:rsid w:val="00567EA5"/>
    <w:rsid w:val="0057076B"/>
    <w:rsid w:val="0057372C"/>
    <w:rsid w:val="00575133"/>
    <w:rsid w:val="0057629F"/>
    <w:rsid w:val="005775FD"/>
    <w:rsid w:val="00577876"/>
    <w:rsid w:val="00577E37"/>
    <w:rsid w:val="005805FD"/>
    <w:rsid w:val="0058083E"/>
    <w:rsid w:val="00580933"/>
    <w:rsid w:val="0058116C"/>
    <w:rsid w:val="00581951"/>
    <w:rsid w:val="00581E48"/>
    <w:rsid w:val="00582C5C"/>
    <w:rsid w:val="00583C35"/>
    <w:rsid w:val="00583C48"/>
    <w:rsid w:val="00584FE9"/>
    <w:rsid w:val="00586595"/>
    <w:rsid w:val="00586909"/>
    <w:rsid w:val="00586A1C"/>
    <w:rsid w:val="00586C88"/>
    <w:rsid w:val="005902DC"/>
    <w:rsid w:val="0059040D"/>
    <w:rsid w:val="00590A21"/>
    <w:rsid w:val="00590D5C"/>
    <w:rsid w:val="005912DB"/>
    <w:rsid w:val="00591F4E"/>
    <w:rsid w:val="00592708"/>
    <w:rsid w:val="005929ED"/>
    <w:rsid w:val="00592C6A"/>
    <w:rsid w:val="00592E0A"/>
    <w:rsid w:val="00593028"/>
    <w:rsid w:val="005937BF"/>
    <w:rsid w:val="00593ABF"/>
    <w:rsid w:val="00593BCD"/>
    <w:rsid w:val="0059495E"/>
    <w:rsid w:val="00594ABB"/>
    <w:rsid w:val="005959E4"/>
    <w:rsid w:val="00595C8E"/>
    <w:rsid w:val="00595D2E"/>
    <w:rsid w:val="00595DED"/>
    <w:rsid w:val="005971EC"/>
    <w:rsid w:val="005973E2"/>
    <w:rsid w:val="00597568"/>
    <w:rsid w:val="00597D55"/>
    <w:rsid w:val="005A0070"/>
    <w:rsid w:val="005A0375"/>
    <w:rsid w:val="005A04E9"/>
    <w:rsid w:val="005A0E74"/>
    <w:rsid w:val="005A0E8C"/>
    <w:rsid w:val="005A0F68"/>
    <w:rsid w:val="005A1552"/>
    <w:rsid w:val="005A18AF"/>
    <w:rsid w:val="005A1906"/>
    <w:rsid w:val="005A1B6D"/>
    <w:rsid w:val="005A2CE6"/>
    <w:rsid w:val="005A3148"/>
    <w:rsid w:val="005A3A19"/>
    <w:rsid w:val="005A3AF2"/>
    <w:rsid w:val="005A3C19"/>
    <w:rsid w:val="005A4280"/>
    <w:rsid w:val="005A4575"/>
    <w:rsid w:val="005A4A9C"/>
    <w:rsid w:val="005A5365"/>
    <w:rsid w:val="005A5451"/>
    <w:rsid w:val="005A5B74"/>
    <w:rsid w:val="005A645B"/>
    <w:rsid w:val="005A6890"/>
    <w:rsid w:val="005A7017"/>
    <w:rsid w:val="005A73D7"/>
    <w:rsid w:val="005A7FD7"/>
    <w:rsid w:val="005B05C5"/>
    <w:rsid w:val="005B141B"/>
    <w:rsid w:val="005B1421"/>
    <w:rsid w:val="005B18F0"/>
    <w:rsid w:val="005B387C"/>
    <w:rsid w:val="005B3992"/>
    <w:rsid w:val="005B3BBE"/>
    <w:rsid w:val="005B49A6"/>
    <w:rsid w:val="005B5E02"/>
    <w:rsid w:val="005B5E48"/>
    <w:rsid w:val="005B6AC9"/>
    <w:rsid w:val="005B7005"/>
    <w:rsid w:val="005B703E"/>
    <w:rsid w:val="005B7A27"/>
    <w:rsid w:val="005B7CF3"/>
    <w:rsid w:val="005B7D43"/>
    <w:rsid w:val="005C0111"/>
    <w:rsid w:val="005C023A"/>
    <w:rsid w:val="005C176B"/>
    <w:rsid w:val="005C1A8C"/>
    <w:rsid w:val="005C209B"/>
    <w:rsid w:val="005C255D"/>
    <w:rsid w:val="005C29FF"/>
    <w:rsid w:val="005C2B46"/>
    <w:rsid w:val="005C3004"/>
    <w:rsid w:val="005C332D"/>
    <w:rsid w:val="005C3643"/>
    <w:rsid w:val="005C3706"/>
    <w:rsid w:val="005C3F3C"/>
    <w:rsid w:val="005C508A"/>
    <w:rsid w:val="005C5349"/>
    <w:rsid w:val="005C555A"/>
    <w:rsid w:val="005C558E"/>
    <w:rsid w:val="005C567B"/>
    <w:rsid w:val="005C5A71"/>
    <w:rsid w:val="005C6DC1"/>
    <w:rsid w:val="005C75C1"/>
    <w:rsid w:val="005C7C2E"/>
    <w:rsid w:val="005D03DA"/>
    <w:rsid w:val="005D10B0"/>
    <w:rsid w:val="005D16CC"/>
    <w:rsid w:val="005D2569"/>
    <w:rsid w:val="005D25A3"/>
    <w:rsid w:val="005D2719"/>
    <w:rsid w:val="005D33F0"/>
    <w:rsid w:val="005D35C0"/>
    <w:rsid w:val="005D45EB"/>
    <w:rsid w:val="005D49ED"/>
    <w:rsid w:val="005D4C71"/>
    <w:rsid w:val="005D4D4D"/>
    <w:rsid w:val="005D5700"/>
    <w:rsid w:val="005D590E"/>
    <w:rsid w:val="005D5BA9"/>
    <w:rsid w:val="005D5F54"/>
    <w:rsid w:val="005D6077"/>
    <w:rsid w:val="005D6206"/>
    <w:rsid w:val="005D65F3"/>
    <w:rsid w:val="005D6664"/>
    <w:rsid w:val="005D6E2C"/>
    <w:rsid w:val="005D706E"/>
    <w:rsid w:val="005D72B0"/>
    <w:rsid w:val="005D7C74"/>
    <w:rsid w:val="005E04F6"/>
    <w:rsid w:val="005E0AFA"/>
    <w:rsid w:val="005E1384"/>
    <w:rsid w:val="005E1ABC"/>
    <w:rsid w:val="005E1F9A"/>
    <w:rsid w:val="005E26AE"/>
    <w:rsid w:val="005E272B"/>
    <w:rsid w:val="005E2C0D"/>
    <w:rsid w:val="005E2FD1"/>
    <w:rsid w:val="005E3394"/>
    <w:rsid w:val="005E35AE"/>
    <w:rsid w:val="005E3989"/>
    <w:rsid w:val="005E3A02"/>
    <w:rsid w:val="005E4772"/>
    <w:rsid w:val="005E49E4"/>
    <w:rsid w:val="005E4A69"/>
    <w:rsid w:val="005E5B42"/>
    <w:rsid w:val="005E6518"/>
    <w:rsid w:val="005E6B10"/>
    <w:rsid w:val="005E7E8C"/>
    <w:rsid w:val="005F07BA"/>
    <w:rsid w:val="005F0FD6"/>
    <w:rsid w:val="005F1D47"/>
    <w:rsid w:val="005F1E4E"/>
    <w:rsid w:val="005F1FB9"/>
    <w:rsid w:val="005F24DE"/>
    <w:rsid w:val="005F29B4"/>
    <w:rsid w:val="005F2E27"/>
    <w:rsid w:val="005F3667"/>
    <w:rsid w:val="005F37C9"/>
    <w:rsid w:val="005F4B37"/>
    <w:rsid w:val="005F5014"/>
    <w:rsid w:val="005F61D8"/>
    <w:rsid w:val="005F627F"/>
    <w:rsid w:val="005F6650"/>
    <w:rsid w:val="005F6E57"/>
    <w:rsid w:val="005F6EFB"/>
    <w:rsid w:val="005F6F8B"/>
    <w:rsid w:val="005F733C"/>
    <w:rsid w:val="005F74D9"/>
    <w:rsid w:val="005F7B7A"/>
    <w:rsid w:val="00600281"/>
    <w:rsid w:val="00600632"/>
    <w:rsid w:val="006013D3"/>
    <w:rsid w:val="00602003"/>
    <w:rsid w:val="0060326F"/>
    <w:rsid w:val="00603CDA"/>
    <w:rsid w:val="006043C0"/>
    <w:rsid w:val="006048D1"/>
    <w:rsid w:val="00604C93"/>
    <w:rsid w:val="0060570C"/>
    <w:rsid w:val="0060583E"/>
    <w:rsid w:val="00606A55"/>
    <w:rsid w:val="00607182"/>
    <w:rsid w:val="0060740A"/>
    <w:rsid w:val="00607B49"/>
    <w:rsid w:val="006105D6"/>
    <w:rsid w:val="006113D8"/>
    <w:rsid w:val="0061171E"/>
    <w:rsid w:val="0061185B"/>
    <w:rsid w:val="00611981"/>
    <w:rsid w:val="0061201F"/>
    <w:rsid w:val="00612BDC"/>
    <w:rsid w:val="006131C4"/>
    <w:rsid w:val="006135C3"/>
    <w:rsid w:val="006135E5"/>
    <w:rsid w:val="0061384A"/>
    <w:rsid w:val="006138CB"/>
    <w:rsid w:val="00613AA8"/>
    <w:rsid w:val="00614219"/>
    <w:rsid w:val="006146E6"/>
    <w:rsid w:val="00614EA1"/>
    <w:rsid w:val="0061587C"/>
    <w:rsid w:val="00615C66"/>
    <w:rsid w:val="00616365"/>
    <w:rsid w:val="006165F9"/>
    <w:rsid w:val="006173CD"/>
    <w:rsid w:val="006173F5"/>
    <w:rsid w:val="006179C2"/>
    <w:rsid w:val="00620272"/>
    <w:rsid w:val="00621B61"/>
    <w:rsid w:val="006225A0"/>
    <w:rsid w:val="00623442"/>
    <w:rsid w:val="00623BC7"/>
    <w:rsid w:val="006241F7"/>
    <w:rsid w:val="0062451C"/>
    <w:rsid w:val="0062489C"/>
    <w:rsid w:val="00624E38"/>
    <w:rsid w:val="00625239"/>
    <w:rsid w:val="00626068"/>
    <w:rsid w:val="006261BC"/>
    <w:rsid w:val="00626729"/>
    <w:rsid w:val="00626B88"/>
    <w:rsid w:val="00626FE1"/>
    <w:rsid w:val="00627B2F"/>
    <w:rsid w:val="00627E1E"/>
    <w:rsid w:val="0063059D"/>
    <w:rsid w:val="00631822"/>
    <w:rsid w:val="00631898"/>
    <w:rsid w:val="0063195A"/>
    <w:rsid w:val="00632764"/>
    <w:rsid w:val="00632BB1"/>
    <w:rsid w:val="00632CDB"/>
    <w:rsid w:val="00633036"/>
    <w:rsid w:val="00633919"/>
    <w:rsid w:val="00634498"/>
    <w:rsid w:val="006345CA"/>
    <w:rsid w:val="006347CD"/>
    <w:rsid w:val="0063483A"/>
    <w:rsid w:val="006349A9"/>
    <w:rsid w:val="00634AAE"/>
    <w:rsid w:val="00634D90"/>
    <w:rsid w:val="0063521A"/>
    <w:rsid w:val="0063586B"/>
    <w:rsid w:val="00635D39"/>
    <w:rsid w:val="00636537"/>
    <w:rsid w:val="0063653A"/>
    <w:rsid w:val="006365C0"/>
    <w:rsid w:val="00636AF0"/>
    <w:rsid w:val="00636E93"/>
    <w:rsid w:val="00637B30"/>
    <w:rsid w:val="006404DC"/>
    <w:rsid w:val="00641047"/>
    <w:rsid w:val="00641240"/>
    <w:rsid w:val="00641584"/>
    <w:rsid w:val="00641810"/>
    <w:rsid w:val="00642273"/>
    <w:rsid w:val="00642AA2"/>
    <w:rsid w:val="00642F0A"/>
    <w:rsid w:val="006434E1"/>
    <w:rsid w:val="006435B9"/>
    <w:rsid w:val="00643D03"/>
    <w:rsid w:val="00644322"/>
    <w:rsid w:val="0064473A"/>
    <w:rsid w:val="00644ACB"/>
    <w:rsid w:val="00644F73"/>
    <w:rsid w:val="0064548B"/>
    <w:rsid w:val="006454B6"/>
    <w:rsid w:val="006459B3"/>
    <w:rsid w:val="006460B0"/>
    <w:rsid w:val="00647285"/>
    <w:rsid w:val="00647A05"/>
    <w:rsid w:val="00647AA8"/>
    <w:rsid w:val="00650788"/>
    <w:rsid w:val="0065112D"/>
    <w:rsid w:val="00651216"/>
    <w:rsid w:val="00651C32"/>
    <w:rsid w:val="00651C41"/>
    <w:rsid w:val="0065212E"/>
    <w:rsid w:val="0065266F"/>
    <w:rsid w:val="00652FED"/>
    <w:rsid w:val="0065301A"/>
    <w:rsid w:val="006548E8"/>
    <w:rsid w:val="0065493D"/>
    <w:rsid w:val="00654A6E"/>
    <w:rsid w:val="00655296"/>
    <w:rsid w:val="006554B2"/>
    <w:rsid w:val="00655721"/>
    <w:rsid w:val="00655759"/>
    <w:rsid w:val="00655869"/>
    <w:rsid w:val="006562B1"/>
    <w:rsid w:val="006563BE"/>
    <w:rsid w:val="006578A7"/>
    <w:rsid w:val="0066052B"/>
    <w:rsid w:val="00660990"/>
    <w:rsid w:val="00660ACD"/>
    <w:rsid w:val="00661626"/>
    <w:rsid w:val="006620BF"/>
    <w:rsid w:val="0066262B"/>
    <w:rsid w:val="0066293A"/>
    <w:rsid w:val="00662BAB"/>
    <w:rsid w:val="00662D1A"/>
    <w:rsid w:val="00664971"/>
    <w:rsid w:val="00665421"/>
    <w:rsid w:val="00665648"/>
    <w:rsid w:val="0066565B"/>
    <w:rsid w:val="00665A79"/>
    <w:rsid w:val="0066603D"/>
    <w:rsid w:val="006663DC"/>
    <w:rsid w:val="006670EE"/>
    <w:rsid w:val="0066756F"/>
    <w:rsid w:val="00667D8D"/>
    <w:rsid w:val="0067033B"/>
    <w:rsid w:val="00670697"/>
    <w:rsid w:val="00672DA5"/>
    <w:rsid w:val="00672EF9"/>
    <w:rsid w:val="006733A1"/>
    <w:rsid w:val="00673705"/>
    <w:rsid w:val="006748D4"/>
    <w:rsid w:val="00674E00"/>
    <w:rsid w:val="00675252"/>
    <w:rsid w:val="00675370"/>
    <w:rsid w:val="00675463"/>
    <w:rsid w:val="0067608D"/>
    <w:rsid w:val="00676535"/>
    <w:rsid w:val="0067799B"/>
    <w:rsid w:val="00677C43"/>
    <w:rsid w:val="00677C4E"/>
    <w:rsid w:val="00677C63"/>
    <w:rsid w:val="006800AE"/>
    <w:rsid w:val="00681C3C"/>
    <w:rsid w:val="00681C5C"/>
    <w:rsid w:val="00681D88"/>
    <w:rsid w:val="00683D44"/>
    <w:rsid w:val="00684132"/>
    <w:rsid w:val="0068432C"/>
    <w:rsid w:val="00685119"/>
    <w:rsid w:val="00685254"/>
    <w:rsid w:val="0068618B"/>
    <w:rsid w:val="006866B8"/>
    <w:rsid w:val="0068712C"/>
    <w:rsid w:val="00690EB5"/>
    <w:rsid w:val="006910A0"/>
    <w:rsid w:val="00691CFF"/>
    <w:rsid w:val="00691EEA"/>
    <w:rsid w:val="00692C5A"/>
    <w:rsid w:val="00693CD9"/>
    <w:rsid w:val="00693DEF"/>
    <w:rsid w:val="00693EB4"/>
    <w:rsid w:val="006942B2"/>
    <w:rsid w:val="0069558D"/>
    <w:rsid w:val="00695BD5"/>
    <w:rsid w:val="006962C5"/>
    <w:rsid w:val="0069742F"/>
    <w:rsid w:val="006975EC"/>
    <w:rsid w:val="00697C4F"/>
    <w:rsid w:val="00697D2C"/>
    <w:rsid w:val="00697E04"/>
    <w:rsid w:val="006A0066"/>
    <w:rsid w:val="006A0152"/>
    <w:rsid w:val="006A23F9"/>
    <w:rsid w:val="006A280D"/>
    <w:rsid w:val="006A28B8"/>
    <w:rsid w:val="006A2C16"/>
    <w:rsid w:val="006A2D70"/>
    <w:rsid w:val="006A3C76"/>
    <w:rsid w:val="006A3DD0"/>
    <w:rsid w:val="006A42F1"/>
    <w:rsid w:val="006A4462"/>
    <w:rsid w:val="006A456C"/>
    <w:rsid w:val="006A4F8B"/>
    <w:rsid w:val="006A5377"/>
    <w:rsid w:val="006A5A54"/>
    <w:rsid w:val="006A5FC3"/>
    <w:rsid w:val="006A6370"/>
    <w:rsid w:val="006A65E1"/>
    <w:rsid w:val="006A6923"/>
    <w:rsid w:val="006A6EBF"/>
    <w:rsid w:val="006A6F24"/>
    <w:rsid w:val="006A7342"/>
    <w:rsid w:val="006A74F5"/>
    <w:rsid w:val="006A7A93"/>
    <w:rsid w:val="006A7AF0"/>
    <w:rsid w:val="006B03DE"/>
    <w:rsid w:val="006B2F32"/>
    <w:rsid w:val="006B359F"/>
    <w:rsid w:val="006B3687"/>
    <w:rsid w:val="006B3852"/>
    <w:rsid w:val="006B3CF2"/>
    <w:rsid w:val="006B3F44"/>
    <w:rsid w:val="006B41F7"/>
    <w:rsid w:val="006B481E"/>
    <w:rsid w:val="006B4903"/>
    <w:rsid w:val="006B4A7D"/>
    <w:rsid w:val="006B4E4E"/>
    <w:rsid w:val="006B51CD"/>
    <w:rsid w:val="006B52A2"/>
    <w:rsid w:val="006B5390"/>
    <w:rsid w:val="006B59F9"/>
    <w:rsid w:val="006B5DAB"/>
    <w:rsid w:val="006B5DFB"/>
    <w:rsid w:val="006B5F02"/>
    <w:rsid w:val="006B64B4"/>
    <w:rsid w:val="006B7B3C"/>
    <w:rsid w:val="006C1E36"/>
    <w:rsid w:val="006C2095"/>
    <w:rsid w:val="006C2DDC"/>
    <w:rsid w:val="006C2F42"/>
    <w:rsid w:val="006C39A2"/>
    <w:rsid w:val="006C42B8"/>
    <w:rsid w:val="006C4582"/>
    <w:rsid w:val="006C4A33"/>
    <w:rsid w:val="006C4B89"/>
    <w:rsid w:val="006C56DB"/>
    <w:rsid w:val="006C6186"/>
    <w:rsid w:val="006C6957"/>
    <w:rsid w:val="006C701A"/>
    <w:rsid w:val="006C7505"/>
    <w:rsid w:val="006D03CF"/>
    <w:rsid w:val="006D0F07"/>
    <w:rsid w:val="006D0FEF"/>
    <w:rsid w:val="006D24C9"/>
    <w:rsid w:val="006D2B3A"/>
    <w:rsid w:val="006D2CF5"/>
    <w:rsid w:val="006D3430"/>
    <w:rsid w:val="006D34D3"/>
    <w:rsid w:val="006D3678"/>
    <w:rsid w:val="006D3FF6"/>
    <w:rsid w:val="006D518B"/>
    <w:rsid w:val="006D6B92"/>
    <w:rsid w:val="006D6CC6"/>
    <w:rsid w:val="006D7E63"/>
    <w:rsid w:val="006E033D"/>
    <w:rsid w:val="006E0AA9"/>
    <w:rsid w:val="006E179C"/>
    <w:rsid w:val="006E204E"/>
    <w:rsid w:val="006E224A"/>
    <w:rsid w:val="006E27BE"/>
    <w:rsid w:val="006E2E53"/>
    <w:rsid w:val="006E3657"/>
    <w:rsid w:val="006E3ED1"/>
    <w:rsid w:val="006E4D21"/>
    <w:rsid w:val="006E5228"/>
    <w:rsid w:val="006E5B28"/>
    <w:rsid w:val="006E5B75"/>
    <w:rsid w:val="006E63FD"/>
    <w:rsid w:val="006E6706"/>
    <w:rsid w:val="006E68CF"/>
    <w:rsid w:val="006E6C3F"/>
    <w:rsid w:val="006E73CE"/>
    <w:rsid w:val="006F0901"/>
    <w:rsid w:val="006F0D40"/>
    <w:rsid w:val="006F1540"/>
    <w:rsid w:val="006F17E7"/>
    <w:rsid w:val="006F2B5F"/>
    <w:rsid w:val="006F2C56"/>
    <w:rsid w:val="006F334F"/>
    <w:rsid w:val="006F43A6"/>
    <w:rsid w:val="006F4857"/>
    <w:rsid w:val="006F58FB"/>
    <w:rsid w:val="006F5966"/>
    <w:rsid w:val="006F6036"/>
    <w:rsid w:val="006F6A0C"/>
    <w:rsid w:val="006F6B7C"/>
    <w:rsid w:val="006F739F"/>
    <w:rsid w:val="006F769A"/>
    <w:rsid w:val="006F7936"/>
    <w:rsid w:val="006F7F79"/>
    <w:rsid w:val="0070059B"/>
    <w:rsid w:val="007005A0"/>
    <w:rsid w:val="00700A7A"/>
    <w:rsid w:val="007022C2"/>
    <w:rsid w:val="007032CA"/>
    <w:rsid w:val="00703846"/>
    <w:rsid w:val="007040DB"/>
    <w:rsid w:val="007044BE"/>
    <w:rsid w:val="00704ACD"/>
    <w:rsid w:val="00704D89"/>
    <w:rsid w:val="007051DF"/>
    <w:rsid w:val="0070542A"/>
    <w:rsid w:val="00705C82"/>
    <w:rsid w:val="00705D61"/>
    <w:rsid w:val="00705DFC"/>
    <w:rsid w:val="00705F69"/>
    <w:rsid w:val="00706697"/>
    <w:rsid w:val="00706744"/>
    <w:rsid w:val="00706918"/>
    <w:rsid w:val="00706D26"/>
    <w:rsid w:val="007071AD"/>
    <w:rsid w:val="0070752A"/>
    <w:rsid w:val="00707667"/>
    <w:rsid w:val="00707A7C"/>
    <w:rsid w:val="00710A58"/>
    <w:rsid w:val="00710BE4"/>
    <w:rsid w:val="00711BD0"/>
    <w:rsid w:val="00711C45"/>
    <w:rsid w:val="0071224A"/>
    <w:rsid w:val="00712EE4"/>
    <w:rsid w:val="007137A2"/>
    <w:rsid w:val="007138D7"/>
    <w:rsid w:val="007138F4"/>
    <w:rsid w:val="00713E06"/>
    <w:rsid w:val="0071448E"/>
    <w:rsid w:val="007146A3"/>
    <w:rsid w:val="0071561A"/>
    <w:rsid w:val="00715716"/>
    <w:rsid w:val="00715758"/>
    <w:rsid w:val="00715B1A"/>
    <w:rsid w:val="00716224"/>
    <w:rsid w:val="00716994"/>
    <w:rsid w:val="00716A4D"/>
    <w:rsid w:val="00717A7A"/>
    <w:rsid w:val="007200C9"/>
    <w:rsid w:val="00720DB3"/>
    <w:rsid w:val="007221BF"/>
    <w:rsid w:val="007221C8"/>
    <w:rsid w:val="007222C4"/>
    <w:rsid w:val="0072365F"/>
    <w:rsid w:val="00723B62"/>
    <w:rsid w:val="00723CF4"/>
    <w:rsid w:val="0072409B"/>
    <w:rsid w:val="007244F7"/>
    <w:rsid w:val="00724C47"/>
    <w:rsid w:val="007251B6"/>
    <w:rsid w:val="007255EE"/>
    <w:rsid w:val="007256EA"/>
    <w:rsid w:val="00725848"/>
    <w:rsid w:val="00727075"/>
    <w:rsid w:val="007279CD"/>
    <w:rsid w:val="00730017"/>
    <w:rsid w:val="007305AD"/>
    <w:rsid w:val="0073169A"/>
    <w:rsid w:val="007323E7"/>
    <w:rsid w:val="00732524"/>
    <w:rsid w:val="00732C78"/>
    <w:rsid w:val="0073375B"/>
    <w:rsid w:val="00733C53"/>
    <w:rsid w:val="007346A0"/>
    <w:rsid w:val="00734824"/>
    <w:rsid w:val="00734B18"/>
    <w:rsid w:val="0073516F"/>
    <w:rsid w:val="00735D1C"/>
    <w:rsid w:val="00735EA6"/>
    <w:rsid w:val="00735F20"/>
    <w:rsid w:val="0073688B"/>
    <w:rsid w:val="00736FE8"/>
    <w:rsid w:val="0073749C"/>
    <w:rsid w:val="00737CC5"/>
    <w:rsid w:val="00737CFA"/>
    <w:rsid w:val="0074150A"/>
    <w:rsid w:val="00741961"/>
    <w:rsid w:val="00741E08"/>
    <w:rsid w:val="007426D4"/>
    <w:rsid w:val="007428EB"/>
    <w:rsid w:val="00742924"/>
    <w:rsid w:val="00743BF7"/>
    <w:rsid w:val="00743C0C"/>
    <w:rsid w:val="00743CB6"/>
    <w:rsid w:val="00743FA9"/>
    <w:rsid w:val="007444CD"/>
    <w:rsid w:val="00744909"/>
    <w:rsid w:val="0074496E"/>
    <w:rsid w:val="0074534A"/>
    <w:rsid w:val="007459B9"/>
    <w:rsid w:val="00746305"/>
    <w:rsid w:val="007465C2"/>
    <w:rsid w:val="00747137"/>
    <w:rsid w:val="007472F0"/>
    <w:rsid w:val="00750E0D"/>
    <w:rsid w:val="00750F1D"/>
    <w:rsid w:val="007513DD"/>
    <w:rsid w:val="007517FB"/>
    <w:rsid w:val="00752865"/>
    <w:rsid w:val="00752927"/>
    <w:rsid w:val="0075323D"/>
    <w:rsid w:val="00753355"/>
    <w:rsid w:val="00753407"/>
    <w:rsid w:val="00753B92"/>
    <w:rsid w:val="007546F3"/>
    <w:rsid w:val="00755124"/>
    <w:rsid w:val="00755C08"/>
    <w:rsid w:val="007566A1"/>
    <w:rsid w:val="00756CE2"/>
    <w:rsid w:val="00757081"/>
    <w:rsid w:val="007575C4"/>
    <w:rsid w:val="007604AA"/>
    <w:rsid w:val="00761891"/>
    <w:rsid w:val="00761BC4"/>
    <w:rsid w:val="007623D5"/>
    <w:rsid w:val="00762696"/>
    <w:rsid w:val="007629EA"/>
    <w:rsid w:val="00762D16"/>
    <w:rsid w:val="0076444C"/>
    <w:rsid w:val="00764A15"/>
    <w:rsid w:val="0076534F"/>
    <w:rsid w:val="007655A1"/>
    <w:rsid w:val="007655BC"/>
    <w:rsid w:val="007655EC"/>
    <w:rsid w:val="00765B77"/>
    <w:rsid w:val="00767A04"/>
    <w:rsid w:val="00767A27"/>
    <w:rsid w:val="007700FB"/>
    <w:rsid w:val="007705CB"/>
    <w:rsid w:val="0077229E"/>
    <w:rsid w:val="00772475"/>
    <w:rsid w:val="00775B14"/>
    <w:rsid w:val="007762C2"/>
    <w:rsid w:val="00776A80"/>
    <w:rsid w:val="00777928"/>
    <w:rsid w:val="00780095"/>
    <w:rsid w:val="007801E4"/>
    <w:rsid w:val="0078022A"/>
    <w:rsid w:val="00780D70"/>
    <w:rsid w:val="00781162"/>
    <w:rsid w:val="007819E3"/>
    <w:rsid w:val="00781BC6"/>
    <w:rsid w:val="007827F8"/>
    <w:rsid w:val="00782CA0"/>
    <w:rsid w:val="007830FC"/>
    <w:rsid w:val="00783A98"/>
    <w:rsid w:val="00783ACF"/>
    <w:rsid w:val="00783F4B"/>
    <w:rsid w:val="00784B90"/>
    <w:rsid w:val="00784F51"/>
    <w:rsid w:val="007858CF"/>
    <w:rsid w:val="00785A18"/>
    <w:rsid w:val="00785BC8"/>
    <w:rsid w:val="00785CC4"/>
    <w:rsid w:val="00785D44"/>
    <w:rsid w:val="00786662"/>
    <w:rsid w:val="00786C58"/>
    <w:rsid w:val="007878F8"/>
    <w:rsid w:val="007878F9"/>
    <w:rsid w:val="00791488"/>
    <w:rsid w:val="00791913"/>
    <w:rsid w:val="00791BE4"/>
    <w:rsid w:val="00792446"/>
    <w:rsid w:val="00792CC3"/>
    <w:rsid w:val="007930FF"/>
    <w:rsid w:val="00793734"/>
    <w:rsid w:val="00794A1B"/>
    <w:rsid w:val="00795977"/>
    <w:rsid w:val="00795F4A"/>
    <w:rsid w:val="007967EC"/>
    <w:rsid w:val="00796A53"/>
    <w:rsid w:val="00797A16"/>
    <w:rsid w:val="007A03CD"/>
    <w:rsid w:val="007A05DD"/>
    <w:rsid w:val="007A0C50"/>
    <w:rsid w:val="007A11FC"/>
    <w:rsid w:val="007A14CB"/>
    <w:rsid w:val="007A23E8"/>
    <w:rsid w:val="007A2ACA"/>
    <w:rsid w:val="007A3632"/>
    <w:rsid w:val="007A450A"/>
    <w:rsid w:val="007A5027"/>
    <w:rsid w:val="007A51B7"/>
    <w:rsid w:val="007A5617"/>
    <w:rsid w:val="007A588A"/>
    <w:rsid w:val="007A5A20"/>
    <w:rsid w:val="007A6472"/>
    <w:rsid w:val="007A7156"/>
    <w:rsid w:val="007A7E66"/>
    <w:rsid w:val="007B025C"/>
    <w:rsid w:val="007B0BB1"/>
    <w:rsid w:val="007B0E8D"/>
    <w:rsid w:val="007B1606"/>
    <w:rsid w:val="007B1722"/>
    <w:rsid w:val="007B1830"/>
    <w:rsid w:val="007B1E9D"/>
    <w:rsid w:val="007B23BB"/>
    <w:rsid w:val="007B2CD9"/>
    <w:rsid w:val="007B37F6"/>
    <w:rsid w:val="007B39D1"/>
    <w:rsid w:val="007B39E3"/>
    <w:rsid w:val="007B3B01"/>
    <w:rsid w:val="007B3C08"/>
    <w:rsid w:val="007B3F23"/>
    <w:rsid w:val="007B5512"/>
    <w:rsid w:val="007B573F"/>
    <w:rsid w:val="007B5AFC"/>
    <w:rsid w:val="007B6220"/>
    <w:rsid w:val="007B6662"/>
    <w:rsid w:val="007B6951"/>
    <w:rsid w:val="007B757D"/>
    <w:rsid w:val="007C0261"/>
    <w:rsid w:val="007C0267"/>
    <w:rsid w:val="007C06BB"/>
    <w:rsid w:val="007C0949"/>
    <w:rsid w:val="007C0F91"/>
    <w:rsid w:val="007C1084"/>
    <w:rsid w:val="007C1328"/>
    <w:rsid w:val="007C20EA"/>
    <w:rsid w:val="007C2699"/>
    <w:rsid w:val="007C329D"/>
    <w:rsid w:val="007C3B0B"/>
    <w:rsid w:val="007C410A"/>
    <w:rsid w:val="007C42D6"/>
    <w:rsid w:val="007C4920"/>
    <w:rsid w:val="007C552F"/>
    <w:rsid w:val="007C5A00"/>
    <w:rsid w:val="007C62EB"/>
    <w:rsid w:val="007C713B"/>
    <w:rsid w:val="007D0796"/>
    <w:rsid w:val="007D07A5"/>
    <w:rsid w:val="007D0D2F"/>
    <w:rsid w:val="007D0DBD"/>
    <w:rsid w:val="007D0FAA"/>
    <w:rsid w:val="007D15B8"/>
    <w:rsid w:val="007D15EC"/>
    <w:rsid w:val="007D16F4"/>
    <w:rsid w:val="007D1803"/>
    <w:rsid w:val="007D1DB5"/>
    <w:rsid w:val="007D21D5"/>
    <w:rsid w:val="007D2259"/>
    <w:rsid w:val="007D2839"/>
    <w:rsid w:val="007D3820"/>
    <w:rsid w:val="007D429D"/>
    <w:rsid w:val="007D43A3"/>
    <w:rsid w:val="007D44C5"/>
    <w:rsid w:val="007D4619"/>
    <w:rsid w:val="007D5CC5"/>
    <w:rsid w:val="007D64FE"/>
    <w:rsid w:val="007D65A7"/>
    <w:rsid w:val="007E1FC7"/>
    <w:rsid w:val="007E2246"/>
    <w:rsid w:val="007E2BEC"/>
    <w:rsid w:val="007E3500"/>
    <w:rsid w:val="007E35DD"/>
    <w:rsid w:val="007E43A6"/>
    <w:rsid w:val="007E457D"/>
    <w:rsid w:val="007E4C0E"/>
    <w:rsid w:val="007E5359"/>
    <w:rsid w:val="007E5546"/>
    <w:rsid w:val="007E58A2"/>
    <w:rsid w:val="007E6C3F"/>
    <w:rsid w:val="007E7274"/>
    <w:rsid w:val="007E7F96"/>
    <w:rsid w:val="007F0512"/>
    <w:rsid w:val="007F0595"/>
    <w:rsid w:val="007F0E25"/>
    <w:rsid w:val="007F1063"/>
    <w:rsid w:val="007F176B"/>
    <w:rsid w:val="007F1D63"/>
    <w:rsid w:val="007F22B7"/>
    <w:rsid w:val="007F24CC"/>
    <w:rsid w:val="007F2587"/>
    <w:rsid w:val="007F2D31"/>
    <w:rsid w:val="007F2D7E"/>
    <w:rsid w:val="007F4864"/>
    <w:rsid w:val="007F4DA8"/>
    <w:rsid w:val="007F54AA"/>
    <w:rsid w:val="007F5909"/>
    <w:rsid w:val="007F71B0"/>
    <w:rsid w:val="007F728A"/>
    <w:rsid w:val="007F752C"/>
    <w:rsid w:val="007F7F6C"/>
    <w:rsid w:val="008007D6"/>
    <w:rsid w:val="00800838"/>
    <w:rsid w:val="008030F1"/>
    <w:rsid w:val="0080311F"/>
    <w:rsid w:val="00804013"/>
    <w:rsid w:val="008042F0"/>
    <w:rsid w:val="008043AD"/>
    <w:rsid w:val="008044B0"/>
    <w:rsid w:val="00804F29"/>
    <w:rsid w:val="0080575D"/>
    <w:rsid w:val="00806CC1"/>
    <w:rsid w:val="00806D6F"/>
    <w:rsid w:val="00807207"/>
    <w:rsid w:val="00807799"/>
    <w:rsid w:val="00807AD8"/>
    <w:rsid w:val="00807C65"/>
    <w:rsid w:val="00807EE0"/>
    <w:rsid w:val="00810699"/>
    <w:rsid w:val="00810846"/>
    <w:rsid w:val="00810B69"/>
    <w:rsid w:val="00811096"/>
    <w:rsid w:val="008112D8"/>
    <w:rsid w:val="00812F64"/>
    <w:rsid w:val="0081334E"/>
    <w:rsid w:val="00813482"/>
    <w:rsid w:val="008137C9"/>
    <w:rsid w:val="00813C2F"/>
    <w:rsid w:val="00814256"/>
    <w:rsid w:val="00814FF7"/>
    <w:rsid w:val="008154E0"/>
    <w:rsid w:val="00815651"/>
    <w:rsid w:val="008161B0"/>
    <w:rsid w:val="0081646A"/>
    <w:rsid w:val="00817546"/>
    <w:rsid w:val="00817F58"/>
    <w:rsid w:val="0082070C"/>
    <w:rsid w:val="00820D63"/>
    <w:rsid w:val="0082143C"/>
    <w:rsid w:val="00821ECD"/>
    <w:rsid w:val="00822E0D"/>
    <w:rsid w:val="00823EFB"/>
    <w:rsid w:val="00824302"/>
    <w:rsid w:val="00824716"/>
    <w:rsid w:val="00826989"/>
    <w:rsid w:val="00827631"/>
    <w:rsid w:val="00830CB8"/>
    <w:rsid w:val="00830F7B"/>
    <w:rsid w:val="00830FE5"/>
    <w:rsid w:val="00831243"/>
    <w:rsid w:val="0083158B"/>
    <w:rsid w:val="00831989"/>
    <w:rsid w:val="00831AE6"/>
    <w:rsid w:val="008321B4"/>
    <w:rsid w:val="00832F35"/>
    <w:rsid w:val="00833378"/>
    <w:rsid w:val="008335B7"/>
    <w:rsid w:val="00833E37"/>
    <w:rsid w:val="0083445F"/>
    <w:rsid w:val="008348DB"/>
    <w:rsid w:val="00834BFA"/>
    <w:rsid w:val="00835ED0"/>
    <w:rsid w:val="008360B9"/>
    <w:rsid w:val="00836987"/>
    <w:rsid w:val="00836FE3"/>
    <w:rsid w:val="00837283"/>
    <w:rsid w:val="00837EF3"/>
    <w:rsid w:val="008426E6"/>
    <w:rsid w:val="00842A4C"/>
    <w:rsid w:val="00843106"/>
    <w:rsid w:val="00843DF9"/>
    <w:rsid w:val="008442CE"/>
    <w:rsid w:val="00844581"/>
    <w:rsid w:val="008457A9"/>
    <w:rsid w:val="008459C6"/>
    <w:rsid w:val="00845E69"/>
    <w:rsid w:val="00846859"/>
    <w:rsid w:val="00846D63"/>
    <w:rsid w:val="0084710F"/>
    <w:rsid w:val="00847A31"/>
    <w:rsid w:val="00850CA9"/>
    <w:rsid w:val="008511AE"/>
    <w:rsid w:val="00851E3E"/>
    <w:rsid w:val="00852297"/>
    <w:rsid w:val="00852EFE"/>
    <w:rsid w:val="0085308C"/>
    <w:rsid w:val="008532D1"/>
    <w:rsid w:val="00853B60"/>
    <w:rsid w:val="0085433A"/>
    <w:rsid w:val="0085440C"/>
    <w:rsid w:val="0085445E"/>
    <w:rsid w:val="008545F1"/>
    <w:rsid w:val="00855576"/>
    <w:rsid w:val="00855950"/>
    <w:rsid w:val="008560E4"/>
    <w:rsid w:val="008566E5"/>
    <w:rsid w:val="00856E8A"/>
    <w:rsid w:val="00857225"/>
    <w:rsid w:val="008575B5"/>
    <w:rsid w:val="008578ED"/>
    <w:rsid w:val="00860A6B"/>
    <w:rsid w:val="00861542"/>
    <w:rsid w:val="00861DA3"/>
    <w:rsid w:val="00863CA4"/>
    <w:rsid w:val="008641C4"/>
    <w:rsid w:val="00864234"/>
    <w:rsid w:val="00864784"/>
    <w:rsid w:val="0086551C"/>
    <w:rsid w:val="008658B1"/>
    <w:rsid w:val="00867947"/>
    <w:rsid w:val="00867C66"/>
    <w:rsid w:val="00867FBB"/>
    <w:rsid w:val="008701E0"/>
    <w:rsid w:val="008701F5"/>
    <w:rsid w:val="00870C82"/>
    <w:rsid w:val="00871523"/>
    <w:rsid w:val="008720C3"/>
    <w:rsid w:val="00872962"/>
    <w:rsid w:val="0087476F"/>
    <w:rsid w:val="0087508F"/>
    <w:rsid w:val="008750D4"/>
    <w:rsid w:val="0087587D"/>
    <w:rsid w:val="00876366"/>
    <w:rsid w:val="00876CBF"/>
    <w:rsid w:val="00876D6B"/>
    <w:rsid w:val="0087799B"/>
    <w:rsid w:val="00877BB3"/>
    <w:rsid w:val="008804C8"/>
    <w:rsid w:val="0088053E"/>
    <w:rsid w:val="0088110F"/>
    <w:rsid w:val="0088132F"/>
    <w:rsid w:val="0088194A"/>
    <w:rsid w:val="00881A6F"/>
    <w:rsid w:val="008831E7"/>
    <w:rsid w:val="00883565"/>
    <w:rsid w:val="008836D4"/>
    <w:rsid w:val="00883F52"/>
    <w:rsid w:val="0088420E"/>
    <w:rsid w:val="008855C3"/>
    <w:rsid w:val="00885D34"/>
    <w:rsid w:val="00886E10"/>
    <w:rsid w:val="00886ED1"/>
    <w:rsid w:val="008873A7"/>
    <w:rsid w:val="00890498"/>
    <w:rsid w:val="008905A5"/>
    <w:rsid w:val="0089095F"/>
    <w:rsid w:val="00891940"/>
    <w:rsid w:val="00892289"/>
    <w:rsid w:val="008924C7"/>
    <w:rsid w:val="00892D95"/>
    <w:rsid w:val="008939E1"/>
    <w:rsid w:val="00893F03"/>
    <w:rsid w:val="00894094"/>
    <w:rsid w:val="00894169"/>
    <w:rsid w:val="008946D1"/>
    <w:rsid w:val="00895700"/>
    <w:rsid w:val="00895E2F"/>
    <w:rsid w:val="0089672C"/>
    <w:rsid w:val="008967D0"/>
    <w:rsid w:val="00896EC2"/>
    <w:rsid w:val="008A312C"/>
    <w:rsid w:val="008A3F89"/>
    <w:rsid w:val="008A4820"/>
    <w:rsid w:val="008A4875"/>
    <w:rsid w:val="008A5C07"/>
    <w:rsid w:val="008A63CC"/>
    <w:rsid w:val="008A762F"/>
    <w:rsid w:val="008A7AD5"/>
    <w:rsid w:val="008A7C8C"/>
    <w:rsid w:val="008B0873"/>
    <w:rsid w:val="008B0D38"/>
    <w:rsid w:val="008B0EE0"/>
    <w:rsid w:val="008B2F19"/>
    <w:rsid w:val="008B304E"/>
    <w:rsid w:val="008B49D6"/>
    <w:rsid w:val="008B4A78"/>
    <w:rsid w:val="008B536D"/>
    <w:rsid w:val="008B55AD"/>
    <w:rsid w:val="008B5C86"/>
    <w:rsid w:val="008B6150"/>
    <w:rsid w:val="008B6241"/>
    <w:rsid w:val="008B7069"/>
    <w:rsid w:val="008B7409"/>
    <w:rsid w:val="008B75D4"/>
    <w:rsid w:val="008B75E6"/>
    <w:rsid w:val="008B7B15"/>
    <w:rsid w:val="008C033B"/>
    <w:rsid w:val="008C0648"/>
    <w:rsid w:val="008C0EFE"/>
    <w:rsid w:val="008C120A"/>
    <w:rsid w:val="008C158E"/>
    <w:rsid w:val="008C1739"/>
    <w:rsid w:val="008C1AAA"/>
    <w:rsid w:val="008C28C1"/>
    <w:rsid w:val="008C2F8B"/>
    <w:rsid w:val="008C3130"/>
    <w:rsid w:val="008C317A"/>
    <w:rsid w:val="008C3681"/>
    <w:rsid w:val="008C3E42"/>
    <w:rsid w:val="008C4E16"/>
    <w:rsid w:val="008C6096"/>
    <w:rsid w:val="008C6FFE"/>
    <w:rsid w:val="008C781B"/>
    <w:rsid w:val="008C7B5F"/>
    <w:rsid w:val="008C7D05"/>
    <w:rsid w:val="008D0D77"/>
    <w:rsid w:val="008D0E91"/>
    <w:rsid w:val="008D19DB"/>
    <w:rsid w:val="008D27DA"/>
    <w:rsid w:val="008D31C2"/>
    <w:rsid w:val="008D3352"/>
    <w:rsid w:val="008D3D9A"/>
    <w:rsid w:val="008D3E3D"/>
    <w:rsid w:val="008D3F9B"/>
    <w:rsid w:val="008D4038"/>
    <w:rsid w:val="008D448F"/>
    <w:rsid w:val="008D5E95"/>
    <w:rsid w:val="008D6069"/>
    <w:rsid w:val="008D6703"/>
    <w:rsid w:val="008D67B6"/>
    <w:rsid w:val="008D689D"/>
    <w:rsid w:val="008D6F49"/>
    <w:rsid w:val="008D7972"/>
    <w:rsid w:val="008D7E02"/>
    <w:rsid w:val="008E0D40"/>
    <w:rsid w:val="008E1308"/>
    <w:rsid w:val="008E1E4D"/>
    <w:rsid w:val="008E2015"/>
    <w:rsid w:val="008E201E"/>
    <w:rsid w:val="008E22B9"/>
    <w:rsid w:val="008E2382"/>
    <w:rsid w:val="008E25B4"/>
    <w:rsid w:val="008E2ACE"/>
    <w:rsid w:val="008E2D44"/>
    <w:rsid w:val="008E355B"/>
    <w:rsid w:val="008E3675"/>
    <w:rsid w:val="008E3EA5"/>
    <w:rsid w:val="008E40F7"/>
    <w:rsid w:val="008E4A84"/>
    <w:rsid w:val="008E4C75"/>
    <w:rsid w:val="008E4CA8"/>
    <w:rsid w:val="008E5851"/>
    <w:rsid w:val="008E5A02"/>
    <w:rsid w:val="008E5B6C"/>
    <w:rsid w:val="008E614A"/>
    <w:rsid w:val="008E6549"/>
    <w:rsid w:val="008E6CCC"/>
    <w:rsid w:val="008E6E2C"/>
    <w:rsid w:val="008E7153"/>
    <w:rsid w:val="008E75B6"/>
    <w:rsid w:val="008E7A8F"/>
    <w:rsid w:val="008E7B5A"/>
    <w:rsid w:val="008E7D2D"/>
    <w:rsid w:val="008F0EB7"/>
    <w:rsid w:val="008F3A3E"/>
    <w:rsid w:val="008F56C3"/>
    <w:rsid w:val="008F58CB"/>
    <w:rsid w:val="008F637F"/>
    <w:rsid w:val="008F6E3C"/>
    <w:rsid w:val="008F6FB5"/>
    <w:rsid w:val="008F7430"/>
    <w:rsid w:val="008F7809"/>
    <w:rsid w:val="008F7A0C"/>
    <w:rsid w:val="0090135C"/>
    <w:rsid w:val="00901393"/>
    <w:rsid w:val="009014DD"/>
    <w:rsid w:val="0090174E"/>
    <w:rsid w:val="00902194"/>
    <w:rsid w:val="009025BD"/>
    <w:rsid w:val="009031B1"/>
    <w:rsid w:val="00904284"/>
    <w:rsid w:val="00905115"/>
    <w:rsid w:val="00905593"/>
    <w:rsid w:val="009062D8"/>
    <w:rsid w:val="00906744"/>
    <w:rsid w:val="00907BEC"/>
    <w:rsid w:val="00907FED"/>
    <w:rsid w:val="009100EF"/>
    <w:rsid w:val="0091029E"/>
    <w:rsid w:val="0091034F"/>
    <w:rsid w:val="0091048E"/>
    <w:rsid w:val="009108F9"/>
    <w:rsid w:val="00910C4E"/>
    <w:rsid w:val="00910E09"/>
    <w:rsid w:val="00911D22"/>
    <w:rsid w:val="00912C32"/>
    <w:rsid w:val="00913002"/>
    <w:rsid w:val="009136A1"/>
    <w:rsid w:val="009145EE"/>
    <w:rsid w:val="009147B9"/>
    <w:rsid w:val="00916382"/>
    <w:rsid w:val="0091647F"/>
    <w:rsid w:val="00917154"/>
    <w:rsid w:val="00917510"/>
    <w:rsid w:val="00920689"/>
    <w:rsid w:val="00921FF7"/>
    <w:rsid w:val="00922647"/>
    <w:rsid w:val="00922CAE"/>
    <w:rsid w:val="00922CD5"/>
    <w:rsid w:val="00923486"/>
    <w:rsid w:val="009238CF"/>
    <w:rsid w:val="00923E42"/>
    <w:rsid w:val="009246A8"/>
    <w:rsid w:val="00924D2A"/>
    <w:rsid w:val="0092506E"/>
    <w:rsid w:val="00925912"/>
    <w:rsid w:val="00925B69"/>
    <w:rsid w:val="00926C0A"/>
    <w:rsid w:val="009275BF"/>
    <w:rsid w:val="0092799C"/>
    <w:rsid w:val="009309E1"/>
    <w:rsid w:val="00930CC4"/>
    <w:rsid w:val="0093131F"/>
    <w:rsid w:val="0093180E"/>
    <w:rsid w:val="009319EF"/>
    <w:rsid w:val="00931BBA"/>
    <w:rsid w:val="00932519"/>
    <w:rsid w:val="00932F30"/>
    <w:rsid w:val="00933262"/>
    <w:rsid w:val="00933845"/>
    <w:rsid w:val="00933E5E"/>
    <w:rsid w:val="009359E3"/>
    <w:rsid w:val="00935D74"/>
    <w:rsid w:val="00936551"/>
    <w:rsid w:val="009369F2"/>
    <w:rsid w:val="00936DBB"/>
    <w:rsid w:val="009372DC"/>
    <w:rsid w:val="0093795D"/>
    <w:rsid w:val="00940314"/>
    <w:rsid w:val="00941072"/>
    <w:rsid w:val="00941434"/>
    <w:rsid w:val="00941F41"/>
    <w:rsid w:val="00942083"/>
    <w:rsid w:val="00942417"/>
    <w:rsid w:val="00942AFA"/>
    <w:rsid w:val="00942B6C"/>
    <w:rsid w:val="00942FA4"/>
    <w:rsid w:val="0094329F"/>
    <w:rsid w:val="009435A4"/>
    <w:rsid w:val="00944579"/>
    <w:rsid w:val="0094521A"/>
    <w:rsid w:val="009457F7"/>
    <w:rsid w:val="00945959"/>
    <w:rsid w:val="00945BB3"/>
    <w:rsid w:val="009465DA"/>
    <w:rsid w:val="00946FDC"/>
    <w:rsid w:val="00947163"/>
    <w:rsid w:val="0094722D"/>
    <w:rsid w:val="009474BD"/>
    <w:rsid w:val="00947626"/>
    <w:rsid w:val="00950792"/>
    <w:rsid w:val="0095088C"/>
    <w:rsid w:val="009509DE"/>
    <w:rsid w:val="00950D54"/>
    <w:rsid w:val="00951093"/>
    <w:rsid w:val="0095160D"/>
    <w:rsid w:val="00951B80"/>
    <w:rsid w:val="00952297"/>
    <w:rsid w:val="00952F49"/>
    <w:rsid w:val="00953880"/>
    <w:rsid w:val="00953CD4"/>
    <w:rsid w:val="00953EA3"/>
    <w:rsid w:val="0095500A"/>
    <w:rsid w:val="00955B0B"/>
    <w:rsid w:val="00956710"/>
    <w:rsid w:val="00957109"/>
    <w:rsid w:val="009575A5"/>
    <w:rsid w:val="00957F87"/>
    <w:rsid w:val="009600D4"/>
    <w:rsid w:val="009601AE"/>
    <w:rsid w:val="009609BC"/>
    <w:rsid w:val="00960B4B"/>
    <w:rsid w:val="0096114C"/>
    <w:rsid w:val="009616CE"/>
    <w:rsid w:val="0096195D"/>
    <w:rsid w:val="00961BF6"/>
    <w:rsid w:val="009629E0"/>
    <w:rsid w:val="00963A14"/>
    <w:rsid w:val="0096410E"/>
    <w:rsid w:val="0096516F"/>
    <w:rsid w:val="00965787"/>
    <w:rsid w:val="00965C73"/>
    <w:rsid w:val="00965D4C"/>
    <w:rsid w:val="00966268"/>
    <w:rsid w:val="00966B09"/>
    <w:rsid w:val="00966C04"/>
    <w:rsid w:val="00966C77"/>
    <w:rsid w:val="00967CE1"/>
    <w:rsid w:val="00967FD1"/>
    <w:rsid w:val="009701E5"/>
    <w:rsid w:val="00970329"/>
    <w:rsid w:val="009712F7"/>
    <w:rsid w:val="00971641"/>
    <w:rsid w:val="0097175E"/>
    <w:rsid w:val="00971770"/>
    <w:rsid w:val="00971CCE"/>
    <w:rsid w:val="00972B85"/>
    <w:rsid w:val="00972D2A"/>
    <w:rsid w:val="0097310F"/>
    <w:rsid w:val="00973E53"/>
    <w:rsid w:val="0097524C"/>
    <w:rsid w:val="009755FF"/>
    <w:rsid w:val="00975D10"/>
    <w:rsid w:val="00977292"/>
    <w:rsid w:val="00980580"/>
    <w:rsid w:val="00980A34"/>
    <w:rsid w:val="00980B94"/>
    <w:rsid w:val="0098116A"/>
    <w:rsid w:val="00981345"/>
    <w:rsid w:val="00981363"/>
    <w:rsid w:val="009815F8"/>
    <w:rsid w:val="009817A0"/>
    <w:rsid w:val="00981B3E"/>
    <w:rsid w:val="009824F4"/>
    <w:rsid w:val="0098376E"/>
    <w:rsid w:val="00983B56"/>
    <w:rsid w:val="00983EA6"/>
    <w:rsid w:val="00983EC7"/>
    <w:rsid w:val="009841EA"/>
    <w:rsid w:val="00984633"/>
    <w:rsid w:val="00984761"/>
    <w:rsid w:val="00984AFB"/>
    <w:rsid w:val="00985547"/>
    <w:rsid w:val="00986BA9"/>
    <w:rsid w:val="009877F3"/>
    <w:rsid w:val="00987BC1"/>
    <w:rsid w:val="00990C84"/>
    <w:rsid w:val="00991328"/>
    <w:rsid w:val="00992B0D"/>
    <w:rsid w:val="00993F63"/>
    <w:rsid w:val="00994340"/>
    <w:rsid w:val="0099471E"/>
    <w:rsid w:val="00994F8D"/>
    <w:rsid w:val="00995571"/>
    <w:rsid w:val="009956F6"/>
    <w:rsid w:val="0099591E"/>
    <w:rsid w:val="00995F2F"/>
    <w:rsid w:val="0099611B"/>
    <w:rsid w:val="009975EE"/>
    <w:rsid w:val="00997964"/>
    <w:rsid w:val="009979B8"/>
    <w:rsid w:val="00997F78"/>
    <w:rsid w:val="009A02B4"/>
    <w:rsid w:val="009A0501"/>
    <w:rsid w:val="009A09E3"/>
    <w:rsid w:val="009A0C19"/>
    <w:rsid w:val="009A19E9"/>
    <w:rsid w:val="009A21B3"/>
    <w:rsid w:val="009A23DA"/>
    <w:rsid w:val="009A23E9"/>
    <w:rsid w:val="009A2561"/>
    <w:rsid w:val="009A2F83"/>
    <w:rsid w:val="009A32D5"/>
    <w:rsid w:val="009A363C"/>
    <w:rsid w:val="009A3684"/>
    <w:rsid w:val="009A47D6"/>
    <w:rsid w:val="009A4CDF"/>
    <w:rsid w:val="009A53B3"/>
    <w:rsid w:val="009A6829"/>
    <w:rsid w:val="009A6B23"/>
    <w:rsid w:val="009A733A"/>
    <w:rsid w:val="009A7538"/>
    <w:rsid w:val="009A772E"/>
    <w:rsid w:val="009B0378"/>
    <w:rsid w:val="009B04AA"/>
    <w:rsid w:val="009B0529"/>
    <w:rsid w:val="009B0DE8"/>
    <w:rsid w:val="009B0F3C"/>
    <w:rsid w:val="009B0FA0"/>
    <w:rsid w:val="009B10BC"/>
    <w:rsid w:val="009B1AE9"/>
    <w:rsid w:val="009B210B"/>
    <w:rsid w:val="009B2526"/>
    <w:rsid w:val="009B2757"/>
    <w:rsid w:val="009B293A"/>
    <w:rsid w:val="009B3150"/>
    <w:rsid w:val="009B327F"/>
    <w:rsid w:val="009B3DD4"/>
    <w:rsid w:val="009B4C51"/>
    <w:rsid w:val="009B5019"/>
    <w:rsid w:val="009B56CB"/>
    <w:rsid w:val="009B5A46"/>
    <w:rsid w:val="009B5E19"/>
    <w:rsid w:val="009B7DF2"/>
    <w:rsid w:val="009C0010"/>
    <w:rsid w:val="009C032D"/>
    <w:rsid w:val="009C0990"/>
    <w:rsid w:val="009C0F77"/>
    <w:rsid w:val="009C1806"/>
    <w:rsid w:val="009C1BAF"/>
    <w:rsid w:val="009C201C"/>
    <w:rsid w:val="009C23FC"/>
    <w:rsid w:val="009C2F2D"/>
    <w:rsid w:val="009C3355"/>
    <w:rsid w:val="009C385A"/>
    <w:rsid w:val="009C3C2F"/>
    <w:rsid w:val="009C4654"/>
    <w:rsid w:val="009C628C"/>
    <w:rsid w:val="009C6425"/>
    <w:rsid w:val="009C6ECB"/>
    <w:rsid w:val="009C75CA"/>
    <w:rsid w:val="009C7C58"/>
    <w:rsid w:val="009C7C5F"/>
    <w:rsid w:val="009D01FB"/>
    <w:rsid w:val="009D3637"/>
    <w:rsid w:val="009D399C"/>
    <w:rsid w:val="009D3BAF"/>
    <w:rsid w:val="009D3D65"/>
    <w:rsid w:val="009D4538"/>
    <w:rsid w:val="009D4A77"/>
    <w:rsid w:val="009D5433"/>
    <w:rsid w:val="009D57AC"/>
    <w:rsid w:val="009D5841"/>
    <w:rsid w:val="009D5CA6"/>
    <w:rsid w:val="009D6862"/>
    <w:rsid w:val="009D690D"/>
    <w:rsid w:val="009D6E4D"/>
    <w:rsid w:val="009D7AC9"/>
    <w:rsid w:val="009E01C3"/>
    <w:rsid w:val="009E030B"/>
    <w:rsid w:val="009E1898"/>
    <w:rsid w:val="009E1D25"/>
    <w:rsid w:val="009E1F7B"/>
    <w:rsid w:val="009E22FE"/>
    <w:rsid w:val="009E29F7"/>
    <w:rsid w:val="009E32DC"/>
    <w:rsid w:val="009E346E"/>
    <w:rsid w:val="009E3B72"/>
    <w:rsid w:val="009E3D59"/>
    <w:rsid w:val="009E41B2"/>
    <w:rsid w:val="009E53AD"/>
    <w:rsid w:val="009E57B6"/>
    <w:rsid w:val="009E639B"/>
    <w:rsid w:val="009E6D36"/>
    <w:rsid w:val="009E7002"/>
    <w:rsid w:val="009F003C"/>
    <w:rsid w:val="009F0512"/>
    <w:rsid w:val="009F06F8"/>
    <w:rsid w:val="009F083B"/>
    <w:rsid w:val="009F20C8"/>
    <w:rsid w:val="009F24E6"/>
    <w:rsid w:val="009F2A08"/>
    <w:rsid w:val="009F2DAE"/>
    <w:rsid w:val="009F2FA1"/>
    <w:rsid w:val="009F3178"/>
    <w:rsid w:val="009F3CA4"/>
    <w:rsid w:val="009F4811"/>
    <w:rsid w:val="009F4A76"/>
    <w:rsid w:val="009F4C64"/>
    <w:rsid w:val="009F5032"/>
    <w:rsid w:val="009F54D0"/>
    <w:rsid w:val="009F62DA"/>
    <w:rsid w:val="009F71BC"/>
    <w:rsid w:val="009F73BB"/>
    <w:rsid w:val="009F77CE"/>
    <w:rsid w:val="00A00721"/>
    <w:rsid w:val="00A00BFF"/>
    <w:rsid w:val="00A01339"/>
    <w:rsid w:val="00A015D6"/>
    <w:rsid w:val="00A01633"/>
    <w:rsid w:val="00A01B71"/>
    <w:rsid w:val="00A01E54"/>
    <w:rsid w:val="00A029A0"/>
    <w:rsid w:val="00A02A0F"/>
    <w:rsid w:val="00A02A26"/>
    <w:rsid w:val="00A03EE2"/>
    <w:rsid w:val="00A0409B"/>
    <w:rsid w:val="00A049A6"/>
    <w:rsid w:val="00A04D8D"/>
    <w:rsid w:val="00A04FF9"/>
    <w:rsid w:val="00A05E6B"/>
    <w:rsid w:val="00A061B3"/>
    <w:rsid w:val="00A063DD"/>
    <w:rsid w:val="00A067AA"/>
    <w:rsid w:val="00A06D97"/>
    <w:rsid w:val="00A071FB"/>
    <w:rsid w:val="00A07309"/>
    <w:rsid w:val="00A07361"/>
    <w:rsid w:val="00A0754B"/>
    <w:rsid w:val="00A0776D"/>
    <w:rsid w:val="00A079DC"/>
    <w:rsid w:val="00A10B15"/>
    <w:rsid w:val="00A118F9"/>
    <w:rsid w:val="00A12818"/>
    <w:rsid w:val="00A12ADE"/>
    <w:rsid w:val="00A13213"/>
    <w:rsid w:val="00A13718"/>
    <w:rsid w:val="00A13FDD"/>
    <w:rsid w:val="00A145BD"/>
    <w:rsid w:val="00A1550C"/>
    <w:rsid w:val="00A156C1"/>
    <w:rsid w:val="00A15E14"/>
    <w:rsid w:val="00A15F0C"/>
    <w:rsid w:val="00A15F4B"/>
    <w:rsid w:val="00A161AF"/>
    <w:rsid w:val="00A164AE"/>
    <w:rsid w:val="00A1706C"/>
    <w:rsid w:val="00A1761B"/>
    <w:rsid w:val="00A17ABF"/>
    <w:rsid w:val="00A17E88"/>
    <w:rsid w:val="00A17EE4"/>
    <w:rsid w:val="00A21711"/>
    <w:rsid w:val="00A21783"/>
    <w:rsid w:val="00A21E5B"/>
    <w:rsid w:val="00A2268A"/>
    <w:rsid w:val="00A22F28"/>
    <w:rsid w:val="00A23068"/>
    <w:rsid w:val="00A234DE"/>
    <w:rsid w:val="00A23FE6"/>
    <w:rsid w:val="00A24155"/>
    <w:rsid w:val="00A24190"/>
    <w:rsid w:val="00A24923"/>
    <w:rsid w:val="00A24FAF"/>
    <w:rsid w:val="00A250E9"/>
    <w:rsid w:val="00A25127"/>
    <w:rsid w:val="00A258C4"/>
    <w:rsid w:val="00A25B44"/>
    <w:rsid w:val="00A25D32"/>
    <w:rsid w:val="00A26FCD"/>
    <w:rsid w:val="00A27109"/>
    <w:rsid w:val="00A27602"/>
    <w:rsid w:val="00A27731"/>
    <w:rsid w:val="00A27DAC"/>
    <w:rsid w:val="00A3054F"/>
    <w:rsid w:val="00A3252F"/>
    <w:rsid w:val="00A325C5"/>
    <w:rsid w:val="00A32773"/>
    <w:rsid w:val="00A32B5E"/>
    <w:rsid w:val="00A33869"/>
    <w:rsid w:val="00A35452"/>
    <w:rsid w:val="00A35799"/>
    <w:rsid w:val="00A370CB"/>
    <w:rsid w:val="00A37712"/>
    <w:rsid w:val="00A37771"/>
    <w:rsid w:val="00A37DD9"/>
    <w:rsid w:val="00A40346"/>
    <w:rsid w:val="00A408CF"/>
    <w:rsid w:val="00A40E54"/>
    <w:rsid w:val="00A41AE2"/>
    <w:rsid w:val="00A42AE4"/>
    <w:rsid w:val="00A42D59"/>
    <w:rsid w:val="00A42EE9"/>
    <w:rsid w:val="00A4379C"/>
    <w:rsid w:val="00A44476"/>
    <w:rsid w:val="00A456D8"/>
    <w:rsid w:val="00A45937"/>
    <w:rsid w:val="00A45B03"/>
    <w:rsid w:val="00A4608F"/>
    <w:rsid w:val="00A46322"/>
    <w:rsid w:val="00A46642"/>
    <w:rsid w:val="00A477D3"/>
    <w:rsid w:val="00A47BBB"/>
    <w:rsid w:val="00A50436"/>
    <w:rsid w:val="00A51589"/>
    <w:rsid w:val="00A51D4E"/>
    <w:rsid w:val="00A5202D"/>
    <w:rsid w:val="00A5241F"/>
    <w:rsid w:val="00A52B99"/>
    <w:rsid w:val="00A52C39"/>
    <w:rsid w:val="00A52DFA"/>
    <w:rsid w:val="00A54623"/>
    <w:rsid w:val="00A55487"/>
    <w:rsid w:val="00A55BE4"/>
    <w:rsid w:val="00A571A6"/>
    <w:rsid w:val="00A57536"/>
    <w:rsid w:val="00A579FE"/>
    <w:rsid w:val="00A57B54"/>
    <w:rsid w:val="00A60E2A"/>
    <w:rsid w:val="00A6149E"/>
    <w:rsid w:val="00A61BA3"/>
    <w:rsid w:val="00A634B3"/>
    <w:rsid w:val="00A64124"/>
    <w:rsid w:val="00A64D94"/>
    <w:rsid w:val="00A66715"/>
    <w:rsid w:val="00A6673A"/>
    <w:rsid w:val="00A66EE3"/>
    <w:rsid w:val="00A67100"/>
    <w:rsid w:val="00A679C2"/>
    <w:rsid w:val="00A7059F"/>
    <w:rsid w:val="00A709F7"/>
    <w:rsid w:val="00A70B58"/>
    <w:rsid w:val="00A70ECC"/>
    <w:rsid w:val="00A716A7"/>
    <w:rsid w:val="00A71CB6"/>
    <w:rsid w:val="00A72D17"/>
    <w:rsid w:val="00A73929"/>
    <w:rsid w:val="00A74567"/>
    <w:rsid w:val="00A74B59"/>
    <w:rsid w:val="00A74FF5"/>
    <w:rsid w:val="00A75932"/>
    <w:rsid w:val="00A75AE6"/>
    <w:rsid w:val="00A76D52"/>
    <w:rsid w:val="00A77183"/>
    <w:rsid w:val="00A77419"/>
    <w:rsid w:val="00A77740"/>
    <w:rsid w:val="00A801F2"/>
    <w:rsid w:val="00A80B15"/>
    <w:rsid w:val="00A80D7B"/>
    <w:rsid w:val="00A811EB"/>
    <w:rsid w:val="00A81EF3"/>
    <w:rsid w:val="00A81F60"/>
    <w:rsid w:val="00A83118"/>
    <w:rsid w:val="00A837A3"/>
    <w:rsid w:val="00A83FDE"/>
    <w:rsid w:val="00A8428D"/>
    <w:rsid w:val="00A84736"/>
    <w:rsid w:val="00A84A32"/>
    <w:rsid w:val="00A84CC7"/>
    <w:rsid w:val="00A8537D"/>
    <w:rsid w:val="00A8674B"/>
    <w:rsid w:val="00A8676D"/>
    <w:rsid w:val="00A86FFF"/>
    <w:rsid w:val="00A8714F"/>
    <w:rsid w:val="00A879C6"/>
    <w:rsid w:val="00A90016"/>
    <w:rsid w:val="00A90208"/>
    <w:rsid w:val="00A9054A"/>
    <w:rsid w:val="00A9160D"/>
    <w:rsid w:val="00A92B4D"/>
    <w:rsid w:val="00A930B6"/>
    <w:rsid w:val="00A932F5"/>
    <w:rsid w:val="00A94432"/>
    <w:rsid w:val="00A94B40"/>
    <w:rsid w:val="00A9501E"/>
    <w:rsid w:val="00A95E93"/>
    <w:rsid w:val="00A961BC"/>
    <w:rsid w:val="00A9655C"/>
    <w:rsid w:val="00A967B1"/>
    <w:rsid w:val="00A96C0C"/>
    <w:rsid w:val="00A96F10"/>
    <w:rsid w:val="00A97063"/>
    <w:rsid w:val="00A97789"/>
    <w:rsid w:val="00A97A2F"/>
    <w:rsid w:val="00AA03D9"/>
    <w:rsid w:val="00AA051A"/>
    <w:rsid w:val="00AA225A"/>
    <w:rsid w:val="00AA2922"/>
    <w:rsid w:val="00AA2C80"/>
    <w:rsid w:val="00AA2D0F"/>
    <w:rsid w:val="00AA359F"/>
    <w:rsid w:val="00AA446E"/>
    <w:rsid w:val="00AA463C"/>
    <w:rsid w:val="00AA46C6"/>
    <w:rsid w:val="00AA4889"/>
    <w:rsid w:val="00AA520C"/>
    <w:rsid w:val="00AA6121"/>
    <w:rsid w:val="00AA62D2"/>
    <w:rsid w:val="00AA63AD"/>
    <w:rsid w:val="00AA6CE1"/>
    <w:rsid w:val="00AA6D8C"/>
    <w:rsid w:val="00AA6E45"/>
    <w:rsid w:val="00AA7047"/>
    <w:rsid w:val="00AA74D7"/>
    <w:rsid w:val="00AB0082"/>
    <w:rsid w:val="00AB04A2"/>
    <w:rsid w:val="00AB0825"/>
    <w:rsid w:val="00AB0B9D"/>
    <w:rsid w:val="00AB0C23"/>
    <w:rsid w:val="00AB12C5"/>
    <w:rsid w:val="00AB1352"/>
    <w:rsid w:val="00AB1744"/>
    <w:rsid w:val="00AB29CC"/>
    <w:rsid w:val="00AB4080"/>
    <w:rsid w:val="00AB479D"/>
    <w:rsid w:val="00AB485A"/>
    <w:rsid w:val="00AB4BDA"/>
    <w:rsid w:val="00AB4F4B"/>
    <w:rsid w:val="00AB57CB"/>
    <w:rsid w:val="00AB7012"/>
    <w:rsid w:val="00AB75A8"/>
    <w:rsid w:val="00AC03AE"/>
    <w:rsid w:val="00AC06E4"/>
    <w:rsid w:val="00AC0B05"/>
    <w:rsid w:val="00AC1175"/>
    <w:rsid w:val="00AC1312"/>
    <w:rsid w:val="00AC1A06"/>
    <w:rsid w:val="00AC21A5"/>
    <w:rsid w:val="00AC2244"/>
    <w:rsid w:val="00AC293D"/>
    <w:rsid w:val="00AC409E"/>
    <w:rsid w:val="00AC48B8"/>
    <w:rsid w:val="00AC5798"/>
    <w:rsid w:val="00AC67B0"/>
    <w:rsid w:val="00AC7D2D"/>
    <w:rsid w:val="00AD0366"/>
    <w:rsid w:val="00AD0C80"/>
    <w:rsid w:val="00AD1996"/>
    <w:rsid w:val="00AD1F1F"/>
    <w:rsid w:val="00AD2FF5"/>
    <w:rsid w:val="00AD3099"/>
    <w:rsid w:val="00AD32FB"/>
    <w:rsid w:val="00AD3340"/>
    <w:rsid w:val="00AD3D73"/>
    <w:rsid w:val="00AD46F6"/>
    <w:rsid w:val="00AD47E6"/>
    <w:rsid w:val="00AD4D93"/>
    <w:rsid w:val="00AD51F5"/>
    <w:rsid w:val="00AD5A6E"/>
    <w:rsid w:val="00AD61C0"/>
    <w:rsid w:val="00AD63B2"/>
    <w:rsid w:val="00AD7785"/>
    <w:rsid w:val="00AE00D5"/>
    <w:rsid w:val="00AE03B0"/>
    <w:rsid w:val="00AE04CA"/>
    <w:rsid w:val="00AE0B04"/>
    <w:rsid w:val="00AE1121"/>
    <w:rsid w:val="00AE12BA"/>
    <w:rsid w:val="00AE2383"/>
    <w:rsid w:val="00AE266C"/>
    <w:rsid w:val="00AE2A72"/>
    <w:rsid w:val="00AE3A4C"/>
    <w:rsid w:val="00AE3AC7"/>
    <w:rsid w:val="00AE4472"/>
    <w:rsid w:val="00AE49D6"/>
    <w:rsid w:val="00AE52D3"/>
    <w:rsid w:val="00AE5992"/>
    <w:rsid w:val="00AE5B59"/>
    <w:rsid w:val="00AE5CA3"/>
    <w:rsid w:val="00AE60C1"/>
    <w:rsid w:val="00AE6E6A"/>
    <w:rsid w:val="00AE7BEC"/>
    <w:rsid w:val="00AE7D23"/>
    <w:rsid w:val="00AF1748"/>
    <w:rsid w:val="00AF253A"/>
    <w:rsid w:val="00AF27D1"/>
    <w:rsid w:val="00AF3E4B"/>
    <w:rsid w:val="00AF4218"/>
    <w:rsid w:val="00AF440B"/>
    <w:rsid w:val="00AF4A3A"/>
    <w:rsid w:val="00AF51B5"/>
    <w:rsid w:val="00AF56CC"/>
    <w:rsid w:val="00AF5E50"/>
    <w:rsid w:val="00AF6377"/>
    <w:rsid w:val="00AF727D"/>
    <w:rsid w:val="00AF75BC"/>
    <w:rsid w:val="00AF7F39"/>
    <w:rsid w:val="00B00A7C"/>
    <w:rsid w:val="00B00C2B"/>
    <w:rsid w:val="00B00E70"/>
    <w:rsid w:val="00B013F6"/>
    <w:rsid w:val="00B014E9"/>
    <w:rsid w:val="00B019C6"/>
    <w:rsid w:val="00B01C0A"/>
    <w:rsid w:val="00B01C0C"/>
    <w:rsid w:val="00B028B6"/>
    <w:rsid w:val="00B02A8F"/>
    <w:rsid w:val="00B02D82"/>
    <w:rsid w:val="00B03E18"/>
    <w:rsid w:val="00B04054"/>
    <w:rsid w:val="00B042B1"/>
    <w:rsid w:val="00B04946"/>
    <w:rsid w:val="00B057D0"/>
    <w:rsid w:val="00B05AE4"/>
    <w:rsid w:val="00B06041"/>
    <w:rsid w:val="00B062F2"/>
    <w:rsid w:val="00B0650D"/>
    <w:rsid w:val="00B066C7"/>
    <w:rsid w:val="00B07621"/>
    <w:rsid w:val="00B07EFD"/>
    <w:rsid w:val="00B10337"/>
    <w:rsid w:val="00B10D0C"/>
    <w:rsid w:val="00B115F5"/>
    <w:rsid w:val="00B116A7"/>
    <w:rsid w:val="00B119E3"/>
    <w:rsid w:val="00B1304F"/>
    <w:rsid w:val="00B13603"/>
    <w:rsid w:val="00B14ADF"/>
    <w:rsid w:val="00B14BB6"/>
    <w:rsid w:val="00B153D6"/>
    <w:rsid w:val="00B16207"/>
    <w:rsid w:val="00B1650C"/>
    <w:rsid w:val="00B1664F"/>
    <w:rsid w:val="00B1696E"/>
    <w:rsid w:val="00B169AF"/>
    <w:rsid w:val="00B16E8F"/>
    <w:rsid w:val="00B1700D"/>
    <w:rsid w:val="00B177E9"/>
    <w:rsid w:val="00B17DAD"/>
    <w:rsid w:val="00B21370"/>
    <w:rsid w:val="00B217A4"/>
    <w:rsid w:val="00B21C69"/>
    <w:rsid w:val="00B2215B"/>
    <w:rsid w:val="00B22A51"/>
    <w:rsid w:val="00B22C26"/>
    <w:rsid w:val="00B235BD"/>
    <w:rsid w:val="00B237AA"/>
    <w:rsid w:val="00B2413B"/>
    <w:rsid w:val="00B249E7"/>
    <w:rsid w:val="00B24B88"/>
    <w:rsid w:val="00B255F3"/>
    <w:rsid w:val="00B25946"/>
    <w:rsid w:val="00B2631A"/>
    <w:rsid w:val="00B268CE"/>
    <w:rsid w:val="00B269AD"/>
    <w:rsid w:val="00B26B4E"/>
    <w:rsid w:val="00B26EB0"/>
    <w:rsid w:val="00B273A5"/>
    <w:rsid w:val="00B275A1"/>
    <w:rsid w:val="00B27636"/>
    <w:rsid w:val="00B30007"/>
    <w:rsid w:val="00B304ED"/>
    <w:rsid w:val="00B30C53"/>
    <w:rsid w:val="00B318B5"/>
    <w:rsid w:val="00B31B09"/>
    <w:rsid w:val="00B322D1"/>
    <w:rsid w:val="00B32596"/>
    <w:rsid w:val="00B3264F"/>
    <w:rsid w:val="00B329D5"/>
    <w:rsid w:val="00B331C9"/>
    <w:rsid w:val="00B334A5"/>
    <w:rsid w:val="00B33BB4"/>
    <w:rsid w:val="00B34445"/>
    <w:rsid w:val="00B35016"/>
    <w:rsid w:val="00B35CB7"/>
    <w:rsid w:val="00B35F33"/>
    <w:rsid w:val="00B364AD"/>
    <w:rsid w:val="00B367E9"/>
    <w:rsid w:val="00B367F5"/>
    <w:rsid w:val="00B36B30"/>
    <w:rsid w:val="00B36B68"/>
    <w:rsid w:val="00B3718D"/>
    <w:rsid w:val="00B376FF"/>
    <w:rsid w:val="00B37A57"/>
    <w:rsid w:val="00B37B56"/>
    <w:rsid w:val="00B4069A"/>
    <w:rsid w:val="00B40836"/>
    <w:rsid w:val="00B40C26"/>
    <w:rsid w:val="00B41652"/>
    <w:rsid w:val="00B42464"/>
    <w:rsid w:val="00B42E19"/>
    <w:rsid w:val="00B42E5E"/>
    <w:rsid w:val="00B44407"/>
    <w:rsid w:val="00B44500"/>
    <w:rsid w:val="00B44C34"/>
    <w:rsid w:val="00B44DC8"/>
    <w:rsid w:val="00B45864"/>
    <w:rsid w:val="00B45C39"/>
    <w:rsid w:val="00B46744"/>
    <w:rsid w:val="00B46DA5"/>
    <w:rsid w:val="00B4749F"/>
    <w:rsid w:val="00B501E4"/>
    <w:rsid w:val="00B50760"/>
    <w:rsid w:val="00B5088D"/>
    <w:rsid w:val="00B50B66"/>
    <w:rsid w:val="00B51081"/>
    <w:rsid w:val="00B5144D"/>
    <w:rsid w:val="00B52D80"/>
    <w:rsid w:val="00B534BC"/>
    <w:rsid w:val="00B53E60"/>
    <w:rsid w:val="00B53EC2"/>
    <w:rsid w:val="00B54625"/>
    <w:rsid w:val="00B546D0"/>
    <w:rsid w:val="00B54A00"/>
    <w:rsid w:val="00B54AE1"/>
    <w:rsid w:val="00B54FC3"/>
    <w:rsid w:val="00B55932"/>
    <w:rsid w:val="00B559B7"/>
    <w:rsid w:val="00B55EB9"/>
    <w:rsid w:val="00B56BB1"/>
    <w:rsid w:val="00B56E2D"/>
    <w:rsid w:val="00B56E87"/>
    <w:rsid w:val="00B57082"/>
    <w:rsid w:val="00B57468"/>
    <w:rsid w:val="00B57997"/>
    <w:rsid w:val="00B57BF8"/>
    <w:rsid w:val="00B57D77"/>
    <w:rsid w:val="00B57DAF"/>
    <w:rsid w:val="00B57EF5"/>
    <w:rsid w:val="00B603FD"/>
    <w:rsid w:val="00B60413"/>
    <w:rsid w:val="00B60652"/>
    <w:rsid w:val="00B608DA"/>
    <w:rsid w:val="00B62C80"/>
    <w:rsid w:val="00B637C4"/>
    <w:rsid w:val="00B64004"/>
    <w:rsid w:val="00B64E6E"/>
    <w:rsid w:val="00B64F83"/>
    <w:rsid w:val="00B65171"/>
    <w:rsid w:val="00B65337"/>
    <w:rsid w:val="00B65858"/>
    <w:rsid w:val="00B659FE"/>
    <w:rsid w:val="00B65B70"/>
    <w:rsid w:val="00B6601F"/>
    <w:rsid w:val="00B66487"/>
    <w:rsid w:val="00B665F3"/>
    <w:rsid w:val="00B67337"/>
    <w:rsid w:val="00B67628"/>
    <w:rsid w:val="00B67689"/>
    <w:rsid w:val="00B6795B"/>
    <w:rsid w:val="00B67A57"/>
    <w:rsid w:val="00B67AED"/>
    <w:rsid w:val="00B70A92"/>
    <w:rsid w:val="00B71349"/>
    <w:rsid w:val="00B71606"/>
    <w:rsid w:val="00B7192B"/>
    <w:rsid w:val="00B71AB8"/>
    <w:rsid w:val="00B722C4"/>
    <w:rsid w:val="00B72607"/>
    <w:rsid w:val="00B72740"/>
    <w:rsid w:val="00B72D99"/>
    <w:rsid w:val="00B749D6"/>
    <w:rsid w:val="00B7581C"/>
    <w:rsid w:val="00B765FD"/>
    <w:rsid w:val="00B76CBF"/>
    <w:rsid w:val="00B76E43"/>
    <w:rsid w:val="00B77E02"/>
    <w:rsid w:val="00B80D9B"/>
    <w:rsid w:val="00B8173F"/>
    <w:rsid w:val="00B81F4E"/>
    <w:rsid w:val="00B83161"/>
    <w:rsid w:val="00B83E24"/>
    <w:rsid w:val="00B843D8"/>
    <w:rsid w:val="00B848BA"/>
    <w:rsid w:val="00B84A17"/>
    <w:rsid w:val="00B84CF2"/>
    <w:rsid w:val="00B85236"/>
    <w:rsid w:val="00B85FBC"/>
    <w:rsid w:val="00B85FFF"/>
    <w:rsid w:val="00B862AB"/>
    <w:rsid w:val="00B87321"/>
    <w:rsid w:val="00B8739C"/>
    <w:rsid w:val="00B87725"/>
    <w:rsid w:val="00B87E28"/>
    <w:rsid w:val="00B9060A"/>
    <w:rsid w:val="00B909C9"/>
    <w:rsid w:val="00B90E90"/>
    <w:rsid w:val="00B90EA7"/>
    <w:rsid w:val="00B91020"/>
    <w:rsid w:val="00B9117C"/>
    <w:rsid w:val="00B945BD"/>
    <w:rsid w:val="00B947E9"/>
    <w:rsid w:val="00B94A2D"/>
    <w:rsid w:val="00B94F8E"/>
    <w:rsid w:val="00B95217"/>
    <w:rsid w:val="00B95283"/>
    <w:rsid w:val="00B95701"/>
    <w:rsid w:val="00B9776C"/>
    <w:rsid w:val="00B97AE9"/>
    <w:rsid w:val="00BA142F"/>
    <w:rsid w:val="00BA1702"/>
    <w:rsid w:val="00BA1825"/>
    <w:rsid w:val="00BA381D"/>
    <w:rsid w:val="00BA3C9E"/>
    <w:rsid w:val="00BA423B"/>
    <w:rsid w:val="00BA4707"/>
    <w:rsid w:val="00BA4923"/>
    <w:rsid w:val="00BA4C08"/>
    <w:rsid w:val="00BA4D81"/>
    <w:rsid w:val="00BA538D"/>
    <w:rsid w:val="00BA5729"/>
    <w:rsid w:val="00BA5B5A"/>
    <w:rsid w:val="00BA5D67"/>
    <w:rsid w:val="00BA655E"/>
    <w:rsid w:val="00BA66D3"/>
    <w:rsid w:val="00BA6855"/>
    <w:rsid w:val="00BA68FE"/>
    <w:rsid w:val="00BA7141"/>
    <w:rsid w:val="00BA7434"/>
    <w:rsid w:val="00BB0A25"/>
    <w:rsid w:val="00BB0A6C"/>
    <w:rsid w:val="00BB1619"/>
    <w:rsid w:val="00BB1ACF"/>
    <w:rsid w:val="00BB284F"/>
    <w:rsid w:val="00BB28E6"/>
    <w:rsid w:val="00BB2D19"/>
    <w:rsid w:val="00BB2E84"/>
    <w:rsid w:val="00BB2EBC"/>
    <w:rsid w:val="00BB2F7F"/>
    <w:rsid w:val="00BB3BE6"/>
    <w:rsid w:val="00BB3CA1"/>
    <w:rsid w:val="00BB3CF7"/>
    <w:rsid w:val="00BB3F24"/>
    <w:rsid w:val="00BB4777"/>
    <w:rsid w:val="00BB581C"/>
    <w:rsid w:val="00BB63F3"/>
    <w:rsid w:val="00BB7687"/>
    <w:rsid w:val="00BB7A12"/>
    <w:rsid w:val="00BC04C9"/>
    <w:rsid w:val="00BC08AE"/>
    <w:rsid w:val="00BC0A9B"/>
    <w:rsid w:val="00BC15AE"/>
    <w:rsid w:val="00BC1F55"/>
    <w:rsid w:val="00BC2330"/>
    <w:rsid w:val="00BC2E39"/>
    <w:rsid w:val="00BC3444"/>
    <w:rsid w:val="00BC3459"/>
    <w:rsid w:val="00BC3BE0"/>
    <w:rsid w:val="00BC4479"/>
    <w:rsid w:val="00BC4BEF"/>
    <w:rsid w:val="00BC55EB"/>
    <w:rsid w:val="00BC5CCE"/>
    <w:rsid w:val="00BC6831"/>
    <w:rsid w:val="00BC6932"/>
    <w:rsid w:val="00BC717B"/>
    <w:rsid w:val="00BC7601"/>
    <w:rsid w:val="00BC7635"/>
    <w:rsid w:val="00BC770C"/>
    <w:rsid w:val="00BC7722"/>
    <w:rsid w:val="00BD0DC6"/>
    <w:rsid w:val="00BD16F9"/>
    <w:rsid w:val="00BD1A08"/>
    <w:rsid w:val="00BD209E"/>
    <w:rsid w:val="00BD2E9D"/>
    <w:rsid w:val="00BD30D3"/>
    <w:rsid w:val="00BD3A9E"/>
    <w:rsid w:val="00BD4365"/>
    <w:rsid w:val="00BD50BA"/>
    <w:rsid w:val="00BD52B5"/>
    <w:rsid w:val="00BD5622"/>
    <w:rsid w:val="00BD5EE5"/>
    <w:rsid w:val="00BD63DD"/>
    <w:rsid w:val="00BD69C9"/>
    <w:rsid w:val="00BD69E9"/>
    <w:rsid w:val="00BD7B69"/>
    <w:rsid w:val="00BE116B"/>
    <w:rsid w:val="00BE1BCD"/>
    <w:rsid w:val="00BE2603"/>
    <w:rsid w:val="00BE27F6"/>
    <w:rsid w:val="00BE2908"/>
    <w:rsid w:val="00BE3C4C"/>
    <w:rsid w:val="00BE4998"/>
    <w:rsid w:val="00BE4C6A"/>
    <w:rsid w:val="00BE4D7B"/>
    <w:rsid w:val="00BE5070"/>
    <w:rsid w:val="00BE5266"/>
    <w:rsid w:val="00BE584D"/>
    <w:rsid w:val="00BE5B30"/>
    <w:rsid w:val="00BE5D78"/>
    <w:rsid w:val="00BE5FB4"/>
    <w:rsid w:val="00BE624D"/>
    <w:rsid w:val="00BE709B"/>
    <w:rsid w:val="00BE7248"/>
    <w:rsid w:val="00BE7E03"/>
    <w:rsid w:val="00BE7EE7"/>
    <w:rsid w:val="00BF0199"/>
    <w:rsid w:val="00BF044E"/>
    <w:rsid w:val="00BF0916"/>
    <w:rsid w:val="00BF1317"/>
    <w:rsid w:val="00BF1A62"/>
    <w:rsid w:val="00BF1E65"/>
    <w:rsid w:val="00BF2626"/>
    <w:rsid w:val="00BF2B33"/>
    <w:rsid w:val="00BF2DB6"/>
    <w:rsid w:val="00BF3510"/>
    <w:rsid w:val="00BF368D"/>
    <w:rsid w:val="00BF4B64"/>
    <w:rsid w:val="00BF5142"/>
    <w:rsid w:val="00BF5F3E"/>
    <w:rsid w:val="00BF7155"/>
    <w:rsid w:val="00BF79C5"/>
    <w:rsid w:val="00BF7E45"/>
    <w:rsid w:val="00C005C2"/>
    <w:rsid w:val="00C00D34"/>
    <w:rsid w:val="00C01029"/>
    <w:rsid w:val="00C01602"/>
    <w:rsid w:val="00C01A07"/>
    <w:rsid w:val="00C02A73"/>
    <w:rsid w:val="00C02BA3"/>
    <w:rsid w:val="00C02D02"/>
    <w:rsid w:val="00C02FFF"/>
    <w:rsid w:val="00C03084"/>
    <w:rsid w:val="00C03438"/>
    <w:rsid w:val="00C03A7B"/>
    <w:rsid w:val="00C03FDF"/>
    <w:rsid w:val="00C04A10"/>
    <w:rsid w:val="00C04C28"/>
    <w:rsid w:val="00C052C6"/>
    <w:rsid w:val="00C052DF"/>
    <w:rsid w:val="00C057B5"/>
    <w:rsid w:val="00C05CAD"/>
    <w:rsid w:val="00C06489"/>
    <w:rsid w:val="00C0703A"/>
    <w:rsid w:val="00C07237"/>
    <w:rsid w:val="00C073F3"/>
    <w:rsid w:val="00C100B5"/>
    <w:rsid w:val="00C10ADF"/>
    <w:rsid w:val="00C1133A"/>
    <w:rsid w:val="00C11E0B"/>
    <w:rsid w:val="00C11EFF"/>
    <w:rsid w:val="00C11FE9"/>
    <w:rsid w:val="00C120F5"/>
    <w:rsid w:val="00C1213B"/>
    <w:rsid w:val="00C1245E"/>
    <w:rsid w:val="00C12D0D"/>
    <w:rsid w:val="00C13715"/>
    <w:rsid w:val="00C13805"/>
    <w:rsid w:val="00C13A73"/>
    <w:rsid w:val="00C13E4A"/>
    <w:rsid w:val="00C144B6"/>
    <w:rsid w:val="00C14F8F"/>
    <w:rsid w:val="00C14FAE"/>
    <w:rsid w:val="00C15A53"/>
    <w:rsid w:val="00C15BF7"/>
    <w:rsid w:val="00C1653F"/>
    <w:rsid w:val="00C16620"/>
    <w:rsid w:val="00C16E57"/>
    <w:rsid w:val="00C177D9"/>
    <w:rsid w:val="00C1790D"/>
    <w:rsid w:val="00C17A00"/>
    <w:rsid w:val="00C17C5B"/>
    <w:rsid w:val="00C200A2"/>
    <w:rsid w:val="00C2024C"/>
    <w:rsid w:val="00C20EA8"/>
    <w:rsid w:val="00C2153F"/>
    <w:rsid w:val="00C21C18"/>
    <w:rsid w:val="00C21C89"/>
    <w:rsid w:val="00C22056"/>
    <w:rsid w:val="00C22A6E"/>
    <w:rsid w:val="00C22CCB"/>
    <w:rsid w:val="00C230DC"/>
    <w:rsid w:val="00C23BFF"/>
    <w:rsid w:val="00C24A7D"/>
    <w:rsid w:val="00C24E40"/>
    <w:rsid w:val="00C2534C"/>
    <w:rsid w:val="00C25418"/>
    <w:rsid w:val="00C25CD5"/>
    <w:rsid w:val="00C26325"/>
    <w:rsid w:val="00C266E8"/>
    <w:rsid w:val="00C268B4"/>
    <w:rsid w:val="00C27B6F"/>
    <w:rsid w:val="00C27D8E"/>
    <w:rsid w:val="00C313F9"/>
    <w:rsid w:val="00C31ABC"/>
    <w:rsid w:val="00C31CE0"/>
    <w:rsid w:val="00C32944"/>
    <w:rsid w:val="00C33ABE"/>
    <w:rsid w:val="00C34156"/>
    <w:rsid w:val="00C34BA6"/>
    <w:rsid w:val="00C35497"/>
    <w:rsid w:val="00C35BAC"/>
    <w:rsid w:val="00C36C0F"/>
    <w:rsid w:val="00C36C2B"/>
    <w:rsid w:val="00C36EEA"/>
    <w:rsid w:val="00C37097"/>
    <w:rsid w:val="00C375A0"/>
    <w:rsid w:val="00C37E54"/>
    <w:rsid w:val="00C40A7C"/>
    <w:rsid w:val="00C41A31"/>
    <w:rsid w:val="00C4300B"/>
    <w:rsid w:val="00C43C7A"/>
    <w:rsid w:val="00C4423E"/>
    <w:rsid w:val="00C44411"/>
    <w:rsid w:val="00C44834"/>
    <w:rsid w:val="00C44D4C"/>
    <w:rsid w:val="00C44DA3"/>
    <w:rsid w:val="00C4549A"/>
    <w:rsid w:val="00C45527"/>
    <w:rsid w:val="00C45AF1"/>
    <w:rsid w:val="00C45F39"/>
    <w:rsid w:val="00C464AC"/>
    <w:rsid w:val="00C46C1C"/>
    <w:rsid w:val="00C46CAD"/>
    <w:rsid w:val="00C46DDE"/>
    <w:rsid w:val="00C47550"/>
    <w:rsid w:val="00C47D1F"/>
    <w:rsid w:val="00C51A57"/>
    <w:rsid w:val="00C51D29"/>
    <w:rsid w:val="00C52150"/>
    <w:rsid w:val="00C522C4"/>
    <w:rsid w:val="00C537D1"/>
    <w:rsid w:val="00C53964"/>
    <w:rsid w:val="00C53C45"/>
    <w:rsid w:val="00C53EA8"/>
    <w:rsid w:val="00C54883"/>
    <w:rsid w:val="00C54B20"/>
    <w:rsid w:val="00C54BAE"/>
    <w:rsid w:val="00C55054"/>
    <w:rsid w:val="00C5552D"/>
    <w:rsid w:val="00C55AEF"/>
    <w:rsid w:val="00C56069"/>
    <w:rsid w:val="00C56229"/>
    <w:rsid w:val="00C56391"/>
    <w:rsid w:val="00C566CE"/>
    <w:rsid w:val="00C575A6"/>
    <w:rsid w:val="00C576F4"/>
    <w:rsid w:val="00C60735"/>
    <w:rsid w:val="00C60CE5"/>
    <w:rsid w:val="00C61ACA"/>
    <w:rsid w:val="00C61CE8"/>
    <w:rsid w:val="00C62622"/>
    <w:rsid w:val="00C626EC"/>
    <w:rsid w:val="00C62B76"/>
    <w:rsid w:val="00C6440B"/>
    <w:rsid w:val="00C64CA6"/>
    <w:rsid w:val="00C64FD7"/>
    <w:rsid w:val="00C6596D"/>
    <w:rsid w:val="00C65A54"/>
    <w:rsid w:val="00C65FC2"/>
    <w:rsid w:val="00C66F1B"/>
    <w:rsid w:val="00C67249"/>
    <w:rsid w:val="00C67A84"/>
    <w:rsid w:val="00C67C5B"/>
    <w:rsid w:val="00C714F6"/>
    <w:rsid w:val="00C71604"/>
    <w:rsid w:val="00C719EC"/>
    <w:rsid w:val="00C71C76"/>
    <w:rsid w:val="00C728F9"/>
    <w:rsid w:val="00C7291A"/>
    <w:rsid w:val="00C7407D"/>
    <w:rsid w:val="00C7424B"/>
    <w:rsid w:val="00C746D3"/>
    <w:rsid w:val="00C74856"/>
    <w:rsid w:val="00C74898"/>
    <w:rsid w:val="00C74AE4"/>
    <w:rsid w:val="00C74C07"/>
    <w:rsid w:val="00C74DA2"/>
    <w:rsid w:val="00C752F1"/>
    <w:rsid w:val="00C75766"/>
    <w:rsid w:val="00C75BED"/>
    <w:rsid w:val="00C761EF"/>
    <w:rsid w:val="00C764D8"/>
    <w:rsid w:val="00C7680E"/>
    <w:rsid w:val="00C77AD3"/>
    <w:rsid w:val="00C77B3E"/>
    <w:rsid w:val="00C80267"/>
    <w:rsid w:val="00C80793"/>
    <w:rsid w:val="00C80A1F"/>
    <w:rsid w:val="00C80ACA"/>
    <w:rsid w:val="00C80F79"/>
    <w:rsid w:val="00C821B4"/>
    <w:rsid w:val="00C82DD2"/>
    <w:rsid w:val="00C836F4"/>
    <w:rsid w:val="00C84029"/>
    <w:rsid w:val="00C846A2"/>
    <w:rsid w:val="00C847B9"/>
    <w:rsid w:val="00C84814"/>
    <w:rsid w:val="00C850D1"/>
    <w:rsid w:val="00C851CE"/>
    <w:rsid w:val="00C86489"/>
    <w:rsid w:val="00C872A1"/>
    <w:rsid w:val="00C872E3"/>
    <w:rsid w:val="00C9003D"/>
    <w:rsid w:val="00C906A4"/>
    <w:rsid w:val="00C90F48"/>
    <w:rsid w:val="00C91BB6"/>
    <w:rsid w:val="00C91BCF"/>
    <w:rsid w:val="00C91F5F"/>
    <w:rsid w:val="00C9237F"/>
    <w:rsid w:val="00C92D4A"/>
    <w:rsid w:val="00C94512"/>
    <w:rsid w:val="00C9480D"/>
    <w:rsid w:val="00C94B34"/>
    <w:rsid w:val="00C95805"/>
    <w:rsid w:val="00C95CFE"/>
    <w:rsid w:val="00C95E9A"/>
    <w:rsid w:val="00C963E7"/>
    <w:rsid w:val="00C9675F"/>
    <w:rsid w:val="00C96FC0"/>
    <w:rsid w:val="00C977CA"/>
    <w:rsid w:val="00C97AD1"/>
    <w:rsid w:val="00C97DBF"/>
    <w:rsid w:val="00C97F25"/>
    <w:rsid w:val="00CA0553"/>
    <w:rsid w:val="00CA05F6"/>
    <w:rsid w:val="00CA0BEE"/>
    <w:rsid w:val="00CA190E"/>
    <w:rsid w:val="00CA196F"/>
    <w:rsid w:val="00CA2A0B"/>
    <w:rsid w:val="00CA3193"/>
    <w:rsid w:val="00CA3CD2"/>
    <w:rsid w:val="00CA461D"/>
    <w:rsid w:val="00CA4B17"/>
    <w:rsid w:val="00CA6364"/>
    <w:rsid w:val="00CA7445"/>
    <w:rsid w:val="00CA7553"/>
    <w:rsid w:val="00CA7E3B"/>
    <w:rsid w:val="00CB016B"/>
    <w:rsid w:val="00CB020F"/>
    <w:rsid w:val="00CB06CD"/>
    <w:rsid w:val="00CB0896"/>
    <w:rsid w:val="00CB0C65"/>
    <w:rsid w:val="00CB0DFA"/>
    <w:rsid w:val="00CB1B09"/>
    <w:rsid w:val="00CB1E53"/>
    <w:rsid w:val="00CB2BCC"/>
    <w:rsid w:val="00CB2C88"/>
    <w:rsid w:val="00CB3BB0"/>
    <w:rsid w:val="00CB4395"/>
    <w:rsid w:val="00CB4CAB"/>
    <w:rsid w:val="00CB5568"/>
    <w:rsid w:val="00CB5C48"/>
    <w:rsid w:val="00CB61FA"/>
    <w:rsid w:val="00CB6254"/>
    <w:rsid w:val="00CB688E"/>
    <w:rsid w:val="00CB703B"/>
    <w:rsid w:val="00CB7AF9"/>
    <w:rsid w:val="00CC1330"/>
    <w:rsid w:val="00CC179C"/>
    <w:rsid w:val="00CC1A76"/>
    <w:rsid w:val="00CC1B60"/>
    <w:rsid w:val="00CC2D82"/>
    <w:rsid w:val="00CC3A5B"/>
    <w:rsid w:val="00CC3B10"/>
    <w:rsid w:val="00CC4003"/>
    <w:rsid w:val="00CC47C4"/>
    <w:rsid w:val="00CC4D77"/>
    <w:rsid w:val="00CC5C97"/>
    <w:rsid w:val="00CC62EB"/>
    <w:rsid w:val="00CC7A79"/>
    <w:rsid w:val="00CC7C0B"/>
    <w:rsid w:val="00CC7DC2"/>
    <w:rsid w:val="00CD011D"/>
    <w:rsid w:val="00CD02EA"/>
    <w:rsid w:val="00CD04A9"/>
    <w:rsid w:val="00CD0F11"/>
    <w:rsid w:val="00CD184C"/>
    <w:rsid w:val="00CD32B3"/>
    <w:rsid w:val="00CD36BD"/>
    <w:rsid w:val="00CD3B35"/>
    <w:rsid w:val="00CD3E1C"/>
    <w:rsid w:val="00CD45B6"/>
    <w:rsid w:val="00CD4817"/>
    <w:rsid w:val="00CD4965"/>
    <w:rsid w:val="00CD55E4"/>
    <w:rsid w:val="00CD581B"/>
    <w:rsid w:val="00CD5DF3"/>
    <w:rsid w:val="00CD6D22"/>
    <w:rsid w:val="00CD6FDB"/>
    <w:rsid w:val="00CD70ED"/>
    <w:rsid w:val="00CD714C"/>
    <w:rsid w:val="00CD72ED"/>
    <w:rsid w:val="00CD7758"/>
    <w:rsid w:val="00CE02DB"/>
    <w:rsid w:val="00CE145C"/>
    <w:rsid w:val="00CE2474"/>
    <w:rsid w:val="00CE326F"/>
    <w:rsid w:val="00CE33DB"/>
    <w:rsid w:val="00CE39BA"/>
    <w:rsid w:val="00CE4066"/>
    <w:rsid w:val="00CE446C"/>
    <w:rsid w:val="00CE4BA0"/>
    <w:rsid w:val="00CE4C02"/>
    <w:rsid w:val="00CE4E05"/>
    <w:rsid w:val="00CE545A"/>
    <w:rsid w:val="00CE6176"/>
    <w:rsid w:val="00CE695E"/>
    <w:rsid w:val="00CE7708"/>
    <w:rsid w:val="00CE7DCC"/>
    <w:rsid w:val="00CE7E1E"/>
    <w:rsid w:val="00CF072F"/>
    <w:rsid w:val="00CF1893"/>
    <w:rsid w:val="00CF198C"/>
    <w:rsid w:val="00CF1998"/>
    <w:rsid w:val="00CF1F2C"/>
    <w:rsid w:val="00CF2624"/>
    <w:rsid w:val="00CF37BD"/>
    <w:rsid w:val="00CF3CE3"/>
    <w:rsid w:val="00CF47EC"/>
    <w:rsid w:val="00CF4B7E"/>
    <w:rsid w:val="00CF50B7"/>
    <w:rsid w:val="00CF5B86"/>
    <w:rsid w:val="00CF5E11"/>
    <w:rsid w:val="00CF6818"/>
    <w:rsid w:val="00CF6A00"/>
    <w:rsid w:val="00CF6C91"/>
    <w:rsid w:val="00CF7BC8"/>
    <w:rsid w:val="00CF7E46"/>
    <w:rsid w:val="00D00795"/>
    <w:rsid w:val="00D00E9C"/>
    <w:rsid w:val="00D01893"/>
    <w:rsid w:val="00D01AF2"/>
    <w:rsid w:val="00D030F7"/>
    <w:rsid w:val="00D0541E"/>
    <w:rsid w:val="00D06165"/>
    <w:rsid w:val="00D06598"/>
    <w:rsid w:val="00D06CB7"/>
    <w:rsid w:val="00D079A1"/>
    <w:rsid w:val="00D07C4D"/>
    <w:rsid w:val="00D07D96"/>
    <w:rsid w:val="00D07F3A"/>
    <w:rsid w:val="00D10430"/>
    <w:rsid w:val="00D106D6"/>
    <w:rsid w:val="00D10C18"/>
    <w:rsid w:val="00D1178B"/>
    <w:rsid w:val="00D117E7"/>
    <w:rsid w:val="00D12140"/>
    <w:rsid w:val="00D1237D"/>
    <w:rsid w:val="00D12885"/>
    <w:rsid w:val="00D12B9D"/>
    <w:rsid w:val="00D13C8D"/>
    <w:rsid w:val="00D1499D"/>
    <w:rsid w:val="00D14D61"/>
    <w:rsid w:val="00D14E83"/>
    <w:rsid w:val="00D1564F"/>
    <w:rsid w:val="00D160E3"/>
    <w:rsid w:val="00D164AE"/>
    <w:rsid w:val="00D17825"/>
    <w:rsid w:val="00D178E2"/>
    <w:rsid w:val="00D1792C"/>
    <w:rsid w:val="00D200C4"/>
    <w:rsid w:val="00D207B7"/>
    <w:rsid w:val="00D21038"/>
    <w:rsid w:val="00D21283"/>
    <w:rsid w:val="00D21754"/>
    <w:rsid w:val="00D23375"/>
    <w:rsid w:val="00D23DAE"/>
    <w:rsid w:val="00D240FA"/>
    <w:rsid w:val="00D242F7"/>
    <w:rsid w:val="00D24947"/>
    <w:rsid w:val="00D24B4E"/>
    <w:rsid w:val="00D25DE9"/>
    <w:rsid w:val="00D277D7"/>
    <w:rsid w:val="00D302D7"/>
    <w:rsid w:val="00D30749"/>
    <w:rsid w:val="00D309E8"/>
    <w:rsid w:val="00D30F68"/>
    <w:rsid w:val="00D33647"/>
    <w:rsid w:val="00D33790"/>
    <w:rsid w:val="00D345FA"/>
    <w:rsid w:val="00D3474E"/>
    <w:rsid w:val="00D35C36"/>
    <w:rsid w:val="00D35E49"/>
    <w:rsid w:val="00D36570"/>
    <w:rsid w:val="00D368F7"/>
    <w:rsid w:val="00D36A23"/>
    <w:rsid w:val="00D37C8F"/>
    <w:rsid w:val="00D37E08"/>
    <w:rsid w:val="00D410E9"/>
    <w:rsid w:val="00D41583"/>
    <w:rsid w:val="00D4262E"/>
    <w:rsid w:val="00D42AD7"/>
    <w:rsid w:val="00D43E66"/>
    <w:rsid w:val="00D44076"/>
    <w:rsid w:val="00D44081"/>
    <w:rsid w:val="00D453E6"/>
    <w:rsid w:val="00D4626F"/>
    <w:rsid w:val="00D464C0"/>
    <w:rsid w:val="00D46CDF"/>
    <w:rsid w:val="00D46FAA"/>
    <w:rsid w:val="00D47F9E"/>
    <w:rsid w:val="00D501BA"/>
    <w:rsid w:val="00D502AC"/>
    <w:rsid w:val="00D50D09"/>
    <w:rsid w:val="00D51392"/>
    <w:rsid w:val="00D5141A"/>
    <w:rsid w:val="00D515CB"/>
    <w:rsid w:val="00D51899"/>
    <w:rsid w:val="00D53084"/>
    <w:rsid w:val="00D535CE"/>
    <w:rsid w:val="00D53A99"/>
    <w:rsid w:val="00D53F02"/>
    <w:rsid w:val="00D541B3"/>
    <w:rsid w:val="00D541FE"/>
    <w:rsid w:val="00D547A2"/>
    <w:rsid w:val="00D55EA1"/>
    <w:rsid w:val="00D568C0"/>
    <w:rsid w:val="00D56B4C"/>
    <w:rsid w:val="00D57560"/>
    <w:rsid w:val="00D57EEE"/>
    <w:rsid w:val="00D60E23"/>
    <w:rsid w:val="00D622D9"/>
    <w:rsid w:val="00D62379"/>
    <w:rsid w:val="00D63050"/>
    <w:rsid w:val="00D63275"/>
    <w:rsid w:val="00D63582"/>
    <w:rsid w:val="00D63BC1"/>
    <w:rsid w:val="00D63C2D"/>
    <w:rsid w:val="00D63E09"/>
    <w:rsid w:val="00D6491F"/>
    <w:rsid w:val="00D64CB4"/>
    <w:rsid w:val="00D65824"/>
    <w:rsid w:val="00D6685B"/>
    <w:rsid w:val="00D6734B"/>
    <w:rsid w:val="00D67FC2"/>
    <w:rsid w:val="00D709AA"/>
    <w:rsid w:val="00D70D1C"/>
    <w:rsid w:val="00D71538"/>
    <w:rsid w:val="00D719D2"/>
    <w:rsid w:val="00D71A59"/>
    <w:rsid w:val="00D71D9F"/>
    <w:rsid w:val="00D72212"/>
    <w:rsid w:val="00D72BE6"/>
    <w:rsid w:val="00D72E25"/>
    <w:rsid w:val="00D7392F"/>
    <w:rsid w:val="00D74D6C"/>
    <w:rsid w:val="00D76274"/>
    <w:rsid w:val="00D766FC"/>
    <w:rsid w:val="00D7697A"/>
    <w:rsid w:val="00D76B6A"/>
    <w:rsid w:val="00D76F35"/>
    <w:rsid w:val="00D77535"/>
    <w:rsid w:val="00D80109"/>
    <w:rsid w:val="00D81899"/>
    <w:rsid w:val="00D82DF5"/>
    <w:rsid w:val="00D83495"/>
    <w:rsid w:val="00D841A9"/>
    <w:rsid w:val="00D84FB3"/>
    <w:rsid w:val="00D864C0"/>
    <w:rsid w:val="00D86751"/>
    <w:rsid w:val="00D86CFF"/>
    <w:rsid w:val="00D8759E"/>
    <w:rsid w:val="00D875A1"/>
    <w:rsid w:val="00D87699"/>
    <w:rsid w:val="00D9018D"/>
    <w:rsid w:val="00D90FA5"/>
    <w:rsid w:val="00D9138D"/>
    <w:rsid w:val="00D91975"/>
    <w:rsid w:val="00D919FD"/>
    <w:rsid w:val="00D91AD9"/>
    <w:rsid w:val="00D91BCF"/>
    <w:rsid w:val="00D91F6D"/>
    <w:rsid w:val="00D920CE"/>
    <w:rsid w:val="00D92FE6"/>
    <w:rsid w:val="00D94275"/>
    <w:rsid w:val="00D94FC5"/>
    <w:rsid w:val="00D9656E"/>
    <w:rsid w:val="00D96C07"/>
    <w:rsid w:val="00D97447"/>
    <w:rsid w:val="00D9771F"/>
    <w:rsid w:val="00D97AC0"/>
    <w:rsid w:val="00DA029B"/>
    <w:rsid w:val="00DA0420"/>
    <w:rsid w:val="00DA0AD6"/>
    <w:rsid w:val="00DA1133"/>
    <w:rsid w:val="00DA12C4"/>
    <w:rsid w:val="00DA2B8A"/>
    <w:rsid w:val="00DA2CAA"/>
    <w:rsid w:val="00DA33EB"/>
    <w:rsid w:val="00DA3BE0"/>
    <w:rsid w:val="00DA4DD1"/>
    <w:rsid w:val="00DA6089"/>
    <w:rsid w:val="00DA618E"/>
    <w:rsid w:val="00DA65F7"/>
    <w:rsid w:val="00DA6BEB"/>
    <w:rsid w:val="00DA6DF4"/>
    <w:rsid w:val="00DA71E9"/>
    <w:rsid w:val="00DA71F4"/>
    <w:rsid w:val="00DA77A5"/>
    <w:rsid w:val="00DB0525"/>
    <w:rsid w:val="00DB084F"/>
    <w:rsid w:val="00DB1B70"/>
    <w:rsid w:val="00DB1DC5"/>
    <w:rsid w:val="00DB1E9D"/>
    <w:rsid w:val="00DB1F6D"/>
    <w:rsid w:val="00DB2645"/>
    <w:rsid w:val="00DB2B51"/>
    <w:rsid w:val="00DB30D0"/>
    <w:rsid w:val="00DB3253"/>
    <w:rsid w:val="00DB32E5"/>
    <w:rsid w:val="00DB37E9"/>
    <w:rsid w:val="00DB38F6"/>
    <w:rsid w:val="00DB41A2"/>
    <w:rsid w:val="00DB435D"/>
    <w:rsid w:val="00DB4D50"/>
    <w:rsid w:val="00DB543E"/>
    <w:rsid w:val="00DB6476"/>
    <w:rsid w:val="00DB6D02"/>
    <w:rsid w:val="00DB70E1"/>
    <w:rsid w:val="00DB7796"/>
    <w:rsid w:val="00DB77DB"/>
    <w:rsid w:val="00DB7A9B"/>
    <w:rsid w:val="00DB7C19"/>
    <w:rsid w:val="00DC092F"/>
    <w:rsid w:val="00DC0A4C"/>
    <w:rsid w:val="00DC1ED8"/>
    <w:rsid w:val="00DC28BF"/>
    <w:rsid w:val="00DC2CD5"/>
    <w:rsid w:val="00DC30CA"/>
    <w:rsid w:val="00DC348A"/>
    <w:rsid w:val="00DC3584"/>
    <w:rsid w:val="00DC40FA"/>
    <w:rsid w:val="00DC4376"/>
    <w:rsid w:val="00DC4C28"/>
    <w:rsid w:val="00DC6728"/>
    <w:rsid w:val="00DC6C10"/>
    <w:rsid w:val="00DC6E9E"/>
    <w:rsid w:val="00DC74FF"/>
    <w:rsid w:val="00DC7D33"/>
    <w:rsid w:val="00DD0176"/>
    <w:rsid w:val="00DD0388"/>
    <w:rsid w:val="00DD0BA1"/>
    <w:rsid w:val="00DD14CE"/>
    <w:rsid w:val="00DD1B48"/>
    <w:rsid w:val="00DD1B9D"/>
    <w:rsid w:val="00DD1CD0"/>
    <w:rsid w:val="00DD205E"/>
    <w:rsid w:val="00DD233E"/>
    <w:rsid w:val="00DD2BFE"/>
    <w:rsid w:val="00DD2CB3"/>
    <w:rsid w:val="00DD2D4C"/>
    <w:rsid w:val="00DD2E8E"/>
    <w:rsid w:val="00DD2F45"/>
    <w:rsid w:val="00DD3310"/>
    <w:rsid w:val="00DD3584"/>
    <w:rsid w:val="00DD39B7"/>
    <w:rsid w:val="00DD3C93"/>
    <w:rsid w:val="00DD3F77"/>
    <w:rsid w:val="00DD499C"/>
    <w:rsid w:val="00DD5DF9"/>
    <w:rsid w:val="00DD6897"/>
    <w:rsid w:val="00DD6F19"/>
    <w:rsid w:val="00DD6FE5"/>
    <w:rsid w:val="00DD71CD"/>
    <w:rsid w:val="00DD7439"/>
    <w:rsid w:val="00DD7E06"/>
    <w:rsid w:val="00DD7F5E"/>
    <w:rsid w:val="00DE0CE6"/>
    <w:rsid w:val="00DE1A14"/>
    <w:rsid w:val="00DE1B59"/>
    <w:rsid w:val="00DE1BE6"/>
    <w:rsid w:val="00DE2560"/>
    <w:rsid w:val="00DE267A"/>
    <w:rsid w:val="00DE2A48"/>
    <w:rsid w:val="00DE2F96"/>
    <w:rsid w:val="00DE33F7"/>
    <w:rsid w:val="00DE354F"/>
    <w:rsid w:val="00DE3C22"/>
    <w:rsid w:val="00DE42A0"/>
    <w:rsid w:val="00DE4ACF"/>
    <w:rsid w:val="00DE4D37"/>
    <w:rsid w:val="00DE5854"/>
    <w:rsid w:val="00DE5AD3"/>
    <w:rsid w:val="00DE658F"/>
    <w:rsid w:val="00DE6FE6"/>
    <w:rsid w:val="00DE7F4A"/>
    <w:rsid w:val="00DF07E7"/>
    <w:rsid w:val="00DF0FB8"/>
    <w:rsid w:val="00DF1012"/>
    <w:rsid w:val="00DF1219"/>
    <w:rsid w:val="00DF2793"/>
    <w:rsid w:val="00DF350F"/>
    <w:rsid w:val="00DF3A66"/>
    <w:rsid w:val="00DF3CC8"/>
    <w:rsid w:val="00DF3CD0"/>
    <w:rsid w:val="00DF4007"/>
    <w:rsid w:val="00DF45B8"/>
    <w:rsid w:val="00DF4D98"/>
    <w:rsid w:val="00DF4F68"/>
    <w:rsid w:val="00DF5DC2"/>
    <w:rsid w:val="00DF5F3C"/>
    <w:rsid w:val="00DF79E6"/>
    <w:rsid w:val="00DF7B35"/>
    <w:rsid w:val="00DF7DD3"/>
    <w:rsid w:val="00DF7E85"/>
    <w:rsid w:val="00E011EA"/>
    <w:rsid w:val="00E0143C"/>
    <w:rsid w:val="00E01841"/>
    <w:rsid w:val="00E01C35"/>
    <w:rsid w:val="00E020D6"/>
    <w:rsid w:val="00E02171"/>
    <w:rsid w:val="00E0227E"/>
    <w:rsid w:val="00E02555"/>
    <w:rsid w:val="00E02556"/>
    <w:rsid w:val="00E02631"/>
    <w:rsid w:val="00E02BB3"/>
    <w:rsid w:val="00E0302C"/>
    <w:rsid w:val="00E044DA"/>
    <w:rsid w:val="00E05C87"/>
    <w:rsid w:val="00E064EA"/>
    <w:rsid w:val="00E07199"/>
    <w:rsid w:val="00E07930"/>
    <w:rsid w:val="00E079F3"/>
    <w:rsid w:val="00E07ECA"/>
    <w:rsid w:val="00E11FE8"/>
    <w:rsid w:val="00E12094"/>
    <w:rsid w:val="00E1231F"/>
    <w:rsid w:val="00E12937"/>
    <w:rsid w:val="00E14753"/>
    <w:rsid w:val="00E14959"/>
    <w:rsid w:val="00E14A87"/>
    <w:rsid w:val="00E14C94"/>
    <w:rsid w:val="00E14DC0"/>
    <w:rsid w:val="00E14EE3"/>
    <w:rsid w:val="00E153DF"/>
    <w:rsid w:val="00E16067"/>
    <w:rsid w:val="00E165EF"/>
    <w:rsid w:val="00E1706A"/>
    <w:rsid w:val="00E17287"/>
    <w:rsid w:val="00E174A0"/>
    <w:rsid w:val="00E178D5"/>
    <w:rsid w:val="00E179D7"/>
    <w:rsid w:val="00E2040C"/>
    <w:rsid w:val="00E20BE2"/>
    <w:rsid w:val="00E216F0"/>
    <w:rsid w:val="00E21870"/>
    <w:rsid w:val="00E21ADB"/>
    <w:rsid w:val="00E23010"/>
    <w:rsid w:val="00E23488"/>
    <w:rsid w:val="00E23CFB"/>
    <w:rsid w:val="00E24B0A"/>
    <w:rsid w:val="00E25636"/>
    <w:rsid w:val="00E2584D"/>
    <w:rsid w:val="00E26D2B"/>
    <w:rsid w:val="00E27353"/>
    <w:rsid w:val="00E2746F"/>
    <w:rsid w:val="00E303C2"/>
    <w:rsid w:val="00E30DA7"/>
    <w:rsid w:val="00E30F09"/>
    <w:rsid w:val="00E31C96"/>
    <w:rsid w:val="00E323FB"/>
    <w:rsid w:val="00E338B7"/>
    <w:rsid w:val="00E348DC"/>
    <w:rsid w:val="00E34940"/>
    <w:rsid w:val="00E34C60"/>
    <w:rsid w:val="00E35583"/>
    <w:rsid w:val="00E35C33"/>
    <w:rsid w:val="00E361A4"/>
    <w:rsid w:val="00E3684B"/>
    <w:rsid w:val="00E3686F"/>
    <w:rsid w:val="00E368C9"/>
    <w:rsid w:val="00E36BD1"/>
    <w:rsid w:val="00E36D40"/>
    <w:rsid w:val="00E374A2"/>
    <w:rsid w:val="00E377AF"/>
    <w:rsid w:val="00E400DC"/>
    <w:rsid w:val="00E40B70"/>
    <w:rsid w:val="00E43B58"/>
    <w:rsid w:val="00E4427D"/>
    <w:rsid w:val="00E450EC"/>
    <w:rsid w:val="00E4536C"/>
    <w:rsid w:val="00E453F4"/>
    <w:rsid w:val="00E462A5"/>
    <w:rsid w:val="00E464E2"/>
    <w:rsid w:val="00E46CFF"/>
    <w:rsid w:val="00E47402"/>
    <w:rsid w:val="00E474D8"/>
    <w:rsid w:val="00E476AC"/>
    <w:rsid w:val="00E51B25"/>
    <w:rsid w:val="00E51DD7"/>
    <w:rsid w:val="00E52310"/>
    <w:rsid w:val="00E52BB5"/>
    <w:rsid w:val="00E533F4"/>
    <w:rsid w:val="00E5389C"/>
    <w:rsid w:val="00E5548D"/>
    <w:rsid w:val="00E56355"/>
    <w:rsid w:val="00E564AC"/>
    <w:rsid w:val="00E56837"/>
    <w:rsid w:val="00E56962"/>
    <w:rsid w:val="00E57D98"/>
    <w:rsid w:val="00E57DD7"/>
    <w:rsid w:val="00E6014F"/>
    <w:rsid w:val="00E6060F"/>
    <w:rsid w:val="00E60AA5"/>
    <w:rsid w:val="00E6160A"/>
    <w:rsid w:val="00E61DA2"/>
    <w:rsid w:val="00E62032"/>
    <w:rsid w:val="00E62279"/>
    <w:rsid w:val="00E63006"/>
    <w:rsid w:val="00E63DF1"/>
    <w:rsid w:val="00E64756"/>
    <w:rsid w:val="00E64FED"/>
    <w:rsid w:val="00E65173"/>
    <w:rsid w:val="00E65A87"/>
    <w:rsid w:val="00E66B03"/>
    <w:rsid w:val="00E671CE"/>
    <w:rsid w:val="00E67C4F"/>
    <w:rsid w:val="00E70A37"/>
    <w:rsid w:val="00E70B60"/>
    <w:rsid w:val="00E71054"/>
    <w:rsid w:val="00E72658"/>
    <w:rsid w:val="00E72E29"/>
    <w:rsid w:val="00E7327A"/>
    <w:rsid w:val="00E7343F"/>
    <w:rsid w:val="00E74A5E"/>
    <w:rsid w:val="00E74BEB"/>
    <w:rsid w:val="00E74DB3"/>
    <w:rsid w:val="00E74EEC"/>
    <w:rsid w:val="00E751E5"/>
    <w:rsid w:val="00E75354"/>
    <w:rsid w:val="00E754EE"/>
    <w:rsid w:val="00E7594D"/>
    <w:rsid w:val="00E76B98"/>
    <w:rsid w:val="00E76C4F"/>
    <w:rsid w:val="00E771B8"/>
    <w:rsid w:val="00E801DD"/>
    <w:rsid w:val="00E80DE1"/>
    <w:rsid w:val="00E81166"/>
    <w:rsid w:val="00E812B5"/>
    <w:rsid w:val="00E81576"/>
    <w:rsid w:val="00E82081"/>
    <w:rsid w:val="00E820B8"/>
    <w:rsid w:val="00E8355A"/>
    <w:rsid w:val="00E85E0D"/>
    <w:rsid w:val="00E86497"/>
    <w:rsid w:val="00E864D4"/>
    <w:rsid w:val="00E86563"/>
    <w:rsid w:val="00E865E4"/>
    <w:rsid w:val="00E86B60"/>
    <w:rsid w:val="00E86E89"/>
    <w:rsid w:val="00E878BB"/>
    <w:rsid w:val="00E9182A"/>
    <w:rsid w:val="00E91F17"/>
    <w:rsid w:val="00E92733"/>
    <w:rsid w:val="00E92980"/>
    <w:rsid w:val="00E933AD"/>
    <w:rsid w:val="00E94334"/>
    <w:rsid w:val="00E943C6"/>
    <w:rsid w:val="00E949F0"/>
    <w:rsid w:val="00E951B4"/>
    <w:rsid w:val="00E9550B"/>
    <w:rsid w:val="00E964BF"/>
    <w:rsid w:val="00E9654C"/>
    <w:rsid w:val="00E96B08"/>
    <w:rsid w:val="00E96C7D"/>
    <w:rsid w:val="00E96D1B"/>
    <w:rsid w:val="00E971CA"/>
    <w:rsid w:val="00E9742D"/>
    <w:rsid w:val="00E977AA"/>
    <w:rsid w:val="00E9797A"/>
    <w:rsid w:val="00E97B70"/>
    <w:rsid w:val="00EA0419"/>
    <w:rsid w:val="00EA04B6"/>
    <w:rsid w:val="00EA0FA5"/>
    <w:rsid w:val="00EA152D"/>
    <w:rsid w:val="00EA1A73"/>
    <w:rsid w:val="00EA218A"/>
    <w:rsid w:val="00EA22A6"/>
    <w:rsid w:val="00EA3446"/>
    <w:rsid w:val="00EA49B4"/>
    <w:rsid w:val="00EA5A5A"/>
    <w:rsid w:val="00EA5E24"/>
    <w:rsid w:val="00EA63C0"/>
    <w:rsid w:val="00EA64BA"/>
    <w:rsid w:val="00EA64DD"/>
    <w:rsid w:val="00EA6A5B"/>
    <w:rsid w:val="00EA7036"/>
    <w:rsid w:val="00EA70E5"/>
    <w:rsid w:val="00EB04FA"/>
    <w:rsid w:val="00EB0D96"/>
    <w:rsid w:val="00EB0DB1"/>
    <w:rsid w:val="00EB10CB"/>
    <w:rsid w:val="00EB150F"/>
    <w:rsid w:val="00EB1A68"/>
    <w:rsid w:val="00EB1C0A"/>
    <w:rsid w:val="00EB1CE8"/>
    <w:rsid w:val="00EB1ECA"/>
    <w:rsid w:val="00EB327E"/>
    <w:rsid w:val="00EB33C7"/>
    <w:rsid w:val="00EB35B3"/>
    <w:rsid w:val="00EB3700"/>
    <w:rsid w:val="00EB3808"/>
    <w:rsid w:val="00EB4B55"/>
    <w:rsid w:val="00EB555E"/>
    <w:rsid w:val="00EB5CD1"/>
    <w:rsid w:val="00EB626A"/>
    <w:rsid w:val="00EB66D9"/>
    <w:rsid w:val="00EB6703"/>
    <w:rsid w:val="00EB6CC0"/>
    <w:rsid w:val="00EB7232"/>
    <w:rsid w:val="00EB74CD"/>
    <w:rsid w:val="00EB775B"/>
    <w:rsid w:val="00EC0093"/>
    <w:rsid w:val="00EC07D3"/>
    <w:rsid w:val="00EC1117"/>
    <w:rsid w:val="00EC14AD"/>
    <w:rsid w:val="00EC1D7E"/>
    <w:rsid w:val="00EC267A"/>
    <w:rsid w:val="00EC343F"/>
    <w:rsid w:val="00EC3480"/>
    <w:rsid w:val="00EC399B"/>
    <w:rsid w:val="00EC39F3"/>
    <w:rsid w:val="00EC3F3A"/>
    <w:rsid w:val="00EC41D9"/>
    <w:rsid w:val="00EC4371"/>
    <w:rsid w:val="00EC4838"/>
    <w:rsid w:val="00EC68B4"/>
    <w:rsid w:val="00EC6961"/>
    <w:rsid w:val="00EC6F71"/>
    <w:rsid w:val="00EC7E4E"/>
    <w:rsid w:val="00EC7EBF"/>
    <w:rsid w:val="00ED09AD"/>
    <w:rsid w:val="00ED0F7A"/>
    <w:rsid w:val="00ED1777"/>
    <w:rsid w:val="00ED27C1"/>
    <w:rsid w:val="00ED4202"/>
    <w:rsid w:val="00ED4CCA"/>
    <w:rsid w:val="00ED515B"/>
    <w:rsid w:val="00ED5240"/>
    <w:rsid w:val="00ED56E7"/>
    <w:rsid w:val="00ED63B1"/>
    <w:rsid w:val="00ED6403"/>
    <w:rsid w:val="00ED76A4"/>
    <w:rsid w:val="00EE018F"/>
    <w:rsid w:val="00EE0297"/>
    <w:rsid w:val="00EE094A"/>
    <w:rsid w:val="00EE0FC6"/>
    <w:rsid w:val="00EE19A0"/>
    <w:rsid w:val="00EE1DC1"/>
    <w:rsid w:val="00EE2256"/>
    <w:rsid w:val="00EE2914"/>
    <w:rsid w:val="00EE370F"/>
    <w:rsid w:val="00EE42CC"/>
    <w:rsid w:val="00EE480B"/>
    <w:rsid w:val="00EE4A0F"/>
    <w:rsid w:val="00EE4DEF"/>
    <w:rsid w:val="00EE538A"/>
    <w:rsid w:val="00EE5633"/>
    <w:rsid w:val="00EE5903"/>
    <w:rsid w:val="00EE6589"/>
    <w:rsid w:val="00EE6C51"/>
    <w:rsid w:val="00EE7ACD"/>
    <w:rsid w:val="00EF049B"/>
    <w:rsid w:val="00EF0E9B"/>
    <w:rsid w:val="00EF12A6"/>
    <w:rsid w:val="00EF2A89"/>
    <w:rsid w:val="00EF338E"/>
    <w:rsid w:val="00EF37F5"/>
    <w:rsid w:val="00EF38F4"/>
    <w:rsid w:val="00EF3B25"/>
    <w:rsid w:val="00EF4604"/>
    <w:rsid w:val="00EF54FF"/>
    <w:rsid w:val="00EF582D"/>
    <w:rsid w:val="00EF71F9"/>
    <w:rsid w:val="00F00509"/>
    <w:rsid w:val="00F00766"/>
    <w:rsid w:val="00F007EF"/>
    <w:rsid w:val="00F010E1"/>
    <w:rsid w:val="00F01323"/>
    <w:rsid w:val="00F03A6D"/>
    <w:rsid w:val="00F03AC4"/>
    <w:rsid w:val="00F03D6D"/>
    <w:rsid w:val="00F03DEC"/>
    <w:rsid w:val="00F04FE8"/>
    <w:rsid w:val="00F051B5"/>
    <w:rsid w:val="00F055FF"/>
    <w:rsid w:val="00F05940"/>
    <w:rsid w:val="00F07C31"/>
    <w:rsid w:val="00F10338"/>
    <w:rsid w:val="00F1083E"/>
    <w:rsid w:val="00F10BF8"/>
    <w:rsid w:val="00F12E6F"/>
    <w:rsid w:val="00F12ECC"/>
    <w:rsid w:val="00F1306A"/>
    <w:rsid w:val="00F13620"/>
    <w:rsid w:val="00F139C1"/>
    <w:rsid w:val="00F14E08"/>
    <w:rsid w:val="00F14F27"/>
    <w:rsid w:val="00F15E2E"/>
    <w:rsid w:val="00F161B4"/>
    <w:rsid w:val="00F164DD"/>
    <w:rsid w:val="00F17297"/>
    <w:rsid w:val="00F174FC"/>
    <w:rsid w:val="00F177F1"/>
    <w:rsid w:val="00F17E18"/>
    <w:rsid w:val="00F206BD"/>
    <w:rsid w:val="00F208FB"/>
    <w:rsid w:val="00F210BB"/>
    <w:rsid w:val="00F23012"/>
    <w:rsid w:val="00F236B1"/>
    <w:rsid w:val="00F2433B"/>
    <w:rsid w:val="00F249B6"/>
    <w:rsid w:val="00F2509C"/>
    <w:rsid w:val="00F2532A"/>
    <w:rsid w:val="00F2540D"/>
    <w:rsid w:val="00F25CF3"/>
    <w:rsid w:val="00F2723B"/>
    <w:rsid w:val="00F2773F"/>
    <w:rsid w:val="00F27A71"/>
    <w:rsid w:val="00F27BCC"/>
    <w:rsid w:val="00F30002"/>
    <w:rsid w:val="00F30EB6"/>
    <w:rsid w:val="00F31021"/>
    <w:rsid w:val="00F31518"/>
    <w:rsid w:val="00F3160C"/>
    <w:rsid w:val="00F31CFC"/>
    <w:rsid w:val="00F3211C"/>
    <w:rsid w:val="00F330FB"/>
    <w:rsid w:val="00F34F07"/>
    <w:rsid w:val="00F3522A"/>
    <w:rsid w:val="00F3634E"/>
    <w:rsid w:val="00F365D1"/>
    <w:rsid w:val="00F36A7B"/>
    <w:rsid w:val="00F36AF4"/>
    <w:rsid w:val="00F3758B"/>
    <w:rsid w:val="00F379A9"/>
    <w:rsid w:val="00F37B92"/>
    <w:rsid w:val="00F37CB7"/>
    <w:rsid w:val="00F37CF4"/>
    <w:rsid w:val="00F41A1C"/>
    <w:rsid w:val="00F41B0B"/>
    <w:rsid w:val="00F41E17"/>
    <w:rsid w:val="00F42F5F"/>
    <w:rsid w:val="00F44676"/>
    <w:rsid w:val="00F44984"/>
    <w:rsid w:val="00F44E47"/>
    <w:rsid w:val="00F45245"/>
    <w:rsid w:val="00F4525E"/>
    <w:rsid w:val="00F453A9"/>
    <w:rsid w:val="00F45993"/>
    <w:rsid w:val="00F47468"/>
    <w:rsid w:val="00F477A6"/>
    <w:rsid w:val="00F47F95"/>
    <w:rsid w:val="00F506C9"/>
    <w:rsid w:val="00F5072B"/>
    <w:rsid w:val="00F508C0"/>
    <w:rsid w:val="00F508CF"/>
    <w:rsid w:val="00F51545"/>
    <w:rsid w:val="00F51B74"/>
    <w:rsid w:val="00F51C1E"/>
    <w:rsid w:val="00F51F5C"/>
    <w:rsid w:val="00F51F6A"/>
    <w:rsid w:val="00F52143"/>
    <w:rsid w:val="00F52B6F"/>
    <w:rsid w:val="00F53493"/>
    <w:rsid w:val="00F53F09"/>
    <w:rsid w:val="00F553AB"/>
    <w:rsid w:val="00F55ED6"/>
    <w:rsid w:val="00F5664C"/>
    <w:rsid w:val="00F56D98"/>
    <w:rsid w:val="00F56F55"/>
    <w:rsid w:val="00F572F2"/>
    <w:rsid w:val="00F57A78"/>
    <w:rsid w:val="00F57C95"/>
    <w:rsid w:val="00F6052F"/>
    <w:rsid w:val="00F605DD"/>
    <w:rsid w:val="00F6086D"/>
    <w:rsid w:val="00F61384"/>
    <w:rsid w:val="00F618AC"/>
    <w:rsid w:val="00F61AC8"/>
    <w:rsid w:val="00F61B91"/>
    <w:rsid w:val="00F62495"/>
    <w:rsid w:val="00F63B7A"/>
    <w:rsid w:val="00F63E28"/>
    <w:rsid w:val="00F64ADA"/>
    <w:rsid w:val="00F64DC1"/>
    <w:rsid w:val="00F65302"/>
    <w:rsid w:val="00F665AD"/>
    <w:rsid w:val="00F67476"/>
    <w:rsid w:val="00F6754B"/>
    <w:rsid w:val="00F67D63"/>
    <w:rsid w:val="00F70CF6"/>
    <w:rsid w:val="00F70D45"/>
    <w:rsid w:val="00F71910"/>
    <w:rsid w:val="00F72FD9"/>
    <w:rsid w:val="00F73B49"/>
    <w:rsid w:val="00F755D9"/>
    <w:rsid w:val="00F76254"/>
    <w:rsid w:val="00F764FB"/>
    <w:rsid w:val="00F76AB8"/>
    <w:rsid w:val="00F77175"/>
    <w:rsid w:val="00F771D3"/>
    <w:rsid w:val="00F77670"/>
    <w:rsid w:val="00F7772F"/>
    <w:rsid w:val="00F808DB"/>
    <w:rsid w:val="00F8141C"/>
    <w:rsid w:val="00F8214F"/>
    <w:rsid w:val="00F82216"/>
    <w:rsid w:val="00F82245"/>
    <w:rsid w:val="00F824C8"/>
    <w:rsid w:val="00F82809"/>
    <w:rsid w:val="00F82CB3"/>
    <w:rsid w:val="00F8474F"/>
    <w:rsid w:val="00F847C8"/>
    <w:rsid w:val="00F84BA5"/>
    <w:rsid w:val="00F85C86"/>
    <w:rsid w:val="00F866B2"/>
    <w:rsid w:val="00F86AAD"/>
    <w:rsid w:val="00F86B02"/>
    <w:rsid w:val="00F874CB"/>
    <w:rsid w:val="00F87A94"/>
    <w:rsid w:val="00F901A3"/>
    <w:rsid w:val="00F90EF6"/>
    <w:rsid w:val="00F918EA"/>
    <w:rsid w:val="00F920E9"/>
    <w:rsid w:val="00F926F0"/>
    <w:rsid w:val="00F9309F"/>
    <w:rsid w:val="00F936A5"/>
    <w:rsid w:val="00F9386F"/>
    <w:rsid w:val="00F9433D"/>
    <w:rsid w:val="00F952CB"/>
    <w:rsid w:val="00F95414"/>
    <w:rsid w:val="00F9598B"/>
    <w:rsid w:val="00F96BBE"/>
    <w:rsid w:val="00F96D50"/>
    <w:rsid w:val="00F97A12"/>
    <w:rsid w:val="00FA0A64"/>
    <w:rsid w:val="00FA0BA9"/>
    <w:rsid w:val="00FA0BB3"/>
    <w:rsid w:val="00FA1155"/>
    <w:rsid w:val="00FA130C"/>
    <w:rsid w:val="00FA1C8F"/>
    <w:rsid w:val="00FA1FFD"/>
    <w:rsid w:val="00FA2558"/>
    <w:rsid w:val="00FA28F3"/>
    <w:rsid w:val="00FA3C91"/>
    <w:rsid w:val="00FA4601"/>
    <w:rsid w:val="00FA465D"/>
    <w:rsid w:val="00FA492F"/>
    <w:rsid w:val="00FA59E0"/>
    <w:rsid w:val="00FA7C53"/>
    <w:rsid w:val="00FA7EBF"/>
    <w:rsid w:val="00FB0268"/>
    <w:rsid w:val="00FB02B2"/>
    <w:rsid w:val="00FB06A7"/>
    <w:rsid w:val="00FB0848"/>
    <w:rsid w:val="00FB1C43"/>
    <w:rsid w:val="00FB26E2"/>
    <w:rsid w:val="00FB3C02"/>
    <w:rsid w:val="00FB43DD"/>
    <w:rsid w:val="00FB5597"/>
    <w:rsid w:val="00FB5962"/>
    <w:rsid w:val="00FC0029"/>
    <w:rsid w:val="00FC0067"/>
    <w:rsid w:val="00FC0953"/>
    <w:rsid w:val="00FC1038"/>
    <w:rsid w:val="00FC2134"/>
    <w:rsid w:val="00FC2633"/>
    <w:rsid w:val="00FC2799"/>
    <w:rsid w:val="00FC31C9"/>
    <w:rsid w:val="00FC3566"/>
    <w:rsid w:val="00FC3735"/>
    <w:rsid w:val="00FC42FB"/>
    <w:rsid w:val="00FC4B9A"/>
    <w:rsid w:val="00FC4CB8"/>
    <w:rsid w:val="00FC5539"/>
    <w:rsid w:val="00FC5C99"/>
    <w:rsid w:val="00FC609C"/>
    <w:rsid w:val="00FC6471"/>
    <w:rsid w:val="00FC67E7"/>
    <w:rsid w:val="00FC7261"/>
    <w:rsid w:val="00FC7677"/>
    <w:rsid w:val="00FC7A91"/>
    <w:rsid w:val="00FC7EF3"/>
    <w:rsid w:val="00FD0217"/>
    <w:rsid w:val="00FD086F"/>
    <w:rsid w:val="00FD1233"/>
    <w:rsid w:val="00FD1724"/>
    <w:rsid w:val="00FD175F"/>
    <w:rsid w:val="00FD1ECC"/>
    <w:rsid w:val="00FD3021"/>
    <w:rsid w:val="00FD370B"/>
    <w:rsid w:val="00FD40A6"/>
    <w:rsid w:val="00FD461A"/>
    <w:rsid w:val="00FD5C3E"/>
    <w:rsid w:val="00FD6A84"/>
    <w:rsid w:val="00FD6DD8"/>
    <w:rsid w:val="00FD6FC2"/>
    <w:rsid w:val="00FD72C6"/>
    <w:rsid w:val="00FD74AC"/>
    <w:rsid w:val="00FD7A4E"/>
    <w:rsid w:val="00FD7D95"/>
    <w:rsid w:val="00FE01A0"/>
    <w:rsid w:val="00FE03E8"/>
    <w:rsid w:val="00FE0998"/>
    <w:rsid w:val="00FE0E25"/>
    <w:rsid w:val="00FE104B"/>
    <w:rsid w:val="00FE1900"/>
    <w:rsid w:val="00FE20F4"/>
    <w:rsid w:val="00FE21F5"/>
    <w:rsid w:val="00FE2599"/>
    <w:rsid w:val="00FE288F"/>
    <w:rsid w:val="00FE2B27"/>
    <w:rsid w:val="00FE385F"/>
    <w:rsid w:val="00FE52CA"/>
    <w:rsid w:val="00FE6155"/>
    <w:rsid w:val="00FE61E5"/>
    <w:rsid w:val="00FE66F3"/>
    <w:rsid w:val="00FE70D7"/>
    <w:rsid w:val="00FE73DA"/>
    <w:rsid w:val="00FE7613"/>
    <w:rsid w:val="00FF009E"/>
    <w:rsid w:val="00FF07E7"/>
    <w:rsid w:val="00FF0BE6"/>
    <w:rsid w:val="00FF0BE7"/>
    <w:rsid w:val="00FF263A"/>
    <w:rsid w:val="00FF2BC4"/>
    <w:rsid w:val="00FF2C3E"/>
    <w:rsid w:val="00FF2E05"/>
    <w:rsid w:val="00FF3737"/>
    <w:rsid w:val="00FF38B7"/>
    <w:rsid w:val="00FF3BD4"/>
    <w:rsid w:val="00FF49AA"/>
    <w:rsid w:val="00FF5AE3"/>
    <w:rsid w:val="00FF5CF1"/>
    <w:rsid w:val="00FF6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0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4D5DA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D8759E"/>
    <w:pPr>
      <w:spacing w:after="0" w:line="240" w:lineRule="auto"/>
    </w:pPr>
    <w:rPr>
      <w:sz w:val="20"/>
      <w:szCs w:val="20"/>
    </w:rPr>
  </w:style>
  <w:style w:type="character" w:customStyle="1" w:styleId="FootnoteTextChar">
    <w:name w:val="Footnote Text Char"/>
    <w:basedOn w:val="DefaultParagraphFont"/>
    <w:link w:val="FootnoteText"/>
    <w:rsid w:val="00D8759E"/>
    <w:rPr>
      <w:sz w:val="20"/>
      <w:szCs w:val="20"/>
    </w:rPr>
  </w:style>
  <w:style w:type="character" w:styleId="FootnoteReference">
    <w:name w:val="footnote reference"/>
    <w:basedOn w:val="DefaultParagraphFont"/>
    <w:unhideWhenUsed/>
    <w:rsid w:val="00D8759E"/>
    <w:rPr>
      <w:vertAlign w:val="superscript"/>
    </w:rPr>
  </w:style>
  <w:style w:type="character" w:customStyle="1" w:styleId="apple-converted-space">
    <w:name w:val="apple-converted-space"/>
    <w:basedOn w:val="DefaultParagraphFont"/>
    <w:rsid w:val="003203D6"/>
  </w:style>
  <w:style w:type="character" w:styleId="Emphasis">
    <w:name w:val="Emphasis"/>
    <w:basedOn w:val="DefaultParagraphFont"/>
    <w:uiPriority w:val="20"/>
    <w:qFormat/>
    <w:rsid w:val="003203D6"/>
    <w:rPr>
      <w:i/>
      <w:iCs/>
    </w:rPr>
  </w:style>
  <w:style w:type="character" w:styleId="Hyperlink">
    <w:name w:val="Hyperlink"/>
    <w:basedOn w:val="DefaultParagraphFont"/>
    <w:unhideWhenUsed/>
    <w:rsid w:val="003203D6"/>
    <w:rPr>
      <w:color w:val="0000FF"/>
      <w:u w:val="single"/>
    </w:rPr>
  </w:style>
  <w:style w:type="paragraph" w:customStyle="1" w:styleId="citationinfo">
    <w:name w:val="citationinfo"/>
    <w:basedOn w:val="Normal"/>
    <w:rsid w:val="00320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itationactions">
    <w:name w:val="citationactions"/>
    <w:basedOn w:val="Normal"/>
    <w:rsid w:val="003203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320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BF0199"/>
  </w:style>
  <w:style w:type="character" w:styleId="CommentReference">
    <w:name w:val="annotation reference"/>
    <w:basedOn w:val="DefaultParagraphFont"/>
    <w:uiPriority w:val="99"/>
    <w:semiHidden/>
    <w:unhideWhenUsed/>
    <w:rsid w:val="007878F8"/>
    <w:rPr>
      <w:sz w:val="16"/>
      <w:szCs w:val="16"/>
    </w:rPr>
  </w:style>
  <w:style w:type="paragraph" w:styleId="CommentText">
    <w:name w:val="annotation text"/>
    <w:basedOn w:val="Normal"/>
    <w:link w:val="CommentTextChar"/>
    <w:uiPriority w:val="99"/>
    <w:unhideWhenUsed/>
    <w:rsid w:val="007878F8"/>
    <w:pPr>
      <w:spacing w:line="240" w:lineRule="auto"/>
    </w:pPr>
    <w:rPr>
      <w:sz w:val="20"/>
      <w:szCs w:val="20"/>
    </w:rPr>
  </w:style>
  <w:style w:type="character" w:customStyle="1" w:styleId="CommentTextChar">
    <w:name w:val="Comment Text Char"/>
    <w:basedOn w:val="DefaultParagraphFont"/>
    <w:link w:val="CommentText"/>
    <w:uiPriority w:val="99"/>
    <w:rsid w:val="007878F8"/>
    <w:rPr>
      <w:sz w:val="20"/>
      <w:szCs w:val="20"/>
    </w:rPr>
  </w:style>
  <w:style w:type="paragraph" w:styleId="CommentSubject">
    <w:name w:val="annotation subject"/>
    <w:basedOn w:val="CommentText"/>
    <w:next w:val="CommentText"/>
    <w:link w:val="CommentSubjectChar"/>
    <w:uiPriority w:val="99"/>
    <w:semiHidden/>
    <w:unhideWhenUsed/>
    <w:rsid w:val="007878F8"/>
    <w:rPr>
      <w:b/>
      <w:bCs/>
    </w:rPr>
  </w:style>
  <w:style w:type="character" w:customStyle="1" w:styleId="CommentSubjectChar">
    <w:name w:val="Comment Subject Char"/>
    <w:basedOn w:val="CommentTextChar"/>
    <w:link w:val="CommentSubject"/>
    <w:uiPriority w:val="99"/>
    <w:semiHidden/>
    <w:rsid w:val="007878F8"/>
    <w:rPr>
      <w:b/>
      <w:bCs/>
      <w:sz w:val="20"/>
      <w:szCs w:val="20"/>
    </w:rPr>
  </w:style>
  <w:style w:type="paragraph" w:styleId="BalloonText">
    <w:name w:val="Balloon Text"/>
    <w:basedOn w:val="Normal"/>
    <w:link w:val="BalloonTextChar"/>
    <w:uiPriority w:val="99"/>
    <w:semiHidden/>
    <w:unhideWhenUsed/>
    <w:rsid w:val="00787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78F8"/>
    <w:rPr>
      <w:rFonts w:ascii="Tahoma" w:hAnsi="Tahoma" w:cs="Tahoma"/>
      <w:sz w:val="16"/>
      <w:szCs w:val="16"/>
    </w:rPr>
  </w:style>
  <w:style w:type="character" w:customStyle="1" w:styleId="hlfld-contribauthor">
    <w:name w:val="hlfld-contribauthor"/>
    <w:basedOn w:val="DefaultParagraphFont"/>
    <w:rsid w:val="00C60CE5"/>
  </w:style>
  <w:style w:type="character" w:customStyle="1" w:styleId="nlmgiven-names">
    <w:name w:val="nlm_given-names"/>
    <w:basedOn w:val="DefaultParagraphFont"/>
    <w:rsid w:val="00C60CE5"/>
  </w:style>
  <w:style w:type="character" w:customStyle="1" w:styleId="nlmyear">
    <w:name w:val="nlm_year"/>
    <w:basedOn w:val="DefaultParagraphFont"/>
    <w:rsid w:val="00C60CE5"/>
  </w:style>
  <w:style w:type="character" w:customStyle="1" w:styleId="nlmpublisher-loc">
    <w:name w:val="nlm_publisher-loc"/>
    <w:basedOn w:val="DefaultParagraphFont"/>
    <w:rsid w:val="00C60CE5"/>
  </w:style>
  <w:style w:type="character" w:customStyle="1" w:styleId="nlmpublisher-name">
    <w:name w:val="nlm_publisher-name"/>
    <w:basedOn w:val="DefaultParagraphFont"/>
    <w:rsid w:val="00C60CE5"/>
  </w:style>
  <w:style w:type="character" w:styleId="FollowedHyperlink">
    <w:name w:val="FollowedHyperlink"/>
    <w:basedOn w:val="DefaultParagraphFont"/>
    <w:uiPriority w:val="99"/>
    <w:semiHidden/>
    <w:unhideWhenUsed/>
    <w:rsid w:val="008F637F"/>
    <w:rPr>
      <w:color w:val="800080" w:themeColor="followedHyperlink"/>
      <w:u w:val="single"/>
    </w:rPr>
  </w:style>
  <w:style w:type="character" w:customStyle="1" w:styleId="byline">
    <w:name w:val="byline"/>
    <w:basedOn w:val="DefaultParagraphFont"/>
    <w:rsid w:val="00202DD4"/>
  </w:style>
  <w:style w:type="character" w:customStyle="1" w:styleId="byline-author">
    <w:name w:val="byline-author"/>
    <w:basedOn w:val="DefaultParagraphFont"/>
    <w:rsid w:val="00202DD4"/>
  </w:style>
  <w:style w:type="character" w:styleId="SubtleReference">
    <w:name w:val="Subtle Reference"/>
    <w:uiPriority w:val="31"/>
    <w:qFormat/>
    <w:rsid w:val="00F82216"/>
    <w:rPr>
      <w:smallCaps/>
      <w:color w:val="C0504D"/>
      <w:u w:val="single"/>
    </w:rPr>
  </w:style>
  <w:style w:type="paragraph" w:styleId="Revision">
    <w:name w:val="Revision"/>
    <w:hidden/>
    <w:uiPriority w:val="99"/>
    <w:semiHidden/>
    <w:rsid w:val="005A3148"/>
    <w:pPr>
      <w:spacing w:after="0" w:line="240" w:lineRule="auto"/>
    </w:pPr>
  </w:style>
  <w:style w:type="character" w:customStyle="1" w:styleId="author">
    <w:name w:val="author"/>
    <w:basedOn w:val="DefaultParagraphFont"/>
    <w:rsid w:val="00296F2F"/>
  </w:style>
  <w:style w:type="character" w:customStyle="1" w:styleId="pubyear">
    <w:name w:val="pubyear"/>
    <w:basedOn w:val="DefaultParagraphFont"/>
    <w:rsid w:val="00296F2F"/>
  </w:style>
  <w:style w:type="character" w:customStyle="1" w:styleId="articletitle">
    <w:name w:val="articletitle"/>
    <w:basedOn w:val="DefaultParagraphFont"/>
    <w:rsid w:val="00296F2F"/>
  </w:style>
  <w:style w:type="character" w:customStyle="1" w:styleId="journaltitle">
    <w:name w:val="journaltitle"/>
    <w:basedOn w:val="DefaultParagraphFont"/>
    <w:rsid w:val="00296F2F"/>
  </w:style>
  <w:style w:type="paragraph" w:styleId="ListParagraph">
    <w:name w:val="List Paragraph"/>
    <w:basedOn w:val="Normal"/>
    <w:uiPriority w:val="34"/>
    <w:qFormat/>
    <w:rsid w:val="008E7153"/>
    <w:pPr>
      <w:spacing w:after="160" w:line="259" w:lineRule="auto"/>
      <w:ind w:left="720"/>
      <w:contextualSpacing/>
    </w:pPr>
  </w:style>
  <w:style w:type="paragraph" w:styleId="Header">
    <w:name w:val="header"/>
    <w:basedOn w:val="Normal"/>
    <w:link w:val="HeaderChar"/>
    <w:uiPriority w:val="99"/>
    <w:unhideWhenUsed/>
    <w:rsid w:val="00396C8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6C87"/>
  </w:style>
  <w:style w:type="paragraph" w:styleId="Footer">
    <w:name w:val="footer"/>
    <w:basedOn w:val="Normal"/>
    <w:link w:val="FooterChar"/>
    <w:uiPriority w:val="99"/>
    <w:unhideWhenUsed/>
    <w:rsid w:val="00396C8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6C87"/>
  </w:style>
  <w:style w:type="character" w:customStyle="1" w:styleId="lucenesearchresulturlb">
    <w:name w:val="lucene_search_result_url_b"/>
    <w:basedOn w:val="DefaultParagraphFont"/>
    <w:rsid w:val="005B1421"/>
  </w:style>
  <w:style w:type="paragraph" w:customStyle="1" w:styleId="RefBook">
    <w:name w:val="RefBook"/>
    <w:basedOn w:val="Normal"/>
    <w:qFormat/>
    <w:rsid w:val="00D60E23"/>
    <w:pPr>
      <w:spacing w:after="0" w:line="560" w:lineRule="exact"/>
      <w:ind w:left="720" w:hanging="720"/>
    </w:pPr>
    <w:rPr>
      <w:rFonts w:ascii="Times New Roman" w:eastAsia="Times New Roman" w:hAnsi="Times New Roman" w:cs="Times New Roman"/>
      <w:color w:val="E36C0A"/>
      <w:sz w:val="24"/>
      <w:szCs w:val="20"/>
      <w:lang w:val="en-US"/>
    </w:rPr>
  </w:style>
  <w:style w:type="paragraph" w:customStyle="1" w:styleId="Normal1">
    <w:name w:val="Normal1"/>
    <w:rsid w:val="004E01F3"/>
    <w:pPr>
      <w:spacing w:after="160" w:line="259" w:lineRule="auto"/>
    </w:pPr>
    <w:rPr>
      <w:rFonts w:ascii="Calibri" w:eastAsia="Calibri" w:hAnsi="Calibri" w:cs="Calibri"/>
    </w:rPr>
  </w:style>
  <w:style w:type="character" w:customStyle="1" w:styleId="Heading4Char">
    <w:name w:val="Heading 4 Char"/>
    <w:basedOn w:val="DefaultParagraphFont"/>
    <w:link w:val="Heading4"/>
    <w:uiPriority w:val="9"/>
    <w:semiHidden/>
    <w:rsid w:val="004D5DAF"/>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504187"/>
    <w:rPr>
      <w:b/>
      <w:bCs/>
    </w:rPr>
  </w:style>
  <w:style w:type="character" w:styleId="PageNumber">
    <w:name w:val="page number"/>
    <w:basedOn w:val="DefaultParagraphFont"/>
    <w:uiPriority w:val="99"/>
    <w:semiHidden/>
    <w:unhideWhenUsed/>
    <w:rsid w:val="00472712"/>
  </w:style>
  <w:style w:type="character" w:customStyle="1" w:styleId="UnresolvedMention1">
    <w:name w:val="Unresolved Mention1"/>
    <w:basedOn w:val="DefaultParagraphFont"/>
    <w:uiPriority w:val="99"/>
    <w:semiHidden/>
    <w:unhideWhenUsed/>
    <w:rsid w:val="002747C5"/>
    <w:rPr>
      <w:color w:val="808080"/>
      <w:shd w:val="clear" w:color="auto" w:fill="E6E6E6"/>
    </w:rPr>
  </w:style>
  <w:style w:type="character" w:customStyle="1" w:styleId="authors">
    <w:name w:val="authors"/>
    <w:basedOn w:val="DefaultParagraphFont"/>
    <w:rsid w:val="00145630"/>
  </w:style>
  <w:style w:type="character" w:customStyle="1" w:styleId="date1">
    <w:name w:val="date1"/>
    <w:basedOn w:val="DefaultParagraphFont"/>
    <w:rsid w:val="00145630"/>
  </w:style>
  <w:style w:type="character" w:customStyle="1" w:styleId="arttitle">
    <w:name w:val="art_title"/>
    <w:basedOn w:val="DefaultParagraphFont"/>
    <w:rsid w:val="00145630"/>
  </w:style>
  <w:style w:type="character" w:customStyle="1" w:styleId="serialtitle">
    <w:name w:val="serial_title"/>
    <w:basedOn w:val="DefaultParagraphFont"/>
    <w:rsid w:val="00145630"/>
  </w:style>
  <w:style w:type="character" w:customStyle="1" w:styleId="volumeissue">
    <w:name w:val="volume_issue"/>
    <w:basedOn w:val="DefaultParagraphFont"/>
    <w:rsid w:val="00145630"/>
  </w:style>
  <w:style w:type="character" w:customStyle="1" w:styleId="pagerange">
    <w:name w:val="page_range"/>
    <w:basedOn w:val="DefaultParagraphFont"/>
    <w:rsid w:val="00145630"/>
  </w:style>
  <w:style w:type="character" w:customStyle="1" w:styleId="doilink">
    <w:name w:val="doi_link"/>
    <w:basedOn w:val="DefaultParagraphFont"/>
    <w:rsid w:val="00145630"/>
  </w:style>
  <w:style w:type="character" w:customStyle="1" w:styleId="UnresolvedMention">
    <w:name w:val="Unresolved Mention"/>
    <w:basedOn w:val="DefaultParagraphFont"/>
    <w:uiPriority w:val="99"/>
    <w:semiHidden/>
    <w:unhideWhenUsed/>
    <w:rsid w:val="000D1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0093">
      <w:bodyDiv w:val="1"/>
      <w:marLeft w:val="0"/>
      <w:marRight w:val="0"/>
      <w:marTop w:val="0"/>
      <w:marBottom w:val="0"/>
      <w:divBdr>
        <w:top w:val="none" w:sz="0" w:space="0" w:color="auto"/>
        <w:left w:val="none" w:sz="0" w:space="0" w:color="auto"/>
        <w:bottom w:val="none" w:sz="0" w:space="0" w:color="auto"/>
        <w:right w:val="none" w:sz="0" w:space="0" w:color="auto"/>
      </w:divBdr>
    </w:div>
    <w:div w:id="44450433">
      <w:bodyDiv w:val="1"/>
      <w:marLeft w:val="0"/>
      <w:marRight w:val="0"/>
      <w:marTop w:val="0"/>
      <w:marBottom w:val="0"/>
      <w:divBdr>
        <w:top w:val="none" w:sz="0" w:space="0" w:color="auto"/>
        <w:left w:val="none" w:sz="0" w:space="0" w:color="auto"/>
        <w:bottom w:val="none" w:sz="0" w:space="0" w:color="auto"/>
        <w:right w:val="none" w:sz="0" w:space="0" w:color="auto"/>
      </w:divBdr>
    </w:div>
    <w:div w:id="44765702">
      <w:bodyDiv w:val="1"/>
      <w:marLeft w:val="0"/>
      <w:marRight w:val="0"/>
      <w:marTop w:val="0"/>
      <w:marBottom w:val="0"/>
      <w:divBdr>
        <w:top w:val="none" w:sz="0" w:space="0" w:color="auto"/>
        <w:left w:val="none" w:sz="0" w:space="0" w:color="auto"/>
        <w:bottom w:val="none" w:sz="0" w:space="0" w:color="auto"/>
        <w:right w:val="none" w:sz="0" w:space="0" w:color="auto"/>
      </w:divBdr>
    </w:div>
    <w:div w:id="86315522">
      <w:bodyDiv w:val="1"/>
      <w:marLeft w:val="0"/>
      <w:marRight w:val="0"/>
      <w:marTop w:val="0"/>
      <w:marBottom w:val="0"/>
      <w:divBdr>
        <w:top w:val="none" w:sz="0" w:space="0" w:color="auto"/>
        <w:left w:val="none" w:sz="0" w:space="0" w:color="auto"/>
        <w:bottom w:val="none" w:sz="0" w:space="0" w:color="auto"/>
        <w:right w:val="none" w:sz="0" w:space="0" w:color="auto"/>
      </w:divBdr>
    </w:div>
    <w:div w:id="92677528">
      <w:bodyDiv w:val="1"/>
      <w:marLeft w:val="0"/>
      <w:marRight w:val="0"/>
      <w:marTop w:val="0"/>
      <w:marBottom w:val="0"/>
      <w:divBdr>
        <w:top w:val="none" w:sz="0" w:space="0" w:color="auto"/>
        <w:left w:val="none" w:sz="0" w:space="0" w:color="auto"/>
        <w:bottom w:val="none" w:sz="0" w:space="0" w:color="auto"/>
        <w:right w:val="none" w:sz="0" w:space="0" w:color="auto"/>
      </w:divBdr>
    </w:div>
    <w:div w:id="132912974">
      <w:bodyDiv w:val="1"/>
      <w:marLeft w:val="0"/>
      <w:marRight w:val="0"/>
      <w:marTop w:val="0"/>
      <w:marBottom w:val="0"/>
      <w:divBdr>
        <w:top w:val="none" w:sz="0" w:space="0" w:color="auto"/>
        <w:left w:val="none" w:sz="0" w:space="0" w:color="auto"/>
        <w:bottom w:val="none" w:sz="0" w:space="0" w:color="auto"/>
        <w:right w:val="none" w:sz="0" w:space="0" w:color="auto"/>
      </w:divBdr>
    </w:div>
    <w:div w:id="137385949">
      <w:bodyDiv w:val="1"/>
      <w:marLeft w:val="0"/>
      <w:marRight w:val="0"/>
      <w:marTop w:val="0"/>
      <w:marBottom w:val="0"/>
      <w:divBdr>
        <w:top w:val="none" w:sz="0" w:space="0" w:color="auto"/>
        <w:left w:val="none" w:sz="0" w:space="0" w:color="auto"/>
        <w:bottom w:val="none" w:sz="0" w:space="0" w:color="auto"/>
        <w:right w:val="none" w:sz="0" w:space="0" w:color="auto"/>
      </w:divBdr>
    </w:div>
    <w:div w:id="236481622">
      <w:bodyDiv w:val="1"/>
      <w:marLeft w:val="0"/>
      <w:marRight w:val="0"/>
      <w:marTop w:val="0"/>
      <w:marBottom w:val="0"/>
      <w:divBdr>
        <w:top w:val="none" w:sz="0" w:space="0" w:color="auto"/>
        <w:left w:val="none" w:sz="0" w:space="0" w:color="auto"/>
        <w:bottom w:val="none" w:sz="0" w:space="0" w:color="auto"/>
        <w:right w:val="none" w:sz="0" w:space="0" w:color="auto"/>
      </w:divBdr>
    </w:div>
    <w:div w:id="367217018">
      <w:bodyDiv w:val="1"/>
      <w:marLeft w:val="0"/>
      <w:marRight w:val="0"/>
      <w:marTop w:val="0"/>
      <w:marBottom w:val="0"/>
      <w:divBdr>
        <w:top w:val="none" w:sz="0" w:space="0" w:color="auto"/>
        <w:left w:val="none" w:sz="0" w:space="0" w:color="auto"/>
        <w:bottom w:val="none" w:sz="0" w:space="0" w:color="auto"/>
        <w:right w:val="none" w:sz="0" w:space="0" w:color="auto"/>
      </w:divBdr>
    </w:div>
    <w:div w:id="377095444">
      <w:bodyDiv w:val="1"/>
      <w:marLeft w:val="0"/>
      <w:marRight w:val="0"/>
      <w:marTop w:val="0"/>
      <w:marBottom w:val="0"/>
      <w:divBdr>
        <w:top w:val="none" w:sz="0" w:space="0" w:color="auto"/>
        <w:left w:val="none" w:sz="0" w:space="0" w:color="auto"/>
        <w:bottom w:val="none" w:sz="0" w:space="0" w:color="auto"/>
        <w:right w:val="none" w:sz="0" w:space="0" w:color="auto"/>
      </w:divBdr>
    </w:div>
    <w:div w:id="382407139">
      <w:bodyDiv w:val="1"/>
      <w:marLeft w:val="0"/>
      <w:marRight w:val="0"/>
      <w:marTop w:val="0"/>
      <w:marBottom w:val="0"/>
      <w:divBdr>
        <w:top w:val="none" w:sz="0" w:space="0" w:color="auto"/>
        <w:left w:val="none" w:sz="0" w:space="0" w:color="auto"/>
        <w:bottom w:val="none" w:sz="0" w:space="0" w:color="auto"/>
        <w:right w:val="none" w:sz="0" w:space="0" w:color="auto"/>
      </w:divBdr>
    </w:div>
    <w:div w:id="507839192">
      <w:bodyDiv w:val="1"/>
      <w:marLeft w:val="0"/>
      <w:marRight w:val="0"/>
      <w:marTop w:val="0"/>
      <w:marBottom w:val="0"/>
      <w:divBdr>
        <w:top w:val="none" w:sz="0" w:space="0" w:color="auto"/>
        <w:left w:val="none" w:sz="0" w:space="0" w:color="auto"/>
        <w:bottom w:val="none" w:sz="0" w:space="0" w:color="auto"/>
        <w:right w:val="none" w:sz="0" w:space="0" w:color="auto"/>
      </w:divBdr>
    </w:div>
    <w:div w:id="557863095">
      <w:bodyDiv w:val="1"/>
      <w:marLeft w:val="0"/>
      <w:marRight w:val="0"/>
      <w:marTop w:val="0"/>
      <w:marBottom w:val="0"/>
      <w:divBdr>
        <w:top w:val="none" w:sz="0" w:space="0" w:color="auto"/>
        <w:left w:val="none" w:sz="0" w:space="0" w:color="auto"/>
        <w:bottom w:val="none" w:sz="0" w:space="0" w:color="auto"/>
        <w:right w:val="none" w:sz="0" w:space="0" w:color="auto"/>
      </w:divBdr>
    </w:div>
    <w:div w:id="611593996">
      <w:bodyDiv w:val="1"/>
      <w:marLeft w:val="0"/>
      <w:marRight w:val="0"/>
      <w:marTop w:val="0"/>
      <w:marBottom w:val="0"/>
      <w:divBdr>
        <w:top w:val="none" w:sz="0" w:space="0" w:color="auto"/>
        <w:left w:val="none" w:sz="0" w:space="0" w:color="auto"/>
        <w:bottom w:val="none" w:sz="0" w:space="0" w:color="auto"/>
        <w:right w:val="none" w:sz="0" w:space="0" w:color="auto"/>
      </w:divBdr>
    </w:div>
    <w:div w:id="616986267">
      <w:bodyDiv w:val="1"/>
      <w:marLeft w:val="0"/>
      <w:marRight w:val="0"/>
      <w:marTop w:val="0"/>
      <w:marBottom w:val="0"/>
      <w:divBdr>
        <w:top w:val="none" w:sz="0" w:space="0" w:color="auto"/>
        <w:left w:val="none" w:sz="0" w:space="0" w:color="auto"/>
        <w:bottom w:val="none" w:sz="0" w:space="0" w:color="auto"/>
        <w:right w:val="none" w:sz="0" w:space="0" w:color="auto"/>
      </w:divBdr>
    </w:div>
    <w:div w:id="628978910">
      <w:bodyDiv w:val="1"/>
      <w:marLeft w:val="0"/>
      <w:marRight w:val="0"/>
      <w:marTop w:val="0"/>
      <w:marBottom w:val="0"/>
      <w:divBdr>
        <w:top w:val="none" w:sz="0" w:space="0" w:color="auto"/>
        <w:left w:val="none" w:sz="0" w:space="0" w:color="auto"/>
        <w:bottom w:val="none" w:sz="0" w:space="0" w:color="auto"/>
        <w:right w:val="none" w:sz="0" w:space="0" w:color="auto"/>
      </w:divBdr>
    </w:div>
    <w:div w:id="647629699">
      <w:bodyDiv w:val="1"/>
      <w:marLeft w:val="0"/>
      <w:marRight w:val="0"/>
      <w:marTop w:val="0"/>
      <w:marBottom w:val="0"/>
      <w:divBdr>
        <w:top w:val="none" w:sz="0" w:space="0" w:color="auto"/>
        <w:left w:val="none" w:sz="0" w:space="0" w:color="auto"/>
        <w:bottom w:val="none" w:sz="0" w:space="0" w:color="auto"/>
        <w:right w:val="none" w:sz="0" w:space="0" w:color="auto"/>
      </w:divBdr>
    </w:div>
    <w:div w:id="663819000">
      <w:bodyDiv w:val="1"/>
      <w:marLeft w:val="0"/>
      <w:marRight w:val="0"/>
      <w:marTop w:val="0"/>
      <w:marBottom w:val="0"/>
      <w:divBdr>
        <w:top w:val="none" w:sz="0" w:space="0" w:color="auto"/>
        <w:left w:val="none" w:sz="0" w:space="0" w:color="auto"/>
        <w:bottom w:val="none" w:sz="0" w:space="0" w:color="auto"/>
        <w:right w:val="none" w:sz="0" w:space="0" w:color="auto"/>
      </w:divBdr>
      <w:divsChild>
        <w:div w:id="209878152">
          <w:marLeft w:val="0"/>
          <w:marRight w:val="0"/>
          <w:marTop w:val="0"/>
          <w:marBottom w:val="0"/>
          <w:divBdr>
            <w:top w:val="none" w:sz="0" w:space="0" w:color="auto"/>
            <w:left w:val="none" w:sz="0" w:space="0" w:color="auto"/>
            <w:bottom w:val="none" w:sz="0" w:space="0" w:color="auto"/>
            <w:right w:val="none" w:sz="0" w:space="0" w:color="auto"/>
          </w:divBdr>
          <w:divsChild>
            <w:div w:id="1252470651">
              <w:marLeft w:val="0"/>
              <w:marRight w:val="0"/>
              <w:marTop w:val="0"/>
              <w:marBottom w:val="0"/>
              <w:divBdr>
                <w:top w:val="none" w:sz="0" w:space="0" w:color="auto"/>
                <w:left w:val="none" w:sz="0" w:space="0" w:color="auto"/>
                <w:bottom w:val="none" w:sz="0" w:space="0" w:color="auto"/>
                <w:right w:val="none" w:sz="0" w:space="0" w:color="auto"/>
              </w:divBdr>
              <w:divsChild>
                <w:div w:id="835923266">
                  <w:marLeft w:val="0"/>
                  <w:marRight w:val="0"/>
                  <w:marTop w:val="0"/>
                  <w:marBottom w:val="0"/>
                  <w:divBdr>
                    <w:top w:val="none" w:sz="0" w:space="0" w:color="auto"/>
                    <w:left w:val="none" w:sz="0" w:space="0" w:color="auto"/>
                    <w:bottom w:val="none" w:sz="0" w:space="0" w:color="auto"/>
                    <w:right w:val="none" w:sz="0" w:space="0" w:color="auto"/>
                  </w:divBdr>
                  <w:divsChild>
                    <w:div w:id="491486054">
                      <w:marLeft w:val="0"/>
                      <w:marRight w:val="0"/>
                      <w:marTop w:val="0"/>
                      <w:marBottom w:val="0"/>
                      <w:divBdr>
                        <w:top w:val="none" w:sz="0" w:space="0" w:color="auto"/>
                        <w:left w:val="none" w:sz="0" w:space="0" w:color="auto"/>
                        <w:bottom w:val="none" w:sz="0" w:space="0" w:color="auto"/>
                        <w:right w:val="none" w:sz="0" w:space="0" w:color="auto"/>
                      </w:divBdr>
                      <w:divsChild>
                        <w:div w:id="2055276051">
                          <w:marLeft w:val="0"/>
                          <w:marRight w:val="0"/>
                          <w:marTop w:val="0"/>
                          <w:marBottom w:val="0"/>
                          <w:divBdr>
                            <w:top w:val="none" w:sz="0" w:space="0" w:color="auto"/>
                            <w:left w:val="none" w:sz="0" w:space="0" w:color="auto"/>
                            <w:bottom w:val="none" w:sz="0" w:space="0" w:color="auto"/>
                            <w:right w:val="none" w:sz="0" w:space="0" w:color="auto"/>
                          </w:divBdr>
                          <w:divsChild>
                            <w:div w:id="723915133">
                              <w:marLeft w:val="0"/>
                              <w:marRight w:val="0"/>
                              <w:marTop w:val="0"/>
                              <w:marBottom w:val="0"/>
                              <w:divBdr>
                                <w:top w:val="none" w:sz="0" w:space="0" w:color="auto"/>
                                <w:left w:val="none" w:sz="0" w:space="0" w:color="auto"/>
                                <w:bottom w:val="none" w:sz="0" w:space="0" w:color="auto"/>
                                <w:right w:val="none" w:sz="0" w:space="0" w:color="auto"/>
                              </w:divBdr>
                              <w:divsChild>
                                <w:div w:id="1134062347">
                                  <w:marLeft w:val="0"/>
                                  <w:marRight w:val="0"/>
                                  <w:marTop w:val="0"/>
                                  <w:marBottom w:val="0"/>
                                  <w:divBdr>
                                    <w:top w:val="none" w:sz="0" w:space="0" w:color="auto"/>
                                    <w:left w:val="none" w:sz="0" w:space="0" w:color="auto"/>
                                    <w:bottom w:val="none" w:sz="0" w:space="0" w:color="auto"/>
                                    <w:right w:val="none" w:sz="0" w:space="0" w:color="auto"/>
                                  </w:divBdr>
                                  <w:divsChild>
                                    <w:div w:id="8152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9983867">
      <w:bodyDiv w:val="1"/>
      <w:marLeft w:val="0"/>
      <w:marRight w:val="0"/>
      <w:marTop w:val="0"/>
      <w:marBottom w:val="0"/>
      <w:divBdr>
        <w:top w:val="none" w:sz="0" w:space="0" w:color="auto"/>
        <w:left w:val="none" w:sz="0" w:space="0" w:color="auto"/>
        <w:bottom w:val="none" w:sz="0" w:space="0" w:color="auto"/>
        <w:right w:val="none" w:sz="0" w:space="0" w:color="auto"/>
      </w:divBdr>
    </w:div>
    <w:div w:id="689380781">
      <w:bodyDiv w:val="1"/>
      <w:marLeft w:val="0"/>
      <w:marRight w:val="0"/>
      <w:marTop w:val="0"/>
      <w:marBottom w:val="0"/>
      <w:divBdr>
        <w:top w:val="none" w:sz="0" w:space="0" w:color="auto"/>
        <w:left w:val="none" w:sz="0" w:space="0" w:color="auto"/>
        <w:bottom w:val="none" w:sz="0" w:space="0" w:color="auto"/>
        <w:right w:val="none" w:sz="0" w:space="0" w:color="auto"/>
      </w:divBdr>
    </w:div>
    <w:div w:id="702823875">
      <w:bodyDiv w:val="1"/>
      <w:marLeft w:val="0"/>
      <w:marRight w:val="0"/>
      <w:marTop w:val="0"/>
      <w:marBottom w:val="0"/>
      <w:divBdr>
        <w:top w:val="none" w:sz="0" w:space="0" w:color="auto"/>
        <w:left w:val="none" w:sz="0" w:space="0" w:color="auto"/>
        <w:bottom w:val="none" w:sz="0" w:space="0" w:color="auto"/>
        <w:right w:val="none" w:sz="0" w:space="0" w:color="auto"/>
      </w:divBdr>
      <w:divsChild>
        <w:div w:id="680622169">
          <w:marLeft w:val="0"/>
          <w:marRight w:val="0"/>
          <w:marTop w:val="0"/>
          <w:marBottom w:val="0"/>
          <w:divBdr>
            <w:top w:val="none" w:sz="0" w:space="0" w:color="auto"/>
            <w:left w:val="none" w:sz="0" w:space="0" w:color="auto"/>
            <w:bottom w:val="none" w:sz="0" w:space="0" w:color="auto"/>
            <w:right w:val="none" w:sz="0" w:space="0" w:color="auto"/>
          </w:divBdr>
          <w:divsChild>
            <w:div w:id="613055478">
              <w:marLeft w:val="0"/>
              <w:marRight w:val="0"/>
              <w:marTop w:val="0"/>
              <w:marBottom w:val="0"/>
              <w:divBdr>
                <w:top w:val="none" w:sz="0" w:space="0" w:color="auto"/>
                <w:left w:val="none" w:sz="0" w:space="0" w:color="auto"/>
                <w:bottom w:val="none" w:sz="0" w:space="0" w:color="auto"/>
                <w:right w:val="none" w:sz="0" w:space="0" w:color="auto"/>
              </w:divBdr>
              <w:divsChild>
                <w:div w:id="11124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83521">
      <w:bodyDiv w:val="1"/>
      <w:marLeft w:val="0"/>
      <w:marRight w:val="0"/>
      <w:marTop w:val="0"/>
      <w:marBottom w:val="0"/>
      <w:divBdr>
        <w:top w:val="none" w:sz="0" w:space="0" w:color="auto"/>
        <w:left w:val="none" w:sz="0" w:space="0" w:color="auto"/>
        <w:bottom w:val="none" w:sz="0" w:space="0" w:color="auto"/>
        <w:right w:val="none" w:sz="0" w:space="0" w:color="auto"/>
      </w:divBdr>
      <w:divsChild>
        <w:div w:id="1179929550">
          <w:marLeft w:val="0"/>
          <w:marRight w:val="0"/>
          <w:marTop w:val="0"/>
          <w:marBottom w:val="0"/>
          <w:divBdr>
            <w:top w:val="none" w:sz="0" w:space="0" w:color="auto"/>
            <w:left w:val="none" w:sz="0" w:space="0" w:color="auto"/>
            <w:bottom w:val="none" w:sz="0" w:space="0" w:color="auto"/>
            <w:right w:val="none" w:sz="0" w:space="0" w:color="auto"/>
          </w:divBdr>
          <w:divsChild>
            <w:div w:id="1328747787">
              <w:marLeft w:val="0"/>
              <w:marRight w:val="0"/>
              <w:marTop w:val="0"/>
              <w:marBottom w:val="0"/>
              <w:divBdr>
                <w:top w:val="none" w:sz="0" w:space="0" w:color="auto"/>
                <w:left w:val="none" w:sz="0" w:space="0" w:color="auto"/>
                <w:bottom w:val="none" w:sz="0" w:space="0" w:color="auto"/>
                <w:right w:val="none" w:sz="0" w:space="0" w:color="auto"/>
              </w:divBdr>
              <w:divsChild>
                <w:div w:id="1258631514">
                  <w:marLeft w:val="0"/>
                  <w:marRight w:val="0"/>
                  <w:marTop w:val="0"/>
                  <w:marBottom w:val="0"/>
                  <w:divBdr>
                    <w:top w:val="none" w:sz="0" w:space="0" w:color="auto"/>
                    <w:left w:val="none" w:sz="0" w:space="0" w:color="auto"/>
                    <w:bottom w:val="none" w:sz="0" w:space="0" w:color="auto"/>
                    <w:right w:val="none" w:sz="0" w:space="0" w:color="auto"/>
                  </w:divBdr>
                  <w:divsChild>
                    <w:div w:id="1020204192">
                      <w:marLeft w:val="0"/>
                      <w:marRight w:val="0"/>
                      <w:marTop w:val="0"/>
                      <w:marBottom w:val="0"/>
                      <w:divBdr>
                        <w:top w:val="none" w:sz="0" w:space="0" w:color="auto"/>
                        <w:left w:val="none" w:sz="0" w:space="0" w:color="auto"/>
                        <w:bottom w:val="none" w:sz="0" w:space="0" w:color="auto"/>
                        <w:right w:val="none" w:sz="0" w:space="0" w:color="auto"/>
                      </w:divBdr>
                      <w:divsChild>
                        <w:div w:id="1359500302">
                          <w:marLeft w:val="0"/>
                          <w:marRight w:val="0"/>
                          <w:marTop w:val="0"/>
                          <w:marBottom w:val="0"/>
                          <w:divBdr>
                            <w:top w:val="none" w:sz="0" w:space="0" w:color="auto"/>
                            <w:left w:val="none" w:sz="0" w:space="0" w:color="auto"/>
                            <w:bottom w:val="none" w:sz="0" w:space="0" w:color="auto"/>
                            <w:right w:val="none" w:sz="0" w:space="0" w:color="auto"/>
                          </w:divBdr>
                          <w:divsChild>
                            <w:div w:id="1138884870">
                              <w:marLeft w:val="0"/>
                              <w:marRight w:val="0"/>
                              <w:marTop w:val="0"/>
                              <w:marBottom w:val="0"/>
                              <w:divBdr>
                                <w:top w:val="none" w:sz="0" w:space="0" w:color="auto"/>
                                <w:left w:val="none" w:sz="0" w:space="0" w:color="auto"/>
                                <w:bottom w:val="none" w:sz="0" w:space="0" w:color="auto"/>
                                <w:right w:val="none" w:sz="0" w:space="0" w:color="auto"/>
                              </w:divBdr>
                              <w:divsChild>
                                <w:div w:id="913859739">
                                  <w:marLeft w:val="0"/>
                                  <w:marRight w:val="0"/>
                                  <w:marTop w:val="0"/>
                                  <w:marBottom w:val="0"/>
                                  <w:divBdr>
                                    <w:top w:val="none" w:sz="0" w:space="0" w:color="auto"/>
                                    <w:left w:val="none" w:sz="0" w:space="0" w:color="auto"/>
                                    <w:bottom w:val="none" w:sz="0" w:space="0" w:color="auto"/>
                                    <w:right w:val="none" w:sz="0" w:space="0" w:color="auto"/>
                                  </w:divBdr>
                                  <w:divsChild>
                                    <w:div w:id="18670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733066">
      <w:bodyDiv w:val="1"/>
      <w:marLeft w:val="0"/>
      <w:marRight w:val="0"/>
      <w:marTop w:val="0"/>
      <w:marBottom w:val="0"/>
      <w:divBdr>
        <w:top w:val="none" w:sz="0" w:space="0" w:color="auto"/>
        <w:left w:val="none" w:sz="0" w:space="0" w:color="auto"/>
        <w:bottom w:val="none" w:sz="0" w:space="0" w:color="auto"/>
        <w:right w:val="none" w:sz="0" w:space="0" w:color="auto"/>
      </w:divBdr>
    </w:div>
    <w:div w:id="792989689">
      <w:bodyDiv w:val="1"/>
      <w:marLeft w:val="0"/>
      <w:marRight w:val="0"/>
      <w:marTop w:val="0"/>
      <w:marBottom w:val="0"/>
      <w:divBdr>
        <w:top w:val="none" w:sz="0" w:space="0" w:color="auto"/>
        <w:left w:val="none" w:sz="0" w:space="0" w:color="auto"/>
        <w:bottom w:val="none" w:sz="0" w:space="0" w:color="auto"/>
        <w:right w:val="none" w:sz="0" w:space="0" w:color="auto"/>
      </w:divBdr>
      <w:divsChild>
        <w:div w:id="1359352814">
          <w:marLeft w:val="0"/>
          <w:marRight w:val="0"/>
          <w:marTop w:val="0"/>
          <w:marBottom w:val="0"/>
          <w:divBdr>
            <w:top w:val="none" w:sz="0" w:space="0" w:color="auto"/>
            <w:left w:val="none" w:sz="0" w:space="0" w:color="auto"/>
            <w:bottom w:val="none" w:sz="0" w:space="0" w:color="auto"/>
            <w:right w:val="none" w:sz="0" w:space="0" w:color="auto"/>
          </w:divBdr>
          <w:divsChild>
            <w:div w:id="597567066">
              <w:marLeft w:val="0"/>
              <w:marRight w:val="0"/>
              <w:marTop w:val="0"/>
              <w:marBottom w:val="0"/>
              <w:divBdr>
                <w:top w:val="none" w:sz="0" w:space="0" w:color="auto"/>
                <w:left w:val="none" w:sz="0" w:space="0" w:color="auto"/>
                <w:bottom w:val="none" w:sz="0" w:space="0" w:color="auto"/>
                <w:right w:val="none" w:sz="0" w:space="0" w:color="auto"/>
              </w:divBdr>
              <w:divsChild>
                <w:div w:id="19619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95756">
      <w:bodyDiv w:val="1"/>
      <w:marLeft w:val="0"/>
      <w:marRight w:val="0"/>
      <w:marTop w:val="0"/>
      <w:marBottom w:val="0"/>
      <w:divBdr>
        <w:top w:val="none" w:sz="0" w:space="0" w:color="auto"/>
        <w:left w:val="none" w:sz="0" w:space="0" w:color="auto"/>
        <w:bottom w:val="none" w:sz="0" w:space="0" w:color="auto"/>
        <w:right w:val="none" w:sz="0" w:space="0" w:color="auto"/>
      </w:divBdr>
    </w:div>
    <w:div w:id="882598478">
      <w:bodyDiv w:val="1"/>
      <w:marLeft w:val="0"/>
      <w:marRight w:val="0"/>
      <w:marTop w:val="0"/>
      <w:marBottom w:val="0"/>
      <w:divBdr>
        <w:top w:val="none" w:sz="0" w:space="0" w:color="auto"/>
        <w:left w:val="none" w:sz="0" w:space="0" w:color="auto"/>
        <w:bottom w:val="none" w:sz="0" w:space="0" w:color="auto"/>
        <w:right w:val="none" w:sz="0" w:space="0" w:color="auto"/>
      </w:divBdr>
    </w:div>
    <w:div w:id="939946645">
      <w:bodyDiv w:val="1"/>
      <w:marLeft w:val="0"/>
      <w:marRight w:val="0"/>
      <w:marTop w:val="0"/>
      <w:marBottom w:val="0"/>
      <w:divBdr>
        <w:top w:val="none" w:sz="0" w:space="0" w:color="auto"/>
        <w:left w:val="none" w:sz="0" w:space="0" w:color="auto"/>
        <w:bottom w:val="none" w:sz="0" w:space="0" w:color="auto"/>
        <w:right w:val="none" w:sz="0" w:space="0" w:color="auto"/>
      </w:divBdr>
    </w:div>
    <w:div w:id="945038864">
      <w:bodyDiv w:val="1"/>
      <w:marLeft w:val="0"/>
      <w:marRight w:val="0"/>
      <w:marTop w:val="0"/>
      <w:marBottom w:val="0"/>
      <w:divBdr>
        <w:top w:val="none" w:sz="0" w:space="0" w:color="auto"/>
        <w:left w:val="none" w:sz="0" w:space="0" w:color="auto"/>
        <w:bottom w:val="none" w:sz="0" w:space="0" w:color="auto"/>
        <w:right w:val="none" w:sz="0" w:space="0" w:color="auto"/>
      </w:divBdr>
    </w:div>
    <w:div w:id="1028023084">
      <w:bodyDiv w:val="1"/>
      <w:marLeft w:val="0"/>
      <w:marRight w:val="0"/>
      <w:marTop w:val="0"/>
      <w:marBottom w:val="0"/>
      <w:divBdr>
        <w:top w:val="none" w:sz="0" w:space="0" w:color="auto"/>
        <w:left w:val="none" w:sz="0" w:space="0" w:color="auto"/>
        <w:bottom w:val="none" w:sz="0" w:space="0" w:color="auto"/>
        <w:right w:val="none" w:sz="0" w:space="0" w:color="auto"/>
      </w:divBdr>
    </w:div>
    <w:div w:id="1065646522">
      <w:bodyDiv w:val="1"/>
      <w:marLeft w:val="0"/>
      <w:marRight w:val="0"/>
      <w:marTop w:val="0"/>
      <w:marBottom w:val="0"/>
      <w:divBdr>
        <w:top w:val="none" w:sz="0" w:space="0" w:color="auto"/>
        <w:left w:val="none" w:sz="0" w:space="0" w:color="auto"/>
        <w:bottom w:val="none" w:sz="0" w:space="0" w:color="auto"/>
        <w:right w:val="none" w:sz="0" w:space="0" w:color="auto"/>
      </w:divBdr>
    </w:div>
    <w:div w:id="1244989611">
      <w:bodyDiv w:val="1"/>
      <w:marLeft w:val="0"/>
      <w:marRight w:val="0"/>
      <w:marTop w:val="0"/>
      <w:marBottom w:val="0"/>
      <w:divBdr>
        <w:top w:val="none" w:sz="0" w:space="0" w:color="auto"/>
        <w:left w:val="none" w:sz="0" w:space="0" w:color="auto"/>
        <w:bottom w:val="none" w:sz="0" w:space="0" w:color="auto"/>
        <w:right w:val="none" w:sz="0" w:space="0" w:color="auto"/>
      </w:divBdr>
    </w:div>
    <w:div w:id="1277175475">
      <w:bodyDiv w:val="1"/>
      <w:marLeft w:val="0"/>
      <w:marRight w:val="0"/>
      <w:marTop w:val="0"/>
      <w:marBottom w:val="0"/>
      <w:divBdr>
        <w:top w:val="none" w:sz="0" w:space="0" w:color="auto"/>
        <w:left w:val="none" w:sz="0" w:space="0" w:color="auto"/>
        <w:bottom w:val="none" w:sz="0" w:space="0" w:color="auto"/>
        <w:right w:val="none" w:sz="0" w:space="0" w:color="auto"/>
      </w:divBdr>
    </w:div>
    <w:div w:id="1452432641">
      <w:bodyDiv w:val="1"/>
      <w:marLeft w:val="0"/>
      <w:marRight w:val="0"/>
      <w:marTop w:val="0"/>
      <w:marBottom w:val="0"/>
      <w:divBdr>
        <w:top w:val="none" w:sz="0" w:space="0" w:color="auto"/>
        <w:left w:val="none" w:sz="0" w:space="0" w:color="auto"/>
        <w:bottom w:val="none" w:sz="0" w:space="0" w:color="auto"/>
        <w:right w:val="none" w:sz="0" w:space="0" w:color="auto"/>
      </w:divBdr>
      <w:divsChild>
        <w:div w:id="997226340">
          <w:marLeft w:val="0"/>
          <w:marRight w:val="0"/>
          <w:marTop w:val="0"/>
          <w:marBottom w:val="0"/>
          <w:divBdr>
            <w:top w:val="none" w:sz="0" w:space="0" w:color="auto"/>
            <w:left w:val="none" w:sz="0" w:space="0" w:color="auto"/>
            <w:bottom w:val="none" w:sz="0" w:space="0" w:color="auto"/>
            <w:right w:val="none" w:sz="0" w:space="0" w:color="auto"/>
          </w:divBdr>
          <w:divsChild>
            <w:div w:id="631205447">
              <w:marLeft w:val="0"/>
              <w:marRight w:val="0"/>
              <w:marTop w:val="0"/>
              <w:marBottom w:val="0"/>
              <w:divBdr>
                <w:top w:val="none" w:sz="0" w:space="0" w:color="auto"/>
                <w:left w:val="none" w:sz="0" w:space="0" w:color="auto"/>
                <w:bottom w:val="none" w:sz="0" w:space="0" w:color="auto"/>
                <w:right w:val="none" w:sz="0" w:space="0" w:color="auto"/>
              </w:divBdr>
              <w:divsChild>
                <w:div w:id="12758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4003">
      <w:bodyDiv w:val="1"/>
      <w:marLeft w:val="0"/>
      <w:marRight w:val="0"/>
      <w:marTop w:val="0"/>
      <w:marBottom w:val="0"/>
      <w:divBdr>
        <w:top w:val="none" w:sz="0" w:space="0" w:color="auto"/>
        <w:left w:val="none" w:sz="0" w:space="0" w:color="auto"/>
        <w:bottom w:val="none" w:sz="0" w:space="0" w:color="auto"/>
        <w:right w:val="none" w:sz="0" w:space="0" w:color="auto"/>
      </w:divBdr>
    </w:div>
    <w:div w:id="1483153563">
      <w:bodyDiv w:val="1"/>
      <w:marLeft w:val="0"/>
      <w:marRight w:val="0"/>
      <w:marTop w:val="0"/>
      <w:marBottom w:val="0"/>
      <w:divBdr>
        <w:top w:val="none" w:sz="0" w:space="0" w:color="auto"/>
        <w:left w:val="none" w:sz="0" w:space="0" w:color="auto"/>
        <w:bottom w:val="none" w:sz="0" w:space="0" w:color="auto"/>
        <w:right w:val="none" w:sz="0" w:space="0" w:color="auto"/>
      </w:divBdr>
    </w:div>
    <w:div w:id="1489787035">
      <w:bodyDiv w:val="1"/>
      <w:marLeft w:val="0"/>
      <w:marRight w:val="0"/>
      <w:marTop w:val="0"/>
      <w:marBottom w:val="0"/>
      <w:divBdr>
        <w:top w:val="none" w:sz="0" w:space="0" w:color="auto"/>
        <w:left w:val="none" w:sz="0" w:space="0" w:color="auto"/>
        <w:bottom w:val="none" w:sz="0" w:space="0" w:color="auto"/>
        <w:right w:val="none" w:sz="0" w:space="0" w:color="auto"/>
      </w:divBdr>
      <w:divsChild>
        <w:div w:id="1977294412">
          <w:marLeft w:val="0"/>
          <w:marRight w:val="0"/>
          <w:marTop w:val="0"/>
          <w:marBottom w:val="0"/>
          <w:divBdr>
            <w:top w:val="none" w:sz="0" w:space="0" w:color="auto"/>
            <w:left w:val="none" w:sz="0" w:space="0" w:color="auto"/>
            <w:bottom w:val="none" w:sz="0" w:space="0" w:color="auto"/>
            <w:right w:val="none" w:sz="0" w:space="0" w:color="auto"/>
          </w:divBdr>
          <w:divsChild>
            <w:div w:id="1770419498">
              <w:marLeft w:val="0"/>
              <w:marRight w:val="0"/>
              <w:marTop w:val="0"/>
              <w:marBottom w:val="0"/>
              <w:divBdr>
                <w:top w:val="none" w:sz="0" w:space="0" w:color="auto"/>
                <w:left w:val="none" w:sz="0" w:space="0" w:color="auto"/>
                <w:bottom w:val="none" w:sz="0" w:space="0" w:color="auto"/>
                <w:right w:val="none" w:sz="0" w:space="0" w:color="auto"/>
              </w:divBdr>
              <w:divsChild>
                <w:div w:id="12776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01949">
      <w:bodyDiv w:val="1"/>
      <w:marLeft w:val="0"/>
      <w:marRight w:val="0"/>
      <w:marTop w:val="0"/>
      <w:marBottom w:val="0"/>
      <w:divBdr>
        <w:top w:val="none" w:sz="0" w:space="0" w:color="auto"/>
        <w:left w:val="none" w:sz="0" w:space="0" w:color="auto"/>
        <w:bottom w:val="none" w:sz="0" w:space="0" w:color="auto"/>
        <w:right w:val="none" w:sz="0" w:space="0" w:color="auto"/>
      </w:divBdr>
    </w:div>
    <w:div w:id="1515537762">
      <w:bodyDiv w:val="1"/>
      <w:marLeft w:val="0"/>
      <w:marRight w:val="0"/>
      <w:marTop w:val="0"/>
      <w:marBottom w:val="0"/>
      <w:divBdr>
        <w:top w:val="none" w:sz="0" w:space="0" w:color="auto"/>
        <w:left w:val="none" w:sz="0" w:space="0" w:color="auto"/>
        <w:bottom w:val="none" w:sz="0" w:space="0" w:color="auto"/>
        <w:right w:val="none" w:sz="0" w:space="0" w:color="auto"/>
      </w:divBdr>
    </w:div>
    <w:div w:id="1544559704">
      <w:bodyDiv w:val="1"/>
      <w:marLeft w:val="0"/>
      <w:marRight w:val="0"/>
      <w:marTop w:val="0"/>
      <w:marBottom w:val="0"/>
      <w:divBdr>
        <w:top w:val="none" w:sz="0" w:space="0" w:color="auto"/>
        <w:left w:val="none" w:sz="0" w:space="0" w:color="auto"/>
        <w:bottom w:val="none" w:sz="0" w:space="0" w:color="auto"/>
        <w:right w:val="none" w:sz="0" w:space="0" w:color="auto"/>
      </w:divBdr>
    </w:div>
    <w:div w:id="1738278800">
      <w:bodyDiv w:val="1"/>
      <w:marLeft w:val="0"/>
      <w:marRight w:val="0"/>
      <w:marTop w:val="0"/>
      <w:marBottom w:val="0"/>
      <w:divBdr>
        <w:top w:val="none" w:sz="0" w:space="0" w:color="auto"/>
        <w:left w:val="none" w:sz="0" w:space="0" w:color="auto"/>
        <w:bottom w:val="none" w:sz="0" w:space="0" w:color="auto"/>
        <w:right w:val="none" w:sz="0" w:space="0" w:color="auto"/>
      </w:divBdr>
    </w:div>
    <w:div w:id="1740787870">
      <w:bodyDiv w:val="1"/>
      <w:marLeft w:val="0"/>
      <w:marRight w:val="0"/>
      <w:marTop w:val="0"/>
      <w:marBottom w:val="0"/>
      <w:divBdr>
        <w:top w:val="none" w:sz="0" w:space="0" w:color="auto"/>
        <w:left w:val="none" w:sz="0" w:space="0" w:color="auto"/>
        <w:bottom w:val="none" w:sz="0" w:space="0" w:color="auto"/>
        <w:right w:val="none" w:sz="0" w:space="0" w:color="auto"/>
      </w:divBdr>
    </w:div>
    <w:div w:id="1963264032">
      <w:bodyDiv w:val="1"/>
      <w:marLeft w:val="0"/>
      <w:marRight w:val="0"/>
      <w:marTop w:val="0"/>
      <w:marBottom w:val="0"/>
      <w:divBdr>
        <w:top w:val="none" w:sz="0" w:space="0" w:color="auto"/>
        <w:left w:val="none" w:sz="0" w:space="0" w:color="auto"/>
        <w:bottom w:val="none" w:sz="0" w:space="0" w:color="auto"/>
        <w:right w:val="none" w:sz="0" w:space="0" w:color="auto"/>
      </w:divBdr>
    </w:div>
    <w:div w:id="1968975291">
      <w:bodyDiv w:val="1"/>
      <w:marLeft w:val="0"/>
      <w:marRight w:val="0"/>
      <w:marTop w:val="0"/>
      <w:marBottom w:val="0"/>
      <w:divBdr>
        <w:top w:val="none" w:sz="0" w:space="0" w:color="auto"/>
        <w:left w:val="none" w:sz="0" w:space="0" w:color="auto"/>
        <w:bottom w:val="none" w:sz="0" w:space="0" w:color="auto"/>
        <w:right w:val="none" w:sz="0" w:space="0" w:color="auto"/>
      </w:divBdr>
      <w:divsChild>
        <w:div w:id="407768815">
          <w:marLeft w:val="0"/>
          <w:marRight w:val="0"/>
          <w:marTop w:val="0"/>
          <w:marBottom w:val="0"/>
          <w:divBdr>
            <w:top w:val="none" w:sz="0" w:space="0" w:color="auto"/>
            <w:left w:val="none" w:sz="0" w:space="0" w:color="auto"/>
            <w:bottom w:val="none" w:sz="0" w:space="0" w:color="auto"/>
            <w:right w:val="none" w:sz="0" w:space="0" w:color="auto"/>
          </w:divBdr>
          <w:divsChild>
            <w:div w:id="447429810">
              <w:marLeft w:val="0"/>
              <w:marRight w:val="0"/>
              <w:marTop w:val="0"/>
              <w:marBottom w:val="0"/>
              <w:divBdr>
                <w:top w:val="none" w:sz="0" w:space="0" w:color="auto"/>
                <w:left w:val="none" w:sz="0" w:space="0" w:color="auto"/>
                <w:bottom w:val="none" w:sz="0" w:space="0" w:color="auto"/>
                <w:right w:val="none" w:sz="0" w:space="0" w:color="auto"/>
              </w:divBdr>
              <w:divsChild>
                <w:div w:id="2316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0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sa/socdev/unpfii/documents/DRIPS_en.pdf" TargetMode="External"/><Relationship Id="rId3" Type="http://schemas.openxmlformats.org/officeDocument/2006/relationships/hyperlink" Target="http://www.imf.org/external/pubs/ft/fandd/2016/06/pdf/ostry.pdf" TargetMode="External"/><Relationship Id="rId7" Type="http://schemas.openxmlformats.org/officeDocument/2006/relationships/hyperlink" Target="https://scholarship.law.duke.edu/lcp/vol71/iss3/3/" TargetMode="External"/><Relationship Id="rId2" Type="http://schemas.openxmlformats.org/officeDocument/2006/relationships/hyperlink" Target="https://www.oxfam.org.uk/media-centre/press-releases/2017/01/eight-people-own-same-wealth-as-half-the-world" TargetMode="External"/><Relationship Id="rId1" Type="http://schemas.openxmlformats.org/officeDocument/2006/relationships/hyperlink" Target="http://dx.doi.org/10.1111/rego.12154" TargetMode="External"/><Relationship Id="rId6" Type="http://schemas.openxmlformats.org/officeDocument/2006/relationships/hyperlink" Target="http://www.pnas.org/cgi/doi/10.1073/pnas.1219791110" TargetMode="External"/><Relationship Id="rId5" Type="http://schemas.openxmlformats.org/officeDocument/2006/relationships/hyperlink" Target="https://journals.openedition.org/vertigo/16199" TargetMode="External"/><Relationship Id="rId10" Type="http://schemas.openxmlformats.org/officeDocument/2006/relationships/hyperlink" Target="https://www.washingtonpost.com/graphics/world/border-barriers/global-illegal-immigration-prevention/" TargetMode="External"/><Relationship Id="rId4" Type="http://schemas.openxmlformats.org/officeDocument/2006/relationships/hyperlink" Target="http://cms.ineteconomics.org/uploads/papers/WP23-Mirowski.pdf" TargetMode="External"/><Relationship Id="rId9" Type="http://schemas.openxmlformats.org/officeDocument/2006/relationships/hyperlink" Target="http://www.e-ir.info/2017/05/25/our-new-walls-the-rise-of-separation-barriers-in-the-age-of-glob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87A8-FA21-443C-8AC7-C8363A2B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9645</Words>
  <Characters>54981</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2018-11-24T07:25:00Z</cp:lastPrinted>
  <dcterms:created xsi:type="dcterms:W3CDTF">2018-12-05T17:03:00Z</dcterms:created>
  <dcterms:modified xsi:type="dcterms:W3CDTF">2018-12-05T17:03:00Z</dcterms:modified>
</cp:coreProperties>
</file>