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67D78" w14:textId="451FCFDD" w:rsidR="00FC037D" w:rsidRPr="001F159D" w:rsidRDefault="00476E7F" w:rsidP="00F717ED">
      <w:pPr>
        <w:pStyle w:val="Title"/>
      </w:pPr>
      <w:bookmarkStart w:id="0" w:name="OLE_LINK8"/>
      <w:bookmarkStart w:id="1" w:name="OLE_LINK7"/>
      <w:bookmarkStart w:id="2" w:name="OLE_LINK2"/>
      <w:bookmarkStart w:id="3" w:name="OLE_LINK1"/>
      <w:r>
        <w:t>Integrating construction supply chains within a circular economy: An ANFIS-based waste analytics system</w:t>
      </w:r>
      <w:bookmarkEnd w:id="0"/>
      <w:bookmarkEnd w:id="1"/>
      <w:r w:rsidR="00F717ED">
        <w:t xml:space="preserve"> (A-WAS)</w:t>
      </w:r>
    </w:p>
    <w:p w14:paraId="5BB82D33" w14:textId="77777777" w:rsidR="00FC037D" w:rsidRPr="001F159D" w:rsidRDefault="00FC037D" w:rsidP="0072282C">
      <w:pPr>
        <w:pStyle w:val="Heading1"/>
        <w:numPr>
          <w:ilvl w:val="0"/>
          <w:numId w:val="0"/>
        </w:numPr>
        <w:spacing w:line="480" w:lineRule="auto"/>
        <w:ind w:left="432" w:hanging="432"/>
      </w:pPr>
      <w:bookmarkStart w:id="4" w:name="_Toc488934019"/>
      <w:bookmarkEnd w:id="2"/>
      <w:bookmarkEnd w:id="3"/>
      <w:r w:rsidRPr="001F159D">
        <w:t>Abstract</w:t>
      </w:r>
      <w:bookmarkEnd w:id="4"/>
    </w:p>
    <w:p w14:paraId="43AAD7BE" w14:textId="700A465B" w:rsidR="00FC037D" w:rsidRPr="001F159D" w:rsidRDefault="0002573D" w:rsidP="0072282C">
      <w:pPr>
        <w:spacing w:line="480" w:lineRule="auto"/>
      </w:pPr>
      <w:r>
        <w:t xml:space="preserve">The circular economy agenda makes it paramount </w:t>
      </w:r>
      <w:r w:rsidR="00EA2328">
        <w:t xml:space="preserve">for </w:t>
      </w:r>
      <w:r w:rsidR="00F46CB3">
        <w:t xml:space="preserve">construction supply chains </w:t>
      </w:r>
      <w:r>
        <w:t>to reduce material waste.</w:t>
      </w:r>
      <w:r w:rsidR="00A319C3">
        <w:t xml:space="preserve"> </w:t>
      </w:r>
      <w:r w:rsidR="00FA568C">
        <w:t>Although a collaborative platform called Building Information Modelling (BIM)</w:t>
      </w:r>
      <w:r w:rsidR="004F1702">
        <w:t xml:space="preserve"> offers a means of </w:t>
      </w:r>
      <w:r w:rsidR="0005627F">
        <w:t>supply chains</w:t>
      </w:r>
      <w:r w:rsidR="001C2F51">
        <w:t xml:space="preserve"> integration</w:t>
      </w:r>
      <w:r w:rsidR="00407A8E">
        <w:t xml:space="preserve">, </w:t>
      </w:r>
      <w:r w:rsidR="001C2F51">
        <w:t>it</w:t>
      </w:r>
      <w:r w:rsidR="00407A8E">
        <w:t xml:space="preserve"> has not </w:t>
      </w:r>
      <w:r w:rsidR="00407A8E" w:rsidRPr="004A2936">
        <w:rPr>
          <w:noProof/>
        </w:rPr>
        <w:t xml:space="preserve">been </w:t>
      </w:r>
      <w:r w:rsidR="0005627F">
        <w:rPr>
          <w:noProof/>
        </w:rPr>
        <w:t xml:space="preserve">efficiently </w:t>
      </w:r>
      <w:r w:rsidR="00407A8E" w:rsidRPr="004A2936">
        <w:rPr>
          <w:noProof/>
        </w:rPr>
        <w:t>upscaled</w:t>
      </w:r>
      <w:r w:rsidR="0005627F">
        <w:t xml:space="preserve"> for </w:t>
      </w:r>
      <w:r w:rsidR="00E91435">
        <w:t xml:space="preserve">delivering </w:t>
      </w:r>
      <w:r w:rsidR="0005627F">
        <w:t>waste efficient building designs</w:t>
      </w:r>
      <w:r w:rsidR="00407A8E">
        <w:t xml:space="preserve">. </w:t>
      </w:r>
      <w:r w:rsidR="001C2F51">
        <w:t>This study</w:t>
      </w:r>
      <w:r w:rsidR="00201033">
        <w:t>,</w:t>
      </w:r>
      <w:r w:rsidR="001C2F51">
        <w:t xml:space="preserve"> therefore</w:t>
      </w:r>
      <w:r w:rsidR="00201033">
        <w:t>,</w:t>
      </w:r>
      <w:r w:rsidR="00D4457E">
        <w:t xml:space="preserve"> </w:t>
      </w:r>
      <w:r w:rsidR="00FC037D" w:rsidRPr="001F159D">
        <w:t xml:space="preserve">develops a BIM-based computational tool for building waste analytics and reporting in </w:t>
      </w:r>
      <w:r w:rsidR="009F69EA">
        <w:t xml:space="preserve">the </w:t>
      </w:r>
      <w:r w:rsidR="00C15C2E">
        <w:t>construction supply chains</w:t>
      </w:r>
      <w:r w:rsidR="009F69EA">
        <w:t>.</w:t>
      </w:r>
      <w:r w:rsidR="00FC037D" w:rsidRPr="001F159D">
        <w:t xml:space="preserve"> A </w:t>
      </w:r>
      <w:r w:rsidR="007C5286">
        <w:t xml:space="preserve">Construction </w:t>
      </w:r>
      <w:r w:rsidR="00FC037D" w:rsidRPr="001F159D">
        <w:t>W</w:t>
      </w:r>
      <w:r w:rsidR="007C5286">
        <w:t>aste (CW)</w:t>
      </w:r>
      <w:r w:rsidR="00FC037D" w:rsidRPr="001F159D">
        <w:t xml:space="preserve"> prediction model using Adaptive Neuro-Fuzzy Inference System (ANFIS) </w:t>
      </w:r>
      <w:r w:rsidR="00FC037D" w:rsidRPr="004A2936">
        <w:rPr>
          <w:noProof/>
        </w:rPr>
        <w:t>was developed</w:t>
      </w:r>
      <w:r w:rsidR="00FC037D" w:rsidRPr="001F159D">
        <w:t xml:space="preserve"> and integrated into Autodesk Revit BIM platform. </w:t>
      </w:r>
      <w:r w:rsidR="0029289D">
        <w:t>The model development process reveals that “</w:t>
      </w:r>
      <w:r w:rsidR="0029289D" w:rsidRPr="00095716">
        <w:rPr>
          <w:i/>
        </w:rPr>
        <w:t>G</w:t>
      </w:r>
      <w:r w:rsidR="0029289D">
        <w:rPr>
          <w:i/>
        </w:rPr>
        <w:t xml:space="preserve">ross </w:t>
      </w:r>
      <w:r w:rsidR="0029289D" w:rsidRPr="00095716">
        <w:rPr>
          <w:i/>
        </w:rPr>
        <w:t>F</w:t>
      </w:r>
      <w:r w:rsidR="0029289D">
        <w:rPr>
          <w:i/>
        </w:rPr>
        <w:t xml:space="preserve">loor </w:t>
      </w:r>
      <w:r w:rsidR="0029289D" w:rsidRPr="00095716">
        <w:rPr>
          <w:i/>
        </w:rPr>
        <w:t>A</w:t>
      </w:r>
      <w:r w:rsidR="0029289D">
        <w:rPr>
          <w:i/>
        </w:rPr>
        <w:t>rea</w:t>
      </w:r>
      <w:r w:rsidR="0029289D">
        <w:t>” and “</w:t>
      </w:r>
      <w:r w:rsidR="0029289D" w:rsidRPr="00095716">
        <w:rPr>
          <w:i/>
          <w:noProof/>
        </w:rPr>
        <w:t>Construction type</w:t>
      </w:r>
      <w:r w:rsidR="0029289D">
        <w:t xml:space="preserve">” are the two </w:t>
      </w:r>
      <w:r w:rsidR="0029289D" w:rsidRPr="00A3453B">
        <w:rPr>
          <w:noProof/>
        </w:rPr>
        <w:t>key</w:t>
      </w:r>
      <w:r w:rsidR="0029289D">
        <w:t xml:space="preserve"> predictors for CW. The </w:t>
      </w:r>
      <w:r w:rsidR="00FC037D" w:rsidRPr="001F159D">
        <w:t xml:space="preserve">results </w:t>
      </w:r>
      <w:r w:rsidR="0029289D">
        <w:t xml:space="preserve">of the study </w:t>
      </w:r>
      <w:r w:rsidR="00FC037D" w:rsidRPr="001F159D">
        <w:t xml:space="preserve">show that </w:t>
      </w:r>
      <w:r w:rsidR="00EE4E00">
        <w:t xml:space="preserve">the </w:t>
      </w:r>
      <w:r w:rsidR="009E57CB">
        <w:t>tool</w:t>
      </w:r>
      <w:r w:rsidR="00EE4E00">
        <w:t xml:space="preserve"> offers useful insight</w:t>
      </w:r>
      <w:r w:rsidR="00DD2A40">
        <w:t>s</w:t>
      </w:r>
      <w:r w:rsidR="00EE4E00">
        <w:t xml:space="preserve"> </w:t>
      </w:r>
      <w:r w:rsidR="00E91435">
        <w:t xml:space="preserve">into CW minimisation opportunities. The study makes a huge contribution to CW management practices </w:t>
      </w:r>
      <w:r w:rsidR="00EE4E00">
        <w:t xml:space="preserve">by </w:t>
      </w:r>
      <w:r w:rsidR="00600B0B">
        <w:t xml:space="preserve">developing a computational approach to CW </w:t>
      </w:r>
      <w:r w:rsidR="00A22518">
        <w:t>measurement</w:t>
      </w:r>
      <w:r w:rsidR="00CD6A45">
        <w:t>. Th</w:t>
      </w:r>
      <w:r w:rsidR="00A22518">
        <w:t>e</w:t>
      </w:r>
      <w:r w:rsidR="00CD6A45">
        <w:t xml:space="preserve"> contribution </w:t>
      </w:r>
      <w:r w:rsidR="00A22518">
        <w:t xml:space="preserve">of the study </w:t>
      </w:r>
      <w:r w:rsidR="00CD6A45">
        <w:t>is fundamental because a</w:t>
      </w:r>
      <w:r w:rsidR="009E57CB">
        <w:t xml:space="preserve">chieving accurate </w:t>
      </w:r>
      <w:r w:rsidR="00E257EF">
        <w:t>waste</w:t>
      </w:r>
      <w:r w:rsidR="009E57CB">
        <w:t xml:space="preserve"> </w:t>
      </w:r>
      <w:r w:rsidR="00DD2A40">
        <w:t>prediction</w:t>
      </w:r>
      <w:r w:rsidR="009E57CB">
        <w:t xml:space="preserve"> is crucial to</w:t>
      </w:r>
      <w:r w:rsidR="00F35F03">
        <w:t xml:space="preserve"> </w:t>
      </w:r>
      <w:r w:rsidR="00E257EF">
        <w:t>waste</w:t>
      </w:r>
      <w:r w:rsidR="00F35F03">
        <w:t xml:space="preserve"> prevention through </w:t>
      </w:r>
      <w:r w:rsidR="00F35F03" w:rsidRPr="001F159D">
        <w:t xml:space="preserve">adequate design </w:t>
      </w:r>
      <w:r w:rsidR="00A22518">
        <w:t xml:space="preserve">principles </w:t>
      </w:r>
      <w:r w:rsidR="00F35F03">
        <w:t>and BIM.</w:t>
      </w:r>
    </w:p>
    <w:p w14:paraId="0C23622D" w14:textId="2B7D1403" w:rsidR="00FC037D" w:rsidRPr="001F159D" w:rsidRDefault="00FC037D" w:rsidP="0072282C">
      <w:pPr>
        <w:spacing w:line="480" w:lineRule="auto"/>
        <w:rPr>
          <w:i/>
        </w:rPr>
      </w:pPr>
      <w:r w:rsidRPr="001F159D">
        <w:rPr>
          <w:b/>
          <w:i/>
        </w:rPr>
        <w:t>Keywords</w:t>
      </w:r>
      <w:r w:rsidRPr="001F159D">
        <w:rPr>
          <w:i/>
        </w:rPr>
        <w:t>: Construction supply chain</w:t>
      </w:r>
      <w:r w:rsidR="0002573D">
        <w:rPr>
          <w:i/>
        </w:rPr>
        <w:t>s</w:t>
      </w:r>
      <w:r w:rsidR="00150399" w:rsidRPr="001F159D">
        <w:rPr>
          <w:i/>
        </w:rPr>
        <w:t>,</w:t>
      </w:r>
      <w:r w:rsidR="00150399">
        <w:rPr>
          <w:i/>
        </w:rPr>
        <w:t xml:space="preserve"> circular economy</w:t>
      </w:r>
      <w:r w:rsidRPr="001F159D">
        <w:rPr>
          <w:i/>
        </w:rPr>
        <w:t>, construction waste analytics, Building Information Modelling (BIM), predictive modelling</w:t>
      </w:r>
      <w:r w:rsidR="005D5216">
        <w:rPr>
          <w:i/>
        </w:rPr>
        <w:t>.</w:t>
      </w:r>
    </w:p>
    <w:p w14:paraId="447A1D22" w14:textId="77777777" w:rsidR="00FC037D" w:rsidRPr="001F159D" w:rsidRDefault="00FC037D" w:rsidP="0072282C">
      <w:pPr>
        <w:pStyle w:val="Heading1"/>
        <w:spacing w:line="480" w:lineRule="auto"/>
      </w:pPr>
      <w:r w:rsidRPr="001F159D">
        <w:t>Introduction</w:t>
      </w:r>
    </w:p>
    <w:p w14:paraId="5A718EA7" w14:textId="1D78A351" w:rsidR="00FC3516" w:rsidRDefault="007A6CC5" w:rsidP="0072282C">
      <w:pPr>
        <w:spacing w:line="480" w:lineRule="auto"/>
      </w:pPr>
      <w:r w:rsidRPr="004A2936">
        <w:rPr>
          <w:noProof/>
        </w:rPr>
        <w:t>Several definitions of supply chain</w:t>
      </w:r>
      <w:r w:rsidR="00D85817" w:rsidRPr="004A2936">
        <w:rPr>
          <w:noProof/>
        </w:rPr>
        <w:t>s</w:t>
      </w:r>
      <w:r w:rsidRPr="004A2936">
        <w:rPr>
          <w:noProof/>
        </w:rPr>
        <w:t xml:space="preserve"> exist in the literature; however, a widely acknowledged definition is given by Christopher </w:t>
      </w:r>
      <w:r w:rsidRPr="004A2936">
        <w:rPr>
          <w:noProof/>
        </w:rPr>
        <w:fldChar w:fldCharType="begin" w:fldLock="1"/>
      </w:r>
      <w:r w:rsidR="002B7C0A">
        <w:rPr>
          <w:noProof/>
        </w:rPr>
        <w:instrText>ADDIN CSL_CITATION {"citationItems":[{"id":"ITEM-1","itemData":{"author":[{"dropping-particle":"","family":"Christopher","given":"Martin","non-dropping-particle":"","parse-names":false,"suffix":""}],"container-title":"Financial Times/prentice Hall, London","id":"ITEM-1","issued":{"date-parts":[["1998"]]},"title":"Logistics and Supply Chain Management: Strategies for reducing cost and improving services","type":"article-journal"},"suppress-author":1,"uris":["http://www.mendeley.com/documents/?uuid=de18a517-e6cf-480d-8fbe-342409a9ebb2","http://www.mendeley.com/documents/?uuid=4a12dcf0-e4e0-4d26-98f7-c444c1fd51e9"]}],"mendeley":{"formattedCitation":"(1998)","plainTextFormattedCitation":"(1998)","previouslyFormattedCitation":"(1998)"},"properties":{"noteIndex":0},"schema":"https://github.com/citation-style-language/schema/raw/master/csl-citation.json"}</w:instrText>
      </w:r>
      <w:r w:rsidRPr="004A2936">
        <w:rPr>
          <w:noProof/>
        </w:rPr>
        <w:fldChar w:fldCharType="separate"/>
      </w:r>
      <w:r w:rsidR="002E18F3" w:rsidRPr="002E18F3">
        <w:rPr>
          <w:noProof/>
        </w:rPr>
        <w:t>(1998)</w:t>
      </w:r>
      <w:r w:rsidRPr="004A2936">
        <w:rPr>
          <w:noProof/>
        </w:rPr>
        <w:fldChar w:fldCharType="end"/>
      </w:r>
      <w:r w:rsidRPr="004A2936">
        <w:rPr>
          <w:noProof/>
        </w:rPr>
        <w:t xml:space="preserve"> as “</w:t>
      </w:r>
      <w:r w:rsidRPr="00A97039">
        <w:rPr>
          <w:i/>
          <w:noProof/>
        </w:rPr>
        <w:t xml:space="preserve">the network of organisations that are involved, through upstream and downstream linkages, in the different processes and activities that </w:t>
      </w:r>
      <w:r w:rsidRPr="00A97039">
        <w:rPr>
          <w:i/>
          <w:noProof/>
        </w:rPr>
        <w:lastRenderedPageBreak/>
        <w:t>produce value in the form of products and services in the hands of the ultimate customer</w:t>
      </w:r>
      <w:r w:rsidRPr="004A2936">
        <w:rPr>
          <w:noProof/>
        </w:rPr>
        <w:t xml:space="preserve">”. This definition rightly captures the necessary integration between the upstream and downstream for enhanced value delivery </w:t>
      </w:r>
      <w:r w:rsidR="00544676">
        <w:rPr>
          <w:noProof/>
        </w:rPr>
        <w:t xml:space="preserve">that is required </w:t>
      </w:r>
      <w:r w:rsidRPr="004A2936">
        <w:rPr>
          <w:noProof/>
        </w:rPr>
        <w:t xml:space="preserve">in the Architecture, Engineering, and Construction (AEC) </w:t>
      </w:r>
      <w:r w:rsidR="00923F7B">
        <w:rPr>
          <w:noProof/>
        </w:rPr>
        <w:t xml:space="preserve">industries </w:t>
      </w:r>
      <w:r w:rsidRPr="004A2936">
        <w:rPr>
          <w:noProof/>
        </w:rPr>
        <w:t xml:space="preserve">through supply </w:t>
      </w:r>
      <w:r w:rsidR="006348AF" w:rsidRPr="004A2936">
        <w:rPr>
          <w:noProof/>
        </w:rPr>
        <w:t>chains</w:t>
      </w:r>
      <w:r w:rsidR="00480A74" w:rsidRPr="004A2936">
        <w:rPr>
          <w:noProof/>
        </w:rPr>
        <w:t xml:space="preserve"> </w:t>
      </w:r>
      <w:r w:rsidRPr="004A2936">
        <w:rPr>
          <w:noProof/>
        </w:rPr>
        <w:t>improvement.</w:t>
      </w:r>
      <w:r w:rsidRPr="001F159D">
        <w:t xml:space="preserve"> </w:t>
      </w:r>
      <w:r w:rsidR="00095272">
        <w:t xml:space="preserve">The </w:t>
      </w:r>
      <w:r w:rsidRPr="001F159D">
        <w:t xml:space="preserve">AEC supply </w:t>
      </w:r>
      <w:r w:rsidR="006348AF">
        <w:t xml:space="preserve">chains </w:t>
      </w:r>
      <w:r w:rsidRPr="001F159D">
        <w:t xml:space="preserve">are: (i) upstream (suppliers, subcontractors and specialist contractors) and downstream (contractors and material manufacturer) </w:t>
      </w:r>
      <w:r w:rsidRPr="001F159D">
        <w:fldChar w:fldCharType="begin" w:fldLock="1"/>
      </w:r>
      <w:r w:rsidR="002B7C0A">
        <w:instrText>ADDIN CSL_CITATION {"citationItems":[{"id":"ITEM-1","itemData":{"DOI":"10.1016/S0969-7012(00)00012-5","ISSN":"0969-7012","abstract":"The paper details the results of a questionnaire survey of supply chain collaboration and management in the top the UK construction industry contractors. The results indicate the formation of a significant number of partnerships/ collaborative agreements between contractors, suppliers and clients following the publication of the Latham (1994) and Egan (1997) reports. It appears that construction supply chain management (SCM) is still at its infancy but some awareness of the philosophy is evident. Contractors identified improved production planning and purchasing as key targets for the application of SCM in construction. Barriers to success included: workplace culture, lack of senior management commitment, inappropriate support structures and a lack of knowledge of SCM philosophy. Training and education at all levels in the industry are necessary to overcome these barriers.","author":[{"dropping-particle":"","family":"Akintoye","given":"Akintola","non-dropping-particle":"","parse-names":false,"suffix":""},{"dropping-particle":"","family":"McIntosh","given":"George","non-dropping-particle":"","parse-names":false,"suffix":""},{"dropping-particle":"","family":"Fitzgerald","given":"Eamon","non-dropping-particle":"","parse-names":false,"suffix":""}],"container-title":"European Journal of Purchasing &amp; Supply Management","id":"ITEM-1","issue":"3-4","issued":{"date-parts":[["2000","12","1"]]},"page":"159-168","publisher":"Pergamon","title":"A survey of supply chain collaboration and management in the UK construction industry","type":"article-journal","volume":"6"},"uris":["http://www.mendeley.com/documents/?uuid=f256bf8b-ec7e-3c09-b97f-edd62fb045b4"]}],"mendeley":{"formattedCitation":"(Akintoye et al., 2000)","plainTextFormattedCitation":"(Akintoye et al., 2000)","previouslyFormattedCitation":"(Akintoye et al., 2000)"},"properties":{"noteIndex":0},"schema":"https://github.com/citation-style-language/schema/raw/master/csl-citation.json"}</w:instrText>
      </w:r>
      <w:r w:rsidRPr="001F159D">
        <w:fldChar w:fldCharType="separate"/>
      </w:r>
      <w:r w:rsidRPr="001F159D">
        <w:rPr>
          <w:noProof/>
        </w:rPr>
        <w:t>(Akintoye et al., 2000)</w:t>
      </w:r>
      <w:r w:rsidRPr="001F159D">
        <w:fldChar w:fldCharType="end"/>
      </w:r>
      <w:r w:rsidRPr="001F159D">
        <w:t xml:space="preserve">. The rethinking construction report </w:t>
      </w:r>
      <w:r w:rsidRPr="001F159D">
        <w:fldChar w:fldCharType="begin" w:fldLock="1"/>
      </w:r>
      <w:r w:rsidR="002B7C0A">
        <w:instrText>ADDIN CSL_CITATION {"citationItems":[{"id":"ITEM-1","itemData":{"abstract":"The report of the Construction Task Force to the Deputy Prime Minister, John Prescott, on the scope for improving the quality and efficiency of UK construction.","author":[{"dropping-particle":"","family":"Egan","given":"John","non-dropping-particle":"","parse-names":false,"suffix":""}],"container-title":"Department of the Environment, Transport and the Regions, London","id":"ITEM-1","issued":{"date-parts":[["1998"]]},"title":"Rethinking construction","type":"report"},"uris":["http://www.mendeley.com/documents/?uuid=01ca4ba5-6bb1-478b-bd2c-7d45c3b4aba2"]}],"mendeley":{"formattedCitation":"(Egan, 1998)","plainTextFormattedCitation":"(Egan, 1998)","previouslyFormattedCitation":"(Egan, 1998)"},"properties":{"noteIndex":0},"schema":"https://github.com/citation-style-language/schema/raw/master/csl-citation.json"}</w:instrText>
      </w:r>
      <w:r w:rsidRPr="001F159D">
        <w:fldChar w:fldCharType="separate"/>
      </w:r>
      <w:r w:rsidRPr="001F159D">
        <w:rPr>
          <w:noProof/>
        </w:rPr>
        <w:t>(Egan, 1998)</w:t>
      </w:r>
      <w:r w:rsidRPr="001F159D">
        <w:fldChar w:fldCharType="end"/>
      </w:r>
      <w:r w:rsidRPr="001F159D">
        <w:t xml:space="preserve"> reveals that the inefficient linkage among stakeholders in the two supply </w:t>
      </w:r>
      <w:r w:rsidR="006348AF">
        <w:t xml:space="preserve">chains </w:t>
      </w:r>
      <w:r w:rsidRPr="001F159D">
        <w:t xml:space="preserve">streams contributes to the failure of the fragmented construction industry to meet client demand and </w:t>
      </w:r>
      <w:r w:rsidR="00095272">
        <w:t xml:space="preserve">the </w:t>
      </w:r>
      <w:r w:rsidRPr="001F159D">
        <w:t xml:space="preserve">expected efficiency. The report emphasises reduced cost and enhanced value delivery through supply </w:t>
      </w:r>
      <w:r w:rsidR="006348AF">
        <w:t xml:space="preserve">chains </w:t>
      </w:r>
      <w:r w:rsidRPr="001F159D">
        <w:t xml:space="preserve">improvement. </w:t>
      </w:r>
      <w:r w:rsidR="005D61F1" w:rsidRPr="001F159D">
        <w:t xml:space="preserve">Thunberg </w:t>
      </w:r>
      <w:r w:rsidR="005D61F1" w:rsidRPr="001F159D">
        <w:fldChar w:fldCharType="begin" w:fldLock="1"/>
      </w:r>
      <w:r w:rsidR="002B7C0A">
        <w:instrText>ADDIN CSL_CITATION {"citationItems":[{"id":"ITEM-1","itemData":{"DOI":"10.1108/CI-10-2015-0059","ISSN":"1471-4175","abstract":"Purpose This study aims to identify and categorise common on-site problems from a supply chain management (SCM) perspective and to trace the origin of these problems in the construction project process, the supply chain or in the intersection between these processes. This allows for identification of how on-site problems affect SCM in construction projects and how they can be mitigated. Design/methodology/approach A literature review in combination with semi-structured interviews was used to identify on-site problems. This enabled triangulation and strengthened both construct validity and internal validity. Findings On-site problems can be categorised in one of the four following categories: material flows, internal communication, external communication or complexity. The first category has its origin in the supply chain, the second in the construction project process, the third in the supply chain-construction process intersection on site and the fourth in the construction project as a whole. The finding...","author":[{"dropping-particle":"","family":"Thunberg","given":"Micael","non-dropping-particle":"","parse-names":false,"suffix":""},{"dropping-particle":"","family":"Rudberg","given":"Martin","non-dropping-particle":"","parse-names":false,"suffix":""},{"dropping-particle":"","family":"Karrbom Gustavsson","given":"Tina","non-dropping-particle":"","parse-names":false,"suffix":""}],"container-title":"Construction Innovation","id":"ITEM-1","issue":"1","issued":{"date-parts":[["2017","1","3"]]},"page":"90-111","publisher":"Emerald Publishing Limited","title":"Categorising on-site problems: A supply chain management perspective on construction projects","type":"article-journal","volume":"17"},"suppress-author":1,"uris":["http://www.mendeley.com/documents/?uuid=8495dfd2-e7f8-362f-a483-597349fd7c0e"]}],"mendeley":{"formattedCitation":"(2017)","plainTextFormattedCitation":"(2017)","previouslyFormattedCitation":"(2017)"},"properties":{"noteIndex":0},"schema":"https://github.com/citation-style-language/schema/raw/master/csl-citation.json"}</w:instrText>
      </w:r>
      <w:r w:rsidR="005D61F1" w:rsidRPr="001F159D">
        <w:fldChar w:fldCharType="separate"/>
      </w:r>
      <w:r w:rsidR="005D61F1" w:rsidRPr="001F159D">
        <w:rPr>
          <w:noProof/>
        </w:rPr>
        <w:t>(2017)</w:t>
      </w:r>
      <w:r w:rsidR="005D61F1" w:rsidRPr="001F159D">
        <w:fldChar w:fldCharType="end"/>
      </w:r>
      <w:r w:rsidR="005D61F1" w:rsidRPr="001F159D">
        <w:t xml:space="preserve"> </w:t>
      </w:r>
      <w:r w:rsidR="005D61F1">
        <w:t xml:space="preserve">argues </w:t>
      </w:r>
      <w:r w:rsidR="004A2936">
        <w:t>that the</w:t>
      </w:r>
      <w:r w:rsidR="00EB0B1B">
        <w:t xml:space="preserve"> </w:t>
      </w:r>
      <w:r w:rsidR="006701CC" w:rsidRPr="004A2936">
        <w:rPr>
          <w:noProof/>
        </w:rPr>
        <w:t>major</w:t>
      </w:r>
      <w:r w:rsidR="006701CC">
        <w:t xml:space="preserve"> challenges </w:t>
      </w:r>
      <w:r w:rsidR="004A2936">
        <w:t xml:space="preserve">of </w:t>
      </w:r>
      <w:r w:rsidR="006701CC">
        <w:t xml:space="preserve">supply </w:t>
      </w:r>
      <w:r w:rsidR="006348AF">
        <w:t xml:space="preserve">chains </w:t>
      </w:r>
      <w:r w:rsidR="006701CC">
        <w:t xml:space="preserve">management are: (i) achieving </w:t>
      </w:r>
      <w:r w:rsidR="00FC3516">
        <w:t xml:space="preserve">efficiency in </w:t>
      </w:r>
      <w:r w:rsidR="005D61F1">
        <w:t xml:space="preserve">material </w:t>
      </w:r>
      <w:r w:rsidR="00EB0B1B">
        <w:t>f</w:t>
      </w:r>
      <w:r w:rsidR="00FC3516">
        <w:t>low</w:t>
      </w:r>
      <w:r w:rsidR="00D85817">
        <w:t xml:space="preserve">, </w:t>
      </w:r>
      <w:r w:rsidR="00FC3516">
        <w:t>(ii) achieving efficiency in communication</w:t>
      </w:r>
      <w:r w:rsidR="00D85817">
        <w:t>, and (iii) project complexity</w:t>
      </w:r>
      <w:r w:rsidR="005D61F1" w:rsidRPr="001F159D">
        <w:t xml:space="preserve">. </w:t>
      </w:r>
      <w:r w:rsidR="00095272">
        <w:t>However, r</w:t>
      </w:r>
      <w:r w:rsidR="00DC3CDC">
        <w:t xml:space="preserve">educing waste in the supply </w:t>
      </w:r>
      <w:r w:rsidR="006348AF">
        <w:t xml:space="preserve">chains </w:t>
      </w:r>
      <w:r w:rsidR="00DC3CDC">
        <w:t>material flow is expedient considering</w:t>
      </w:r>
      <w:r w:rsidR="00522331">
        <w:t xml:space="preserve"> the increasing stringency of waste legislation and regulations </w:t>
      </w:r>
      <w:r w:rsidR="00522331" w:rsidRPr="001F159D">
        <w:fldChar w:fldCharType="begin" w:fldLock="1"/>
      </w:r>
      <w:r w:rsidR="002B7C0A">
        <w:instrText>ADDIN CSL_CITATION {"citationItems":[{"id":"ITEM-1","itemData":{"DOI":"10.1016/S0925-5273(03)00045-8","ISSN":"0925-5273","abstract":"Waste management is a strategic supply chain issue. This paper explores the definition and classification of waste from different viewpoints. A generic functional model is presented for modelling the material and flow of waste from both a physical and cumulative cost perspective. The application of the model is illustrated through a case study. The research demonstrates that improved waste management practices can simultaneously reduce disposal cost as well as generating additional value through the creation of new supply chains that reuse or recycle materials.","author":[{"dropping-particle":"","family":"Hicks","given":"C.","non-dropping-particle":"","parse-names":false,"suffix":""},{"dropping-particle":"","family":"Heidrich","given":"O.","non-dropping-particle":"","parse-names":false,"suffix":""},{"dropping-particle":"","family":"McGovern","given":"T.","non-dropping-particle":"","parse-names":false,"suffix":""},{"dropping-particle":"","family":"Donnelly","given":"T.","non-dropping-particle":"","parse-names":false,"suffix":""}],"container-title":"International Journal of Production Economics","id":"ITEM-1","issue":"2","issued":{"date-parts":[["2004","5","28"]]},"page":"165-174","publisher":"Elsevier","title":"A functional model of supply chains and waste","type":"article-journal","volume":"89"},"uris":["http://www.mendeley.com/documents/?uuid=68b42a80-46bd-39b1-99e5-b1826daf4f99"]}],"mendeley":{"formattedCitation":"(Hicks et al., 2004)","plainTextFormattedCitation":"(Hicks et al., 2004)","previouslyFormattedCitation":"(Hicks et al., 2004)"},"properties":{"noteIndex":0},"schema":"https://github.com/citation-style-language/schema/raw/master/csl-citation.json"}</w:instrText>
      </w:r>
      <w:r w:rsidR="00522331" w:rsidRPr="001F159D">
        <w:fldChar w:fldCharType="separate"/>
      </w:r>
      <w:r w:rsidR="00522331" w:rsidRPr="001F159D">
        <w:rPr>
          <w:noProof/>
        </w:rPr>
        <w:t>(Hicks et al., 2004)</w:t>
      </w:r>
      <w:r w:rsidR="00522331" w:rsidRPr="001F159D">
        <w:fldChar w:fldCharType="end"/>
      </w:r>
      <w:r w:rsidR="00A6714E">
        <w:t xml:space="preserve"> and the global circular economy agenda</w:t>
      </w:r>
      <w:r w:rsidR="00095272">
        <w:t xml:space="preserve"> </w:t>
      </w:r>
      <w:r w:rsidR="00095272">
        <w:fldChar w:fldCharType="begin" w:fldLock="1"/>
      </w:r>
      <w:r w:rsidR="002B7C0A">
        <w:instrText>ADDIN CSL_CITATION {"citationItems":[{"id":"ITEM-1","itemData":{"DOI":"10.1016/J.JCLEPRO.2015.06.124","ISSN":"0959-6526","abstract":"To simultaneously solve the dilemma of energy demand, waste management, and greenhouse gas emission for communities globally, the waste-to-energy (WTE) supply chain as district energy system should be a viable method towards circular industrial economy. Several essential state-of-the-art WTE technologies including combustion, gasification and anaerobic digestion were evaluated. Portfolio options of technologies for different types of WTE supply chains were illustrated for achieving circular economy system. Since policy makers have to address the public concerns prior to promulgate and implement relating regulations, the strategies on implementation of WTE supply chain were proposed to overcome the challenging barriers from the aspects of technology, finance, institution and regulation. A total of eight key task-forces were also proposed for effectively executing the strategies. Furthermore, several successful lessons on WTE supply chains such as green fuel pellet for heating supply and co-digestion of organic wastes for bio-gas production around the world were reviewed and illustrated.","author":[{"dropping-particle":"","family":"Pan","given":"Shu-Yuan","non-dropping-particle":"","parse-names":false,"suffix":""},{"dropping-particle":"","family":"Du","given":"Michael Alex","non-dropping-particle":"","parse-names":false,"suffix":""},{"dropping-particle":"","family":"Huang","given":"I-Te","non-dropping-particle":"","parse-names":false,"suffix":""},{"dropping-particle":"","family":"Liu","given":"I-Hung","non-dropping-particle":"","parse-names":false,"suffix":""},{"dropping-particle":"","family":"Chang","given":"E-E","non-dropping-particle":"","parse-names":false,"suffix":""},{"dropping-particle":"","family":"Chiang","given":"Pen-Chi","non-dropping-particle":"","parse-names":false,"suffix":""}],"container-title":"Journal of Cleaner Production","id":"ITEM-1","issued":{"date-parts":[["2015","12","1"]]},"page":"409-421","publisher":"Elsevier","title":"Strategies on implementation of waste-to-energy (WTE) supply chain for circular economy system: a review","type":"article-journal","volume":"108"},"uris":["http://www.mendeley.com/documents/?uuid=ab8adb01-dc3a-37d6-b31a-093c04725f3f"]}],"mendeley":{"formattedCitation":"(Pan et al., 2015)","plainTextFormattedCitation":"(Pan et al., 2015)","previouslyFormattedCitation":"(Pan et al., 2015)"},"properties":{"noteIndex":0},"schema":"https://github.com/citation-style-language/schema/raw/master/csl-citation.json"}</w:instrText>
      </w:r>
      <w:r w:rsidR="00095272">
        <w:fldChar w:fldCharType="separate"/>
      </w:r>
      <w:r w:rsidR="00095272" w:rsidRPr="00095272">
        <w:rPr>
          <w:noProof/>
        </w:rPr>
        <w:t>(Pan et al., 2015)</w:t>
      </w:r>
      <w:r w:rsidR="00095272">
        <w:fldChar w:fldCharType="end"/>
      </w:r>
      <w:r w:rsidR="00A6714E">
        <w:t>.</w:t>
      </w:r>
    </w:p>
    <w:p w14:paraId="1FDCA080" w14:textId="5539F3D0" w:rsidR="0028689C" w:rsidRPr="001F159D" w:rsidRDefault="00C150F5" w:rsidP="0072282C">
      <w:pPr>
        <w:spacing w:line="480" w:lineRule="auto"/>
      </w:pPr>
      <w:r>
        <w:t>The c</w:t>
      </w:r>
      <w:r w:rsidR="00E77E13">
        <w:t xml:space="preserve">ircular economy agenda is a sustainable </w:t>
      </w:r>
      <w:r w:rsidR="00DA4E0F">
        <w:t xml:space="preserve">development model </w:t>
      </w:r>
      <w:r w:rsidR="00EB5B83">
        <w:t>that offers an</w:t>
      </w:r>
      <w:r w:rsidR="00DA4E0F">
        <w:t xml:space="preserve"> alternative to the traditional “take-make-</w:t>
      </w:r>
      <w:r w:rsidR="00671C22">
        <w:t>waste</w:t>
      </w:r>
      <w:r w:rsidR="00DA4E0F">
        <w:t xml:space="preserve">” model </w:t>
      </w:r>
      <w:r w:rsidR="00671C22">
        <w:fldChar w:fldCharType="begin" w:fldLock="1"/>
      </w:r>
      <w:r w:rsidR="002B7C0A">
        <w:instrText>ADDIN CSL_CITATION {"citationItems":[{"id":"ITEM-1","itemData":{"DOI":"10.1016/J.TECHFORE.2016.09.021","ISSN":"0040-1625","abstract":"The circular economy (CE) aims to radically improve resource efficiency by eliminating the concept of waste and leading to a shift away from the linear take-make-waste model. In a CE, resources are flowing in a circular manner either in a biocycle (biomass) or technocycle (inorganic materials). While early studies indicate that 3D printing (3DP) holds substantial promise for sustainability and the creation of a CE, there is no guarantee that it will do so. There is great uncertainty regarding whether the current trajectory of 3DP adoption is creating more circular material flows or if it is leading to an alternative scenario in which less eco-efficient localised production, demands for customised goods, and a higher rate of product obsolescence combine to bring about increased resource consumption. It is critical that CE principles are embedded into the new manufacturing system before the adoption of 3DP reaches a critical inflection point in which negative practices become entrenched. This paper, authored by both academic and industry experts, proposes a research agenda to determine enablers and barriers for 3DP to achieve a CE. We explore the two following overarching questions to discover what specific issues they entail: (1) How can a more distributed manufacturing system based on 3DP create a circular economy of closed-loop material flows? (2) What are the barriers to a circular 3D printing economy? We specifically examine six areas—design, supply chains, information flows, entrepreneurship, business models and education—with the aim of formulating a research agenda to enable 3DP to reach its full potential for a CE.","author":[{"dropping-particle":"","family":"Despeisse","given":"M.","non-dropping-particle":"","parse-names":false,"suffix":""},{"dropping-particle":"","family":"Baumers","given":"M.","non-dropping-particle":"","parse-names":false,"suffix":""},{"dropping-particle":"","family":"Brown","given":"P.","non-dropping-particle":"","parse-names":false,"suffix":""},{"dropping-particle":"","family":"Charnley","given":"F.","non-dropping-particle":"","parse-names":false,"suffix":""},{"dropping-particle":"","family":"Ford","given":"S.J.","non-dropping-particle":"","parse-names":false,"suffix":""},{"dropping-particle":"","family":"Garmulewicz","given":"A.","non-dropping-particle":"","parse-names":false,"suffix":""},{"dropping-particle":"","family":"Knowles","given":"S.","non-dropping-particle":"","parse-names":false,"suffix":""},{"dropping-particle":"","family":"Minshall","given":"T.H.W.","non-dropping-particle":"","parse-names":false,"suffix":""},{"dropping-particle":"","family":"Mortara","given":"L.","non-dropping-particle":"","parse-names":false,"suffix":""},{"dropping-particle":"","family":"Reed-Tsochas","given":"F.P.","non-dropping-particle":"","parse-names":false,"suffix":""},{"dropping-particle":"","family":"Rowley","given":"J.","non-dropping-particle":"","parse-names":false,"suffix":""}],"container-title":"Technological Forecasting and Social Change","id":"ITEM-1","issued":{"date-parts":[["2017","2","1"]]},"page":"75-84","publisher":"North-Holland","title":"Unlocking value for a circular economy through 3D printing: A research agenda","type":"article-journal","volume":"115"},"uris":["http://www.mendeley.com/documents/?uuid=6170e1ac-e749-30ee-b6de-e4d7e44b3caa"]}],"mendeley":{"formattedCitation":"(Despeisse et al., 2017)","plainTextFormattedCitation":"(Despeisse et al., 2017)","previouslyFormattedCitation":"(Despeisse et al., 2017)"},"properties":{"noteIndex":0},"schema":"https://github.com/citation-style-language/schema/raw/master/csl-citation.json"}</w:instrText>
      </w:r>
      <w:r w:rsidR="00671C22">
        <w:fldChar w:fldCharType="separate"/>
      </w:r>
      <w:r w:rsidR="00671C22" w:rsidRPr="00671C22">
        <w:rPr>
          <w:noProof/>
        </w:rPr>
        <w:t>(Despeisse et al., 2017)</w:t>
      </w:r>
      <w:r w:rsidR="00671C22">
        <w:fldChar w:fldCharType="end"/>
      </w:r>
      <w:r w:rsidR="00671C22">
        <w:t xml:space="preserve">. </w:t>
      </w:r>
      <w:r w:rsidR="00E34576">
        <w:t xml:space="preserve">Ghisellini et al. </w:t>
      </w:r>
      <w:r w:rsidR="00E34576">
        <w:fldChar w:fldCharType="begin" w:fldLock="1"/>
      </w:r>
      <w:r w:rsidR="002B7C0A">
        <w:instrText>ADDIN CSL_CITATION {"citationItems":[{"id":"ITEM-1","itemData":{"DOI":"10.1016/J.JCLEPRO.2015.09.007","ISSN":"0959-6526","abstract":"In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Production","id":"ITEM-1","issued":{"date-parts":[["2016","2","15"]]},"page":"11-32","publisher":"Elsevier","title":"A review on circular economy: the expected transition to a balanced interplay of environmental and economic systems","type":"article-journal","volume":"114"},"suppress-author":1,"uris":["http://www.mendeley.com/documents/?uuid=f179b2e5-79a6-37e2-8998-8bfb4df58d12"]}],"mendeley":{"formattedCitation":"(2016)","plainTextFormattedCitation":"(2016)","previouslyFormattedCitation":"(2016)"},"properties":{"noteIndex":0},"schema":"https://github.com/citation-style-language/schema/raw/master/csl-citation.json"}</w:instrText>
      </w:r>
      <w:r w:rsidR="00E34576">
        <w:fldChar w:fldCharType="separate"/>
      </w:r>
      <w:r w:rsidR="00E34576" w:rsidRPr="00E34576">
        <w:rPr>
          <w:noProof/>
        </w:rPr>
        <w:t>(2016)</w:t>
      </w:r>
      <w:r w:rsidR="00E34576">
        <w:fldChar w:fldCharType="end"/>
      </w:r>
      <w:r w:rsidR="00E34576">
        <w:t xml:space="preserve"> point out that th</w:t>
      </w:r>
      <w:r w:rsidR="00D6204D">
        <w:t xml:space="preserve">e concept of circular economy is to eliminate waste </w:t>
      </w:r>
      <w:r w:rsidR="00CF1697">
        <w:t>by adopting</w:t>
      </w:r>
      <w:r w:rsidR="00D6204D">
        <w:t xml:space="preserve"> </w:t>
      </w:r>
      <w:r w:rsidR="00CF1697">
        <w:t>appropriate resource-efficient methods</w:t>
      </w:r>
      <w:r w:rsidR="00D6204D">
        <w:t xml:space="preserve"> </w:t>
      </w:r>
      <w:r w:rsidR="00CF1697">
        <w:t>from</w:t>
      </w:r>
      <w:r w:rsidR="00D6204D">
        <w:t xml:space="preserve"> a sustainability viewpoint</w:t>
      </w:r>
      <w:r w:rsidR="00CF1697">
        <w:t>.</w:t>
      </w:r>
      <w:r w:rsidR="00711ED0">
        <w:t xml:space="preserve"> Waste is </w:t>
      </w:r>
      <w:r w:rsidR="00500492">
        <w:t>a global problem facing different industries</w:t>
      </w:r>
      <w:r w:rsidR="002B7C0A">
        <w:t xml:space="preserve">, which include construction </w:t>
      </w:r>
      <w:r w:rsidR="002B7C0A">
        <w:fldChar w:fldCharType="begin" w:fldLock="1"/>
      </w:r>
      <w:r w:rsidR="00862122">
        <w:instrText>ADDIN CSL_CITATION {"citationItems":[{"id":"ITEM-1","itemData":{"DOI":"10.1016/j.resconrec.2015.06.001","ISSN":"09213449","abstract":"Construction industry contributes a large portion of waste to landfill, which in turns results in environmental pollution and CO2 emission. Despite the adoption of several waste management strategies, waste reduction to landfill continues seeming an insurmountable challenge. This paper explores factors impeding the effectiveness of existing waste management strategies, as well as strategies for reducing waste intensiveness of the construction industry. Drawing on series of semi structured focus group discussions with experts from the UK leading construction companies, this paper combines phenomenological approach with a critical review and analysis of extant literatures. Five broad categories of factors and practices are responsible for ineffectiveness of construction and demolition waste management strategies, which subsequently results in waste intensiveness of the industry. These include end of pipe treatment of waste, externality and incompatibility of waste management tools with design tools, atomism of waste management strategies, perceived or unexpected high cost of waste management, and culture of waste behaviour within the industry. To reduce waste intensiveness of the construction industry, the study suggests that six factors are requisites. These are tackling of waste at design stage, whole life waste consideration, compliance of waste management solutions with BIM, cheaper cost of waste management practice, increased stringency of waste management legislation and fiscal policies, and research and enlightenment. The proposed strategies are not only important for achieving low waste construction projects, they are important for reducing waste intensiveness of the construction. Implementation of the suggested measures would drive waste management practices within the construction industry.","author":[{"dropping-particle":"","family":"Ajayi","given":"Saheed O.","non-dropping-particle":"","parse-names":false,"suffix":""},{"dropping-particle":"","family":"Oyedele","given":"Lukumon O.","non-dropping-particle":"","parse-names":false,"suffix":""},{"dropping-particle":"","family":"Bilal","given":"Muhammad","non-dropping-particle":"","parse-names":false,"suffix":""},{"dropping-particle":"","family":"Akinade","given":"Olugbenga O.","non-dropping-particle":"","parse-names":false,"suffix":""},{"dropping-particle":"","family":"Alaka","given":"Hafiz A.","non-dropping-particle":"","parse-names":false,"suffix":""},{"dropping-particle":"","family":"Owolabi","given":"Hakeem A.","non-dropping-particle":"","parse-names":false,"suffix":""},{"dropping-particle":"","family":"Kadiri","given":"Kabir O.","non-dropping-particle":"","parse-names":false,"suffix":""}],"container-title":"Resources, Conservation and Recycling","id":"ITEM-1","issued":{"date-parts":[["2015","9","1"]]},"page":"101-112","publisher":"Elsevier","title":"Waste effectiveness of the construction industry: Understanding the impediments and requisites for improvements","type":"article-journal","volume":"102"},"uris":["http://www.mendeley.com/documents/?uuid=03e40f7d-2768-461e-8a40-84af0ff6cf1a"]}],"mendeley":{"formattedCitation":"(Ajayi et al., 2015)","plainTextFormattedCitation":"(Ajayi et al., 2015)","previouslyFormattedCitation":"(Ajayi et al., 2015)"},"properties":{"noteIndex":0},"schema":"https://github.com/citation-style-language/schema/raw/master/csl-citation.json"}</w:instrText>
      </w:r>
      <w:r w:rsidR="002B7C0A">
        <w:fldChar w:fldCharType="separate"/>
      </w:r>
      <w:r w:rsidR="00862122" w:rsidRPr="00862122">
        <w:rPr>
          <w:noProof/>
        </w:rPr>
        <w:t>(Ajayi et al., 2015)</w:t>
      </w:r>
      <w:r w:rsidR="002B7C0A">
        <w:fldChar w:fldCharType="end"/>
      </w:r>
      <w:r w:rsidR="002B7C0A">
        <w:t>,</w:t>
      </w:r>
      <w:r w:rsidR="00003D50">
        <w:t xml:space="preserve"> </w:t>
      </w:r>
      <w:r w:rsidR="002B7C0A">
        <w:t xml:space="preserve">Wastewater </w:t>
      </w:r>
      <w:r w:rsidR="009E1785">
        <w:fldChar w:fldCharType="begin" w:fldLock="1"/>
      </w:r>
      <w:r w:rsidR="00862122">
        <w:instrText>ADDIN CSL_CITATION {"citationItems":[{"id":"ITEM-1","itemData":{"DOI":"10.1016/J.CEP.2018.04.006","ISSN":"0255-2701","abstract":"Membrane fouling in membrane bioreactors (MBR) normally depends on the microbial cell density and microbial population structure. A nitrifying-enriched activated sludge (NAS) was obtained in this study through particular ammonium feeding of conventional activated sludge (CAS). Next, the dominance of autotrophic nitrifier population in NAS system was checked and compared with CAS system by its high nitrification efficiency (100% vs. 43%) and low COD removal (9% vs. 65%). Furthermore, the maximum amount of N-NO3− produced from similar concentrations of ammonium in CAS and NAS systems were 6.6 mg/L and 37.5 mg/L, respectively. A filterability test also was done in the cross-flow and simple dead-end filtration systems proportionally employing different amount of NAS and CAS with a constant MLSS concentration of 2000 mg/L. NAS was twice as filterable compared to CAS. Soluble microbial products (SMP) and extracellular polymeric substance (EPS) in CAS were significantly higher than NAS system (2 and 6 mg/L for NAS vs.100 and 36 mg/L for CAS). By increasing the proportion of nitrifying bacteria, the permeation was enhanced remarkably about 2.5 folds and the operation time of MBR was approximately doubled (6–11.5 h). The results indicated that an appropriate C/N ratio can control the microbial population and help the nitrifier significantly mitigate fouling in MBR.","author":[{"dropping-particle":"","family":"Sepehri","given":"Arsalan","non-dropping-particle":"","parse-names":false,"suffix":""},{"dropping-particle":"","family":"Sarrafzadeh","given":"Mohammad-Hossein","non-dropping-particle":"","parse-names":false,"suffix":""}],"container-title":"Chemical Engineering and Processing - Process Intensification","id":"ITEM-1","issued":{"date-parts":[["2018","6","1"]]},"page":"10-18","publisher":"Elsevier","title":"Effect of nitrifiers community on fouling mitigation and nitrification efficiency in a membrane bioreactor","type":"article-journal","volume":"128"},"uris":["http://www.mendeley.com/documents/?uuid=408e653b-36ee-379d-95af-fbf0bd594210"]}],"mendeley":{"formattedCitation":"(Sepehri and Sarrafzadeh, 2018)","plainTextFormattedCitation":"(Sepehri and Sarrafzadeh, 2018)","previouslyFormattedCitation":"(Sepehri and Sarrafzadeh, 2018)"},"properties":{"noteIndex":0},"schema":"https://github.com/citation-style-language/schema/raw/master/csl-citation.json"}</w:instrText>
      </w:r>
      <w:r w:rsidR="009E1785">
        <w:fldChar w:fldCharType="separate"/>
      </w:r>
      <w:r w:rsidR="008B72AC" w:rsidRPr="008B72AC">
        <w:rPr>
          <w:noProof/>
        </w:rPr>
        <w:t>(Sepehri and Sarrafzadeh, 2018)</w:t>
      </w:r>
      <w:r w:rsidR="009E1785">
        <w:fldChar w:fldCharType="end"/>
      </w:r>
      <w:r w:rsidR="00003D50">
        <w:t xml:space="preserve">, transportation </w:t>
      </w:r>
      <w:r w:rsidR="00003D50">
        <w:fldChar w:fldCharType="begin" w:fldLock="1"/>
      </w:r>
      <w:r w:rsidR="00003D50">
        <w:instrText>ADDIN CSL_CITATION {"citationItems":[{"id":"ITEM-1","itemData":{"ISSN":"0041-1612","author":[{"dropping-particle":"","family":"Villarreal","given":"Bernardo","non-dropping-particle":"","parse-names":false,"suffix":""},{"dropping-particle":"","family":"Garcia","given":"David","non-dropping-particle":"","parse-names":false,"suffix":""},{"dropping-particle":"","family":"Rosas","given":"Imelda","non-dropping-particle":"","parse-names":false,"suffix":""}],"container-title":"Transportation Journal","id":"ITEM-1","issue":"4","issued":{"date-parts":[["2009"]]},"page":"72-77","publisher":"JSTOR","title":"Eliminating transportation waste in food distribution: a case study","type":"article-journal","volume":"48"},"uris":["http://www.mendeley.com/documents/?uuid=ef649ff1-7e24-4f70-a5da-feaa3f6b5658"]}],"mendeley":{"formattedCitation":"(Villarreal et al., 2009)","plainTextFormattedCitation":"(Villarreal et al., 2009)","previouslyFormattedCitation":"(Villarreal et al., 2009)"},"properties":{"noteIndex":0},"schema":"https://github.com/citation-style-language/schema/raw/master/csl-citation.json"}</w:instrText>
      </w:r>
      <w:r w:rsidR="00003D50">
        <w:fldChar w:fldCharType="separate"/>
      </w:r>
      <w:r w:rsidR="00003D50" w:rsidRPr="00003D50">
        <w:rPr>
          <w:noProof/>
        </w:rPr>
        <w:t>(Villarreal et al., 2009)</w:t>
      </w:r>
      <w:r w:rsidR="00003D50">
        <w:fldChar w:fldCharType="end"/>
      </w:r>
      <w:r w:rsidR="00003D50">
        <w:t xml:space="preserve">, manufacturing </w:t>
      </w:r>
      <w:r w:rsidR="00003D50">
        <w:fldChar w:fldCharType="begin" w:fldLock="1"/>
      </w:r>
      <w:r w:rsidR="00003D50">
        <w:instrText>ADDIN CSL_CITATION {"citationItems":[{"id":"ITEM-1","itemData":{"DOI":"10.1016/J.JCLEPRO.2013.10.051","ISSN":"0959-6526","abstract":"The production of food waste covers all the food life cycle: from agriculture, up to industrial manufacturing and processing, retail and household consumption. In developed countries, 42% of food waste is produced by households, while 39% losses occur in the food manufacturing industry, 14% in food service sector and remaining 5% in retail and distribution. Increasingly, industrial ecology concepts such as cradle to cradle and circular economy are considered leading principle for eco-innovation, aiming at “zero waste economy” in which waste are used as raw material for new products and applications. The large amount of waste produced by the food industry, in addition to being a great loss of valuable materials, also raises serious management problems, both from the economic and environmental point of view. Many of these residues, however, have the potential to be reused into other production systems, trough e.g. biorefineries. The present work focuses on the use of food waste coming from food manufacturing (FWm). Through extensive literature review, the authors present feasibility and constraints of applying industrial symbiosis in recovering waste from food processing, focusing on recycling (excluding energy recovery) of the solid and liquid waste from food processing industry. The main uses of functional ingredients derived from this transformation are presented and discussed, highlighting mainstream sectors of application, e.g. in the nutraceutical and pharmaceutical industry.","author":[{"dropping-particle":"","family":"Mirabella","given":"Nadia","non-dropping-particle":"","parse-names":false,"suffix":""},{"dropping-particle":"","family":"Castellani","given":"Valentina","non-dropping-particle":"","parse-names":false,"suffix":""},{"dropping-particle":"","family":"Sala","given":"Serenella","non-dropping-particle":"","parse-names":false,"suffix":""}],"container-title":"Journal of Cleaner Production","id":"ITEM-1","issued":{"date-parts":[["2014","2","15"]]},"page":"28-41","publisher":"Elsevier","title":"Current options for the valorization of food manufacturing waste: a review","type":"article-journal","volume":"65"},"uris":["http://www.mendeley.com/documents/?uuid=08580974-25bb-3434-b54c-946f92f170ca"]}],"mendeley":{"formattedCitation":"(Mirabella et al., 2014)","plainTextFormattedCitation":"(Mirabella et al., 2014)","previouslyFormattedCitation":"(Mirabella et al., 2014)"},"properties":{"noteIndex":0},"schema":"https://github.com/citation-style-language/schema/raw/master/csl-citation.json"}</w:instrText>
      </w:r>
      <w:r w:rsidR="00003D50">
        <w:fldChar w:fldCharType="separate"/>
      </w:r>
      <w:r w:rsidR="00003D50" w:rsidRPr="00003D50">
        <w:rPr>
          <w:noProof/>
        </w:rPr>
        <w:t>(Mirabella et al., 2014)</w:t>
      </w:r>
      <w:r w:rsidR="00003D50">
        <w:fldChar w:fldCharType="end"/>
      </w:r>
      <w:r w:rsidR="00003D50">
        <w:t xml:space="preserve">, agriculture </w:t>
      </w:r>
      <w:r w:rsidR="00003D50">
        <w:fldChar w:fldCharType="begin" w:fldLock="1"/>
      </w:r>
      <w:r w:rsidR="00003D50">
        <w:instrText>ADDIN CSL_CITATION {"citationItems":[{"id":"ITEM-1","itemData":{"DOI":"10.1016/J.BIORTECH.2007.11.064","ISSN":"0960-8524","abstract":"Heavy metal remediation of aqueous streams is of special concern due to recalcitrant and persistency of heavy metals in environment. Conventional treatment technologies for the removal of these toxic heavy metals are not economical and further generate huge quantity of toxic chemical sludge. Biosorption is emerging as a potential alternative to the existing conventional technologies for the removal and/or recovery of metal ions from aqueous solutions. The major advantages of biosorption over conventional treatment methods include: low cost, high efficiency, minimization of chemical or biological sludge, regeneration of biosorbents and possibility of metal recovery. Cellulosic agricultural waste materials are an abundant source for significant metal biosorption. The functional groups present in agricultural waste biomass viz. acetamido, alcoholic, carbonyl, phenolic, amido, amino, sulphydryl groups etc. have affinity for heavy metal ions to form metal complexes or chelates. The mechanism of biosorption process includes chemisorption, complexation, adsorption on surface, diffusion through pores and ion exchange etc. The purpose of this review article is to provide the scattered available information on various aspects of utilization of the agricultural waste materials for heavy metal removal. Agricultural waste material being highly efficient, low cost and renewable source of biomass can be exploited for heavy metal remediation. Further these biosorbents can be modified for better efficiency and multiple reuses to enhance their applicability at industrial scale.","author":[{"dropping-particle":"","family":"Sud","given":"Dhiraj","non-dropping-particle":"","parse-names":false,"suffix":""},{"dropping-particle":"","family":"Mahajan","given":"Garima","non-dropping-particle":"","parse-names":false,"suffix":""},{"dropping-particle":"","family":"Kaur","given":"M.P.","non-dropping-particle":"","parse-names":false,"suffix":""}],"container-title":"Bioresource Technology","id":"ITEM-1","issue":"14","issued":{"date-parts":[["2008","9","1"]]},"page":"6017-6027","publisher":"Elsevier","title":"Agricultural waste material as potential adsorbent for sequestering heavy metal ions from aqueous solutions – A review","type":"article-journal","volume":"99"},"uris":["http://www.mendeley.com/documents/?uuid=f828f3bd-2e4c-394a-a924-07692211b8bd"]}],"mendeley":{"formattedCitation":"(Sud et al., 2008)","plainTextFormattedCitation":"(Sud et al., 2008)","previouslyFormattedCitation":"(Sud et al., 2008)"},"properties":{"noteIndex":0},"schema":"https://github.com/citation-style-language/schema/raw/master/csl-citation.json"}</w:instrText>
      </w:r>
      <w:r w:rsidR="00003D50">
        <w:fldChar w:fldCharType="separate"/>
      </w:r>
      <w:r w:rsidR="00003D50" w:rsidRPr="00003D50">
        <w:rPr>
          <w:noProof/>
        </w:rPr>
        <w:t>(Sud et al., 2008)</w:t>
      </w:r>
      <w:r w:rsidR="00003D50">
        <w:fldChar w:fldCharType="end"/>
      </w:r>
      <w:r w:rsidR="00003D50">
        <w:t xml:space="preserve">, electronics </w:t>
      </w:r>
      <w:r w:rsidR="00003D50">
        <w:fldChar w:fldCharType="begin" w:fldLock="1"/>
      </w:r>
      <w:r w:rsidR="00003D50">
        <w:instrText>ADDIN CSL_CITATION {"citationItems":[{"id":"ITEM-1","itemData":{"DOI":"10.1016/J.JHAZMAT.2008.02.001","ISSN":"0304-3894","abstract":"Waste electric and electronic equipment, or electronic waste, has been taken into consideration not only by the government but also by the public due to their hazardous material contents. In the detailed literature survey, value distributions for different electronic waste samples were calculated. It is showed that the major economic driver for recycling of electronic waste is from the recovery of precious metals. The state of the art in recovery of precious metals from electronic waste by pyrometallurgical processing, hydrometallurgical processing, and biometallurgical processing are highlighted in the paper. Pyrometallurgical processing has been a traditional technology for recovery of precious metals from waste electronic equipment. However, state-of-the-art smelters are highly depended on investments. Recent research on recovery of energy from PC waste gives an example for using plastics in this waste stream. It indicates that thermal processing provides a feasible approach for recovery of energy from electronic waste if a comprehensive emission control system is installed. In the last decade, attentions have been removed from pyrometallurgical process to hydrometallurgical process for recovery of metals from electronic waste. In the paper, hydrometallurgical processing techniques including cyanide leaching, halide leaching, thiourea leaching, and thiosulfate leaching of precious metals are detailed. In order to develop an environmentally friendly technique for recovery of precious metals from electronic scrap, a critical comparison of main leaching methods is analyzed for both economic feasibility and environmental impact. It is believed that biotechnology has been one of the most promising technologies in metallurgical processing. Bioleaching has been used for recovery of precious metals and copper from ores for many years. However, limited research was carried out on the bioleaching of metals from electronic waste. In the review, initial researches on the topic are presented. In addition, mechanisms and models of biosorption of precious metal ions from solutions are discussed.","author":[{"dropping-particle":"","family":"Cui","given":"Jirang","non-dropping-particle":"","parse-names":false,"suffix":""},{"dropping-particle":"","family":"Zhang","given":"Lifeng","non-dropping-particle":"","parse-names":false,"suffix":""}],"container-title":"Journal of Hazardous Materials","id":"ITEM-1","issue":"2-3","issued":{"date-parts":[["2008","10","30"]]},"page":"228-256","publisher":"Elsevier","title":"Metallurgical recovery of metals from electronic waste: A review","type":"article-journal","volume":"158"},"uris":["http://www.mendeley.com/documents/?uuid=681349c6-7f90-361e-b8e8-f361b9dbff09"]}],"mendeley":{"formattedCitation":"(Cui and Zhang, 2008)","plainTextFormattedCitation":"(Cui and Zhang, 2008)"},"properties":{"noteIndex":0},"schema":"https://github.com/citation-style-language/schema/raw/master/csl-citation.json"}</w:instrText>
      </w:r>
      <w:r w:rsidR="00003D50">
        <w:fldChar w:fldCharType="separate"/>
      </w:r>
      <w:r w:rsidR="00003D50" w:rsidRPr="00003D50">
        <w:rPr>
          <w:noProof/>
        </w:rPr>
        <w:t>(Cui and Zhang, 2008)</w:t>
      </w:r>
      <w:r w:rsidR="00003D50">
        <w:fldChar w:fldCharType="end"/>
      </w:r>
      <w:r w:rsidR="00003D50">
        <w:t xml:space="preserve">, biomedical </w:t>
      </w:r>
      <w:r w:rsidR="00003D50">
        <w:fldChar w:fldCharType="begin" w:fldLock="1"/>
      </w:r>
      <w:r w:rsidR="00003D50">
        <w:instrText>ADDIN CSL_CITATION {"citationItems":[{"id":"ITEM-1","itemData":{"ISSN":"0973-029X","author":[{"dropping-particle":"","family":"Hegde","given":"Veda","non-dropping-particle":"","parse-names":false,"suffix":""},{"dropping-particle":"","family":"Kulkarni","given":"R D","non-dropping-particle":"","parse-names":false,"suffix":""},{"dropping-particle":"","family":"Ajantha","given":"G S","non-dropping-particle":"","parse-names":false,"suffix":""}],"container-title":"Journal of Oral and Maxillofacial Pathology","id":"ITEM-1","issue":"1","issued":{"date-parts":[["2007"]]},"page":"5","publisher":"Medknow Publications","title":"Biomedical waste management","type":"article-journal","volume":"11"},"uris":["http://www.mendeley.com/documents/?uuid=4988ae19-7a87-4e2f-b7c2-bb977291e3f4"]}],"mendeley":{"formattedCitation":"(Hegde et al., 2007)","plainTextFormattedCitation":"(Hegde et al., 2007)","previouslyFormattedCitation":"(Hegde et al., 2007)"},"properties":{"noteIndex":0},"schema":"https://github.com/citation-style-language/schema/raw/master/csl-citation.json"}</w:instrText>
      </w:r>
      <w:r w:rsidR="00003D50">
        <w:fldChar w:fldCharType="separate"/>
      </w:r>
      <w:r w:rsidR="00003D50" w:rsidRPr="00003D50">
        <w:rPr>
          <w:noProof/>
        </w:rPr>
        <w:t>(Hegde et al., 2007)</w:t>
      </w:r>
      <w:r w:rsidR="00003D50">
        <w:fldChar w:fldCharType="end"/>
      </w:r>
      <w:r w:rsidR="00003D50">
        <w:t xml:space="preserve">, etc. </w:t>
      </w:r>
      <w:r w:rsidR="00BE1499">
        <w:t>W</w:t>
      </w:r>
      <w:r w:rsidR="0028689C" w:rsidRPr="001F159D">
        <w:t xml:space="preserve">aste in </w:t>
      </w:r>
      <w:r w:rsidR="008F0D62">
        <w:t xml:space="preserve">the </w:t>
      </w:r>
      <w:r w:rsidR="0028689C" w:rsidRPr="001F159D">
        <w:t>construction supply</w:t>
      </w:r>
      <w:r w:rsidR="008F0D62">
        <w:t xml:space="preserve"> </w:t>
      </w:r>
      <w:r w:rsidR="006348AF">
        <w:t xml:space="preserve">chains </w:t>
      </w:r>
      <w:r w:rsidR="0028689C" w:rsidRPr="001F159D">
        <w:t xml:space="preserve">is a </w:t>
      </w:r>
      <w:r w:rsidR="0028689C" w:rsidRPr="004A2936">
        <w:rPr>
          <w:noProof/>
        </w:rPr>
        <w:t>major</w:t>
      </w:r>
      <w:r w:rsidR="0028689C" w:rsidRPr="001F159D">
        <w:t xml:space="preserve"> concern because of the </w:t>
      </w:r>
      <w:r w:rsidR="0028689C" w:rsidRPr="004A2936">
        <w:rPr>
          <w:noProof/>
        </w:rPr>
        <w:t>huge</w:t>
      </w:r>
      <w:r w:rsidR="0028689C">
        <w:t xml:space="preserve"> amount of</w:t>
      </w:r>
      <w:r w:rsidR="0028689C" w:rsidRPr="001F159D">
        <w:t xml:space="preserve"> Construction Waste (CW) generated annually across the globe </w:t>
      </w:r>
      <w:r w:rsidR="0028689C" w:rsidRPr="001F159D">
        <w:fldChar w:fldCharType="begin" w:fldLock="1"/>
      </w:r>
      <w:r w:rsidR="002B7C0A">
        <w:instrText>ADDIN CSL_CITATION {"citationItems":[{"id":"ITEM-1","itemData":{"ISBN":"978-0-9567726-6-4","abstract":"The purpose of this guide is to improve understanding across the construction industry of the embodied impacts of construction products. The quest for a more sustainable and more recently a low carbon built environment, has meant that the demand for information on the impact of construction products has increased dramatically.\\nMuch attention is being given to new ways of designing and constructing buildings and whilst the focus has been on ener gy efficiency and capturing renewable energy, there is a growing awareness that the embodied impacts of construction products and especially embodied carbon will become increasingly important.","author":[{"dropping-particle":"","family":"Anderson","given":"Jane","non-dropping-particle":"","parse-names":false,"suffix":""},{"dropping-particle":"","family":"Thornback","given":"Jane","non-dropping-particle":"","parse-names":false,"suffix":""}],"container-title":"Construction Products Association","id":"ITEM-1","issued":{"date-parts":[["2012"]]},"page":"1-53","title":"A guide to understanding the embodied impacts of construction products","type":"article-journal"},"uris":["http://www.mendeley.com/documents/?uuid=8755904b-32c5-4319-aef0-003f962de021"]},{"id":"ITEM-2","itemData":{"DOI":"10.1108/20425941311323136","ISSN":"2042-5945","author":[{"dropping-particle":"","family":"Oyedele","given":"Lukumon O.","non-dropping-particle":"","parse-names":false,"suffix":""},{"dropping-particle":"","family":"Regan","given":"Martin","non-dropping-particle":"","parse-names":false,"suffix":""},{"dropping-particle":"","family":"Meding","given":"Jason","non-dropping-particle":"von","parse-names":false,"suffix":""},{"dropping-particle":"","family":"Ahmed","given":"Ashraf","non-dropping-particle":"","parse-names":false,"suffix":""},{"dropping-particle":"","family":"Ebohon","given":"Obas John","non-dropping-particle":"","parse-names":false,"suffix":""},{"dropping-particle":"","family":"Elnokaly","given":"Amira","non-dropping-particle":"","parse-names":false,"suffix":""}],"container-title":"World Journal of Science, Technology and Sustainable Development","id":"ITEM-2","issue":"2","issued":{"date-parts":[["2013","2"]]},"page":"131-142","publisher":"Emerald Group Publishing Limited","title":"Reducing waste to landfill in the UK: identifying impediments and critical solutions","type":"article-journal","volume":"10"},"uris":["http://www.mendeley.com/documents/?uuid=0d7a6f09-b511-451a-8e8b-95250317752d"]}],"mendeley":{"formattedCitation":"(Anderson and Thornback, 2012; Oyedele et al., 2013)","plainTextFormattedCitation":"(Anderson and Thornback, 2012; Oyedele et al., 2013)","previouslyFormattedCitation":"(Anderson and Thornback, 2012; Oyedele et al., 2013)"},"properties":{"noteIndex":0},"schema":"https://github.com/citation-style-language/schema/raw/master/csl-citation.json"}</w:instrText>
      </w:r>
      <w:r w:rsidR="0028689C" w:rsidRPr="001F159D">
        <w:fldChar w:fldCharType="separate"/>
      </w:r>
      <w:r w:rsidR="0028689C" w:rsidRPr="001F159D">
        <w:rPr>
          <w:noProof/>
        </w:rPr>
        <w:t xml:space="preserve">(Anderson and </w:t>
      </w:r>
      <w:r w:rsidR="0028689C" w:rsidRPr="001F159D">
        <w:rPr>
          <w:noProof/>
        </w:rPr>
        <w:lastRenderedPageBreak/>
        <w:t>Thornback, 2012; Oyedele et al., 2013)</w:t>
      </w:r>
      <w:r w:rsidR="0028689C" w:rsidRPr="001F159D">
        <w:fldChar w:fldCharType="end"/>
      </w:r>
      <w:r w:rsidR="0028689C" w:rsidRPr="001F159D">
        <w:t xml:space="preserve">. This challenge seems insurmountable despite the various research and development in CW management strategies </w:t>
      </w:r>
      <w:r w:rsidR="0028689C" w:rsidRPr="001F159D">
        <w:fldChar w:fldCharType="begin" w:fldLock="1"/>
      </w:r>
      <w:r w:rsidR="00862122">
        <w:instrText>ADDIN CSL_CITATION {"citationItems":[{"id":"ITEM-1","itemData":{"DOI":"10.1016/j.resconrec.2014.09.011","ISSN":"09213449","abstract":"Construction industry consumes about half of all material resources taken from nature, and generates a large portion of waste to landfill. A way of tackling negative environmental impacts impending from continuous material extraction and waste generation is the use of recycled materials for construction projects. However, the use of recycled materials is yet to become a commonplace in construction industry. This study evaluates the factors hampering the use of recycled products in UK construction industry as well as strategies that could be adopted to enhance its use in the industry. In order to identify the impediments and critical strategies, a two-fold methodical approach was used. An unstructured interview preceded a quantitative questionnaire survey which was used to elicit broader industry practitioners’ opinion. The study shows that designers rarely specify recycled products. This is due to lack of adequate information about quality and market availability of the products, negative perception from clients, and unexpectedly high cost of the products, despite its perceived low quality. The study suggests that a number of strategies could be adopted to promote the use of the products. These include allocation of points to the use of recycled products in sustainable design appraisal tools, governments legislative measures, improved collaboration between designers, contractors and materials suppliers, contractors involvement at earlier stage of design, improved education of the professionals about the products, and the use of tax break to influence the cost of the products. The findings of this study would therefore help policy makers, manufacturers and construction professionals to identify the factors hampering the use of recycled products for construction projects as well as the strategies that could be adopted in order to create market for the products.","author":[{"dropping-particle":"","family":"Oyedele","given":"Lukumon O.","non-dropping-particle":"","parse-names":false,"suffix":""},{"dropping-particle":"","family":"Ajayi","given":"Saheed O.","non-dropping-particle":"","parse-names":false,"suffix":""},{"dropping-particle":"","family":"Kadiri","given":"Kabir O.","non-dropping-particle":"","parse-names":false,"suffix":""}],"container-title":"Resources, Conservation and Recycling","id":"ITEM-1","issued":{"date-parts":[["2014","12"]]},"page":"23-31","title":"Use of recycled products in UK construction industry: An empirical investigation into critical impediments and strategies for improvement","type":"article-journal","volume":"93"},"uris":["http://www.mendeley.com/documents/?uuid=e12f818c-1480-43ad-b484-54096fe7cc88"]},{"id":"ITEM-2","itemData":{"DOI":"10.1016/j.jobe.2015.12.007","ISBN":"1896-1126","ISSN":"23527102","PMID":"26642266","abstract":"Owing to its contribution of largest portion of landfill wastes and consumption of about half of mineral resources excavated from nature, construction industry has been pressed to improve its sustainability. Despite an adoption of several waste management strategies, and introduction of various legislative measures, reducing waste generated by the industry remains challenging. In order to understand cultural factors contributing to waste intensiveness of the industry, as well as those preventing effectiveness of existing waste management strategies, this study examines cultural profile of construction industry. Drawing on four focus group discussions with industry experts, the study employs phenomenological approach to explore waste inducing cultural factors. Combining findings from phenomenological research with extant literatures, the study suggests that in order to reduce waste intensiveness of the construction industry, five waste inducing cultural factors need to be changed. These include (i) \"make-do\" understanding that usually result in \"make-do waste\" (ii) non-collaborative culture, which results in reworks and other forms of wasteful activities (iii) blame culture, which encourages shifting of waste preventive responsibilities between designers and contractors, (iv) culture of waste behaviour, which encourages belief in waste inevitability, and (v) conservatism, which hinders diffusion of innovation across the industry. Changing these sets of cultural and behavioural activities is not only important for engendering waste management practices; they are requisite for effectiveness of existing strategies. Improvement in the identified areas is also required for overall improvement and general resource efficiency of the construction industry. Thus, this paper advocates cultural shift as a means of reducing waste landfilled by the construction industry, thereby enhancing sustainability and profitability of the industry.","author":[{"dropping-particle":"","family":"Ajayi","given":"Saheed O.","non-dropping-particle":"","parse-names":false,"suffix":""},{"dropping-particle":"","family":"Oyedele","given":"Lukumon O.","non-dropping-particle":"","parse-names":false,"suffix":""},{"dropping-particle":"","family":"Akinade","given":"Olugbenga O.","non-dropping-particle":"","parse-names":false,"suffix":""},{"dropping-particle":"","family":"Bilal","given":"Muhammad","non-dropping-particle":"","parse-names":false,"suffix":""},{"dropping-particle":"","family":"Owolabi","given":"Hakeem A.","non-dropping-particle":"","parse-names":false,"suffix":""},{"dropping-particle":"","family":"Alaka","given":"Hafiz A.","non-dropping-particle":"","parse-names":false,"suffix":""},{"dropping-particle":"","family":"Kadiri","given":"Kabir O.","non-dropping-particle":"","parse-names":false,"suffix":""}],"container-title":"Journal of Building Engineering","id":"ITEM-2","issued":{"date-parts":[["2016","3"]]},"page":"185-193","title":"Reducing waste to landfill: A need for cultural change in the UK construction industry","type":"article-journal","volume":"5"},"uris":["http://www.mendeley.com/documents/?uuid=5869bb4b-354e-4d25-a0eb-4174a736c0b9"]}],"mendeley":{"formattedCitation":"(Ajayi et al., 2016; Oyedele et al., 2014)","plainTextFormattedCitation":"(Ajayi et al., 2016; Oyedele et al., 2014)","previouslyFormattedCitation":"(Ajayi et al., 2016; Oyedele et al., 2014)"},"properties":{"noteIndex":0},"schema":"https://github.com/citation-style-language/schema/raw/master/csl-citation.json"}</w:instrText>
      </w:r>
      <w:r w:rsidR="0028689C" w:rsidRPr="001F159D">
        <w:fldChar w:fldCharType="separate"/>
      </w:r>
      <w:r w:rsidR="0028689C" w:rsidRPr="001F159D">
        <w:rPr>
          <w:noProof/>
        </w:rPr>
        <w:t>(Ajayi et al., 2016; Oyedele et al., 2014)</w:t>
      </w:r>
      <w:r w:rsidR="0028689C" w:rsidRPr="001F159D">
        <w:fldChar w:fldCharType="end"/>
      </w:r>
      <w:r w:rsidR="0028689C" w:rsidRPr="001F159D">
        <w:t>. The construction industry still generates about 30% of the total waste stream and over 33% of the global CO</w:t>
      </w:r>
      <w:r w:rsidR="0028689C" w:rsidRPr="001F159D">
        <w:rPr>
          <w:vertAlign w:val="subscript"/>
        </w:rPr>
        <w:t xml:space="preserve">2 </w:t>
      </w:r>
      <w:r w:rsidR="0028689C" w:rsidRPr="001F159D">
        <w:rPr>
          <w:vertAlign w:val="subscript"/>
        </w:rPr>
        <w:fldChar w:fldCharType="begin" w:fldLock="1"/>
      </w:r>
      <w:r w:rsidR="002B7C0A">
        <w:rPr>
          <w:vertAlign w:val="subscript"/>
        </w:rPr>
        <w:instrText>ADDIN CSL_CITATION {"citationItems":[{"id":"ITEM-1","itemData":{"DOI":"http://dx.doi.org/10.1016/j.wasman.2009.05.009","ISSN":"0956-053X","abstract":"Currently, construction and demolition waste (C&amp;D waste) is a worldwide issue that concerns not only governments but also the building actors involved in construction activity. In Spain, a new national decree has been regulating the production and management of C&amp;D waste since February 2008. The present work describes the waste management model that has inspired this decree: the Alcores model implemented with good results in Los Alcores Community (Seville, Spain). A detailed model is also provided to estimate the volume of waste that is expected to be generated on the building site. The quantification of C&amp;D waste volume, from the project stage, is essential for the building actors to properly plan and control its disposal. This quantification model has been developed by studying 100 dwelling projects, especially their bill of quantities, and defining three coefficients to estimate the demolished volume (CT), the wreckage volume (CR) and the packaging volume (CE). Finally, two case studies are included to illustrate the usefulness of the model to estimate C&amp;D waste volume in both new construction and demolition projects.","author":[{"dropping-particle":"","family":"Solís-Guzmán","given":"Jaime","non-dropping-particle":"","parse-names":false,"suffix":""},{"dropping-particle":"","family":"Marrero","given":"Madelyn","non-dropping-particle":"","parse-names":false,"suffix":""},{"dropping-particle":"","family":"Montes-Delgado","given":"Maria Victoria","non-dropping-particle":"","parse-names":false,"suffix":""},{"dropping-particle":"","family":"Ramírez-de-Arellano","given":"Antonio","non-dropping-particle":"","parse-names":false,"suffix":""}],"container-title":"Waste Management","id":"ITEM-1","issue":"9","issued":{"date-parts":[["2009"]]},"page":"2542-2548","title":"A Spanish model for quantification and management of construction waste","type":"article-journal","volume":"29"},"uris":["http://www.mendeley.com/documents/?uuid=045ff2ff-52da-43dc-9a09-08b8b8ca4b70"]},{"id":"ITEM-2","itemData":{"DOI":"10.1016/j.enbuild.2013.01.025","ISBN":"03787788","ISSN":"03787788","abstract":"The existing assessment tools for the life cycle carbon dioxide (LCCO2) have certain limitations in that users have to directly enter quantities of materials after the construction document phase and they are likely to find it difficult to formulate an optimal strategy to reduce CO2emissions. Therefore, Global Environmental Model/Management-21P (GEM-21P) was developed for establishing a responsive and accurate system for suggesting methods for high energy efficiency in the planning phase. The objective of this study is to identify the requisites for an LCCO2assessment program that is based on the technical elements of GEM-21P and that can be used in the schematic design phase. The life cycle of a building is divided into four stages: material production, construction, operation, and dismantlement/disposal. Further, the technical elements of GEM-21P are examined for assessing CO2emissions in each of the stages. On the basis of the examination results, we specify the requisites for a system that can assess, in the planning phase, the CO2emitted from a building during its entire life.Crown Copyright © 2013 Published by Elsevier B.V. All rights reserved.","author":[{"dropping-particle":"","family":"Baek","given":"Cheonghoon","non-dropping-particle":"","parse-names":false,"suffix":""},{"dropping-particle":"","family":"Park","given":"Sang Hoon","non-dropping-particle":"","parse-names":false,"suffix":""},{"dropping-particle":"","family":"Suzuki","given":"Michiya","non-dropping-particle":"","parse-names":false,"suffix":""},{"dropping-particle":"","family":"Lee","given":"Sang Ho","non-dropping-particle":"","parse-names":false,"suffix":""}],"container-title":"Energy and Buildings","id":"ITEM-2","issued":{"date-parts":[["2013"]]},"page":"275-287","title":"Life cycle carbon dioxide assessment tool for buildings in the schematic design phase","type":"article-journal","volume":"61"},"uris":["http://www.mendeley.com/documents/?uuid=5e09fe9e-13fc-45af-819e-1354d8225b73"]}],"mendeley":{"formattedCitation":"(Baek et al., 2013; Solís-Guzmán et al., 2009)","plainTextFormattedCitation":"(Baek et al., 2013; Solís-Guzmán et al., 2009)","previouslyFormattedCitation":"(Baek et al., 2013; Solís-Guzmán et al., 2009)"},"properties":{"noteIndex":0},"schema":"https://github.com/citation-style-language/schema/raw/master/csl-citation.json"}</w:instrText>
      </w:r>
      <w:r w:rsidR="0028689C" w:rsidRPr="001F159D">
        <w:rPr>
          <w:vertAlign w:val="subscript"/>
        </w:rPr>
        <w:fldChar w:fldCharType="separate"/>
      </w:r>
      <w:r w:rsidR="0028689C" w:rsidRPr="001F159D">
        <w:rPr>
          <w:noProof/>
        </w:rPr>
        <w:t>(Baek et al., 2013; Solís-Guzmán et al., 2009)</w:t>
      </w:r>
      <w:r w:rsidR="0028689C" w:rsidRPr="001F159D">
        <w:rPr>
          <w:vertAlign w:val="subscript"/>
        </w:rPr>
        <w:fldChar w:fldCharType="end"/>
      </w:r>
      <w:r w:rsidR="0028689C" w:rsidRPr="001F159D">
        <w:t xml:space="preserve">. This level of waste generation </w:t>
      </w:r>
      <w:r w:rsidR="0028689C" w:rsidRPr="004A2936">
        <w:rPr>
          <w:noProof/>
        </w:rPr>
        <w:t>has an adverse effect on</w:t>
      </w:r>
      <w:r w:rsidR="0028689C" w:rsidRPr="001F159D">
        <w:t xml:space="preserve"> the environment </w:t>
      </w:r>
      <w:r w:rsidR="0028689C" w:rsidRPr="004A2936">
        <w:rPr>
          <w:noProof/>
        </w:rPr>
        <w:t>and</w:t>
      </w:r>
      <w:r w:rsidR="0028689C" w:rsidRPr="001F159D">
        <w:t xml:space="preserve"> it puts</w:t>
      </w:r>
      <w:r w:rsidR="006D0BAF">
        <w:t xml:space="preserve"> a</w:t>
      </w:r>
      <w:r w:rsidR="0028689C" w:rsidRPr="001F159D">
        <w:t xml:space="preserve"> pressure on the depleting landfills. As such, effective CW management practices are imperative to reduce the </w:t>
      </w:r>
      <w:r w:rsidR="0028689C" w:rsidRPr="004A2936">
        <w:rPr>
          <w:noProof/>
        </w:rPr>
        <w:t>wider</w:t>
      </w:r>
      <w:r w:rsidR="0028689C" w:rsidRPr="001F159D">
        <w:t xml:space="preserve"> impacts of CW disposal. </w:t>
      </w:r>
      <w:r w:rsidR="004A2936">
        <w:rPr>
          <w:noProof/>
        </w:rPr>
        <w:t>Also</w:t>
      </w:r>
      <w:r w:rsidR="0028689C" w:rsidRPr="001F159D">
        <w:t>, stakeholder</w:t>
      </w:r>
      <w:r w:rsidR="0028689C">
        <w:t>s</w:t>
      </w:r>
      <w:r w:rsidR="0028689C" w:rsidRPr="001F159D">
        <w:t xml:space="preserve"> in the construction supply </w:t>
      </w:r>
      <w:r w:rsidR="006348AF">
        <w:t xml:space="preserve">chains </w:t>
      </w:r>
      <w:r w:rsidR="0028689C" w:rsidRPr="001F159D">
        <w:t>must work in an integrated way to tackl</w:t>
      </w:r>
      <w:r w:rsidR="00095272">
        <w:t>e waste and project inefficiencies</w:t>
      </w:r>
      <w:r w:rsidR="0028689C" w:rsidRPr="001F159D">
        <w:t xml:space="preserve">. These requirements reveal that </w:t>
      </w:r>
      <w:r w:rsidR="0028689C" w:rsidRPr="004A2936">
        <w:rPr>
          <w:noProof/>
        </w:rPr>
        <w:t>early</w:t>
      </w:r>
      <w:r w:rsidR="0028689C" w:rsidRPr="001F159D">
        <w:t xml:space="preserve"> supply </w:t>
      </w:r>
      <w:r w:rsidR="006348AF">
        <w:t xml:space="preserve">chains </w:t>
      </w:r>
      <w:r w:rsidR="0028689C" w:rsidRPr="001F159D">
        <w:t xml:space="preserve">involvement and the adoption of component reuse and material recycling are needed to divert waste from landfills </w:t>
      </w:r>
      <w:r w:rsidR="0028689C" w:rsidRPr="001F159D">
        <w:fldChar w:fldCharType="begin" w:fldLock="1"/>
      </w:r>
      <w:r w:rsidR="00862122">
        <w:instrText>ADDIN CSL_CITATION {"citationItems":[{"id":"ITEM-1","itemData":{"DOI":"10.1016/J.SUSMAT.2016.12.004","ISSN":"2214-9937","abstract":"Predicting and designing out construction waste in real time is complex during building waste analysis (BWA) since it involves a large number of analyses for investigating multiple waste-efficient design strategies. These analyses require highly specific data of materials that are scattered across different data sources. A repository that facilitates applications in gaining seamless access to relatively large and distributed data sources of building materials is currently unavailable for conducting the BWA. Such a repository is the first step to developing a simulation tool for the BWA. Existing product data exchange ontologies and classification systems lack adequate modelling of building materials for the BWA. In this paper, we propose a highly resilient and data-agnostic building materials database. We use ontologies at the core of our approach to capture highly accurate and semantically conflicting data of building materials using the Resource Description Framework (RDF) and Web Ontology Language (OWL). Owing to the inherent capabilities of RDF, the architecture provides syntactical homogeneity while accessing the diverse and distributed data of building materials during the BWA. We use software packages such as Protégé and Oracle RDF Graph database for implementing the proposed architecture. Our research provides technical details and insights for researchers and software engineers who are seeking to develop the semantic repositories of similar kind of simulation applications that can be used for building waste performance analysis.","author":[{"dropping-particle":"","family":"Bilal","given":"Muhammad","non-dropping-particle":"","parse-names":false,"suffix":""},{"dropping-particle":"","family":"Oyedele","given":"Lukumon O.","non-dropping-particle":"","parse-names":false,"suffix":""},{"dropping-particle":"","family":"Munir","given":"Kamran","non-dropping-particle":"","parse-names":false,"suffix":""},{"dropping-particle":"","family":"Ajayi","given":"Saheed O.","non-dropping-particle":"","parse-names":false,"suffix":""},{"dropping-particle":"","family":"Akinade","given":"Olugbenga O.","non-dropping-particle":"","parse-names":false,"suffix":""},{"dropping-particle":"","family":"Owolabi","given":"Hakeem A.","non-dropping-particle":"","parse-names":false,"suffix":""},{"dropping-particle":"","family":"Alaka","given":"Hafiz A.","non-dropping-particle":"","parse-names":false,"suffix":""}],"container-title":"Sustainable Materials and Technologies","id":"ITEM-1","issued":{"date-parts":[["2017","4","1"]]},"page":"28-37","publisher":"Elsevier","title":"The application of web of data technologies in building materials information modelling for construction waste analytics","type":"article-journal","volume":"11"},"uris":["http://www.mendeley.com/documents/?uuid=2389273f-47e2-4c78-ba8d-f17385e88ad2"]},{"id":"ITEM-2","itemData":{"DOI":"10.1016/j.susmat.2017.01.001","ISSN":"22149937","abstract":"Although construction waste occurs during the actual construction activities, there is an understanding that it is caused by activities and actions at design, materials procurement and construction stages of project delivery processes. This study investigates the material procurement and logistics measures for mitigating waste generated by construction activities. In a bid to explore the phenomenon from the perspectives of experts from the construction industry, this study used a combination of descriptive interpretive research and survey approach as its methodological framework. The study suggests that four features characterised waste efficient logistic and procurement process. These include suppliers’ commitment to low waste measures, low waste purchase management, effective materials delivery management and waste efficient Bill of Quantity. In addition, the key requisite strategies for mitigating construction waste through materials procurement include commitment to take back scheme, procurement of waste efficient materials/technology and use of minimal packaging. The use of Just-in-Time (JIT) delivery system and prevention of over ordering are also important for mitigating waste through materials procurement processes. These implies that while the key measures are critical success factors for reducing waste through procurement process, the four established features are required of all procurement process. Measures through which the procurement process could enhance waste efficiency are further highlighted and discussed in the paper. Findings of this study could assist in understanding a set of measures that should be taken during materials procurement process, thereby corroborating waste management practices at design and construction stages of project delivery process.","author":[{"dropping-particle":"","family":"Ajayi","given":"Saheed O.","non-dropping-particle":"","parse-names":false,"suffix":""},{"dropping-particle":"","family":"Oyedele","given":"Lukumon O.","non-dropping-particle":"","parse-names":false,"suffix":""},{"dropping-particle":"","family":"Akinade","given":"Olugbenga O.","non-dropping-particle":"","parse-names":false,"suffix":""},{"dropping-particle":"","family":"Bilal","given":"Muhammad","non-dropping-particle":"","parse-names":false,"suffix":""},{"dropping-particle":"","family":"Alaka","given":"Hafiz A.","non-dropping-particle":"","parse-names":false,"suffix":""},{"dropping-particle":"","family":"Owolabi","given":"Hakeem A.","non-dropping-particle":"","parse-names":false,"suffix":""}],"container-title":"Sustainable Materials and Technologies","id":"ITEM-2","issued":{"date-parts":[["2017","4","1"]]},"page":"38-46","publisher":"Elsevier","title":"Optimising material procurement for construction waste minimization: An exploration of success factors","type":"article-journal","volume":"11"},"uris":["http://www.mendeley.com/documents/?uuid=2f3d820b-3c30-46df-83a8-1c9596005e92"]}],"mendeley":{"formattedCitation":"(Ajayi et al., 2017; Bilal et al., 2017)","plainTextFormattedCitation":"(Ajayi et al., 2017; Bilal et al., 2017)","previouslyFormattedCitation":"(Ajayi et al., 2017; Bilal et al., 2017)"},"properties":{"noteIndex":0},"schema":"https://github.com/citation-style-language/schema/raw/master/csl-citation.json"}</w:instrText>
      </w:r>
      <w:r w:rsidR="0028689C" w:rsidRPr="001F159D">
        <w:fldChar w:fldCharType="separate"/>
      </w:r>
      <w:r w:rsidR="0028689C" w:rsidRPr="001F159D">
        <w:rPr>
          <w:noProof/>
        </w:rPr>
        <w:t>(Ajayi et al., 2017; Bilal et al., 2017)</w:t>
      </w:r>
      <w:r w:rsidR="0028689C" w:rsidRPr="001F159D">
        <w:fldChar w:fldCharType="end"/>
      </w:r>
      <w:r w:rsidR="0028689C" w:rsidRPr="001F159D">
        <w:t xml:space="preserve">. Evidence also </w:t>
      </w:r>
      <w:r w:rsidR="00095272">
        <w:t>suggests</w:t>
      </w:r>
      <w:r w:rsidR="0028689C" w:rsidRPr="001F159D">
        <w:t xml:space="preserve"> that any promising innovation on CW prediction and reduction in the construction supply chain</w:t>
      </w:r>
      <w:r w:rsidR="006348AF">
        <w:t>s</w:t>
      </w:r>
      <w:r w:rsidR="0028689C" w:rsidRPr="001F159D">
        <w:t xml:space="preserve"> requires BIM compliance </w:t>
      </w:r>
      <w:r w:rsidR="0028689C" w:rsidRPr="001F159D">
        <w:fldChar w:fldCharType="begin" w:fldLock="1"/>
      </w:r>
      <w:r w:rsidR="00862122">
        <w:instrText>ADDIN CSL_CITATION {"citationItems":[{"id":"ITEM-1","itemData":{"DOI":"10.1080/2093761X.2016.1152203","ISBN":"2093-761X\\r2093-7628","ISSN":"20937628","abstract":"This study identifies evaluation criteria with the goal of appraising the performance of existing construction waste management tools and employing the results in the development of a holistic building information modelling (BIM) framework for construction waste management. Based on the literature, this paper identifies 32 construction waste management tools in five categories: (a) waste management plan templates and guides, (b) waste data collection and audit tools (c) waste quantification models, (d) waste prediction tools, and (e) geographic information system (GIS)- enabled waste tools. After reviewing these tools and conducting four focus-group interviews (FGIs), the findings revealed six categories of evaluation criteria (a) waste prediction; (b) waste data; (c) commercial and procurement; (d) BIM; (e) design; and (f) technological. The performance of the tools is assessed using the evaluation criteria and the result reveals that the existing tools are not robust enough to tackle construction waste management at the design stage. The paper therefore discusses the development of a holistic BIM framework with six layers: application; service domain; BIM business domain; presentation; data; and infrastructure. The BIM framework provides a holistic approach and organizes relevant knowledge required to tackle construction waste effectively at the design stage using an architecture-based layered approach. This framework will be of interest to software developers and BIM practitioners who seek to extend the functionalities of existing BIM software for construction waste management.","author":[{"dropping-particle":"","family":"Akinade","given":"Olugbenga O.","non-dropping-particle":"","parse-names":false,"suffix":""},{"dropping-particle":"","family":"Oyedele","given":"Lukumon O.","non-dropping-particle":"","parse-names":false,"suffix":""},{"dropping-particle":"","family":"Munir","given":"Kamran","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A.","non-dropping-particle":"","parse-names":false,"suffix":""}],"container-title":"International Journal of Sustainable Building Technology and Urban Development","id":"ITEM-1","issue":"1","issued":{"date-parts":[["2016"]]},"page":"3-21","title":"Evaluation criteria for construction waste management tools: Towards a holistic BIM framework","type":"article-journal","volume":"7"},"uris":["http://www.mendeley.com/documents/?uuid=1b68922e-2d08-4593-ab7a-65765e78278f"]},{"id":"ITEM-2","itemData":{"DOI":"10.1016/j.resconrec.2015.06.001","ISSN":"09213449","abstract":"Construction industry contributes a large portion of waste to landfill, which in turns results in environmental pollution and CO2 emission. Despite the adoption of several waste management strategies, waste reduction to landfill continues seeming an insurmountable challenge. This paper explores factors impeding the effectiveness of existing waste management strategies, as well as strategies for reducing waste intensiveness of the construction industry. Drawing on series of semi structured focus group discussions with experts from the UK leading construction companies, this paper combines phenomenological approach with a critical review and analysis of extant literatures. Five broad categories of factors and practices are responsible for ineffectiveness of construction and demolition waste management strategies, which subsequently results in waste intensiveness of the industry. These include end of pipe treatment of waste, externality and incompatibility of waste management tools with design tools, atomism of waste management strategies, perceived or unexpected high cost of waste management, and culture of waste behaviour within the industry. To reduce waste intensiveness of the construction industry, the study suggests that six factors are requisites. These are tackling of waste at design stage, whole life waste consideration, compliance of waste management solutions with BIM, cheaper cost of waste management practice, increased stringency of waste management legislation and fiscal policies, and research and enlightenment. The proposed strategies are not only important for achieving low waste construction projects, they are important for reducing waste intensiveness of the construction. Implementation of the suggested measures would drive waste management practices within the construction industry.","author":[{"dropping-particle":"","family":"Ajayi","given":"Saheed O.","non-dropping-particle":"","parse-names":false,"suffix":""},{"dropping-particle":"","family":"Oyedele","given":"Lukumon O.","non-dropping-particle":"","parse-names":false,"suffix":""},{"dropping-particle":"","family":"Bilal","given":"Muhammad","non-dropping-particle":"","parse-names":false,"suffix":""},{"dropping-particle":"","family":"Akinade","given":"Olugbenga O.","non-dropping-particle":"","parse-names":false,"suffix":""},{"dropping-particle":"","family":"Alaka","given":"Hafiz A.","non-dropping-particle":"","parse-names":false,"suffix":""},{"dropping-particle":"","family":"Owolabi","given":"Hakeem A.","non-dropping-particle":"","parse-names":false,"suffix":""},{"dropping-particle":"","family":"Kadiri","given":"Kabir O.","non-dropping-particle":"","parse-names":false,"suffix":""}],"container-title":"Resources, Conservation and Recycling","id":"ITEM-2","issued":{"date-parts":[["2015","9","1"]]},"page":"101-112","publisher":"Elsevier","title":"Waste effectiveness of the construction industry: Understanding the impediments and requisites for improvements","type":"article-journal","volume":"102"},"uris":["http://www.mendeley.com/documents/?uuid=03e40f7d-2768-461e-8a40-84af0ff6cf1a"]}],"mendeley":{"formattedCitation":"(Ajayi et al., 2015; Akinade et al., 2016)","plainTextFormattedCitation":"(Ajayi et al., 2015; Akinade et al., 2016)","previouslyFormattedCitation":"(Ajayi et al., 2015; Akinade et al., 2016)"},"properties":{"noteIndex":0},"schema":"https://github.com/citation-style-language/schema/raw/master/csl-citation.json"}</w:instrText>
      </w:r>
      <w:r w:rsidR="0028689C" w:rsidRPr="001F159D">
        <w:fldChar w:fldCharType="separate"/>
      </w:r>
      <w:r w:rsidR="00862122" w:rsidRPr="00862122">
        <w:rPr>
          <w:noProof/>
        </w:rPr>
        <w:t>(Ajayi et al., 2015; Akinade et al., 2016)</w:t>
      </w:r>
      <w:r w:rsidR="0028689C" w:rsidRPr="001F159D">
        <w:fldChar w:fldCharType="end"/>
      </w:r>
      <w:r w:rsidR="0028689C" w:rsidRPr="001F159D">
        <w:t>.</w:t>
      </w:r>
    </w:p>
    <w:p w14:paraId="531CFF81" w14:textId="7D62268B" w:rsidR="00E4193F" w:rsidRDefault="00B26F09" w:rsidP="0072282C">
      <w:pPr>
        <w:spacing w:line="480" w:lineRule="auto"/>
      </w:pPr>
      <w:r w:rsidRPr="001F159D">
        <w:t xml:space="preserve">The recent </w:t>
      </w:r>
      <w:r w:rsidRPr="004A2936">
        <w:rPr>
          <w:noProof/>
        </w:rPr>
        <w:t>wide</w:t>
      </w:r>
      <w:r w:rsidRPr="001F159D">
        <w:t xml:space="preserve"> adoption of BIM has revolutionised the way building projects are designed, constructed, delivered and operated across the world </w:t>
      </w:r>
      <w:r w:rsidRPr="001F159D">
        <w:fldChar w:fldCharType="begin" w:fldLock="1"/>
      </w:r>
      <w:r w:rsidR="002B7C0A">
        <w:instrText>ADDIN CSL_CITATION {"citationItems":[{"id":"ITEM-1","itemData":{"ISBN":"111802169X","author":[{"dropping-particle":"","family":"Eastman","given":"Chuck","non-dropping-particle":"","parse-names":false,"suffix":""},{"dropping-particle":"","family":"Teicholz","given":"Paul","non-dropping-particle":"","parse-names":false,"suffix":""},{"dropping-particle":"","family":"Sacks","given":"Rafael","non-dropping-particle":"","parse-names":false,"suffix":""},{"dropping-particle":"","family":"Liston","given":"Kathleen","non-dropping-particle":"","parse-names":false,"suffix":""}],"id":"ITEM-1","issued":{"date-parts":[["2011"]]},"publisher":"John Wiley &amp; Sons","title":"BIM handbook: A guide to building information modeling for owners, managers, designers, engineers and contractors","type":"book"},"uris":["http://www.mendeley.com/documents/?uuid=9ad5768e-24a9-482b-8853-339f998fb468"]}],"mendeley":{"formattedCitation":"(Eastman et al., 2011)","plainTextFormattedCitation":"(Eastman et al., 2011)","previouslyFormattedCitation":"(Eastman et al., 2011)"},"properties":{"noteIndex":0},"schema":"https://github.com/citation-style-language/schema/raw/master/csl-citation.json"}</w:instrText>
      </w:r>
      <w:r w:rsidRPr="001F159D">
        <w:fldChar w:fldCharType="separate"/>
      </w:r>
      <w:r w:rsidRPr="001F159D">
        <w:rPr>
          <w:noProof/>
        </w:rPr>
        <w:t>(Eastman et al., 2011)</w:t>
      </w:r>
      <w:r w:rsidRPr="001F159D">
        <w:fldChar w:fldCharType="end"/>
      </w:r>
      <w:r w:rsidRPr="001F159D">
        <w:t xml:space="preserve">. </w:t>
      </w:r>
      <w:r w:rsidRPr="004A2936">
        <w:rPr>
          <w:noProof/>
        </w:rPr>
        <w:t xml:space="preserve">There is no doubt that the upshot in BIM adoption across the AEC industries </w:t>
      </w:r>
      <w:r w:rsidRPr="004A2936">
        <w:rPr>
          <w:noProof/>
        </w:rPr>
        <w:fldChar w:fldCharType="begin" w:fldLock="1"/>
      </w:r>
      <w:r w:rsidR="002B7C0A">
        <w:rPr>
          <w:noProof/>
        </w:rPr>
        <w:instrText>ADDIN CSL_CITATION {"citationItems":[{"id":"ITEM-1","itemData":{"ISSN":"1532-6748","author":[{"dropping-particle":"","family":"Azhar","given":"Salman","non-dropping-particle":"","parse-names":false,"suffix":""}],"container-title":"Leadership and Management in Engineering","id":"ITEM-1","issue":"3","issued":{"date-parts":[["2011"]]},"page":"241-252","publisher":"American Society of Civil Engineers","title":"Building information modeling (BIM): Trends, benefits, risks, and challenges for the AEC industry","type":"article-journal","volume":"11"},"uris":["http://www.mendeley.com/documents/?uuid=695d655b-17a0-4b71-bf86-2d6be8953d04"]}],"mendeley":{"formattedCitation":"(Azhar, 2011)","plainTextFormattedCitation":"(Azhar, 2011)","previouslyFormattedCitation":"(Azhar, 2011)"},"properties":{"noteIndex":0},"schema":"https://github.com/citation-style-language/schema/raw/master/csl-citation.json"}</w:instrText>
      </w:r>
      <w:r w:rsidRPr="004A2936">
        <w:rPr>
          <w:noProof/>
        </w:rPr>
        <w:fldChar w:fldCharType="separate"/>
      </w:r>
      <w:r w:rsidRPr="004A2936">
        <w:rPr>
          <w:noProof/>
        </w:rPr>
        <w:t>(Azhar, 2011)</w:t>
      </w:r>
      <w:r w:rsidRPr="004A2936">
        <w:rPr>
          <w:noProof/>
        </w:rPr>
        <w:fldChar w:fldCharType="end"/>
      </w:r>
      <w:r w:rsidRPr="004A2936">
        <w:rPr>
          <w:noProof/>
        </w:rPr>
        <w:t xml:space="preserve"> has improved system interoperability </w:t>
      </w:r>
      <w:r w:rsidRPr="004A2936">
        <w:rPr>
          <w:noProof/>
        </w:rPr>
        <w:fldChar w:fldCharType="begin" w:fldLock="1"/>
      </w:r>
      <w:r w:rsidR="002B7C0A">
        <w:rPr>
          <w:noProof/>
        </w:rPr>
        <w:instrText>ADDIN CSL_CITATION {"citationItems":[{"id":"ITEM-1","itemData":{"DOI":"10.1007/s10270-010-0178-4","ISSN":"1619-1366","author":[{"dropping-particle":"","family":"Steel","given":"Jim","non-dropping-particle":"","parse-names":false,"suffix":""},{"dropping-particle":"","family":"Drogemuller","given":"Robin","non-dropping-particle":"","parse-names":false,"suffix":""},{"dropping-particle":"","family":"Toth","given":"Bianca","non-dropping-particle":"","parse-names":false,"suffix":""}],"container-title":"Software &amp; Systems Modeling","id":"ITEM-1","issue":"1","issued":{"date-parts":[["2012","10","7"]]},"page":"99-109","title":"Model interoperability in building information modelling","type":"article-journal","volume":"11"},"uris":["http://www.mendeley.com/documents/?uuid=6b3ddb90-3c29-4ea3-98cd-216dd8c9df6c"]}],"mendeley":{"formattedCitation":"(Steel et al., 2012)","plainTextFormattedCitation":"(Steel et al., 2012)","previouslyFormattedCitation":"(Steel et al., 2012)"},"properties":{"noteIndex":0},"schema":"https://github.com/citation-style-language/schema/raw/master/csl-citation.json"}</w:instrText>
      </w:r>
      <w:r w:rsidRPr="004A2936">
        <w:rPr>
          <w:noProof/>
        </w:rPr>
        <w:fldChar w:fldCharType="separate"/>
      </w:r>
      <w:r w:rsidRPr="004A2936">
        <w:rPr>
          <w:noProof/>
        </w:rPr>
        <w:t>(Steel et al., 2012)</w:t>
      </w:r>
      <w:r w:rsidRPr="004A2936">
        <w:rPr>
          <w:noProof/>
        </w:rPr>
        <w:fldChar w:fldCharType="end"/>
      </w:r>
      <w:r w:rsidRPr="004A2936">
        <w:rPr>
          <w:noProof/>
        </w:rPr>
        <w:t xml:space="preserve">, collaboration among project stakeholders </w:t>
      </w:r>
      <w:r w:rsidRPr="004A2936">
        <w:rPr>
          <w:noProof/>
        </w:rPr>
        <w:fldChar w:fldCharType="begin" w:fldLock="1"/>
      </w:r>
      <w:r w:rsidR="002B7C0A">
        <w:rPr>
          <w:noProof/>
        </w:rPr>
        <w:instrText>ADDIN CSL_CITATION {"citationItems":[{"id":"ITEM-1","itemData":{"DOI":"10.1016/j.autcon.2009.11.003","ISSN":"09265805","author":[{"dropping-particle":"","family":"Grilo","given":"António","non-dropping-particle":"","parse-names":false,"suffix":""},{"dropping-particle":"","family":"Jardim-Goncalves","given":"Ricardo","non-dropping-particle":"","parse-names":false,"suffix":""}],"container-title":"Automation in Construction","id":"ITEM-1","issue":"5","issued":{"date-parts":[["2010","8"]]},"page":"522-530","title":"Value proposition on interoperability of BIM and collaborative working environments","type":"article-journal","volume":"19"},"uris":["http://www.mendeley.com/documents/?uuid=a44a58e9-3e8f-465e-9060-e2cb89ca253b"]}],"mendeley":{"formattedCitation":"(Grilo and Jardim-Goncalves, 2010)","plainTextFormattedCitation":"(Grilo and Jardim-Goncalves, 2010)","previouslyFormattedCitation":"(Grilo and Jardim-Goncalves, 2010)"},"properties":{"noteIndex":0},"schema":"https://github.com/citation-style-language/schema/raw/master/csl-citation.json"}</w:instrText>
      </w:r>
      <w:r w:rsidRPr="004A2936">
        <w:rPr>
          <w:noProof/>
        </w:rPr>
        <w:fldChar w:fldCharType="separate"/>
      </w:r>
      <w:r w:rsidRPr="004A2936">
        <w:rPr>
          <w:noProof/>
        </w:rPr>
        <w:t>(Grilo and Jardim-Goncalves, 2010)</w:t>
      </w:r>
      <w:r w:rsidRPr="004A2936">
        <w:rPr>
          <w:noProof/>
        </w:rPr>
        <w:fldChar w:fldCharType="end"/>
      </w:r>
      <w:r w:rsidRPr="004A2936">
        <w:rPr>
          <w:noProof/>
        </w:rPr>
        <w:t xml:space="preserve">, visualisation and simulation of building models, and decision-making processes </w:t>
      </w:r>
      <w:r w:rsidRPr="004A2936">
        <w:rPr>
          <w:noProof/>
        </w:rPr>
        <w:fldChar w:fldCharType="begin" w:fldLock="1"/>
      </w:r>
      <w:r w:rsidR="002B7C0A">
        <w:rPr>
          <w:noProof/>
        </w:rPr>
        <w:instrText>ADDIN CSL_CITATION {"citationItems":[{"id":"ITEM-1","itemData":{"ISBN":"111802169X","author":[{"dropping-particle":"","family":"Eastman","given":"Chuck","non-dropping-particle":"","parse-names":false,"suffix":""},{"dropping-particle":"","family":"Teicholz","given":"Paul","non-dropping-particle":"","parse-names":false,"suffix":""},{"dropping-particle":"","family":"Sacks","given":"Rafael","non-dropping-particle":"","parse-names":false,"suffix":""},{"dropping-particle":"","family":"Liston","given":"Kathleen","non-dropping-particle":"","parse-names":false,"suffix":""}],"id":"ITEM-1","issued":{"date-parts":[["2011"]]},"publisher":"John Wiley &amp; Sons","title":"BIM handbook: A guide to building information modeling for owners, managers, designers, engineers and contractors","type":"book"},"uris":["http://www.mendeley.com/documents/?uuid=9ad5768e-24a9-482b-8853-339f998fb468"]}],"mendeley":{"formattedCitation":"(Eastman et al., 2011)","plainTextFormattedCitation":"(Eastman et al., 2011)","previouslyFormattedCitation":"(Eastman et al., 2011)"},"properties":{"noteIndex":0},"schema":"https://github.com/citation-style-language/schema/raw/master/csl-citation.json"}</w:instrText>
      </w:r>
      <w:r w:rsidRPr="004A2936">
        <w:rPr>
          <w:noProof/>
        </w:rPr>
        <w:fldChar w:fldCharType="separate"/>
      </w:r>
      <w:r w:rsidRPr="004A2936">
        <w:rPr>
          <w:noProof/>
        </w:rPr>
        <w:t>(Eastman et al., 2011)</w:t>
      </w:r>
      <w:r w:rsidRPr="004A2936">
        <w:rPr>
          <w:noProof/>
        </w:rPr>
        <w:fldChar w:fldCharType="end"/>
      </w:r>
      <w:r w:rsidRPr="004A2936">
        <w:rPr>
          <w:noProof/>
        </w:rPr>
        <w:t>.</w:t>
      </w:r>
      <w:r w:rsidRPr="001F159D">
        <w:t xml:space="preserve"> Accordingly, the expectations of stakeholders on BIM cut across various fields (architecture, engineering, construction, project management, information technology, sustainability,</w:t>
      </w:r>
      <w:r>
        <w:t xml:space="preserve"> knowledge management, and policies</w:t>
      </w:r>
      <w:r w:rsidRPr="001F159D">
        <w:t>.</w:t>
      </w:r>
      <w:r w:rsidR="00624820">
        <w:t>)</w:t>
      </w:r>
      <w:r w:rsidRPr="001F159D">
        <w:t xml:space="preserve"> </w:t>
      </w:r>
      <w:r w:rsidRPr="001F159D">
        <w:fldChar w:fldCharType="begin" w:fldLock="1"/>
      </w:r>
      <w:r w:rsidR="002B7C0A">
        <w:instrText>ADDIN CSL_CITATION {"citationItems":[{"id":"ITEM-1","itemData":{"DOI":"10.1016/j.autcon.2010.09.011","ISSN":"09265805","author":[{"dropping-particle":"","family":"Singh","given":"Vishal","non-dropping-particle":"","parse-names":false,"suffix":""},{"dropping-particle":"","family":"Gu","given":"Ning","non-dropping-particle":"","parse-names":false,"suffix":""},{"dropping-particle":"","family":"Wang","given":"Xiangyu","non-dropping-particle":"","parse-names":false,"suffix":""}],"container-title":"Automation in Construction","id":"ITEM-1","issue":"2","issued":{"date-parts":[["2011","3"]]},"page":"134-144","publisher":"Elsevier B.V.","title":"A theoretical framework of a BIM-based multi-disciplinary collaboration platform","type":"article-journal","volume":"20"},"uris":["http://www.mendeley.com/documents/?uuid=63d33496-cc35-43df-9769-38cdadce4e53"]}],"mendeley":{"formattedCitation":"(Singh et al., 2011)","plainTextFormattedCitation":"(Singh et al., 2011)","previouslyFormattedCitation":"(Singh et al., 2011)"},"properties":{"noteIndex":0},"schema":"https://github.com/citation-style-language/schema/raw/master/csl-citation.json"}</w:instrText>
      </w:r>
      <w:r w:rsidRPr="001F159D">
        <w:fldChar w:fldCharType="separate"/>
      </w:r>
      <w:r w:rsidRPr="001F159D">
        <w:rPr>
          <w:noProof/>
        </w:rPr>
        <w:t>(Singh et al., 2011)</w:t>
      </w:r>
      <w:r w:rsidRPr="001F159D">
        <w:fldChar w:fldCharType="end"/>
      </w:r>
      <w:r w:rsidR="00095272">
        <w:t>, and the needs of all the stakeholders in these fields must be met</w:t>
      </w:r>
      <w:r w:rsidRPr="001F159D">
        <w:t xml:space="preserve">. Although BIM adoption offers several benefits, using BIM for CW management is not a common practice in the construction supply </w:t>
      </w:r>
      <w:r w:rsidR="006348AF">
        <w:t xml:space="preserve">chains </w:t>
      </w:r>
      <w:r w:rsidRPr="001F159D">
        <w:fldChar w:fldCharType="begin" w:fldLock="1"/>
      </w:r>
      <w:r w:rsidR="00862122">
        <w:instrText>ADDIN CSL_CITATION {"citationItems":[{"id":"ITEM-1","itemData":{"DOI":"10.1016/j.resconrec.2015.10.018","ISBN":"09213449","ISSN":"09213449","abstract":"The overall aim of this study is to develop a Building Information Modelling based Deconstructability Assessment Score (BIM-DAS) for determining the extent to which a building could be deconstructed right from the design stage. To achieve this, a review of extant literature was carried out to identify critical design principles influencing effectual building deconstruction and key features for assessing the performance of Design for Deconstruction (DfD). Thereafter, these key features were used to develop BIM-DAS using mathematical modelling approach based on efficient material requirement planning. BIM-DAS was later tested using case study design and the results show that the major contributing factors to DfD are use of prefabricated assemblies and demountable connections. The results of the evaluation demonstrate the practicality of BIM-DAS as an indicator to measure the deconstructability of building designs. This could provide a design requirement benchmark for effective building deconstruction. This research work will benefit all stakeholders in the construction industry especially those interested in designing for deconstruction. The eventual incorporation of BIM-DAS into existing BIM software will provide a basis for the comparison of deconstructability of building models during design.","author":[{"dropping-particle":"","family":"Akinade","given":"Olugbenga O.","non-dropping-particle":"","parse-names":false,"suffix":""},{"dropping-particle":"","family":"Oyedele","given":"Lukumon O.","non-dropping-particle":"","parse-names":false,"suffix":""},{"dropping-particle":"","family":"Bilal","given":"Muhammad","non-dropping-particle":"","parse-names":false,"suffix":""},{"dropping-particle":"","family":"Ajayi","given":"Saheed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A.","non-dropping-particle":"","parse-names":false,"suffix":""}],"container-title":"Resources, Conservation and Recycling","id":"ITEM-1","issued":{"date-parts":[["2015","12"]]},"page":"167-176","publisher":"Elsevier B.V.","title":"Waste minimisation through deconstruction: A BIM based Deconstructability Assessment Score (BIM-DAS)","type":"article-journal","volume":"105"},"uris":["http://www.mendeley.com/documents/?uuid=681bbf62-5e1f-4c1a-b1d7-1b090d9ae1f8"]}],"mendeley":{"formattedCitation":"(Akinade et al., 2015)","plainTextFormattedCitation":"(Akinade et al., 2015)","previouslyFormattedCitation":"(Akinade et al., 2015)"},"properties":{"noteIndex":0},"schema":"https://github.com/citation-style-language/schema/raw/master/csl-citation.json"}</w:instrText>
      </w:r>
      <w:r w:rsidRPr="001F159D">
        <w:fldChar w:fldCharType="separate"/>
      </w:r>
      <w:r w:rsidRPr="001F159D">
        <w:rPr>
          <w:noProof/>
        </w:rPr>
        <w:t>(Akinade et al., 2015)</w:t>
      </w:r>
      <w:r w:rsidRPr="001F159D">
        <w:fldChar w:fldCharType="end"/>
      </w:r>
      <w:r w:rsidRPr="001F159D">
        <w:t xml:space="preserve">. Evidence from several studies highlight BIM potentials for CW management </w:t>
      </w:r>
      <w:r w:rsidRPr="001F159D">
        <w:fldChar w:fldCharType="begin" w:fldLock="1"/>
      </w:r>
      <w:r w:rsidR="002B7C0A">
        <w:instrText>ADDIN CSL_CITATION {"citationItems":[{"id":"ITEM-1","itemData":{"author":[{"dropping-particle":"","family":"Liu","given":"Zhen","non-dropping-particle":"","parse-names":false,"suffix":""},{"dropping-particle":"","family":"Osmani","given":"Mohamed","non-dropping-particle":"","parse-names":false,"suffix":""},{"dropping-particle":"","family":"Demian","given":"Peter","non-dropping-particle":"","parse-names":false,"suffix":""},{"dropping-particle":"","family":"Baldwin","given":"AN","non-dropping-particle":"","parse-names":false,"suffix":""}],"container-title":"Proceedings of the CIB W78-W102 2011: International Conference","id":"ITEM-1","issued":{"date-parts":[["2011"]]},"publisher-place":"Sophia Antipolis, France","title":"The potential use of BIM to aid construction waste minimalisation","type":"paper-conference"},"uris":["http://www.mendeley.com/documents/?uuid=19be51de-8c55-4b2c-84f2-c177eb37f9cb"]},{"id":"ITEM-2","itemData":{"DOI":"10.1016/j.wasman.2015.12.026","ISSN":"1879-2456","PMID":"26754615","abstract":"Waste generated in construction and demolition processes comprised around 50% of the solid waste in South Korea in 2013. Many cases show that design validation based on building information modeling (BIM) is an effective means to reduce the amount of construction waste since construction waste is mainly generated due to improper design and unexpected changes in the design and construction phases. However, the amount of construction waste that could be avoided by adopting BIM-based design validation has been unknown. This paper aims to estimate the amount of construction waste prevented by a BIM-based design validation process based on the amount of construction waste that might be generated due to design errors. Two project cases in South Korea were studied in this paper, with 381 and 136 design errors detected, respectively during the BIM-based design validation. Each design error was categorized according to its cause and the likelihood of detection before construction. The case studies show that BIM-based design validation could prevent 4.3-15.2% of construction waste that might have been generated without using BIM.","author":[{"dropping-particle":"","family":"Won","given":"Jongsung","non-dropping-particle":"","parse-names":false,"suffix":""},{"dropping-particle":"","family":"Cheng","given":"Jack C P","non-dropping-particle":"","parse-names":false,"suffix":""},{"dropping-particle":"","family":"Lee","given":"Ghang","non-dropping-particle":"","parse-names":false,"suffix":""}],"container-title":"Waste management (New York, N.Y.)","id":"ITEM-2","issued":{"date-parts":[["2016","1","2"]]},"title":"Quantification of construction waste prevented by BIM-based design validation: Case studies in South Korea.","type":"article-journal"},"uris":["http://www.mendeley.com/documents/?uuid=1a9a834b-3b17-42aa-a78c-704aa4459abf"]}],"mendeley":{"formattedCitation":"(Liu et al., 2011; Won et al., 2016)","plainTextFormattedCitation":"(Liu et al., 2011; Won et al., 2016)","previouslyFormattedCitation":"(Liu et al., 2011; Won et al., 2016)"},"properties":{"noteIndex":0},"schema":"https://github.com/citation-style-language/schema/raw/master/csl-citation.json"}</w:instrText>
      </w:r>
      <w:r w:rsidRPr="001F159D">
        <w:fldChar w:fldCharType="separate"/>
      </w:r>
      <w:r w:rsidRPr="001F159D">
        <w:rPr>
          <w:noProof/>
        </w:rPr>
        <w:t>(Liu et al., 2011; Won et al., 2016)</w:t>
      </w:r>
      <w:r w:rsidRPr="001F159D">
        <w:fldChar w:fldCharType="end"/>
      </w:r>
      <w:r w:rsidRPr="001F159D">
        <w:t xml:space="preserve">; however, </w:t>
      </w:r>
      <w:r w:rsidRPr="001F159D">
        <w:rPr>
          <w:color w:val="000000" w:themeColor="text1"/>
        </w:rPr>
        <w:t xml:space="preserve">no study provides </w:t>
      </w:r>
      <w:r w:rsidRPr="001F159D">
        <w:rPr>
          <w:color w:val="000000" w:themeColor="text1"/>
        </w:rPr>
        <w:lastRenderedPageBreak/>
        <w:t xml:space="preserve">a clear direction on BIM implementation for waste management. </w:t>
      </w:r>
      <w:r w:rsidRPr="001F159D">
        <w:t xml:space="preserve">Existing studies provide only frameworks and guidelines for design-based CW management </w:t>
      </w:r>
      <w:r w:rsidRPr="001F159D">
        <w:fldChar w:fldCharType="begin" w:fldLock="1"/>
      </w:r>
      <w:r w:rsidR="002B7C0A">
        <w:instrText>ADDIN CSL_CITATION {"citationItems":[{"id":"ITEM-1","itemData":{"author":[{"dropping-particle":"","family":"Liu","given":"Zhen","non-dropping-particle":"","parse-names":false,"suffix":""},{"dropping-particle":"","family":"Osmani","given":"Mohamed","non-dropping-particle":"","parse-names":false,"suffix":""},{"dropping-particle":"","family":"Demian","given":"Peter","non-dropping-particle":"","parse-names":false,"suffix":""},{"dropping-particle":"","family":"Baldwin","given":"AN","non-dropping-particle":"","parse-names":false,"suffix":""}],"container-title":"Proceedings of the CIB W78-W102 2011: International Conference","id":"ITEM-1","issued":{"date-parts":[["2011"]]},"publisher-place":"Sophia Antipolis, France","title":"The potential use of BIM to aid construction waste minimalisation","type":"paper-conference"},"uris":["http://www.mendeley.com/documents/?uuid=19be51de-8c55-4b2c-84f2-c177eb37f9cb"]},{"id":"ITEM-2","itemData":{"PMID":"17624757","abstract":"The construction, demolition and excavation waste arising in England was estimated at 91 million tonnes in 2003. The current thinking on construction waste minimisation is heavily focussed on several issues relating to physical construction waste and recycling guides. Indeed, much had been published on ways to improve on-site waste management and recycling activities but very few attempts made to address the effect of design practices on waste generation. However, there is a consensus in the literature that the architect has a decisive role to play in helping to reduce waste by focussing on designing out waste. This paper examines previous studies on architects' approach towards construction waste minimisation; and by means of a postal questionnaire, investigates: the origins of waste; waste minimisation design practices in the UK; and responsibilities and barriers within the UK architectural profession. The findings reveal that waste management is not a priority in the design process. Additionally, the architects seemed to take the view that waste is mainly produced during site operations and rarely generated during the design stages; however, about one-third of construction waste could essentially arise from design decisions. Results also indicate that a number of constraints, namely: lack of interest from clients; attitudes towards waste minimisation; and training all act as disincentives to a proactive and sustainable implementation of waste reduction strategies during the design process. Crown Copyright © 2007.","author":[{"dropping-particle":"","family":"Osmani","given":"M.","non-dropping-particle":"","parse-names":false,"suffix":""},{"dropping-particle":"","family":"Glass","given":"J.","non-dropping-particle":"","parse-names":false,"suffix":""},{"dropping-particle":"","family":"Price","given":"A. D F","non-dropping-particle":"","parse-names":false,"suffix":""}],"container-title":"Waste Management","id":"ITEM-2","issue":"7","issued":{"date-parts":[["2008"]]},"page":"1147-1158","title":"Architects' perspectives on construction waste reduction by design","type":"article-journal","volume":"28"},"uris":["http://www.mendeley.com/documents/?uuid=d8089f00-da65-4d04-8900-824f66a59dd7"]},{"id":"ITEM-3","itemData":{"DOI":"10.1016/j.wasman.2015.12.026","ISSN":"1879-2456","PMID":"26754615","abstract":"Waste generated in construction and demolition processes comprised around 50% of the solid waste in South Korea in 2013. Many cases show that design validation based on building information modeling (BIM) is an effective means to reduce the amount of construction waste since construction waste is mainly generated due to improper design and unexpected changes in the design and construction phases. However, the amount of construction waste that could be avoided by adopting BIM-based design validation has been unknown. This paper aims to estimate the amount of construction waste prevented by a BIM-based design validation process based on the amount of construction waste that might be generated due to design errors. Two project cases in South Korea were studied in this paper, with 381 and 136 design errors detected, respectively during the BIM-based design validation. Each design error was categorized according to its cause and the likelihood of detection before construction. The case studies show that BIM-based design validation could prevent 4.3-15.2% of construction waste that might have been generated without using BIM.","author":[{"dropping-particle":"","family":"Won","given":"Jongsung","non-dropping-particle":"","parse-names":false,"suffix":""},{"dropping-particle":"","family":"Cheng","given":"Jack C P","non-dropping-particle":"","parse-names":false,"suffix":""},{"dropping-particle":"","family":"Lee","given":"Ghang","non-dropping-particle":"","parse-names":false,"suffix":""}],"container-title":"Waste management (New York, N.Y.)","id":"ITEM-3","issued":{"date-parts":[["2016","1","2"]]},"title":"Quantification of construction waste prevented by BIM-based design validation: Case studies in South Korea.","type":"article-journal"},"uris":["http://www.mendeley.com/documents/?uuid=1a9a834b-3b17-42aa-a78c-704aa4459abf"]}],"mendeley":{"formattedCitation":"(Liu et al., 2011; Osmani et al., 2008; Won et al., 2016)","plainTextFormattedCitation":"(Liu et al., 2011; Osmani et al., 2008; Won et al., 2016)","previouslyFormattedCitation":"(Liu et al., 2011; Osmani et al., 2008; Won et al., 2016)"},"properties":{"noteIndex":0},"schema":"https://github.com/citation-style-language/schema/raw/master/csl-citation.json"}</w:instrText>
      </w:r>
      <w:r w:rsidRPr="001F159D">
        <w:fldChar w:fldCharType="separate"/>
      </w:r>
      <w:r w:rsidRPr="001F159D">
        <w:rPr>
          <w:noProof/>
        </w:rPr>
        <w:t>(Liu et al., 2011; Osmani et al., 2008; Won et al., 2016)</w:t>
      </w:r>
      <w:r w:rsidRPr="001F159D">
        <w:fldChar w:fldCharType="end"/>
      </w:r>
      <w:r w:rsidRPr="001F159D">
        <w:t xml:space="preserve">. </w:t>
      </w:r>
      <w:r w:rsidR="00953192">
        <w:t xml:space="preserve"> </w:t>
      </w:r>
      <w:r w:rsidR="00953192" w:rsidRPr="008A107E">
        <w:rPr>
          <w:color w:val="FF0000"/>
        </w:rPr>
        <w:t xml:space="preserve">The frameworks and guidelines only spell out CW management and minimisation practices, but they do not provide means of integrating the practices into design tools. The frameworks and guidelines also lack a measure of performance for the CW minimisation practices. As such, the frameworks and guidelines are too cumbersome to be used during the design stage.  </w:t>
      </w:r>
      <w:r w:rsidR="006941CB" w:rsidRPr="008A107E">
        <w:rPr>
          <w:color w:val="FF0000"/>
        </w:rPr>
        <w:t xml:space="preserve">Although BIM capabilities for transforming construction processes is common knowledge in the industry, Design-out-Waste (DoW) principles have not been integrated into BIM platforms because of the lack of </w:t>
      </w:r>
      <w:r w:rsidR="00A011D3" w:rsidRPr="008A107E">
        <w:rPr>
          <w:color w:val="FF0000"/>
        </w:rPr>
        <w:t xml:space="preserve">computational methodology for measuring CW from building 3D models. </w:t>
      </w:r>
      <w:r w:rsidRPr="008A107E">
        <w:rPr>
          <w:color w:val="FF0000"/>
        </w:rPr>
        <w:t>Thus, two gaps exist: (i) there is a lack of a methodological m</w:t>
      </w:r>
      <w:r w:rsidR="00095272" w:rsidRPr="008A107E">
        <w:rPr>
          <w:color w:val="FF0000"/>
        </w:rPr>
        <w:t>echanism for integrating Design-out-</w:t>
      </w:r>
      <w:r w:rsidRPr="008A107E">
        <w:rPr>
          <w:color w:val="FF0000"/>
        </w:rPr>
        <w:t>Waste (DoW) principles into BIM platforms, and (ii) there is no BIM-based measure of performance for DoW principles.</w:t>
      </w:r>
      <w:r w:rsidR="00A011D3" w:rsidRPr="008A107E">
        <w:rPr>
          <w:color w:val="FF0000"/>
        </w:rPr>
        <w:t xml:space="preserve"> The lack of BIM-based measure of DoW performance exists because of the limited knowledge on how to translate existing CW minimisation knowledge to computational models that can be incorporated into existing BIM software. </w:t>
      </w:r>
      <w:r w:rsidRPr="008A107E">
        <w:rPr>
          <w:color w:val="FF0000"/>
        </w:rPr>
        <w:t xml:space="preserve"> The gap in knowledge raises </w:t>
      </w:r>
      <w:r w:rsidRPr="008A107E">
        <w:rPr>
          <w:noProof/>
          <w:color w:val="FF0000"/>
        </w:rPr>
        <w:t>serious</w:t>
      </w:r>
      <w:r w:rsidRPr="008A107E">
        <w:rPr>
          <w:color w:val="FF0000"/>
        </w:rPr>
        <w:t xml:space="preserve"> concerns and </w:t>
      </w:r>
      <w:r w:rsidR="005F4C9E" w:rsidRPr="008A107E">
        <w:rPr>
          <w:color w:val="FF0000"/>
        </w:rPr>
        <w:t xml:space="preserve">it </w:t>
      </w:r>
      <w:r w:rsidRPr="008A107E">
        <w:rPr>
          <w:color w:val="FF0000"/>
        </w:rPr>
        <w:t>call</w:t>
      </w:r>
      <w:r w:rsidR="004A2404" w:rsidRPr="008A107E">
        <w:rPr>
          <w:color w:val="FF0000"/>
        </w:rPr>
        <w:t>s</w:t>
      </w:r>
      <w:r w:rsidRPr="008A107E">
        <w:rPr>
          <w:color w:val="FF0000"/>
        </w:rPr>
        <w:t xml:space="preserve"> for action on BIM </w:t>
      </w:r>
      <w:r w:rsidR="004A2404" w:rsidRPr="008A107E">
        <w:rPr>
          <w:color w:val="FF0000"/>
        </w:rPr>
        <w:t>implementation</w:t>
      </w:r>
      <w:r w:rsidRPr="008A107E">
        <w:rPr>
          <w:color w:val="FF0000"/>
        </w:rPr>
        <w:t xml:space="preserve"> for CW management</w:t>
      </w:r>
      <w:r w:rsidR="004A2404" w:rsidRPr="008A107E">
        <w:rPr>
          <w:color w:val="FF0000"/>
        </w:rPr>
        <w:t xml:space="preserve"> </w:t>
      </w:r>
      <w:r w:rsidR="00095272" w:rsidRPr="008A107E">
        <w:rPr>
          <w:color w:val="FF0000"/>
        </w:rPr>
        <w:t xml:space="preserve">in the </w:t>
      </w:r>
      <w:r w:rsidR="005F4C9E" w:rsidRPr="008A107E">
        <w:rPr>
          <w:color w:val="FF0000"/>
        </w:rPr>
        <w:t xml:space="preserve">construction </w:t>
      </w:r>
      <w:r w:rsidR="004A2404" w:rsidRPr="008A107E">
        <w:rPr>
          <w:color w:val="FF0000"/>
        </w:rPr>
        <w:t>supply chains</w:t>
      </w:r>
      <w:r w:rsidRPr="008A107E">
        <w:rPr>
          <w:color w:val="FF0000"/>
        </w:rPr>
        <w:t>. As such, there is</w:t>
      </w:r>
      <w:r w:rsidR="00E4193F" w:rsidRPr="008A107E">
        <w:rPr>
          <w:color w:val="FF0000"/>
        </w:rPr>
        <w:t xml:space="preserve"> a need to improve the current BIM system</w:t>
      </w:r>
      <w:r w:rsidR="00DF665D" w:rsidRPr="008A107E">
        <w:rPr>
          <w:color w:val="FF0000"/>
        </w:rPr>
        <w:t>s</w:t>
      </w:r>
      <w:r w:rsidR="00E4193F" w:rsidRPr="008A107E">
        <w:rPr>
          <w:color w:val="FF0000"/>
        </w:rPr>
        <w:t xml:space="preserve"> </w:t>
      </w:r>
      <w:r w:rsidR="008B06CA" w:rsidRPr="008A107E">
        <w:rPr>
          <w:color w:val="FF0000"/>
        </w:rPr>
        <w:t xml:space="preserve">to integrate the </w:t>
      </w:r>
      <w:r w:rsidRPr="008A107E">
        <w:rPr>
          <w:color w:val="FF0000"/>
        </w:rPr>
        <w:t>construction supply chains</w:t>
      </w:r>
      <w:r w:rsidR="008B06CA" w:rsidRPr="008A107E">
        <w:rPr>
          <w:color w:val="FF0000"/>
        </w:rPr>
        <w:t xml:space="preserve"> fully and to ensure that material waste minimisation </w:t>
      </w:r>
      <w:r w:rsidR="008B06CA" w:rsidRPr="008A107E">
        <w:rPr>
          <w:noProof/>
          <w:color w:val="FF0000"/>
        </w:rPr>
        <w:t>is achieved</w:t>
      </w:r>
      <w:r w:rsidR="008B06CA" w:rsidRPr="008A107E">
        <w:rPr>
          <w:color w:val="FF0000"/>
        </w:rPr>
        <w:t xml:space="preserve">. </w:t>
      </w:r>
    </w:p>
    <w:p w14:paraId="5769F142" w14:textId="36D640F7" w:rsidR="009C6254" w:rsidRDefault="00B26F09" w:rsidP="0072282C">
      <w:pPr>
        <w:spacing w:line="480" w:lineRule="auto"/>
      </w:pPr>
      <w:r w:rsidRPr="001F159D">
        <w:t xml:space="preserve">Based on the </w:t>
      </w:r>
      <w:r w:rsidR="004A2936">
        <w:rPr>
          <w:noProof/>
        </w:rPr>
        <w:t>preced</w:t>
      </w:r>
      <w:r w:rsidRPr="004A2936">
        <w:rPr>
          <w:noProof/>
        </w:rPr>
        <w:t>ing</w:t>
      </w:r>
      <w:r w:rsidRPr="001F159D">
        <w:t xml:space="preserve"> discussion and the </w:t>
      </w:r>
      <w:r w:rsidR="00095272">
        <w:t xml:space="preserve">identified </w:t>
      </w:r>
      <w:r w:rsidRPr="001F159D">
        <w:t xml:space="preserve">gap in knowledge, </w:t>
      </w:r>
      <w:r w:rsidR="00BF2F37">
        <w:t>t</w:t>
      </w:r>
      <w:r w:rsidR="009C6254">
        <w:t>he overall aim of the study is to development of a BIM platform fo</w:t>
      </w:r>
      <w:r w:rsidR="002F7B49">
        <w:t xml:space="preserve">r the construction supply chains </w:t>
      </w:r>
      <w:r w:rsidR="00DF665D">
        <w:t>to</w:t>
      </w:r>
      <w:r w:rsidR="004371BF">
        <w:t xml:space="preserve"> </w:t>
      </w:r>
      <w:r w:rsidR="00095272">
        <w:t>predict</w:t>
      </w:r>
      <w:r w:rsidR="002F7B49">
        <w:t xml:space="preserve"> </w:t>
      </w:r>
      <w:r w:rsidR="00BF2F37">
        <w:t>CW</w:t>
      </w:r>
      <w:r w:rsidR="00095272">
        <w:t xml:space="preserve"> from building designs</w:t>
      </w:r>
      <w:r w:rsidR="002F7B49">
        <w:t xml:space="preserve">. </w:t>
      </w:r>
      <w:r w:rsidR="00BF2F37" w:rsidRPr="001F159D">
        <w:t xml:space="preserve">Achieving accurate CW prediction is critical to improving current CW management practices because a phenomenon cannot be improved if it cannot be measured. </w:t>
      </w:r>
      <w:r w:rsidR="002F7B49">
        <w:t>The specific research objectives of the study are:</w:t>
      </w:r>
    </w:p>
    <w:p w14:paraId="4DDBC5CB" w14:textId="150686D8" w:rsidR="00DD62AC" w:rsidRDefault="00DD62AC" w:rsidP="0072282C">
      <w:pPr>
        <w:pStyle w:val="ListParagraph"/>
        <w:numPr>
          <w:ilvl w:val="0"/>
          <w:numId w:val="15"/>
        </w:numPr>
        <w:spacing w:line="480" w:lineRule="auto"/>
      </w:pPr>
      <w:r>
        <w:lastRenderedPageBreak/>
        <w:t xml:space="preserve">To </w:t>
      </w:r>
      <w:r w:rsidRPr="001F159D">
        <w:t xml:space="preserve">investigate CW management principles empirically and to structure the required BIM principles to enhance CW </w:t>
      </w:r>
      <w:r>
        <w:t xml:space="preserve">management </w:t>
      </w:r>
    </w:p>
    <w:p w14:paraId="1BDEF9B6" w14:textId="08CED82D" w:rsidR="003E6169" w:rsidRDefault="002F7B49" w:rsidP="0072282C">
      <w:pPr>
        <w:pStyle w:val="ListParagraph"/>
        <w:numPr>
          <w:ilvl w:val="0"/>
          <w:numId w:val="15"/>
        </w:numPr>
        <w:spacing w:line="480" w:lineRule="auto"/>
      </w:pPr>
      <w:r>
        <w:t xml:space="preserve">To develop a predictive model </w:t>
      </w:r>
      <w:r w:rsidR="00456C89">
        <w:t xml:space="preserve">for estimating </w:t>
      </w:r>
      <w:r w:rsidR="00095272">
        <w:t>CW</w:t>
      </w:r>
      <w:r w:rsidR="00456C89">
        <w:t xml:space="preserve"> </w:t>
      </w:r>
      <w:r w:rsidR="00095272">
        <w:t>from building BIM designs</w:t>
      </w:r>
      <w:r w:rsidR="00456C89">
        <w:t xml:space="preserve">. </w:t>
      </w:r>
    </w:p>
    <w:p w14:paraId="4F5B615C" w14:textId="7F356860" w:rsidR="002F7B49" w:rsidRDefault="003E6169" w:rsidP="0072282C">
      <w:pPr>
        <w:pStyle w:val="ListParagraph"/>
        <w:numPr>
          <w:ilvl w:val="0"/>
          <w:numId w:val="15"/>
        </w:numPr>
        <w:spacing w:line="480" w:lineRule="auto"/>
      </w:pPr>
      <w:r>
        <w:t xml:space="preserve">To develop a BIM platform that will enable the integration and collaboration of the supply chains </w:t>
      </w:r>
      <w:r w:rsidR="00095272">
        <w:t>towards CW minimisation</w:t>
      </w:r>
      <w:r w:rsidR="007F0256">
        <w:t>.</w:t>
      </w:r>
    </w:p>
    <w:p w14:paraId="1DF4976D" w14:textId="666E9185" w:rsidR="00FC037D" w:rsidRPr="001F159D" w:rsidRDefault="00FC037D" w:rsidP="0072282C">
      <w:pPr>
        <w:spacing w:line="480" w:lineRule="auto"/>
      </w:pPr>
      <w:r w:rsidRPr="001F159D">
        <w:t xml:space="preserve">The study adopts experimental and case study research methodologies to achieve the specific objectives. A review of the extant literature was carried out to understand </w:t>
      </w:r>
      <w:r w:rsidR="00095272">
        <w:t xml:space="preserve">the </w:t>
      </w:r>
      <w:r w:rsidRPr="001F159D">
        <w:t xml:space="preserve">state of the art in CW </w:t>
      </w:r>
      <w:r w:rsidR="0028689C">
        <w:t>management in the construction supply chains</w:t>
      </w:r>
      <w:r w:rsidRPr="001F159D">
        <w:t xml:space="preserve"> and to understand the</w:t>
      </w:r>
      <w:r w:rsidR="00095272">
        <w:t xml:space="preserve"> BIM</w:t>
      </w:r>
      <w:r w:rsidRPr="001F159D">
        <w:t xml:space="preserve"> requirements for CW </w:t>
      </w:r>
      <w:r w:rsidR="00E96DE0">
        <w:t xml:space="preserve">management. The model developed for </w:t>
      </w:r>
      <w:r w:rsidRPr="001F159D">
        <w:t xml:space="preserve">CW prediction is underpinned by an Adaptive Neuro-Fuzzy Inference System (ANFIS), which is a combination of artificial neural networks and fuzzy logic. The model </w:t>
      </w:r>
      <w:r w:rsidRPr="004A2936">
        <w:rPr>
          <w:noProof/>
        </w:rPr>
        <w:t>was then integrated</w:t>
      </w:r>
      <w:r w:rsidRPr="001F159D">
        <w:t xml:space="preserve"> </w:t>
      </w:r>
      <w:r w:rsidR="00E96DE0">
        <w:t>in</w:t>
      </w:r>
      <w:r w:rsidRPr="001F159D">
        <w:t xml:space="preserve">to </w:t>
      </w:r>
      <w:r w:rsidR="00E96DE0" w:rsidRPr="001F159D">
        <w:t xml:space="preserve">Autodesk Revit software </w:t>
      </w:r>
      <w:r w:rsidR="004707B7">
        <w:t>as an add-in</w:t>
      </w:r>
      <w:r w:rsidRPr="001F159D">
        <w:t xml:space="preserve">. </w:t>
      </w:r>
      <w:r w:rsidR="004707B7">
        <w:t>The final BIM tool</w:t>
      </w:r>
      <w:r w:rsidRPr="001F159D">
        <w:t xml:space="preserve"> was tested using a case study design.</w:t>
      </w:r>
    </w:p>
    <w:p w14:paraId="4B61E486" w14:textId="1C40F20F" w:rsidR="00FC037D" w:rsidRPr="001F159D" w:rsidRDefault="00FC037D" w:rsidP="0072282C">
      <w:pPr>
        <w:spacing w:line="480" w:lineRule="auto"/>
      </w:pPr>
      <w:r w:rsidRPr="001F159D">
        <w:t xml:space="preserve">The remaining sections of the paper are structured as follows: Section 2 contains a review of the literature on </w:t>
      </w:r>
      <w:r w:rsidR="004707B7">
        <w:t xml:space="preserve">construction supply chains integration, </w:t>
      </w:r>
      <w:r w:rsidRPr="001F159D">
        <w:t xml:space="preserve">BIM requirements for CW </w:t>
      </w:r>
      <w:r w:rsidR="004707B7">
        <w:t>management, and ANFIS</w:t>
      </w:r>
      <w:r w:rsidRPr="001F159D">
        <w:t>. Section</w:t>
      </w:r>
      <w:r w:rsidR="002D4F58">
        <w:t xml:space="preserve"> 3 discusses the system design, specification, and the </w:t>
      </w:r>
      <w:r w:rsidRPr="001F159D">
        <w:t>schematic illustration of the methodological approach for the study. Section 4 contains a discussion on the pro</w:t>
      </w:r>
      <w:r w:rsidR="002D4BFE">
        <w:t>cess of ANFIS model development and</w:t>
      </w:r>
      <w:r w:rsidRPr="001F159D">
        <w:t xml:space="preserve"> BIM tool </w:t>
      </w:r>
      <w:r w:rsidR="007E4190" w:rsidRPr="001F159D">
        <w:t xml:space="preserve">development </w:t>
      </w:r>
      <w:r w:rsidRPr="001F159D">
        <w:t xml:space="preserve">for DoW. The section also covers the discussion on the programming environment, i.e., C# programming language, the Autodesk Revit Application Programming Interface (API), and User Interface (UI) frameworks. Section 5 contains a discussion of the results </w:t>
      </w:r>
      <w:r w:rsidR="003071D5">
        <w:t>and Section 6 provides the implications of the study. Section 7</w:t>
      </w:r>
      <w:r w:rsidRPr="001F159D">
        <w:t xml:space="preserve"> concludes the paper with a discussion </w:t>
      </w:r>
      <w:r w:rsidR="003A2153">
        <w:t xml:space="preserve">of </w:t>
      </w:r>
      <w:r w:rsidRPr="001F159D">
        <w:t>areas of further studies.</w:t>
      </w:r>
    </w:p>
    <w:p w14:paraId="0588BDCD" w14:textId="6D7277C9" w:rsidR="00FC037D" w:rsidRPr="001F159D" w:rsidRDefault="00A11991" w:rsidP="0072282C">
      <w:pPr>
        <w:pStyle w:val="Heading1"/>
        <w:spacing w:line="480" w:lineRule="auto"/>
      </w:pPr>
      <w:r>
        <w:lastRenderedPageBreak/>
        <w:t>S</w:t>
      </w:r>
      <w:r w:rsidR="00FC037D" w:rsidRPr="001F159D">
        <w:t xml:space="preserve">upply chains </w:t>
      </w:r>
      <w:r w:rsidR="00792D20">
        <w:t xml:space="preserve">integration </w:t>
      </w:r>
      <w:r w:rsidR="00FC037D" w:rsidRPr="001F159D">
        <w:t xml:space="preserve">and </w:t>
      </w:r>
      <w:r>
        <w:t xml:space="preserve">construction </w:t>
      </w:r>
      <w:r w:rsidR="00FC037D" w:rsidRPr="001F159D">
        <w:t xml:space="preserve">waste </w:t>
      </w:r>
      <w:r w:rsidR="00792D20">
        <w:t>minimisation</w:t>
      </w:r>
    </w:p>
    <w:p w14:paraId="7199C27F" w14:textId="77777777" w:rsidR="00273A52" w:rsidRDefault="00651C07" w:rsidP="0072282C">
      <w:pPr>
        <w:spacing w:line="480" w:lineRule="auto"/>
      </w:pPr>
      <w:r>
        <w:t xml:space="preserve">Supply </w:t>
      </w:r>
      <w:r w:rsidR="00776500">
        <w:t>chains</w:t>
      </w:r>
      <w:r>
        <w:t xml:space="preserve"> integration is a well-researched area</w:t>
      </w:r>
      <w:r w:rsidR="001407AC">
        <w:t>,</w:t>
      </w:r>
      <w:r>
        <w:t xml:space="preserve"> </w:t>
      </w:r>
      <w:r w:rsidRPr="001407AC">
        <w:rPr>
          <w:noProof/>
        </w:rPr>
        <w:t>and</w:t>
      </w:r>
      <w:r>
        <w:t xml:space="preserve"> it has been explored from different perspectives </w:t>
      </w:r>
      <w:r w:rsidR="00776500">
        <w:fldChar w:fldCharType="begin" w:fldLock="1"/>
      </w:r>
      <w:r w:rsidR="002B7C0A">
        <w:instrText>ADDIN CSL_CITATION {"citationItems":[{"id":"ITEM-1","itemData":{"DOI":"10.1108/13598540110402700","ISSN":"1359-8546","abstract":"In 1998, a government</w:instrText>
      </w:r>
      <w:r w:rsidR="002B7C0A">
        <w:rPr>
          <w:rFonts w:ascii="Cambria Math" w:hAnsi="Cambria Math" w:cs="Cambria Math"/>
        </w:rPr>
        <w:instrText>‐</w:instrText>
      </w:r>
      <w:r w:rsidR="002B7C0A">
        <w:instrText>sponsored review of the UK construction sector called for the adoption of initiatives from manufacturing industry in order to increase productivity and reduce costs. Subsequent research has focused on how supply chain management practices could be implemented effectively by clients, consultants and large contracting organisations. However, little attention has been paid to the integration of small and medium</w:instrText>
      </w:r>
      <w:r w:rsidR="002B7C0A">
        <w:rPr>
          <w:rFonts w:ascii="Cambria Math" w:hAnsi="Cambria Math" w:cs="Cambria Math"/>
        </w:rPr>
        <w:instrText>‐</w:instrText>
      </w:r>
      <w:r w:rsidR="002B7C0A">
        <w:instrText>size enterprises (SMEs) in the subcontractor and material supply sectors. This paper presents the findings of research that focused on the role of these SMEs in re</w:instrText>
      </w:r>
      <w:r w:rsidR="002B7C0A">
        <w:rPr>
          <w:rFonts w:ascii="Cambria Math" w:hAnsi="Cambria Math" w:cs="Cambria Math"/>
        </w:rPr>
        <w:instrText>‐</w:instrText>
      </w:r>
      <w:r w:rsidR="002B7C0A">
        <w:instrText>engineered construction supply chains. It was found that significant barriers exist to supplier integration within the construction sector, which stem from SME scepticism over the motives behind supply chain management practices. It is suggested that the industry must make greater efforts to extol the mutual benefits of supplier integration to SMEs if significant performance improvement is to be achieved.","author":[{"dropping-particle":"","family":"Dainty","given":"Andrew R.J.","non-dropping-particle":"","parse-names":false,"suffix":""},{"dropping-particle":"","family":"Millett","given":"Sarah J.","non-dropping-particle":"","parse-names":false,"suffix":""},{"dropping-particle":"","family":"Briscoe","given":"Geoffrey H.","non-dropping-particle":"","parse-names":false,"suffix":""}],"container-title":"Supply Chain Management: An International Journal","id":"ITEM-1","issue":"4","issued":{"date-parts":[["2001","10","13"]]},"page":"163-173","publisher":"MCB UP Ltd","title":"New perspectives on construction supply chain integration","type":"article-journal","volume":"6"},"uris":["http://www.mendeley.com/documents/?uuid=dafaf2d9-940e-33b3-975c-16e2ece8e02c"]},{"id":"ITEM-2","itemData":{"DOI":"10.1016/J.IJPE.2017.01.007","ISSN":"0925-5273","abstract":"The concept of integration has received considerable attention in operations and supply chain management literature in a time spanning over two decades. To advance theory development, it is important to critically examine the empirical findings in various integration studies. This paper undertakes an extensive investigation of the relationships between supply chain integration and various performance dimensions using a meta-analytical methodology. The study contributes to literature in four important ways. First, the findings empirically show that internal integration, supplier integration, and customer integration have significant impact on a firm's financial performance. Second, the study examines the impact of internal integration, supplier integration, and customer integration on a firm's operational performance; and its underlying dimensions of cost, quality, delivery, and flexibility separately. Third, the study points out the specific relationships between supply chain integration and performance that need to be further examined within contingency framework to discern the role of moderating factors. Finally, to provide direction for managerial decision-making, the study offers insights regarding integration dimension(s) that have largest breadth and depth of impact on various performance measures.","author":[{"dropping-particle":"","family":"Ataseven","given":"Cigdem","non-dropping-particle":"","parse-names":false,"suffix":""},{"dropping-particle":"","family":"Nair","given":"Anand","non-dropping-particle":"","parse-names":false,"suffix":""}],"container-title":"International Journal of Production Economics","id":"ITEM-2","issued":{"date-parts":[["2017","3","1"]]},"page":"252-265","publisher":"Elsevier","title":"Assessment of supply chain integration and performance relationships: A meta-analytic investigation of the literature","type":"article-journal","volume":"185"},"uris":["http://www.mendeley.com/documents/?uuid=742d273d-fb6b-3cfd-99e8-e264a03af0c4"]},{"id":"ITEM-3","itemData":{"DOI":"10.1108/SCM-04-2013-0114","ISSN":"1359-8546","abstract":"Purpose – Effective and efficient supply chain coordination requires the integration of all product flow processes. However, inconsistent empirical results have been obtained with respect to the relationships between supply chain integration (SCI) and performance. Drawing on efficiency-flexibility arguments, this paper seeks to develop a SCI model that includes buyer-supplier-supplier relationships, and proposes a contingency framework for reexamining the SCI-supplier performance relationship under demand and technological uncertainties. Design/methodology/approach – A two-stage data collection process was conducted, and a total of 878 suppliers that listed in the Taiwanese “Center-Satellite Production System” with supply contract were contacted for this study. Finally 164 suppliers were gathered and screened as valid responses. Hierarchical regression analysis was used to test the hypotheses in this study. Findings – Evidence indicates that SCI has a significant positive effect on the suppliers' performa...","author":[{"dropping-particle":"","family":"Huang","given":"Ming-Chang","non-dropping-particle":"","parse-names":false,"suffix":""},{"dropping-particle":"","family":"Yen","given":"Ghi-Feng","non-dropping-particle":"","parse-names":false,"suffix":""},{"dropping-particle":"","family":"Liu","given":"Tzu-Chuan","non-dropping-particle":"","parse-names":false,"suffix":""}],"container-title":"Supply Chain Management: An International Journal","id":"ITEM-3","issue":"1","issued":{"date-parts":[["2014","1","7"]]},"page":"64-78","publisher":" Emerald Group Publishing Limited ","title":"Reexamining supply chain integration and the supplier's performance relationships under uncertainty","type":"article-journal","volume":"19"},"uris":["http://www.mendeley.com/documents/?uuid=54dd7f43-ed16-308a-ba72-04c43050b907"]},{"id":"ITEM-4","itemData":{"DOI":"10.1016/J.IJPE.2014.07.004","ISSN":"0925-5273","abstract":"This paper focuses on the interrelationships among the different dimensions of supply chain integration. Specifically, it examines the relationship between employee commitment and supply chain integration dimensions to explain several performance measures, such as flexibility, delivery, quality, inventory and customer satisfaction. Very little research has been conducted onto this topic, since employee commitment is rarely included as an antecedent of the effect of supply chain integration on performance. Seven research models have been analysed with Structural Equation Models using a multiple-informant international sample of 266 mid-to-large-size manufacturing plants. The findings suggest that the relationship between employee commitment and operational performance is fully mediated by supply chain integration. Employee commitment contributes to improving internal integration, and internal integration affects performance both directly and indirectly. Moreover, obtaining internal integration helps to achieve supplier and customer integration. As a result, companies should strive to achieve both employee commitment and internal integration, as they mutually reinforce each other. Similarly, managers should achieve internal integration before external integration and include external integration at the strategic level in order to reap the greatest advantages from supply chain integration. Meanwhile, managers should promote employee commitment not only for better supply chain success, but also to mitigate the barriers of supply chain management implementation.","author":[{"dropping-particle":"","family":"Alfalla-Luque","given":"Rafaela","non-dropping-particle":"","parse-names":false,"suffix":""},{"dropping-particle":"","family":"Marin-Garcia","given":"Juan A.","non-dropping-particle":"","parse-names":false,"suffix":""},{"dropping-particle":"","family":"Medina-Lopez","given":"Carmen","non-dropping-particle":"","parse-names":false,"suffix":""}],"container-title":"International Journal of Production Economics","id":"ITEM-4","issued":{"date-parts":[["2015","4","1"]]},"page":"242-257","publisher":"Elsevier","title":"An analysis of the direct and mediated effects of employee commitment and supply chain integration on organisational performance","type":"article-journal","volume":"162"},"uris":["http://www.mendeley.com/documents/?uuid=4ea1936c-3b59-325c-a2ab-1a1b0ca90095"]},{"id":"ITEM-5","itemData":{"DOI":"10.1016/J.IJPE.2015.03.020","ISSN":"0925-5273","abstract":"Companies have reacted to the apparent opportunities and threats of globalization through various global production practices that have increased supply chain complexity and various forms of risk. Through increasing supply chain integration, companies have attempted to manage this increased level of complexity. Supply chain integration has been identified as a key practice to manage supply chains and achieve superior performance. The intent of this paper is to explore the role of risk and risk management practices in the success of supply chain integration in terms of their impact on cost and innovation performance. By applying the relational view and through cross-country survey and secondary country data we explore differences in supply chain integration efficacy based on the risk of conducting business (measured in terms of the strength of a country׳s rule of law) and the mitigating effect of supply chain risk management practices. One of the main conclusions suggests that supplier integration is also effective in weak rule of law (i.e., high risk) environments. Furthermore, companies can complement and strengthen the performance impact of their supplier integration practices through supply chain risk management practices in risky environments.","author":[{"dropping-particle":"","family":"Gimenez","given":"Cristina","non-dropping-particle":"","parse-names":false,"suffix":""},{"dropping-particle":"","family":"McIvor","given":"Ronan","non-dropping-particle":"","parse-names":false,"suffix":""}],"container-title":"International Journal of Production Economics","id":"ITEM-5","issued":{"date-parts":[["2016","1","1"]]},"page":"361-370","publisher":"Elsevier","title":"Risk, risk management practices, and the success of supply chain integration","type":"article-journal","volume":"171"},"uris":["http://www.mendeley.com/documents/?uuid=7b7ee5a9-f24e-3e76-bab3-2ad45f0fdf42"]}],"mendeley":{"formattedCitation":"(Alfalla-Luque et al., 2015; Ataseven and Nair, 2017; Dainty et al., 2001; Gimenez and McIvor, 2016; Huang et al., 2014)","plainTextFormattedCitation":"(Alfalla-Luque et al., 2015; Ataseven and Nair, 2017; Dainty et al., 2001; Gimenez and McIvor, 2016; Huang et al., 2014)","previouslyFormattedCitation":"(Alfalla-Luque et al., 2015; Ataseven and Nair, 2017; Dainty et al., 2001; Gimenez and McIvor, 2016; Huang et al., 2014)"},"properties":{"noteIndex":0},"schema":"https://github.com/citation-style-language/schema/raw/master/csl-citation.json"}</w:instrText>
      </w:r>
      <w:r w:rsidR="00776500">
        <w:fldChar w:fldCharType="separate"/>
      </w:r>
      <w:r w:rsidR="00476F78" w:rsidRPr="00476F78">
        <w:rPr>
          <w:noProof/>
        </w:rPr>
        <w:t>(Alfalla-Luque et al., 2015; Ataseven and Nair, 2017; Dainty et al., 2001; Gimenez and McIvor, 2016; Huang et al., 2014)</w:t>
      </w:r>
      <w:r w:rsidR="00776500">
        <w:fldChar w:fldCharType="end"/>
      </w:r>
      <w:r w:rsidR="00BE725B">
        <w:t xml:space="preserve">. Evidence from the literature shows that </w:t>
      </w:r>
      <w:r w:rsidR="00AA7AC1">
        <w:t>integrating the supply chains have a direct relationship on the operational and business performance</w:t>
      </w:r>
      <w:r w:rsidR="00B071C7">
        <w:t>s</w:t>
      </w:r>
      <w:r w:rsidR="00AA7AC1">
        <w:t xml:space="preserve"> </w:t>
      </w:r>
      <w:r w:rsidR="00476F78">
        <w:fldChar w:fldCharType="begin" w:fldLock="1"/>
      </w:r>
      <w:r w:rsidR="002B7C0A">
        <w:instrText>ADDIN CSL_CITATION {"citationItems":[{"id":"ITEM-1","itemData":{"DOI":"10.1016/J.JOM.2009.06.001","ISSN":"0272-6963","abstract":"This study extends the developing body of literature on supply chain integration (SCI), which is the degree to which a manufacturer strategically collaborates with its supply chain partners and collaboratively manages intra- and inter-organizational processes, in order to achieve effective and efficient flows of products and services, information, money and decisions, to provide maximum value to the customer. The previous research is inconsistent in its findings about the relationship between SCI and performance. We attribute this inconsistency to incomplete definitions of SCI, in particular, the tendency to focus on customer and supplier integration only, excluding the important central link of internal integration. We study the relationship between three dimensions of SCI, operational and business performance, from both a contingency and a configuration perspective. In applying the contingency approach, hierarchical regression was used to determine the impact of individual SCI dimensions (customer, supplier and internal integration) and their interactions on performance. In the configuration approach, cluster analysis was used to develop patterns of SCI, which were analyzed in terms of SCI strength and balance. Analysis of variance was used to examine the relationship between SCI pattern and performance. The findings of both the contingency and configuration approach indicated that SCI was related to both operational and business performance. Furthermore, the results indicated that internal and customer integration were more strongly related to improving performance than supplier integration.","author":[{"dropping-particle":"","family":"Flynn","given":"Barbara B.","non-dropping-particle":"","parse-names":false,"suffix":""},{"dropping-particle":"","family":"Huo","given":"Baofeng","non-dropping-particle":"","parse-names":false,"suffix":""},{"dropping-particle":"","family":"Zhao","given":"Xiande","non-dropping-particle":"","parse-names":false,"suffix":""}],"container-title":"Journal of Operations Management","id":"ITEM-1","issue":"1","issued":{"date-parts":[["2010","1","1"]]},"page":"58-71","publisher":"Elsevier","title":"The impact of supply chain integration on performance: A contingency and configuration approach","type":"article-journal","volume":"28"},"uris":["http://www.mendeley.com/documents/?uuid=d41947e2-7881-3e3d-b8c0-f2288d473db5"]},{"id":"ITEM-2","itemData":{"DOI":"10.1016/S0272-6963(02)00008-6","ISSN":"0272-6963","abstract":"Supply chain strategies and practices depend on not only the nature of the business, the competitive environment, and technological intensity of the product, but also on product and market characteristics. Consequently, supply chain integration (SCI) strategies should be evaluated in the light of a company’s market and product strategies. This paper examines the effect of SCI on the relationship between diversification and a firm’s competitive performance. The results of the study can be useful in integrating supply chain strategy into market and product diversification (PD) strategy. By comparing the main and interaction effects of SCI and diversification on performance, the paper shows that SCI strategy modifies the relationship between diversification and performance. Additionally, it is argued that coordinated use of SCI and diversification strategies has a significant effect on firm performance.","author":[{"dropping-particle":"","family":"Narasimhan","given":"Ram","non-dropping-particle":"","parse-names":false,"suffix":""},{"dropping-particle":"","family":"Kim","given":"Soo Wook","non-dropping-particle":"","parse-names":false,"suffix":""}],"container-title":"Journal of Operations Management","id":"ITEM-2","issue":"3","issued":{"date-parts":[["2002","6","1"]]},"page":"303-323","publisher":"Elsevier","title":"Effect of supply chain integration on the relationship between diversification and performance: evidence from Japanese and Korean firms","type":"article-journal","volume":"20"},"uris":["http://www.mendeley.com/documents/?uuid=83b8da3f-be54-3038-9ce3-6237aa1a9934"]}],"mendeley":{"formattedCitation":"(Flynn et al., 2010; Narasimhan and Kim, 2002)","plainTextFormattedCitation":"(Flynn et al., 2010; Narasimhan and Kim, 2002)","previouslyFormattedCitation":"(Flynn et al., 2010; Narasimhan and Kim, 2002)"},"properties":{"noteIndex":0},"schema":"https://github.com/citation-style-language/schema/raw/master/csl-citation.json"}</w:instrText>
      </w:r>
      <w:r w:rsidR="00476F78">
        <w:fldChar w:fldCharType="separate"/>
      </w:r>
      <w:r w:rsidR="00476F78" w:rsidRPr="00476F78">
        <w:rPr>
          <w:noProof/>
        </w:rPr>
        <w:t>(Flynn et al., 2010; Narasimhan and Kim, 2002)</w:t>
      </w:r>
      <w:r w:rsidR="00476F78">
        <w:fldChar w:fldCharType="end"/>
      </w:r>
      <w:r w:rsidR="00476F78">
        <w:t xml:space="preserve">. </w:t>
      </w:r>
      <w:r w:rsidR="000B7952">
        <w:t>However, t</w:t>
      </w:r>
      <w:r w:rsidR="008027E0">
        <w:t xml:space="preserve">he </w:t>
      </w:r>
      <w:r w:rsidR="00884613">
        <w:t>inability of the AEC industries to achieve the</w:t>
      </w:r>
      <w:r w:rsidR="008027E0">
        <w:t xml:space="preserve"> integration of the </w:t>
      </w:r>
      <w:r w:rsidR="007053F2">
        <w:t>supply chain stream</w:t>
      </w:r>
      <w:r w:rsidR="00146CD0">
        <w:t>s</w:t>
      </w:r>
      <w:r w:rsidR="007053F2">
        <w:t xml:space="preserve"> has </w:t>
      </w:r>
      <w:r w:rsidR="007053F2" w:rsidRPr="001407AC">
        <w:rPr>
          <w:noProof/>
        </w:rPr>
        <w:t>resulted in the failure of</w:t>
      </w:r>
      <w:r w:rsidR="007053F2">
        <w:t xml:space="preserve"> the industry to deliver the expected operational efficiency</w:t>
      </w:r>
      <w:r w:rsidR="00884613">
        <w:t xml:space="preserve"> </w:t>
      </w:r>
      <w:r w:rsidR="00A0173A">
        <w:t xml:space="preserve">and value delivery to clients </w:t>
      </w:r>
      <w:r w:rsidR="00A0173A">
        <w:fldChar w:fldCharType="begin" w:fldLock="1"/>
      </w:r>
      <w:r w:rsidR="002B7C0A">
        <w:instrText>ADDIN CSL_CITATION {"citationItems":[{"id":"ITEM-1","itemData":{"abstract":"The report of the Construction Task Force to the Deputy Prime Minister, John Prescott, on the scope for improving the quality and efficiency of UK construction.","author":[{"dropping-particle":"","family":"Egan","given":"John","non-dropping-particle":"","parse-names":false,"suffix":""}],"container-title":"Department of the Environment, Transport and the Regions, London","id":"ITEM-1","issued":{"date-parts":[["1998"]]},"title":"Rethinking construction","type":"report"},"uris":["http://www.mendeley.com/documents/?uuid=01ca4ba5-6bb1-478b-bd2c-7d45c3b4aba2"]}],"mendeley":{"formattedCitation":"(Egan, 1998)","plainTextFormattedCitation":"(Egan, 1998)","previouslyFormattedCitation":"(Egan, 1998)"},"properties":{"noteIndex":0},"schema":"https://github.com/citation-style-language/schema/raw/master/csl-citation.json"}</w:instrText>
      </w:r>
      <w:r w:rsidR="00A0173A">
        <w:fldChar w:fldCharType="separate"/>
      </w:r>
      <w:r w:rsidR="00A0173A" w:rsidRPr="00A0173A">
        <w:rPr>
          <w:noProof/>
        </w:rPr>
        <w:t>(Egan, 1998)</w:t>
      </w:r>
      <w:r w:rsidR="00A0173A">
        <w:fldChar w:fldCharType="end"/>
      </w:r>
      <w:r w:rsidR="007053F2">
        <w:t xml:space="preserve">. </w:t>
      </w:r>
      <w:r w:rsidR="00A0173A">
        <w:t>Key concerns in the industries</w:t>
      </w:r>
      <w:r w:rsidR="00146CD0">
        <w:t xml:space="preserve"> still</w:t>
      </w:r>
      <w:r w:rsidR="00A0173A">
        <w:t xml:space="preserve"> include </w:t>
      </w:r>
      <w:r w:rsidR="00C83158">
        <w:t>economic concerns (</w:t>
      </w:r>
      <w:r w:rsidR="00A0173A">
        <w:t>epidemic profit margin erosion</w:t>
      </w:r>
      <w:r w:rsidR="00C83158">
        <w:t xml:space="preserve"> and </w:t>
      </w:r>
      <w:r w:rsidR="00A0173A">
        <w:t>cost overruns</w:t>
      </w:r>
      <w:r w:rsidR="0033405F">
        <w:t>)</w:t>
      </w:r>
      <w:r w:rsidR="00A0173A">
        <w:t xml:space="preserve">, </w:t>
      </w:r>
      <w:r w:rsidR="0033405F">
        <w:t>project control</w:t>
      </w:r>
      <w:r w:rsidR="00C74B31">
        <w:t xml:space="preserve"> and delivery</w:t>
      </w:r>
      <w:r w:rsidR="0033405F">
        <w:t xml:space="preserve"> concerns (project management, procurement</w:t>
      </w:r>
      <w:r w:rsidR="004B50AC">
        <w:t xml:space="preserve">, </w:t>
      </w:r>
      <w:r w:rsidR="003B7334">
        <w:t>plant</w:t>
      </w:r>
      <w:r w:rsidR="004B50AC">
        <w:t xml:space="preserve"> and equipment</w:t>
      </w:r>
      <w:r w:rsidR="003B7334">
        <w:t>, quality</w:t>
      </w:r>
      <w:r w:rsidR="0033405F">
        <w:t>)</w:t>
      </w:r>
      <w:r w:rsidR="00A0173A">
        <w:t xml:space="preserve"> and waste</w:t>
      </w:r>
      <w:r w:rsidR="004B50AC">
        <w:t xml:space="preserve"> (material, resources</w:t>
      </w:r>
      <w:r w:rsidR="00623027">
        <w:t>,</w:t>
      </w:r>
      <w:r w:rsidR="004B50AC">
        <w:t xml:space="preserve"> and process)</w:t>
      </w:r>
      <w:r w:rsidR="00A0173A">
        <w:t xml:space="preserve">. </w:t>
      </w:r>
    </w:p>
    <w:p w14:paraId="69E62222" w14:textId="6E709F3C" w:rsidR="00FC037D" w:rsidRPr="001F159D" w:rsidRDefault="002D280F" w:rsidP="0072282C">
      <w:pPr>
        <w:spacing w:line="480" w:lineRule="auto"/>
      </w:pPr>
      <w:r>
        <w:t>Although the economic and project control c</w:t>
      </w:r>
      <w:r w:rsidR="00ED7F12">
        <w:t>oncerns have</w:t>
      </w:r>
      <w:r>
        <w:t xml:space="preserve"> been </w:t>
      </w:r>
      <w:r w:rsidR="003B7334">
        <w:t>given more attention</w:t>
      </w:r>
      <w:r>
        <w:t xml:space="preserve"> for several decades, waste management in construction projects is becoming </w:t>
      </w:r>
      <w:r w:rsidR="00685865">
        <w:t>prominent because</w:t>
      </w:r>
      <w:r w:rsidR="00FC037D" w:rsidRPr="001F159D">
        <w:t xml:space="preserve"> of the increasing stringency of waste legislation and regulations</w:t>
      </w:r>
      <w:r w:rsidR="00701888">
        <w:t xml:space="preserve">. </w:t>
      </w:r>
      <w:r w:rsidR="00B071C7">
        <w:t>Despite the increasing stringency of waste legislation and policies, t</w:t>
      </w:r>
      <w:r w:rsidR="00FC037D" w:rsidRPr="001F159D">
        <w:t>he construction supply chain</w:t>
      </w:r>
      <w:r w:rsidR="00817DAC">
        <w:t>s</w:t>
      </w:r>
      <w:r w:rsidR="00FC037D" w:rsidRPr="001F159D">
        <w:t xml:space="preserve"> </w:t>
      </w:r>
      <w:r w:rsidR="00446DAC">
        <w:t>are</w:t>
      </w:r>
      <w:r w:rsidR="00FC037D" w:rsidRPr="001F159D">
        <w:t xml:space="preserve"> still inefficient </w:t>
      </w:r>
      <w:r w:rsidR="00FC037D" w:rsidRPr="001407AC">
        <w:rPr>
          <w:noProof/>
        </w:rPr>
        <w:t>in terms of</w:t>
      </w:r>
      <w:r w:rsidR="00FC037D" w:rsidRPr="001F159D">
        <w:t xml:space="preserve"> CW minimisation because of the lack of a computational waste measurement mechanism.</w:t>
      </w:r>
      <w:r w:rsidR="00862122">
        <w:t xml:space="preserve"> A major reason for the non-existence of computational approaches for CW measurement is the lack of sufficient waste data </w:t>
      </w:r>
      <w:r w:rsidR="00862122">
        <w:fldChar w:fldCharType="begin" w:fldLock="1"/>
      </w:r>
      <w:r w:rsidR="00003D50">
        <w:instrText>ADDIN CSL_CITATION {"citationItems":[{"id":"ITEM-1","itemData":{"DOI":"10.1080/2093761X.2016.1152203","ISBN":"2093-761X\\r2093-7628","ISSN":"20937628","abstract":"This study identifies evaluation criteria with the goal of appraising the performance of existing construction waste management tools and employing the results in the development of a holistic building information modelling (BIM) framework for construction waste management. Based on the literature, this paper identifies 32 construction waste management tools in five categories: (a) waste management plan templates and guides, (b) waste data collection and audit tools (c) waste quantification models, (d) waste prediction tools, and (e) geographic information system (GIS)- enabled waste tools. After reviewing these tools and conducting four focus-group interviews (FGIs), the findings revealed six categories of evaluation criteria (a) waste prediction; (b) waste data; (c) commercial and procurement; (d) BIM; (e) design; and (f) technological. The performance of the tools is assessed using the evaluation criteria and the result reveals that the existing tools are not robust enough to tackle construction waste management at the design stage. The paper therefore discusses the development of a holistic BIM framework with six layers: application; service domain; BIM business domain; presentation; data; and infrastructure. The BIM framework provides a holistic approach and organizes relevant knowledge required to tackle construction waste effectively at the design stage using an architecture-based layered approach. This framework will be of interest to software developers and BIM practitioners who seek to extend the functionalities of existing BIM software for construction waste management.","author":[{"dropping-particle":"","family":"Akinade","given":"Olugbenga O.","non-dropping-particle":"","parse-names":false,"suffix":""},{"dropping-particle":"","family":"Oyedele","given":"Lukumon O.","non-dropping-particle":"","parse-names":false,"suffix":""},{"dropping-particle":"","family":"Munir","given":"Kamran","non-dropping-particle":"","parse-names":false,"suffix":""},{"dropping-particle":"","family":"Bilal","given":"Muhammad","non-dropping-particle":"","parse-names":false,"suffix":""},{"dropping-particle":"","family":"Ajayi","given":"Saheed O.","non-dropping-particle":"","parse-names":false,"suffix":""},{"dropping-particle":"","family":"Owolabi","given":"Hakeem A.","non-dropping-particle":"","parse-names":false,"suffix":""},{"dropping-particle":"","family":"Alaka","given":"Hafiz A.","non-dropping-particle":"","parse-names":false,"suffix":""},{"dropping-particle":"","family":"Bello","given":"Sururah A.","non-dropping-particle":"","parse-names":false,"suffix":""}],"container-title":"International Journal of Sustainable Building Technology and Urban Development","id":"ITEM-1","issue":"1","issued":{"date-parts":[["2016"]]},"page":"3-21","title":"Evaluation criteria for construction waste management tools: Towards a holistic BIM framework","type":"article-journal","volume":"7"},"uris":["http://www.mendeley.com/documents/?uuid=1b68922e-2d08-4593-ab7a-65765e78278f"]}],"mendeley":{"formattedCitation":"(Akinade et al., 2016)","plainTextFormattedCitation":"(Akinade et al., 2016)","previouslyFormattedCitation":"(Akinade et al., 2016)"},"properties":{"noteIndex":0},"schema":"https://github.com/citation-style-language/schema/raw/master/csl-citation.json"}</w:instrText>
      </w:r>
      <w:r w:rsidR="00862122">
        <w:fldChar w:fldCharType="separate"/>
      </w:r>
      <w:r w:rsidR="00862122" w:rsidRPr="00862122">
        <w:rPr>
          <w:noProof/>
        </w:rPr>
        <w:t>(Akinade et al., 2016)</w:t>
      </w:r>
      <w:r w:rsidR="00862122">
        <w:fldChar w:fldCharType="end"/>
      </w:r>
      <w:r w:rsidR="00862122">
        <w:t>. Waste data record from most construction site are recorded as mixed waste and transferred to third-party segregation and treatment companies because i</w:t>
      </w:r>
      <w:r w:rsidR="009642A4">
        <w:t>t</w:t>
      </w:r>
      <w:r w:rsidR="00862122">
        <w:t xml:space="preserve"> is not economically </w:t>
      </w:r>
      <w:r w:rsidR="009642A4">
        <w:t xml:space="preserve">viable </w:t>
      </w:r>
      <w:r w:rsidR="00862122">
        <w:t xml:space="preserve">to segregate waste onsite. </w:t>
      </w:r>
      <w:r w:rsidR="00FC037D" w:rsidRPr="001F159D">
        <w:t>Lord Kelvin rightly argued that “</w:t>
      </w:r>
      <w:r w:rsidR="00FC037D" w:rsidRPr="00385537">
        <w:rPr>
          <w:i/>
        </w:rPr>
        <w:t xml:space="preserve">To measure is to know. If </w:t>
      </w:r>
      <w:r w:rsidR="00FC037D" w:rsidRPr="00385537">
        <w:rPr>
          <w:i/>
          <w:noProof/>
        </w:rPr>
        <w:t>you</w:t>
      </w:r>
      <w:r w:rsidR="00FC037D" w:rsidRPr="00385537">
        <w:rPr>
          <w:i/>
        </w:rPr>
        <w:t xml:space="preserve"> cannot measure </w:t>
      </w:r>
      <w:r w:rsidR="00FC037D" w:rsidRPr="00385537">
        <w:rPr>
          <w:i/>
          <w:noProof/>
        </w:rPr>
        <w:t>it</w:t>
      </w:r>
      <w:r w:rsidR="00FC037D" w:rsidRPr="00385537">
        <w:rPr>
          <w:i/>
        </w:rPr>
        <w:t xml:space="preserve"> </w:t>
      </w:r>
      <w:r w:rsidR="00FC037D" w:rsidRPr="00385537">
        <w:rPr>
          <w:i/>
          <w:noProof/>
        </w:rPr>
        <w:t>you</w:t>
      </w:r>
      <w:r w:rsidR="00FC037D" w:rsidRPr="00385537">
        <w:rPr>
          <w:i/>
        </w:rPr>
        <w:t xml:space="preserve"> cannot improve it.</w:t>
      </w:r>
      <w:r w:rsidR="00FC037D" w:rsidRPr="001F159D">
        <w:t xml:space="preserve">” This </w:t>
      </w:r>
      <w:r w:rsidR="00B96B8A">
        <w:t xml:space="preserve">argument </w:t>
      </w:r>
      <w:r w:rsidR="00FC037D" w:rsidRPr="001F159D">
        <w:t xml:space="preserve">points out that the development of a computational Waste Prediction </w:t>
      </w:r>
      <w:r w:rsidR="00DF665D">
        <w:t>M</w:t>
      </w:r>
      <w:r w:rsidR="00FC037D" w:rsidRPr="001F159D">
        <w:t>odel (WPM) is crucial to improving waste-related value delivery</w:t>
      </w:r>
      <w:r w:rsidR="00817DAC">
        <w:t xml:space="preserve"> in </w:t>
      </w:r>
      <w:r w:rsidR="00794E00">
        <w:t>an integrated</w:t>
      </w:r>
      <w:r w:rsidR="00817DAC">
        <w:t xml:space="preserve"> construction supply chains</w:t>
      </w:r>
      <w:r w:rsidR="00FC037D" w:rsidRPr="001F159D">
        <w:t>.</w:t>
      </w:r>
    </w:p>
    <w:p w14:paraId="6B30BAE6" w14:textId="77777777" w:rsidR="00273A52" w:rsidRDefault="00FC037D" w:rsidP="0072282C">
      <w:pPr>
        <w:spacing w:line="480" w:lineRule="auto"/>
        <w:rPr>
          <w:color w:val="FF0000"/>
        </w:rPr>
      </w:pPr>
      <w:r w:rsidRPr="004D6C80">
        <w:rPr>
          <w:color w:val="FF0000"/>
        </w:rPr>
        <w:lastRenderedPageBreak/>
        <w:t xml:space="preserve">WPMs estimate the potential waste of building models </w:t>
      </w:r>
      <w:r w:rsidR="00F764D5" w:rsidRPr="004D6C80">
        <w:rPr>
          <w:color w:val="FF0000"/>
        </w:rPr>
        <w:t>at the design stage</w:t>
      </w:r>
      <w:r w:rsidRPr="004D6C80">
        <w:rPr>
          <w:color w:val="FF0000"/>
        </w:rPr>
        <w:t xml:space="preserve">. Estimation of CW at the design stage is </w:t>
      </w:r>
      <w:r w:rsidR="00B96B8A" w:rsidRPr="004D6C80">
        <w:rPr>
          <w:color w:val="FF0000"/>
        </w:rPr>
        <w:t>essential</w:t>
      </w:r>
      <w:r w:rsidRPr="004D6C80">
        <w:rPr>
          <w:color w:val="FF0000"/>
        </w:rPr>
        <w:t xml:space="preserve"> because it is cheaper to make design changes to buildings when its construction has not commenced </w:t>
      </w:r>
      <w:r w:rsidRPr="004D6C80">
        <w:rPr>
          <w:color w:val="FF0000"/>
        </w:rPr>
        <w:fldChar w:fldCharType="begin" w:fldLock="1"/>
      </w:r>
      <w:r w:rsidR="002B7C0A">
        <w:rPr>
          <w:color w:val="FF0000"/>
        </w:rPr>
        <w:instrText>ADDIN CSL_CITATION {"citationItems":[{"id":"ITEM-1","itemData":{"author":[{"dropping-particle":"","family":"Faniran","given":"OO","non-dropping-particle":"","parse-names":false,"suffix":""},{"dropping-particle":"","family":"Caban","given":"G","non-dropping-particle":"","parse-names":false,"suffix":""}],"container-title":"Engineering, Construction and …","id":"ITEM-1","issue":"2","issued":{"date-parts":[["1998"]]},"note":"To examine the existing CW minimisation strategies and the significance of CW sources. A study of waste minimisation strategies employed in construction project sites. A survey of 24 construction firms in Australia \n\n\n\n\n\n\n\n\nThe result shows that many of the construction firms did not have specific policies for CW minimisation. The most significant sources of CW (design changes) , and opportunities of minimising CW were idenfied. The waste management hierarchy was discussed and avoiding waste is the most desired. The result was based on qussionnaire respondents' perception rather than factual reords","page":"182-188","title":"Minimizing waste on construction project sites","type":"article-journal","volume":"5"},"uris":["http://www.mendeley.com/documents/?uuid=f19fa010-d56b-4072-a18f-0ec6e7a9d30e"]},{"id":"ITEM-2","itemData":{"ISSN":"0360-1323","author":[{"dropping-particle":"","family":"Ekanayake","given":"Lawrence Lesly","non-dropping-particle":"","parse-names":false,"suffix":""},{"dropping-particle":"","family":"Ofori","given":"George","non-dropping-particle":"","parse-names":false,"suffix":""}],"container-title":"Building and Environment","id":"ITEM-2","issue":"7","issued":{"date-parts":[["2004"]]},"page":"851-861","publisher":"Elsevier","title":"Building waste assessment score: design-based tool","type":"article-journal","volume":"39"},"uris":["http://www.mendeley.com/documents/?uuid=deb1cec5-e88e-4f7e-a1ec-35d7845efff4"]},{"id":"ITEM-3","itemData":{"PMID":"17624757","abstract":"The construction, demolition and excavation waste arising in England was estimated at 91 million tonnes in 2003. The current thinking on construction waste minimisation is heavily focussed on several issues relating to physical construction waste and recycling guides. Indeed, much had been published on ways to improve on-site waste management and recycling activities but very few attempts made to address the effect of design practices on waste generation. However, there is a consensus in the literature that the architect has a decisive role to play in helping to reduce waste by focussing on designing out waste. This paper examines previous studies on architects' approach towards construction waste minimisation; and by means of a postal questionnaire, investigates: the origins of waste; waste minimisation design practices in the UK; and responsibilities and barriers within the UK architectural profession. The findings reveal that waste management is not a priority in the design process. Additionally, the architects seemed to take the view that waste is mainly produced during site operations and rarely generated during the design stages; however, about one-third of construction waste could essentially arise from design decisions. Results also indicate that a number of constraints, namely: lack of interest from clients; attitudes towards waste minimisation; and training all act as disincentives to a proactive and sustainable implementation of waste reduction strategies during the design process. Crown Copyright © 2007.","author":[{"dropping-particle":"","family":"Osmani","given":"M.","non-dropping-particle":"","parse-names":false,"suffix":""},{"dropping-particle":"","family":"Glass","given":"J.","non-dropping-particle":"","parse-names":false,"suffix":""},{"dropping-particle":"","family":"Price","given":"A. D F","non-dropping-particle":"","parse-names":false,"suffix":""}],"container-title":"Waste Management","id":"ITEM-3","issue":"7","issued":{"date-parts":[["2008"]]},"page":"1147-1158","title":"Architects' perspectives on construction waste reduction by design","type":"article-journal","volume":"28"},"uris":["http://www.mendeley.com/documents/?uuid=d8089f00-da65-4d04-8900-824f66a59dd7"]}],"mendeley":{"formattedCitation":"(Ekanayake and Ofori, 2004; Faniran and Caban, 1998; Osmani et al., 2008)","plainTextFormattedCitation":"(Ekanayake and Ofori, 2004; Faniran and Caban, 1998; Osmani et al., 2008)","previouslyFormattedCitation":"(Ekanayake and Ofori, 2004; Faniran and Caban, 1998; Osmani et al., 2008)"},"properties":{"noteIndex":0},"schema":"https://github.com/citation-style-language/schema/raw/master/csl-citation.json"}</w:instrText>
      </w:r>
      <w:r w:rsidRPr="004D6C80">
        <w:rPr>
          <w:color w:val="FF0000"/>
        </w:rPr>
        <w:fldChar w:fldCharType="separate"/>
      </w:r>
      <w:r w:rsidRPr="004D6C80">
        <w:rPr>
          <w:noProof/>
          <w:color w:val="FF0000"/>
        </w:rPr>
        <w:t>(Ekanayake and Ofori, 2004; Faniran and Caban, 1998; Osmani et al., 2008)</w:t>
      </w:r>
      <w:r w:rsidRPr="004D6C80">
        <w:rPr>
          <w:color w:val="FF0000"/>
        </w:rPr>
        <w:fldChar w:fldCharType="end"/>
      </w:r>
      <w:r w:rsidRPr="004D6C80">
        <w:rPr>
          <w:color w:val="FF0000"/>
        </w:rPr>
        <w:t xml:space="preserve">. </w:t>
      </w:r>
      <w:r w:rsidRPr="004D6C80">
        <w:rPr>
          <w:noProof/>
          <w:color w:val="FF0000"/>
        </w:rPr>
        <w:t xml:space="preserve">The review of literature reveals that existing WPMs are based on four concepts, which are: (i) waste generation rates </w:t>
      </w:r>
      <w:r w:rsidRPr="004D6C80">
        <w:rPr>
          <w:noProof/>
          <w:color w:val="FF0000"/>
        </w:rPr>
        <w:fldChar w:fldCharType="begin" w:fldLock="1"/>
      </w:r>
      <w:r w:rsidR="002B7C0A">
        <w:rPr>
          <w:noProof/>
          <w:color w:val="FF0000"/>
        </w:rPr>
        <w:instrText>ADDIN CSL_CITATION {"citationItems":[{"id":"ITEM-1","itemData":{"DOI":"10.1080/0144619042000202816","ISSN":"0144-6193","author":[{"dropping-particle":"","family":"Poon","given":"Chi Sun","non-dropping-particle":"","parse-names":false,"suffix":""},{"dropping-particle":"","family":"Yu","given":"Ann T. W.","non-dropping-particle":"","parse-names":false,"suffix":""},{"dropping-particle":"","family":"Jaillon","given":"L.","non-dropping-particle":"","parse-names":false,"suffix":""}],"container-title":"Construction Management and Economics","id":"ITEM-1","issue":"5","issued":{"date-parts":[["2004","6"]]},"page":"461-470","title":"Reducing building waste at construction sites in Hong Kong","type":"article-journal","volume":"22"},"uris":["http://www.mendeley.com/documents/?uuid=f7ff5d98-9f92-4b72-a2ef-22d762ccfaac"]},{"id":"ITEM-2","itemData":{"author":[{"dropping-particle":"","family":"Masudi","given":"Ahmad Firman","non-dropping-particle":"","parse-names":false,"suffix":""},{"dropping-particle":"","family":"Rosmani","given":"Che","non-dropping-particle":"","parse-names":false,"suffix":""},{"dropping-particle":"","family":"Hassan","given":"Che","non-dropping-particle":"","parse-names":false,"suffix":""},{"dropping-particle":"","family":"Mahmood","given":"Noor Zalina","non-dropping-particle":"","parse-names":false,"suffix":""},{"dropping-particle":"","family":"Mokhtar","given":"Siti Nazziera","non-dropping-particle":"","parse-names":false,"suffix":""}],"id":"ITEM-2","issued":{"date-parts":[["2011"]]},"page":"909-916","title":"Construction Waste Quantification and Benchmarking : A Study in Klang Valley , Malaysia","type":"article-journal","volume":"5"},"uris":["http://www.mendeley.com/documents/?uuid=a6ec6456-3f1f-483d-b92d-5384f9754215"]},{"id":"ITEM-3","itemData":{"DOI":"10.1016/j.resconrec.2013.02.015","ISSN":"09213449","author":[{"dropping-particle":"","family":"Li","given":"Jingru","non-dropping-particle":"","parse-names":false,"suffix":""},{"dropping-particle":"","family":"Ding","given":"Zhikun","non-dropping-particle":"","parse-names":false,"suffix":""},{"dropping-particle":"","family":"Mi","given":"Xuming","non-dropping-particle":"","parse-names":false,"suffix":""},{"dropping-particle":"","family":"Wang","given":"Jiayuan","non-dropping-particle":"","parse-names":false,"suffix":""}],"container-title":"Resources, Conservation and Recycling","id":"ITEM-3","issued":{"date-parts":[["2013","5"]]},"page":"20-26","publisher":"Elsevier B.V.","title":"A model for estimating construction waste generation index for building project in China","type":"article-journal","volume":"74"},"uris":["http://www.mendeley.com/documents/?uuid=f7d22319-52df-42d7-9e42-9f2aba24ff23"]}],"mendeley":{"formattedCitation":"(Li et al., 2013; Masudi et al., 2011; Poon et al., 2004)","plainTextFormattedCitation":"(Li et al., 2013; Masudi et al., 2011; Poon et al., 2004)","previouslyFormattedCitation":"(Li et al., 2013; Masudi et al., 2011; Poon et al., 2004)"},"properties":{"noteIndex":0},"schema":"https://github.com/citation-style-language/schema/raw/master/csl-citation.json"}</w:instrText>
      </w:r>
      <w:r w:rsidRPr="004D6C80">
        <w:rPr>
          <w:noProof/>
          <w:color w:val="FF0000"/>
        </w:rPr>
        <w:fldChar w:fldCharType="separate"/>
      </w:r>
      <w:r w:rsidRPr="004D6C80">
        <w:rPr>
          <w:noProof/>
          <w:color w:val="FF0000"/>
        </w:rPr>
        <w:t>(Li et al., 2013; Masudi et al., 2011; Poon et al., 2004)</w:t>
      </w:r>
      <w:r w:rsidRPr="004D6C80">
        <w:rPr>
          <w:noProof/>
          <w:color w:val="FF0000"/>
        </w:rPr>
        <w:fldChar w:fldCharType="end"/>
      </w:r>
      <w:r w:rsidRPr="004D6C80">
        <w:rPr>
          <w:noProof/>
          <w:color w:val="FF0000"/>
        </w:rPr>
        <w:t xml:space="preserve">; (ii) construction activities </w:t>
      </w:r>
      <w:r w:rsidRPr="004D6C80">
        <w:rPr>
          <w:noProof/>
          <w:color w:val="FF0000"/>
        </w:rPr>
        <w:fldChar w:fldCharType="begin" w:fldLock="1"/>
      </w:r>
      <w:r w:rsidR="002B7C0A">
        <w:rPr>
          <w:noProof/>
          <w:color w:val="FF0000"/>
        </w:rPr>
        <w:instrText>ADDIN CSL_CITATION {"citationItems":[{"id":"ITEM-1","itemData":{"DOI":"10.1016/S0921-3449(03)00035-1","ISSN":"09213449","abstract":"In Greece, the construction industry has been developing rapidly over the past decades and the Olympic Games that, will be held in Athens in 2004 have made this development even more intense. The stream of construction and demolition (C&amp;D) waste must be dealt with special attention because of the shortage of landfill space for disposal and the various dangerous substances contained in it, which, can potentially affect the environment and human life if not managed properly. The working group of the NTUA was provided with a grant by Eurostat in order to collect data and illustrate the current status in the country in regards to C&amp;D waste. This paper presents the results of the study and analyses the generation sources, the estimated quantities of C&amp;D waste as well as the current waste management practices in Greece. Recommendations are made in order to deal with this problem effectively and promote sustainable waste management solutions such as reuse and recycling.","author":[{"dropping-particle":"","family":"Fatta","given":"D.","non-dropping-particle":"","parse-names":false,"suffix":""},{"dropping-particle":"","family":"Papadopoulos","given":"A.","non-dropping-particle":"","parse-names":false,"suffix":""},{"dropping-particle":"","family":"Avramikos","given":"E.","non-dropping-particle":"","parse-names":false,"suffix":""},{"dropping-particle":"","family":"Sgourou","given":"E.","non-dropping-particle":"","parse-names":false,"suffix":""},{"dropping-particle":"","family":"Moustakas","given":"K.","non-dropping-particle":"","parse-names":false,"suffix":""},{"dropping-particle":"","family":"Kourmoussis","given":"F.","non-dropping-particle":"","parse-names":false,"suffix":""},{"dropping-particle":"","family":"Mentzis","given":"A.","non-dropping-particle":"","parse-names":false,"suffix":""},{"dropping-particle":"","family":"Loizidou","given":"M.","non-dropping-particle":"","parse-names":false,"suffix":""}],"container-title":"Resources, Conservation and Recycling","id":"ITEM-1","issue":"1","issued":{"date-parts":[["2003","12"]]},"page":"81-91","title":"Generation and management of construction and demolition waste in Greece—an existing challenge","type":"article-journal","volume":"40"},"uris":["http://www.mendeley.com/documents/?uuid=cf63e876-c5f0-43fc-b47b-e24ca469062f"]},{"id":"ITEM-2","itemData":{"ISSN":"0360-1323","author":[{"dropping-particle":"","family":"Ekanayake","given":"Lawrence Lesly","non-dropping-particle":"","parse-names":false,"suffix":""},{"dropping-particle":"","family":"Ofori","given":"George","non-dropping-particle":"","parse-names":false,"suffix":""}],"container-title":"Building and Environment","id":"ITEM-2","issue":"7","issued":{"date-parts":[["2004"]]},"page":"851-861","publisher":"Elsevier","title":"Building waste assessment score: design-based tool","type":"article-journal","volume":"39"},"uris":["http://www.mendeley.com/documents/?uuid=deb1cec5-e88e-4f7e-a1ec-35d7845efff4"]},{"id":"ITEM-3","itemData":{"DOI":"10.1016/j.wasman.2004.07.010","ISSN":"0956-053X","PMID":"15567664","abstract":"Managing construction and demolition (C&amp;D) wastes has challenged many municipalities with diminishing waste disposal capacity. Facing such challenges, the Massachusetts Department of Environmental Protection proposed a policy restricting the landfill disposal of certain C&amp;D waste materials, if unprocessed. This research is to study the potential economic impact of such restriction on construction contractors and C&amp;D waste processors. A spreadsheet-based systems analysis model has been developed to assist the cost-benefit evaluation for various C&amp;D waste management scenarios. The model, developed based on the mass balance principle, is designed to track a C&amp;D waste stream through the various stages of a waste management system, i.e. generation, source separation, processing, recycling, and final disposal. This model, by incorporating the material flow data with the cost/revenue data associated with each management activity, can then provide an economic analysis for a proposed C&amp;D waste management scenario. A case study illustrating the application of this model for Massachusetts is also presented.","author":[{"dropping-particle":"","family":"Wang","given":"James Y","non-dropping-particle":"","parse-names":false,"suffix":""},{"dropping-particle":"","family":"Touran","given":"Ali","non-dropping-particle":"","parse-names":false,"suffix":""},{"dropping-particle":"","family":"Christoforou","given":"Christoforos","non-dropping-particle":"","parse-names":false,"suffix":""},{"dropping-particle":"","family":"Fadlalla","given":"Hatim","non-dropping-particle":"","parse-names":false,"suffix":""}],"container-title":"Waste management (New York, N.Y.)","id":"ITEM-3","issue":"10","issued":{"date-parts":[["2004","1"]]},"page":"989-97","title":"A systems analysis tool for construction and demolition wastes management.","type":"article-journal","volume":"24"},"uris":["http://www.mendeley.com/documents/?uuid=40290186-5672-41ab-9dd0-9a78a7c1e5a5"]}],"mendeley":{"formattedCitation":"(Ekanayake and Ofori, 2004; Fatta et al., 2003; Wang et al., 2004)","plainTextFormattedCitation":"(Ekanayake and Ofori, 2004; Fatta et al., 2003; Wang et al., 2004)","previouslyFormattedCitation":"(Ekanayake and Ofori, 2004; Fatta et al., 2003; Wang et al., 2004)"},"properties":{"noteIndex":0},"schema":"https://github.com/citation-style-language/schema/raw/master/csl-citation.json"}</w:instrText>
      </w:r>
      <w:r w:rsidRPr="004D6C80">
        <w:rPr>
          <w:noProof/>
          <w:color w:val="FF0000"/>
        </w:rPr>
        <w:fldChar w:fldCharType="separate"/>
      </w:r>
      <w:r w:rsidRPr="004D6C80">
        <w:rPr>
          <w:noProof/>
          <w:color w:val="FF0000"/>
        </w:rPr>
        <w:t>(Ekanayake and Ofori, 2004; Fatta et al., 2003; Wang et al., 2004)</w:t>
      </w:r>
      <w:r w:rsidRPr="004D6C80">
        <w:rPr>
          <w:noProof/>
          <w:color w:val="FF0000"/>
        </w:rPr>
        <w:fldChar w:fldCharType="end"/>
      </w:r>
      <w:r w:rsidRPr="004D6C80">
        <w:rPr>
          <w:noProof/>
          <w:color w:val="FF0000"/>
        </w:rPr>
        <w:t xml:space="preserve">; (iii) building elements and materials </w:t>
      </w:r>
      <w:r w:rsidRPr="004D6C80">
        <w:rPr>
          <w:noProof/>
          <w:color w:val="FF0000"/>
        </w:rPr>
        <w:fldChar w:fldCharType="begin" w:fldLock="1"/>
      </w:r>
      <w:r w:rsidR="002B7C0A">
        <w:rPr>
          <w:noProof/>
          <w:color w:val="FF0000"/>
        </w:rPr>
        <w:instrText>ADDIN CSL_CITATION {"citationItems":[{"id":"ITEM-1","itemData":{"DOI":"10.1016/j.autcon.2004.08.017","ISSN":"09265805","author":[{"dropping-particle":"","family":"Shen","given":"Li-Yin","non-dropping-particle":"","parse-names":false,"suffix":""},{"dropping-particle":"","family":"Lu","given":"Wei-Sheng","non-dropping-particle":"","parse-names":false,"suffix":""},{"dropping-particle":"","family":"Yao","given":"Hong","non-dropping-particle":"","parse-names":false,"suffix":""},{"dropping-particle":"","family":"Wu","given":"De-Hua","non-dropping-particle":"","parse-names":false,"suffix":""}],"container-title":"Automation in Construction","id":"ITEM-1","issue":"3","issued":{"date-parts":[["2005","6"]]},"page":"297-309","title":"A computer-based scoring method for measuring the environmental performance of construction activities","type":"article-journal","volume":"14"},"uris":["http://www.mendeley.com/documents/?uuid=2fcfc4a0-4e9f-4c02-833b-d63787402767"]},{"id":"ITEM-2","itemData":{"author":[{"dropping-particle":"","family":"Jalali","given":"Said","non-dropping-particle":"","parse-names":false,"suffix":""}],"container-title":"6th International Technical Conference of Waste.","id":"ITEM-2","issued":{"date-parts":[["2007"]]},"title":"Quantification of Construction Waste Amount","type":"paper-conference"},"uris":["http://www.mendeley.com/documents/?uuid=00349272-7845-42f1-bb87-f923f4a3f07a"]},{"id":"ITEM-3","itemData":{"author":[{"dropping-particle":"","family":"Bergsdal","given":"H.","non-dropping-particle":"","parse-names":false,"suffix":""},{"dropping-particle":"","family":"Bohne","given":"R. A.","non-dropping-particle":"","parse-names":false,"suffix":""},{"dropping-particle":"","family":"Brattebø","given":"H.","non-dropping-particle":"","parse-names":false,"suffix":""}],"container-title":"Journal of Industrial Ecology","id":"ITEM-3","issue":"3","issued":{"date-parts":[["2007"]]},"page":"27-39","title":"Projection of construction and demolition waste in Norway","type":"article-journal","volume":"11"},"uris":["http://www.mendeley.com/documents/?uuid=93b251ac-cc4c-4d9a-b17e-853bd2d19fe5"]},{"id":"ITEM-4","itemData":{"DOI":"10.1016/j.wasman.2006.03.023","ISSN":"0956-053X","PMID":"17258446","abstract":"Methodology for the accounting, generation, and composition of building-related construction and demolition (C&amp;D) at a regional level was explored. Six specific categories of debris were examined: residential construction, nonresidential construction, residential demolition, nonresidential demolition, residential renovation, and nonresidential renovation. Debris produced from each activity was calculated as the product of the total area of activity and waste generated per unit area of activity. Similarly, composition was estimated as the product of the total area of activity and the amount of each waste component generated per unit area. The area of activity was calculated using statistical data, and individual site studies were used to assess the average amount of waste generated per unit area. The application of the methodology was illustrated using Florida, US approximately 3,750,000 metric tons of building-related C&amp;D debris were estimated as generated in Florida in 2000. Of that amount, concrete represented 56%, wood 13%, drywall 11%, miscellaneous debris 8%, asphalt roofing materials 7%, metal 3%, cardboard 1%, and plastic 1%. This model differs from others because it accommodates regional construction styles and available data. The resulting generation amount per capita is less than the US estimate - attributable to the high construction, low demolition activity seen in Florida.","author":[{"dropping-particle":"","family":"Cochran","given":"Kimberly","non-dropping-particle":"","parse-names":false,"suffix":""},{"dropping-particle":"","family":"Townsend","given":"Timothy","non-dropping-particle":"","parse-names":false,"suffix":""},{"dropping-particle":"","family":"Reinhart","given":"Debra","non-dropping-particle":"","parse-names":false,"suffix":""},{"dropping-particle":"","family":"Heck","given":"Howell","non-dropping-particle":"","parse-names":false,"suffix":""}],"container-title":"Waste management (New York, N.Y.)","id":"ITEM-4","issue":"7","issued":{"date-parts":[["2007","1"]]},"page":"921-31","title":"Estimation of regional building-related C&amp;D debris generation and composition: case study for Florida, US.","type":"article-journal","volume":"27"},"uris":["http://www.mendeley.com/documents/?uuid=cc825994-c9f6-4cdd-8f99-365183e677d6"]},{"id":"ITEM-5","itemData":{"DOI":"http://dx.doi.org/10.1016/j.wasman.2009.05.009","ISSN":"0956-053X","abstract":"Currently, construction and demolition waste (C&amp;D waste) is a worldwide issue that concerns not only governments but also the building actors involved in construction activity. In Spain, a new national decree has been regulating the production and management of C&amp;D waste since February 2008. The present work describes the waste management model that has inspired this decree: the Alcores model implemented with good results in Los Alcores Community (Seville, Spain). A detailed model is also provided to estimate the volume of waste that is expected to be generated on the building site. The quantification of C&amp;D waste volume, from the project stage, is essential for the building actors to properly plan and control its disposal. This quantification model has been developed by studying 100 dwelling projects, especially their bill of quantities, and defining three coefficients to estimate the demolished volume (CT), the wreckage volume (CR) and the packaging volume (CE). Finally, two case studies are included to illustrate the usefulness of the model to estimate C&amp;D waste volume in both new construction and demolition projects.","author":[{"dropping-particle":"","family":"Solís-Guzmán","given":"Jaime","non-dropping-particle":"","parse-names":false,"suffix":""},{"dropping-particle":"","family":"Marrero","given":"Madelyn","non-dropping-particle":"","parse-names":false,"suffix":""},{"dropping-particle":"","family":"Montes-Delgado","given":"Maria Victoria","non-dropping-particle":"","parse-names":false,"suffix":""},{"dropping-particle":"","family":"Ramírez-de-Arellano","given":"Antonio","non-dropping-particle":"","parse-names":false,"suffix":""}],"container-title":"Waste Management","id":"ITEM-5","issue":"9","issued":{"date-parts":[["2009"]]},"page":"2542-2548","title":"A Spanish model for quantification and management of construction waste","type":"article-journal","volume":"29"},"uris":["http://www.mendeley.com/documents/?uuid=045ff2ff-52da-43dc-9a09-08b8b8ca4b70"]}],"mendeley":{"formattedCitation":"(Bergsdal et al., 2007; Cochran et al., 2007; Jalali, 2007; Shen et al., 2005; Solís-Guzmán et al., 2009)","plainTextFormattedCitation":"(Bergsdal et al., 2007; Cochran et al., 2007; Jalali, 2007; Shen et al., 2005; Solís-Guzmán et al., 2009)","previouslyFormattedCitation":"(Bergsdal et al., 2007; Cochran et al., 2007; Jalali, 2007; Shen et al., 2005; Solís-Guzmán et al., 2009)"},"properties":{"noteIndex":0},"schema":"https://github.com/citation-style-language/schema/raw/master/csl-citation.json"}</w:instrText>
      </w:r>
      <w:r w:rsidRPr="004D6C80">
        <w:rPr>
          <w:noProof/>
          <w:color w:val="FF0000"/>
        </w:rPr>
        <w:fldChar w:fldCharType="separate"/>
      </w:r>
      <w:r w:rsidRPr="004D6C80">
        <w:rPr>
          <w:noProof/>
          <w:color w:val="FF0000"/>
        </w:rPr>
        <w:t>(Bergsdal et al., 2007; Cochran et al., 2007; Jalali, 2007; Shen et al., 2005; Solís-Guzmán et al., 2009)</w:t>
      </w:r>
      <w:r w:rsidRPr="004D6C80">
        <w:rPr>
          <w:noProof/>
          <w:color w:val="FF0000"/>
        </w:rPr>
        <w:fldChar w:fldCharType="end"/>
      </w:r>
      <w:r w:rsidRPr="004D6C80">
        <w:rPr>
          <w:noProof/>
          <w:color w:val="FF0000"/>
        </w:rPr>
        <w:t xml:space="preserve">; and (iv) computer simulation </w:t>
      </w:r>
      <w:r w:rsidRPr="004D6C80">
        <w:rPr>
          <w:noProof/>
          <w:color w:val="FF0000"/>
        </w:rPr>
        <w:fldChar w:fldCharType="begin" w:fldLock="1"/>
      </w:r>
      <w:r w:rsidR="002B7C0A">
        <w:rPr>
          <w:noProof/>
          <w:color w:val="FF0000"/>
        </w:rPr>
        <w:instrText>ADDIN CSL_CITATION {"citationItems":[{"id":"ITEM-1","itemData":{"DOI":"10.1061/(ASCE)CP.1943-5487.0000362","ISSN":"0887-3801","author":[{"dropping-particle":"","family":"Wu","given":"Zezhou","non-dropping-particle":"","parse-names":false,"suffix":""},{"dropping-particle":"","family":"Fan","given":"Hongqin","non-dropping-particle":"","parse-names":false,"suffix":""},{"dropping-particle":"","family":"Liu","given":"Guiwen","non-dropping-particle":"","parse-names":false,"suffix":""}],"container-title":"Journal of Computing in Civil Engineering","id":"ITEM-1","issued":{"date-parts":[["2013","10","9"]]},"page":"04014059","title":"Forecasting Construction and Demolition Waste Using Gene Expression Programming","type":"article-journal"},"uris":["http://www.mendeley.com/documents/?uuid=f4d90a87-1133-4e32-bdf5-1d943a28c2e0"]},{"id":"ITEM-2","itemData":{"author":[{"dropping-particle":"","family":"Salem","given":"O","non-dropping-particle":"","parse-names":false,"suffix":""},{"dropping-particle":"","family":"Asce","given":"M","non-dropping-particle":"","parse-names":false,"suffix":""},{"dropping-particle":"","family":"Shahin","given":"A","non-dropping-particle":"","parse-names":false,"suffix":""},{"dropping-particle":"","family":"Khalifa","given":"Y","non-dropping-particle":"","parse-names":false,"suffix":""}],"id":"ITEM-2","issue":"12","issued":{"date-parts":[["2008"]]},"page":"982-992","title":"Minimizing Cutting Wastes of Reinforcement Steel Bars Using Genetic Algorithms and Integer Programming Models","type":"article-journal","volume":"133"},"uris":["http://www.mendeley.com/documents/?uuid=86b280b2-a50c-47b0-809b-0d695de5e012"]},{"id":"ITEM-3","itemData":{"DOI":"10.1016/j.jclepro.2012.11.041","ISSN":"09596526","abstract":"Waste is the symbol of inefficiency of any modern society and a representation of misallocated resources. Significant progress has been achieved in reducing waste but it varies from city to city. Currently, cities use their waste diversion rate as a tool to measure the performance of their waste management systems. However, diversion of waste from landfill does not give a holistic picture of zero waste performance. This paper conceptualises the concept of the ‘zero waste city’ and proposes a new tool to measure the performance of waste management systems called the ‘zero waste index’. The zero waste index forecasts the amount of virgin materials, energy, water and greenhouse gas emissions substituted by the resources that are recovered from waste streams. Three high consuming cities (Adelaide, San Francisco and Stockholm) were analysed using the zero waste index. The zero waste indexes in Adelaide, San Francisco and Stockholm were found to be 0.23, 0.51 and 0.17 respectively (i.e. around 23%, 51% and 17% of resources were recovered and potentially substituted for virgin materials). In addition, the zero waste index estimated the potential energy, greenhouse gas (GHG) and water savings due to resource recovery from municipal solid waste in each of the three cities. It is evident that the zero waste index is an innovative tool to assess waste management performance and materials substitution by waste management systems in different cities.","author":[{"dropping-particle":"","family":"Zaman","given":"Atiq Uz","non-dropping-particle":"","parse-names":false,"suffix":""},{"dropping-particle":"","family":"Lehmann","given":"Steffen","non-dropping-particle":"","parse-names":false,"suffix":""}],"container-title":"Journal of Cleaner Production","id":"ITEM-3","issued":{"date-parts":[["2013","7"]]},"page":"123-132","publisher":"Elsevier Ltd","title":"The zero waste index: a performance measurement tool for waste management systems in a ‘zero waste city’","type":"article-journal","volume":"50"},"uris":["http://www.mendeley.com/documents/?uuid=1b0e8220-16b2-42e3-b561-5df3dec62b39"]}],"mendeley":{"formattedCitation":"(Salem et al., 2008; Wu et al., 2013; Zaman and Lehmann, 2013)","plainTextFormattedCitation":"(Salem et al., 2008; Wu et al., 2013; Zaman and Lehmann, 2013)","previouslyFormattedCitation":"(Salem et al., 2008; Wu et al., 2013; Zaman and Lehmann, 2013)"},"properties":{"noteIndex":0},"schema":"https://github.com/citation-style-language/schema/raw/master/csl-citation.json"}</w:instrText>
      </w:r>
      <w:r w:rsidRPr="004D6C80">
        <w:rPr>
          <w:noProof/>
          <w:color w:val="FF0000"/>
        </w:rPr>
        <w:fldChar w:fldCharType="separate"/>
      </w:r>
      <w:r w:rsidRPr="004D6C80">
        <w:rPr>
          <w:noProof/>
          <w:color w:val="FF0000"/>
        </w:rPr>
        <w:t>(Salem et al., 2008; Wu et al., 2013; Zaman and Lehmann, 2013)</w:t>
      </w:r>
      <w:r w:rsidRPr="004D6C80">
        <w:rPr>
          <w:noProof/>
          <w:color w:val="FF0000"/>
        </w:rPr>
        <w:fldChar w:fldCharType="end"/>
      </w:r>
      <w:r w:rsidRPr="004D6C80">
        <w:rPr>
          <w:noProof/>
          <w:color w:val="FF0000"/>
        </w:rPr>
        <w:t>.</w:t>
      </w:r>
      <w:r w:rsidRPr="004D6C80">
        <w:rPr>
          <w:color w:val="FF0000"/>
        </w:rPr>
        <w:t xml:space="preserve"> A </w:t>
      </w:r>
      <w:r w:rsidRPr="004D6C80">
        <w:rPr>
          <w:noProof/>
          <w:color w:val="FF0000"/>
        </w:rPr>
        <w:t>major</w:t>
      </w:r>
      <w:r w:rsidRPr="004D6C80">
        <w:rPr>
          <w:color w:val="FF0000"/>
        </w:rPr>
        <w:t xml:space="preserve"> limitation of the</w:t>
      </w:r>
      <w:r w:rsidR="00DF665D" w:rsidRPr="004D6C80">
        <w:rPr>
          <w:color w:val="FF0000"/>
        </w:rPr>
        <w:t>se</w:t>
      </w:r>
      <w:r w:rsidRPr="004D6C80">
        <w:rPr>
          <w:color w:val="FF0000"/>
        </w:rPr>
        <w:t xml:space="preserve"> WPMs </w:t>
      </w:r>
      <w:r w:rsidR="00DF665D" w:rsidRPr="004D6C80">
        <w:rPr>
          <w:color w:val="FF0000"/>
        </w:rPr>
        <w:t xml:space="preserve">is that most of them </w:t>
      </w:r>
      <w:r w:rsidRPr="004D6C80">
        <w:rPr>
          <w:color w:val="FF0000"/>
        </w:rPr>
        <w:t xml:space="preserve">rely on </w:t>
      </w:r>
      <w:r w:rsidR="00DF665D" w:rsidRPr="004D6C80">
        <w:rPr>
          <w:color w:val="FF0000"/>
        </w:rPr>
        <w:t xml:space="preserve">the </w:t>
      </w:r>
      <w:r w:rsidRPr="004D6C80">
        <w:rPr>
          <w:color w:val="FF0000"/>
        </w:rPr>
        <w:t xml:space="preserve">national waste generation rates and they can be used only after the completion of the building design. </w:t>
      </w:r>
    </w:p>
    <w:p w14:paraId="3CB86930" w14:textId="5643340D" w:rsidR="00FC037D" w:rsidRDefault="00FC037D" w:rsidP="0072282C">
      <w:pPr>
        <w:spacing w:line="480" w:lineRule="auto"/>
      </w:pPr>
      <w:r w:rsidRPr="001F159D">
        <w:t xml:space="preserve">However, a </w:t>
      </w:r>
      <w:r w:rsidR="00B071C7">
        <w:t xml:space="preserve">more </w:t>
      </w:r>
      <w:r w:rsidRPr="001F159D">
        <w:t xml:space="preserve">practical approach to guaranteeing the effectiveness of the WPMs in supporting CW management decision-making is </w:t>
      </w:r>
      <w:r w:rsidR="00B071C7">
        <w:t xml:space="preserve">to </w:t>
      </w:r>
      <w:r w:rsidRPr="001F159D">
        <w:t>ensur</w:t>
      </w:r>
      <w:r w:rsidR="00B071C7">
        <w:t>e</w:t>
      </w:r>
      <w:r w:rsidRPr="001F159D">
        <w:t xml:space="preserve"> that they are accessible during the design </w:t>
      </w:r>
      <w:r w:rsidR="00DF665D">
        <w:t>process</w:t>
      </w:r>
      <w:r w:rsidRPr="001F159D">
        <w:t xml:space="preserve">. As such, it is </w:t>
      </w:r>
      <w:r w:rsidRPr="001407AC">
        <w:rPr>
          <w:noProof/>
        </w:rPr>
        <w:t>important</w:t>
      </w:r>
      <w:r w:rsidRPr="001F159D">
        <w:t xml:space="preserve"> to establish the relationships between building parameters and CW generation. Another limitation t</w:t>
      </w:r>
      <w:r w:rsidR="00DF665D">
        <w:t xml:space="preserve">hat affects the </w:t>
      </w:r>
      <w:r w:rsidRPr="001F159D">
        <w:t xml:space="preserve">usability of the WPMs is that they are external to existing </w:t>
      </w:r>
      <w:r w:rsidR="00A11991">
        <w:t xml:space="preserve">3D </w:t>
      </w:r>
      <w:r w:rsidR="00DF665D">
        <w:t xml:space="preserve">BIM </w:t>
      </w:r>
      <w:r w:rsidR="00A11991">
        <w:t>visualisation</w:t>
      </w:r>
      <w:r w:rsidRPr="001F159D">
        <w:t xml:space="preserve"> </w:t>
      </w:r>
      <w:r w:rsidR="00DF665D">
        <w:t xml:space="preserve">and design </w:t>
      </w:r>
      <w:r w:rsidRPr="001F159D">
        <w:t>software</w:t>
      </w:r>
      <w:r w:rsidR="00A2084B" w:rsidRPr="00A2084B">
        <w:t xml:space="preserve"> </w:t>
      </w:r>
      <w:r w:rsidR="00A2084B" w:rsidRPr="001F159D">
        <w:t xml:space="preserve">despite the common knowledge that </w:t>
      </w:r>
      <w:r w:rsidR="00DF665D">
        <w:t>BIM</w:t>
      </w:r>
      <w:r w:rsidR="00A2084B" w:rsidRPr="001F159D">
        <w:t xml:space="preserve"> could improv</w:t>
      </w:r>
      <w:r w:rsidR="00A2084B">
        <w:t>e building process performances</w:t>
      </w:r>
      <w:r w:rsidRPr="001F159D">
        <w:t xml:space="preserve">. The </w:t>
      </w:r>
      <w:r w:rsidRPr="001407AC">
        <w:rPr>
          <w:noProof/>
        </w:rPr>
        <w:t>foregoing</w:t>
      </w:r>
      <w:r w:rsidRPr="001F159D">
        <w:t xml:space="preserve"> discussion shows that the development of a BIM-based WPM is timely. </w:t>
      </w:r>
    </w:p>
    <w:p w14:paraId="14C9A009" w14:textId="33D495FF" w:rsidR="00FC037D" w:rsidRPr="001F159D" w:rsidRDefault="00AD1CC0" w:rsidP="0072282C">
      <w:pPr>
        <w:pStyle w:val="Heading2"/>
      </w:pPr>
      <w:r>
        <w:t>Collaborative s</w:t>
      </w:r>
      <w:r w:rsidR="00FC037D" w:rsidRPr="001F159D">
        <w:t>trategies for construction waste analytics</w:t>
      </w:r>
    </w:p>
    <w:p w14:paraId="716BA907" w14:textId="77777777" w:rsidR="00273A52" w:rsidRDefault="00FC037D" w:rsidP="0072282C">
      <w:pPr>
        <w:spacing w:line="480" w:lineRule="auto"/>
        <w:rPr>
          <w:color w:val="FF0000"/>
        </w:rPr>
      </w:pPr>
      <w:r w:rsidRPr="001F159D">
        <w:t xml:space="preserve">It is established in the literature that design decisions have multiple ripple effects throughout the building lifecycle </w:t>
      </w:r>
      <w:r w:rsidRPr="001F159D">
        <w:fldChar w:fldCharType="begin" w:fldLock="1"/>
      </w:r>
      <w:r w:rsidR="002B7C0A">
        <w:instrText>ADDIN CSL_CITATION {"citationItems":[{"id":"ITEM-1","itemData":{"author":[{"dropping-particle":"","family":"Faniran","given":"OO","non-dropping-particle":"","parse-names":false,"suffix":""},{"dropping-particle":"","family":"Caban","given":"G","non-dropping-particle":"","parse-names":false,"suffix":""}],"container-title":"Engineering, Construction and …","id":"ITEM-1","issue":"2","issued":{"date-parts":[["1998"]]},"note":"To examine the existing CW minimisation strategies and the significance of CW sources. A study of waste minimisation strategies employed in construction project sites. A survey of 24 construction firms in Australia \n\n\n\n\n\n\n\n\nThe result shows that many of the construction firms did not have specific policies for CW minimisation. The most significant sources of CW (design changes) , and opportunities of minimising CW were idenfied. The waste management hierarchy was discussed and avoiding waste is the most desired. The result was based on qussionnaire respondents' perception rather than factual reords","page":"182-188","title":"Minimizing waste on construction project sites","type":"article-journal","volume":"5"},"uris":["http://www.mendeley.com/documents/?uuid=f19fa010-d56b-4072-a18f-0ec6e7a9d30e"]},{"id":"ITEM-2","itemData":{"PMID":"17624757","abstract":"The construction, demolition and excavation waste arising in England was estimated at 91 million tonnes in 2003. The current thinking on construction waste minimisation is heavily focussed on several issues relating to physical construction waste and recycling guides. Indeed, much had been published on ways to improve on-site waste management and recycling activities but very few attempts made to address the effect of design practices on waste generation. However, there is a consensus in the literature that the architect has a decisive role to play in helping to reduce waste by focussing on designing out waste. This paper examines previous studies on architects' approach towards construction waste minimisation; and by means of a postal questionnaire, investigates: the origins of waste; waste minimisation design practices in the UK; and responsibilities and barriers within the UK architectural profession. The findings reveal that waste management is not a priority in the design process. Additionally, the architects seemed to take the view that waste is mainly produced during site operations and rarely generated during the design stages; however, about one-third of construction waste could essentially arise from design decisions. Results also indicate that a number of constraints, namely: lack of interest from clients; attitudes towards waste minimisation; and training all act as disincentives to a proactive and sustainable implementation of waste reduction strategies during the design process. Crown Copyright © 2007.","author":[{"dropping-particle":"","family":"Osmani","given":"M.","non-dropping-particle":"","parse-names":false,"suffix":""},{"dropping-particle":"","family":"Glass","given":"J.","non-dropping-particle":"","parse-names":false,"suffix":""},{"dropping-particle":"","family":"Price","given":"A. D F","non-dropping-particle":"","parse-names":false,"suffix":""}],"container-title":"Waste Management","id":"ITEM-2","issue":"7","issued":{"date-parts":[["2008"]]},"page":"1147-1158","title":"Architects' perspectives on construction waste reduction by design","type":"article-journal","volume":"28"},"uris":["http://www.mendeley.com/documents/?uuid=d8089f00-da65-4d04-8900-824f66a59dd7"]},{"id":"ITEM-3","itemData":{"ISSN":"0360-1323","author":[{"dropping-particle":"","family":"Ekanayake","given":"Lawrence Lesly","non-dropping-particle":"","parse-names":false,"suffix":""},{"dropping-particle":"","family":"Ofori","given":"George","non-dropping-particle":"","parse-names":false,"suffix":""}],"container-title":"Building and Environment","id":"ITEM-3","issue":"7","issued":{"date-parts":[["2004"]]},"page":"851-861","publisher":"Elsevier","title":"Building waste assessment score: design-based tool","type":"article-journal","volume":"39"},"uris":["http://www.mendeley.com/documents/?uuid=deb1cec5-e88e-4f7e-a1ec-35d7845efff4"]}],"mendeley":{"formattedCitation":"(Ekanayake and Ofori, 2004; Faniran and Caban, 1998; Osmani et al., 2008)","plainTextFormattedCitation":"(Ekanayake and Ofori, 2004; Faniran and Caban, 1998; Osmani et al., 2008)","previouslyFormattedCitation":"(Ekanayake and Ofori, 2004; Faniran and Caban, 1998; Osmani et al., 2008)"},"properties":{"noteIndex":0},"schema":"https://github.com/citation-style-language/schema/raw/master/csl-citation.json"}</w:instrText>
      </w:r>
      <w:r w:rsidRPr="001F159D">
        <w:fldChar w:fldCharType="separate"/>
      </w:r>
      <w:r w:rsidRPr="001F159D">
        <w:rPr>
          <w:noProof/>
        </w:rPr>
        <w:t>(Ekanayake and Ofori, 2004; Faniran and Caban, 1998; Osmani et al., 2008)</w:t>
      </w:r>
      <w:r w:rsidRPr="001F159D">
        <w:fldChar w:fldCharType="end"/>
      </w:r>
      <w:r w:rsidRPr="001F159D">
        <w:t xml:space="preserve">. This fact means that </w:t>
      </w:r>
      <w:r w:rsidR="00DF665D">
        <w:t xml:space="preserve">design decisions could influence </w:t>
      </w:r>
      <w:r w:rsidR="0055347C">
        <w:t xml:space="preserve">project </w:t>
      </w:r>
      <w:r w:rsidRPr="001F159D">
        <w:t>performance</w:t>
      </w:r>
      <w:r w:rsidR="0055347C">
        <w:t xml:space="preserve"> indicators such as cost, time</w:t>
      </w:r>
      <w:r w:rsidRPr="001F159D">
        <w:t>, ai</w:t>
      </w:r>
      <w:r w:rsidR="0055347C">
        <w:t>r quality, daylight visibility</w:t>
      </w:r>
      <w:r w:rsidR="00B071C7">
        <w:t xml:space="preserve">, etc. </w:t>
      </w:r>
      <w:r w:rsidRPr="001F159D">
        <w:fldChar w:fldCharType="begin" w:fldLock="1"/>
      </w:r>
      <w:r w:rsidR="002B7C0A">
        <w:instrText>ADDIN CSL_CITATION {"citationItems":[{"id":"ITEM-1","itemData":{"DOI":"10.1061/(ASCE)CO.1943-7862.0000454","ISSN":"0733-9364","abstract":"Design errors can adversely influence project performance and can contribute to failures, accidents, and loss of life. Although there has been a considerable amount of research that has examined design error causation, little is known about design error costs. With increasing emphasis placed on the use of nontraditional forms of procurement methods as a result of various government reports and the advent of Building Information Modelling there is a general perception that design error costs will be significantly less than those projects procured by traditional means. By using a questionnaire survey, estimates for design error costs were obtained from 139 projects. The mean direct and indirect costs for design errors were revealed to be 6.85 and 7.36% of contract value, respectively. Design error costs were found not to significantly vary with procurement method and project type used. Although the research provides invaluable insights into practitioners’ perceptions of design errors costs, their actual costs remain relatively unexplored.","author":[{"dropping-particle":"","family":"Lopez","given":"Robert","non-dropping-particle":"","parse-names":false,"suffix":""},{"dropping-particle":"","family":"Love","given":"Peter E. D.","non-dropping-particle":"","parse-names":false,"suffix":""}],"container-title":"Journal of Construction Engineering and Management","id":"ITEM-1","issued":{"date-parts":[["2012"]]},"page":"585-593","title":"Design Error Costs in Construction Projects","type":"article","volume":"138"},"uris":["http://www.mendeley.com/documents/?uuid=fa049197-12eb-4e6b-9946-8638afb38c27"]}],"mendeley":{"formattedCitation":"(Lopez and Love, 2012)","plainTextFormattedCitation":"(Lopez and Love, 2012)","previouslyFormattedCitation":"(Lopez and Love, 2012)"},"properties":{"noteIndex":0},"schema":"https://github.com/citation-style-language/schema/raw/master/csl-citation.json"}</w:instrText>
      </w:r>
      <w:r w:rsidRPr="001F159D">
        <w:fldChar w:fldCharType="separate"/>
      </w:r>
      <w:r w:rsidRPr="001F159D">
        <w:rPr>
          <w:noProof/>
        </w:rPr>
        <w:t>(Lopez and Love, 2012)</w:t>
      </w:r>
      <w:r w:rsidRPr="001F159D">
        <w:fldChar w:fldCharType="end"/>
      </w:r>
      <w:r w:rsidRPr="001F159D">
        <w:t xml:space="preserve">. </w:t>
      </w:r>
      <w:bookmarkStart w:id="5" w:name="_Hlk513032231"/>
      <w:r w:rsidRPr="001F159D">
        <w:t xml:space="preserve">MacLeamy </w:t>
      </w:r>
      <w:r w:rsidRPr="001F159D">
        <w:lastRenderedPageBreak/>
        <w:fldChar w:fldCharType="begin" w:fldLock="1"/>
      </w:r>
      <w:r w:rsidR="002B7C0A">
        <w:instrText>ADDIN CSL_CITATION {"citationItems":[{"id":"ITEM-1","itemData":{"author":[{"dropping-particle":"","family":"MacLeamy","given":"P","non-dropping-particle":"","parse-names":false,"suffix":""}],"container-title":"Collaboration, Integrated Information, and the Project Lifecycle in Building Design and Construction and Operation (WP-1202)","id":"ITEM-1","issued":{"date-parts":[["2004"]]},"title":"MacLeamy Curve","type":"article-journal"},"suppress-author":1,"uris":["http://www.mendeley.com/documents/?uuid=707fcf9c-0d67-4e38-be07-dd482ae95b1b"]}],"mendeley":{"formattedCitation":"(2004)","plainTextFormattedCitation":"(2004)","previouslyFormattedCitation":"(2004)"},"properties":{"noteIndex":0},"schema":"https://github.com/citation-style-language/schema/raw/master/csl-citation.json"}</w:instrText>
      </w:r>
      <w:r w:rsidRPr="001F159D">
        <w:fldChar w:fldCharType="separate"/>
      </w:r>
      <w:r w:rsidRPr="001F159D">
        <w:rPr>
          <w:noProof/>
        </w:rPr>
        <w:t>(2004)</w:t>
      </w:r>
      <w:r w:rsidRPr="001F159D">
        <w:fldChar w:fldCharType="end"/>
      </w:r>
      <w:r w:rsidRPr="001F159D">
        <w:t xml:space="preserve"> highlights that design-based philosophy offers a flexible and cost-effective approach to influencing the project performance indicators than in subsequent </w:t>
      </w:r>
      <w:r w:rsidR="007714B3">
        <w:t xml:space="preserve">building lifecycle </w:t>
      </w:r>
      <w:r w:rsidRPr="001F159D">
        <w:t>stages. This possibi</w:t>
      </w:r>
      <w:r w:rsidR="00094260">
        <w:t xml:space="preserve">lity highlights the potentials </w:t>
      </w:r>
      <w:r w:rsidRPr="001F159D">
        <w:t xml:space="preserve">for CW prevention and minimisation through appropriate design decisions </w:t>
      </w:r>
      <w:bookmarkEnd w:id="5"/>
      <w:r w:rsidRPr="001F159D">
        <w:fldChar w:fldCharType="begin" w:fldLock="1"/>
      </w:r>
      <w:r w:rsidR="002B7C0A">
        <w:instrText>ADDIN CSL_CITATION {"citationItems":[{"id":"ITEM-1","itemData":{"author":[{"dropping-particle":"","family":"Faniran","given":"OO","non-dropping-particle":"","parse-names":false,"suffix":""},{"dropping-particle":"","family":"Caban","given":"G","non-dropping-particle":"","parse-names":false,"suffix":""}],"container-title":"Engineering, Construction and …","id":"ITEM-1","issue":"2","issued":{"date-parts":[["1998"]]},"note":"To examine the existing CW minimisation strategies and the significance of CW sources. A study of waste minimisation strategies employed in construction project sites. A survey of 24 construction firms in Australia \n\n\n\n\n\n\n\n\nThe result shows that many of the construction firms did not have specific policies for CW minimisation. The most significant sources of CW (design changes) , and opportunities of minimising CW were idenfied. The waste management hierarchy was discussed and avoiding waste is the most desired. The result was based on qussionnaire respondents' perception rather than factual reords","page":"182-188","title":"Minimizing waste on construction project sites","type":"article-journal","volume":"5"},"uris":["http://www.mendeley.com/documents/?uuid=f19fa010-d56b-4072-a18f-0ec6e7a9d30e"]},{"id":"ITEM-2","itemData":{"PMID":"17624757","abstract":"The construction, demolition and excavation waste arising in England was estimated at 91 million tonnes in 2003. The current thinking on construction waste minimisation is heavily focussed on several issues relating to physical construction waste and recycling guides. Indeed, much had been published on ways to improve on-site waste management and recycling activities but very few attempts made to address the effect of design practices on waste generation. However, there is a consensus in the literature that the architect has a decisive role to play in helping to reduce waste by focussing on designing out waste. This paper examines previous studies on architects' approach towards construction waste minimisation; and by means of a postal questionnaire, investigates: the origins of waste; waste minimisation design practices in the UK; and responsibilities and barriers within the UK architectural profession. The findings reveal that waste management is not a priority in the design process. Additionally, the architects seemed to take the view that waste is mainly produced during site operations and rarely generated during the design stages; however, about one-third of construction waste could essentially arise from design decisions. Results also indicate that a number of constraints, namely: lack of interest from clients; attitudes towards waste minimisation; and training all act as disincentives to a proactive and sustainable implementation of waste reduction strategies during the design process. Crown Copyright © 2007.","author":[{"dropping-particle":"","family":"Osmani","given":"M.","non-dropping-particle":"","parse-names":false,"suffix":""},{"dropping-particle":"","family":"Glass","given":"J.","non-dropping-particle":"","parse-names":false,"suffix":""},{"dropping-particle":"","family":"Price","given":"A. D F","non-dropping-particle":"","parse-names":false,"suffix":""}],"container-title":"Waste Management","id":"ITEM-2","issue":"7","issued":{"date-parts":[["2008"]]},"page":"1147-1158","title":"Architects' perspectives on construction waste reduction by design","type":"article-journal","volume":"28"},"uris":["http://www.mendeley.com/documents/?uuid=d8089f00-da65-4d04-8900-824f66a59dd7"]}],"mendeley":{"formattedCitation":"(Faniran and Caban, 1998; Osmani et al., 2008)","plainTextFormattedCitation":"(Faniran and Caban, 1998; Osmani et al., 2008)","previouslyFormattedCitation":"(Faniran and Caban, 1998; Osmani et al., 2008)"},"properties":{"noteIndex":0},"schema":"https://github.com/citation-style-language/schema/raw/master/csl-citation.json"}</w:instrText>
      </w:r>
      <w:r w:rsidRPr="001F159D">
        <w:fldChar w:fldCharType="separate"/>
      </w:r>
      <w:r w:rsidRPr="001F159D">
        <w:rPr>
          <w:noProof/>
        </w:rPr>
        <w:t>(Faniran and Caban, 1998; Osmani et al., 2008)</w:t>
      </w:r>
      <w:r w:rsidRPr="001F159D">
        <w:fldChar w:fldCharType="end"/>
      </w:r>
      <w:r w:rsidRPr="001F159D">
        <w:t xml:space="preserve">.  Therefore, adequate </w:t>
      </w:r>
      <w:r w:rsidR="00CB384A">
        <w:t xml:space="preserve">effort must be made to integrate the construction supply chains so that all stakeholders can contribute to CW-related </w:t>
      </w:r>
      <w:r w:rsidR="00113EA4">
        <w:t xml:space="preserve">design </w:t>
      </w:r>
      <w:r w:rsidR="00CB384A">
        <w:t xml:space="preserve">decisions. </w:t>
      </w:r>
      <w:r w:rsidRPr="00273A52">
        <w:rPr>
          <w:color w:val="FF0000"/>
        </w:rPr>
        <w:t xml:space="preserve">However, a </w:t>
      </w:r>
      <w:r w:rsidRPr="00273A52">
        <w:rPr>
          <w:noProof/>
          <w:color w:val="FF0000"/>
        </w:rPr>
        <w:t>major</w:t>
      </w:r>
      <w:r w:rsidRPr="00273A52">
        <w:rPr>
          <w:color w:val="FF0000"/>
        </w:rPr>
        <w:t xml:space="preserve"> impediment to fulfilling this responsibility is that existing CW management tools cannot support the </w:t>
      </w:r>
      <w:r w:rsidR="00113EA4" w:rsidRPr="00273A52">
        <w:rPr>
          <w:color w:val="FF0000"/>
        </w:rPr>
        <w:t>supply chains</w:t>
      </w:r>
      <w:r w:rsidRPr="00273A52">
        <w:rPr>
          <w:color w:val="FF0000"/>
        </w:rPr>
        <w:t xml:space="preserve"> adequately </w:t>
      </w:r>
      <w:r w:rsidRPr="00273A52">
        <w:rPr>
          <w:color w:val="FF0000"/>
        </w:rPr>
        <w:fldChar w:fldCharType="begin" w:fldLock="1"/>
      </w:r>
      <w:r w:rsidR="00862122" w:rsidRPr="00273A52">
        <w:rPr>
          <w:color w:val="FF0000"/>
        </w:rPr>
        <w:instrText>ADDIN CSL_CITATION {"citationItems":[{"id":"ITEM-1","itemData":{"DOI":"10.1080/2093761X.2015.1116415","ISSN":"20937628","abstract":"The overall aim of this study is to investigate the potential of Building Information Modelling (BIM) for construction waste minimization. We evaluated the leading BIM design software products and concluded that none of them currently support construction waste minimization. This motivates the development of a plug-in for predicting and minimizing construction waste. After a rigorous literature review and conducting four focused group interviews (FGIs), 12 imperative BIM factors were identified that should be considered for predicting and designing out construction waste. These factors were categorized into four layers, namely the BIM core features layer, the BIM auxiliary features layer, the waste management criteria layer, and the application layer. Further, a process to carry out BIM-enabled building waste analysis (BWA) is proposed. We have also investigated the usage of big data technologies in the context of waste minimization. We highlight that big data technologies are inherently suitable for BIM due to their support of storing and processing large datasets. In particular, the use of graph-based representation, analysis, and visualization can be employed for advancing the state of the art in BIM technology for construction waste minimization.","author":[{"dropping-particle":"","family":"Bilal","given":"Muhammad","non-dropping-particle":"","parse-names":false,"suffix":""},{"dropping-particle":"","family":"Oyedele","given":"Lukumon O.","non-dropping-particle":"","parse-names":false,"suffix":""},{"dropping-particle":"","family":"Qadir","given":"Junaid","non-dropping-particle":"","parse-names":false,"suffix":""},{"dropping-particle":"","family":"Munir","given":"Kamran","non-dropping-particle":"","parse-names":false,"suffix":""},{"dropping-particle":"","family":"Akinade","given":"Olugbenga O.","non-dropping-particle":"","parse-names":false,"suffix":""},{"dropping-particle":"","family":"Ajayi","given":"Saheed O.","non-dropping-particle":"","parse-names":false,"suffix":""},{"dropping-particle":"","family":"Alaka","given":"Hafiz A.","non-dropping-particle":"","parse-names":false,"suffix":""},{"dropping-particle":"","family":"Owolabi","given":"Hakeem A.","non-dropping-particle":"","parse-names":false,"suffix":""}],"container-title":"International Journal of Sustainable Building Technology and Urban Development","id":"ITEM-1","issue":"4","issued":{"date-parts":[["2015"]]},"page":"211-228","publisher":"Taylor &amp; Francis","title":"Analysis of critical features and evaluation of BIM software: towards a plug-in for construction waste minimization using big data","type":"article-journal","volume":"6"},"uris":["http://www.mendeley.com/documents/?uuid=5e4d330e-2d76-4109-80f2-ff8977c791ad"]},{"id":"ITEM-2","itemData":{"DOI":"10.1016/j.wasman.2016.08.017","ISBN":"1879-2456 (Electronic)\\r0956-053X (Linking)","ISSN":"18792456","PMID":"27569731","abstract":"The aim of this paper is to identify Critical Success Factors (CSF) needed for effective material recovery through Design for Deconstruction (DfD). The research approach employed in this paper is based on a sequential exploratory mixed method strategy. After a thorough review of literature and conducting four Focus Group Discussion (FGDs), 43 DfD factors were identified and put together in a questionnaire survey. Data analyses include Cronbach's alpha reliability analysis, mean testing using significance index, and exploratory factor analysis. The result of the factor analysis reveals that an underlying factor structure of five DfD factors groups that include ‘stringent legislation and policy’, ‘deconstruction design process and competencies’, ‘design for material recovery’, ‘design for material reuse’, and ‘design for building flexibility’. These groups of DfD factor groups show that the requirements for DfD goes beyond technical competencies and that non-technical factors such as stringent legislation and policy and design process and competency for deconstruction are key in designing deconstructable buildings. Paying attention to the factors identified in all of these categories will help to tackle impediments that could hinder the effectiveness of DfD. The results of this study would help design and project managers to understand areas of possible improvement in employing DfD as a strategy for diverting waste from landfills.","author":[{"dropping-particle":"","family":"Akinade","given":"Olugbenga O.","non-dropping-particle":"","parse-names":false,"suffix":""},{"dropping-particle":"","family":"Oyedele","given":"Lukumon O.","non-dropping-particle":"","parse-names":false,"suffix":""},{"dropping-particle":"","family":"Ajayi","given":"Saheed O.","non-dropping-particle":"","parse-names":false,"suffix":""},{"dropping-particle":"","family":"Bilal","given":"Muhammad","non-dropping-particle":"","parse-names":false,"suffix":""},{"dropping-particle":"","family":"Alaka","given":"Hafiz A.","non-dropping-particle":"","parse-names":false,"suffix":""},{"dropping-particle":"","family":"Owolabi","given":"Hakeem A.","non-dropping-particle":"","parse-names":false,"suffix":""},{"dropping-particle":"","family":"Bello","given":"Sururah A.","non-dropping-particle":"","parse-names":false,"suffix":""},{"dropping-particle":"","family":"Jaiyeoba","given":"Babatunde E.","non-dropping-particle":"","parse-names":false,"suffix":""},{"dropping-particle":"","family":"Kadiri","given":"Kabir O.","non-dropping-particle":"","parse-names":false,"suffix":""}],"container-title":"Waste Management","id":"ITEM-2","issued":{"date-parts":[["2017"]]},"page":"3-13","publisher":"Elsevier Ltd","title":"Design for Deconstruction (DfD): Critical success factors for diverting end-of-life waste from landfills","type":"article-journal","volume":"60"},"uris":["http://www.mendeley.com/documents/?uuid=dad805fc-3ef9-4ba0-87a1-0a0ac19dfb1c"]}],"mendeley":{"formattedCitation":"(Akinade et al., 2017; Bilal et al., 2015)","plainTextFormattedCitation":"(Akinade et al., 2017; Bilal et al., 2015)","previouslyFormattedCitation":"(Akinade et al., 2017; Bilal et al., 2015)"},"properties":{"noteIndex":0},"schema":"https://github.com/citation-style-language/schema/raw/master/csl-citation.json"}</w:instrText>
      </w:r>
      <w:r w:rsidRPr="00273A52">
        <w:rPr>
          <w:color w:val="FF0000"/>
        </w:rPr>
        <w:fldChar w:fldCharType="separate"/>
      </w:r>
      <w:r w:rsidR="00862122" w:rsidRPr="00273A52">
        <w:rPr>
          <w:noProof/>
          <w:color w:val="FF0000"/>
        </w:rPr>
        <w:t>(Akinade et al., 2017; Bilal et al., 2015)</w:t>
      </w:r>
      <w:r w:rsidRPr="00273A52">
        <w:rPr>
          <w:color w:val="FF0000"/>
        </w:rPr>
        <w:fldChar w:fldCharType="end"/>
      </w:r>
      <w:r w:rsidRPr="00273A52">
        <w:rPr>
          <w:color w:val="FF0000"/>
        </w:rPr>
        <w:t xml:space="preserve">. </w:t>
      </w:r>
      <w:r w:rsidR="0011338C" w:rsidRPr="00273A52">
        <w:rPr>
          <w:color w:val="FF0000"/>
        </w:rPr>
        <w:t xml:space="preserve">Although BIM for improving the efficiency of processes has been emphasised </w:t>
      </w:r>
      <w:r w:rsidR="00DF665D" w:rsidRPr="00273A52">
        <w:rPr>
          <w:color w:val="FF0000"/>
        </w:rPr>
        <w:t>as</w:t>
      </w:r>
      <w:r w:rsidR="0011338C" w:rsidRPr="00273A52">
        <w:rPr>
          <w:color w:val="FF0000"/>
        </w:rPr>
        <w:t xml:space="preserve"> a </w:t>
      </w:r>
      <w:r w:rsidR="0011338C" w:rsidRPr="00273A52">
        <w:rPr>
          <w:noProof/>
          <w:color w:val="FF0000"/>
        </w:rPr>
        <w:t>key</w:t>
      </w:r>
      <w:r w:rsidR="0011338C" w:rsidRPr="00273A52">
        <w:rPr>
          <w:color w:val="FF0000"/>
        </w:rPr>
        <w:t xml:space="preserve"> competitive and operational differentiator in the construction supply chains</w:t>
      </w:r>
      <w:r w:rsidR="003A137D" w:rsidRPr="00273A52">
        <w:rPr>
          <w:color w:val="FF0000"/>
        </w:rPr>
        <w:t xml:space="preserve">; most </w:t>
      </w:r>
      <w:r w:rsidRPr="00273A52">
        <w:rPr>
          <w:color w:val="FF0000"/>
        </w:rPr>
        <w:t xml:space="preserve">of the existing </w:t>
      </w:r>
      <w:r w:rsidR="001B7F97" w:rsidRPr="00273A52">
        <w:rPr>
          <w:color w:val="FF0000"/>
        </w:rPr>
        <w:t xml:space="preserve">CW management </w:t>
      </w:r>
      <w:r w:rsidRPr="00273A52">
        <w:rPr>
          <w:color w:val="FF0000"/>
        </w:rPr>
        <w:t>tools are not BIM compatible</w:t>
      </w:r>
      <w:r w:rsidR="003A137D" w:rsidRPr="00273A52">
        <w:rPr>
          <w:color w:val="FF0000"/>
        </w:rPr>
        <w:t>.</w:t>
      </w:r>
      <w:r w:rsidRPr="00273A52">
        <w:rPr>
          <w:color w:val="FF0000"/>
        </w:rPr>
        <w:t xml:space="preserve"> </w:t>
      </w:r>
    </w:p>
    <w:p w14:paraId="25CEE1F9" w14:textId="6A0987FA" w:rsidR="00273A52" w:rsidRPr="001F159D" w:rsidRDefault="00FC037D" w:rsidP="00273A52">
      <w:pPr>
        <w:spacing w:line="480" w:lineRule="auto"/>
      </w:pPr>
      <w:r w:rsidRPr="00273A52">
        <w:rPr>
          <w:color w:val="FF0000"/>
        </w:rPr>
        <w:t>While assessing the industry stakeholders</w:t>
      </w:r>
      <w:r w:rsidR="009664E9" w:rsidRPr="00273A52">
        <w:rPr>
          <w:color w:val="FF0000"/>
        </w:rPr>
        <w:t>’</w:t>
      </w:r>
      <w:r w:rsidRPr="00273A52">
        <w:rPr>
          <w:color w:val="FF0000"/>
        </w:rPr>
        <w:t xml:space="preserve"> </w:t>
      </w:r>
      <w:r w:rsidR="009664E9" w:rsidRPr="00273A52">
        <w:rPr>
          <w:color w:val="FF0000"/>
        </w:rPr>
        <w:t xml:space="preserve">expectations </w:t>
      </w:r>
      <w:r w:rsidRPr="00273A52">
        <w:rPr>
          <w:color w:val="FF0000"/>
        </w:rPr>
        <w:t xml:space="preserve">on using BIM technology for designing out CW, Akinade </w:t>
      </w:r>
      <w:r w:rsidRPr="00273A52">
        <w:rPr>
          <w:i/>
          <w:color w:val="FF0000"/>
        </w:rPr>
        <w:t xml:space="preserve">et al. </w:t>
      </w:r>
      <w:r w:rsidRPr="00273A52">
        <w:rPr>
          <w:i/>
          <w:color w:val="FF0000"/>
        </w:rPr>
        <w:fldChar w:fldCharType="begin" w:fldLock="1"/>
      </w:r>
      <w:r w:rsidR="002B7C0A" w:rsidRPr="00273A52">
        <w:rPr>
          <w:i/>
          <w:color w:val="FF0000"/>
        </w:rPr>
        <w:instrText>ADDIN CSL_CITATION {"citationItems":[{"id":"ITEM-1","itemData":{"DOI":"10.1016/J.JCLEPRO.2018.01.022","ISSN":"0959-6526","abstract":"The need to use Building Information Modelling (BIM) for Construction and Demolition Waste (CDW) minimisation is well documented but most of the existing CDW management tools still lack BIM functionality. This study therefore assesses the expectations of stakeholders on how BIM could be employed for CDW management. After a review of extant literature to assess the limitations of existing CDW management tools, qualitative Focus Group Interviews (FGIs) were conducted with professionals who are familiar with the use of BIM to understand their expectations on the use of BIM for CDW management. The 22 factors identified from the qualitative data analyses were then developed into a questionnaire survey. The exploratory factor analysis of the responses reveals five major groups of BIM expectations for CDW management, which are: (i) BIM-based collaboration for waste management, (ii) waste-driven design process and solutions, (iii) waste analysis throughout building lifecycle, (iv) innovative technologies for waste intelligence and analytics, and (v) improved documentation for waste management. Considering these groups of factors is key to meeting the needs of the stakeholders regarding the use of BIM for CDW management. These groups of factors are important considerations for the implementation and acceptance of BIM-based tools and practices for CDW management within the construction industry.","author":[{"dropping-particle":"","family":"Akinade","given":"Olugbenga O.","non-dropping-particle":"","parse-names":false,"suffix":""},{"dropping-particle":"","family":"Oyedele","given":"Lukumon O.","non-dropping-particle":"","parse-names":false,"suffix":""},{"dropping-particle":"","family":"Ajayi","given":"Saheed O.","non-dropping-particle":"","parse-names":false,"suffix":""},{"dropping-particle":"","family":"Bilal","given":"Muhammad","non-dropping-particle":"","parse-names":false,"suffix":""},{"dropping-particle":"","family":"Alaka","given":"Hafiz A.","non-dropping-particle":"","parse-names":false,"suffix":""},{"dropping-particle":"","family":"Owolabi","given":"Hakeem A.","non-dropping-particle":"","parse-names":false,"suffix":""},{"dropping-particle":"","family":"Arawomo","given":"Omolola O.","non-dropping-particle":"","parse-names":false,"suffix":""}],"container-title":"Journal of Cleaner Production","id":"ITEM-1","issued":{"date-parts":[["2018","4","10"]]},"page":"375-385","publisher":"Elsevier","title":"Designing out construction waste using BIM technology: Stakeholders' expectations for industry deployment","type":"article-journal","volume":"180"},"suppress-author":1,"uris":["http://www.mendeley.com/documents/?uuid=99d019db-7aae-357d-ad22-042d0b832929"]}],"mendeley":{"formattedCitation":"(2018)","plainTextFormattedCitation":"(2018)","previouslyFormattedCitation":"(2018)"},"properties":{"noteIndex":0},"schema":"https://github.com/citation-style-language/schema/raw/master/csl-citation.json"}</w:instrText>
      </w:r>
      <w:r w:rsidRPr="00273A52">
        <w:rPr>
          <w:i/>
          <w:color w:val="FF0000"/>
        </w:rPr>
        <w:fldChar w:fldCharType="separate"/>
      </w:r>
      <w:r w:rsidRPr="00273A52">
        <w:rPr>
          <w:noProof/>
          <w:color w:val="FF0000"/>
        </w:rPr>
        <w:t>(2018)</w:t>
      </w:r>
      <w:r w:rsidRPr="00273A52">
        <w:rPr>
          <w:i/>
          <w:color w:val="FF0000"/>
        </w:rPr>
        <w:fldChar w:fldCharType="end"/>
      </w:r>
      <w:r w:rsidRPr="00273A52">
        <w:rPr>
          <w:i/>
          <w:color w:val="FF0000"/>
        </w:rPr>
        <w:t xml:space="preserve"> </w:t>
      </w:r>
      <w:r w:rsidRPr="00273A52">
        <w:rPr>
          <w:color w:val="FF0000"/>
        </w:rPr>
        <w:t xml:space="preserve">highlight five BIM strategies </w:t>
      </w:r>
      <w:r w:rsidR="001B7F97" w:rsidRPr="00273A52">
        <w:rPr>
          <w:color w:val="FF0000"/>
        </w:rPr>
        <w:t xml:space="preserve">that must be considered </w:t>
      </w:r>
      <w:r w:rsidRPr="00273A52">
        <w:rPr>
          <w:color w:val="FF0000"/>
        </w:rPr>
        <w:t xml:space="preserve">for CW Analytics (CWA), which </w:t>
      </w:r>
      <w:r w:rsidRPr="00273A52">
        <w:rPr>
          <w:noProof/>
          <w:color w:val="FF0000"/>
        </w:rPr>
        <w:t>are summarised</w:t>
      </w:r>
      <w:r w:rsidRPr="00273A52">
        <w:rPr>
          <w:color w:val="FF0000"/>
        </w:rPr>
        <w:t xml:space="preserve"> in</w:t>
      </w:r>
      <w:r w:rsidR="001724C9" w:rsidRPr="00273A52">
        <w:rPr>
          <w:color w:val="FF0000"/>
        </w:rPr>
        <w:t xml:space="preserve"> </w:t>
      </w:r>
      <w:r w:rsidR="001724C9" w:rsidRPr="00273A52">
        <w:rPr>
          <w:color w:val="FF0000"/>
        </w:rPr>
        <w:fldChar w:fldCharType="begin"/>
      </w:r>
      <w:r w:rsidR="001724C9" w:rsidRPr="00273A52">
        <w:rPr>
          <w:color w:val="FF0000"/>
        </w:rPr>
        <w:instrText xml:space="preserve"> REF _Ref514415832 \h </w:instrText>
      </w:r>
      <w:r w:rsidR="0072282C" w:rsidRPr="00273A52">
        <w:rPr>
          <w:color w:val="FF0000"/>
        </w:rPr>
        <w:instrText xml:space="preserve"> \* MERGEFORMAT </w:instrText>
      </w:r>
      <w:r w:rsidR="001724C9" w:rsidRPr="00273A52">
        <w:rPr>
          <w:color w:val="FF0000"/>
        </w:rPr>
      </w:r>
      <w:r w:rsidR="001724C9" w:rsidRPr="00273A52">
        <w:rPr>
          <w:color w:val="FF0000"/>
        </w:rPr>
        <w:fldChar w:fldCharType="separate"/>
      </w:r>
      <w:r w:rsidR="00AC780E" w:rsidRPr="00273A52">
        <w:rPr>
          <w:color w:val="FF0000"/>
        </w:rPr>
        <w:t xml:space="preserve">Figure </w:t>
      </w:r>
      <w:r w:rsidR="00AC780E" w:rsidRPr="00273A52">
        <w:rPr>
          <w:noProof/>
          <w:color w:val="FF0000"/>
        </w:rPr>
        <w:t>1</w:t>
      </w:r>
      <w:r w:rsidR="001724C9" w:rsidRPr="00273A52">
        <w:rPr>
          <w:color w:val="FF0000"/>
        </w:rPr>
        <w:fldChar w:fldCharType="end"/>
      </w:r>
      <w:r w:rsidRPr="00273A52">
        <w:rPr>
          <w:color w:val="FF0000"/>
        </w:rPr>
        <w:t xml:space="preserve">. </w:t>
      </w:r>
      <w:r w:rsidR="00273A52" w:rsidRPr="007E0CBA">
        <w:rPr>
          <w:color w:val="FF0000"/>
        </w:rPr>
        <w:t xml:space="preserve">A key requirement for effective BIM strategies for CW analytics  is the development of a collaborative platform. This is because the AEC industries are highly fragmented because the body of knowledge within the industries cuts across various fields. Each stakeholder makes decisions in isolation to maximise personal gains in a traditional construction methodology, which leads to several problems. The major problems are clashes, cost and time uncertainty, waste, and risks </w:t>
      </w:r>
      <w:r w:rsidR="00273A52" w:rsidRPr="007E0CBA">
        <w:rPr>
          <w:color w:val="FF0000"/>
        </w:rPr>
        <w:fldChar w:fldCharType="begin" w:fldLock="1"/>
      </w:r>
      <w:r w:rsidR="00273A52" w:rsidRPr="007E0CBA">
        <w:rPr>
          <w:color w:val="FF0000"/>
        </w:rPr>
        <w:instrText>ADDIN CSL_CITATION {"citationItems":[{"id":"ITEM-1","itemData":{"DOI":"10.1002/9781444319675.ch6","ISBN":"9781405158657","abstract":"Traditionally, facility owners have been presented with a stan- dard set of project delivery options: design-bid-build, construction management (agency or at-risk), or design-build. Despite this range of options, many owners remain dissatisfied: projects take too long, they cost too much, and the work fails to meet quality expectations. In addition, construction projects continue to present serious safety risks, with nearly 1,500 accidents and four deaths per day.1 This article explores a different project delivery oppor- tunity—one that seeks to address some of the root causes that potentially limit the effectiveness of other models. The proposed method involves a contractual combination of “lean project deliv- ery” and an integrated team. The Integrated Agreement for Lean Project Delivery offers improved project performance both from the owner’s perspective (reduced cost and time, improved quality and safety) and from the viewpoint of the designers and contrac- tors (increased profit and profit velocity, improved safety, and employee satisfaction). While the jury is still out, early results are very promising.","author":[{"dropping-particle":"","family":"Lichtig","given":"William A.","non-dropping-particle":"","parse-names":false,"suffix":""}],"container-title":"Improving Healthcare through Built Environment Infrastructure","id":"ITEM-1","issued":{"date-parts":[["2010"]]},"page":"85-101","title":"The Integrated Agreement for Lean Project Delivery","type":"chapter"},"uris":["http://www.mendeley.com/documents/?uuid=b543e91f-f9f6-43fc-a3b3-23a2b99f9b51"]}],"mendeley":{"formattedCitation":"(Lichtig, 2010)","plainTextFormattedCitation":"(Lichtig, 2010)","previouslyFormattedCitation":"(Lichtig, 2010)"},"properties":{"noteIndex":0},"schema":"https://github.com/citation-style-language/schema/raw/master/csl-citation.json"}</w:instrText>
      </w:r>
      <w:r w:rsidR="00273A52" w:rsidRPr="007E0CBA">
        <w:rPr>
          <w:color w:val="FF0000"/>
        </w:rPr>
        <w:fldChar w:fldCharType="separate"/>
      </w:r>
      <w:r w:rsidR="00273A52" w:rsidRPr="007E0CBA">
        <w:rPr>
          <w:noProof/>
          <w:color w:val="FF0000"/>
        </w:rPr>
        <w:t>(Lichtig, 2010)</w:t>
      </w:r>
      <w:r w:rsidR="00273A52" w:rsidRPr="007E0CBA">
        <w:rPr>
          <w:color w:val="FF0000"/>
        </w:rPr>
        <w:fldChar w:fldCharType="end"/>
      </w:r>
      <w:r w:rsidR="00273A52" w:rsidRPr="007E0CBA">
        <w:rPr>
          <w:color w:val="FF0000"/>
        </w:rPr>
        <w:t xml:space="preserve">. These problems arise because of lack of communication and collaboration. BIM practice and technology, therefore, provide a collaborative process to the delivery of built assets through efficient stakeholders integration throughout the building lifecycle to mitigate these problems </w:t>
      </w:r>
      <w:r w:rsidR="00273A52" w:rsidRPr="007E0CBA">
        <w:rPr>
          <w:color w:val="FF0000"/>
        </w:rPr>
        <w:fldChar w:fldCharType="begin" w:fldLock="1"/>
      </w:r>
      <w:r w:rsidR="00273A52" w:rsidRPr="007E0CBA">
        <w:rPr>
          <w:color w:val="FF0000"/>
        </w:rPr>
        <w:instrText>ADDIN CSL_CITATION {"citationItems":[{"id":"ITEM-1","itemData":{"author":[{"dropping-particle":"","family":"AIA","given":"","non-dropping-particle":"","parse-names":false,"suffix":""}],"container-title":"AIA California Council, Sacramento, CA","id":"ITEM-1","issued":{"date-parts":[["2014"]]},"title":"Integrated Project Delivery: An Updated Working Definition","type":"report"},"uris":["http://www.mendeley.com/documents/?uuid=fb72d149-0cd3-4a9c-aa58-7fc92be562a0","http://www.mendeley.com/documents/?uuid=908d4303-a40f-465b-a357-474a2047262b"]}],"mendeley":{"formattedCitation":"(AIA, 2014)","plainTextFormattedCitation":"(AIA, 2014)","previouslyFormattedCitation":"(AIA, 2014)"},"properties":{"noteIndex":0},"schema":"https://github.com/citation-style-language/schema/raw/master/csl-citation.json"}</w:instrText>
      </w:r>
      <w:r w:rsidR="00273A52" w:rsidRPr="007E0CBA">
        <w:rPr>
          <w:color w:val="FF0000"/>
        </w:rPr>
        <w:fldChar w:fldCharType="separate"/>
      </w:r>
      <w:r w:rsidR="00273A52" w:rsidRPr="007E0CBA">
        <w:rPr>
          <w:noProof/>
          <w:color w:val="FF0000"/>
        </w:rPr>
        <w:t>(AIA, 2014)</w:t>
      </w:r>
      <w:r w:rsidR="00273A52" w:rsidRPr="007E0CBA">
        <w:rPr>
          <w:color w:val="FF0000"/>
        </w:rPr>
        <w:fldChar w:fldCharType="end"/>
      </w:r>
      <w:r w:rsidR="00273A52" w:rsidRPr="007E0CBA">
        <w:rPr>
          <w:color w:val="FF0000"/>
        </w:rPr>
        <w:t xml:space="preserve">. As such, the adoption of BIM strategies enables early informed decision-making with the involvement of all stakeholder,  a higher project cost and time certainty, reduction in </w:t>
      </w:r>
      <w:r w:rsidR="00273A52" w:rsidRPr="007E0CBA">
        <w:rPr>
          <w:color w:val="FF0000"/>
        </w:rPr>
        <w:lastRenderedPageBreak/>
        <w:t xml:space="preserve">waste (material, time, and human resources), improved project quality </w:t>
      </w:r>
      <w:r w:rsidR="00273A52" w:rsidRPr="007E0CBA">
        <w:rPr>
          <w:color w:val="FF0000"/>
        </w:rPr>
        <w:fldChar w:fldCharType="begin" w:fldLock="1"/>
      </w:r>
      <w:r w:rsidR="00273A52" w:rsidRPr="007E0CBA">
        <w:rPr>
          <w:color w:val="FF0000"/>
        </w:rPr>
        <w:instrText>ADDIN CSL_CITATION {"citationItems":[{"id":"ITEM-1","itemData":{"ISSN":"1532-6748","author":[{"dropping-particle":"","family":"Azhar","given":"Salman","non-dropping-particle":"","parse-names":false,"suffix":""},{"dropping-particle":"","family":"Hein","given":"Michael","non-dropping-particle":"","parse-names":false,"suffix":""},{"dropping-particle":"","family":"Sketo","given":"Blake","non-dropping-particle":"","parse-names":false,"suffix":""}],"container-title":"Leadership and Management in Engineering","id":"ITEM-1","issue":"3","issued":{"date-parts":[["2007"]]},"page":"241-252","publisher":"American Society of Civil Engineers","title":"Building Information Modeling ( BIM ): Benefits , Risks and Challenges","type":"article-journal","volume":"11"},"uris":["http://www.mendeley.com/documents/?uuid=3e755fe4-edc7-4094-b301-4ce63115fcee"]}],"mendeley":{"formattedCitation":"(Azhar et al., 2007)","plainTextFormattedCitation":"(Azhar et al., 2007)","previouslyFormattedCitation":"(Azhar et al., 2007)"},"properties":{"noteIndex":0},"schema":"https://github.com/citation-style-language/schema/raw/master/csl-citation.json"}</w:instrText>
      </w:r>
      <w:r w:rsidR="00273A52" w:rsidRPr="007E0CBA">
        <w:rPr>
          <w:color w:val="FF0000"/>
        </w:rPr>
        <w:fldChar w:fldCharType="separate"/>
      </w:r>
      <w:r w:rsidR="00273A52" w:rsidRPr="007E0CBA">
        <w:rPr>
          <w:noProof/>
          <w:color w:val="FF0000"/>
        </w:rPr>
        <w:t>(Azhar et al., 2007)</w:t>
      </w:r>
      <w:r w:rsidR="00273A52" w:rsidRPr="007E0CBA">
        <w:rPr>
          <w:color w:val="FF0000"/>
        </w:rPr>
        <w:fldChar w:fldCharType="end"/>
      </w:r>
      <w:r w:rsidR="00273A52" w:rsidRPr="007E0CBA">
        <w:rPr>
          <w:color w:val="FF0000"/>
        </w:rPr>
        <w:t xml:space="preserve"> among other benefits. Hence the need to adopt BIM for efficient coordination of participating project teams.</w:t>
      </w:r>
    </w:p>
    <w:p w14:paraId="14E874E6" w14:textId="77777777" w:rsidR="00FF467C" w:rsidRDefault="00FF467C" w:rsidP="0072282C">
      <w:pPr>
        <w:spacing w:line="480" w:lineRule="auto"/>
      </w:pPr>
    </w:p>
    <w:p w14:paraId="0CC4789C" w14:textId="77777777" w:rsidR="00FF467C" w:rsidRPr="001F159D" w:rsidRDefault="00FF467C" w:rsidP="00FF467C">
      <w:pPr>
        <w:keepNext/>
        <w:spacing w:line="480" w:lineRule="auto"/>
        <w:jc w:val="center"/>
      </w:pPr>
      <w:r w:rsidRPr="00322726">
        <w:rPr>
          <w:noProof/>
        </w:rPr>
        <w:drawing>
          <wp:inline distT="0" distB="0" distL="0" distR="0" wp14:anchorId="6F786306" wp14:editId="34C9C3BE">
            <wp:extent cx="5727700" cy="4277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727700" cy="4277360"/>
                    </a:xfrm>
                    <a:prstGeom prst="rect">
                      <a:avLst/>
                    </a:prstGeom>
                  </pic:spPr>
                </pic:pic>
              </a:graphicData>
            </a:graphic>
          </wp:inline>
        </w:drawing>
      </w:r>
    </w:p>
    <w:p w14:paraId="6853BCA1" w14:textId="77777777" w:rsidR="00FF467C" w:rsidRPr="001F159D" w:rsidRDefault="00FF467C" w:rsidP="00FF467C">
      <w:pPr>
        <w:pStyle w:val="Caption"/>
        <w:spacing w:line="480" w:lineRule="auto"/>
      </w:pPr>
      <w:bookmarkStart w:id="6" w:name="_Ref514415832"/>
      <w:r w:rsidRPr="001F159D">
        <w:t xml:space="preserve">Figure </w:t>
      </w:r>
      <w:r w:rsidRPr="001F159D">
        <w:fldChar w:fldCharType="begin"/>
      </w:r>
      <w:r w:rsidRPr="001F159D">
        <w:instrText xml:space="preserve"> SEQ Figure \* ARABIC </w:instrText>
      </w:r>
      <w:r w:rsidRPr="001F159D">
        <w:fldChar w:fldCharType="separate"/>
      </w:r>
      <w:r>
        <w:rPr>
          <w:noProof/>
        </w:rPr>
        <w:t>1</w:t>
      </w:r>
      <w:r w:rsidRPr="001F159D">
        <w:fldChar w:fldCharType="end"/>
      </w:r>
      <w:bookmarkEnd w:id="6"/>
      <w:r w:rsidRPr="001F159D">
        <w:t>: BIM strategies for construction waste analytics</w:t>
      </w:r>
    </w:p>
    <w:p w14:paraId="09BD9DBD" w14:textId="77777777" w:rsidR="00FC037D" w:rsidRPr="0090171C" w:rsidRDefault="00FC037D" w:rsidP="0072282C">
      <w:pPr>
        <w:pStyle w:val="Heading2"/>
      </w:pPr>
      <w:bookmarkStart w:id="7" w:name="_Toc488934009"/>
      <w:r w:rsidRPr="0090171C">
        <w:t>Adaptive Neuro-Fuzzy Inference System (ANFIS)</w:t>
      </w:r>
      <w:bookmarkEnd w:id="7"/>
      <w:r w:rsidRPr="0090171C">
        <w:t xml:space="preserve"> </w:t>
      </w:r>
    </w:p>
    <w:p w14:paraId="6C35C680" w14:textId="09CD3AFD" w:rsidR="00710DF0" w:rsidRDefault="003024DC" w:rsidP="00710DF0">
      <w:pPr>
        <w:spacing w:line="480" w:lineRule="auto"/>
      </w:pPr>
      <w:r>
        <w:t>Hybrid</w:t>
      </w:r>
      <w:r w:rsidR="003810C7">
        <w:t xml:space="preserve"> systems</w:t>
      </w:r>
      <w:r>
        <w:t xml:space="preserve"> </w:t>
      </w:r>
      <w:r w:rsidR="003810C7">
        <w:t xml:space="preserve">are becoming the next generation of AI systems because of their </w:t>
      </w:r>
      <w:r w:rsidR="00674A80">
        <w:t>ability to proffer solutions to complex real-life problems</w:t>
      </w:r>
      <w:r w:rsidR="00BE49BD">
        <w:t xml:space="preserve"> </w:t>
      </w:r>
      <w:r w:rsidR="00BE49BD">
        <w:fldChar w:fldCharType="begin" w:fldLock="1"/>
      </w:r>
      <w:r w:rsidR="002B7C0A">
        <w:instrText>ADDIN CSL_CITATION {"citationItems":[{"id":"ITEM-1","itemData":{"abstract":"Introduction In recent years, several adaptive hybrid soft computing [27] frameworks have been developed for model expertise, decision support, image and video segmentation techniques, process control, mechatronics, robotics and complicated automation tasks. Many of these approaches use a combination of di#erent knowledge representation schemes, decision making models and learning strategies to solve a computational task. This integration aims at overcoming the limitations of individual techniques through hybridization or the fusion of various techniques. These ideas have led to the emergence of several di#erent kinds of intelligent system architectures [15]. It is well known that intelligent systems, which can provide human-like expertise such as domain knowledge, uncertain reasoning, and adaptation to","author":[{"dropping-particle":"","family":"Abraham","given":"a","non-dropping-particle":"","parse-names":false,"suffix":""}],"container-title":"Do Smart Adaptive Systems Exist?","id":"ITEM-1","issued":{"date-parts":[["2005"]]},"page":"159-179","title":"Hybrid intelligent systems: evolving intelligence in hierarchical layers","type":"article-journal","volume":"179"},"uris":["http://www.mendeley.com/documents/?uuid=00b93b11-342f-416a-883c-8ac8837d9dea"]}],"mendeley":{"formattedCitation":"(Abraham, 2005)","plainTextFormattedCitation":"(Abraham, 2005)","previouslyFormattedCitation":"(Abraham, 2005)"},"properties":{"noteIndex":0},"schema":"https://github.com/citation-style-language/schema/raw/master/csl-citation.json"}</w:instrText>
      </w:r>
      <w:r w:rsidR="00BE49BD">
        <w:fldChar w:fldCharType="separate"/>
      </w:r>
      <w:r w:rsidR="00BE49BD" w:rsidRPr="00BE49BD">
        <w:rPr>
          <w:noProof/>
        </w:rPr>
        <w:t>(Abraham, 2005)</w:t>
      </w:r>
      <w:r w:rsidR="00BE49BD">
        <w:fldChar w:fldCharType="end"/>
      </w:r>
      <w:r w:rsidR="00674A80">
        <w:t xml:space="preserve">. </w:t>
      </w:r>
      <w:r w:rsidR="00387799">
        <w:t xml:space="preserve">AI </w:t>
      </w:r>
      <w:r w:rsidR="00346BB4">
        <w:t>techniques</w:t>
      </w:r>
      <w:r w:rsidR="00387799">
        <w:t xml:space="preserve"> such as artificial neural </w:t>
      </w:r>
      <w:r w:rsidR="00346BB4">
        <w:t>networks, fuzzy</w:t>
      </w:r>
      <w:r w:rsidR="00387799">
        <w:t xml:space="preserve"> logic, </w:t>
      </w:r>
      <w:r w:rsidR="00346BB4">
        <w:t xml:space="preserve">support vector machines, </w:t>
      </w:r>
      <w:r w:rsidR="008724DC">
        <w:t xml:space="preserve">genetic algorithm, </w:t>
      </w:r>
      <w:r w:rsidR="00346BB4">
        <w:t xml:space="preserve">and expert </w:t>
      </w:r>
      <w:r w:rsidR="00346BB4">
        <w:lastRenderedPageBreak/>
        <w:t>systems</w:t>
      </w:r>
      <w:r w:rsidR="00D33745">
        <w:t xml:space="preserve"> can </w:t>
      </w:r>
      <w:r w:rsidR="00D33745" w:rsidRPr="001407AC">
        <w:rPr>
          <w:noProof/>
        </w:rPr>
        <w:t>be applied</w:t>
      </w:r>
      <w:r w:rsidR="00D33745">
        <w:t xml:space="preserve"> to varieties of problems; but combining them into a single hybrid system </w:t>
      </w:r>
      <w:r w:rsidR="00E2217C">
        <w:t>offers a way to address the</w:t>
      </w:r>
      <w:r w:rsidR="0083295D">
        <w:t>ir</w:t>
      </w:r>
      <w:r w:rsidR="00E2217C">
        <w:t xml:space="preserve"> limitations and </w:t>
      </w:r>
      <w:r w:rsidR="0083295D">
        <w:t xml:space="preserve">to </w:t>
      </w:r>
      <w:r w:rsidR="00E2217C">
        <w:t>combine the</w:t>
      </w:r>
      <w:r w:rsidR="0083295D">
        <w:t>ir</w:t>
      </w:r>
      <w:r w:rsidR="00E2217C">
        <w:t xml:space="preserve"> strengths. </w:t>
      </w:r>
      <w:r w:rsidR="00830EE8">
        <w:t xml:space="preserve">Examples of hybrid systems include </w:t>
      </w:r>
      <w:r w:rsidR="008724DC">
        <w:t>n</w:t>
      </w:r>
      <w:r w:rsidR="00830EE8" w:rsidRPr="003B2E5C">
        <w:t>e</w:t>
      </w:r>
      <w:r w:rsidR="008724DC">
        <w:t>uro-f</w:t>
      </w:r>
      <w:r w:rsidR="00830EE8" w:rsidRPr="003B2E5C">
        <w:t>uzzy systems</w:t>
      </w:r>
      <w:r w:rsidR="00830EE8">
        <w:t xml:space="preserve">  </w:t>
      </w:r>
      <w:r w:rsidR="00830EE8">
        <w:fldChar w:fldCharType="begin" w:fldLock="1"/>
      </w:r>
      <w:r w:rsidR="002B7C0A">
        <w:instrText>ADDIN CSL_CITATION {"citationItems":[{"id":"ITEM-1","itemData":{"abstract":"-The architecture and learning procedure underlying ANF'IS (adaptive-network-based fuzzy inference system) is pre-sented, which is a fuzzy inference system implemented in the framework of adaptive networks. By using a hybrid learning procedure, the proposed ANFIS can construct an input-output mapping based on both human knowledge (in the form of fuzzy if-then rules) and stipulated input-output data pairs. In the sim-ulation, the ANFIS architecture is employed to model nonlinear functions, identify nonlinear components on-linely in a control system, and predict a chaotic time series, all yielding remarkable results. Comparisons with artificial neural networks and earlier work on fuzzy modeling are listed and discussed. Other extensions of the proposed ANFIS and promising applications to automatic control and signal processing are also suggested.","author":[{"dropping-particle":"","family":"Jang","given":"Jyh-Shing Roger","non-dropping-particle":"","parse-names":false,"suffix":""}],"container-title":"IEEE TRANSACTIONS ON SYSTEMS, MAN, AND CYBERNETICS","id":"ITEM-1","issue":"3","issued":{"date-parts":[["1993"]]},"title":"ANFIS : Adap tive-Ne twork-Based Fuzzy Inference System","type":"article-journal","volume":"23"},"uris":["http://www.mendeley.com/documents/?uuid=6b8c45ee-64a7-3321-9d97-ad0bf9fc1226"]}],"mendeley":{"formattedCitation":"(Jang, 1993)","plainTextFormattedCitation":"(Jang, 1993)","previouslyFormattedCitation":"(Jang, 1993)"},"properties":{"noteIndex":0},"schema":"https://github.com/citation-style-language/schema/raw/master/csl-citation.json"}</w:instrText>
      </w:r>
      <w:r w:rsidR="00830EE8">
        <w:fldChar w:fldCharType="separate"/>
      </w:r>
      <w:r w:rsidR="00830EE8" w:rsidRPr="00615EEC">
        <w:rPr>
          <w:noProof/>
        </w:rPr>
        <w:t>(Jang, 1993)</w:t>
      </w:r>
      <w:r w:rsidR="00830EE8">
        <w:fldChar w:fldCharType="end"/>
      </w:r>
      <w:r w:rsidR="00830EE8" w:rsidRPr="003B2E5C">
        <w:t>, Genetic Fuzzy Systems</w:t>
      </w:r>
      <w:r w:rsidR="00830EE8">
        <w:t xml:space="preserve"> </w:t>
      </w:r>
      <w:r w:rsidR="00830EE8">
        <w:fldChar w:fldCharType="begin" w:fldLock="1"/>
      </w:r>
      <w:r w:rsidR="002B7C0A">
        <w:instrText>ADDIN CSL_CITATION {"citationItems":[{"id":"ITEM-1","itemData":{"DOI":"10.1142/4177","ISBN":"981-02-4016-3","ISSN":"01650114","abstract":"In recent years, a great number of publications have explored the\\nuse of genetic algorithms as a tool for designing fuzzy systems.\\nGenetic Fuzzy Systems explores and discusses this symbiosis of evolutionary\\ncomputation and fuzzy logic. The book summarizes and analyzes the\\nnovel field of genetic fuzzy systems, paying special attention to\\ngenetic algorithms that adapt and learn the knowledge base of a fuzzy-rule-based\\nsystem. It introduces the general concepts, foundations and design\\nprinciples of genetic fuzzy systems and covers the topic of genetic\\ntuning of fuzzy systems. It also introduces the systems: the Michigan,\\nPittsburgh and Iterative-learning methods. Finally, it explores hybrid\\ngenetic fuzzy systems such as genetic fuzzy clustering or genetic\\nneuro-fuzzy systems and describes a number of applications from different\\nareas. Genetic Fuzzy System represents a comprehensive treatise on\\nthe design of the fuzzy-rule-based systems using genetic algorithms,\\nboth from a theoretical and a practical perspective. It is a valuable\\ncompendium for scientists and engineers concerned with research and\\napplications in the domain of fuzzy systems and genetic algorithms.","author":[{"dropping-particle":"","family":"Gordon","given":"O","non-dropping-particle":"","parse-names":false,"suffix":""},{"dropping-particle":"","family":"Herrera","given":"F","non-dropping-particle":"","parse-names":false,"suffix":""},{"dropping-particle":"","family":"Hoffmann","given":"F","non-dropping-particle":"","parse-names":false,"suffix":""},{"dropping-particle":"","family":"Luis","given":"M","non-dropping-particle":"","parse-names":false,"suffix":""}],"container-title":"Scientific Publishing Co. Pte. Ltd, UK","id":"ITEM-1","issued":{"date-parts":[["2001"]]},"title":"Genetic fuzzy systems: Fuzzy Knowledge Extraction by Evolutionary Algorithms","type":"article-journal"},"uris":["http://www.mendeley.com/documents/?uuid=b3ba03de-a806-47d0-85cb-dc4487f5ede6"]}],"mendeley":{"formattedCitation":"(Gordon et al., 2001)","plainTextFormattedCitation":"(Gordon et al., 2001)","previouslyFormattedCitation":"(Gordon et al., 2001)"},"properties":{"noteIndex":0},"schema":"https://github.com/citation-style-language/schema/raw/master/csl-citation.json"}</w:instrText>
      </w:r>
      <w:r w:rsidR="00830EE8">
        <w:fldChar w:fldCharType="separate"/>
      </w:r>
      <w:r w:rsidR="00830EE8" w:rsidRPr="003C71A4">
        <w:rPr>
          <w:noProof/>
        </w:rPr>
        <w:t>(Gordon et al., 2001)</w:t>
      </w:r>
      <w:r w:rsidR="00830EE8">
        <w:fldChar w:fldCharType="end"/>
      </w:r>
      <w:r w:rsidR="00830EE8" w:rsidRPr="003B2E5C">
        <w:t>, Fuzzy Expert Systems</w:t>
      </w:r>
      <w:r w:rsidR="00830EE8">
        <w:t xml:space="preserve"> </w:t>
      </w:r>
      <w:r w:rsidR="00830EE8">
        <w:fldChar w:fldCharType="begin" w:fldLock="1"/>
      </w:r>
      <w:r w:rsidR="002B7C0A">
        <w:instrText>ADDIN CSL_CITATION {"citationItems":[{"id":"ITEM-1","itemData":{"DOI":"10.1016/0165-9936(90)85030-B","ISBN":"0 321 20466 2","ISSN":"01659936","abstract":"Application of the theory of fuzzy sets for building expert systems in analytical chemistry is explored. Fuzzy data, linguistic variables and quantifiers, approximate and default reasoning as well as fuzzy neural networks are considered. A reasoning scheme according to Yager [Artificial Intelligence, 31 (1987) 99] is used to demonstrate fuzzy reasoning in a chemical data base.","author":[{"dropping-particle":"","family":"Otto","given":"M.","non-dropping-particle":"","parse-names":false,"suffix":""}],"container-title":"TrAC Trends in Analytical Chemistry","id":"ITEM-1","issue":"2","issued":{"date-parts":[["1990"]]},"number-of-pages":"69-72","title":"Fuzzy expert systems","type":"book","volume":"9"},"uris":["http://www.mendeley.com/documents/?uuid=921d7832-5312-46b3-8c24-1ba48e84ba26"]}],"mendeley":{"formattedCitation":"(Otto, 1990)","plainTextFormattedCitation":"(Otto, 1990)","previouslyFormattedCitation":"(Otto, 1990)"},"properties":{"noteIndex":0},"schema":"https://github.com/citation-style-language/schema/raw/master/csl-citation.json"}</w:instrText>
      </w:r>
      <w:r w:rsidR="00830EE8">
        <w:fldChar w:fldCharType="separate"/>
      </w:r>
      <w:r w:rsidR="00830EE8" w:rsidRPr="002277A4">
        <w:rPr>
          <w:noProof/>
        </w:rPr>
        <w:t>(Otto, 1990)</w:t>
      </w:r>
      <w:r w:rsidR="00830EE8">
        <w:fldChar w:fldCharType="end"/>
      </w:r>
      <w:r w:rsidR="00830EE8" w:rsidRPr="003B2E5C">
        <w:t xml:space="preserve">, </w:t>
      </w:r>
      <w:r w:rsidR="00830EE8">
        <w:t xml:space="preserve">and </w:t>
      </w:r>
      <w:r w:rsidR="00830EE8" w:rsidRPr="003B2E5C">
        <w:t>Evolutionary Neural Networks</w:t>
      </w:r>
      <w:r w:rsidR="00830EE8">
        <w:t xml:space="preserve"> </w:t>
      </w:r>
      <w:r w:rsidR="00830EE8">
        <w:fldChar w:fldCharType="begin" w:fldLock="1"/>
      </w:r>
      <w:r w:rsidR="002B7C0A">
        <w:instrText>ADDIN CSL_CITATION {"citationItems":[{"id":"ITEM-1","itemData":{"DOI":"10.1002/int.4550080406","ISBN":"08848173 (ISSN)","ISSN":"1098111X","abstract":"Research on potential interactions between connectionist learning systems, i.e., artificial neural networks (ANNs), and evolutionary search procedures, like genetic algorithms (GAs), has attracted a lot of attention recently. Evolutionary ANNs (EANNs) can be considered as the combination of ANNs and evolutionary search procedures. This paper first distinguishes among three kinds of evolution in EANNs, i.e., the evolution of connection weights, of architectures and of learning rules. Then it reviews each kind of evolution in detail and analyses critical issues related to different evolutions. The review shows that although a lot of work has been done on the evolution of connection weights and of architectures, few attempts have been made to understand the evolution of learning rules. Interactions among different evolutions are seldom mentioned in current research. However, the evolution of learning rules and its interactions with other kinds of evolution play a vital role in EANNs. As the final part, this paper briefly describes a general framework for EANNs, which not only includes the aforementioned three kinds of evolution, but also considers interactions among them.","author":[{"dropping-particle":"","family":"Yao","given":"Xin","non-dropping-particle":"","parse-names":false,"suffix":""}],"container-title":"International Journal of Intelligent Systems","id":"ITEM-1","issue":"4","issued":{"date-parts":[["1993"]]},"page":"539-567","title":"A review of evolutionary artificial neural networks","type":"article-journal","volume":"8"},"uris":["http://www.mendeley.com/documents/?uuid=aad3a9ad-a3b4-4296-b0e7-9b1a34d03d34"]},{"id":"ITEM-2","itemData":{"DOI":"10.1016/S0925-2312(03)00369-2","ISBN":"0925-2312","ISSN":"09252312","abstract":"In this paper, we present meta-learning evolutionary artificial neural network (MLEANN), an automatic computational framework for the adaptive optimization of artificial neural networks (ANNs) wherein the neural network architecture, activation function, connection weights; learning algorithm and its parameters are adapted according to the problem. We explored the performance of MLEANN and conventionally designed ANNs for function approximation problems. To evaluate the comparative performance, we used three different well-known chaotic time series. We also present the state-of-the-art popular neural network learning algorithms and some experimentation results related to convergence speed and generalization performance. We explored the performance of backpropagation algorithm; conjugate gradient algorithm, quasi-Newton algorithm and Levenberg-Marquardt algorithm for the three chaotic time series. Performances of the different learning algorithms were evaluated when the activation functions and architecture were changed. We further present the theoretical background, algorithm, design strategy and further demonstrate how effective and inevitable is the proposed MLEANN framework to design a neural network, which is smaller, faster and with a better generalization performance. © 2003 Elsevier B.V. All rights reserved.","author":[{"dropping-particle":"","family":"Abraham","given":"Ajith","non-dropping-particle":"","parse-names":false,"suffix":""}],"container-title":"Neurocomputing","id":"ITEM-2","issue":"1-4","issued":{"date-parts":[["2004"]]},"page":"1-38","title":"Meta learning evolutionary artificial neural networks","type":"article","volume":"56"},"uris":["http://www.mendeley.com/documents/?uuid=38035870-9c6b-4ea9-b263-4240233202dc"]}],"mendeley":{"formattedCitation":"(Abraham, 2004; Yao, 1993)","plainTextFormattedCitation":"(Abraham, 2004; Yao, 1993)","previouslyFormattedCitation":"(Abraham, 2004; Yao, 1993)"},"properties":{"noteIndex":0},"schema":"https://github.com/citation-style-language/schema/raw/master/csl-citation.json"}</w:instrText>
      </w:r>
      <w:r w:rsidR="00830EE8">
        <w:fldChar w:fldCharType="separate"/>
      </w:r>
      <w:r w:rsidR="003C71A4" w:rsidRPr="003C71A4">
        <w:rPr>
          <w:noProof/>
        </w:rPr>
        <w:t>(Abraham, 2004; Yao, 1993)</w:t>
      </w:r>
      <w:r w:rsidR="00830EE8">
        <w:fldChar w:fldCharType="end"/>
      </w:r>
      <w:r w:rsidR="00830EE8" w:rsidRPr="003B2E5C">
        <w:t>.</w:t>
      </w:r>
      <w:r w:rsidR="00830EE8">
        <w:t xml:space="preserve"> </w:t>
      </w:r>
      <w:r w:rsidR="00DA719B">
        <w:t xml:space="preserve">Despite the various combination possibilities that hybrid systems offer, neuro-fuzzy systems are the most widely used because of their </w:t>
      </w:r>
      <w:r w:rsidR="00B67391">
        <w:t xml:space="preserve">ability to achieve interoperability and accuracy at the same time </w:t>
      </w:r>
      <w:r w:rsidR="00B67391">
        <w:fldChar w:fldCharType="begin" w:fldLock="1"/>
      </w:r>
      <w:r w:rsidR="002B7C0A">
        <w:instrText>ADDIN CSL_CITATION {"citationItems":[{"id":"ITEM-1","itemData":{"author":[{"dropping-particle":"","family":"Lin","given":"Chin-Teng","non-dropping-particle":"","parse-names":false,"suffix":""},{"dropping-particle":"","family":"Lee","given":"C S George","non-dropping-particle":"","parse-names":false,"suffix":""},{"dropping-particle":"","family":"Lin","given":"Chin-Teng","non-dropping-particle":"","parse-names":false,"suffix":""},{"dropping-particle":"","family":"Lin","given":"C T","non-dropping-particle":"","parse-names":false,"suffix":""}],"id":"ITEM-1","issued":{"date-parts":[["1996"]]},"publisher":"Prentice hall PTR Upper Saddle River NJ","title":"Neural fuzzy systems: a neuro-fuzzy synergism to intelligent systems","type":"book","volume":"205"},"uris":["http://www.mendeley.com/documents/?uuid=88707fb6-b4b1-4886-b8e2-28bb3694b460"]}],"mendeley":{"formattedCitation":"(Lin et al., 1996)","plainTextFormattedCitation":"(Lin et al., 1996)","previouslyFormattedCitation":"(Lin et al., 1996)"},"properties":{"noteIndex":0},"schema":"https://github.com/citation-style-language/schema/raw/master/csl-citation.json"}</w:instrText>
      </w:r>
      <w:r w:rsidR="00B67391">
        <w:fldChar w:fldCharType="separate"/>
      </w:r>
      <w:r w:rsidR="00B67391" w:rsidRPr="00B67391">
        <w:rPr>
          <w:noProof/>
        </w:rPr>
        <w:t>(Lin et al., 1996)</w:t>
      </w:r>
      <w:r w:rsidR="00B67391">
        <w:fldChar w:fldCharType="end"/>
      </w:r>
      <w:r w:rsidR="00B67391">
        <w:t xml:space="preserve">. </w:t>
      </w:r>
      <w:r w:rsidR="0019785F">
        <w:t xml:space="preserve">This unique feature contributes to the wide adoption of neuro-fuzzy systems for addressing several real-life problems. </w:t>
      </w:r>
      <w:r w:rsidR="003045CB">
        <w:t xml:space="preserve">This study </w:t>
      </w:r>
      <w:r w:rsidR="0045606C">
        <w:t xml:space="preserve">adopts a neuro-fuzzy system called </w:t>
      </w:r>
      <w:r w:rsidR="00FC037D">
        <w:t>Adaptive Neuro-Fuzzy Inference System (ANFIS)</w:t>
      </w:r>
      <w:r w:rsidR="0045606C">
        <w:t xml:space="preserve"> </w:t>
      </w:r>
      <w:r w:rsidR="00D576D5">
        <w:t xml:space="preserve">for CW prediction. </w:t>
      </w:r>
      <w:r w:rsidR="00FC037D" w:rsidRPr="001F159D">
        <w:t>ANFIS integrates the strengths of fuzzy logic and Artificial Neural Network (ANN)</w:t>
      </w:r>
      <w:r w:rsidR="0045606C">
        <w:t>.</w:t>
      </w:r>
      <w:r w:rsidR="00FC037D" w:rsidRPr="001F159D">
        <w:t xml:space="preserve"> Hybridization of fuzzy logic and ANN overcome</w:t>
      </w:r>
      <w:r w:rsidR="0083295D">
        <w:t>s</w:t>
      </w:r>
      <w:r w:rsidR="00FC037D" w:rsidRPr="001F159D">
        <w:t xml:space="preserve"> the weaknesses of </w:t>
      </w:r>
      <w:r w:rsidR="005A5698">
        <w:t>the individual</w:t>
      </w:r>
      <w:r w:rsidR="00FC037D" w:rsidRPr="001F159D">
        <w:t xml:space="preserve"> systems (Jang, 1996). The </w:t>
      </w:r>
      <w:r w:rsidR="0083295D">
        <w:t xml:space="preserve">major </w:t>
      </w:r>
      <w:r w:rsidR="00FC037D">
        <w:t>weakness</w:t>
      </w:r>
      <w:r w:rsidR="00FC037D" w:rsidRPr="001F159D">
        <w:t xml:space="preserve"> </w:t>
      </w:r>
      <w:r w:rsidR="0083295D">
        <w:t>of</w:t>
      </w:r>
      <w:r w:rsidR="00FC037D" w:rsidRPr="001F159D">
        <w:t xml:space="preserve"> fuzzy </w:t>
      </w:r>
      <w:r w:rsidR="00FC037D">
        <w:t>logic</w:t>
      </w:r>
      <w:r w:rsidR="00FC037D" w:rsidRPr="001F159D">
        <w:t xml:space="preserve"> is that considerable time and effort </w:t>
      </w:r>
      <w:r w:rsidR="00FC037D">
        <w:t xml:space="preserve">is required </w:t>
      </w:r>
      <w:r w:rsidR="00FC037D" w:rsidRPr="001F159D">
        <w:t xml:space="preserve">to compute </w:t>
      </w:r>
      <w:r w:rsidR="00FC037D">
        <w:t xml:space="preserve">membership functions and rules in </w:t>
      </w:r>
      <w:r w:rsidR="005A5698">
        <w:t xml:space="preserve">a </w:t>
      </w:r>
      <w:r w:rsidR="00FC037D" w:rsidRPr="001F159D">
        <w:t xml:space="preserve">complex system. Chief among the </w:t>
      </w:r>
      <w:r w:rsidR="00FC037D">
        <w:t>weaknesses of ANN</w:t>
      </w:r>
      <w:r w:rsidR="00FC037D" w:rsidRPr="001F159D">
        <w:t xml:space="preserve"> is </w:t>
      </w:r>
      <w:r w:rsidR="00F37DF6">
        <w:t xml:space="preserve">the effort required to </w:t>
      </w:r>
      <w:r w:rsidR="00FC037D" w:rsidRPr="001F159D">
        <w:t>determin</w:t>
      </w:r>
      <w:r w:rsidR="00FC037D">
        <w:t>ing</w:t>
      </w:r>
      <w:r w:rsidR="00FC037D" w:rsidRPr="001F159D">
        <w:t xml:space="preserve"> the optimal structure of the network. </w:t>
      </w:r>
      <w:r w:rsidR="00FC037D">
        <w:t xml:space="preserve">As such, combining fuzzy logic and ANN to produce ANFIS provides a </w:t>
      </w:r>
      <w:r w:rsidR="00800EB0">
        <w:t xml:space="preserve">more superior predictive capability </w:t>
      </w:r>
      <w:r w:rsidR="00710DF0">
        <w:t>that significantly aid model transparency and validation.</w:t>
      </w:r>
    </w:p>
    <w:p w14:paraId="4A5904F2" w14:textId="2250C3CD" w:rsidR="00FC037D" w:rsidRPr="0090171C" w:rsidRDefault="00165057" w:rsidP="0072282C">
      <w:pPr>
        <w:spacing w:line="480" w:lineRule="auto"/>
      </w:pPr>
      <w:r>
        <w:t xml:space="preserve">An </w:t>
      </w:r>
      <w:r w:rsidR="00FC037D" w:rsidRPr="0090171C">
        <w:t>system with two inputs (</w:t>
      </w:r>
      <w:r w:rsidR="00ED447B">
        <w:t xml:space="preserve">we assume that each input has </w:t>
      </w:r>
      <w:r w:rsidR="00FC037D">
        <w:t>three membership functions</w:t>
      </w:r>
      <w:r w:rsidR="00FC037D" w:rsidRPr="0090171C">
        <w:t>) and one output</w:t>
      </w:r>
      <w:r>
        <w:t xml:space="preserve"> </w:t>
      </w:r>
      <w:r w:rsidRPr="001407AC">
        <w:rPr>
          <w:noProof/>
        </w:rPr>
        <w:t>is</w:t>
      </w:r>
      <w:r>
        <w:t xml:space="preserve"> chosen to</w:t>
      </w:r>
      <w:r w:rsidRPr="0090171C">
        <w:t xml:space="preserve"> explain </w:t>
      </w:r>
      <w:r>
        <w:t xml:space="preserve">the concept </w:t>
      </w:r>
      <w:r w:rsidR="00710DF0">
        <w:t xml:space="preserve">and operations </w:t>
      </w:r>
      <w:r>
        <w:t xml:space="preserve">of </w:t>
      </w:r>
      <w:r w:rsidR="00710DF0">
        <w:t xml:space="preserve">an </w:t>
      </w:r>
      <w:r w:rsidRPr="0090171C">
        <w:t>ANFIS</w:t>
      </w:r>
      <w:r w:rsidR="00710DF0">
        <w:t xml:space="preserve"> model as shown in Figure 2</w:t>
      </w:r>
      <w:r w:rsidR="00FC037D" w:rsidRPr="0090171C">
        <w:t>.</w:t>
      </w:r>
      <w:r w:rsidR="003B1D93">
        <w:t xml:space="preserve"> </w:t>
      </w:r>
      <w:r w:rsidR="00D01341">
        <w:t>The network is made up of nine if-else rules and a</w:t>
      </w:r>
      <w:r w:rsidR="003B1D93">
        <w:t xml:space="preserve"> typical rule</w:t>
      </w:r>
      <w:r w:rsidR="00FC037D" w:rsidRPr="0090171C">
        <w:t xml:space="preserve">set </w:t>
      </w:r>
      <w:r w:rsidR="003B1D93">
        <w:t xml:space="preserve">in </w:t>
      </w:r>
      <w:r w:rsidR="003B1D93" w:rsidRPr="0090171C">
        <w:t>a fir</w:t>
      </w:r>
      <w:r w:rsidR="003B1D93">
        <w:t xml:space="preserve">st </w:t>
      </w:r>
      <w:r w:rsidR="003B1D93" w:rsidRPr="001407AC">
        <w:rPr>
          <w:noProof/>
        </w:rPr>
        <w:t>order</w:t>
      </w:r>
      <w:r w:rsidR="003B1D93">
        <w:t xml:space="preserve"> Sugeno-Fuzzy m</w:t>
      </w:r>
      <w:r w:rsidR="003B1D93" w:rsidRPr="0090171C">
        <w:t>odel</w:t>
      </w:r>
      <w:r w:rsidR="00D01341">
        <w:t>, which</w:t>
      </w:r>
      <w:r w:rsidR="003B1D93" w:rsidRPr="0090171C">
        <w:t xml:space="preserve"> </w:t>
      </w:r>
      <w:r w:rsidR="00FC037D" w:rsidRPr="0090171C">
        <w:t xml:space="preserve">can </w:t>
      </w:r>
      <w:r w:rsidR="00FC037D" w:rsidRPr="001407AC">
        <w:rPr>
          <w:noProof/>
        </w:rPr>
        <w:t>be expressed</w:t>
      </w:r>
      <w:r w:rsidR="00FC037D" w:rsidRPr="0090171C">
        <w:t xml:space="preserve"> as:</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867"/>
      </w:tblGrid>
      <w:tr w:rsidR="00FC037D" w:rsidRPr="0090171C" w14:paraId="3B0C43B5" w14:textId="77777777" w:rsidTr="00E67AA3">
        <w:tc>
          <w:tcPr>
            <w:tcW w:w="8136" w:type="dxa"/>
            <w:vAlign w:val="center"/>
          </w:tcPr>
          <w:p w14:paraId="541F94F9" w14:textId="77777777" w:rsidR="00FC037D" w:rsidRPr="00EF5F04" w:rsidRDefault="00FC037D" w:rsidP="0072282C">
            <w:pPr>
              <w:spacing w:line="480" w:lineRule="auto"/>
              <w:jc w:val="center"/>
              <w:rPr>
                <w:sz w:val="24"/>
              </w:rPr>
            </w:pPr>
            <m:oMathPara>
              <m:oMath>
                <m:r>
                  <w:rPr>
                    <w:rFonts w:ascii="Cambria Math" w:hAnsi="Cambria Math"/>
                    <w:sz w:val="24"/>
                  </w:rPr>
                  <m:t>if</m:t>
                </m:r>
                <m:r>
                  <m:rPr>
                    <m:sty m:val="p"/>
                  </m:rPr>
                  <w:rPr>
                    <w:rFonts w:ascii="Cambria Math" w:hAnsi="Cambria Math"/>
                    <w:sz w:val="24"/>
                  </w:rPr>
                  <m:t xml:space="preserve"> </m:t>
                </m:r>
                <m:r>
                  <w:rPr>
                    <w:rFonts w:ascii="Cambria Math" w:hAnsi="Cambria Math"/>
                    <w:sz w:val="24"/>
                  </w:rPr>
                  <m:t>x</m:t>
                </m:r>
                <m:r>
                  <m:rPr>
                    <m:sty m:val="p"/>
                  </m:rPr>
                  <w:rPr>
                    <w:rFonts w:ascii="Cambria Math" w:hAnsi="Cambria Math"/>
                    <w:sz w:val="24"/>
                  </w:rPr>
                  <m:t xml:space="preserve"> </m:t>
                </m:r>
                <m:r>
                  <w:rPr>
                    <w:rFonts w:ascii="Cambria Math" w:hAnsi="Cambria Math"/>
                    <w:sz w:val="24"/>
                  </w:rPr>
                  <m:t>is</m:t>
                </m:r>
                <m:r>
                  <m:rPr>
                    <m:sty m:val="p"/>
                  </m:rPr>
                  <w:rPr>
                    <w:rFonts w:ascii="Cambria Math" w:hAnsi="Cambria Math"/>
                    <w:sz w:val="24"/>
                  </w:rPr>
                  <m:t xml:space="preserve"> </m:t>
                </m:r>
                <m:r>
                  <w:rPr>
                    <w:rFonts w:ascii="Cambria Math" w:hAnsi="Cambria Math"/>
                    <w:sz w:val="24"/>
                  </w:rPr>
                  <m:t>Ai</m:t>
                </m:r>
                <m:r>
                  <m:rPr>
                    <m:sty m:val="p"/>
                  </m:rPr>
                  <w:rPr>
                    <w:rFonts w:ascii="Cambria Math" w:hAnsi="Cambria Math"/>
                    <w:sz w:val="24"/>
                  </w:rPr>
                  <m:t xml:space="preserve"> </m:t>
                </m:r>
                <m:r>
                  <w:rPr>
                    <w:rFonts w:ascii="Cambria Math" w:hAnsi="Cambria Math"/>
                    <w:sz w:val="24"/>
                  </w:rPr>
                  <m:t>then</m:t>
                </m:r>
                <m:r>
                  <m:rPr>
                    <m:sty m:val="p"/>
                  </m:rPr>
                  <w:rPr>
                    <w:rFonts w:ascii="Cambria Math" w:hAnsi="Cambria Math"/>
                    <w:sz w:val="24"/>
                  </w:rPr>
                  <m:t xml:space="preserve"> </m:t>
                </m:r>
                <m:r>
                  <w:rPr>
                    <w:rFonts w:ascii="Cambria Math" w:hAnsi="Cambria Math"/>
                    <w:sz w:val="24"/>
                  </w:rPr>
                  <m:t>y</m:t>
                </m:r>
                <m:r>
                  <m:rPr>
                    <m:sty m:val="p"/>
                  </m:rPr>
                  <w:rPr>
                    <w:rFonts w:ascii="Cambria Math" w:hAnsi="Cambria Math"/>
                    <w:sz w:val="24"/>
                  </w:rPr>
                  <m:t xml:space="preserve"> </m:t>
                </m:r>
                <m:r>
                  <w:rPr>
                    <w:rFonts w:ascii="Cambria Math" w:hAnsi="Cambria Math"/>
                    <w:sz w:val="24"/>
                  </w:rPr>
                  <m:t>is</m:t>
                </m:r>
                <m:r>
                  <m:rPr>
                    <m:sty m:val="p"/>
                  </m:rPr>
                  <w:rPr>
                    <w:rFonts w:ascii="Cambria Math" w:hAnsi="Cambria Math"/>
                    <w:sz w:val="24"/>
                  </w:rPr>
                  <m:t xml:space="preserve"> </m:t>
                </m:r>
                <m:r>
                  <w:rPr>
                    <w:rFonts w:ascii="Cambria Math" w:hAnsi="Cambria Math"/>
                    <w:sz w:val="24"/>
                  </w:rPr>
                  <m:t>Bi</m:t>
                </m:r>
                <m:r>
                  <m:rPr>
                    <m:sty m:val="p"/>
                  </m:rPr>
                  <w:rPr>
                    <w:rFonts w:ascii="Cambria Math" w:hAnsi="Cambria Math"/>
                    <w:sz w:val="24"/>
                  </w:rPr>
                  <m:t xml:space="preserve">, then </m:t>
                </m:r>
                <m:sSub>
                  <m:sSubPr>
                    <m:ctrlPr>
                      <w:rPr>
                        <w:rFonts w:ascii="Cambria Math" w:hAnsi="Cambria Math"/>
                        <w:sz w:val="24"/>
                      </w:rPr>
                    </m:ctrlPr>
                  </m:sSubPr>
                  <m:e>
                    <m:r>
                      <w:rPr>
                        <w:rFonts w:ascii="Cambria Math" w:hAnsi="Cambria Math"/>
                        <w:sz w:val="24"/>
                      </w:rPr>
                      <m:t>f</m:t>
                    </m:r>
                  </m:e>
                  <m:sub>
                    <m:r>
                      <m:rPr>
                        <m:sty m:val="p"/>
                      </m:rPr>
                      <w:rPr>
                        <w:rFonts w:ascii="Cambria Math" w:hAnsi="Cambria Math"/>
                        <w:sz w:val="24"/>
                      </w:rPr>
                      <m:t>1</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p</m:t>
                    </m:r>
                  </m:e>
                  <m:sub>
                    <m:r>
                      <m:rPr>
                        <m:sty m:val="p"/>
                      </m:rPr>
                      <w:rPr>
                        <w:rFonts w:ascii="Cambria Math" w:hAnsi="Cambria Math"/>
                        <w:sz w:val="24"/>
                      </w:rPr>
                      <m:t>1</m:t>
                    </m:r>
                  </m:sub>
                </m:sSub>
                <m:r>
                  <m:rPr>
                    <m:sty m:val="p"/>
                  </m:rPr>
                  <w:rPr>
                    <w:rFonts w:ascii="Cambria Math" w:hAnsi="Cambria Math"/>
                    <w:sz w:val="24"/>
                  </w:rPr>
                  <m:t>x+</m:t>
                </m:r>
                <m:sSub>
                  <m:sSubPr>
                    <m:ctrlPr>
                      <w:rPr>
                        <w:rFonts w:ascii="Cambria Math" w:hAnsi="Cambria Math"/>
                        <w:sz w:val="24"/>
                      </w:rPr>
                    </m:ctrlPr>
                  </m:sSubPr>
                  <m:e>
                    <m:r>
                      <w:rPr>
                        <w:rFonts w:ascii="Cambria Math" w:hAnsi="Cambria Math"/>
                        <w:sz w:val="24"/>
                      </w:rPr>
                      <m:t>q</m:t>
                    </m:r>
                  </m:e>
                  <m:sub>
                    <m:r>
                      <m:rPr>
                        <m:sty m:val="p"/>
                      </m:rPr>
                      <w:rPr>
                        <w:rFonts w:ascii="Cambria Math" w:hAnsi="Cambria Math"/>
                        <w:sz w:val="24"/>
                      </w:rPr>
                      <m:t>1</m:t>
                    </m:r>
                  </m:sub>
                </m:sSub>
                <m:r>
                  <m:rPr>
                    <m:sty m:val="p"/>
                  </m:rPr>
                  <w:rPr>
                    <w:rFonts w:ascii="Cambria Math" w:hAnsi="Cambria Math"/>
                    <w:sz w:val="24"/>
                  </w:rPr>
                  <m:t>y+</m:t>
                </m:r>
                <m:sSub>
                  <m:sSubPr>
                    <m:ctrlPr>
                      <w:rPr>
                        <w:rFonts w:ascii="Cambria Math" w:hAnsi="Cambria Math"/>
                        <w:sz w:val="24"/>
                      </w:rPr>
                    </m:ctrlPr>
                  </m:sSubPr>
                  <m:e>
                    <m:r>
                      <w:rPr>
                        <w:rFonts w:ascii="Cambria Math" w:hAnsi="Cambria Math"/>
                        <w:sz w:val="24"/>
                      </w:rPr>
                      <m:t>r</m:t>
                    </m:r>
                  </m:e>
                  <m:sub>
                    <m:r>
                      <m:rPr>
                        <m:sty m:val="p"/>
                      </m:rPr>
                      <w:rPr>
                        <w:rFonts w:ascii="Cambria Math" w:hAnsi="Cambria Math"/>
                        <w:sz w:val="24"/>
                      </w:rPr>
                      <m:t>1</m:t>
                    </m:r>
                  </m:sub>
                </m:sSub>
              </m:oMath>
            </m:oMathPara>
          </w:p>
        </w:tc>
        <w:tc>
          <w:tcPr>
            <w:tcW w:w="867" w:type="dxa"/>
            <w:vAlign w:val="center"/>
          </w:tcPr>
          <w:p w14:paraId="5AA30539" w14:textId="0FE950D6" w:rsidR="00FC037D" w:rsidRPr="00EF5F04" w:rsidRDefault="00FC037D" w:rsidP="0072282C">
            <w:pPr>
              <w:spacing w:line="480" w:lineRule="auto"/>
              <w:rPr>
                <w:sz w:val="24"/>
              </w:rPr>
            </w:pPr>
            <w:r w:rsidRPr="00EF5F04">
              <w:rPr>
                <w:sz w:val="24"/>
              </w:rPr>
              <w:t>(</w:t>
            </w:r>
            <w:r w:rsidRPr="00EF5F04">
              <w:fldChar w:fldCharType="begin"/>
            </w:r>
            <w:r w:rsidRPr="00EF5F04">
              <w:rPr>
                <w:sz w:val="24"/>
              </w:rPr>
              <w:instrText xml:space="preserve"> SEQ Equations \* MERGEFORMAT  \* MERGEFORMAT </w:instrText>
            </w:r>
            <w:r w:rsidRPr="00EF5F04">
              <w:fldChar w:fldCharType="separate"/>
            </w:r>
            <w:r w:rsidR="00AC780E">
              <w:rPr>
                <w:noProof/>
                <w:sz w:val="24"/>
              </w:rPr>
              <w:t>1</w:t>
            </w:r>
            <w:r w:rsidRPr="00EF5F04">
              <w:rPr>
                <w:noProof/>
              </w:rPr>
              <w:fldChar w:fldCharType="end"/>
            </w:r>
            <w:r w:rsidRPr="00EF5F04">
              <w:rPr>
                <w:sz w:val="24"/>
              </w:rPr>
              <w:t>)</w:t>
            </w:r>
          </w:p>
        </w:tc>
      </w:tr>
    </w:tbl>
    <w:p w14:paraId="2FC67A35" w14:textId="77777777" w:rsidR="00785CA7" w:rsidRDefault="00785CA7" w:rsidP="00785CA7">
      <w:pPr>
        <w:keepNext/>
        <w:spacing w:line="480" w:lineRule="auto"/>
        <w:jc w:val="center"/>
      </w:pPr>
      <w:r w:rsidRPr="0090171C">
        <w:rPr>
          <w:noProof/>
          <w:lang w:val="en-US"/>
        </w:rPr>
        <w:lastRenderedPageBreak/>
        <w:drawing>
          <wp:inline distT="0" distB="0" distL="0" distR="0" wp14:anchorId="15BF74E4" wp14:editId="6CF3FB1C">
            <wp:extent cx="3113954" cy="2769079"/>
            <wp:effectExtent l="0" t="0" r="0" b="0"/>
            <wp:docPr id="129" name="Picture 129" descr="ANFIS architecture of two inputs and nine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FIS architecture of two inputs and nine ru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7469" cy="2789990"/>
                    </a:xfrm>
                    <a:prstGeom prst="rect">
                      <a:avLst/>
                    </a:prstGeom>
                    <a:noFill/>
                    <a:ln>
                      <a:noFill/>
                    </a:ln>
                  </pic:spPr>
                </pic:pic>
              </a:graphicData>
            </a:graphic>
          </wp:inline>
        </w:drawing>
      </w:r>
    </w:p>
    <w:p w14:paraId="6C4B09AF" w14:textId="77777777" w:rsidR="00785CA7" w:rsidRDefault="00785CA7" w:rsidP="00785CA7">
      <w:pPr>
        <w:pStyle w:val="Caption"/>
        <w:spacing w:line="480" w:lineRule="auto"/>
      </w:pPr>
      <w:bookmarkStart w:id="8" w:name="_Ref514326688"/>
      <w:r>
        <w:t xml:space="preserve">Figure </w:t>
      </w:r>
      <w:r>
        <w:fldChar w:fldCharType="begin"/>
      </w:r>
      <w:r>
        <w:instrText xml:space="preserve"> SEQ Figure \* ARABIC </w:instrText>
      </w:r>
      <w:r>
        <w:fldChar w:fldCharType="separate"/>
      </w:r>
      <w:r>
        <w:rPr>
          <w:noProof/>
        </w:rPr>
        <w:t>2</w:t>
      </w:r>
      <w:r>
        <w:fldChar w:fldCharType="end"/>
      </w:r>
      <w:bookmarkEnd w:id="8"/>
      <w:r>
        <w:t xml:space="preserve">: </w:t>
      </w:r>
      <w:bookmarkStart w:id="9" w:name="_Toc490661248"/>
      <w:r w:rsidRPr="0090171C">
        <w:t>A two inp</w:t>
      </w:r>
      <w:r>
        <w:t xml:space="preserve">uts (x </w:t>
      </w:r>
      <w:r w:rsidRPr="001407AC">
        <w:rPr>
          <w:noProof/>
        </w:rPr>
        <w:t>and y</w:t>
      </w:r>
      <w:r>
        <w:t xml:space="preserve">) and one output (f) ANFIS </w:t>
      </w:r>
      <w:bookmarkEnd w:id="9"/>
      <w:r>
        <w:t>network</w:t>
      </w:r>
    </w:p>
    <w:p w14:paraId="608E5516" w14:textId="00E42995" w:rsidR="00FC037D" w:rsidRDefault="00FC037D" w:rsidP="0072282C">
      <w:pPr>
        <w:spacing w:line="480" w:lineRule="auto"/>
      </w:pPr>
      <w:r>
        <w:t>Where p</w:t>
      </w:r>
      <w:r w:rsidRPr="0090171C">
        <w:t xml:space="preserve">, r and q are </w:t>
      </w:r>
      <w:r>
        <w:t xml:space="preserve">the </w:t>
      </w:r>
      <w:r w:rsidRPr="0090171C">
        <w:t xml:space="preserve">output parameters. </w:t>
      </w:r>
      <w:r>
        <w:t xml:space="preserve">The layers of the </w:t>
      </w:r>
      <w:r w:rsidR="00710DF0">
        <w:t xml:space="preserve">ANFIS </w:t>
      </w:r>
      <w:r>
        <w:t xml:space="preserve">network </w:t>
      </w:r>
      <w:r w:rsidRPr="001407AC">
        <w:rPr>
          <w:noProof/>
        </w:rPr>
        <w:t>are described</w:t>
      </w:r>
      <w:r>
        <w:t xml:space="preserve"> below: </w:t>
      </w:r>
      <w:r w:rsidRPr="0090171C">
        <w:t xml:space="preserve"> </w:t>
      </w:r>
    </w:p>
    <w:p w14:paraId="3B165ABC" w14:textId="6AAC945C" w:rsidR="00FC037D" w:rsidRPr="0090171C" w:rsidRDefault="00FC037D" w:rsidP="0072282C">
      <w:pPr>
        <w:spacing w:line="480" w:lineRule="auto"/>
        <w:ind w:left="720"/>
      </w:pPr>
      <w:r w:rsidRPr="0090171C">
        <w:rPr>
          <w:rStyle w:val="SubtleEmphasis"/>
        </w:rPr>
        <w:t xml:space="preserve">Layer 1 (Fuzzification </w:t>
      </w:r>
      <w:r w:rsidR="00E131C9">
        <w:rPr>
          <w:rStyle w:val="SubtleEmphasis"/>
        </w:rPr>
        <w:t>l</w:t>
      </w:r>
      <w:r w:rsidRPr="0090171C">
        <w:rPr>
          <w:rStyle w:val="SubtleEmphasis"/>
        </w:rPr>
        <w:t>ayer):</w:t>
      </w:r>
      <w:r w:rsidRPr="004C092C">
        <w:rPr>
          <w:rStyle w:val="SubtleEmphasis"/>
          <w:b w:val="0"/>
          <w:u w:val="none"/>
        </w:rPr>
        <w:t xml:space="preserve">  </w:t>
      </w:r>
      <w:r w:rsidRPr="004C092C">
        <w:rPr>
          <w:rStyle w:val="SubtleEmphasis"/>
          <w:b w:val="0"/>
          <w:i w:val="0"/>
          <w:u w:val="none"/>
        </w:rPr>
        <w:t>T</w:t>
      </w:r>
      <w:r w:rsidRPr="0090171C">
        <w:t>he node function of</w:t>
      </w:r>
      <w:r>
        <w:t xml:space="preserve"> the fuzzification layer </w:t>
      </w:r>
      <w:r w:rsidRPr="001407AC">
        <w:rPr>
          <w:noProof/>
        </w:rPr>
        <w:t>is given</w:t>
      </w:r>
      <w:r>
        <w:t xml:space="preserve"> as</w:t>
      </w:r>
      <w:r w:rsidRPr="0090171C">
        <w:t>:</w:t>
      </w:r>
    </w:p>
    <w:p w14:paraId="63A3BCEE" w14:textId="6C8324FF" w:rsidR="00FC037D" w:rsidRPr="0090171C" w:rsidRDefault="00CF3C64" w:rsidP="0072282C">
      <w:pPr>
        <w:spacing w:line="480" w:lineRule="auto"/>
        <w:ind w:left="720"/>
        <w:jc w:val="right"/>
        <w:rPr>
          <w:rFonts w:eastAsiaTheme="minorEastAsia"/>
        </w:rPr>
      </w:pPr>
      <m:oMath>
        <m:sSubSup>
          <m:sSubSupPr>
            <m:ctrlPr>
              <w:rPr>
                <w:rFonts w:ascii="Cambria Math" w:hAnsi="Cambria Math"/>
              </w:rPr>
            </m:ctrlPr>
          </m:sSubSupPr>
          <m:e>
            <m:r>
              <w:rPr>
                <w:rFonts w:ascii="Cambria Math" w:hAnsi="Cambria Math"/>
              </w:rPr>
              <m:t>O</m:t>
            </m:r>
          </m:e>
          <m:sub>
            <m:r>
              <w:rPr>
                <w:rFonts w:ascii="Cambria Math" w:hAnsi="Cambria Math"/>
              </w:rPr>
              <m:t>i</m:t>
            </m:r>
          </m:sub>
          <m:sup>
            <m:r>
              <m:rPr>
                <m:sty m:val="p"/>
              </m:rPr>
              <w:rPr>
                <w:rFonts w:ascii="Cambria Math" w:hAnsi="Cambria Math"/>
              </w:rPr>
              <m:t>1</m:t>
            </m:r>
          </m:sup>
        </m:sSubSup>
        <m:r>
          <m:rPr>
            <m:sty m:val="p"/>
          </m:rPr>
          <w:rPr>
            <w:rFonts w:ascii="Cambria Math" w:hAnsi="Cambria Math"/>
          </w:rPr>
          <m:t xml:space="preserve">= </m:t>
        </m:r>
        <m:sSub>
          <m:sSubPr>
            <m:ctrlPr>
              <w:rPr>
                <w:rFonts w:ascii="Cambria Math" w:hAnsi="Cambria Math"/>
              </w:rPr>
            </m:ctrlPr>
          </m:sSubPr>
          <m:e>
            <m:r>
              <w:rPr>
                <w:rFonts w:ascii="Cambria Math" w:hAnsi="Cambria Math"/>
              </w:rPr>
              <m:t>μ</m:t>
            </m:r>
          </m:e>
          <m:sub>
            <m:r>
              <w:rPr>
                <w:rFonts w:ascii="Cambria Math" w:hAnsi="Cambria Math"/>
              </w:rPr>
              <m:t>Ai</m:t>
            </m:r>
          </m:sub>
        </m:sSub>
        <m:r>
          <m:rPr>
            <m:sty m:val="p"/>
          </m:rPr>
          <w:rPr>
            <w:rFonts w:ascii="Cambria Math" w:hAnsi="Cambria Math"/>
          </w:rPr>
          <m:t>(</m:t>
        </m:r>
        <m:r>
          <w:rPr>
            <w:rFonts w:ascii="Cambria Math" w:hAnsi="Cambria Math"/>
          </w:rPr>
          <m:t>x</m:t>
        </m:r>
        <m:r>
          <m:rPr>
            <m:sty m:val="p"/>
          </m:rPr>
          <w:rPr>
            <w:rFonts w:ascii="Cambria Math" w:hAnsi="Cambria Math"/>
          </w:rPr>
          <m:t>)</m:t>
        </m:r>
      </m:oMath>
      <w:r w:rsidR="00FC037D">
        <w:rPr>
          <w:rFonts w:eastAsiaTheme="minorEastAsia"/>
        </w:rPr>
        <w:tab/>
      </w:r>
      <w:r w:rsidR="00FC037D">
        <w:rPr>
          <w:rFonts w:eastAsiaTheme="minorEastAsia"/>
        </w:rPr>
        <w:tab/>
      </w:r>
      <w:r w:rsidR="00FC037D">
        <w:rPr>
          <w:rFonts w:eastAsiaTheme="minorEastAsia"/>
        </w:rPr>
        <w:tab/>
      </w:r>
      <w:r w:rsidR="00FC037D">
        <w:rPr>
          <w:rFonts w:eastAsiaTheme="minorEastAsia"/>
        </w:rPr>
        <w:tab/>
      </w:r>
      <w:r w:rsidR="00FC037D">
        <w:rPr>
          <w:rFonts w:eastAsiaTheme="minorEastAsia"/>
        </w:rPr>
        <w:tab/>
      </w:r>
      <w:r w:rsidR="00FC037D">
        <w:rPr>
          <w:rFonts w:eastAsiaTheme="minorEastAsia"/>
        </w:rPr>
        <w:tab/>
      </w:r>
      <w:r w:rsidR="00FC037D">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2</w:t>
      </w:r>
      <w:r w:rsidR="00150399">
        <w:rPr>
          <w:noProof/>
        </w:rPr>
        <w:fldChar w:fldCharType="end"/>
      </w:r>
      <w:r w:rsidR="00FC037D" w:rsidRPr="0090171C">
        <w:t>)</w:t>
      </w:r>
    </w:p>
    <w:p w14:paraId="1B93E01D" w14:textId="0B75C0B7" w:rsidR="00FC037D" w:rsidRPr="0090171C" w:rsidRDefault="00FC037D" w:rsidP="0072282C">
      <w:pPr>
        <w:spacing w:line="480" w:lineRule="auto"/>
        <w:ind w:left="720"/>
      </w:pPr>
      <w:r w:rsidRPr="0090171C">
        <w:t xml:space="preserve">Where </w:t>
      </w:r>
      <m:oMath>
        <m:sSubSup>
          <m:sSubSupPr>
            <m:ctrlPr>
              <w:rPr>
                <w:rFonts w:ascii="Cambria Math" w:hAnsi="Cambria Math"/>
                <w:i/>
              </w:rPr>
            </m:ctrlPr>
          </m:sSubSupPr>
          <m:e>
            <m:r>
              <w:rPr>
                <w:rFonts w:ascii="Cambria Math" w:hAnsi="Cambria Math"/>
              </w:rPr>
              <m:t>O</m:t>
            </m:r>
          </m:e>
          <m:sub>
            <m:r>
              <w:rPr>
                <w:rFonts w:ascii="Cambria Math" w:hAnsi="Cambria Math"/>
              </w:rPr>
              <m:t>i</m:t>
            </m:r>
          </m:sub>
          <m:sup>
            <m:r>
              <w:rPr>
                <w:rFonts w:ascii="Cambria Math" w:hAnsi="Cambria Math"/>
              </w:rPr>
              <m:t>1</m:t>
            </m:r>
          </m:sup>
        </m:sSubSup>
      </m:oMath>
      <w:r>
        <w:t xml:space="preserve"> is the membership grade of the</w:t>
      </w:r>
      <w:r w:rsidRPr="0090171C">
        <w:t xml:space="preserve"> fuzzy set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90171C">
        <w:t xml:space="preserve">, and it specifies the degree to which </w:t>
      </w:r>
      <m:oMath>
        <m:r>
          <w:rPr>
            <w:rFonts w:ascii="Cambria Math" w:hAnsi="Cambria Math"/>
          </w:rPr>
          <m:t>x</m:t>
        </m:r>
      </m:oMath>
      <w:r w:rsidRPr="0090171C">
        <w:t xml:space="preserve"> satisfies the quantifier </w:t>
      </w:r>
      <m:oMath>
        <m:r>
          <w:rPr>
            <w:rFonts w:ascii="Cambria Math" w:hAnsi="Cambria Math"/>
          </w:rPr>
          <m:t>A</m:t>
        </m:r>
      </m:oMath>
      <w:r w:rsidRPr="0090171C">
        <w:t xml:space="preserve">. </w:t>
      </w:r>
      <m:oMath>
        <m:sSub>
          <m:sSubPr>
            <m:ctrlPr>
              <w:rPr>
                <w:rFonts w:ascii="Cambria Math" w:hAnsi="Cambria Math"/>
                <w:i/>
              </w:rPr>
            </m:ctrlPr>
          </m:sSubPr>
          <m:e>
            <m:r>
              <w:rPr>
                <w:rFonts w:ascii="Cambria Math" w:hAnsi="Cambria Math"/>
              </w:rPr>
              <m:t>μ</m:t>
            </m:r>
          </m:e>
          <m:sub>
            <m:r>
              <w:rPr>
                <w:rFonts w:ascii="Cambria Math" w:hAnsi="Cambria Math"/>
              </w:rPr>
              <m:t>Ai</m:t>
            </m:r>
          </m:sub>
        </m:sSub>
      </m:oMath>
      <w:r w:rsidRPr="0090171C">
        <w:t xml:space="preserve"> is </w:t>
      </w:r>
      <w:r w:rsidR="00503578">
        <w:t xml:space="preserve">the </w:t>
      </w:r>
      <w:r w:rsidRPr="0090171C">
        <w:t xml:space="preserve">membership function of </w:t>
      </w:r>
      <w:r>
        <w:t xml:space="preserve">the </w:t>
      </w:r>
      <w:r w:rsidRPr="0090171C">
        <w:t xml:space="preserve">linguistic variable </w:t>
      </w:r>
      <m:oMath>
        <m:r>
          <w:rPr>
            <w:rFonts w:ascii="Cambria Math" w:hAnsi="Cambria Math"/>
          </w:rPr>
          <m:t>A</m:t>
        </m:r>
      </m:oMath>
      <w:r w:rsidR="00503578">
        <w:t xml:space="preserve">. The membership function is a real interval [0, 1], where a value of 1 means that </w:t>
      </w:r>
      <m:oMath>
        <m:r>
          <w:rPr>
            <w:rFonts w:ascii="Cambria Math" w:hAnsi="Cambria Math"/>
          </w:rPr>
          <m:t>x</m:t>
        </m:r>
      </m:oMath>
      <w:r w:rsidR="00503578" w:rsidRPr="0090171C">
        <w:t xml:space="preserve"> </w:t>
      </w:r>
      <w:r w:rsidR="00503578">
        <w:t xml:space="preserve">is a full member of set and a value of </w:t>
      </w:r>
      <w:r w:rsidR="004449AF">
        <w:t xml:space="preserve">0 </w:t>
      </w:r>
      <w:r w:rsidR="006F6369">
        <w:t xml:space="preserve">means that </w:t>
      </w:r>
      <m:oMath>
        <m:r>
          <w:rPr>
            <w:rFonts w:ascii="Cambria Math" w:hAnsi="Cambria Math"/>
          </w:rPr>
          <m:t>x</m:t>
        </m:r>
      </m:oMath>
      <w:r w:rsidR="006F6369" w:rsidRPr="0090171C">
        <w:t xml:space="preserve"> </w:t>
      </w:r>
      <w:r w:rsidR="006F6369">
        <w:t xml:space="preserve">is not a member of the set. </w:t>
      </w:r>
      <w:r w:rsidR="00503578">
        <w:t xml:space="preserve">For example, a Gaussian membership function is </w:t>
      </w:r>
      <w:r>
        <w:t>given as</w:t>
      </w:r>
      <w:r w:rsidRPr="0090171C">
        <w:t>:</w:t>
      </w:r>
    </w:p>
    <w:p w14:paraId="1309705C" w14:textId="73A53679" w:rsidR="00FC037D" w:rsidRPr="0090171C" w:rsidRDefault="00CF3C64" w:rsidP="0072282C">
      <w:pPr>
        <w:spacing w:line="480" w:lineRule="auto"/>
        <w:ind w:left="720"/>
        <w:jc w:val="right"/>
        <w:rPr>
          <w:rFonts w:eastAsiaTheme="minorEastAsia"/>
        </w:rPr>
      </w:pPr>
      <m:oMath>
        <m:sSub>
          <m:sSubPr>
            <m:ctrlPr>
              <w:rPr>
                <w:rFonts w:ascii="Cambria Math" w:hAnsi="Cambria Math"/>
              </w:rPr>
            </m:ctrlPr>
          </m:sSubPr>
          <m:e>
            <m:r>
              <w:rPr>
                <w:rFonts w:ascii="Cambria Math" w:hAnsi="Cambria Math"/>
              </w:rPr>
              <m:t>μ</m:t>
            </m:r>
          </m:e>
          <m:sub>
            <m:r>
              <w:rPr>
                <w:rFonts w:ascii="Cambria Math" w:hAnsi="Cambria Math"/>
              </w:rPr>
              <m:t>Ai</m:t>
            </m:r>
          </m:sub>
        </m:sSub>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i</m:t>
                            </m:r>
                          </m:sub>
                        </m:sSub>
                      </m:num>
                      <m:den>
                        <m:sSub>
                          <m:sSubPr>
                            <m:ctrlPr>
                              <w:rPr>
                                <w:rFonts w:ascii="Cambria Math" w:hAnsi="Cambria Math"/>
                              </w:rPr>
                            </m:ctrlPr>
                          </m:sSubPr>
                          <m:e>
                            <m:r>
                              <w:rPr>
                                <w:rFonts w:ascii="Cambria Math" w:hAnsi="Cambria Math"/>
                              </w:rPr>
                              <m:t>a</m:t>
                            </m:r>
                          </m:e>
                          <m:sub>
                            <m:r>
                              <w:rPr>
                                <w:rFonts w:ascii="Cambria Math" w:hAnsi="Cambria Math"/>
                              </w:rPr>
                              <m:t>i</m:t>
                            </m:r>
                          </m:sub>
                        </m:sSub>
                      </m:den>
                    </m:f>
                  </m:e>
                </m:d>
              </m:e>
              <m:sup>
                <m:r>
                  <m:rPr>
                    <m:sty m:val="p"/>
                  </m:rPr>
                  <w:rPr>
                    <w:rFonts w:ascii="Cambria Math" w:hAnsi="Cambria Math"/>
                  </w:rPr>
                  <m:t>2</m:t>
                </m:r>
              </m:sup>
            </m:sSup>
          </m:e>
        </m:d>
      </m:oMath>
      <w:r w:rsidR="00FC037D">
        <w:rPr>
          <w:rFonts w:eastAsiaTheme="minorEastAsia"/>
        </w:rPr>
        <w:tab/>
      </w:r>
      <w:r w:rsidR="00FC037D">
        <w:rPr>
          <w:rFonts w:eastAsiaTheme="minorEastAsia"/>
        </w:rPr>
        <w:tab/>
      </w:r>
      <w:r w:rsidR="00FC037D">
        <w:rPr>
          <w:rFonts w:eastAsiaTheme="minorEastAsia"/>
        </w:rPr>
        <w:tab/>
      </w:r>
      <w:r w:rsidR="00FC037D">
        <w:rPr>
          <w:rFonts w:eastAsiaTheme="minorEastAsia"/>
        </w:rPr>
        <w:tab/>
      </w:r>
      <w:r w:rsidR="00FC037D">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3</w:t>
      </w:r>
      <w:r w:rsidR="00150399">
        <w:rPr>
          <w:noProof/>
        </w:rPr>
        <w:fldChar w:fldCharType="end"/>
      </w:r>
      <w:r w:rsidR="00FC037D" w:rsidRPr="0090171C">
        <w:t>)</w:t>
      </w:r>
    </w:p>
    <w:p w14:paraId="6C283942" w14:textId="77777777" w:rsidR="00FC037D" w:rsidRPr="0090171C" w:rsidRDefault="00FC037D" w:rsidP="0072282C">
      <w:pPr>
        <w:spacing w:line="480" w:lineRule="auto"/>
        <w:ind w:left="720"/>
      </w:pPr>
      <w:r w:rsidRPr="0090171C">
        <w:t xml:space="preserve">Where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90171C">
        <w:t xml:space="preserve"> and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90171C">
        <w:t xml:space="preserve"> are the premise parameters.</w:t>
      </w:r>
    </w:p>
    <w:p w14:paraId="5E298FE3" w14:textId="7C2DF346" w:rsidR="00FC037D" w:rsidRPr="0090171C" w:rsidRDefault="003D057F" w:rsidP="0072282C">
      <w:pPr>
        <w:spacing w:line="480" w:lineRule="auto"/>
        <w:ind w:left="720"/>
        <w:rPr>
          <w:rStyle w:val="SubtleEmphasis"/>
        </w:rPr>
      </w:pPr>
      <w:r>
        <w:rPr>
          <w:rStyle w:val="SubtleEmphasis"/>
        </w:rPr>
        <w:lastRenderedPageBreak/>
        <w:t>Layer 2 (Multiplication l</w:t>
      </w:r>
      <w:r w:rsidR="00FC037D" w:rsidRPr="0090171C">
        <w:rPr>
          <w:rStyle w:val="SubtleEmphasis"/>
        </w:rPr>
        <w:t>ayer):</w:t>
      </w:r>
    </w:p>
    <w:p w14:paraId="7B81DB7E" w14:textId="518B694A" w:rsidR="00FC037D" w:rsidRPr="0090171C" w:rsidRDefault="00FC037D" w:rsidP="0072282C">
      <w:pPr>
        <w:spacing w:line="480" w:lineRule="auto"/>
        <w:ind w:left="720"/>
      </w:pPr>
      <w:r w:rsidRPr="0090171C">
        <w:t xml:space="preserve">The output of each node </w:t>
      </w:r>
      <w:r>
        <w:t xml:space="preserve">of the multiplication later </w:t>
      </w:r>
      <w:r w:rsidRPr="0090171C">
        <w:t xml:space="preserve">is the product of all incoming nodes, </w:t>
      </w:r>
      <w:r w:rsidR="001407AC" w:rsidRPr="001407AC">
        <w:rPr>
          <w:noProof/>
        </w:rPr>
        <w:t>i.e.</w:t>
      </w:r>
      <w:r w:rsidRPr="0090171C">
        <w:t>:</w:t>
      </w:r>
    </w:p>
    <w:p w14:paraId="3FCE5D6B" w14:textId="22434AD1" w:rsidR="00FC037D" w:rsidRPr="0090171C" w:rsidRDefault="00CF3C64" w:rsidP="0072282C">
      <w:pPr>
        <w:spacing w:line="480" w:lineRule="auto"/>
        <w:ind w:left="720"/>
        <w:jc w:val="right"/>
      </w:pPr>
      <m:oMath>
        <m:sSubSup>
          <m:sSubSupPr>
            <m:ctrlPr>
              <w:rPr>
                <w:rFonts w:ascii="Cambria Math" w:hAnsi="Cambria Math"/>
              </w:rPr>
            </m:ctrlPr>
          </m:sSubSupPr>
          <m:e>
            <m:r>
              <w:rPr>
                <w:rFonts w:ascii="Cambria Math" w:hAnsi="Cambria Math"/>
              </w:rPr>
              <m:t>O</m:t>
            </m:r>
          </m:e>
          <m:sub>
            <m:r>
              <w:rPr>
                <w:rFonts w:ascii="Cambria Math" w:hAnsi="Cambria Math"/>
              </w:rPr>
              <m:t>i</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Ai</m:t>
            </m:r>
          </m:sub>
        </m:sSub>
        <m:d>
          <m:dPr>
            <m:ctrlPr>
              <w:rPr>
                <w:rFonts w:ascii="Cambria Math" w:hAnsi="Cambria Math"/>
              </w:rPr>
            </m:ctrlPr>
          </m:dPr>
          <m:e>
            <m:r>
              <w:rPr>
                <w:rFonts w:ascii="Cambria Math" w:hAnsi="Cambria Math"/>
              </w:rPr>
              <m:t>x</m:t>
            </m:r>
          </m:e>
        </m:d>
        <m:r>
          <m:rPr>
            <m:sty m:val="p"/>
          </m:rP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Bi</m:t>
            </m:r>
          </m:sub>
        </m:sSub>
        <m:d>
          <m:dPr>
            <m:ctrlPr>
              <w:rPr>
                <w:rFonts w:ascii="Cambria Math" w:hAnsi="Cambria Math"/>
              </w:rPr>
            </m:ctrlPr>
          </m:dPr>
          <m:e>
            <m:r>
              <w:rPr>
                <w:rFonts w:ascii="Cambria Math" w:hAnsi="Cambria Math"/>
              </w:rPr>
              <m:t>x</m:t>
            </m:r>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=1,2,3,…, 9</m:t>
        </m:r>
      </m:oMath>
      <w:r w:rsidR="00FC037D">
        <w:rPr>
          <w:rFonts w:eastAsiaTheme="minorEastAsia"/>
        </w:rPr>
        <w:tab/>
      </w:r>
      <w:r w:rsidR="00FC037D">
        <w:rPr>
          <w:rFonts w:eastAsiaTheme="minorEastAsia"/>
        </w:rPr>
        <w:tab/>
      </w:r>
      <w:r w:rsidR="00FC037D">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4</w:t>
      </w:r>
      <w:r w:rsidR="00150399">
        <w:rPr>
          <w:noProof/>
        </w:rPr>
        <w:fldChar w:fldCharType="end"/>
      </w:r>
      <w:r w:rsidR="00FC037D" w:rsidRPr="0090171C">
        <w:t>)</w:t>
      </w:r>
    </w:p>
    <w:p w14:paraId="6AE2BA65" w14:textId="2A5DA48B" w:rsidR="00FC037D" w:rsidRPr="0090171C" w:rsidRDefault="00FC037D" w:rsidP="0072282C">
      <w:pPr>
        <w:spacing w:line="480" w:lineRule="auto"/>
        <w:ind w:left="720"/>
      </w:pPr>
      <w:r>
        <w:t>The n</w:t>
      </w:r>
      <w:r w:rsidRPr="0090171C">
        <w:t xml:space="preserve">odes of </w:t>
      </w:r>
      <w:r>
        <w:t>the multiplication</w:t>
      </w:r>
      <w:r w:rsidRPr="0090171C">
        <w:t xml:space="preserve"> layer are the an</w:t>
      </w:r>
      <w:r w:rsidR="00FA574A">
        <w:t>tecedent connectives. The</w:t>
      </w:r>
      <w:r w:rsidRPr="0090171C">
        <w:t xml:space="preserve"> output </w:t>
      </w:r>
      <w:r w:rsidR="00805377">
        <w:t xml:space="preserve">of each node is </w:t>
      </w:r>
      <w:r w:rsidR="00D01341">
        <w:t xml:space="preserve">called </w:t>
      </w:r>
      <w:r w:rsidRPr="0090171C">
        <w:t>the firing strength of a rule.</w:t>
      </w:r>
    </w:p>
    <w:p w14:paraId="17159D72" w14:textId="4F2F1E12" w:rsidR="00FC037D" w:rsidRPr="0090171C" w:rsidRDefault="003D057F" w:rsidP="0072282C">
      <w:pPr>
        <w:spacing w:line="480" w:lineRule="auto"/>
        <w:ind w:left="720"/>
        <w:rPr>
          <w:rStyle w:val="SubtleEmphasis"/>
        </w:rPr>
      </w:pPr>
      <w:r>
        <w:rPr>
          <w:rStyle w:val="SubtleEmphasis"/>
        </w:rPr>
        <w:t>Layer 3 (Normalization</w:t>
      </w:r>
      <w:r w:rsidR="00E131C9">
        <w:rPr>
          <w:rStyle w:val="SubtleEmphasis"/>
        </w:rPr>
        <w:t xml:space="preserve"> l</w:t>
      </w:r>
      <w:r w:rsidR="00FC037D" w:rsidRPr="0090171C">
        <w:rPr>
          <w:rStyle w:val="SubtleEmphasis"/>
        </w:rPr>
        <w:t>ayer):</w:t>
      </w:r>
    </w:p>
    <w:p w14:paraId="3345CF7E" w14:textId="77777777" w:rsidR="00FC037D" w:rsidRPr="0090171C" w:rsidRDefault="00FC037D" w:rsidP="0072282C">
      <w:pPr>
        <w:spacing w:line="480" w:lineRule="auto"/>
        <w:ind w:left="720"/>
      </w:pPr>
      <w:r>
        <w:t>The</w:t>
      </w:r>
      <w:r w:rsidRPr="0090171C">
        <w:t xml:space="preserve"> nodes on </w:t>
      </w:r>
      <w:r>
        <w:t>the normalisation</w:t>
      </w:r>
      <w:r w:rsidRPr="0090171C">
        <w:t xml:space="preserve"> layer </w:t>
      </w:r>
      <w:r>
        <w:t xml:space="preserve">compute </w:t>
      </w:r>
      <w:r w:rsidRPr="0090171C">
        <w:t xml:space="preserve">the ratio of the </w:t>
      </w:r>
      <w:r>
        <w:t>corresponding</w:t>
      </w:r>
      <w:r w:rsidRPr="0090171C">
        <w:t xml:space="preserve"> firing st</w:t>
      </w:r>
      <w:r>
        <w:t xml:space="preserve">rength to the sum of all </w:t>
      </w:r>
      <w:r w:rsidRPr="0090171C">
        <w:t>firing strength, i.e.:</w:t>
      </w:r>
    </w:p>
    <w:p w14:paraId="1835EDA4" w14:textId="52A48EA9" w:rsidR="00FC037D" w:rsidRPr="0090171C" w:rsidRDefault="00CF3C64" w:rsidP="0072282C">
      <w:pPr>
        <w:spacing w:line="480" w:lineRule="auto"/>
        <w:ind w:left="720"/>
        <w:jc w:val="right"/>
      </w:pPr>
      <m:oMath>
        <m:sSubSup>
          <m:sSubSupPr>
            <m:ctrlPr>
              <w:rPr>
                <w:rFonts w:ascii="Cambria Math" w:hAnsi="Cambria Math"/>
              </w:rPr>
            </m:ctrlPr>
          </m:sSubSupPr>
          <m:e>
            <m:r>
              <w:rPr>
                <w:rFonts w:ascii="Cambria Math" w:hAnsi="Cambria Math"/>
              </w:rPr>
              <m:t>O</m:t>
            </m:r>
          </m:e>
          <m:sub>
            <m:r>
              <w:rPr>
                <w:rFonts w:ascii="Cambria Math" w:hAnsi="Cambria Math"/>
              </w:rPr>
              <m:t>i</m:t>
            </m:r>
          </m:sub>
          <m:sup>
            <m:r>
              <m:rPr>
                <m:sty m:val="p"/>
              </m:rPr>
              <w:rPr>
                <w:rFonts w:ascii="Cambria Math" w:hAnsi="Cambria Math"/>
              </w:rPr>
              <m:t>3</m:t>
            </m:r>
          </m:sup>
        </m:sSubSup>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i</m:t>
                </m:r>
              </m:sub>
            </m:sSub>
          </m:e>
        </m:ac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i</m:t>
                </m:r>
              </m:sub>
            </m:sSub>
          </m:num>
          <m:den>
            <m:sSub>
              <m:sSubPr>
                <m:ctrlPr>
                  <w:rPr>
                    <w:rFonts w:ascii="Cambria Math" w:hAnsi="Cambria Math"/>
                  </w:rPr>
                </m:ctrlPr>
              </m:sSubPr>
              <m:e>
                <m:r>
                  <w:rPr>
                    <w:rFonts w:ascii="Cambria Math" w:hAnsi="Cambria Math"/>
                  </w:rPr>
                  <m:t>w</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9</m:t>
                </m:r>
              </m:sub>
            </m:sSub>
          </m:den>
        </m:f>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=1,2,3,…, 9</m:t>
        </m:r>
      </m:oMath>
      <w:r w:rsidR="00FC037D">
        <w:rPr>
          <w:rFonts w:eastAsiaTheme="minorEastAsia"/>
        </w:rPr>
        <w:tab/>
      </w:r>
      <w:r w:rsidR="00FC037D">
        <w:rPr>
          <w:rFonts w:eastAsiaTheme="minorEastAsia"/>
        </w:rPr>
        <w:tab/>
      </w:r>
      <w:r w:rsidR="00FC037D">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5</w:t>
      </w:r>
      <w:r w:rsidR="00150399">
        <w:rPr>
          <w:noProof/>
        </w:rPr>
        <w:fldChar w:fldCharType="end"/>
      </w:r>
      <w:r w:rsidR="00FC037D" w:rsidRPr="0090171C">
        <w:t>)</w:t>
      </w:r>
    </w:p>
    <w:p w14:paraId="67EA7063" w14:textId="3CBA19F5" w:rsidR="00FC037D" w:rsidRPr="0090171C" w:rsidRDefault="00805377" w:rsidP="0072282C">
      <w:pPr>
        <w:spacing w:line="480" w:lineRule="auto"/>
        <w:ind w:left="720"/>
      </w:pPr>
      <w:r>
        <w:t>The output of each node is called</w:t>
      </w:r>
      <w:r w:rsidR="00FC037D" w:rsidRPr="0090171C">
        <w:t xml:space="preserve"> </w:t>
      </w:r>
      <w:r w:rsidR="00FC037D">
        <w:t>the</w:t>
      </w:r>
      <w:r w:rsidR="00FC037D" w:rsidRPr="0090171C">
        <w:t xml:space="preserve"> normalised firing strengths. </w:t>
      </w:r>
    </w:p>
    <w:p w14:paraId="27E66E91" w14:textId="216B3486" w:rsidR="00FC037D" w:rsidRPr="0090171C" w:rsidRDefault="00FC037D" w:rsidP="0072282C">
      <w:pPr>
        <w:spacing w:line="480" w:lineRule="auto"/>
        <w:ind w:left="720"/>
        <w:rPr>
          <w:rStyle w:val="SubtleEmphasis"/>
        </w:rPr>
      </w:pPr>
      <w:r w:rsidRPr="0090171C">
        <w:rPr>
          <w:rStyle w:val="SubtleEmphasis"/>
        </w:rPr>
        <w:t xml:space="preserve">Layer 4 (Defuzzification </w:t>
      </w:r>
      <w:r w:rsidR="00805377">
        <w:rPr>
          <w:rStyle w:val="SubtleEmphasis"/>
        </w:rPr>
        <w:t>l</w:t>
      </w:r>
      <w:r w:rsidRPr="0090171C">
        <w:rPr>
          <w:rStyle w:val="SubtleEmphasis"/>
        </w:rPr>
        <w:t>ayer):</w:t>
      </w:r>
    </w:p>
    <w:p w14:paraId="4E2C7A08" w14:textId="18F284B2" w:rsidR="00FC037D" w:rsidRPr="0090171C" w:rsidRDefault="00FC037D" w:rsidP="0072282C">
      <w:pPr>
        <w:spacing w:line="480" w:lineRule="auto"/>
        <w:ind w:left="720"/>
      </w:pPr>
      <w:r w:rsidRPr="0090171C">
        <w:t>The fourth layer produces</w:t>
      </w:r>
      <w:r>
        <w:t xml:space="preserve"> the </w:t>
      </w:r>
      <w:r w:rsidRPr="001407AC">
        <w:rPr>
          <w:noProof/>
        </w:rPr>
        <w:t>consequent</w:t>
      </w:r>
      <w:r>
        <w:t xml:space="preserve"> parameters </w:t>
      </w:r>
      <w:r w:rsidRPr="001407AC">
        <w:rPr>
          <w:noProof/>
        </w:rPr>
        <w:t>and</w:t>
      </w:r>
      <w:r>
        <w:t xml:space="preserve"> t</w:t>
      </w:r>
      <w:r w:rsidRPr="0090171C">
        <w:t xml:space="preserve">he node </w:t>
      </w:r>
      <w:r w:rsidR="008F28B2">
        <w:t>function is</w:t>
      </w:r>
      <w:r w:rsidRPr="0090171C">
        <w:t>:</w:t>
      </w:r>
    </w:p>
    <w:p w14:paraId="1B525814" w14:textId="747508EC" w:rsidR="00FC037D" w:rsidRPr="0090171C" w:rsidRDefault="00CF3C64" w:rsidP="0072282C">
      <w:pPr>
        <w:spacing w:line="480" w:lineRule="auto"/>
        <w:ind w:left="720"/>
        <w:jc w:val="right"/>
      </w:pPr>
      <m:oMath>
        <m:sSubSup>
          <m:sSubSupPr>
            <m:ctrlPr>
              <w:rPr>
                <w:rFonts w:ascii="Cambria Math" w:hAnsi="Cambria Math"/>
              </w:rPr>
            </m:ctrlPr>
          </m:sSubSupPr>
          <m:e>
            <m:r>
              <w:rPr>
                <w:rFonts w:ascii="Cambria Math" w:hAnsi="Cambria Math"/>
              </w:rPr>
              <m:t>O</m:t>
            </m:r>
          </m:e>
          <m:sub>
            <m:r>
              <w:rPr>
                <w:rFonts w:ascii="Cambria Math" w:hAnsi="Cambria Math"/>
              </w:rPr>
              <m:t>i</m:t>
            </m:r>
          </m:sub>
          <m:sup>
            <m:r>
              <m:rPr>
                <m:sty m:val="p"/>
              </m:rPr>
              <w:rPr>
                <w:rFonts w:ascii="Cambria Math" w:hAnsi="Cambria Math"/>
              </w:rPr>
              <m:t>4</m:t>
            </m:r>
          </m:sup>
        </m:sSubSup>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i</m:t>
                </m:r>
              </m:sub>
            </m:sSub>
          </m:e>
        </m:acc>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i</m:t>
                </m:r>
              </m:sub>
            </m:sSub>
          </m:e>
        </m:acc>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=1,2,3,…,9</m:t>
        </m:r>
      </m:oMath>
      <w:r w:rsidR="00FC037D">
        <w:rPr>
          <w:rFonts w:eastAsiaTheme="minorEastAsia"/>
        </w:rPr>
        <w:tab/>
      </w:r>
      <w:r w:rsidR="00FC037D">
        <w:rPr>
          <w:rFonts w:eastAsiaTheme="minorEastAsia"/>
        </w:rPr>
        <w:tab/>
      </w:r>
      <w:r w:rsidR="00FC037D">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6</w:t>
      </w:r>
      <w:r w:rsidR="00150399">
        <w:rPr>
          <w:noProof/>
        </w:rPr>
        <w:fldChar w:fldCharType="end"/>
      </w:r>
      <w:r w:rsidR="00FC037D" w:rsidRPr="0090171C">
        <w:t>)</w:t>
      </w:r>
    </w:p>
    <w:p w14:paraId="4109C292" w14:textId="7996A019" w:rsidR="00FC037D" w:rsidRPr="0090171C" w:rsidRDefault="00FC037D" w:rsidP="0072282C">
      <w:pPr>
        <w:spacing w:line="480" w:lineRule="auto"/>
        <w:ind w:left="720"/>
      </w:pPr>
      <w:r w:rsidRPr="0090171C">
        <w:t>Where</w:t>
      </w:r>
      <w:r w:rsidR="008F28B2">
        <w:t xml:space="preserve"> the parameters</w:t>
      </w:r>
      <w:r w:rsidRPr="0090171C">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i</m:t>
            </m:r>
          </m:sub>
        </m:sSub>
        <m:r>
          <w:rPr>
            <w:rFonts w:ascii="Cambria Math" w:hAnsi="Cambria Math"/>
          </w:rPr>
          <m:t xml:space="preserve">, </m:t>
        </m:r>
        <m:r>
          <m:rPr>
            <m:sty m:val="p"/>
          </m:rPr>
          <w:rPr>
            <w:rFonts w:ascii="Cambria Math" w:hAnsi="Cambria Math"/>
          </w:rPr>
          <m:t>and</m:t>
        </m:r>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i</m:t>
            </m:r>
          </m:sub>
        </m:sSub>
      </m:oMath>
      <w:r w:rsidRPr="0090171C">
        <w:t xml:space="preserve"> are th</w:t>
      </w:r>
      <w:r>
        <w:t>e adjusted consequent parameters.</w:t>
      </w:r>
    </w:p>
    <w:p w14:paraId="2E7A2392" w14:textId="77777777" w:rsidR="00FC037D" w:rsidRPr="0090171C" w:rsidRDefault="00FC037D" w:rsidP="0072282C">
      <w:pPr>
        <w:spacing w:line="480" w:lineRule="auto"/>
        <w:ind w:left="720"/>
        <w:rPr>
          <w:rStyle w:val="SubtleEmphasis"/>
        </w:rPr>
      </w:pPr>
      <w:r w:rsidRPr="0090171C">
        <w:rPr>
          <w:rStyle w:val="SubtleEmphasis"/>
        </w:rPr>
        <w:t>Layer 5 (Summation Layer):</w:t>
      </w:r>
    </w:p>
    <w:p w14:paraId="1EB36B49" w14:textId="09C12583" w:rsidR="00FC037D" w:rsidRPr="0090171C" w:rsidRDefault="00FC037D" w:rsidP="0072282C">
      <w:pPr>
        <w:spacing w:line="480" w:lineRule="auto"/>
        <w:ind w:left="720"/>
      </w:pPr>
      <w:r>
        <w:lastRenderedPageBreak/>
        <w:t xml:space="preserve">The summation layer </w:t>
      </w:r>
      <w:r w:rsidRPr="0090171C">
        <w:t xml:space="preserve">is made up of a single fixed node </w:t>
      </w:r>
      <w:r w:rsidRPr="001407AC">
        <w:rPr>
          <w:noProof/>
        </w:rPr>
        <w:t>and</w:t>
      </w:r>
      <w:r>
        <w:t xml:space="preserve"> it </w:t>
      </w:r>
      <w:r w:rsidRPr="0090171C">
        <w:t>computes the overall output by using:</w:t>
      </w:r>
    </w:p>
    <w:p w14:paraId="6427A1CA" w14:textId="342B1BF8" w:rsidR="00FC037D" w:rsidRPr="0090171C" w:rsidRDefault="00CF3C64" w:rsidP="0072282C">
      <w:pPr>
        <w:spacing w:line="480" w:lineRule="auto"/>
        <w:ind w:left="720"/>
        <w:jc w:val="right"/>
      </w:pPr>
      <m:oMath>
        <m:sSubSup>
          <m:sSubSupPr>
            <m:ctrlPr>
              <w:rPr>
                <w:rFonts w:ascii="Cambria Math" w:hAnsi="Cambria Math"/>
              </w:rPr>
            </m:ctrlPr>
          </m:sSubSupPr>
          <m:e>
            <m:r>
              <w:rPr>
                <w:rFonts w:ascii="Cambria Math" w:hAnsi="Cambria Math"/>
              </w:rPr>
              <m:t>Output(f)</m:t>
            </m:r>
            <m:r>
              <m:rPr>
                <m:sty m:val="p"/>
              </m:rPr>
              <w:rPr>
                <w:rFonts w:ascii="Cambria Math" w:hAnsi="Cambria Math"/>
              </w:rPr>
              <m:t xml:space="preserve">= </m:t>
            </m:r>
            <m:r>
              <w:rPr>
                <w:rFonts w:ascii="Cambria Math" w:hAnsi="Cambria Math"/>
              </w:rPr>
              <m:t>O</m:t>
            </m:r>
          </m:e>
          <m:sub>
            <m:r>
              <w:rPr>
                <w:rFonts w:ascii="Cambria Math" w:hAnsi="Cambria Math"/>
              </w:rPr>
              <m:t>i</m:t>
            </m:r>
          </m:sub>
          <m:sup>
            <m:r>
              <m:rPr>
                <m:sty m:val="p"/>
              </m:rPr>
              <w:rPr>
                <w:rFonts w:ascii="Cambria Math" w:hAnsi="Cambria Math"/>
              </w:rPr>
              <m:t>5</m:t>
            </m:r>
          </m:sup>
        </m:sSubSup>
        <m:r>
          <m:rPr>
            <m:sty m:val="p"/>
          </m:rPr>
          <w:rPr>
            <w:rFonts w:ascii="Cambria Math" w:hAnsi="Cambria Math"/>
          </w:rPr>
          <m:t xml:space="preserve">= </m:t>
        </m:r>
        <m:nary>
          <m:naryPr>
            <m:chr m:val="∑"/>
            <m:limLoc m:val="undOvr"/>
            <m:supHide m:val="1"/>
            <m:ctrlPr>
              <w:rPr>
                <w:rFonts w:ascii="Cambria Math" w:hAnsi="Cambria Math"/>
              </w:rPr>
            </m:ctrlPr>
          </m:naryPr>
          <m:sub>
            <m:r>
              <w:rPr>
                <w:rFonts w:ascii="Cambria Math" w:hAnsi="Cambria Math"/>
              </w:rPr>
              <m:t>i</m:t>
            </m:r>
          </m:sub>
          <m:sup/>
          <m:e>
            <m:acc>
              <m:accPr>
                <m:chr m:val="̅"/>
                <m:ctrlPr>
                  <w:rPr>
                    <w:rFonts w:ascii="Cambria Math" w:hAnsi="Cambria Math"/>
                  </w:rPr>
                </m:ctrlPr>
              </m:accPr>
              <m:e>
                <m:sSub>
                  <m:sSubPr>
                    <m:ctrlPr>
                      <w:rPr>
                        <w:rFonts w:ascii="Cambria Math" w:hAnsi="Cambria Math"/>
                      </w:rPr>
                    </m:ctrlPr>
                  </m:sSubPr>
                  <m:e>
                    <m:r>
                      <w:rPr>
                        <w:rFonts w:ascii="Cambria Math" w:hAnsi="Cambria Math"/>
                      </w:rPr>
                      <m:t>w</m:t>
                    </m:r>
                  </m:e>
                  <m:sub>
                    <m:r>
                      <w:rPr>
                        <w:rFonts w:ascii="Cambria Math" w:hAnsi="Cambria Math"/>
                      </w:rPr>
                      <m:t>i</m:t>
                    </m:r>
                  </m:sub>
                </m:sSub>
              </m:e>
            </m:acc>
          </m:e>
        </m:nary>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num>
          <m:den>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w</m:t>
                    </m:r>
                  </m:e>
                  <m:sub>
                    <m:r>
                      <w:rPr>
                        <w:rFonts w:ascii="Cambria Math" w:hAnsi="Cambria Math"/>
                      </w:rPr>
                      <m:t>i</m:t>
                    </m:r>
                  </m:sub>
                </m:sSub>
              </m:e>
            </m:nary>
          </m:den>
        </m:f>
      </m:oMath>
      <w:r w:rsidR="00FC037D">
        <w:rPr>
          <w:rFonts w:eastAsiaTheme="minorEastAsia"/>
        </w:rPr>
        <w:tab/>
      </w:r>
      <w:r w:rsidR="00FC037D">
        <w:rPr>
          <w:rFonts w:eastAsiaTheme="minorEastAsia"/>
        </w:rPr>
        <w:tab/>
      </w:r>
      <w:r w:rsidR="00FC037D">
        <w:rPr>
          <w:rFonts w:eastAsiaTheme="minorEastAsia"/>
        </w:rPr>
        <w:tab/>
      </w:r>
      <w:r w:rsidR="001724C9">
        <w:t>(</w:t>
      </w:r>
      <w:r w:rsidR="00150399">
        <w:rPr>
          <w:noProof/>
        </w:rPr>
        <w:fldChar w:fldCharType="begin"/>
      </w:r>
      <w:r w:rsidR="00150399">
        <w:rPr>
          <w:noProof/>
        </w:rPr>
        <w:instrText xml:space="preserve"> SEQ Equations \* MERGEFORMAT  \* MERGEFORMAT </w:instrText>
      </w:r>
      <w:r w:rsidR="00150399">
        <w:rPr>
          <w:noProof/>
        </w:rPr>
        <w:fldChar w:fldCharType="separate"/>
      </w:r>
      <w:r w:rsidR="00AC780E">
        <w:rPr>
          <w:noProof/>
        </w:rPr>
        <w:t>7</w:t>
      </w:r>
      <w:r w:rsidR="00150399">
        <w:rPr>
          <w:noProof/>
        </w:rPr>
        <w:fldChar w:fldCharType="end"/>
      </w:r>
      <w:r w:rsidR="00FC037D" w:rsidRPr="0090171C">
        <w:t>)</w:t>
      </w:r>
    </w:p>
    <w:p w14:paraId="5F76AD27" w14:textId="52CCDEA9" w:rsidR="00FC037D" w:rsidRPr="0090171C" w:rsidRDefault="00FC037D" w:rsidP="0072282C">
      <w:pPr>
        <w:spacing w:line="480" w:lineRule="auto"/>
      </w:pPr>
      <w:r>
        <w:t>According to</w:t>
      </w:r>
      <w:r w:rsidR="001242A6">
        <w:t xml:space="preserve"> Jang</w:t>
      </w:r>
      <w:r>
        <w:t xml:space="preserve"> </w:t>
      </w:r>
      <w:r>
        <w:fldChar w:fldCharType="begin" w:fldLock="1"/>
      </w:r>
      <w:r w:rsidR="002B7C0A">
        <w:instrText>ADDIN CSL_CITATION {"citationItems":[{"id":"ITEM-1","itemData":{"abstract":"-The architecture and learning procedure underlying ANF'IS (adaptive-network-based fuzzy inference system) is pre-sented, which is a fuzzy inference system implemented in the framework of adaptive networks. By using a hybrid learning procedure, the proposed ANFIS can construct an input-output mapping based on both human knowledge (in the form of fuzzy if-then rules) and stipulated input-output data pairs. In the sim-ulation, the ANFIS architecture is employed to model nonlinear functions, identify nonlinear components on-linely in a control system, and predict a chaotic time series, all yielding remarkable results. Comparisons with artificial neural networks and earlier work on fuzzy modeling are listed and discussed. Other extensions of the proposed ANFIS and promising applications to automatic control and signal processing are also suggested.","author":[{"dropping-particle":"","family":"Jang","given":"Jyh-Shing Roger","non-dropping-particle":"","parse-names":false,"suffix":""}],"container-title":"IEEE TRANSACTIONS ON SYSTEMS, MAN, AND CYBERNETICS","id":"ITEM-1","issue":"3","issued":{"date-parts":[["1993"]]},"title":"ANFIS : Adap tive-Ne twork-Based Fuzzy Inference System","type":"article-journal","volume":"23"},"suppress-author":1,"uris":["http://www.mendeley.com/documents/?uuid=6b8c45ee-64a7-3321-9d97-ad0bf9fc1226"]}],"mendeley":{"formattedCitation":"(1993)","plainTextFormattedCitation":"(1993)","previouslyFormattedCitation":"(1993)"},"properties":{"noteIndex":0},"schema":"https://github.com/citation-style-language/schema/raw/master/csl-citation.json"}</w:instrText>
      </w:r>
      <w:r>
        <w:fldChar w:fldCharType="separate"/>
      </w:r>
      <w:r w:rsidRPr="00BB3229">
        <w:rPr>
          <w:noProof/>
        </w:rPr>
        <w:t>(1993)</w:t>
      </w:r>
      <w:r>
        <w:fldChar w:fldCharType="end"/>
      </w:r>
      <w:r>
        <w:t xml:space="preserve">, the learning process of </w:t>
      </w:r>
      <w:r w:rsidRPr="0090171C">
        <w:t xml:space="preserve">ANFIS </w:t>
      </w:r>
      <w:r w:rsidRPr="001407AC">
        <w:rPr>
          <w:noProof/>
        </w:rPr>
        <w:t>is done</w:t>
      </w:r>
      <w:r>
        <w:t xml:space="preserve"> in</w:t>
      </w:r>
      <w:r w:rsidRPr="0090171C">
        <w:t xml:space="preserve"> two indepen</w:t>
      </w:r>
      <w:r>
        <w:t xml:space="preserve">dent stages: (i) </w:t>
      </w:r>
      <w:r w:rsidRPr="0090171C">
        <w:t>adaptation of learning weights and (</w:t>
      </w:r>
      <w:r>
        <w:t>ii</w:t>
      </w:r>
      <w:r w:rsidRPr="0090171C">
        <w:t>) adaptation of non</w:t>
      </w:r>
      <w:r>
        <w:t>-</w:t>
      </w:r>
      <w:r w:rsidRPr="0090171C">
        <w:t xml:space="preserve">linear membership functions. </w:t>
      </w:r>
      <w:r>
        <w:t>T</w:t>
      </w:r>
      <w:r w:rsidRPr="0090171C">
        <w:t xml:space="preserve">his </w:t>
      </w:r>
      <w:r>
        <w:t xml:space="preserve">unique feature </w:t>
      </w:r>
      <w:r w:rsidRPr="0090171C">
        <w:t xml:space="preserve">allows </w:t>
      </w:r>
      <w:r w:rsidR="008F28B2">
        <w:t xml:space="preserve">the learning complexity in </w:t>
      </w:r>
      <w:r w:rsidRPr="0090171C">
        <w:t xml:space="preserve">ANFIS </w:t>
      </w:r>
      <w:r>
        <w:fldChar w:fldCharType="begin" w:fldLock="1"/>
      </w:r>
      <w:r w:rsidR="002B7C0A">
        <w:instrText>ADDIN CSL_CITATION {"citationItems":[{"id":"ITEM-1","itemData":{"abstract":"Physico–mechanical properties of rocks have great significance in all operational parts in mining activities, from exploration to final dispatch of material. Compressional wave velocity (p-wave velocity) and anisotropic behaviour of rocks are two such properties which help to understand the rock response under varying stress conditions. They also influence the breakage mechanism of rock. There are different methods to determine the p-wave velocity and anisotropy in situ and in the laboratory. These methods are cumbersome and time consuming. Fuzzy set theory, Fuzzy logic and Neural Networks techniques seem very well suited for typical geotechnical problems. In conjunction with statistics and conventional mathematical methods, hybrid methods can be developed that may prove to be a step forward in modeling geotechnical problems. Here, we have developed and compared two different models, Neuro-fuzzy systems (combination of fuzzy and artificial neural network systems) and Artificial neural network systems, for the prediction of compressional wave velocity.","author":[{"dropping-particle":"","family":"Singh","given":"T N","non-dropping-particle":"","parse-names":false,"suffix":""},{"dropping-particle":"","family":"Kanchan","given":"R","non-dropping-particle":"","parse-names":false,"suffix":""},{"dropping-particle":"","family":"Verma","given":"A K","non-dropping-particle":"","parse-names":false,"suffix":""},{"dropping-particle":"","family":"Saigal","given":"K","non-dropping-particle":"","parse-names":false,"suffix":""}],"container-title":"J. Earth Syst. Sci.,","id":"ITEM-1","issue":"1","issued":{"date-parts":[["2005"]]},"page":"75-86","title":"A comparative study of ANN and Neuro-fuzzy for the prediction of dynamic constant of rockmass","type":"article-journal","volume":"114"},"uris":["http://www.mendeley.com/documents/?uuid=c8ac15dd-969d-3b47-8b26-2ad99cc342d6"]}],"mendeley":{"formattedCitation":"(Singh et al., 2005)","plainTextFormattedCitation":"(Singh et al., 2005)","previouslyFormattedCitation":"(Singh et al., 2005)"},"properties":{"noteIndex":0},"schema":"https://github.com/citation-style-language/schema/raw/master/csl-citation.json"}</w:instrText>
      </w:r>
      <w:r>
        <w:fldChar w:fldCharType="separate"/>
      </w:r>
      <w:r w:rsidRPr="000D31C2">
        <w:rPr>
          <w:noProof/>
        </w:rPr>
        <w:t>(Singh et al., 2005)</w:t>
      </w:r>
      <w:r>
        <w:fldChar w:fldCharType="end"/>
      </w:r>
      <w:r w:rsidR="006F6369">
        <w:t xml:space="preserve"> and t</w:t>
      </w:r>
      <w:r w:rsidR="001242A6">
        <w:t xml:space="preserve">he uniqueness of </w:t>
      </w:r>
      <w:r w:rsidR="006F6369">
        <w:t>this</w:t>
      </w:r>
      <w:r w:rsidR="001242A6">
        <w:t xml:space="preserve"> learning process</w:t>
      </w:r>
      <w:r w:rsidR="006F6369">
        <w:t xml:space="preserve"> </w:t>
      </w:r>
      <w:r w:rsidR="001242A6">
        <w:t xml:space="preserve">enables </w:t>
      </w:r>
      <w:r w:rsidR="006F6369">
        <w:t xml:space="preserve">ANFIS </w:t>
      </w:r>
      <w:r w:rsidR="001242A6">
        <w:t>to be well-suited for modelling complex problems.</w:t>
      </w:r>
    </w:p>
    <w:p w14:paraId="66DDAB26" w14:textId="77777777" w:rsidR="00FC037D" w:rsidRPr="001F159D" w:rsidRDefault="00FC037D" w:rsidP="0072282C">
      <w:pPr>
        <w:pStyle w:val="Heading1"/>
        <w:spacing w:line="480" w:lineRule="auto"/>
      </w:pPr>
      <w:r w:rsidRPr="001F159D">
        <w:t>System design and specification</w:t>
      </w:r>
    </w:p>
    <w:p w14:paraId="60FBC5EA" w14:textId="3BCD3D1A" w:rsidR="00FC037D" w:rsidRDefault="00FC037D" w:rsidP="0072282C">
      <w:pPr>
        <w:spacing w:line="480" w:lineRule="auto"/>
      </w:pPr>
      <w:r w:rsidRPr="001F159D">
        <w:t xml:space="preserve">The process flow </w:t>
      </w:r>
      <w:r w:rsidR="001242A6">
        <w:t xml:space="preserve">diagram </w:t>
      </w:r>
      <w:r w:rsidRPr="001F159D">
        <w:t xml:space="preserve">for the </w:t>
      </w:r>
      <w:r w:rsidR="00E86426">
        <w:t>ANFIS</w:t>
      </w:r>
      <w:r w:rsidR="001242A6">
        <w:t>-based</w:t>
      </w:r>
      <w:r w:rsidRPr="001F159D">
        <w:t xml:space="preserve"> </w:t>
      </w:r>
      <w:r w:rsidR="00E86426">
        <w:t>Waste Analytics S</w:t>
      </w:r>
      <w:r w:rsidRPr="001F159D">
        <w:t xml:space="preserve">ystem </w:t>
      </w:r>
      <w:r w:rsidR="00E86426">
        <w:t xml:space="preserve">(A-WAS) tool </w:t>
      </w:r>
      <w:r w:rsidRPr="001407AC">
        <w:rPr>
          <w:noProof/>
        </w:rPr>
        <w:t>is shown</w:t>
      </w:r>
      <w:r w:rsidRPr="001F159D">
        <w:t xml:space="preserve"> in</w:t>
      </w:r>
      <w:r w:rsidR="001724C9">
        <w:t xml:space="preserve"> </w:t>
      </w:r>
      <w:r w:rsidR="001724C9">
        <w:fldChar w:fldCharType="begin"/>
      </w:r>
      <w:r w:rsidR="001724C9">
        <w:instrText xml:space="preserve"> REF _Ref514415800 \h </w:instrText>
      </w:r>
      <w:r w:rsidR="0072282C">
        <w:instrText xml:space="preserve"> \* MERGEFORMAT </w:instrText>
      </w:r>
      <w:r w:rsidR="001724C9">
        <w:fldChar w:fldCharType="separate"/>
      </w:r>
      <w:r w:rsidR="00AC780E" w:rsidRPr="001F159D">
        <w:t xml:space="preserve">Figure </w:t>
      </w:r>
      <w:r w:rsidR="00AC780E">
        <w:rPr>
          <w:noProof/>
        </w:rPr>
        <w:t>3</w:t>
      </w:r>
      <w:r w:rsidR="001724C9">
        <w:fldChar w:fldCharType="end"/>
      </w:r>
      <w:r w:rsidRPr="001F159D">
        <w:t>. The use of BIM as a technological tool to facilitate decision-making give</w:t>
      </w:r>
      <w:r w:rsidR="001242A6">
        <w:t>s</w:t>
      </w:r>
      <w:r w:rsidRPr="001F159D">
        <w:t xml:space="preserve"> the designers the flexibility to </w:t>
      </w:r>
      <w:r w:rsidR="001242A6">
        <w:t xml:space="preserve">choose </w:t>
      </w:r>
      <w:r w:rsidRPr="001F159D">
        <w:t xml:space="preserve">the building design that will generate the minimum CW. This approach enables the designers to consider CW performance of building design vis-à-vis other performance metrics such as cost, time, buildability, quality standard, health and safety, sustainability, </w:t>
      </w:r>
      <w:r w:rsidRPr="001407AC">
        <w:rPr>
          <w:noProof/>
        </w:rPr>
        <w:t>etc</w:t>
      </w:r>
      <w:r w:rsidRPr="001F159D">
        <w:t xml:space="preserve">. The </w:t>
      </w:r>
      <w:r w:rsidR="001242A6">
        <w:t xml:space="preserve">entire </w:t>
      </w:r>
      <w:r w:rsidRPr="001F159D">
        <w:t xml:space="preserve">system </w:t>
      </w:r>
      <w:r w:rsidRPr="001407AC">
        <w:rPr>
          <w:noProof/>
        </w:rPr>
        <w:t>is designed</w:t>
      </w:r>
      <w:r w:rsidRPr="001F159D">
        <w:t xml:space="preserve"> in</w:t>
      </w:r>
      <w:r w:rsidR="001242A6">
        <w:t>to</w:t>
      </w:r>
      <w:r w:rsidRPr="001F159D">
        <w:t xml:space="preserve"> four modules, which are: (i) access BIM design document, (ii) extract and </w:t>
      </w:r>
      <w:r w:rsidRPr="001407AC">
        <w:rPr>
          <w:noProof/>
        </w:rPr>
        <w:t>compute</w:t>
      </w:r>
      <w:r w:rsidRPr="001F159D">
        <w:t xml:space="preserve"> design parameters, (iii) engage predictive models for </w:t>
      </w:r>
      <w:r>
        <w:t>CWA</w:t>
      </w:r>
      <w:r w:rsidRPr="001F159D">
        <w:t>, and (iv) CW report generation.</w:t>
      </w:r>
    </w:p>
    <w:p w14:paraId="5C1D3E6A" w14:textId="4D2FBA63" w:rsidR="001724C9" w:rsidRPr="001F159D" w:rsidRDefault="00C168DD" w:rsidP="0072282C">
      <w:pPr>
        <w:pStyle w:val="NoSpacing"/>
        <w:keepNext/>
        <w:spacing w:line="480" w:lineRule="auto"/>
        <w:ind w:left="142"/>
        <w:jc w:val="center"/>
      </w:pPr>
      <w:bookmarkStart w:id="10" w:name="_Ref474146220"/>
      <w:bookmarkStart w:id="11" w:name="_Toc475705319"/>
      <w:bookmarkStart w:id="12" w:name="_Toc490661268"/>
      <w:r w:rsidRPr="00C168DD">
        <w:rPr>
          <w:noProof/>
        </w:rPr>
        <w:lastRenderedPageBreak/>
        <w:drawing>
          <wp:inline distT="0" distB="0" distL="0" distR="0" wp14:anchorId="155BB960" wp14:editId="603C9DD3">
            <wp:extent cx="5727700" cy="3265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727700" cy="3265170"/>
                    </a:xfrm>
                    <a:prstGeom prst="rect">
                      <a:avLst/>
                    </a:prstGeom>
                  </pic:spPr>
                </pic:pic>
              </a:graphicData>
            </a:graphic>
          </wp:inline>
        </w:drawing>
      </w:r>
    </w:p>
    <w:p w14:paraId="68F05CB8" w14:textId="12086AC5" w:rsidR="001724C9" w:rsidRPr="001F159D" w:rsidRDefault="001724C9" w:rsidP="0072282C">
      <w:pPr>
        <w:pStyle w:val="Caption"/>
        <w:spacing w:line="480" w:lineRule="auto"/>
      </w:pPr>
      <w:bookmarkStart w:id="13" w:name="_Ref514415800"/>
      <w:r w:rsidRPr="001F159D">
        <w:t xml:space="preserve">Figure </w:t>
      </w:r>
      <w:r w:rsidRPr="001F159D">
        <w:fldChar w:fldCharType="begin"/>
      </w:r>
      <w:r w:rsidRPr="001F159D">
        <w:instrText xml:space="preserve"> SEQ Figure \* ARABIC </w:instrText>
      </w:r>
      <w:r w:rsidRPr="001F159D">
        <w:fldChar w:fldCharType="separate"/>
      </w:r>
      <w:r w:rsidR="00AC780E">
        <w:rPr>
          <w:noProof/>
        </w:rPr>
        <w:t>3</w:t>
      </w:r>
      <w:r w:rsidRPr="001F159D">
        <w:fldChar w:fldCharType="end"/>
      </w:r>
      <w:bookmarkEnd w:id="13"/>
      <w:r w:rsidRPr="001F159D">
        <w:t xml:space="preserve">: Process flow for </w:t>
      </w:r>
      <w:r w:rsidR="00C168DD">
        <w:t>the ANFIS</w:t>
      </w:r>
      <w:r w:rsidR="002F1E86">
        <w:t>-based Waste Analytics System (A-WAS)</w:t>
      </w:r>
    </w:p>
    <w:bookmarkEnd w:id="10"/>
    <w:bookmarkEnd w:id="11"/>
    <w:bookmarkEnd w:id="12"/>
    <w:p w14:paraId="35E49E8A" w14:textId="61BD2576" w:rsidR="00FC037D" w:rsidRPr="001F159D" w:rsidRDefault="00037596" w:rsidP="0072282C">
      <w:pPr>
        <w:spacing w:line="480" w:lineRule="auto"/>
      </w:pPr>
      <w:r>
        <w:t xml:space="preserve">The first module </w:t>
      </w:r>
      <w:r w:rsidR="00FC037D" w:rsidRPr="001F159D">
        <w:t xml:space="preserve">allows the user to </w:t>
      </w:r>
      <w:r w:rsidR="00CD3CD2">
        <w:t xml:space="preserve">give a </w:t>
      </w:r>
      <w:r w:rsidR="00FC037D" w:rsidRPr="001F159D">
        <w:t xml:space="preserve">name </w:t>
      </w:r>
      <w:r w:rsidR="001242A6">
        <w:t>to</w:t>
      </w:r>
      <w:r w:rsidR="00FC037D" w:rsidRPr="001F159D">
        <w:t xml:space="preserve"> the new CW analytical model and </w:t>
      </w:r>
      <w:r w:rsidR="001242A6">
        <w:t xml:space="preserve">to select </w:t>
      </w:r>
      <w:r w:rsidR="00FC037D" w:rsidRPr="001F159D">
        <w:t xml:space="preserve">the construction type of the building. The Revit document </w:t>
      </w:r>
      <w:r w:rsidR="00FC037D" w:rsidRPr="001407AC">
        <w:rPr>
          <w:noProof/>
        </w:rPr>
        <w:t>is then extracted</w:t>
      </w:r>
      <w:r w:rsidR="00FC037D" w:rsidRPr="001F159D">
        <w:t xml:space="preserve"> for analyses, and a new CW analytical model </w:t>
      </w:r>
      <w:r w:rsidR="00FC037D" w:rsidRPr="001407AC">
        <w:rPr>
          <w:noProof/>
        </w:rPr>
        <w:t>is created</w:t>
      </w:r>
      <w:r w:rsidR="00FC037D" w:rsidRPr="001F159D">
        <w:t>. The second module takes the Revit document as input</w:t>
      </w:r>
      <w:r w:rsidR="001407AC">
        <w:t>,</w:t>
      </w:r>
      <w:r w:rsidR="00FC037D" w:rsidRPr="001F159D">
        <w:t xml:space="preserve"> </w:t>
      </w:r>
      <w:r w:rsidR="00FC037D" w:rsidRPr="001407AC">
        <w:rPr>
          <w:noProof/>
        </w:rPr>
        <w:t>and</w:t>
      </w:r>
      <w:r w:rsidR="00FC037D" w:rsidRPr="001F159D">
        <w:t xml:space="preserve"> it creates a material take-off. </w:t>
      </w:r>
      <w:r w:rsidR="001242A6">
        <w:t>This</w:t>
      </w:r>
      <w:r w:rsidR="00FC037D" w:rsidRPr="001F159D">
        <w:t xml:space="preserve"> module also extracts and compute some parameters, which include the number of levels, number of floors</w:t>
      </w:r>
      <w:r w:rsidR="001242A6">
        <w:t xml:space="preserve"> and</w:t>
      </w:r>
      <w:r w:rsidR="00FC037D" w:rsidRPr="001F159D">
        <w:t>, gross floor area (GFA). Building elements are then collected according to floors and levels using filter benchmarks. A</w:t>
      </w:r>
      <w:r w:rsidR="007767E8">
        <w:t>n</w:t>
      </w:r>
      <w:r w:rsidR="00FC037D" w:rsidRPr="001F159D">
        <w:t xml:space="preserve"> assumption </w:t>
      </w:r>
      <w:r w:rsidR="007767E8">
        <w:t xml:space="preserve">that was made </w:t>
      </w:r>
      <w:r w:rsidR="00FC037D" w:rsidRPr="001F159D">
        <w:t xml:space="preserve">here is that all levels </w:t>
      </w:r>
      <w:r w:rsidR="001242A6">
        <w:t>are explicitly</w:t>
      </w:r>
      <w:r w:rsidR="00FC037D" w:rsidRPr="001F159D">
        <w:t xml:space="preserve"> specified correctly in the BIM </w:t>
      </w:r>
      <w:r w:rsidR="001242A6">
        <w:t>model</w:t>
      </w:r>
      <w:r w:rsidR="00FC037D" w:rsidRPr="001F159D">
        <w:t xml:space="preserve">. The third module is where the predictive models are used to </w:t>
      </w:r>
      <w:r w:rsidR="00F73AA6">
        <w:t>estimate the</w:t>
      </w:r>
      <w:r w:rsidR="005A0ED3">
        <w:t xml:space="preserve"> </w:t>
      </w:r>
      <w:r w:rsidR="00FC037D" w:rsidRPr="001F159D">
        <w:t xml:space="preserve">CW </w:t>
      </w:r>
      <w:r w:rsidR="005A0ED3">
        <w:t xml:space="preserve">from </w:t>
      </w:r>
      <w:r w:rsidR="00FC037D" w:rsidRPr="001F159D">
        <w:t>the building</w:t>
      </w:r>
      <w:r w:rsidR="005A0ED3">
        <w:t xml:space="preserve"> designs</w:t>
      </w:r>
      <w:r w:rsidR="00FC037D" w:rsidRPr="001F159D">
        <w:t xml:space="preserve">. The outputs of the predictive models are used to populate the CW analytical model that </w:t>
      </w:r>
      <w:r w:rsidR="00FC037D" w:rsidRPr="001407AC">
        <w:rPr>
          <w:noProof/>
        </w:rPr>
        <w:t>was created</w:t>
      </w:r>
      <w:r w:rsidR="00FC037D" w:rsidRPr="001F159D">
        <w:t xml:space="preserve"> </w:t>
      </w:r>
      <w:r w:rsidR="001242A6">
        <w:t>by</w:t>
      </w:r>
      <w:r w:rsidR="00FC037D" w:rsidRPr="001F159D">
        <w:t xml:space="preserve"> the first module. The last part of the process is where </w:t>
      </w:r>
      <w:r w:rsidR="001242A6">
        <w:t>an</w:t>
      </w:r>
      <w:r w:rsidR="00FC037D" w:rsidRPr="001F159D">
        <w:t xml:space="preserve"> interactive </w:t>
      </w:r>
      <w:r w:rsidR="00FC037D">
        <w:t>CWA</w:t>
      </w:r>
      <w:r w:rsidR="00FC037D" w:rsidRPr="001F159D">
        <w:t xml:space="preserve"> report </w:t>
      </w:r>
      <w:r w:rsidR="00FC037D" w:rsidRPr="001407AC">
        <w:rPr>
          <w:noProof/>
        </w:rPr>
        <w:t>is generated</w:t>
      </w:r>
      <w:r w:rsidR="00FC037D" w:rsidRPr="001F159D">
        <w:t>. The UI frameworks and analytical m</w:t>
      </w:r>
      <w:r w:rsidR="001242A6">
        <w:t>odels are enabled to populate and</w:t>
      </w:r>
      <w:r w:rsidR="00FC037D" w:rsidRPr="001F159D">
        <w:t xml:space="preserve"> prepare the CWA report. The report contains necessary project information, the overall waste generation, waste management routes, and floor level waste distribution. The </w:t>
      </w:r>
      <w:r w:rsidR="007767E8">
        <w:t>fourth</w:t>
      </w:r>
      <w:r w:rsidR="001242A6">
        <w:t xml:space="preserve"> </w:t>
      </w:r>
      <w:r w:rsidR="00FC037D" w:rsidRPr="001F159D">
        <w:t xml:space="preserve">module also enables the users to export the </w:t>
      </w:r>
      <w:r w:rsidR="007767E8">
        <w:t xml:space="preserve">CWA </w:t>
      </w:r>
      <w:r w:rsidR="00FC037D" w:rsidRPr="001F159D">
        <w:t>report as a PDF document.</w:t>
      </w:r>
    </w:p>
    <w:p w14:paraId="1B453CB9" w14:textId="1F35FB71" w:rsidR="00FC037D" w:rsidRPr="001F159D" w:rsidRDefault="00527513" w:rsidP="00527449">
      <w:pPr>
        <w:pStyle w:val="Heading1"/>
        <w:spacing w:line="240" w:lineRule="auto"/>
      </w:pPr>
      <w:bookmarkStart w:id="14" w:name="_Toc475706595"/>
      <w:bookmarkStart w:id="15" w:name="_Toc488934025"/>
      <w:r>
        <w:lastRenderedPageBreak/>
        <w:t>A-WAS</w:t>
      </w:r>
      <w:r w:rsidR="004D704B">
        <w:t xml:space="preserve"> tool</w:t>
      </w:r>
      <w:r w:rsidR="00FC037D" w:rsidRPr="001F159D">
        <w:t xml:space="preserve"> for </w:t>
      </w:r>
      <w:r w:rsidR="00575D8D">
        <w:t>CW</w:t>
      </w:r>
      <w:r w:rsidR="00FC037D" w:rsidRPr="001F159D">
        <w:t xml:space="preserve"> prediction</w:t>
      </w:r>
      <w:bookmarkEnd w:id="14"/>
      <w:bookmarkEnd w:id="15"/>
      <w:r w:rsidR="004D704B">
        <w:t xml:space="preserve"> in the </w:t>
      </w:r>
      <w:r w:rsidR="00527449">
        <w:t xml:space="preserve">construction </w:t>
      </w:r>
      <w:r w:rsidR="004D704B">
        <w:t xml:space="preserve">supply </w:t>
      </w:r>
      <w:r w:rsidR="00575D8D">
        <w:t>chains</w:t>
      </w:r>
    </w:p>
    <w:p w14:paraId="4A373DC7" w14:textId="5EBC1B71" w:rsidR="00FC037D" w:rsidRPr="001F159D" w:rsidRDefault="00FC037D" w:rsidP="0072282C">
      <w:pPr>
        <w:spacing w:line="480" w:lineRule="auto"/>
      </w:pPr>
      <w:r w:rsidRPr="001F159D">
        <w:t xml:space="preserve">The </w:t>
      </w:r>
      <w:r w:rsidR="00527449">
        <w:t>A-WAS</w:t>
      </w:r>
      <w:r w:rsidRPr="001F159D">
        <w:t xml:space="preserve"> tool developed in this</w:t>
      </w:r>
      <w:r w:rsidR="0071558B">
        <w:t xml:space="preserve"> study runs </w:t>
      </w:r>
      <w:r w:rsidRPr="001F159D">
        <w:t>as an add-in to Autodesk Revit Architecture. Although several BIM software exist</w:t>
      </w:r>
      <w:r w:rsidR="004C32E1">
        <w:t>s</w:t>
      </w:r>
      <w:r w:rsidRPr="001F159D">
        <w:t xml:space="preserve"> from companies such as Autodesk, Graphisoft, Nemetschek, Bentley, </w:t>
      </w:r>
      <w:r w:rsidRPr="005C3257">
        <w:rPr>
          <w:noProof/>
        </w:rPr>
        <w:t>etc</w:t>
      </w:r>
      <w:r w:rsidRPr="001F159D">
        <w:t xml:space="preserve">, Autodesk Revit remains the most widely used BIM software. Apart from its </w:t>
      </w:r>
      <w:r w:rsidRPr="005C3257">
        <w:rPr>
          <w:noProof/>
        </w:rPr>
        <w:t>common</w:t>
      </w:r>
      <w:r w:rsidRPr="001F159D">
        <w:t xml:space="preserve"> use, Rev</w:t>
      </w:r>
      <w:r w:rsidR="001242A6">
        <w:t xml:space="preserve">it comes with </w:t>
      </w:r>
      <w:r w:rsidR="00527449">
        <w:t>a robust</w:t>
      </w:r>
      <w:r w:rsidR="001242A6">
        <w:t xml:space="preserve"> API to extend its core functionalities</w:t>
      </w:r>
      <w:r w:rsidRPr="001F159D">
        <w:t xml:space="preserve"> </w:t>
      </w:r>
      <w:r w:rsidRPr="005C3257">
        <w:rPr>
          <w:noProof/>
        </w:rPr>
        <w:t>and</w:t>
      </w:r>
      <w:r w:rsidRPr="001F159D">
        <w:t xml:space="preserve"> this has enabled the development of several </w:t>
      </w:r>
      <w:r w:rsidRPr="001407AC">
        <w:rPr>
          <w:noProof/>
        </w:rPr>
        <w:t>add-in</w:t>
      </w:r>
      <w:r w:rsidR="001407AC">
        <w:rPr>
          <w:noProof/>
        </w:rPr>
        <w:t>s</w:t>
      </w:r>
      <w:r w:rsidRPr="001F159D">
        <w:t xml:space="preserve"> to enhance the modelling, visualisation, and simulation capabilities of Revit. </w:t>
      </w:r>
      <w:r w:rsidRPr="005C3257">
        <w:rPr>
          <w:noProof/>
        </w:rPr>
        <w:t xml:space="preserve">Three types of add-in entry point exist in Revit API, which are: (i) </w:t>
      </w:r>
      <w:r w:rsidRPr="005C3257">
        <w:rPr>
          <w:i/>
          <w:noProof/>
        </w:rPr>
        <w:t>IExternalCommand</w:t>
      </w:r>
      <w:r w:rsidRPr="005C3257">
        <w:rPr>
          <w:noProof/>
        </w:rPr>
        <w:t xml:space="preserve"> for External Commands, which </w:t>
      </w:r>
      <w:r w:rsidR="00EE104A" w:rsidRPr="005C3257">
        <w:rPr>
          <w:noProof/>
        </w:rPr>
        <w:t xml:space="preserve">is added to </w:t>
      </w:r>
      <w:r w:rsidRPr="005C3257">
        <w:rPr>
          <w:noProof/>
        </w:rPr>
        <w:t xml:space="preserve">the </w:t>
      </w:r>
      <w:r w:rsidR="00EE104A" w:rsidRPr="005C3257">
        <w:rPr>
          <w:noProof/>
        </w:rPr>
        <w:t>“</w:t>
      </w:r>
      <w:r w:rsidRPr="005C3257">
        <w:rPr>
          <w:noProof/>
        </w:rPr>
        <w:t>external tools</w:t>
      </w:r>
      <w:r w:rsidR="00EE104A" w:rsidRPr="005C3257">
        <w:rPr>
          <w:noProof/>
        </w:rPr>
        <w:t>” menu of Revit</w:t>
      </w:r>
      <w:r w:rsidRPr="005C3257">
        <w:rPr>
          <w:noProof/>
        </w:rPr>
        <w:t xml:space="preserve">; (ii) </w:t>
      </w:r>
      <w:r w:rsidRPr="005C3257">
        <w:rPr>
          <w:i/>
          <w:noProof/>
        </w:rPr>
        <w:t>IExternalApplication</w:t>
      </w:r>
      <w:r w:rsidRPr="005C3257">
        <w:rPr>
          <w:noProof/>
        </w:rPr>
        <w:t xml:space="preserve"> for external applications, which provide </w:t>
      </w:r>
      <w:r w:rsidR="007160DD" w:rsidRPr="005C3257">
        <w:rPr>
          <w:noProof/>
        </w:rPr>
        <w:t xml:space="preserve">better add-in </w:t>
      </w:r>
      <w:r w:rsidRPr="005C3257">
        <w:rPr>
          <w:noProof/>
        </w:rPr>
        <w:t>UI customisation</w:t>
      </w:r>
      <w:r w:rsidR="007160DD" w:rsidRPr="005C3257">
        <w:rPr>
          <w:noProof/>
        </w:rPr>
        <w:t xml:space="preserve"> by adding controls to </w:t>
      </w:r>
      <w:r w:rsidRPr="005C3257">
        <w:rPr>
          <w:noProof/>
        </w:rPr>
        <w:t>ribbon</w:t>
      </w:r>
      <w:r w:rsidR="007160DD" w:rsidRPr="005C3257">
        <w:rPr>
          <w:noProof/>
        </w:rPr>
        <w:t>s</w:t>
      </w:r>
      <w:r w:rsidRPr="005C3257">
        <w:rPr>
          <w:noProof/>
        </w:rPr>
        <w:t xml:space="preserve">; and (iii) </w:t>
      </w:r>
      <w:r w:rsidRPr="005C3257">
        <w:rPr>
          <w:i/>
          <w:noProof/>
        </w:rPr>
        <w:t>IExternalDBApplication</w:t>
      </w:r>
      <w:r w:rsidRPr="005C3257">
        <w:rPr>
          <w:noProof/>
        </w:rPr>
        <w:t xml:space="preserve"> for database-level external applications, which </w:t>
      </w:r>
      <w:r w:rsidR="007160DD" w:rsidRPr="005C3257">
        <w:rPr>
          <w:noProof/>
        </w:rPr>
        <w:t>is</w:t>
      </w:r>
      <w:r w:rsidR="000F0097" w:rsidRPr="005C3257">
        <w:rPr>
          <w:noProof/>
        </w:rPr>
        <w:t xml:space="preserve"> used to assign events/</w:t>
      </w:r>
      <w:r w:rsidRPr="005C3257">
        <w:rPr>
          <w:noProof/>
        </w:rPr>
        <w:t xml:space="preserve">updaters to </w:t>
      </w:r>
      <w:r w:rsidR="00AC4DEE" w:rsidRPr="005C3257">
        <w:rPr>
          <w:noProof/>
        </w:rPr>
        <w:t>Revit session.</w:t>
      </w:r>
      <w:r w:rsidR="00AC4DEE">
        <w:t xml:space="preserve"> </w:t>
      </w:r>
      <w:r w:rsidR="001242A6">
        <w:t xml:space="preserve">The </w:t>
      </w:r>
      <w:r w:rsidR="00527449">
        <w:t>A-WAS</w:t>
      </w:r>
      <w:r w:rsidR="001242A6">
        <w:t xml:space="preserve"> tool developed in this study is an external application because it provides better UI customisation and programming flexibility. </w:t>
      </w:r>
      <w:r w:rsidRPr="001F159D">
        <w:t>Revit API uses</w:t>
      </w:r>
      <w:r w:rsidR="00AC4DEE">
        <w:t xml:space="preserve"> </w:t>
      </w:r>
      <w:r w:rsidRPr="001F159D">
        <w:t xml:space="preserve">.NET </w:t>
      </w:r>
      <w:r w:rsidR="000F0097">
        <w:t>programming languages (Visual Basic</w:t>
      </w:r>
      <w:r w:rsidRPr="001F159D">
        <w:t>, C#, and F#</w:t>
      </w:r>
      <w:r w:rsidR="000F0097">
        <w:t>)</w:t>
      </w:r>
      <w:r w:rsidR="00AC4DEE">
        <w:t xml:space="preserve"> </w:t>
      </w:r>
      <w:r w:rsidR="008D2C2D">
        <w:t>but</w:t>
      </w:r>
      <w:r w:rsidR="00AC4DEE">
        <w:t xml:space="preserve"> C# </w:t>
      </w:r>
      <w:r w:rsidRPr="001F159D">
        <w:t xml:space="preserve">remains the most popular programming language because </w:t>
      </w:r>
      <w:r w:rsidR="00AC4DEE">
        <w:t xml:space="preserve">of its </w:t>
      </w:r>
      <w:r w:rsidRPr="005C3257">
        <w:rPr>
          <w:noProof/>
        </w:rPr>
        <w:t>easy</w:t>
      </w:r>
      <w:r w:rsidRPr="001F159D">
        <w:t xml:space="preserve"> learning curve and implementation. The development of the BIM software was done in Visual Studio Express IDE using C#. The remainder of this section details the predictive model development and the </w:t>
      </w:r>
      <w:r w:rsidR="00527449">
        <w:t>A-WAS</w:t>
      </w:r>
      <w:r w:rsidRPr="001F159D">
        <w:t xml:space="preserve"> </w:t>
      </w:r>
      <w:r w:rsidR="00527449">
        <w:t>tool</w:t>
      </w:r>
      <w:r w:rsidRPr="001F159D">
        <w:t xml:space="preserve"> development.</w:t>
      </w:r>
    </w:p>
    <w:p w14:paraId="4449DA74" w14:textId="77777777" w:rsidR="00FC037D" w:rsidRPr="001F159D" w:rsidRDefault="00FC037D" w:rsidP="0072282C">
      <w:pPr>
        <w:pStyle w:val="Heading2"/>
      </w:pPr>
      <w:r w:rsidRPr="001F159D">
        <w:t>Predictive model development for construction waste prediction</w:t>
      </w:r>
    </w:p>
    <w:p w14:paraId="56176DA0" w14:textId="0792872F" w:rsidR="00F73AA6" w:rsidRDefault="00FC037D" w:rsidP="0072282C">
      <w:pPr>
        <w:spacing w:line="480" w:lineRule="auto"/>
      </w:pPr>
      <w:r w:rsidRPr="001F159D">
        <w:t xml:space="preserve">The methodological process adopted for the predictive model </w:t>
      </w:r>
      <w:r w:rsidR="00527449">
        <w:t xml:space="preserve">development </w:t>
      </w:r>
      <w:r w:rsidR="00F73AA6" w:rsidRPr="005C3257">
        <w:rPr>
          <w:noProof/>
        </w:rPr>
        <w:t>is illustrated</w:t>
      </w:r>
      <w:r w:rsidR="00F73AA6">
        <w:t xml:space="preserve"> in</w:t>
      </w:r>
      <w:r w:rsidR="001724C9">
        <w:t xml:space="preserve"> </w:t>
      </w:r>
      <w:r w:rsidR="001724C9">
        <w:fldChar w:fldCharType="begin"/>
      </w:r>
      <w:r w:rsidR="001724C9">
        <w:instrText xml:space="preserve"> REF _Ref514415768 \h </w:instrText>
      </w:r>
      <w:r w:rsidR="0072282C">
        <w:instrText xml:space="preserve"> \* MERGEFORMAT </w:instrText>
      </w:r>
      <w:r w:rsidR="001724C9">
        <w:fldChar w:fldCharType="separate"/>
      </w:r>
      <w:r w:rsidR="00AC780E" w:rsidRPr="001F159D">
        <w:t xml:space="preserve">Figure </w:t>
      </w:r>
      <w:r w:rsidR="00AC780E">
        <w:rPr>
          <w:noProof/>
        </w:rPr>
        <w:t>4</w:t>
      </w:r>
      <w:r w:rsidR="001724C9">
        <w:fldChar w:fldCharType="end"/>
      </w:r>
      <w:r w:rsidRPr="001F159D">
        <w:t xml:space="preserve">. </w:t>
      </w:r>
      <w:r>
        <w:t xml:space="preserve">The stages of the methodological process </w:t>
      </w:r>
      <w:r w:rsidRPr="005C3257">
        <w:rPr>
          <w:noProof/>
        </w:rPr>
        <w:t>are explained</w:t>
      </w:r>
      <w:r>
        <w:t xml:space="preserve"> in this section.</w:t>
      </w:r>
    </w:p>
    <w:p w14:paraId="3A0C5CCF" w14:textId="77777777" w:rsidR="00FC037D" w:rsidRPr="001F159D" w:rsidRDefault="00FC037D" w:rsidP="0072282C">
      <w:pPr>
        <w:keepNext/>
        <w:spacing w:line="480" w:lineRule="auto"/>
      </w:pPr>
      <w:r w:rsidRPr="001F159D">
        <w:rPr>
          <w:noProof/>
        </w:rPr>
        <w:lastRenderedPageBreak/>
        <w:drawing>
          <wp:inline distT="0" distB="0" distL="0" distR="0" wp14:anchorId="2BF53C8A" wp14:editId="040EFDF8">
            <wp:extent cx="5727700" cy="1680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727700" cy="1680845"/>
                    </a:xfrm>
                    <a:prstGeom prst="rect">
                      <a:avLst/>
                    </a:prstGeom>
                  </pic:spPr>
                </pic:pic>
              </a:graphicData>
            </a:graphic>
          </wp:inline>
        </w:drawing>
      </w:r>
    </w:p>
    <w:p w14:paraId="075133AA" w14:textId="48E8C479" w:rsidR="00FC037D" w:rsidRDefault="00FC037D" w:rsidP="0072282C">
      <w:pPr>
        <w:pStyle w:val="Caption"/>
        <w:spacing w:line="480" w:lineRule="auto"/>
      </w:pPr>
      <w:bookmarkStart w:id="16" w:name="_Ref514415768"/>
      <w:r w:rsidRPr="001F159D">
        <w:t xml:space="preserve">Figure </w:t>
      </w:r>
      <w:r w:rsidRPr="001F159D">
        <w:fldChar w:fldCharType="begin"/>
      </w:r>
      <w:r w:rsidRPr="001F159D">
        <w:instrText xml:space="preserve"> SEQ Figure \* ARABIC </w:instrText>
      </w:r>
      <w:r w:rsidRPr="001F159D">
        <w:fldChar w:fldCharType="separate"/>
      </w:r>
      <w:r w:rsidR="00AC780E">
        <w:rPr>
          <w:noProof/>
        </w:rPr>
        <w:t>4</w:t>
      </w:r>
      <w:r w:rsidRPr="001F159D">
        <w:fldChar w:fldCharType="end"/>
      </w:r>
      <w:bookmarkEnd w:id="16"/>
      <w:r w:rsidRPr="001F159D">
        <w:t xml:space="preserve">: </w:t>
      </w:r>
      <w:r w:rsidRPr="005C3257">
        <w:rPr>
          <w:noProof/>
        </w:rPr>
        <w:t>Methodological</w:t>
      </w:r>
      <w:r w:rsidRPr="001F159D">
        <w:t xml:space="preserve"> process of predictive model development</w:t>
      </w:r>
    </w:p>
    <w:p w14:paraId="5137B8A7" w14:textId="77777777" w:rsidR="00FC037D" w:rsidRDefault="00FC037D" w:rsidP="0072282C">
      <w:pPr>
        <w:pStyle w:val="Heading3"/>
        <w:spacing w:line="480" w:lineRule="auto"/>
      </w:pPr>
      <w:r>
        <w:t>Data preparation and exploratory data analytics</w:t>
      </w:r>
    </w:p>
    <w:p w14:paraId="61B3CBD6" w14:textId="18F46256" w:rsidR="00FC037D" w:rsidRDefault="00FC037D" w:rsidP="0072282C">
      <w:pPr>
        <w:spacing w:line="480" w:lineRule="auto"/>
      </w:pPr>
      <w:r w:rsidRPr="001F159D">
        <w:t xml:space="preserve">The first task is the collection of historical Waste Data Records (WDR) of 117 building construction projects from waste contractors. Exploratory data analysis and data discretisation were </w:t>
      </w:r>
      <w:r w:rsidR="00E803DC">
        <w:t>done</w:t>
      </w:r>
      <w:r w:rsidRPr="001F159D">
        <w:t xml:space="preserve"> to understand the data distribution and interpretation. CW distribution according to waste types, construction type, project usage, GFA classification, and cost classification is shown in Table 1, Table 2, Table 3, Table 4, and Table 5 respectively. </w:t>
      </w:r>
      <w:r w:rsidR="001724C9">
        <w:fldChar w:fldCharType="begin"/>
      </w:r>
      <w:r w:rsidR="001724C9">
        <w:instrText xml:space="preserve"> REF _Ref514415753 \h </w:instrText>
      </w:r>
      <w:r w:rsidR="0072282C">
        <w:instrText xml:space="preserve"> \* MERGEFORMAT </w:instrText>
      </w:r>
      <w:r w:rsidR="001724C9">
        <w:fldChar w:fldCharType="separate"/>
      </w:r>
      <w:r w:rsidR="00AC780E" w:rsidRPr="001F159D">
        <w:t xml:space="preserve">Figure </w:t>
      </w:r>
      <w:r w:rsidR="00AC780E">
        <w:rPr>
          <w:noProof/>
        </w:rPr>
        <w:t>5</w:t>
      </w:r>
      <w:r w:rsidR="001724C9">
        <w:fldChar w:fldCharType="end"/>
      </w:r>
      <w:r w:rsidR="001724C9">
        <w:t xml:space="preserve"> </w:t>
      </w:r>
      <w:r w:rsidRPr="001F159D">
        <w:t xml:space="preserve">shows the Waste data record by waste type and waste management routes. </w:t>
      </w:r>
      <w:r w:rsidR="00151BAA">
        <w:t>After that</w:t>
      </w:r>
      <w:r w:rsidRPr="001F159D">
        <w:t xml:space="preserve">, the pre-processed data </w:t>
      </w:r>
      <w:r w:rsidRPr="005C3257">
        <w:rPr>
          <w:noProof/>
        </w:rPr>
        <w:t>was split</w:t>
      </w:r>
      <w:r w:rsidRPr="001F159D">
        <w:t xml:space="preserve"> into two, i.e., training and testing data, for predictive model development.</w:t>
      </w:r>
    </w:p>
    <w:p w14:paraId="111D1CBD" w14:textId="4FF22FFE" w:rsidR="00FC037D" w:rsidRPr="001F159D" w:rsidRDefault="00FC037D" w:rsidP="0072282C">
      <w:pPr>
        <w:pStyle w:val="Caption"/>
        <w:spacing w:line="24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1</w:t>
      </w:r>
      <w:r w:rsidRPr="001F159D">
        <w:fldChar w:fldCharType="end"/>
      </w:r>
      <w:r w:rsidRPr="001F159D">
        <w:t>: Construction waste distribution by waste types</w:t>
      </w:r>
    </w:p>
    <w:tbl>
      <w:tblPr>
        <w:tblStyle w:val="ListTable6Colorful1"/>
        <w:tblW w:w="0" w:type="auto"/>
        <w:jc w:val="center"/>
        <w:tblLook w:val="04A0" w:firstRow="1" w:lastRow="0" w:firstColumn="1" w:lastColumn="0" w:noHBand="0" w:noVBand="1"/>
      </w:tblPr>
      <w:tblGrid>
        <w:gridCol w:w="1261"/>
        <w:gridCol w:w="1530"/>
      </w:tblGrid>
      <w:tr w:rsidR="00FC037D" w:rsidRPr="001F159D" w14:paraId="2DA8AB38" w14:textId="77777777" w:rsidTr="00E67AA3">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4E43A74" w14:textId="77777777" w:rsidR="00FC037D" w:rsidRPr="001F159D" w:rsidRDefault="00FC037D" w:rsidP="0072282C">
            <w:pPr>
              <w:spacing w:after="0" w:line="240" w:lineRule="auto"/>
              <w:rPr>
                <w:sz w:val="22"/>
                <w:lang w:eastAsia="en-GB"/>
              </w:rPr>
            </w:pPr>
            <w:r w:rsidRPr="001F159D">
              <w:rPr>
                <w:sz w:val="22"/>
                <w:lang w:eastAsia="en-GB"/>
              </w:rPr>
              <w:t>Waste type</w:t>
            </w:r>
          </w:p>
        </w:tc>
        <w:tc>
          <w:tcPr>
            <w:tcW w:w="0" w:type="auto"/>
            <w:noWrap/>
          </w:tcPr>
          <w:p w14:paraId="62A34C08"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Total (tonnes)</w:t>
            </w:r>
          </w:p>
        </w:tc>
      </w:tr>
      <w:tr w:rsidR="00FC037D" w:rsidRPr="001F159D" w14:paraId="74911605"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BD54CB" w14:textId="77777777" w:rsidR="00FC037D" w:rsidRPr="001F159D" w:rsidRDefault="00FC037D" w:rsidP="0072282C">
            <w:pPr>
              <w:spacing w:after="0" w:line="240" w:lineRule="auto"/>
              <w:rPr>
                <w:b w:val="0"/>
                <w:i/>
                <w:sz w:val="22"/>
                <w:lang w:eastAsia="en-GB"/>
              </w:rPr>
            </w:pPr>
            <w:r w:rsidRPr="001F159D">
              <w:rPr>
                <w:b w:val="0"/>
                <w:i/>
                <w:sz w:val="22"/>
                <w:lang w:eastAsia="en-GB"/>
              </w:rPr>
              <w:t>Binders</w:t>
            </w:r>
          </w:p>
        </w:tc>
        <w:tc>
          <w:tcPr>
            <w:tcW w:w="0" w:type="auto"/>
            <w:noWrap/>
            <w:hideMark/>
          </w:tcPr>
          <w:p w14:paraId="0C6AB43C"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110.48</w:t>
            </w:r>
          </w:p>
        </w:tc>
      </w:tr>
      <w:tr w:rsidR="00FC037D" w:rsidRPr="001F159D" w14:paraId="674E7811"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6AECE" w14:textId="77777777" w:rsidR="00FC037D" w:rsidRPr="001F159D" w:rsidRDefault="00FC037D" w:rsidP="0072282C">
            <w:pPr>
              <w:spacing w:after="0" w:line="240" w:lineRule="auto"/>
              <w:rPr>
                <w:b w:val="0"/>
                <w:i/>
                <w:sz w:val="22"/>
                <w:lang w:eastAsia="en-GB"/>
              </w:rPr>
            </w:pPr>
            <w:r w:rsidRPr="001F159D">
              <w:rPr>
                <w:b w:val="0"/>
                <w:i/>
                <w:sz w:val="22"/>
                <w:lang w:eastAsia="en-GB"/>
              </w:rPr>
              <w:t>Bricks</w:t>
            </w:r>
          </w:p>
        </w:tc>
        <w:tc>
          <w:tcPr>
            <w:tcW w:w="0" w:type="auto"/>
            <w:noWrap/>
            <w:hideMark/>
          </w:tcPr>
          <w:p w14:paraId="046D11BF"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764.90</w:t>
            </w:r>
          </w:p>
        </w:tc>
      </w:tr>
      <w:tr w:rsidR="00FC037D" w:rsidRPr="001F159D" w14:paraId="16C0CDD5"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8612068" w14:textId="77777777" w:rsidR="00FC037D" w:rsidRPr="001F159D" w:rsidRDefault="00FC037D" w:rsidP="0072282C">
            <w:pPr>
              <w:spacing w:after="0" w:line="240" w:lineRule="auto"/>
              <w:rPr>
                <w:b w:val="0"/>
                <w:i/>
                <w:sz w:val="22"/>
                <w:lang w:eastAsia="en-GB"/>
              </w:rPr>
            </w:pPr>
            <w:r w:rsidRPr="001F159D">
              <w:rPr>
                <w:b w:val="0"/>
                <w:i/>
                <w:sz w:val="22"/>
                <w:lang w:eastAsia="en-GB"/>
              </w:rPr>
              <w:t>Concrete</w:t>
            </w:r>
          </w:p>
        </w:tc>
        <w:tc>
          <w:tcPr>
            <w:tcW w:w="0" w:type="auto"/>
            <w:noWrap/>
            <w:hideMark/>
          </w:tcPr>
          <w:p w14:paraId="512515C3"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2359.48</w:t>
            </w:r>
          </w:p>
        </w:tc>
      </w:tr>
      <w:tr w:rsidR="00FC037D" w:rsidRPr="001F159D" w14:paraId="13C404EB"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A51EBF" w14:textId="77777777" w:rsidR="00FC037D" w:rsidRPr="001F159D" w:rsidRDefault="00FC037D" w:rsidP="0072282C">
            <w:pPr>
              <w:spacing w:after="0" w:line="240" w:lineRule="auto"/>
              <w:rPr>
                <w:b w:val="0"/>
                <w:i/>
                <w:sz w:val="22"/>
                <w:lang w:eastAsia="en-GB"/>
              </w:rPr>
            </w:pPr>
            <w:r w:rsidRPr="001F159D">
              <w:rPr>
                <w:b w:val="0"/>
                <w:i/>
                <w:sz w:val="22"/>
                <w:lang w:eastAsia="en-GB"/>
              </w:rPr>
              <w:t>Gypsum</w:t>
            </w:r>
          </w:p>
        </w:tc>
        <w:tc>
          <w:tcPr>
            <w:tcW w:w="0" w:type="auto"/>
            <w:noWrap/>
            <w:hideMark/>
          </w:tcPr>
          <w:p w14:paraId="42997255"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355.00</w:t>
            </w:r>
          </w:p>
        </w:tc>
      </w:tr>
      <w:tr w:rsidR="00FC037D" w:rsidRPr="001F159D" w14:paraId="49EA8A8C"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1FD5D46" w14:textId="77777777" w:rsidR="00FC037D" w:rsidRPr="001F159D" w:rsidRDefault="00FC037D" w:rsidP="0072282C">
            <w:pPr>
              <w:spacing w:after="0" w:line="240" w:lineRule="auto"/>
              <w:rPr>
                <w:b w:val="0"/>
                <w:i/>
                <w:sz w:val="22"/>
                <w:lang w:eastAsia="en-GB"/>
              </w:rPr>
            </w:pPr>
            <w:r w:rsidRPr="001F159D">
              <w:rPr>
                <w:b w:val="0"/>
                <w:i/>
                <w:sz w:val="22"/>
                <w:lang w:eastAsia="en-GB"/>
              </w:rPr>
              <w:t>Hazardous</w:t>
            </w:r>
          </w:p>
        </w:tc>
        <w:tc>
          <w:tcPr>
            <w:tcW w:w="0" w:type="auto"/>
            <w:noWrap/>
            <w:hideMark/>
          </w:tcPr>
          <w:p w14:paraId="4FF01F38"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27.42</w:t>
            </w:r>
          </w:p>
        </w:tc>
      </w:tr>
      <w:tr w:rsidR="00FC037D" w:rsidRPr="001F159D" w14:paraId="46AEA2DD"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5D20995" w14:textId="77777777" w:rsidR="00FC037D" w:rsidRPr="001F159D" w:rsidRDefault="00FC037D" w:rsidP="0072282C">
            <w:pPr>
              <w:spacing w:after="0" w:line="240" w:lineRule="auto"/>
              <w:rPr>
                <w:b w:val="0"/>
                <w:i/>
                <w:sz w:val="22"/>
                <w:lang w:eastAsia="en-GB"/>
              </w:rPr>
            </w:pPr>
            <w:r w:rsidRPr="001F159D">
              <w:rPr>
                <w:b w:val="0"/>
                <w:i/>
                <w:sz w:val="22"/>
                <w:lang w:eastAsia="en-GB"/>
              </w:rPr>
              <w:t>Inert</w:t>
            </w:r>
          </w:p>
        </w:tc>
        <w:tc>
          <w:tcPr>
            <w:tcW w:w="0" w:type="auto"/>
            <w:noWrap/>
            <w:hideMark/>
          </w:tcPr>
          <w:p w14:paraId="25C6621C"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9288.79</w:t>
            </w:r>
          </w:p>
        </w:tc>
      </w:tr>
      <w:tr w:rsidR="00FC037D" w:rsidRPr="001F159D" w14:paraId="173CA925"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4AAD832" w14:textId="77777777" w:rsidR="00FC037D" w:rsidRPr="001F159D" w:rsidRDefault="00FC037D" w:rsidP="0072282C">
            <w:pPr>
              <w:spacing w:after="0" w:line="240" w:lineRule="auto"/>
              <w:rPr>
                <w:b w:val="0"/>
                <w:i/>
                <w:sz w:val="22"/>
                <w:lang w:eastAsia="en-GB"/>
              </w:rPr>
            </w:pPr>
            <w:r w:rsidRPr="001F159D">
              <w:rPr>
                <w:b w:val="0"/>
                <w:i/>
                <w:sz w:val="22"/>
                <w:lang w:eastAsia="en-GB"/>
              </w:rPr>
              <w:t>Insulation</w:t>
            </w:r>
          </w:p>
        </w:tc>
        <w:tc>
          <w:tcPr>
            <w:tcW w:w="0" w:type="auto"/>
            <w:noWrap/>
            <w:hideMark/>
          </w:tcPr>
          <w:p w14:paraId="1934BCD3"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14.38</w:t>
            </w:r>
          </w:p>
        </w:tc>
      </w:tr>
      <w:tr w:rsidR="00FC037D" w:rsidRPr="001F159D" w14:paraId="6BEB280D"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noWrap/>
            <w:hideMark/>
          </w:tcPr>
          <w:p w14:paraId="0D31B6A7" w14:textId="77777777" w:rsidR="00FC037D" w:rsidRPr="001F159D" w:rsidRDefault="00FC037D" w:rsidP="0072282C">
            <w:pPr>
              <w:spacing w:after="0" w:line="240" w:lineRule="auto"/>
              <w:rPr>
                <w:b w:val="0"/>
                <w:i/>
                <w:sz w:val="22"/>
                <w:lang w:eastAsia="en-GB"/>
              </w:rPr>
            </w:pPr>
            <w:r w:rsidRPr="001F159D">
              <w:rPr>
                <w:b w:val="0"/>
                <w:i/>
                <w:sz w:val="22"/>
                <w:lang w:eastAsia="en-GB"/>
              </w:rPr>
              <w:t>Metals</w:t>
            </w:r>
          </w:p>
        </w:tc>
        <w:tc>
          <w:tcPr>
            <w:tcW w:w="0" w:type="auto"/>
            <w:tcBorders>
              <w:bottom w:val="nil"/>
            </w:tcBorders>
            <w:noWrap/>
            <w:hideMark/>
          </w:tcPr>
          <w:p w14:paraId="4738DFB6"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92.24</w:t>
            </w:r>
          </w:p>
        </w:tc>
      </w:tr>
      <w:tr w:rsidR="00FC037D" w:rsidRPr="001F159D" w14:paraId="514E5FEA"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noWrap/>
            <w:hideMark/>
          </w:tcPr>
          <w:p w14:paraId="376C59E2" w14:textId="77777777" w:rsidR="00FC037D" w:rsidRPr="001F159D" w:rsidRDefault="00FC037D" w:rsidP="0072282C">
            <w:pPr>
              <w:spacing w:after="0" w:line="240" w:lineRule="auto"/>
              <w:rPr>
                <w:b w:val="0"/>
                <w:i/>
                <w:sz w:val="22"/>
                <w:lang w:eastAsia="en-GB"/>
              </w:rPr>
            </w:pPr>
            <w:r w:rsidRPr="001F159D">
              <w:rPr>
                <w:b w:val="0"/>
                <w:i/>
                <w:sz w:val="22"/>
                <w:lang w:eastAsia="en-GB"/>
              </w:rPr>
              <w:t>Mixed</w:t>
            </w:r>
          </w:p>
        </w:tc>
        <w:tc>
          <w:tcPr>
            <w:tcW w:w="0" w:type="auto"/>
            <w:tcBorders>
              <w:top w:val="nil"/>
              <w:bottom w:val="nil"/>
            </w:tcBorders>
            <w:noWrap/>
            <w:hideMark/>
          </w:tcPr>
          <w:p w14:paraId="52C100F4"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11083.02</w:t>
            </w:r>
          </w:p>
        </w:tc>
      </w:tr>
      <w:tr w:rsidR="00FC037D" w:rsidRPr="001F159D" w14:paraId="663E3B69"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noWrap/>
            <w:hideMark/>
          </w:tcPr>
          <w:p w14:paraId="46C27497" w14:textId="77777777" w:rsidR="00FC037D" w:rsidRPr="001F159D" w:rsidRDefault="00FC037D" w:rsidP="0072282C">
            <w:pPr>
              <w:spacing w:after="0" w:line="240" w:lineRule="auto"/>
              <w:rPr>
                <w:b w:val="0"/>
                <w:i/>
                <w:sz w:val="22"/>
                <w:lang w:eastAsia="en-GB"/>
              </w:rPr>
            </w:pPr>
            <w:r w:rsidRPr="001F159D">
              <w:rPr>
                <w:b w:val="0"/>
                <w:i/>
                <w:sz w:val="22"/>
                <w:lang w:eastAsia="en-GB"/>
              </w:rPr>
              <w:t>Packaging</w:t>
            </w:r>
          </w:p>
        </w:tc>
        <w:tc>
          <w:tcPr>
            <w:tcW w:w="0" w:type="auto"/>
            <w:tcBorders>
              <w:top w:val="nil"/>
            </w:tcBorders>
            <w:noWrap/>
            <w:hideMark/>
          </w:tcPr>
          <w:p w14:paraId="2CFFA3DE"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25.22</w:t>
            </w:r>
          </w:p>
        </w:tc>
      </w:tr>
      <w:tr w:rsidR="00FC037D" w:rsidRPr="001F159D" w14:paraId="5E78888D"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7A1B16" w14:textId="77777777" w:rsidR="00FC037D" w:rsidRPr="001F159D" w:rsidRDefault="00FC037D" w:rsidP="0072282C">
            <w:pPr>
              <w:spacing w:after="0" w:line="240" w:lineRule="auto"/>
              <w:rPr>
                <w:b w:val="0"/>
                <w:i/>
                <w:sz w:val="22"/>
                <w:lang w:eastAsia="en-GB"/>
              </w:rPr>
            </w:pPr>
            <w:r w:rsidRPr="001F159D">
              <w:rPr>
                <w:b w:val="0"/>
                <w:i/>
                <w:sz w:val="22"/>
                <w:lang w:eastAsia="en-GB"/>
              </w:rPr>
              <w:t>Plastics</w:t>
            </w:r>
          </w:p>
        </w:tc>
        <w:tc>
          <w:tcPr>
            <w:tcW w:w="0" w:type="auto"/>
            <w:noWrap/>
            <w:hideMark/>
          </w:tcPr>
          <w:p w14:paraId="736E0311"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28.03</w:t>
            </w:r>
          </w:p>
        </w:tc>
      </w:tr>
      <w:tr w:rsidR="00FC037D" w:rsidRPr="001F159D" w14:paraId="74AD75CB"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11B8048" w14:textId="77777777" w:rsidR="00FC037D" w:rsidRPr="001F159D" w:rsidRDefault="00FC037D" w:rsidP="0072282C">
            <w:pPr>
              <w:spacing w:after="0" w:line="240" w:lineRule="auto"/>
              <w:rPr>
                <w:b w:val="0"/>
                <w:i/>
                <w:sz w:val="22"/>
                <w:lang w:eastAsia="en-GB"/>
              </w:rPr>
            </w:pPr>
            <w:r w:rsidRPr="001F159D">
              <w:rPr>
                <w:b w:val="0"/>
                <w:i/>
                <w:sz w:val="22"/>
                <w:lang w:eastAsia="en-GB"/>
              </w:rPr>
              <w:t>Timber</w:t>
            </w:r>
          </w:p>
        </w:tc>
        <w:tc>
          <w:tcPr>
            <w:tcW w:w="0" w:type="auto"/>
            <w:noWrap/>
            <w:hideMark/>
          </w:tcPr>
          <w:p w14:paraId="27153C0D"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426.89</w:t>
            </w:r>
          </w:p>
        </w:tc>
      </w:tr>
      <w:tr w:rsidR="00FC037D" w:rsidRPr="001F159D" w14:paraId="41261812"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hemeColor="text1"/>
            </w:tcBorders>
            <w:noWrap/>
          </w:tcPr>
          <w:p w14:paraId="3D8CD9FE" w14:textId="77777777" w:rsidR="00FC037D" w:rsidRPr="001F159D" w:rsidRDefault="00FC037D" w:rsidP="0072282C">
            <w:pPr>
              <w:spacing w:after="0" w:line="240" w:lineRule="auto"/>
              <w:rPr>
                <w:b w:val="0"/>
                <w:i/>
                <w:sz w:val="22"/>
                <w:lang w:eastAsia="en-GB"/>
              </w:rPr>
            </w:pPr>
            <w:r w:rsidRPr="001F159D">
              <w:rPr>
                <w:b w:val="0"/>
                <w:i/>
                <w:sz w:val="22"/>
                <w:lang w:eastAsia="en-GB"/>
              </w:rPr>
              <w:t>Total</w:t>
            </w:r>
          </w:p>
        </w:tc>
        <w:tc>
          <w:tcPr>
            <w:tcW w:w="0" w:type="auto"/>
            <w:tcBorders>
              <w:top w:val="single" w:sz="4" w:space="0" w:color="auto"/>
              <w:bottom w:val="single" w:sz="4" w:space="0" w:color="000000" w:themeColor="text1"/>
            </w:tcBorders>
            <w:noWrap/>
          </w:tcPr>
          <w:p w14:paraId="5F93B8D1"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1F159D">
              <w:rPr>
                <w:sz w:val="22"/>
              </w:rPr>
              <w:t>24,575.85</w:t>
            </w:r>
          </w:p>
        </w:tc>
      </w:tr>
    </w:tbl>
    <w:p w14:paraId="6D7644D3" w14:textId="1C9F26E3" w:rsidR="00FC037D" w:rsidRDefault="00FC037D" w:rsidP="0072282C">
      <w:pPr>
        <w:spacing w:line="240" w:lineRule="auto"/>
      </w:pPr>
    </w:p>
    <w:p w14:paraId="20A39467" w14:textId="77777777" w:rsidR="00F73AA6" w:rsidRPr="001F159D" w:rsidRDefault="00F73AA6" w:rsidP="0072282C">
      <w:pPr>
        <w:spacing w:line="240" w:lineRule="auto"/>
      </w:pPr>
    </w:p>
    <w:p w14:paraId="6D3B4E22" w14:textId="50468848" w:rsidR="00FC037D" w:rsidRPr="001F159D" w:rsidRDefault="00FC037D" w:rsidP="0072282C">
      <w:pPr>
        <w:pStyle w:val="Caption"/>
        <w:spacing w:line="24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2</w:t>
      </w:r>
      <w:r w:rsidRPr="001F159D">
        <w:fldChar w:fldCharType="end"/>
      </w:r>
      <w:r w:rsidRPr="001F159D">
        <w:t>: Waste data record by construction types</w:t>
      </w:r>
    </w:p>
    <w:tbl>
      <w:tblPr>
        <w:tblStyle w:val="ListTable6Colorful1"/>
        <w:tblW w:w="0" w:type="auto"/>
        <w:jc w:val="center"/>
        <w:tblLook w:val="04A0" w:firstRow="1" w:lastRow="0" w:firstColumn="1" w:lastColumn="0" w:noHBand="0" w:noVBand="1"/>
      </w:tblPr>
      <w:tblGrid>
        <w:gridCol w:w="2221"/>
        <w:gridCol w:w="1530"/>
      </w:tblGrid>
      <w:tr w:rsidR="00FC037D" w:rsidRPr="001F159D" w14:paraId="0FCD14FA" w14:textId="77777777" w:rsidTr="00E67AA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7315561" w14:textId="77777777" w:rsidR="00FC037D" w:rsidRPr="001F159D" w:rsidRDefault="00FC037D" w:rsidP="0072282C">
            <w:pPr>
              <w:spacing w:after="0" w:line="240" w:lineRule="auto"/>
              <w:jc w:val="left"/>
              <w:rPr>
                <w:sz w:val="22"/>
                <w:lang w:eastAsia="en-GB"/>
              </w:rPr>
            </w:pPr>
            <w:r w:rsidRPr="001F159D">
              <w:rPr>
                <w:sz w:val="22"/>
                <w:lang w:eastAsia="en-GB"/>
              </w:rPr>
              <w:t>Construction type</w:t>
            </w:r>
          </w:p>
        </w:tc>
        <w:tc>
          <w:tcPr>
            <w:tcW w:w="0" w:type="auto"/>
            <w:noWrap/>
            <w:hideMark/>
          </w:tcPr>
          <w:p w14:paraId="5AA53AC9"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Total (tonnes)</w:t>
            </w:r>
          </w:p>
        </w:tc>
      </w:tr>
      <w:tr w:rsidR="00FC037D" w:rsidRPr="001F159D" w14:paraId="563C9D45" w14:textId="77777777" w:rsidTr="00E67A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9AA7A22" w14:textId="77777777" w:rsidR="00FC037D" w:rsidRPr="001F159D" w:rsidRDefault="00FC037D" w:rsidP="0072282C">
            <w:pPr>
              <w:spacing w:after="0" w:line="240" w:lineRule="auto"/>
              <w:jc w:val="left"/>
              <w:rPr>
                <w:b w:val="0"/>
                <w:i/>
                <w:sz w:val="22"/>
                <w:lang w:eastAsia="en-GB"/>
              </w:rPr>
            </w:pPr>
            <w:r w:rsidRPr="001F159D">
              <w:rPr>
                <w:b w:val="0"/>
                <w:i/>
                <w:sz w:val="22"/>
                <w:lang w:eastAsia="en-GB"/>
              </w:rPr>
              <w:t>Concrete frame</w:t>
            </w:r>
          </w:p>
        </w:tc>
        <w:tc>
          <w:tcPr>
            <w:tcW w:w="0" w:type="auto"/>
            <w:noWrap/>
            <w:hideMark/>
          </w:tcPr>
          <w:p w14:paraId="2C1C56D9"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3,403.72</w:t>
            </w:r>
          </w:p>
        </w:tc>
      </w:tr>
      <w:tr w:rsidR="00FC037D" w:rsidRPr="001F159D" w14:paraId="2BE92CA8" w14:textId="77777777" w:rsidTr="00E67AA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6A431E" w14:textId="77777777" w:rsidR="00FC037D" w:rsidRPr="001F159D" w:rsidRDefault="00FC037D" w:rsidP="0072282C">
            <w:pPr>
              <w:spacing w:after="0" w:line="240" w:lineRule="auto"/>
              <w:jc w:val="left"/>
              <w:rPr>
                <w:b w:val="0"/>
                <w:i/>
                <w:sz w:val="22"/>
                <w:lang w:eastAsia="en-GB"/>
              </w:rPr>
            </w:pPr>
            <w:r w:rsidRPr="001F159D">
              <w:rPr>
                <w:b w:val="0"/>
                <w:i/>
                <w:sz w:val="22"/>
                <w:lang w:eastAsia="en-GB"/>
              </w:rPr>
              <w:t>Load bearing masonry</w:t>
            </w:r>
          </w:p>
        </w:tc>
        <w:tc>
          <w:tcPr>
            <w:tcW w:w="0" w:type="auto"/>
            <w:noWrap/>
            <w:hideMark/>
          </w:tcPr>
          <w:p w14:paraId="7D9DDB0B"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17,302.49</w:t>
            </w:r>
          </w:p>
        </w:tc>
      </w:tr>
      <w:tr w:rsidR="00FC037D" w:rsidRPr="001F159D" w14:paraId="169ED060" w14:textId="77777777" w:rsidTr="00E67A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630605" w14:textId="77777777" w:rsidR="00FC037D" w:rsidRPr="001F159D" w:rsidRDefault="00FC037D" w:rsidP="0072282C">
            <w:pPr>
              <w:spacing w:after="0" w:line="240" w:lineRule="auto"/>
              <w:jc w:val="left"/>
              <w:rPr>
                <w:b w:val="0"/>
                <w:i/>
                <w:sz w:val="22"/>
                <w:lang w:eastAsia="en-GB"/>
              </w:rPr>
            </w:pPr>
            <w:r w:rsidRPr="001F159D">
              <w:rPr>
                <w:b w:val="0"/>
                <w:i/>
                <w:sz w:val="22"/>
                <w:lang w:eastAsia="en-GB"/>
              </w:rPr>
              <w:t>Steel frame</w:t>
            </w:r>
          </w:p>
        </w:tc>
        <w:tc>
          <w:tcPr>
            <w:tcW w:w="0" w:type="auto"/>
            <w:noWrap/>
            <w:hideMark/>
          </w:tcPr>
          <w:p w14:paraId="10EAB141"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2,407.32</w:t>
            </w:r>
          </w:p>
        </w:tc>
      </w:tr>
      <w:tr w:rsidR="00FC037D" w:rsidRPr="001F159D" w14:paraId="317A5B87" w14:textId="77777777" w:rsidTr="00E67AA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65ACAA78" w14:textId="77777777" w:rsidR="00FC037D" w:rsidRPr="001F159D" w:rsidRDefault="00FC037D" w:rsidP="0072282C">
            <w:pPr>
              <w:spacing w:after="0" w:line="240" w:lineRule="auto"/>
              <w:jc w:val="left"/>
              <w:rPr>
                <w:b w:val="0"/>
                <w:i/>
                <w:sz w:val="22"/>
                <w:lang w:eastAsia="en-GB"/>
              </w:rPr>
            </w:pPr>
            <w:r w:rsidRPr="001F159D">
              <w:rPr>
                <w:b w:val="0"/>
                <w:i/>
                <w:sz w:val="22"/>
                <w:lang w:eastAsia="en-GB"/>
              </w:rPr>
              <w:t>Timber frame</w:t>
            </w:r>
          </w:p>
        </w:tc>
        <w:tc>
          <w:tcPr>
            <w:tcW w:w="0" w:type="auto"/>
            <w:tcBorders>
              <w:bottom w:val="single" w:sz="4" w:space="0" w:color="auto"/>
            </w:tcBorders>
            <w:noWrap/>
            <w:hideMark/>
          </w:tcPr>
          <w:p w14:paraId="2C14B541"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1,462.32</w:t>
            </w:r>
          </w:p>
        </w:tc>
      </w:tr>
      <w:tr w:rsidR="00FC037D" w:rsidRPr="001F159D" w14:paraId="41806E2E" w14:textId="77777777" w:rsidTr="00E67A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hemeColor="text1"/>
            </w:tcBorders>
            <w:noWrap/>
            <w:hideMark/>
          </w:tcPr>
          <w:p w14:paraId="3E160683" w14:textId="77777777" w:rsidR="00FC037D" w:rsidRPr="001F159D" w:rsidRDefault="00FC037D" w:rsidP="0072282C">
            <w:pPr>
              <w:spacing w:after="0" w:line="240" w:lineRule="auto"/>
              <w:jc w:val="left"/>
              <w:rPr>
                <w:b w:val="0"/>
                <w:i/>
                <w:sz w:val="22"/>
                <w:lang w:eastAsia="en-GB"/>
              </w:rPr>
            </w:pPr>
            <w:r w:rsidRPr="001F159D">
              <w:rPr>
                <w:b w:val="0"/>
                <w:i/>
                <w:sz w:val="22"/>
                <w:lang w:eastAsia="en-GB"/>
              </w:rPr>
              <w:t>Total</w:t>
            </w:r>
          </w:p>
        </w:tc>
        <w:tc>
          <w:tcPr>
            <w:tcW w:w="0" w:type="auto"/>
            <w:tcBorders>
              <w:top w:val="single" w:sz="4" w:space="0" w:color="auto"/>
              <w:bottom w:val="single" w:sz="4" w:space="0" w:color="000000" w:themeColor="text1"/>
            </w:tcBorders>
            <w:noWrap/>
            <w:hideMark/>
          </w:tcPr>
          <w:p w14:paraId="6E049977"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24,575.85</w:t>
            </w:r>
          </w:p>
        </w:tc>
      </w:tr>
    </w:tbl>
    <w:p w14:paraId="770FAF9A" w14:textId="4901714D" w:rsidR="00FC037D" w:rsidRDefault="00FC037D" w:rsidP="0072282C">
      <w:pPr>
        <w:spacing w:line="240" w:lineRule="auto"/>
        <w:rPr>
          <w:sz w:val="10"/>
        </w:rPr>
      </w:pPr>
    </w:p>
    <w:p w14:paraId="5764803F" w14:textId="77777777" w:rsidR="00F73AA6" w:rsidRPr="001F159D" w:rsidRDefault="00F73AA6" w:rsidP="0072282C">
      <w:pPr>
        <w:spacing w:line="240" w:lineRule="auto"/>
        <w:rPr>
          <w:sz w:val="10"/>
        </w:rPr>
      </w:pPr>
    </w:p>
    <w:p w14:paraId="2FD09F6E" w14:textId="02187956" w:rsidR="00FC037D" w:rsidRPr="001F159D" w:rsidRDefault="00FC037D" w:rsidP="0072282C">
      <w:pPr>
        <w:pStyle w:val="Caption"/>
        <w:spacing w:line="24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3</w:t>
      </w:r>
      <w:r w:rsidRPr="001F159D">
        <w:fldChar w:fldCharType="end"/>
      </w:r>
      <w:r w:rsidRPr="001F159D">
        <w:t>: Waste data record by project usage</w:t>
      </w:r>
    </w:p>
    <w:tbl>
      <w:tblPr>
        <w:tblStyle w:val="ListTable6Colorful1"/>
        <w:tblW w:w="0" w:type="auto"/>
        <w:jc w:val="center"/>
        <w:tblLook w:val="04A0" w:firstRow="1" w:lastRow="0" w:firstColumn="1" w:lastColumn="0" w:noHBand="0" w:noVBand="1"/>
      </w:tblPr>
      <w:tblGrid>
        <w:gridCol w:w="2299"/>
        <w:gridCol w:w="222"/>
        <w:gridCol w:w="1530"/>
      </w:tblGrid>
      <w:tr w:rsidR="00FC037D" w:rsidRPr="001F159D" w14:paraId="79FC2774" w14:textId="77777777" w:rsidTr="00E67AA3">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1811BCB" w14:textId="77777777" w:rsidR="00FC037D" w:rsidRPr="001F159D" w:rsidRDefault="00FC037D" w:rsidP="0072282C">
            <w:pPr>
              <w:spacing w:after="0" w:line="240" w:lineRule="auto"/>
              <w:rPr>
                <w:sz w:val="22"/>
                <w:lang w:eastAsia="en-GB"/>
              </w:rPr>
            </w:pPr>
            <w:r w:rsidRPr="001F159D">
              <w:rPr>
                <w:sz w:val="22"/>
                <w:lang w:eastAsia="en-GB"/>
              </w:rPr>
              <w:t>Project usage</w:t>
            </w:r>
          </w:p>
        </w:tc>
        <w:tc>
          <w:tcPr>
            <w:tcW w:w="0" w:type="auto"/>
          </w:tcPr>
          <w:p w14:paraId="01143CFA"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p>
        </w:tc>
        <w:tc>
          <w:tcPr>
            <w:tcW w:w="0" w:type="auto"/>
            <w:noWrap/>
            <w:hideMark/>
          </w:tcPr>
          <w:p w14:paraId="0073EA9D"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Total (tonnes)</w:t>
            </w:r>
          </w:p>
        </w:tc>
      </w:tr>
      <w:tr w:rsidR="00FC037D" w:rsidRPr="001F159D" w14:paraId="39E25399" w14:textId="77777777" w:rsidTr="00E67A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828F1A" w14:textId="77777777" w:rsidR="00FC037D" w:rsidRPr="001F159D" w:rsidRDefault="00FC037D" w:rsidP="0072282C">
            <w:pPr>
              <w:spacing w:after="0" w:line="240" w:lineRule="auto"/>
              <w:rPr>
                <w:b w:val="0"/>
                <w:i/>
                <w:sz w:val="22"/>
                <w:lang w:eastAsia="en-GB"/>
              </w:rPr>
            </w:pPr>
            <w:r w:rsidRPr="001F159D">
              <w:rPr>
                <w:b w:val="0"/>
                <w:i/>
                <w:sz w:val="22"/>
                <w:lang w:eastAsia="en-GB"/>
              </w:rPr>
              <w:t>Civil engineering</w:t>
            </w:r>
          </w:p>
        </w:tc>
        <w:tc>
          <w:tcPr>
            <w:tcW w:w="0" w:type="auto"/>
          </w:tcPr>
          <w:p w14:paraId="00B8B0A4" w14:textId="77777777" w:rsidR="00FC037D" w:rsidRPr="001F159D" w:rsidRDefault="00FC037D" w:rsidP="0072282C">
            <w:pPr>
              <w:spacing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p>
        </w:tc>
        <w:tc>
          <w:tcPr>
            <w:tcW w:w="0" w:type="auto"/>
            <w:noWrap/>
            <w:hideMark/>
          </w:tcPr>
          <w:p w14:paraId="485D2F09"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79.76</w:t>
            </w:r>
          </w:p>
        </w:tc>
      </w:tr>
      <w:tr w:rsidR="00FC037D" w:rsidRPr="001F159D" w14:paraId="7F782CFF" w14:textId="77777777" w:rsidTr="00E67AA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ADE608" w14:textId="77777777" w:rsidR="00FC037D" w:rsidRPr="001F159D" w:rsidRDefault="00FC037D" w:rsidP="0072282C">
            <w:pPr>
              <w:spacing w:after="0" w:line="240" w:lineRule="auto"/>
              <w:rPr>
                <w:b w:val="0"/>
                <w:i/>
                <w:sz w:val="22"/>
                <w:lang w:eastAsia="en-GB"/>
              </w:rPr>
            </w:pPr>
            <w:r w:rsidRPr="001F159D">
              <w:rPr>
                <w:b w:val="0"/>
                <w:i/>
                <w:sz w:val="22"/>
                <w:lang w:eastAsia="en-GB"/>
              </w:rPr>
              <w:t>Commercial offices</w:t>
            </w:r>
          </w:p>
        </w:tc>
        <w:tc>
          <w:tcPr>
            <w:tcW w:w="0" w:type="auto"/>
          </w:tcPr>
          <w:p w14:paraId="3C5E8564" w14:textId="77777777" w:rsidR="00FC037D" w:rsidRPr="001F159D" w:rsidRDefault="00FC037D" w:rsidP="0072282C">
            <w:pPr>
              <w:spacing w:after="0" w:line="240" w:lineRule="auto"/>
              <w:cnfStyle w:val="000000010000" w:firstRow="0" w:lastRow="0" w:firstColumn="0" w:lastColumn="0" w:oddVBand="0" w:evenVBand="0" w:oddHBand="0" w:evenHBand="1" w:firstRowFirstColumn="0" w:firstRowLastColumn="0" w:lastRowFirstColumn="0" w:lastRowLastColumn="0"/>
              <w:rPr>
                <w:sz w:val="22"/>
                <w:lang w:eastAsia="en-GB"/>
              </w:rPr>
            </w:pPr>
          </w:p>
        </w:tc>
        <w:tc>
          <w:tcPr>
            <w:tcW w:w="0" w:type="auto"/>
            <w:noWrap/>
            <w:hideMark/>
          </w:tcPr>
          <w:p w14:paraId="113027EB"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1,987.92</w:t>
            </w:r>
          </w:p>
        </w:tc>
      </w:tr>
      <w:tr w:rsidR="00FC037D" w:rsidRPr="001F159D" w14:paraId="7032D2C4" w14:textId="77777777" w:rsidTr="00E67A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0632F8B" w14:textId="77777777" w:rsidR="00FC037D" w:rsidRPr="001F159D" w:rsidRDefault="00FC037D" w:rsidP="0072282C">
            <w:pPr>
              <w:spacing w:after="0" w:line="240" w:lineRule="auto"/>
              <w:rPr>
                <w:b w:val="0"/>
                <w:i/>
                <w:sz w:val="22"/>
                <w:lang w:eastAsia="en-GB"/>
              </w:rPr>
            </w:pPr>
            <w:r w:rsidRPr="001F159D">
              <w:rPr>
                <w:b w:val="0"/>
                <w:i/>
                <w:sz w:val="22"/>
                <w:lang w:eastAsia="en-GB"/>
              </w:rPr>
              <w:t>Education</w:t>
            </w:r>
          </w:p>
        </w:tc>
        <w:tc>
          <w:tcPr>
            <w:tcW w:w="0" w:type="auto"/>
          </w:tcPr>
          <w:p w14:paraId="3823B98B" w14:textId="77777777" w:rsidR="00FC037D" w:rsidRPr="001F159D" w:rsidRDefault="00FC037D" w:rsidP="0072282C">
            <w:pPr>
              <w:spacing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p>
        </w:tc>
        <w:tc>
          <w:tcPr>
            <w:tcW w:w="0" w:type="auto"/>
            <w:noWrap/>
            <w:hideMark/>
          </w:tcPr>
          <w:p w14:paraId="4D91DF5D"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2,086.04</w:t>
            </w:r>
          </w:p>
        </w:tc>
      </w:tr>
      <w:tr w:rsidR="00FC037D" w:rsidRPr="001F159D" w14:paraId="2DA6B995" w14:textId="77777777" w:rsidTr="00E67AA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8CC9D31" w14:textId="77777777" w:rsidR="00FC037D" w:rsidRPr="001F159D" w:rsidRDefault="00FC037D" w:rsidP="0072282C">
            <w:pPr>
              <w:spacing w:after="0" w:line="240" w:lineRule="auto"/>
              <w:rPr>
                <w:b w:val="0"/>
                <w:i/>
                <w:sz w:val="22"/>
                <w:lang w:eastAsia="en-GB"/>
              </w:rPr>
            </w:pPr>
            <w:r w:rsidRPr="001F159D">
              <w:rPr>
                <w:b w:val="0"/>
                <w:i/>
                <w:sz w:val="22"/>
                <w:lang w:eastAsia="en-GB"/>
              </w:rPr>
              <w:t>Healthcare</w:t>
            </w:r>
          </w:p>
        </w:tc>
        <w:tc>
          <w:tcPr>
            <w:tcW w:w="0" w:type="auto"/>
          </w:tcPr>
          <w:p w14:paraId="0CB74189" w14:textId="77777777" w:rsidR="00FC037D" w:rsidRPr="001F159D" w:rsidRDefault="00FC037D" w:rsidP="0072282C">
            <w:pPr>
              <w:spacing w:after="0" w:line="240" w:lineRule="auto"/>
              <w:cnfStyle w:val="000000010000" w:firstRow="0" w:lastRow="0" w:firstColumn="0" w:lastColumn="0" w:oddVBand="0" w:evenVBand="0" w:oddHBand="0" w:evenHBand="1" w:firstRowFirstColumn="0" w:firstRowLastColumn="0" w:lastRowFirstColumn="0" w:lastRowLastColumn="0"/>
              <w:rPr>
                <w:sz w:val="22"/>
                <w:lang w:eastAsia="en-GB"/>
              </w:rPr>
            </w:pPr>
          </w:p>
        </w:tc>
        <w:tc>
          <w:tcPr>
            <w:tcW w:w="0" w:type="auto"/>
            <w:noWrap/>
            <w:hideMark/>
          </w:tcPr>
          <w:p w14:paraId="6D59EB59"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247.83</w:t>
            </w:r>
          </w:p>
        </w:tc>
      </w:tr>
      <w:tr w:rsidR="00FC037D" w:rsidRPr="001F159D" w14:paraId="2F5260AD" w14:textId="77777777" w:rsidTr="00E67A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02A5388" w14:textId="77777777" w:rsidR="00FC037D" w:rsidRPr="001F159D" w:rsidRDefault="00FC037D" w:rsidP="0072282C">
            <w:pPr>
              <w:spacing w:after="0" w:line="240" w:lineRule="auto"/>
              <w:rPr>
                <w:b w:val="0"/>
                <w:i/>
                <w:sz w:val="22"/>
                <w:lang w:eastAsia="en-GB"/>
              </w:rPr>
            </w:pPr>
            <w:r w:rsidRPr="001F159D">
              <w:rPr>
                <w:b w:val="0"/>
                <w:i/>
                <w:sz w:val="22"/>
                <w:lang w:eastAsia="en-GB"/>
              </w:rPr>
              <w:t>Industrial buildings</w:t>
            </w:r>
          </w:p>
        </w:tc>
        <w:tc>
          <w:tcPr>
            <w:tcW w:w="0" w:type="auto"/>
          </w:tcPr>
          <w:p w14:paraId="22D37069" w14:textId="77777777" w:rsidR="00FC037D" w:rsidRPr="001F159D" w:rsidRDefault="00FC037D" w:rsidP="0072282C">
            <w:pPr>
              <w:spacing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p>
        </w:tc>
        <w:tc>
          <w:tcPr>
            <w:tcW w:w="0" w:type="auto"/>
            <w:noWrap/>
            <w:hideMark/>
          </w:tcPr>
          <w:p w14:paraId="248C241E"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391.27</w:t>
            </w:r>
          </w:p>
        </w:tc>
      </w:tr>
      <w:tr w:rsidR="00FC037D" w:rsidRPr="001F159D" w14:paraId="6F57AD96" w14:textId="77777777" w:rsidTr="00E67AA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6539528" w14:textId="77777777" w:rsidR="00FC037D" w:rsidRPr="001F159D" w:rsidRDefault="00FC037D" w:rsidP="0072282C">
            <w:pPr>
              <w:spacing w:after="0" w:line="240" w:lineRule="auto"/>
              <w:rPr>
                <w:b w:val="0"/>
                <w:i/>
                <w:sz w:val="22"/>
                <w:lang w:eastAsia="en-GB"/>
              </w:rPr>
            </w:pPr>
            <w:r w:rsidRPr="001F159D">
              <w:rPr>
                <w:b w:val="0"/>
                <w:i/>
                <w:sz w:val="22"/>
                <w:lang w:eastAsia="en-GB"/>
              </w:rPr>
              <w:t>Leisure</w:t>
            </w:r>
          </w:p>
        </w:tc>
        <w:tc>
          <w:tcPr>
            <w:tcW w:w="0" w:type="auto"/>
          </w:tcPr>
          <w:p w14:paraId="4F8DDDDF" w14:textId="77777777" w:rsidR="00FC037D" w:rsidRPr="001F159D" w:rsidRDefault="00FC037D" w:rsidP="0072282C">
            <w:pPr>
              <w:spacing w:after="0" w:line="240" w:lineRule="auto"/>
              <w:cnfStyle w:val="000000010000" w:firstRow="0" w:lastRow="0" w:firstColumn="0" w:lastColumn="0" w:oddVBand="0" w:evenVBand="0" w:oddHBand="0" w:evenHBand="1" w:firstRowFirstColumn="0" w:firstRowLastColumn="0" w:lastRowFirstColumn="0" w:lastRowLastColumn="0"/>
              <w:rPr>
                <w:sz w:val="22"/>
                <w:lang w:eastAsia="en-GB"/>
              </w:rPr>
            </w:pPr>
          </w:p>
        </w:tc>
        <w:tc>
          <w:tcPr>
            <w:tcW w:w="0" w:type="auto"/>
            <w:noWrap/>
            <w:hideMark/>
          </w:tcPr>
          <w:p w14:paraId="108592A6"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90.66</w:t>
            </w:r>
          </w:p>
        </w:tc>
      </w:tr>
      <w:tr w:rsidR="00FC037D" w:rsidRPr="001F159D" w14:paraId="092F83BB" w14:textId="77777777" w:rsidTr="00E67A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AB580B" w14:textId="4D4B084E" w:rsidR="00FC037D" w:rsidRPr="001F159D" w:rsidRDefault="003054AF" w:rsidP="0072282C">
            <w:pPr>
              <w:spacing w:after="0" w:line="240" w:lineRule="auto"/>
              <w:rPr>
                <w:b w:val="0"/>
                <w:i/>
                <w:sz w:val="22"/>
                <w:lang w:eastAsia="en-GB"/>
              </w:rPr>
            </w:pPr>
            <w:r w:rsidRPr="003054AF">
              <w:rPr>
                <w:b w:val="0"/>
                <w:i/>
                <w:noProof/>
                <w:sz w:val="22"/>
                <w:lang w:eastAsia="en-GB"/>
              </w:rPr>
              <w:t>Mixed-</w:t>
            </w:r>
            <w:r w:rsidR="00FC037D" w:rsidRPr="003054AF">
              <w:rPr>
                <w:b w:val="0"/>
                <w:i/>
                <w:noProof/>
                <w:sz w:val="22"/>
                <w:lang w:eastAsia="en-GB"/>
              </w:rPr>
              <w:t>use</w:t>
            </w:r>
            <w:r w:rsidR="00FC037D" w:rsidRPr="001F159D">
              <w:rPr>
                <w:b w:val="0"/>
                <w:i/>
                <w:sz w:val="22"/>
                <w:lang w:eastAsia="en-GB"/>
              </w:rPr>
              <w:t xml:space="preserve"> development</w:t>
            </w:r>
          </w:p>
        </w:tc>
        <w:tc>
          <w:tcPr>
            <w:tcW w:w="0" w:type="auto"/>
          </w:tcPr>
          <w:p w14:paraId="755D5DE8" w14:textId="77777777" w:rsidR="00FC037D" w:rsidRPr="001F159D" w:rsidRDefault="00FC037D" w:rsidP="0072282C">
            <w:pPr>
              <w:spacing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p>
        </w:tc>
        <w:tc>
          <w:tcPr>
            <w:tcW w:w="0" w:type="auto"/>
            <w:noWrap/>
            <w:hideMark/>
          </w:tcPr>
          <w:p w14:paraId="19E88B2A"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2,450.14</w:t>
            </w:r>
          </w:p>
        </w:tc>
      </w:tr>
      <w:tr w:rsidR="00FC037D" w:rsidRPr="001F159D" w14:paraId="0376C694" w14:textId="77777777" w:rsidTr="00E67AA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DD5C9E" w14:textId="77777777" w:rsidR="00FC037D" w:rsidRPr="001F159D" w:rsidRDefault="00FC037D" w:rsidP="0072282C">
            <w:pPr>
              <w:spacing w:after="0" w:line="240" w:lineRule="auto"/>
              <w:rPr>
                <w:b w:val="0"/>
                <w:i/>
                <w:sz w:val="22"/>
                <w:lang w:eastAsia="en-GB"/>
              </w:rPr>
            </w:pPr>
            <w:r w:rsidRPr="001F159D">
              <w:rPr>
                <w:b w:val="0"/>
                <w:i/>
                <w:sz w:val="22"/>
                <w:lang w:eastAsia="en-GB"/>
              </w:rPr>
              <w:t>Public buildings</w:t>
            </w:r>
          </w:p>
        </w:tc>
        <w:tc>
          <w:tcPr>
            <w:tcW w:w="0" w:type="auto"/>
          </w:tcPr>
          <w:p w14:paraId="0D3728BD" w14:textId="77777777" w:rsidR="00FC037D" w:rsidRPr="001F159D" w:rsidRDefault="00FC037D" w:rsidP="0072282C">
            <w:pPr>
              <w:spacing w:after="0" w:line="240" w:lineRule="auto"/>
              <w:cnfStyle w:val="000000010000" w:firstRow="0" w:lastRow="0" w:firstColumn="0" w:lastColumn="0" w:oddVBand="0" w:evenVBand="0" w:oddHBand="0" w:evenHBand="1" w:firstRowFirstColumn="0" w:firstRowLastColumn="0" w:lastRowFirstColumn="0" w:lastRowLastColumn="0"/>
              <w:rPr>
                <w:sz w:val="22"/>
                <w:lang w:eastAsia="en-GB"/>
              </w:rPr>
            </w:pPr>
          </w:p>
        </w:tc>
        <w:tc>
          <w:tcPr>
            <w:tcW w:w="0" w:type="auto"/>
            <w:noWrap/>
            <w:hideMark/>
          </w:tcPr>
          <w:p w14:paraId="1822A092"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86.29</w:t>
            </w:r>
          </w:p>
        </w:tc>
      </w:tr>
      <w:tr w:rsidR="00FC037D" w:rsidRPr="001F159D" w14:paraId="26CF4A22" w14:textId="77777777" w:rsidTr="00E67AA3">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noWrap/>
            <w:hideMark/>
          </w:tcPr>
          <w:p w14:paraId="7EACBE74" w14:textId="77777777" w:rsidR="00FC037D" w:rsidRPr="001F159D" w:rsidRDefault="00FC037D" w:rsidP="0072282C">
            <w:pPr>
              <w:spacing w:after="0" w:line="240" w:lineRule="auto"/>
              <w:rPr>
                <w:b w:val="0"/>
                <w:i/>
                <w:sz w:val="22"/>
                <w:lang w:eastAsia="en-GB"/>
              </w:rPr>
            </w:pPr>
            <w:r w:rsidRPr="001F159D">
              <w:rPr>
                <w:b w:val="0"/>
                <w:i/>
                <w:sz w:val="22"/>
                <w:lang w:eastAsia="en-GB"/>
              </w:rPr>
              <w:t>Residential</w:t>
            </w:r>
          </w:p>
        </w:tc>
        <w:tc>
          <w:tcPr>
            <w:tcW w:w="0" w:type="auto"/>
            <w:tcBorders>
              <w:bottom w:val="single" w:sz="4" w:space="0" w:color="auto"/>
            </w:tcBorders>
          </w:tcPr>
          <w:p w14:paraId="44136C2A" w14:textId="77777777" w:rsidR="00FC037D" w:rsidRPr="001F159D" w:rsidRDefault="00FC037D" w:rsidP="0072282C">
            <w:pPr>
              <w:spacing w:after="0" w:line="240" w:lineRule="auto"/>
              <w:cnfStyle w:val="000000100000" w:firstRow="0" w:lastRow="0" w:firstColumn="0" w:lastColumn="0" w:oddVBand="0" w:evenVBand="0" w:oddHBand="1" w:evenHBand="0" w:firstRowFirstColumn="0" w:firstRowLastColumn="0" w:lastRowFirstColumn="0" w:lastRowLastColumn="0"/>
              <w:rPr>
                <w:sz w:val="22"/>
                <w:lang w:eastAsia="en-GB"/>
              </w:rPr>
            </w:pPr>
          </w:p>
        </w:tc>
        <w:tc>
          <w:tcPr>
            <w:tcW w:w="0" w:type="auto"/>
            <w:tcBorders>
              <w:bottom w:val="single" w:sz="4" w:space="0" w:color="auto"/>
            </w:tcBorders>
            <w:noWrap/>
            <w:hideMark/>
          </w:tcPr>
          <w:p w14:paraId="38296332"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17,155.94</w:t>
            </w:r>
          </w:p>
        </w:tc>
      </w:tr>
      <w:tr w:rsidR="00FC037D" w:rsidRPr="001F159D" w14:paraId="02268689" w14:textId="77777777" w:rsidTr="00E67AA3">
        <w:trPr>
          <w:cnfStyle w:val="000000010000" w:firstRow="0" w:lastRow="0" w:firstColumn="0" w:lastColumn="0" w:oddVBand="0" w:evenVBand="0" w:oddHBand="0" w:evenHBand="1"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hemeColor="text1"/>
            </w:tcBorders>
            <w:noWrap/>
            <w:hideMark/>
          </w:tcPr>
          <w:p w14:paraId="795BD370" w14:textId="77777777" w:rsidR="00FC037D" w:rsidRPr="001F159D" w:rsidRDefault="00FC037D" w:rsidP="0072282C">
            <w:pPr>
              <w:spacing w:after="0" w:line="240" w:lineRule="auto"/>
              <w:rPr>
                <w:b w:val="0"/>
                <w:i/>
                <w:sz w:val="22"/>
                <w:lang w:eastAsia="en-GB"/>
              </w:rPr>
            </w:pPr>
            <w:r w:rsidRPr="001F159D">
              <w:rPr>
                <w:b w:val="0"/>
                <w:i/>
                <w:sz w:val="22"/>
                <w:lang w:eastAsia="en-GB"/>
              </w:rPr>
              <w:t>Total</w:t>
            </w:r>
          </w:p>
        </w:tc>
        <w:tc>
          <w:tcPr>
            <w:tcW w:w="0" w:type="auto"/>
            <w:tcBorders>
              <w:top w:val="single" w:sz="4" w:space="0" w:color="auto"/>
              <w:bottom w:val="single" w:sz="4" w:space="0" w:color="000000" w:themeColor="text1"/>
            </w:tcBorders>
          </w:tcPr>
          <w:p w14:paraId="52CB6EC4" w14:textId="77777777" w:rsidR="00FC037D" w:rsidRPr="001F159D" w:rsidRDefault="00FC037D" w:rsidP="0072282C">
            <w:pPr>
              <w:spacing w:after="0" w:line="240" w:lineRule="auto"/>
              <w:cnfStyle w:val="000000010000" w:firstRow="0" w:lastRow="0" w:firstColumn="0" w:lastColumn="0" w:oddVBand="0" w:evenVBand="0" w:oddHBand="0" w:evenHBand="1" w:firstRowFirstColumn="0" w:firstRowLastColumn="0" w:lastRowFirstColumn="0" w:lastRowLastColumn="0"/>
              <w:rPr>
                <w:sz w:val="22"/>
                <w:lang w:eastAsia="en-GB"/>
              </w:rPr>
            </w:pPr>
          </w:p>
        </w:tc>
        <w:tc>
          <w:tcPr>
            <w:tcW w:w="0" w:type="auto"/>
            <w:tcBorders>
              <w:top w:val="single" w:sz="4" w:space="0" w:color="auto"/>
              <w:bottom w:val="single" w:sz="4" w:space="0" w:color="000000" w:themeColor="text1"/>
            </w:tcBorders>
            <w:noWrap/>
            <w:hideMark/>
          </w:tcPr>
          <w:p w14:paraId="61653170"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24,575.85</w:t>
            </w:r>
          </w:p>
        </w:tc>
      </w:tr>
    </w:tbl>
    <w:p w14:paraId="2A81F497" w14:textId="77777777" w:rsidR="00F73AA6" w:rsidRPr="001F159D" w:rsidRDefault="00F73AA6" w:rsidP="0072282C">
      <w:pPr>
        <w:spacing w:line="480" w:lineRule="auto"/>
      </w:pPr>
    </w:p>
    <w:p w14:paraId="7D82C54D" w14:textId="3C511BDB" w:rsidR="00FC037D" w:rsidRPr="001F159D" w:rsidRDefault="00FC037D" w:rsidP="0072282C">
      <w:pPr>
        <w:pStyle w:val="Caption"/>
        <w:spacing w:line="24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4</w:t>
      </w:r>
      <w:r w:rsidRPr="001F159D">
        <w:fldChar w:fldCharType="end"/>
      </w:r>
      <w:r w:rsidRPr="001F159D">
        <w:t>: Waste data record by gross floor area classification</w:t>
      </w:r>
    </w:p>
    <w:tbl>
      <w:tblPr>
        <w:tblStyle w:val="ListTable6Colorful1"/>
        <w:tblW w:w="0" w:type="auto"/>
        <w:jc w:val="center"/>
        <w:tblLook w:val="04A0" w:firstRow="1" w:lastRow="0" w:firstColumn="1" w:lastColumn="0" w:noHBand="0" w:noVBand="1"/>
      </w:tblPr>
      <w:tblGrid>
        <w:gridCol w:w="1946"/>
        <w:gridCol w:w="2074"/>
        <w:gridCol w:w="1530"/>
      </w:tblGrid>
      <w:tr w:rsidR="00FC037D" w:rsidRPr="001F159D" w14:paraId="0C480DE2" w14:textId="77777777" w:rsidTr="00E67AA3">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CD8267E" w14:textId="77777777" w:rsidR="00FC037D" w:rsidRPr="001F159D" w:rsidRDefault="00FC037D" w:rsidP="0072282C">
            <w:pPr>
              <w:spacing w:after="0" w:line="240" w:lineRule="auto"/>
              <w:rPr>
                <w:sz w:val="22"/>
                <w:lang w:eastAsia="en-GB"/>
              </w:rPr>
            </w:pPr>
            <w:r w:rsidRPr="001F159D">
              <w:rPr>
                <w:sz w:val="22"/>
                <w:lang w:eastAsia="en-GB"/>
              </w:rPr>
              <w:t>GFA classification</w:t>
            </w:r>
          </w:p>
        </w:tc>
        <w:tc>
          <w:tcPr>
            <w:tcW w:w="0" w:type="auto"/>
          </w:tcPr>
          <w:p w14:paraId="2B496BA5"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Range</w:t>
            </w:r>
          </w:p>
        </w:tc>
        <w:tc>
          <w:tcPr>
            <w:tcW w:w="0" w:type="auto"/>
            <w:noWrap/>
            <w:hideMark/>
          </w:tcPr>
          <w:p w14:paraId="3AB35170"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Total (tonnes)</w:t>
            </w:r>
          </w:p>
        </w:tc>
      </w:tr>
      <w:tr w:rsidR="00FC037D" w:rsidRPr="001F159D" w14:paraId="6FF5CAF1"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349428F" w14:textId="77777777" w:rsidR="00FC037D" w:rsidRPr="001F159D" w:rsidRDefault="00FC037D" w:rsidP="0072282C">
            <w:pPr>
              <w:spacing w:after="0" w:line="240" w:lineRule="auto"/>
              <w:rPr>
                <w:b w:val="0"/>
                <w:i/>
                <w:sz w:val="22"/>
                <w:lang w:eastAsia="en-GB"/>
              </w:rPr>
            </w:pPr>
            <w:r w:rsidRPr="001F159D">
              <w:rPr>
                <w:b w:val="0"/>
                <w:i/>
                <w:sz w:val="22"/>
                <w:lang w:eastAsia="en-GB"/>
              </w:rPr>
              <w:t>Small</w:t>
            </w:r>
          </w:p>
        </w:tc>
        <w:tc>
          <w:tcPr>
            <w:tcW w:w="0" w:type="auto"/>
          </w:tcPr>
          <w:p w14:paraId="6C8B4F46"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&lt; 536.0m</w:t>
            </w:r>
            <w:r w:rsidRPr="001F159D">
              <w:rPr>
                <w:sz w:val="22"/>
                <w:vertAlign w:val="superscript"/>
              </w:rPr>
              <w:t>2</w:t>
            </w:r>
          </w:p>
        </w:tc>
        <w:tc>
          <w:tcPr>
            <w:tcW w:w="0" w:type="auto"/>
            <w:noWrap/>
          </w:tcPr>
          <w:p w14:paraId="376D1CC7"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1,488.88</w:t>
            </w:r>
          </w:p>
        </w:tc>
      </w:tr>
      <w:tr w:rsidR="00FC037D" w:rsidRPr="001F159D" w14:paraId="0538334C"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37778C9" w14:textId="77777777" w:rsidR="00FC037D" w:rsidRPr="001F159D" w:rsidRDefault="00FC037D" w:rsidP="0072282C">
            <w:pPr>
              <w:spacing w:after="0" w:line="240" w:lineRule="auto"/>
              <w:rPr>
                <w:i/>
                <w:sz w:val="22"/>
                <w:lang w:eastAsia="en-GB"/>
              </w:rPr>
            </w:pPr>
            <w:r w:rsidRPr="001F159D">
              <w:rPr>
                <w:b w:val="0"/>
                <w:i/>
                <w:sz w:val="22"/>
                <w:lang w:eastAsia="en-GB"/>
              </w:rPr>
              <w:t>Medium</w:t>
            </w:r>
          </w:p>
        </w:tc>
        <w:tc>
          <w:tcPr>
            <w:tcW w:w="0" w:type="auto"/>
          </w:tcPr>
          <w:p w14:paraId="59618CF6"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537.0m</w:t>
            </w:r>
            <w:r w:rsidRPr="001F159D">
              <w:rPr>
                <w:sz w:val="22"/>
                <w:vertAlign w:val="superscript"/>
              </w:rPr>
              <w:t>2</w:t>
            </w:r>
            <w:r w:rsidRPr="001F159D">
              <w:rPr>
                <w:sz w:val="22"/>
              </w:rPr>
              <w:t xml:space="preserve"> – 837.5m</w:t>
            </w:r>
            <w:r w:rsidRPr="001F159D">
              <w:rPr>
                <w:sz w:val="22"/>
                <w:vertAlign w:val="superscript"/>
              </w:rPr>
              <w:t>2</w:t>
            </w:r>
          </w:p>
        </w:tc>
        <w:tc>
          <w:tcPr>
            <w:tcW w:w="0" w:type="auto"/>
            <w:noWrap/>
          </w:tcPr>
          <w:p w14:paraId="0E69A052"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4,137.61</w:t>
            </w:r>
          </w:p>
        </w:tc>
      </w:tr>
      <w:tr w:rsidR="00FC037D" w:rsidRPr="001F159D" w14:paraId="3E21E5B3"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14A55A" w14:textId="77777777" w:rsidR="00FC037D" w:rsidRPr="001F159D" w:rsidRDefault="00FC037D" w:rsidP="0072282C">
            <w:pPr>
              <w:spacing w:after="0" w:line="240" w:lineRule="auto"/>
              <w:rPr>
                <w:b w:val="0"/>
                <w:i/>
                <w:sz w:val="22"/>
                <w:lang w:eastAsia="en-GB"/>
              </w:rPr>
            </w:pPr>
            <w:r w:rsidRPr="001F159D">
              <w:rPr>
                <w:b w:val="0"/>
                <w:i/>
                <w:sz w:val="22"/>
                <w:lang w:eastAsia="en-GB"/>
              </w:rPr>
              <w:t>Large</w:t>
            </w:r>
          </w:p>
        </w:tc>
        <w:tc>
          <w:tcPr>
            <w:tcW w:w="0" w:type="auto"/>
          </w:tcPr>
          <w:p w14:paraId="2B18571F"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837.6m</w:t>
            </w:r>
            <w:r w:rsidRPr="001F159D">
              <w:rPr>
                <w:sz w:val="22"/>
                <w:vertAlign w:val="superscript"/>
              </w:rPr>
              <w:t>2</w:t>
            </w:r>
            <w:r w:rsidRPr="001F159D">
              <w:rPr>
                <w:sz w:val="22"/>
              </w:rPr>
              <w:t xml:space="preserve"> – 1,713.0m</w:t>
            </w:r>
            <w:r w:rsidRPr="001F159D">
              <w:rPr>
                <w:sz w:val="22"/>
                <w:vertAlign w:val="superscript"/>
              </w:rPr>
              <w:t>2</w:t>
            </w:r>
          </w:p>
        </w:tc>
        <w:tc>
          <w:tcPr>
            <w:tcW w:w="0" w:type="auto"/>
            <w:noWrap/>
            <w:hideMark/>
          </w:tcPr>
          <w:p w14:paraId="5FD3098A"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3,791.22</w:t>
            </w:r>
          </w:p>
        </w:tc>
      </w:tr>
      <w:tr w:rsidR="00FC037D" w:rsidRPr="001F159D" w14:paraId="725A74C0" w14:textId="77777777" w:rsidTr="00E67AA3">
        <w:trPr>
          <w:cnfStyle w:val="000000010000" w:firstRow="0" w:lastRow="0" w:firstColumn="0" w:lastColumn="0" w:oddVBand="0" w:evenVBand="0" w:oddHBand="0" w:evenHBand="1"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5D374" w14:textId="77777777" w:rsidR="00FC037D" w:rsidRPr="001F159D" w:rsidRDefault="00FC037D" w:rsidP="0072282C">
            <w:pPr>
              <w:spacing w:after="0" w:line="240" w:lineRule="auto"/>
              <w:rPr>
                <w:b w:val="0"/>
                <w:i/>
                <w:sz w:val="22"/>
                <w:lang w:eastAsia="en-GB"/>
              </w:rPr>
            </w:pPr>
            <w:r w:rsidRPr="001F159D">
              <w:rPr>
                <w:b w:val="0"/>
                <w:i/>
                <w:sz w:val="22"/>
                <w:lang w:eastAsia="en-GB"/>
              </w:rPr>
              <w:t>Mega</w:t>
            </w:r>
          </w:p>
        </w:tc>
        <w:tc>
          <w:tcPr>
            <w:tcW w:w="0" w:type="auto"/>
          </w:tcPr>
          <w:p w14:paraId="043DD14D"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&gt; 1,713.0m</w:t>
            </w:r>
            <w:r w:rsidRPr="001F159D">
              <w:rPr>
                <w:sz w:val="22"/>
                <w:vertAlign w:val="superscript"/>
              </w:rPr>
              <w:t>2</w:t>
            </w:r>
          </w:p>
        </w:tc>
        <w:tc>
          <w:tcPr>
            <w:tcW w:w="0" w:type="auto"/>
            <w:noWrap/>
            <w:hideMark/>
          </w:tcPr>
          <w:p w14:paraId="52932760"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15,158.14</w:t>
            </w:r>
          </w:p>
        </w:tc>
      </w:tr>
      <w:tr w:rsidR="00FC037D" w:rsidRPr="001F159D" w14:paraId="578FFE4E" w14:textId="77777777" w:rsidTr="00E67A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hemeColor="text1"/>
            </w:tcBorders>
            <w:noWrap/>
            <w:hideMark/>
          </w:tcPr>
          <w:p w14:paraId="133DD2A7" w14:textId="77777777" w:rsidR="00FC037D" w:rsidRPr="001F159D" w:rsidRDefault="00FC037D" w:rsidP="0072282C">
            <w:pPr>
              <w:spacing w:after="0" w:line="240" w:lineRule="auto"/>
              <w:rPr>
                <w:b w:val="0"/>
                <w:i/>
                <w:sz w:val="22"/>
                <w:lang w:eastAsia="en-GB"/>
              </w:rPr>
            </w:pPr>
            <w:r w:rsidRPr="001F159D">
              <w:rPr>
                <w:b w:val="0"/>
                <w:i/>
                <w:sz w:val="22"/>
                <w:lang w:eastAsia="en-GB"/>
              </w:rPr>
              <w:t>Total</w:t>
            </w:r>
          </w:p>
        </w:tc>
        <w:tc>
          <w:tcPr>
            <w:tcW w:w="0" w:type="auto"/>
            <w:tcBorders>
              <w:top w:val="single" w:sz="4" w:space="0" w:color="auto"/>
              <w:bottom w:val="single" w:sz="4" w:space="0" w:color="000000" w:themeColor="text1"/>
            </w:tcBorders>
          </w:tcPr>
          <w:p w14:paraId="45C70F88"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p>
        </w:tc>
        <w:tc>
          <w:tcPr>
            <w:tcW w:w="0" w:type="auto"/>
            <w:tcBorders>
              <w:top w:val="single" w:sz="4" w:space="0" w:color="auto"/>
              <w:bottom w:val="single" w:sz="4" w:space="0" w:color="000000" w:themeColor="text1"/>
            </w:tcBorders>
            <w:noWrap/>
            <w:hideMark/>
          </w:tcPr>
          <w:p w14:paraId="00ABBD76"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24,575.85</w:t>
            </w:r>
          </w:p>
        </w:tc>
      </w:tr>
    </w:tbl>
    <w:p w14:paraId="4A1BD725" w14:textId="77777777" w:rsidR="00FC037D" w:rsidRPr="001F159D" w:rsidRDefault="00FC037D" w:rsidP="0072282C">
      <w:pPr>
        <w:spacing w:line="480" w:lineRule="auto"/>
        <w:rPr>
          <w:sz w:val="2"/>
        </w:rPr>
      </w:pPr>
    </w:p>
    <w:p w14:paraId="29197F75" w14:textId="57DEDFC7" w:rsidR="00FC037D" w:rsidRPr="001F159D" w:rsidRDefault="00FC037D" w:rsidP="0072282C">
      <w:pPr>
        <w:pStyle w:val="Caption"/>
        <w:spacing w:line="24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5</w:t>
      </w:r>
      <w:r w:rsidRPr="001F159D">
        <w:fldChar w:fldCharType="end"/>
      </w:r>
      <w:r w:rsidRPr="001F159D">
        <w:t>: Waste data record by cost classification</w:t>
      </w:r>
    </w:p>
    <w:tbl>
      <w:tblPr>
        <w:tblStyle w:val="ListTable6Colorful1"/>
        <w:tblW w:w="0" w:type="auto"/>
        <w:jc w:val="center"/>
        <w:tblLook w:val="04A0" w:firstRow="1" w:lastRow="0" w:firstColumn="1" w:lastColumn="0" w:noHBand="0" w:noVBand="1"/>
      </w:tblPr>
      <w:tblGrid>
        <w:gridCol w:w="1970"/>
        <w:gridCol w:w="2490"/>
        <w:gridCol w:w="1530"/>
      </w:tblGrid>
      <w:tr w:rsidR="00FC037D" w:rsidRPr="001F159D" w14:paraId="14D9C06C" w14:textId="77777777" w:rsidTr="00E67AA3">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3B7D40" w14:textId="77777777" w:rsidR="00FC037D" w:rsidRPr="001F159D" w:rsidRDefault="00FC037D" w:rsidP="0072282C">
            <w:pPr>
              <w:spacing w:after="0" w:line="240" w:lineRule="auto"/>
              <w:rPr>
                <w:sz w:val="22"/>
                <w:lang w:eastAsia="en-GB"/>
              </w:rPr>
            </w:pPr>
            <w:r w:rsidRPr="001F159D">
              <w:rPr>
                <w:sz w:val="22"/>
                <w:lang w:eastAsia="en-GB"/>
              </w:rPr>
              <w:t>Cost Classification</w:t>
            </w:r>
          </w:p>
        </w:tc>
        <w:tc>
          <w:tcPr>
            <w:tcW w:w="0" w:type="auto"/>
          </w:tcPr>
          <w:p w14:paraId="4F40E09B"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Range</w:t>
            </w:r>
          </w:p>
        </w:tc>
        <w:tc>
          <w:tcPr>
            <w:tcW w:w="0" w:type="auto"/>
            <w:noWrap/>
            <w:hideMark/>
          </w:tcPr>
          <w:p w14:paraId="06F58AC8" w14:textId="77777777" w:rsidR="00FC037D" w:rsidRPr="001F159D" w:rsidRDefault="00FC037D" w:rsidP="0072282C">
            <w:pPr>
              <w:spacing w:after="0" w:line="240" w:lineRule="auto"/>
              <w:cnfStyle w:val="100000000000" w:firstRow="1" w:lastRow="0" w:firstColumn="0" w:lastColumn="0" w:oddVBand="0" w:evenVBand="0" w:oddHBand="0" w:evenHBand="0" w:firstRowFirstColumn="0" w:firstRowLastColumn="0" w:lastRowFirstColumn="0" w:lastRowLastColumn="0"/>
              <w:rPr>
                <w:sz w:val="22"/>
                <w:lang w:eastAsia="en-GB"/>
              </w:rPr>
            </w:pPr>
            <w:r w:rsidRPr="001F159D">
              <w:rPr>
                <w:sz w:val="22"/>
                <w:lang w:eastAsia="en-GB"/>
              </w:rPr>
              <w:t>Total (tonnes)</w:t>
            </w:r>
          </w:p>
        </w:tc>
      </w:tr>
      <w:tr w:rsidR="00FC037D" w:rsidRPr="001F159D" w14:paraId="105B5D6F" w14:textId="77777777" w:rsidTr="00E67A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00B7B7B2" w14:textId="77777777" w:rsidR="00FC037D" w:rsidRPr="001F159D" w:rsidRDefault="00FC037D" w:rsidP="0072282C">
            <w:pPr>
              <w:spacing w:after="0" w:line="240" w:lineRule="auto"/>
              <w:rPr>
                <w:i/>
                <w:sz w:val="22"/>
                <w:lang w:eastAsia="en-GB"/>
              </w:rPr>
            </w:pPr>
            <w:r w:rsidRPr="001F159D">
              <w:rPr>
                <w:b w:val="0"/>
                <w:i/>
                <w:sz w:val="22"/>
                <w:lang w:eastAsia="en-GB"/>
              </w:rPr>
              <w:t>Minor</w:t>
            </w:r>
          </w:p>
        </w:tc>
        <w:tc>
          <w:tcPr>
            <w:tcW w:w="0" w:type="auto"/>
          </w:tcPr>
          <w:p w14:paraId="230ECD94"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&lt;= £500,000</w:t>
            </w:r>
          </w:p>
        </w:tc>
        <w:tc>
          <w:tcPr>
            <w:tcW w:w="0" w:type="auto"/>
            <w:noWrap/>
          </w:tcPr>
          <w:p w14:paraId="09F17D2A"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967.50</w:t>
            </w:r>
          </w:p>
        </w:tc>
      </w:tr>
      <w:tr w:rsidR="00FC037D" w:rsidRPr="001F159D" w14:paraId="27CCF60F" w14:textId="77777777" w:rsidTr="00E67A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C1C2AC1" w14:textId="77777777" w:rsidR="00FC037D" w:rsidRPr="001F159D" w:rsidRDefault="00FC037D" w:rsidP="0072282C">
            <w:pPr>
              <w:spacing w:after="0" w:line="240" w:lineRule="auto"/>
              <w:rPr>
                <w:i/>
                <w:sz w:val="22"/>
                <w:lang w:eastAsia="en-GB"/>
              </w:rPr>
            </w:pPr>
            <w:r w:rsidRPr="001F159D">
              <w:rPr>
                <w:b w:val="0"/>
                <w:i/>
                <w:sz w:val="22"/>
                <w:lang w:eastAsia="en-GB"/>
              </w:rPr>
              <w:t>Medium</w:t>
            </w:r>
          </w:p>
        </w:tc>
        <w:tc>
          <w:tcPr>
            <w:tcW w:w="0" w:type="auto"/>
          </w:tcPr>
          <w:p w14:paraId="7FA0EB83"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£500,001 - £1,000,000</w:t>
            </w:r>
          </w:p>
        </w:tc>
        <w:tc>
          <w:tcPr>
            <w:tcW w:w="0" w:type="auto"/>
            <w:noWrap/>
          </w:tcPr>
          <w:p w14:paraId="5B780E64"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4,553.32</w:t>
            </w:r>
          </w:p>
        </w:tc>
      </w:tr>
      <w:tr w:rsidR="00FC037D" w:rsidRPr="001F159D" w14:paraId="1F785762" w14:textId="77777777" w:rsidTr="00E67A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086E38" w14:textId="77777777" w:rsidR="00FC037D" w:rsidRPr="001F159D" w:rsidRDefault="00FC037D" w:rsidP="0072282C">
            <w:pPr>
              <w:spacing w:after="0" w:line="240" w:lineRule="auto"/>
              <w:rPr>
                <w:b w:val="0"/>
                <w:i/>
                <w:sz w:val="22"/>
                <w:lang w:eastAsia="en-GB"/>
              </w:rPr>
            </w:pPr>
            <w:r w:rsidRPr="001F159D">
              <w:rPr>
                <w:b w:val="0"/>
                <w:i/>
                <w:sz w:val="22"/>
                <w:lang w:eastAsia="en-GB"/>
              </w:rPr>
              <w:t>Major</w:t>
            </w:r>
          </w:p>
        </w:tc>
        <w:tc>
          <w:tcPr>
            <w:tcW w:w="0" w:type="auto"/>
          </w:tcPr>
          <w:p w14:paraId="47795334"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£1,000,001 - £10,000,000</w:t>
            </w:r>
          </w:p>
        </w:tc>
        <w:tc>
          <w:tcPr>
            <w:tcW w:w="0" w:type="auto"/>
            <w:noWrap/>
            <w:hideMark/>
          </w:tcPr>
          <w:p w14:paraId="1479CB48"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13,998.33</w:t>
            </w:r>
          </w:p>
        </w:tc>
      </w:tr>
      <w:tr w:rsidR="00FC037D" w:rsidRPr="001F159D" w14:paraId="056F53C4" w14:textId="77777777" w:rsidTr="00E67AA3">
        <w:trPr>
          <w:cnfStyle w:val="000000010000" w:firstRow="0" w:lastRow="0" w:firstColumn="0" w:lastColumn="0" w:oddVBand="0" w:evenVBand="0" w:oddHBand="0" w:evenHBand="1"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6BD165A" w14:textId="77777777" w:rsidR="00FC037D" w:rsidRPr="001F159D" w:rsidRDefault="00FC037D" w:rsidP="0072282C">
            <w:pPr>
              <w:spacing w:after="0" w:line="240" w:lineRule="auto"/>
              <w:rPr>
                <w:b w:val="0"/>
                <w:i/>
                <w:sz w:val="22"/>
                <w:lang w:eastAsia="en-GB"/>
              </w:rPr>
            </w:pPr>
            <w:r w:rsidRPr="001F159D">
              <w:rPr>
                <w:b w:val="0"/>
                <w:i/>
                <w:sz w:val="22"/>
                <w:lang w:eastAsia="en-GB"/>
              </w:rPr>
              <w:t>Mega</w:t>
            </w:r>
          </w:p>
        </w:tc>
        <w:tc>
          <w:tcPr>
            <w:tcW w:w="0" w:type="auto"/>
          </w:tcPr>
          <w:p w14:paraId="7F0F6D08"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&gt; £10,000,000</w:t>
            </w:r>
          </w:p>
        </w:tc>
        <w:tc>
          <w:tcPr>
            <w:tcW w:w="0" w:type="auto"/>
            <w:noWrap/>
            <w:hideMark/>
          </w:tcPr>
          <w:p w14:paraId="0DD6D328" w14:textId="77777777" w:rsidR="00FC037D" w:rsidRPr="001F159D" w:rsidRDefault="00FC037D" w:rsidP="0072282C">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olor w:val="000000"/>
                <w:sz w:val="22"/>
                <w:lang w:eastAsia="en-GB"/>
              </w:rPr>
            </w:pPr>
            <w:r w:rsidRPr="001F159D">
              <w:rPr>
                <w:sz w:val="22"/>
              </w:rPr>
              <w:t>5,056.70</w:t>
            </w:r>
          </w:p>
        </w:tc>
      </w:tr>
      <w:tr w:rsidR="00FC037D" w:rsidRPr="001F159D" w14:paraId="5E50E380" w14:textId="77777777" w:rsidTr="00E67AA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000000" w:themeColor="text1"/>
            </w:tcBorders>
            <w:noWrap/>
            <w:hideMark/>
          </w:tcPr>
          <w:p w14:paraId="1AED3C74" w14:textId="77777777" w:rsidR="00FC037D" w:rsidRPr="001F159D" w:rsidRDefault="00FC037D" w:rsidP="0072282C">
            <w:pPr>
              <w:spacing w:after="0" w:line="240" w:lineRule="auto"/>
              <w:rPr>
                <w:b w:val="0"/>
                <w:i/>
                <w:sz w:val="22"/>
                <w:lang w:eastAsia="en-GB"/>
              </w:rPr>
            </w:pPr>
            <w:r w:rsidRPr="001F159D">
              <w:rPr>
                <w:b w:val="0"/>
                <w:i/>
                <w:sz w:val="22"/>
                <w:lang w:eastAsia="en-GB"/>
              </w:rPr>
              <w:t>Total</w:t>
            </w:r>
          </w:p>
        </w:tc>
        <w:tc>
          <w:tcPr>
            <w:tcW w:w="0" w:type="auto"/>
            <w:tcBorders>
              <w:top w:val="single" w:sz="4" w:space="0" w:color="auto"/>
              <w:bottom w:val="single" w:sz="4" w:space="0" w:color="000000" w:themeColor="text1"/>
            </w:tcBorders>
          </w:tcPr>
          <w:p w14:paraId="1A34F51A"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p>
        </w:tc>
        <w:tc>
          <w:tcPr>
            <w:tcW w:w="0" w:type="auto"/>
            <w:tcBorders>
              <w:top w:val="single" w:sz="4" w:space="0" w:color="auto"/>
              <w:bottom w:val="single" w:sz="4" w:space="0" w:color="000000" w:themeColor="text1"/>
            </w:tcBorders>
            <w:noWrap/>
            <w:hideMark/>
          </w:tcPr>
          <w:p w14:paraId="7CAB9A71" w14:textId="77777777" w:rsidR="00FC037D" w:rsidRPr="001F159D" w:rsidRDefault="00FC037D" w:rsidP="0072282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lang w:eastAsia="en-GB"/>
              </w:rPr>
            </w:pPr>
            <w:r w:rsidRPr="001F159D">
              <w:rPr>
                <w:sz w:val="22"/>
              </w:rPr>
              <w:t>24,575.85</w:t>
            </w:r>
          </w:p>
        </w:tc>
      </w:tr>
    </w:tbl>
    <w:p w14:paraId="6034887B" w14:textId="77777777" w:rsidR="00FC037D" w:rsidRPr="001F159D" w:rsidRDefault="00FC037D" w:rsidP="0072282C">
      <w:pPr>
        <w:spacing w:line="480" w:lineRule="auto"/>
      </w:pPr>
    </w:p>
    <w:p w14:paraId="5A64AE80" w14:textId="77777777" w:rsidR="00FC037D" w:rsidRPr="001F159D" w:rsidRDefault="00FC037D" w:rsidP="0072282C">
      <w:pPr>
        <w:keepNext/>
        <w:spacing w:line="480" w:lineRule="auto"/>
        <w:jc w:val="center"/>
      </w:pPr>
      <w:r w:rsidRPr="001F159D">
        <w:rPr>
          <w:noProof/>
        </w:rPr>
        <w:lastRenderedPageBreak/>
        <w:drawing>
          <wp:inline distT="0" distB="0" distL="0" distR="0" wp14:anchorId="41B8D1DE" wp14:editId="3CB0739F">
            <wp:extent cx="5139094" cy="3295650"/>
            <wp:effectExtent l="0" t="0" r="444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t="5319" b="2642"/>
                    <a:stretch/>
                  </pic:blipFill>
                  <pic:spPr bwMode="auto">
                    <a:xfrm>
                      <a:off x="0" y="0"/>
                      <a:ext cx="5150426" cy="3302917"/>
                    </a:xfrm>
                    <a:prstGeom prst="rect">
                      <a:avLst/>
                    </a:prstGeom>
                    <a:ln>
                      <a:noFill/>
                    </a:ln>
                    <a:extLst>
                      <a:ext uri="{53640926-AAD7-44D8-BBD7-CCE9431645EC}">
                        <a14:shadowObscured xmlns:a14="http://schemas.microsoft.com/office/drawing/2010/main"/>
                      </a:ext>
                    </a:extLst>
                  </pic:spPr>
                </pic:pic>
              </a:graphicData>
            </a:graphic>
          </wp:inline>
        </w:drawing>
      </w:r>
    </w:p>
    <w:p w14:paraId="638739D7" w14:textId="3CF54526" w:rsidR="00FC037D" w:rsidRPr="001F159D" w:rsidRDefault="00FC037D" w:rsidP="0072282C">
      <w:pPr>
        <w:pStyle w:val="Caption"/>
        <w:spacing w:line="480" w:lineRule="auto"/>
      </w:pPr>
      <w:bookmarkStart w:id="17" w:name="_Ref514415753"/>
      <w:r w:rsidRPr="001F159D">
        <w:t xml:space="preserve">Figure </w:t>
      </w:r>
      <w:r w:rsidRPr="001F159D">
        <w:fldChar w:fldCharType="begin"/>
      </w:r>
      <w:r w:rsidRPr="001F159D">
        <w:instrText xml:space="preserve"> SEQ Figure \* ARABIC </w:instrText>
      </w:r>
      <w:r w:rsidRPr="001F159D">
        <w:fldChar w:fldCharType="separate"/>
      </w:r>
      <w:r w:rsidR="00AC780E">
        <w:rPr>
          <w:noProof/>
        </w:rPr>
        <w:t>5</w:t>
      </w:r>
      <w:r w:rsidRPr="001F159D">
        <w:fldChar w:fldCharType="end"/>
      </w:r>
      <w:bookmarkEnd w:id="17"/>
      <w:r w:rsidRPr="001F159D">
        <w:t>: Waste data record by waste type and waste management routes</w:t>
      </w:r>
    </w:p>
    <w:p w14:paraId="55C2E909" w14:textId="180A2B31" w:rsidR="00FC037D" w:rsidRDefault="00FC037D" w:rsidP="0072282C">
      <w:pPr>
        <w:pStyle w:val="Heading3"/>
        <w:spacing w:line="480" w:lineRule="auto"/>
      </w:pPr>
      <w:r>
        <w:t>Feature selection</w:t>
      </w:r>
      <w:r w:rsidR="001D2F5A">
        <w:t xml:space="preserve"> and model training</w:t>
      </w:r>
    </w:p>
    <w:p w14:paraId="7FE62807" w14:textId="5B16D8EC" w:rsidR="00527449" w:rsidRPr="008A107E" w:rsidRDefault="00E67AA3" w:rsidP="00527449">
      <w:pPr>
        <w:spacing w:line="480" w:lineRule="auto"/>
        <w:rPr>
          <w:color w:val="FF0000"/>
        </w:rPr>
      </w:pPr>
      <w:r w:rsidRPr="008A107E">
        <w:rPr>
          <w:color w:val="FF0000"/>
        </w:rPr>
        <w:t xml:space="preserve">The complexity associated with the modelling of real-life problems with </w:t>
      </w:r>
      <w:r w:rsidR="003054AF" w:rsidRPr="008A107E">
        <w:rPr>
          <w:color w:val="FF0000"/>
        </w:rPr>
        <w:t xml:space="preserve">a </w:t>
      </w:r>
      <w:r w:rsidRPr="008A107E">
        <w:rPr>
          <w:noProof/>
          <w:color w:val="FF0000"/>
        </w:rPr>
        <w:t>large</w:t>
      </w:r>
      <w:r w:rsidRPr="008A107E">
        <w:rPr>
          <w:color w:val="FF0000"/>
        </w:rPr>
        <w:t xml:space="preserve"> </w:t>
      </w:r>
      <w:r w:rsidR="00151BAA" w:rsidRPr="008A107E">
        <w:rPr>
          <w:color w:val="FF0000"/>
        </w:rPr>
        <w:t xml:space="preserve">number of </w:t>
      </w:r>
      <w:r w:rsidRPr="008A107E">
        <w:rPr>
          <w:color w:val="FF0000"/>
        </w:rPr>
        <w:t xml:space="preserve">predictors </w:t>
      </w:r>
      <w:r w:rsidR="002C7ED2" w:rsidRPr="008A107E">
        <w:rPr>
          <w:color w:val="FF0000"/>
        </w:rPr>
        <w:t xml:space="preserve">brings to the fore the need to find more efficient </w:t>
      </w:r>
      <w:r w:rsidR="003143A6" w:rsidRPr="008A107E">
        <w:rPr>
          <w:color w:val="FF0000"/>
        </w:rPr>
        <w:t xml:space="preserve">way </w:t>
      </w:r>
      <w:r w:rsidR="002C7ED2" w:rsidRPr="008A107E">
        <w:rPr>
          <w:color w:val="FF0000"/>
        </w:rPr>
        <w:t>to isolate the most relevant predictors</w:t>
      </w:r>
      <w:r w:rsidR="004431C4" w:rsidRPr="008A107E">
        <w:rPr>
          <w:color w:val="FF0000"/>
        </w:rPr>
        <w:t>. While addressing this challenge, Jang (1996) proposed a</w:t>
      </w:r>
      <w:r w:rsidR="0013618F" w:rsidRPr="008A107E">
        <w:rPr>
          <w:color w:val="FF0000"/>
        </w:rPr>
        <w:t xml:space="preserve">n efficient </w:t>
      </w:r>
      <w:r w:rsidR="00D231A4" w:rsidRPr="008A107E">
        <w:rPr>
          <w:color w:val="FF0000"/>
        </w:rPr>
        <w:t>approach</w:t>
      </w:r>
      <w:r w:rsidR="00151BAA" w:rsidRPr="008A107E">
        <w:rPr>
          <w:color w:val="FF0000"/>
        </w:rPr>
        <w:t xml:space="preserve"> to</w:t>
      </w:r>
      <w:r w:rsidR="0013618F" w:rsidRPr="008A107E">
        <w:rPr>
          <w:color w:val="FF0000"/>
        </w:rPr>
        <w:t xml:space="preserve"> feature selection in ANFIS</w:t>
      </w:r>
      <w:r w:rsidR="00D231A4" w:rsidRPr="008A107E">
        <w:rPr>
          <w:color w:val="FF0000"/>
        </w:rPr>
        <w:t xml:space="preserve">. The approach employs a </w:t>
      </w:r>
      <w:r w:rsidR="005F09D0" w:rsidRPr="008A107E">
        <w:rPr>
          <w:color w:val="FF0000"/>
        </w:rPr>
        <w:t>two-way</w:t>
      </w:r>
      <w:r w:rsidR="00D231A4" w:rsidRPr="008A107E">
        <w:rPr>
          <w:color w:val="FF0000"/>
        </w:rPr>
        <w:t xml:space="preserve"> pass system, which </w:t>
      </w:r>
      <w:r w:rsidR="003054AF" w:rsidRPr="008A107E">
        <w:rPr>
          <w:noProof/>
          <w:color w:val="FF0000"/>
        </w:rPr>
        <w:t>include</w:t>
      </w:r>
      <w:r w:rsidR="00D231A4" w:rsidRPr="008A107E">
        <w:rPr>
          <w:color w:val="FF0000"/>
        </w:rPr>
        <w:t>: (i)</w:t>
      </w:r>
      <w:r w:rsidR="00143350" w:rsidRPr="008A107E">
        <w:rPr>
          <w:color w:val="FF0000"/>
        </w:rPr>
        <w:t xml:space="preserve"> the forward pass using the least-square method to </w:t>
      </w:r>
      <w:r w:rsidR="0022235D" w:rsidRPr="008A107E">
        <w:rPr>
          <w:color w:val="FF0000"/>
        </w:rPr>
        <w:t xml:space="preserve">quickly </w:t>
      </w:r>
      <w:r w:rsidR="00143350" w:rsidRPr="008A107E">
        <w:rPr>
          <w:color w:val="FF0000"/>
        </w:rPr>
        <w:t xml:space="preserve">calculate the </w:t>
      </w:r>
      <w:r w:rsidR="00143350" w:rsidRPr="008A107E">
        <w:rPr>
          <w:noProof/>
          <w:color w:val="FF0000"/>
        </w:rPr>
        <w:t>consequent</w:t>
      </w:r>
      <w:r w:rsidR="00143350" w:rsidRPr="008A107E">
        <w:rPr>
          <w:color w:val="FF0000"/>
        </w:rPr>
        <w:t xml:space="preserve"> parameters, (ii) </w:t>
      </w:r>
      <w:r w:rsidR="0022235D" w:rsidRPr="008A107E">
        <w:rPr>
          <w:color w:val="FF0000"/>
        </w:rPr>
        <w:t xml:space="preserve">the backward pass where the premise parameters are updated using gradient descent. </w:t>
      </w:r>
      <w:r w:rsidR="004666A0" w:rsidRPr="008A107E">
        <w:rPr>
          <w:color w:val="FF0000"/>
        </w:rPr>
        <w:t xml:space="preserve">Adopting this approach allows </w:t>
      </w:r>
      <w:r w:rsidR="003923EE" w:rsidRPr="008A107E">
        <w:rPr>
          <w:color w:val="FF0000"/>
        </w:rPr>
        <w:t xml:space="preserve">ANFIS to </w:t>
      </w:r>
      <w:r w:rsidR="00B923BD" w:rsidRPr="008A107E">
        <w:rPr>
          <w:color w:val="FF0000"/>
        </w:rPr>
        <w:t>converge to a result with few training epochs.</w:t>
      </w:r>
      <w:r w:rsidR="004666A0" w:rsidRPr="008A107E">
        <w:rPr>
          <w:color w:val="FF0000"/>
        </w:rPr>
        <w:t xml:space="preserve"> </w:t>
      </w:r>
      <w:r w:rsidR="00B923BD" w:rsidRPr="008A107E">
        <w:rPr>
          <w:color w:val="FF0000"/>
        </w:rPr>
        <w:t xml:space="preserve">The target of the feature selection process is to select </w:t>
      </w:r>
      <w:r w:rsidR="00965FE9" w:rsidRPr="008A107E">
        <w:rPr>
          <w:color w:val="FF0000"/>
        </w:rPr>
        <w:t xml:space="preserve">the two best </w:t>
      </w:r>
      <w:r w:rsidR="00C13126" w:rsidRPr="008A107E">
        <w:rPr>
          <w:color w:val="FF0000"/>
        </w:rPr>
        <w:t>predictors</w:t>
      </w:r>
      <w:r w:rsidR="00965FE9" w:rsidRPr="008A107E">
        <w:rPr>
          <w:color w:val="FF0000"/>
        </w:rPr>
        <w:t xml:space="preserve"> for CW from four </w:t>
      </w:r>
      <w:r w:rsidR="00C13126" w:rsidRPr="008A107E">
        <w:rPr>
          <w:color w:val="FF0000"/>
        </w:rPr>
        <w:t>predictors</w:t>
      </w:r>
      <w:r w:rsidR="00965FE9" w:rsidRPr="008A107E">
        <w:rPr>
          <w:color w:val="FF0000"/>
        </w:rPr>
        <w:t xml:space="preserve"> (</w:t>
      </w:r>
      <w:r w:rsidR="00954350" w:rsidRPr="008A107E">
        <w:rPr>
          <w:i/>
          <w:color w:val="FF0000"/>
        </w:rPr>
        <w:t>P</w:t>
      </w:r>
      <w:r w:rsidR="00965FE9" w:rsidRPr="008A107E">
        <w:rPr>
          <w:i/>
          <w:color w:val="FF0000"/>
        </w:rPr>
        <w:t xml:space="preserve">roject cost, GFA, </w:t>
      </w:r>
      <w:r w:rsidR="00954350" w:rsidRPr="008A107E">
        <w:rPr>
          <w:i/>
          <w:color w:val="FF0000"/>
        </w:rPr>
        <w:t>C</w:t>
      </w:r>
      <w:r w:rsidR="00965FE9" w:rsidRPr="008A107E">
        <w:rPr>
          <w:i/>
          <w:color w:val="FF0000"/>
        </w:rPr>
        <w:t xml:space="preserve">onstruction type, and </w:t>
      </w:r>
      <w:r w:rsidR="00954350" w:rsidRPr="008A107E">
        <w:rPr>
          <w:i/>
          <w:color w:val="FF0000"/>
        </w:rPr>
        <w:t>B</w:t>
      </w:r>
      <w:r w:rsidR="00965FE9" w:rsidRPr="008A107E">
        <w:rPr>
          <w:i/>
          <w:color w:val="FF0000"/>
        </w:rPr>
        <w:t>uilding usage</w:t>
      </w:r>
      <w:r w:rsidR="00965FE9" w:rsidRPr="008A107E">
        <w:rPr>
          <w:color w:val="FF0000"/>
        </w:rPr>
        <w:t xml:space="preserve">).  </w:t>
      </w:r>
      <w:r w:rsidR="00C13126" w:rsidRPr="008A107E">
        <w:rPr>
          <w:color w:val="FF0000"/>
        </w:rPr>
        <w:t xml:space="preserve">The selection process involves the creation of </w:t>
      </w:r>
      <w:r w:rsidR="00B06857" w:rsidRPr="008A107E">
        <w:rPr>
          <w:color w:val="FF0000"/>
        </w:rPr>
        <w:t xml:space="preserve">six (6) 2-input ANFIS models. The six models are then passed through the two-way hybrid algorithm </w:t>
      </w:r>
      <w:r w:rsidR="00500439" w:rsidRPr="008A107E">
        <w:rPr>
          <w:color w:val="FF0000"/>
        </w:rPr>
        <w:t xml:space="preserve">to select the model with the least Root </w:t>
      </w:r>
      <w:r w:rsidR="00500439" w:rsidRPr="008A107E">
        <w:rPr>
          <w:noProof/>
          <w:color w:val="FF0000"/>
        </w:rPr>
        <w:t>Me</w:t>
      </w:r>
      <w:r w:rsidR="003054AF" w:rsidRPr="008A107E">
        <w:rPr>
          <w:noProof/>
          <w:color w:val="FF0000"/>
        </w:rPr>
        <w:t>a</w:t>
      </w:r>
      <w:r w:rsidR="00500439" w:rsidRPr="008A107E">
        <w:rPr>
          <w:noProof/>
          <w:color w:val="FF0000"/>
        </w:rPr>
        <w:t>n</w:t>
      </w:r>
      <w:r w:rsidR="00500439" w:rsidRPr="008A107E">
        <w:rPr>
          <w:color w:val="FF0000"/>
        </w:rPr>
        <w:t xml:space="preserve"> Square Error </w:t>
      </w:r>
      <w:r w:rsidR="00500439" w:rsidRPr="008A107E">
        <w:rPr>
          <w:color w:val="FF0000"/>
        </w:rPr>
        <w:lastRenderedPageBreak/>
        <w:t xml:space="preserve">(RMSE). </w:t>
      </w:r>
      <w:r w:rsidR="00527449" w:rsidRPr="008A107E">
        <w:rPr>
          <w:color w:val="FF0000"/>
        </w:rPr>
        <w:t xml:space="preserve">RMSE measures the differences between actual values and the values estimated by a predictive model. This measurement </w:t>
      </w:r>
      <w:r w:rsidR="00527449" w:rsidRPr="008A107E">
        <w:rPr>
          <w:noProof/>
          <w:color w:val="FF0000"/>
        </w:rPr>
        <w:t>is done</w:t>
      </w:r>
      <w:r w:rsidR="00527449" w:rsidRPr="008A107E">
        <w:rPr>
          <w:color w:val="FF0000"/>
        </w:rPr>
        <w:t xml:space="preserve"> by calculating the residual between the actual and estimated values using Equation 8. </w:t>
      </w:r>
    </w:p>
    <w:p w14:paraId="3B9A9C17" w14:textId="77777777" w:rsidR="00527449" w:rsidRDefault="00527449" w:rsidP="00527449">
      <w:pPr>
        <w:spacing w:line="480" w:lineRule="auto"/>
        <w:jc w:val="right"/>
      </w:pPr>
      <m:oMath>
        <m:r>
          <w:rPr>
            <w:rFonts w:ascii="Cambria Math" w:hAnsi="Cambria Math"/>
            <w:sz w:val="28"/>
          </w:rPr>
          <m:t>RMSE</m:t>
        </m:r>
        <m:r>
          <m:rPr>
            <m:sty m:val="p"/>
          </m:rPr>
          <w:rPr>
            <w:rFonts w:ascii="Cambria Math" w:hAnsi="Cambria Math"/>
            <w:sz w:val="28"/>
          </w:rPr>
          <m:t>=</m:t>
        </m:r>
        <m:rad>
          <m:radPr>
            <m:degHide m:val="1"/>
            <m:ctrlPr>
              <w:rPr>
                <w:rFonts w:ascii="Cambria Math" w:hAnsi="Cambria Math"/>
                <w:sz w:val="28"/>
              </w:rPr>
            </m:ctrlPr>
          </m:radPr>
          <m:deg/>
          <m:e>
            <m:f>
              <m:fPr>
                <m:ctrlPr>
                  <w:rPr>
                    <w:rFonts w:ascii="Cambria Math" w:hAnsi="Cambria Math"/>
                    <w:sz w:val="28"/>
                  </w:rPr>
                </m:ctrlPr>
              </m:fPr>
              <m:num>
                <m:r>
                  <m:rPr>
                    <m:sty m:val="p"/>
                  </m:rPr>
                  <w:rPr>
                    <w:rFonts w:ascii="Cambria Math" w:hAnsi="Cambria Math"/>
                    <w:sz w:val="28"/>
                  </w:rPr>
                  <m:t>1</m:t>
                </m:r>
              </m:num>
              <m:den>
                <m:r>
                  <w:rPr>
                    <w:rFonts w:ascii="Cambria Math" w:hAnsi="Cambria Math"/>
                    <w:sz w:val="28"/>
                  </w:rPr>
                  <m:t>n</m:t>
                </m:r>
              </m:den>
            </m:f>
            <m:nary>
              <m:naryPr>
                <m:chr m:val="∑"/>
                <m:limLoc m:val="undOvr"/>
                <m:ctrlPr>
                  <w:rPr>
                    <w:rFonts w:ascii="Cambria Math" w:hAnsi="Cambria Math"/>
                    <w:sz w:val="28"/>
                  </w:rPr>
                </m:ctrlPr>
              </m:naryPr>
              <m:sub>
                <m:r>
                  <w:rPr>
                    <w:rFonts w:ascii="Cambria Math" w:hAnsi="Cambria Math"/>
                    <w:sz w:val="28"/>
                  </w:rPr>
                  <m:t>i</m:t>
                </m:r>
                <m:r>
                  <m:rPr>
                    <m:sty m:val="p"/>
                  </m:rPr>
                  <w:rPr>
                    <w:rFonts w:ascii="Cambria Math" w:hAnsi="Cambria Math"/>
                    <w:sz w:val="28"/>
                  </w:rPr>
                  <m:t>=0</m:t>
                </m:r>
              </m:sub>
              <m:sup>
                <m:r>
                  <w:rPr>
                    <w:rFonts w:ascii="Cambria Math" w:hAnsi="Cambria Math"/>
                    <w:sz w:val="28"/>
                  </w:rPr>
                  <m:t>n</m:t>
                </m:r>
              </m:sup>
              <m:e>
                <m:sSup>
                  <m:sSupPr>
                    <m:ctrlPr>
                      <w:rPr>
                        <w:rFonts w:ascii="Cambria Math" w:hAnsi="Cambria Math"/>
                        <w:sz w:val="28"/>
                      </w:rPr>
                    </m:ctrlPr>
                  </m:sSupPr>
                  <m:e>
                    <m:d>
                      <m:dPr>
                        <m:ctrlPr>
                          <w:rPr>
                            <w:rFonts w:ascii="Cambria Math" w:hAnsi="Cambria Math"/>
                            <w:sz w:val="28"/>
                          </w:rPr>
                        </m:ctrlPr>
                      </m:dPr>
                      <m:e>
                        <m:sSub>
                          <m:sSubPr>
                            <m:ctrlPr>
                              <w:rPr>
                                <w:rFonts w:ascii="Cambria Math" w:hAnsi="Cambria Math"/>
                                <w:sz w:val="28"/>
                              </w:rPr>
                            </m:ctrlPr>
                          </m:sSubPr>
                          <m:e>
                            <m:r>
                              <w:rPr>
                                <w:rFonts w:ascii="Cambria Math" w:hAnsi="Cambria Math"/>
                                <w:sz w:val="28"/>
                              </w:rPr>
                              <m:t>y</m:t>
                            </m:r>
                          </m:e>
                          <m:sub>
                            <m:r>
                              <w:rPr>
                                <w:rFonts w:ascii="Cambria Math" w:hAnsi="Cambria Math"/>
                                <w:sz w:val="28"/>
                              </w:rPr>
                              <m:t>i</m:t>
                            </m:r>
                          </m:sub>
                        </m:sSub>
                        <m:r>
                          <m:rPr>
                            <m:sty m:val="p"/>
                          </m:rPr>
                          <w:rPr>
                            <w:rFonts w:ascii="Cambria Math" w:hAnsi="Cambria Math"/>
                            <w:sz w:val="28"/>
                          </w:rPr>
                          <m:t>-</m:t>
                        </m:r>
                        <m:sSub>
                          <m:sSubPr>
                            <m:ctrlPr>
                              <w:rPr>
                                <w:rFonts w:ascii="Cambria Math" w:hAnsi="Cambria Math"/>
                                <w:sz w:val="28"/>
                              </w:rPr>
                            </m:ctrlPr>
                          </m:sSubPr>
                          <m:e>
                            <m:acc>
                              <m:accPr>
                                <m:ctrlPr>
                                  <w:rPr>
                                    <w:rFonts w:ascii="Cambria Math" w:hAnsi="Cambria Math"/>
                                    <w:sz w:val="28"/>
                                  </w:rPr>
                                </m:ctrlPr>
                              </m:accPr>
                              <m:e>
                                <m:r>
                                  <w:rPr>
                                    <w:rFonts w:ascii="Cambria Math" w:hAnsi="Cambria Math"/>
                                    <w:sz w:val="28"/>
                                  </w:rPr>
                                  <m:t>y</m:t>
                                </m:r>
                              </m:e>
                            </m:acc>
                          </m:e>
                          <m:sub>
                            <m:r>
                              <w:rPr>
                                <w:rFonts w:ascii="Cambria Math" w:hAnsi="Cambria Math"/>
                                <w:sz w:val="28"/>
                              </w:rPr>
                              <m:t>i</m:t>
                            </m:r>
                          </m:sub>
                        </m:sSub>
                      </m:e>
                    </m:d>
                  </m:e>
                  <m:sup>
                    <m:r>
                      <m:rPr>
                        <m:sty m:val="p"/>
                      </m:rPr>
                      <w:rPr>
                        <w:rFonts w:ascii="Cambria Math" w:hAnsi="Cambria Math"/>
                        <w:sz w:val="28"/>
                      </w:rPr>
                      <m:t>2</m:t>
                    </m:r>
                  </m:sup>
                </m:sSup>
              </m:e>
            </m:nary>
          </m:e>
        </m:rad>
      </m:oMath>
      <w:r w:rsidRPr="001F159D">
        <w:rPr>
          <w:rFonts w:eastAsiaTheme="minorEastAsia"/>
          <w:sz w:val="28"/>
        </w:rPr>
        <w:tab/>
      </w:r>
      <w:r w:rsidRPr="001F159D">
        <w:rPr>
          <w:rFonts w:eastAsiaTheme="minorEastAsia"/>
        </w:rPr>
        <w:tab/>
      </w:r>
      <w:r w:rsidRPr="001F159D">
        <w:rPr>
          <w:rFonts w:eastAsiaTheme="minorEastAsia"/>
        </w:rPr>
        <w:tab/>
      </w:r>
      <w:r w:rsidRPr="001F159D">
        <w:rPr>
          <w:rFonts w:eastAsiaTheme="minorEastAsia"/>
        </w:rPr>
        <w:tab/>
      </w:r>
      <w:r>
        <w:t>(</w:t>
      </w:r>
      <w:r>
        <w:rPr>
          <w:noProof/>
        </w:rPr>
        <w:fldChar w:fldCharType="begin"/>
      </w:r>
      <w:r>
        <w:rPr>
          <w:noProof/>
        </w:rPr>
        <w:instrText xml:space="preserve"> SEQ Equations \* MERGEFORMAT  \* MERGEFORMAT </w:instrText>
      </w:r>
      <w:r>
        <w:rPr>
          <w:noProof/>
        </w:rPr>
        <w:fldChar w:fldCharType="separate"/>
      </w:r>
      <w:r>
        <w:rPr>
          <w:noProof/>
        </w:rPr>
        <w:t>8</w:t>
      </w:r>
      <w:r>
        <w:rPr>
          <w:noProof/>
        </w:rPr>
        <w:fldChar w:fldCharType="end"/>
      </w:r>
      <w:r>
        <w:t>)</w:t>
      </w:r>
    </w:p>
    <w:p w14:paraId="3172E8BE" w14:textId="39AD9A5B" w:rsidR="00FC037D" w:rsidRPr="001F159D" w:rsidRDefault="00527449" w:rsidP="0072282C">
      <w:pPr>
        <w:spacing w:line="480" w:lineRule="auto"/>
      </w:pPr>
      <w:r w:rsidRPr="001F159D">
        <w:t xml:space="preserve">Where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Pr="001F159D">
        <w:t xml:space="preserve"> </w:t>
      </w:r>
      <w:r>
        <w:t xml:space="preserve">is the actual value, </w:t>
      </w:r>
      <m:oMath>
        <m:sSub>
          <m:sSubPr>
            <m:ctrlPr>
              <w:rPr>
                <w:rFonts w:ascii="Cambria Math" w:hAnsi="Cambria Math"/>
                <w:i/>
              </w:rPr>
            </m:ctrlPr>
          </m:sSubPr>
          <m:e>
            <m:acc>
              <m:accPr>
                <m:ctrlPr>
                  <w:rPr>
                    <w:rFonts w:ascii="Cambria Math" w:hAnsi="Cambria Math"/>
                    <w:i/>
                  </w:rPr>
                </m:ctrlPr>
              </m:accPr>
              <m:e>
                <m:r>
                  <w:rPr>
                    <w:rFonts w:ascii="Cambria Math" w:hAnsi="Cambria Math"/>
                  </w:rPr>
                  <m:t>y</m:t>
                </m:r>
              </m:e>
            </m:acc>
          </m:e>
          <m:sub>
            <m:r>
              <w:rPr>
                <w:rFonts w:ascii="Cambria Math" w:hAnsi="Cambria Math"/>
              </w:rPr>
              <m:t>i</m:t>
            </m:r>
          </m:sub>
        </m:sSub>
      </m:oMath>
      <w:r w:rsidRPr="001F159D">
        <w:t xml:space="preserve"> </w:t>
      </w:r>
      <w:r>
        <w:t>is</w:t>
      </w:r>
      <w:r w:rsidRPr="001F159D">
        <w:t xml:space="preserve"> predicted values</w:t>
      </w:r>
      <w:r>
        <w:t>, and n is the sample size.</w:t>
      </w:r>
      <w:r w:rsidRPr="001F159D">
        <w:t xml:space="preserve"> </w:t>
      </w:r>
      <w:r>
        <w:t xml:space="preserve">RMSE is a positive value and </w:t>
      </w:r>
      <w:r w:rsidRPr="003054AF">
        <w:rPr>
          <w:noProof/>
        </w:rPr>
        <w:t>the</w:t>
      </w:r>
      <w:r>
        <w:t xml:space="preserve"> least value depicts the best </w:t>
      </w:r>
      <w:r w:rsidRPr="001F159D">
        <w:t>fit.</w:t>
      </w:r>
      <w:r>
        <w:t xml:space="preserve"> </w:t>
      </w:r>
      <w:r w:rsidR="00FC037D" w:rsidRPr="001F159D">
        <w:t xml:space="preserve">The results of the input selection for the ANFIS model </w:t>
      </w:r>
      <w:r w:rsidR="00FC037D" w:rsidRPr="003054AF">
        <w:rPr>
          <w:noProof/>
        </w:rPr>
        <w:t>are shown</w:t>
      </w:r>
      <w:r w:rsidR="00FC037D" w:rsidRPr="001F159D">
        <w:t xml:space="preserve"> in </w:t>
      </w:r>
      <w:r w:rsidR="00FC037D" w:rsidRPr="001F159D">
        <w:fldChar w:fldCharType="begin"/>
      </w:r>
      <w:r w:rsidR="00FC037D" w:rsidRPr="001F159D">
        <w:instrText xml:space="preserve"> REF _Ref481240218 \h </w:instrText>
      </w:r>
      <w:r w:rsidR="0072282C">
        <w:instrText xml:space="preserve"> \* MERGEFORMAT </w:instrText>
      </w:r>
      <w:r w:rsidR="00FC037D" w:rsidRPr="001F159D">
        <w:fldChar w:fldCharType="separate"/>
      </w:r>
      <w:r w:rsidR="00AC780E" w:rsidRPr="001F159D">
        <w:t xml:space="preserve">Table </w:t>
      </w:r>
      <w:r w:rsidR="00AC780E">
        <w:rPr>
          <w:noProof/>
        </w:rPr>
        <w:t>6</w:t>
      </w:r>
      <w:r w:rsidR="00FC037D" w:rsidRPr="001F159D">
        <w:fldChar w:fldCharType="end"/>
      </w:r>
      <w:r w:rsidR="003054AF">
        <w:t>,</w:t>
      </w:r>
      <w:r w:rsidR="00FC037D" w:rsidRPr="001F159D">
        <w:t xml:space="preserve"> </w:t>
      </w:r>
      <w:r w:rsidR="00FC037D" w:rsidRPr="003054AF">
        <w:rPr>
          <w:noProof/>
        </w:rPr>
        <w:t>and</w:t>
      </w:r>
      <w:r w:rsidR="00FC037D" w:rsidRPr="001F159D">
        <w:t xml:space="preserve"> it reveals that </w:t>
      </w:r>
      <w:r w:rsidR="00FC037D">
        <w:t>model 2 (</w:t>
      </w:r>
      <w:r w:rsidR="00FC037D" w:rsidRPr="001F159D">
        <w:t>“</w:t>
      </w:r>
      <w:r w:rsidR="00FC037D" w:rsidRPr="003143A6">
        <w:rPr>
          <w:i/>
        </w:rPr>
        <w:t>GFA</w:t>
      </w:r>
      <w:r w:rsidR="00FC037D" w:rsidRPr="001F159D">
        <w:t>” and “</w:t>
      </w:r>
      <w:r w:rsidR="00954350" w:rsidRPr="003143A6">
        <w:rPr>
          <w:i/>
        </w:rPr>
        <w:t>C</w:t>
      </w:r>
      <w:r w:rsidR="00FC037D" w:rsidRPr="003143A6">
        <w:rPr>
          <w:i/>
        </w:rPr>
        <w:t>onstruction Type</w:t>
      </w:r>
      <w:r w:rsidR="00FC037D" w:rsidRPr="001F159D">
        <w:t>”</w:t>
      </w:r>
      <w:r w:rsidR="00FC037D">
        <w:t>)</w:t>
      </w:r>
      <w:r w:rsidR="00FC037D" w:rsidRPr="001F159D">
        <w:t xml:space="preserve"> produces the least </w:t>
      </w:r>
      <w:r w:rsidR="00FC037D">
        <w:t>RMSE</w:t>
      </w:r>
      <w:r w:rsidR="00EB19FF">
        <w:t xml:space="preserve">. </w:t>
      </w:r>
    </w:p>
    <w:p w14:paraId="20579F23" w14:textId="677125B1" w:rsidR="00FC037D" w:rsidRPr="001F159D" w:rsidRDefault="00FC037D" w:rsidP="0072282C">
      <w:pPr>
        <w:pStyle w:val="Caption"/>
        <w:spacing w:line="480" w:lineRule="auto"/>
      </w:pPr>
      <w:bookmarkStart w:id="18" w:name="_Ref481240218"/>
      <w:bookmarkStart w:id="19" w:name="_Toc488934109"/>
      <w:r w:rsidRPr="001F159D">
        <w:t xml:space="preserve">Table </w:t>
      </w:r>
      <w:r w:rsidRPr="001F159D">
        <w:fldChar w:fldCharType="begin"/>
      </w:r>
      <w:r w:rsidRPr="001F159D">
        <w:instrText xml:space="preserve"> SEQ Table \* ARABIC \s 1 </w:instrText>
      </w:r>
      <w:r w:rsidRPr="001F159D">
        <w:fldChar w:fldCharType="separate"/>
      </w:r>
      <w:r w:rsidR="00AC780E">
        <w:rPr>
          <w:noProof/>
        </w:rPr>
        <w:t>6</w:t>
      </w:r>
      <w:r w:rsidRPr="001F159D">
        <w:rPr>
          <w:noProof/>
        </w:rPr>
        <w:fldChar w:fldCharType="end"/>
      </w:r>
      <w:bookmarkEnd w:id="18"/>
      <w:r w:rsidRPr="001F159D">
        <w:t xml:space="preserve">: </w:t>
      </w:r>
      <w:r w:rsidR="0033622E">
        <w:t>I</w:t>
      </w:r>
      <w:r w:rsidRPr="001F159D">
        <w:t xml:space="preserve">nput selection for </w:t>
      </w:r>
      <w:r w:rsidR="0033622E">
        <w:t xml:space="preserve">the </w:t>
      </w:r>
      <w:r w:rsidR="00C37F67">
        <w:t>A-WAS</w:t>
      </w:r>
      <w:r w:rsidRPr="001F159D">
        <w:t xml:space="preserve"> model</w:t>
      </w:r>
      <w:bookmarkEnd w:id="19"/>
    </w:p>
    <w:tbl>
      <w:tblPr>
        <w:tblStyle w:val="ListTable6Colorful1"/>
        <w:tblW w:w="0" w:type="auto"/>
        <w:jc w:val="center"/>
        <w:tblLook w:val="04A0" w:firstRow="1" w:lastRow="0" w:firstColumn="1" w:lastColumn="0" w:noHBand="0" w:noVBand="1"/>
      </w:tblPr>
      <w:tblGrid>
        <w:gridCol w:w="1103"/>
        <w:gridCol w:w="3186"/>
        <w:gridCol w:w="1151"/>
      </w:tblGrid>
      <w:tr w:rsidR="00FC037D" w:rsidRPr="001F159D" w14:paraId="43189C28" w14:textId="77777777" w:rsidTr="00E67AA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80BA96" w14:textId="77777777" w:rsidR="00FC037D" w:rsidRPr="001F159D" w:rsidRDefault="00FC037D" w:rsidP="002834EE">
            <w:pPr>
              <w:spacing w:after="0" w:line="240" w:lineRule="auto"/>
              <w:jc w:val="center"/>
              <w:rPr>
                <w:sz w:val="22"/>
              </w:rPr>
            </w:pPr>
            <w:r w:rsidRPr="001F159D">
              <w:rPr>
                <w:sz w:val="22"/>
              </w:rPr>
              <w:t>Model no</w:t>
            </w:r>
          </w:p>
        </w:tc>
        <w:tc>
          <w:tcPr>
            <w:tcW w:w="0" w:type="auto"/>
          </w:tcPr>
          <w:p w14:paraId="5182E129" w14:textId="77777777" w:rsidR="00FC037D" w:rsidRPr="001F159D" w:rsidRDefault="00FC037D" w:rsidP="002834EE">
            <w:pPr>
              <w:spacing w:after="0" w:line="240" w:lineRule="auto"/>
              <w:cnfStyle w:val="100000000000" w:firstRow="1" w:lastRow="0" w:firstColumn="0" w:lastColumn="0" w:oddVBand="0" w:evenVBand="0" w:oddHBand="0" w:evenHBand="0" w:firstRowFirstColumn="0" w:firstRowLastColumn="0" w:lastRowFirstColumn="0" w:lastRowLastColumn="0"/>
              <w:rPr>
                <w:sz w:val="22"/>
              </w:rPr>
            </w:pPr>
            <w:r w:rsidRPr="001F159D">
              <w:rPr>
                <w:sz w:val="22"/>
              </w:rPr>
              <w:t>Inputs</w:t>
            </w:r>
          </w:p>
        </w:tc>
        <w:tc>
          <w:tcPr>
            <w:tcW w:w="0" w:type="auto"/>
          </w:tcPr>
          <w:p w14:paraId="2504C57A" w14:textId="77777777" w:rsidR="00FC037D" w:rsidRPr="001F159D" w:rsidRDefault="00FC037D" w:rsidP="002834EE">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1F159D">
              <w:rPr>
                <w:sz w:val="22"/>
              </w:rPr>
              <w:t>RMSE</w:t>
            </w:r>
          </w:p>
        </w:tc>
      </w:tr>
      <w:tr w:rsidR="00FC037D" w:rsidRPr="001F159D" w14:paraId="3651CBF7" w14:textId="77777777" w:rsidTr="00E67A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2B8546" w14:textId="77777777" w:rsidR="00FC037D" w:rsidRPr="001F159D" w:rsidRDefault="00FC037D" w:rsidP="002834EE">
            <w:pPr>
              <w:spacing w:after="0" w:line="240" w:lineRule="auto"/>
              <w:rPr>
                <w:b w:val="0"/>
                <w:i/>
                <w:sz w:val="22"/>
              </w:rPr>
            </w:pPr>
            <w:r w:rsidRPr="001F159D">
              <w:rPr>
                <w:b w:val="0"/>
                <w:i/>
                <w:sz w:val="22"/>
              </w:rPr>
              <w:t>Model 1</w:t>
            </w:r>
          </w:p>
        </w:tc>
        <w:tc>
          <w:tcPr>
            <w:tcW w:w="0" w:type="auto"/>
          </w:tcPr>
          <w:p w14:paraId="7AA480A1" w14:textId="77777777" w:rsidR="00FC037D" w:rsidRPr="001F159D" w:rsidRDefault="00FC037D" w:rsidP="002834EE">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1F159D">
              <w:rPr>
                <w:sz w:val="22"/>
              </w:rPr>
              <w:t>GFA-Project cost</w:t>
            </w:r>
          </w:p>
        </w:tc>
        <w:tc>
          <w:tcPr>
            <w:tcW w:w="0" w:type="auto"/>
          </w:tcPr>
          <w:p w14:paraId="13E79528" w14:textId="77777777" w:rsidR="00FC037D" w:rsidRPr="001F159D" w:rsidRDefault="00FC037D" w:rsidP="002834EE">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0.121984</w:t>
            </w:r>
          </w:p>
        </w:tc>
      </w:tr>
      <w:tr w:rsidR="00FC037D" w:rsidRPr="001F159D" w14:paraId="073B2C85" w14:textId="77777777" w:rsidTr="00E67A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B0A918D" w14:textId="77777777" w:rsidR="00FC037D" w:rsidRPr="001F159D" w:rsidRDefault="00FC037D" w:rsidP="002834EE">
            <w:pPr>
              <w:spacing w:after="0" w:line="240" w:lineRule="auto"/>
              <w:rPr>
                <w:b w:val="0"/>
                <w:i/>
                <w:sz w:val="22"/>
              </w:rPr>
            </w:pPr>
            <w:r w:rsidRPr="001F159D">
              <w:rPr>
                <w:b w:val="0"/>
                <w:i/>
                <w:sz w:val="22"/>
              </w:rPr>
              <w:t>Model 2</w:t>
            </w:r>
          </w:p>
        </w:tc>
        <w:tc>
          <w:tcPr>
            <w:tcW w:w="0" w:type="auto"/>
          </w:tcPr>
          <w:p w14:paraId="5F7ED1B8" w14:textId="77777777" w:rsidR="00FC037D" w:rsidRPr="001F159D" w:rsidRDefault="00FC037D" w:rsidP="002834EE">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1F159D">
              <w:rPr>
                <w:sz w:val="22"/>
              </w:rPr>
              <w:t>GFA-Construction type</w:t>
            </w:r>
          </w:p>
        </w:tc>
        <w:tc>
          <w:tcPr>
            <w:tcW w:w="0" w:type="auto"/>
          </w:tcPr>
          <w:p w14:paraId="1F4077A8" w14:textId="77777777" w:rsidR="00FC037D" w:rsidRPr="001F159D" w:rsidRDefault="00FC037D" w:rsidP="002834EE">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*0.071806</w:t>
            </w:r>
          </w:p>
        </w:tc>
      </w:tr>
      <w:tr w:rsidR="00FC037D" w:rsidRPr="001F159D" w14:paraId="11860AAC" w14:textId="77777777" w:rsidTr="00E67A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4279E8C" w14:textId="77777777" w:rsidR="00FC037D" w:rsidRPr="001F159D" w:rsidRDefault="00FC037D" w:rsidP="002834EE">
            <w:pPr>
              <w:spacing w:after="0" w:line="240" w:lineRule="auto"/>
              <w:rPr>
                <w:b w:val="0"/>
                <w:i/>
                <w:sz w:val="22"/>
              </w:rPr>
            </w:pPr>
            <w:r w:rsidRPr="001F159D">
              <w:rPr>
                <w:b w:val="0"/>
                <w:i/>
                <w:sz w:val="22"/>
              </w:rPr>
              <w:t>Model 3</w:t>
            </w:r>
          </w:p>
        </w:tc>
        <w:tc>
          <w:tcPr>
            <w:tcW w:w="0" w:type="auto"/>
          </w:tcPr>
          <w:p w14:paraId="7EFA051F" w14:textId="77777777" w:rsidR="00FC037D" w:rsidRPr="001F159D" w:rsidRDefault="00FC037D" w:rsidP="002834EE">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1F159D">
              <w:rPr>
                <w:sz w:val="22"/>
              </w:rPr>
              <w:t>GFA-Building usage</w:t>
            </w:r>
          </w:p>
        </w:tc>
        <w:tc>
          <w:tcPr>
            <w:tcW w:w="0" w:type="auto"/>
          </w:tcPr>
          <w:p w14:paraId="58A3732A" w14:textId="77777777" w:rsidR="00FC037D" w:rsidRPr="001F159D" w:rsidRDefault="00FC037D" w:rsidP="002834EE">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0.092198</w:t>
            </w:r>
          </w:p>
        </w:tc>
      </w:tr>
      <w:tr w:rsidR="00FC037D" w:rsidRPr="001F159D" w14:paraId="489F5CA8" w14:textId="77777777" w:rsidTr="00E67A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E5417FD" w14:textId="77777777" w:rsidR="00FC037D" w:rsidRPr="001F159D" w:rsidRDefault="00FC037D" w:rsidP="002834EE">
            <w:pPr>
              <w:spacing w:after="0" w:line="240" w:lineRule="auto"/>
              <w:rPr>
                <w:b w:val="0"/>
                <w:i/>
                <w:sz w:val="22"/>
              </w:rPr>
            </w:pPr>
            <w:r w:rsidRPr="001F159D">
              <w:rPr>
                <w:b w:val="0"/>
                <w:i/>
                <w:sz w:val="22"/>
              </w:rPr>
              <w:t>Model 4</w:t>
            </w:r>
          </w:p>
        </w:tc>
        <w:tc>
          <w:tcPr>
            <w:tcW w:w="0" w:type="auto"/>
          </w:tcPr>
          <w:p w14:paraId="5B2924E4" w14:textId="77777777" w:rsidR="00FC037D" w:rsidRPr="001F159D" w:rsidRDefault="00FC037D" w:rsidP="002834EE">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1F159D">
              <w:rPr>
                <w:sz w:val="22"/>
              </w:rPr>
              <w:t>Project cost-Construction type</w:t>
            </w:r>
          </w:p>
        </w:tc>
        <w:tc>
          <w:tcPr>
            <w:tcW w:w="0" w:type="auto"/>
          </w:tcPr>
          <w:p w14:paraId="547932D1" w14:textId="77777777" w:rsidR="00FC037D" w:rsidRPr="001F159D" w:rsidRDefault="00FC037D" w:rsidP="002834EE">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0.098120</w:t>
            </w:r>
          </w:p>
        </w:tc>
      </w:tr>
      <w:tr w:rsidR="00FC037D" w:rsidRPr="001F159D" w14:paraId="623895A9" w14:textId="77777777" w:rsidTr="00E67AA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B285FB" w14:textId="77777777" w:rsidR="00FC037D" w:rsidRPr="001F159D" w:rsidRDefault="00FC037D" w:rsidP="002834EE">
            <w:pPr>
              <w:spacing w:after="0" w:line="240" w:lineRule="auto"/>
              <w:rPr>
                <w:b w:val="0"/>
                <w:i/>
                <w:sz w:val="22"/>
              </w:rPr>
            </w:pPr>
            <w:r w:rsidRPr="001F159D">
              <w:rPr>
                <w:b w:val="0"/>
                <w:i/>
                <w:sz w:val="22"/>
              </w:rPr>
              <w:t>Model 5</w:t>
            </w:r>
          </w:p>
        </w:tc>
        <w:tc>
          <w:tcPr>
            <w:tcW w:w="0" w:type="auto"/>
          </w:tcPr>
          <w:p w14:paraId="6FCAA5B4" w14:textId="77777777" w:rsidR="00FC037D" w:rsidRPr="001F159D" w:rsidRDefault="00FC037D" w:rsidP="002834EE">
            <w:pPr>
              <w:spacing w:after="0" w:line="240" w:lineRule="auto"/>
              <w:cnfStyle w:val="000000100000" w:firstRow="0" w:lastRow="0" w:firstColumn="0" w:lastColumn="0" w:oddVBand="0" w:evenVBand="0" w:oddHBand="1" w:evenHBand="0" w:firstRowFirstColumn="0" w:firstRowLastColumn="0" w:lastRowFirstColumn="0" w:lastRowLastColumn="0"/>
              <w:rPr>
                <w:sz w:val="22"/>
              </w:rPr>
            </w:pPr>
            <w:r w:rsidRPr="001F159D">
              <w:rPr>
                <w:sz w:val="22"/>
              </w:rPr>
              <w:t>Project cost-Building usage</w:t>
            </w:r>
          </w:p>
        </w:tc>
        <w:tc>
          <w:tcPr>
            <w:tcW w:w="0" w:type="auto"/>
          </w:tcPr>
          <w:p w14:paraId="4C43DB15" w14:textId="77777777" w:rsidR="00FC037D" w:rsidRPr="001F159D" w:rsidRDefault="00FC037D" w:rsidP="002834EE">
            <w:pPr>
              <w:spacing w:after="0" w:line="240" w:lineRule="auto"/>
              <w:jc w:val="right"/>
              <w:cnfStyle w:val="000000100000" w:firstRow="0" w:lastRow="0" w:firstColumn="0" w:lastColumn="0" w:oddVBand="0" w:evenVBand="0" w:oddHBand="1" w:evenHBand="0" w:firstRowFirstColumn="0" w:firstRowLastColumn="0" w:lastRowFirstColumn="0" w:lastRowLastColumn="0"/>
              <w:rPr>
                <w:sz w:val="22"/>
              </w:rPr>
            </w:pPr>
            <w:r w:rsidRPr="001F159D">
              <w:rPr>
                <w:sz w:val="22"/>
              </w:rPr>
              <w:t>0.079349</w:t>
            </w:r>
          </w:p>
        </w:tc>
      </w:tr>
      <w:tr w:rsidR="00FC037D" w:rsidRPr="001F159D" w14:paraId="5923AA17" w14:textId="77777777" w:rsidTr="00E67AA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D256DA" w14:textId="77777777" w:rsidR="00FC037D" w:rsidRPr="001F159D" w:rsidRDefault="00FC037D" w:rsidP="002834EE">
            <w:pPr>
              <w:spacing w:after="0" w:line="240" w:lineRule="auto"/>
              <w:rPr>
                <w:b w:val="0"/>
                <w:i/>
                <w:sz w:val="22"/>
              </w:rPr>
            </w:pPr>
            <w:r w:rsidRPr="001F159D">
              <w:rPr>
                <w:b w:val="0"/>
                <w:i/>
                <w:sz w:val="22"/>
              </w:rPr>
              <w:t>Model 6</w:t>
            </w:r>
          </w:p>
        </w:tc>
        <w:tc>
          <w:tcPr>
            <w:tcW w:w="0" w:type="auto"/>
          </w:tcPr>
          <w:p w14:paraId="335AB699" w14:textId="77777777" w:rsidR="00FC037D" w:rsidRPr="001F159D" w:rsidRDefault="00FC037D" w:rsidP="002834EE">
            <w:pPr>
              <w:spacing w:after="0" w:line="240" w:lineRule="auto"/>
              <w:cnfStyle w:val="000000010000" w:firstRow="0" w:lastRow="0" w:firstColumn="0" w:lastColumn="0" w:oddVBand="0" w:evenVBand="0" w:oddHBand="0" w:evenHBand="1" w:firstRowFirstColumn="0" w:firstRowLastColumn="0" w:lastRowFirstColumn="0" w:lastRowLastColumn="0"/>
              <w:rPr>
                <w:sz w:val="22"/>
              </w:rPr>
            </w:pPr>
            <w:r w:rsidRPr="001F159D">
              <w:rPr>
                <w:sz w:val="22"/>
              </w:rPr>
              <w:t>Construction type-Building usage</w:t>
            </w:r>
          </w:p>
        </w:tc>
        <w:tc>
          <w:tcPr>
            <w:tcW w:w="0" w:type="auto"/>
          </w:tcPr>
          <w:p w14:paraId="3A1BD769" w14:textId="77777777" w:rsidR="00FC037D" w:rsidRPr="001F159D" w:rsidRDefault="00FC037D" w:rsidP="002834EE">
            <w:pPr>
              <w:spacing w:after="0" w:line="240" w:lineRule="auto"/>
              <w:jc w:val="right"/>
              <w:cnfStyle w:val="000000010000" w:firstRow="0" w:lastRow="0" w:firstColumn="0" w:lastColumn="0" w:oddVBand="0" w:evenVBand="0" w:oddHBand="0" w:evenHBand="1" w:firstRowFirstColumn="0" w:firstRowLastColumn="0" w:lastRowFirstColumn="0" w:lastRowLastColumn="0"/>
              <w:rPr>
                <w:sz w:val="22"/>
              </w:rPr>
            </w:pPr>
            <w:r w:rsidRPr="001F159D">
              <w:rPr>
                <w:sz w:val="22"/>
              </w:rPr>
              <w:t>0.079349</w:t>
            </w:r>
          </w:p>
        </w:tc>
      </w:tr>
    </w:tbl>
    <w:p w14:paraId="4841111E" w14:textId="77777777" w:rsidR="00FC037D" w:rsidRPr="001F159D" w:rsidRDefault="00FC037D" w:rsidP="0072282C">
      <w:pPr>
        <w:keepNext/>
        <w:spacing w:line="480" w:lineRule="auto"/>
        <w:jc w:val="center"/>
      </w:pPr>
      <w:r w:rsidRPr="001F159D">
        <w:t>*</w:t>
      </w:r>
      <w:r w:rsidRPr="001F159D">
        <w:rPr>
          <w:sz w:val="20"/>
        </w:rPr>
        <w:t>Model 2 has the least RMSE</w:t>
      </w:r>
    </w:p>
    <w:p w14:paraId="1E5FCA7D" w14:textId="1CC0E76C" w:rsidR="00FC037D" w:rsidRDefault="003B3948" w:rsidP="00527449">
      <w:pPr>
        <w:spacing w:line="480" w:lineRule="auto"/>
      </w:pPr>
      <w:r>
        <w:rPr>
          <w:lang w:val="en-US"/>
        </w:rPr>
        <w:t>Grid partitioning wa</w:t>
      </w:r>
      <w:r w:rsidR="00B935C9">
        <w:rPr>
          <w:lang w:val="en-US"/>
        </w:rPr>
        <w:t>s used to create the structure o</w:t>
      </w:r>
      <w:r>
        <w:rPr>
          <w:lang w:val="en-US"/>
        </w:rPr>
        <w:t xml:space="preserve">f the ANFIS model. </w:t>
      </w:r>
      <w:r w:rsidR="00D76A8B">
        <w:rPr>
          <w:lang w:val="en-US"/>
        </w:rPr>
        <w:t>G</w:t>
      </w:r>
      <w:r w:rsidR="00FC037D">
        <w:rPr>
          <w:lang w:val="en-US"/>
        </w:rPr>
        <w:t xml:space="preserve">rid partitioning </w:t>
      </w:r>
      <w:r w:rsidR="0033622E">
        <w:rPr>
          <w:lang w:val="en-US"/>
        </w:rPr>
        <w:t>creates</w:t>
      </w:r>
      <w:r w:rsidR="00FC037D">
        <w:rPr>
          <w:lang w:val="en-US"/>
        </w:rPr>
        <w:t xml:space="preserve"> more rules</w:t>
      </w:r>
      <w:r w:rsidR="00D76A8B">
        <w:rPr>
          <w:lang w:val="en-US"/>
        </w:rPr>
        <w:t xml:space="preserve"> than </w:t>
      </w:r>
      <w:r w:rsidR="0033622E">
        <w:rPr>
          <w:lang w:val="en-US"/>
        </w:rPr>
        <w:t xml:space="preserve">other methods </w:t>
      </w:r>
      <w:r w:rsidR="00B87A03">
        <w:rPr>
          <w:lang w:val="en-US"/>
        </w:rPr>
        <w:t>such as</w:t>
      </w:r>
      <w:r w:rsidR="0033622E">
        <w:rPr>
          <w:lang w:val="en-US"/>
        </w:rPr>
        <w:t xml:space="preserve"> </w:t>
      </w:r>
      <w:r w:rsidR="00D76A8B">
        <w:rPr>
          <w:lang w:val="en-US"/>
        </w:rPr>
        <w:t xml:space="preserve">subtractive clustering; however, it </w:t>
      </w:r>
      <w:r w:rsidR="00D76A8B" w:rsidRPr="003054AF">
        <w:rPr>
          <w:noProof/>
          <w:lang w:val="en-US"/>
        </w:rPr>
        <w:t>was</w:t>
      </w:r>
      <w:r w:rsidR="00FC037D" w:rsidRPr="003054AF">
        <w:rPr>
          <w:noProof/>
          <w:lang w:val="en-US"/>
        </w:rPr>
        <w:t xml:space="preserve"> selected</w:t>
      </w:r>
      <w:r w:rsidR="00FC037D">
        <w:rPr>
          <w:lang w:val="en-US"/>
        </w:rPr>
        <w:t xml:space="preserve"> because </w:t>
      </w:r>
      <w:r w:rsidR="00FC037D">
        <w:t>the dimension of the search space</w:t>
      </w:r>
      <w:r w:rsidR="00B87A03">
        <w:t xml:space="preserve"> </w:t>
      </w:r>
      <w:r w:rsidR="00B87A03" w:rsidRPr="003054AF">
        <w:rPr>
          <w:noProof/>
        </w:rPr>
        <w:t>is already minimised</w:t>
      </w:r>
      <w:r w:rsidR="00B87A03">
        <w:t xml:space="preserve"> through feature selection</w:t>
      </w:r>
      <w:r w:rsidR="00FC037D">
        <w:t xml:space="preserve">. </w:t>
      </w:r>
      <w:r w:rsidR="00851E09">
        <w:fldChar w:fldCharType="begin"/>
      </w:r>
      <w:r w:rsidR="00851E09">
        <w:instrText xml:space="preserve"> REF _Ref514334071 \h </w:instrText>
      </w:r>
      <w:r w:rsidR="0072282C">
        <w:instrText xml:space="preserve"> \* MERGEFORMAT </w:instrText>
      </w:r>
      <w:r w:rsidR="00851E09">
        <w:fldChar w:fldCharType="separate"/>
      </w:r>
      <w:r w:rsidR="00AC780E">
        <w:t xml:space="preserve">Figure </w:t>
      </w:r>
      <w:r w:rsidR="00AC780E">
        <w:rPr>
          <w:noProof/>
        </w:rPr>
        <w:t>6</w:t>
      </w:r>
      <w:r w:rsidR="00851E09">
        <w:fldChar w:fldCharType="end"/>
      </w:r>
      <w:r w:rsidR="00851E09">
        <w:t xml:space="preserve"> </w:t>
      </w:r>
      <w:r w:rsidR="00B404FD">
        <w:t>shows the</w:t>
      </w:r>
      <w:r w:rsidR="00FC037D">
        <w:t xml:space="preserve"> block diagram of the final </w:t>
      </w:r>
      <w:r w:rsidR="00C37F67">
        <w:t>A-WAS</w:t>
      </w:r>
      <w:r w:rsidR="00FC037D">
        <w:t xml:space="preserve"> model</w:t>
      </w:r>
      <w:r w:rsidR="00D76A8B">
        <w:t>.</w:t>
      </w:r>
      <w:r w:rsidR="001D2F5A">
        <w:t xml:space="preserve"> </w:t>
      </w:r>
      <w:r w:rsidR="003054AF">
        <w:rPr>
          <w:noProof/>
        </w:rPr>
        <w:t>After that</w:t>
      </w:r>
      <w:r w:rsidR="00FE1C5D">
        <w:t xml:space="preserve">, the Membership Functions (MFs) of the input variables </w:t>
      </w:r>
      <w:r w:rsidR="00FE1C5D" w:rsidRPr="003054AF">
        <w:rPr>
          <w:noProof/>
        </w:rPr>
        <w:t>were created</w:t>
      </w:r>
      <w:r w:rsidR="001D2F5A" w:rsidRPr="0090171C">
        <w:t xml:space="preserve">. </w:t>
      </w:r>
      <w:r w:rsidR="001D2F5A" w:rsidRPr="003054AF">
        <w:rPr>
          <w:noProof/>
        </w:rPr>
        <w:t>Several input</w:t>
      </w:r>
      <w:r w:rsidR="001D2F5A">
        <w:t xml:space="preserve"> </w:t>
      </w:r>
      <w:r w:rsidR="000F5602">
        <w:t xml:space="preserve">MFs </w:t>
      </w:r>
      <w:r w:rsidR="001D2F5A" w:rsidRPr="0090171C">
        <w:t>exist</w:t>
      </w:r>
      <w:r w:rsidR="001D2F5A">
        <w:t xml:space="preserve">, which </w:t>
      </w:r>
      <w:r w:rsidR="000F5602">
        <w:t>are</w:t>
      </w:r>
      <w:r w:rsidR="001D2F5A">
        <w:t xml:space="preserve"> </w:t>
      </w:r>
      <w:r w:rsidR="002F0B0E" w:rsidRPr="003054AF">
        <w:rPr>
          <w:i/>
          <w:noProof/>
        </w:rPr>
        <w:t>trimf</w:t>
      </w:r>
      <w:r w:rsidR="001D2F5A" w:rsidRPr="0090171C">
        <w:t xml:space="preserve">, </w:t>
      </w:r>
      <w:r w:rsidR="002F0B0E" w:rsidRPr="003054AF">
        <w:rPr>
          <w:i/>
          <w:noProof/>
        </w:rPr>
        <w:t>trapmf</w:t>
      </w:r>
      <w:r w:rsidR="002F0B0E">
        <w:t xml:space="preserve">, </w:t>
      </w:r>
      <w:r w:rsidR="002F0B0E" w:rsidRPr="003054AF">
        <w:rPr>
          <w:i/>
          <w:noProof/>
        </w:rPr>
        <w:t>gbellmf</w:t>
      </w:r>
      <w:r w:rsidR="002F0B0E">
        <w:t xml:space="preserve">, </w:t>
      </w:r>
      <w:r w:rsidR="002F0B0E" w:rsidRPr="003054AF">
        <w:rPr>
          <w:i/>
          <w:noProof/>
        </w:rPr>
        <w:t>gaussmf</w:t>
      </w:r>
      <w:r w:rsidR="002F0B0E">
        <w:t xml:space="preserve">, </w:t>
      </w:r>
      <w:r w:rsidR="002F0B0E" w:rsidRPr="002F0B0E">
        <w:rPr>
          <w:i/>
        </w:rPr>
        <w:t>gauss2mf</w:t>
      </w:r>
      <w:r w:rsidR="002F0B0E">
        <w:t xml:space="preserve">, </w:t>
      </w:r>
      <w:r w:rsidR="002F0B0E" w:rsidRPr="003054AF">
        <w:rPr>
          <w:i/>
          <w:noProof/>
        </w:rPr>
        <w:t>pimf</w:t>
      </w:r>
      <w:r w:rsidR="002F0B0E">
        <w:t xml:space="preserve">, </w:t>
      </w:r>
      <w:r w:rsidR="002F0B0E" w:rsidRPr="003054AF">
        <w:rPr>
          <w:i/>
          <w:noProof/>
        </w:rPr>
        <w:t>dsigmg</w:t>
      </w:r>
      <w:r w:rsidR="002F0B0E">
        <w:t xml:space="preserve">, and </w:t>
      </w:r>
      <w:r w:rsidR="002F0B0E" w:rsidRPr="003054AF">
        <w:rPr>
          <w:i/>
          <w:noProof/>
        </w:rPr>
        <w:t>psigmf</w:t>
      </w:r>
      <w:r w:rsidR="002F0B0E">
        <w:t>.</w:t>
      </w:r>
      <w:r w:rsidR="000F5602">
        <w:t xml:space="preserve"> </w:t>
      </w:r>
      <w:r w:rsidR="002F0B0E">
        <w:t>However, o</w:t>
      </w:r>
      <w:r w:rsidR="001D2F5A" w:rsidRPr="0090171C">
        <w:t>nly two output MF</w:t>
      </w:r>
      <w:r w:rsidR="009B25B6">
        <w:t>s</w:t>
      </w:r>
      <w:r w:rsidR="001D2F5A" w:rsidRPr="0090171C">
        <w:t xml:space="preserve"> exist for ANFIS</w:t>
      </w:r>
      <w:r w:rsidR="001D2F5A">
        <w:t>-based systems</w:t>
      </w:r>
      <w:r w:rsidR="001D2F5A" w:rsidRPr="0090171C">
        <w:t xml:space="preserve">, which are </w:t>
      </w:r>
      <w:r w:rsidR="001D2F5A" w:rsidRPr="00B935C9">
        <w:rPr>
          <w:i/>
        </w:rPr>
        <w:t>constant</w:t>
      </w:r>
      <w:r w:rsidR="001D2F5A" w:rsidRPr="0090171C">
        <w:t xml:space="preserve"> and </w:t>
      </w:r>
      <w:r w:rsidR="001D2F5A" w:rsidRPr="00B935C9">
        <w:rPr>
          <w:i/>
        </w:rPr>
        <w:t>linear</w:t>
      </w:r>
      <w:r w:rsidR="001D2F5A" w:rsidRPr="0090171C">
        <w:t xml:space="preserve">. </w:t>
      </w:r>
      <w:r w:rsidR="001D2F5A">
        <w:t xml:space="preserve">The ANFIS model was trained using </w:t>
      </w:r>
      <w:r w:rsidR="001D2F5A">
        <w:lastRenderedPageBreak/>
        <w:t xml:space="preserve">all the eight </w:t>
      </w:r>
      <w:r w:rsidR="00EC051E">
        <w:t xml:space="preserve">input </w:t>
      </w:r>
      <w:r w:rsidR="009B25B6">
        <w:t>MFs</w:t>
      </w:r>
      <w:r w:rsidR="001D2F5A">
        <w:t xml:space="preserve"> and </w:t>
      </w:r>
      <w:r w:rsidR="00B5700E">
        <w:t xml:space="preserve">two output MFs. </w:t>
      </w:r>
      <w:r w:rsidR="003F320F">
        <w:t>The</w:t>
      </w:r>
      <w:r w:rsidR="00A14F90">
        <w:t xml:space="preserve"> performance of the different configuration was evaluated</w:t>
      </w:r>
      <w:r w:rsidR="001D2F5A">
        <w:t xml:space="preserve"> using </w:t>
      </w:r>
      <w:r w:rsidR="009B25B6">
        <w:t>the RMSE</w:t>
      </w:r>
      <w:r w:rsidR="001D2F5A">
        <w:t xml:space="preserve">. </w:t>
      </w:r>
    </w:p>
    <w:p w14:paraId="533862D7" w14:textId="77777777" w:rsidR="00D76A8B" w:rsidRDefault="00FC037D" w:rsidP="0072282C">
      <w:pPr>
        <w:keepNext/>
        <w:spacing w:line="480" w:lineRule="auto"/>
        <w:jc w:val="center"/>
      </w:pPr>
      <w:bookmarkStart w:id="20" w:name="_Ref481241026"/>
      <w:r w:rsidRPr="001F5100">
        <w:rPr>
          <w:noProof/>
          <w:lang w:val="en-US"/>
        </w:rPr>
        <w:drawing>
          <wp:inline distT="0" distB="0" distL="0" distR="0" wp14:anchorId="4DC09776" wp14:editId="786F9EA1">
            <wp:extent cx="5388344" cy="19343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436213" cy="1951492"/>
                    </a:xfrm>
                    <a:prstGeom prst="rect">
                      <a:avLst/>
                    </a:prstGeom>
                  </pic:spPr>
                </pic:pic>
              </a:graphicData>
            </a:graphic>
          </wp:inline>
        </w:drawing>
      </w:r>
      <w:bookmarkEnd w:id="20"/>
    </w:p>
    <w:p w14:paraId="6B057AF1" w14:textId="215D8049" w:rsidR="00FC037D" w:rsidRDefault="00D76A8B" w:rsidP="0072282C">
      <w:pPr>
        <w:pStyle w:val="Caption"/>
        <w:spacing w:line="480" w:lineRule="auto"/>
      </w:pPr>
      <w:bookmarkStart w:id="21" w:name="_Ref514334071"/>
      <w:r>
        <w:t xml:space="preserve">Figure </w:t>
      </w:r>
      <w:r>
        <w:fldChar w:fldCharType="begin"/>
      </w:r>
      <w:r>
        <w:instrText xml:space="preserve"> SEQ Figure \* ARABIC </w:instrText>
      </w:r>
      <w:r>
        <w:fldChar w:fldCharType="separate"/>
      </w:r>
      <w:r w:rsidR="00AC780E">
        <w:rPr>
          <w:noProof/>
        </w:rPr>
        <w:t>6</w:t>
      </w:r>
      <w:r>
        <w:fldChar w:fldCharType="end"/>
      </w:r>
      <w:bookmarkEnd w:id="21"/>
      <w:r>
        <w:t xml:space="preserve">: </w:t>
      </w:r>
      <w:r w:rsidRPr="00662C6B">
        <w:t>Bl</w:t>
      </w:r>
      <w:r>
        <w:t>ock diagram of the final ANFIS m</w:t>
      </w:r>
      <w:r w:rsidRPr="00662C6B">
        <w:t>odel</w:t>
      </w:r>
    </w:p>
    <w:p w14:paraId="67339E19" w14:textId="348BA301" w:rsidR="00A258D9" w:rsidRDefault="00BE339F" w:rsidP="0072282C">
      <w:pPr>
        <w:spacing w:line="480" w:lineRule="auto"/>
      </w:pPr>
      <w:r>
        <w:t xml:space="preserve">Using a combination of possible eight input MFs and two output MFs, the ANFIS model was trained </w:t>
      </w:r>
      <w:r w:rsidR="000A1673">
        <w:t xml:space="preserve">and </w:t>
      </w:r>
      <w:r w:rsidR="000A1673" w:rsidRPr="003054AF">
        <w:rPr>
          <w:noProof/>
        </w:rPr>
        <w:t>the</w:t>
      </w:r>
      <w:r w:rsidR="000A1673">
        <w:t xml:space="preserve"> </w:t>
      </w:r>
      <w:r w:rsidR="00C42AB9">
        <w:t xml:space="preserve">RMSE of </w:t>
      </w:r>
      <w:r w:rsidR="000A1673">
        <w:t xml:space="preserve">each iteration is noted </w:t>
      </w:r>
      <w:r w:rsidR="0055733A">
        <w:t>to select the best performing model</w:t>
      </w:r>
      <w:r w:rsidR="00A258D9">
        <w:t>. The results reveal that “</w:t>
      </w:r>
      <w:r w:rsidR="00A258D9">
        <w:rPr>
          <w:i/>
        </w:rPr>
        <w:t>gaussmf</w:t>
      </w:r>
      <w:r w:rsidR="00A258D9">
        <w:t xml:space="preserve">” </w:t>
      </w:r>
      <w:r w:rsidR="00D63EBC">
        <w:t>MF produces the best predictions.</w:t>
      </w:r>
      <w:r w:rsidR="005173B6">
        <w:t xml:space="preserve"> The next task is the integration of the ANFIS predictive model </w:t>
      </w:r>
      <w:r w:rsidR="00843CB3">
        <w:t xml:space="preserve">with a </w:t>
      </w:r>
      <w:r w:rsidR="00883EBC">
        <w:t>BIM platform.</w:t>
      </w:r>
    </w:p>
    <w:p w14:paraId="0FEDB4A5" w14:textId="1458ED6F" w:rsidR="00FC037D" w:rsidRPr="001F159D" w:rsidRDefault="007C06C7" w:rsidP="0072282C">
      <w:pPr>
        <w:pStyle w:val="Heading2"/>
      </w:pPr>
      <w:r>
        <w:t>BIM tool</w:t>
      </w:r>
      <w:r w:rsidR="00FC037D" w:rsidRPr="001F159D">
        <w:t xml:space="preserve"> development on the Autodesk Revit</w:t>
      </w:r>
    </w:p>
    <w:p w14:paraId="2D37E8F2" w14:textId="3207D979" w:rsidR="00FC037D" w:rsidRPr="001F159D" w:rsidRDefault="00FC037D" w:rsidP="0072282C">
      <w:pPr>
        <w:spacing w:line="480" w:lineRule="auto"/>
      </w:pPr>
      <w:r w:rsidRPr="001F159D">
        <w:t xml:space="preserve">The software development environment comprises </w:t>
      </w:r>
      <w:r w:rsidR="003923EE">
        <w:t xml:space="preserve">the </w:t>
      </w:r>
      <w:r w:rsidRPr="001F159D">
        <w:t xml:space="preserve">C# programming environment, Autodesk Revit </w:t>
      </w:r>
      <w:r>
        <w:t xml:space="preserve">API, and </w:t>
      </w:r>
      <w:r w:rsidRPr="001F159D">
        <w:t xml:space="preserve">UI frameworks. The development of </w:t>
      </w:r>
      <w:r w:rsidR="007C06C7">
        <w:t xml:space="preserve">the </w:t>
      </w:r>
      <w:r w:rsidR="00FB37B7">
        <w:t>A-WAS</w:t>
      </w:r>
      <w:r w:rsidR="007C06C7">
        <w:t xml:space="preserve"> tool</w:t>
      </w:r>
      <w:r w:rsidRPr="001F159D">
        <w:t xml:space="preserve"> was divided into </w:t>
      </w:r>
      <w:r>
        <w:t>three</w:t>
      </w:r>
      <w:r w:rsidRPr="001F159D">
        <w:t xml:space="preserve"> active modules to capture its essential functionalities, which include (i) </w:t>
      </w:r>
      <w:r>
        <w:t>UI</w:t>
      </w:r>
      <w:r w:rsidRPr="001F159D">
        <w:t xml:space="preserve"> module, </w:t>
      </w:r>
      <w:r>
        <w:t>(i</w:t>
      </w:r>
      <w:r w:rsidRPr="001F159D">
        <w:t xml:space="preserve">i) material take-off and parameter computation module, and </w:t>
      </w:r>
      <w:r>
        <w:t>(iii</w:t>
      </w:r>
      <w:r w:rsidRPr="001F159D">
        <w:t xml:space="preserve">) </w:t>
      </w:r>
      <w:r>
        <w:t xml:space="preserve">CWA </w:t>
      </w:r>
      <w:r w:rsidRPr="001F159D">
        <w:t xml:space="preserve">report generation module.  </w:t>
      </w:r>
      <w:r w:rsidR="00A148B6">
        <w:t xml:space="preserve">The </w:t>
      </w:r>
      <w:r>
        <w:t xml:space="preserve">UI </w:t>
      </w:r>
      <w:r w:rsidR="00A148B6">
        <w:t xml:space="preserve">of the BIM tool </w:t>
      </w:r>
      <w:r w:rsidRPr="003054AF">
        <w:rPr>
          <w:noProof/>
        </w:rPr>
        <w:t>was integrated</w:t>
      </w:r>
      <w:r w:rsidRPr="001F159D">
        <w:t xml:space="preserve"> into Revit as an external application </w:t>
      </w:r>
      <w:r w:rsidR="00B935C9">
        <w:t xml:space="preserve">add-in </w:t>
      </w:r>
      <w:r>
        <w:t>using</w:t>
      </w:r>
      <w:r w:rsidRPr="001F159D">
        <w:t xml:space="preserve"> ribbon panel</w:t>
      </w:r>
      <w:r w:rsidR="0009437E">
        <w:t xml:space="preserve"> as</w:t>
      </w:r>
      <w:r w:rsidRPr="003054AF">
        <w:rPr>
          <w:noProof/>
        </w:rPr>
        <w:t xml:space="preserve"> </w:t>
      </w:r>
      <w:r w:rsidR="003C2795" w:rsidRPr="003054AF">
        <w:rPr>
          <w:noProof/>
        </w:rPr>
        <w:t>presented</w:t>
      </w:r>
      <w:r w:rsidRPr="001F159D">
        <w:t xml:space="preserve"> in </w:t>
      </w:r>
      <w:r w:rsidR="000233A8">
        <w:fldChar w:fldCharType="begin"/>
      </w:r>
      <w:r w:rsidR="000233A8">
        <w:instrText xml:space="preserve"> REF _Ref514417857 \h </w:instrText>
      </w:r>
      <w:r w:rsidR="0072282C">
        <w:instrText xml:space="preserve"> \* MERGEFORMAT </w:instrText>
      </w:r>
      <w:r w:rsidR="000233A8">
        <w:fldChar w:fldCharType="separate"/>
      </w:r>
      <w:r w:rsidR="00AC780E" w:rsidRPr="001F159D">
        <w:rPr>
          <w:i/>
        </w:rPr>
        <w:t xml:space="preserve">Figure </w:t>
      </w:r>
      <w:r w:rsidR="00AC780E">
        <w:rPr>
          <w:i/>
          <w:noProof/>
        </w:rPr>
        <w:t>7</w:t>
      </w:r>
      <w:r w:rsidR="000233A8">
        <w:fldChar w:fldCharType="end"/>
      </w:r>
      <w:r w:rsidRPr="001F159D">
        <w:t xml:space="preserve">. A new </w:t>
      </w:r>
      <w:r>
        <w:t>CWA</w:t>
      </w:r>
      <w:r w:rsidRPr="001F159D">
        <w:t xml:space="preserve"> project </w:t>
      </w:r>
      <w:r w:rsidRPr="003054AF">
        <w:rPr>
          <w:noProof/>
        </w:rPr>
        <w:t>is initiated</w:t>
      </w:r>
      <w:r w:rsidRPr="001F159D">
        <w:t xml:space="preserve"> when the “</w:t>
      </w:r>
      <w:r w:rsidRPr="0009437E">
        <w:rPr>
          <w:i/>
        </w:rPr>
        <w:t>Create CWA Model</w:t>
      </w:r>
      <w:r w:rsidRPr="001F159D">
        <w:t xml:space="preserve">” is clicked. The button activated a </w:t>
      </w:r>
      <w:r w:rsidRPr="003054AF">
        <w:rPr>
          <w:noProof/>
        </w:rPr>
        <w:t>dialog</w:t>
      </w:r>
      <w:r w:rsidR="00DE7B53">
        <w:rPr>
          <w:noProof/>
        </w:rPr>
        <w:t>box</w:t>
      </w:r>
      <w:r w:rsidRPr="001F159D">
        <w:t xml:space="preserve"> to enter the name of the new project </w:t>
      </w:r>
      <w:r w:rsidRPr="001F159D">
        <w:lastRenderedPageBreak/>
        <w:t xml:space="preserve">and the construction type of the building. </w:t>
      </w:r>
      <w:r w:rsidR="00DE7B53">
        <w:t xml:space="preserve">The </w:t>
      </w:r>
      <w:r w:rsidR="00C94509">
        <w:t xml:space="preserve">completed dislogbox </w:t>
      </w:r>
      <w:r w:rsidRPr="001F159D">
        <w:t xml:space="preserve">will initiate the creation of the </w:t>
      </w:r>
      <w:r w:rsidR="0009437E">
        <w:t xml:space="preserve">CWA </w:t>
      </w:r>
      <w:r w:rsidRPr="001F159D">
        <w:t>report</w:t>
      </w:r>
      <w:r w:rsidR="003923EE">
        <w:t>,</w:t>
      </w:r>
      <w:r w:rsidRPr="001F159D">
        <w:t xml:space="preserve"> and the “</w:t>
      </w:r>
      <w:r w:rsidRPr="0009437E">
        <w:rPr>
          <w:i/>
        </w:rPr>
        <w:t>Reports</w:t>
      </w:r>
      <w:r w:rsidRPr="001F159D">
        <w:t xml:space="preserve">” button displays previous </w:t>
      </w:r>
      <w:r>
        <w:t>CWA</w:t>
      </w:r>
      <w:r w:rsidRPr="001F159D">
        <w:t xml:space="preserve"> </w:t>
      </w:r>
      <w:r w:rsidR="0009437E">
        <w:t>reports</w:t>
      </w:r>
      <w:r w:rsidRPr="001F159D">
        <w:t>.</w:t>
      </w:r>
    </w:p>
    <w:p w14:paraId="72C54704" w14:textId="77777777" w:rsidR="00FC037D" w:rsidRPr="001F159D" w:rsidRDefault="00FC037D" w:rsidP="0072282C">
      <w:pPr>
        <w:spacing w:line="480" w:lineRule="auto"/>
        <w:jc w:val="center"/>
        <w:rPr>
          <w:i/>
        </w:rPr>
      </w:pPr>
      <w:r w:rsidRPr="001F159D">
        <w:rPr>
          <w:noProof/>
        </w:rPr>
        <w:drawing>
          <wp:inline distT="0" distB="0" distL="0" distR="0" wp14:anchorId="64AA8B32" wp14:editId="057EF6F7">
            <wp:extent cx="5239507" cy="114886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t="11409"/>
                    <a:stretch/>
                  </pic:blipFill>
                  <pic:spPr bwMode="auto">
                    <a:xfrm>
                      <a:off x="0" y="0"/>
                      <a:ext cx="5299551" cy="1162028"/>
                    </a:xfrm>
                    <a:prstGeom prst="rect">
                      <a:avLst/>
                    </a:prstGeom>
                    <a:noFill/>
                    <a:ln>
                      <a:noFill/>
                    </a:ln>
                    <a:extLst>
                      <a:ext uri="{53640926-AAD7-44D8-BBD7-CCE9431645EC}">
                        <a14:shadowObscured xmlns:a14="http://schemas.microsoft.com/office/drawing/2010/main"/>
                      </a:ext>
                    </a:extLst>
                  </pic:spPr>
                </pic:pic>
              </a:graphicData>
            </a:graphic>
          </wp:inline>
        </w:drawing>
      </w:r>
    </w:p>
    <w:p w14:paraId="154268A1" w14:textId="1B2C99BB" w:rsidR="00FC037D" w:rsidRPr="001F159D" w:rsidRDefault="00FC037D" w:rsidP="0072282C">
      <w:pPr>
        <w:spacing w:line="480" w:lineRule="auto"/>
        <w:jc w:val="center"/>
      </w:pPr>
      <w:bookmarkStart w:id="22" w:name="_Ref514417857"/>
      <w:r w:rsidRPr="001F159D">
        <w:rPr>
          <w:i/>
        </w:rPr>
        <w:t xml:space="preserve">Figure </w:t>
      </w:r>
      <w:r w:rsidRPr="001F159D">
        <w:rPr>
          <w:i/>
        </w:rPr>
        <w:fldChar w:fldCharType="begin"/>
      </w:r>
      <w:r w:rsidRPr="001F159D">
        <w:rPr>
          <w:i/>
        </w:rPr>
        <w:instrText xml:space="preserve"> SEQ Figure \* ARABIC </w:instrText>
      </w:r>
      <w:r w:rsidRPr="001F159D">
        <w:rPr>
          <w:i/>
        </w:rPr>
        <w:fldChar w:fldCharType="separate"/>
      </w:r>
      <w:r w:rsidR="00AC780E">
        <w:rPr>
          <w:i/>
          <w:noProof/>
        </w:rPr>
        <w:t>7</w:t>
      </w:r>
      <w:r w:rsidRPr="001F159D">
        <w:rPr>
          <w:i/>
        </w:rPr>
        <w:fldChar w:fldCharType="end"/>
      </w:r>
      <w:bookmarkEnd w:id="22"/>
      <w:r w:rsidRPr="001F159D">
        <w:rPr>
          <w:i/>
        </w:rPr>
        <w:t xml:space="preserve">: </w:t>
      </w:r>
      <w:r w:rsidR="00A148B6">
        <w:rPr>
          <w:i/>
        </w:rPr>
        <w:t>BIM tool</w:t>
      </w:r>
      <w:r w:rsidRPr="001F159D">
        <w:rPr>
          <w:i/>
        </w:rPr>
        <w:t xml:space="preserve"> ribbon </w:t>
      </w:r>
      <w:r>
        <w:rPr>
          <w:i/>
        </w:rPr>
        <w:t xml:space="preserve">as </w:t>
      </w:r>
      <w:r w:rsidR="00A148B6">
        <w:rPr>
          <w:i/>
        </w:rPr>
        <w:t xml:space="preserve">a </w:t>
      </w:r>
      <w:r>
        <w:rPr>
          <w:i/>
        </w:rPr>
        <w:t>Revit add-in</w:t>
      </w:r>
    </w:p>
    <w:p w14:paraId="2FB4ABDA" w14:textId="1443AFED" w:rsidR="00FC037D" w:rsidRDefault="00FC037D" w:rsidP="0072282C">
      <w:pPr>
        <w:spacing w:line="480" w:lineRule="auto"/>
      </w:pPr>
      <w:r w:rsidRPr="001F159D">
        <w:t xml:space="preserve">A material database was created to facilitate efficient </w:t>
      </w:r>
      <w:r>
        <w:t>CWA</w:t>
      </w:r>
      <w:r w:rsidRPr="001F159D">
        <w:t xml:space="preserve">. </w:t>
      </w:r>
      <w:r w:rsidRPr="003054AF">
        <w:rPr>
          <w:noProof/>
        </w:rPr>
        <w:t>The classes</w:t>
      </w:r>
      <w:r w:rsidR="00C527B0" w:rsidRPr="003054AF">
        <w:rPr>
          <w:noProof/>
        </w:rPr>
        <w:t xml:space="preserve"> of materials in the database</w:t>
      </w:r>
      <w:r w:rsidRPr="003054AF">
        <w:rPr>
          <w:noProof/>
        </w:rPr>
        <w:t xml:space="preserve"> inclu</w:t>
      </w:r>
      <w:r w:rsidR="00551190" w:rsidRPr="003054AF">
        <w:rPr>
          <w:noProof/>
        </w:rPr>
        <w:t xml:space="preserve">de: (a) All_Material_Class (A) </w:t>
      </w:r>
      <w:r w:rsidRPr="003054AF">
        <w:rPr>
          <w:noProof/>
        </w:rPr>
        <w:t>contains all materials from Revit database; (b) Unknown_M</w:t>
      </w:r>
      <w:r w:rsidR="00551190" w:rsidRPr="003054AF">
        <w:rPr>
          <w:noProof/>
        </w:rPr>
        <w:t xml:space="preserve">aterial (K) </w:t>
      </w:r>
      <w:r w:rsidRPr="003054AF">
        <w:rPr>
          <w:noProof/>
        </w:rPr>
        <w:t xml:space="preserve">contains the materials that </w:t>
      </w:r>
      <w:r w:rsidR="00330707" w:rsidRPr="003054AF">
        <w:rPr>
          <w:noProof/>
        </w:rPr>
        <w:t>are unknown</w:t>
      </w:r>
      <w:r w:rsidRPr="003054AF">
        <w:rPr>
          <w:noProof/>
        </w:rPr>
        <w:t>; i.e. "Generic", "Miscellaneous", "Unassigned"; (c) Exception_Material_Class (X)</w:t>
      </w:r>
      <w:r w:rsidR="00330707" w:rsidRPr="003054AF">
        <w:rPr>
          <w:noProof/>
        </w:rPr>
        <w:t xml:space="preserve"> </w:t>
      </w:r>
      <w:r w:rsidRPr="003054AF">
        <w:rPr>
          <w:noProof/>
        </w:rPr>
        <w:t>contains the materials that are excluded from the CWA</w:t>
      </w:r>
      <w:r w:rsidR="00261C71" w:rsidRPr="003054AF">
        <w:rPr>
          <w:noProof/>
        </w:rPr>
        <w:t>.</w:t>
      </w:r>
      <w:r w:rsidR="00261C71">
        <w:t xml:space="preserve"> </w:t>
      </w:r>
      <w:r w:rsidRPr="001F159D">
        <w:t xml:space="preserve">The material take-off </w:t>
      </w:r>
      <w:r w:rsidRPr="003054AF">
        <w:rPr>
          <w:noProof/>
        </w:rPr>
        <w:t>was then computed</w:t>
      </w:r>
      <w:r w:rsidRPr="001F159D">
        <w:t xml:space="preserve"> for all </w:t>
      </w:r>
      <w:r w:rsidRPr="003054AF">
        <w:rPr>
          <w:noProof/>
        </w:rPr>
        <w:t>valid</w:t>
      </w:r>
      <w:r w:rsidRPr="001F159D">
        <w:t xml:space="preserve"> material ‘x’ using the set calculation in Equation </w:t>
      </w:r>
      <w:r w:rsidR="000233A8">
        <w:t>9</w:t>
      </w:r>
      <w:r w:rsidRPr="001F159D">
        <w: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867"/>
      </w:tblGrid>
      <w:tr w:rsidR="00FC037D" w:rsidRPr="0090171C" w14:paraId="3A54AA69" w14:textId="77777777" w:rsidTr="00E67AA3">
        <w:tc>
          <w:tcPr>
            <w:tcW w:w="8136" w:type="dxa"/>
            <w:vAlign w:val="center"/>
          </w:tcPr>
          <w:p w14:paraId="413188FC" w14:textId="0020272E" w:rsidR="00FC037D" w:rsidRPr="0090171C" w:rsidRDefault="009E76D2" w:rsidP="0072282C">
            <w:pPr>
              <w:spacing w:line="480" w:lineRule="auto"/>
            </w:pPr>
            <m:oMathPara>
              <m:oMath>
                <m:r>
                  <w:rPr>
                    <w:rFonts w:ascii="Cambria Math" w:hAnsi="Cambria Math"/>
                  </w:rPr>
                  <m:t>x∈</m:t>
                </m:r>
                <m:d>
                  <m:dPr>
                    <m:ctrlPr>
                      <w:rPr>
                        <w:rFonts w:ascii="Cambria Math" w:hAnsi="Cambria Math"/>
                        <w:i/>
                      </w:rPr>
                    </m:ctrlPr>
                  </m:dPr>
                  <m:e>
                    <m:r>
                      <w:rPr>
                        <w:rFonts w:ascii="Cambria Math" w:hAnsi="Cambria Math"/>
                      </w:rPr>
                      <m:t>A∪K</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t>
                    </m:r>
                  </m:sup>
                </m:sSup>
                <m:r>
                  <w:rPr>
                    <w:rFonts w:ascii="Cambria Math" w:hAnsi="Cambria Math"/>
                  </w:rPr>
                  <m:t xml:space="preserve">               </m:t>
                </m:r>
              </m:oMath>
            </m:oMathPara>
          </w:p>
        </w:tc>
        <w:tc>
          <w:tcPr>
            <w:tcW w:w="867" w:type="dxa"/>
            <w:vAlign w:val="center"/>
          </w:tcPr>
          <w:p w14:paraId="24610DA1" w14:textId="17F8E655" w:rsidR="00FC037D" w:rsidRPr="0090171C" w:rsidRDefault="00FC037D" w:rsidP="0072282C">
            <w:pPr>
              <w:spacing w:line="480" w:lineRule="auto"/>
            </w:pPr>
            <w:r>
              <w:t>(</w:t>
            </w:r>
            <w:r w:rsidR="00150399">
              <w:rPr>
                <w:noProof/>
              </w:rPr>
              <w:fldChar w:fldCharType="begin"/>
            </w:r>
            <w:r w:rsidR="00150399">
              <w:rPr>
                <w:noProof/>
                <w:sz w:val="24"/>
                <w:szCs w:val="24"/>
              </w:rPr>
              <w:instrText xml:space="preserve"> SEQ Equations \* MERGEFORMAT  \* MERGEFORMAT </w:instrText>
            </w:r>
            <w:r w:rsidR="00150399">
              <w:rPr>
                <w:noProof/>
              </w:rPr>
              <w:fldChar w:fldCharType="separate"/>
            </w:r>
            <w:r w:rsidR="00AC780E">
              <w:rPr>
                <w:noProof/>
              </w:rPr>
              <w:t>9</w:t>
            </w:r>
            <w:r w:rsidR="00150399">
              <w:rPr>
                <w:noProof/>
              </w:rPr>
              <w:fldChar w:fldCharType="end"/>
            </w:r>
            <w:r w:rsidRPr="0090171C">
              <w:t>)</w:t>
            </w:r>
          </w:p>
        </w:tc>
      </w:tr>
    </w:tbl>
    <w:p w14:paraId="5D1A5E93" w14:textId="36FA436F" w:rsidR="00FC037D" w:rsidRDefault="00FC037D" w:rsidP="0072282C">
      <w:pPr>
        <w:spacing w:line="480" w:lineRule="auto"/>
        <w:rPr>
          <w:rFonts w:eastAsiaTheme="minorEastAsia"/>
        </w:rPr>
      </w:pPr>
      <w:r>
        <w:t>The material take-off</w:t>
      </w:r>
      <w:r w:rsidRPr="001F159D">
        <w:t xml:space="preserve"> </w:t>
      </w:r>
      <w:r w:rsidR="00095716">
        <w:t>was</w:t>
      </w:r>
      <w:r w:rsidRPr="001F159D">
        <w:t xml:space="preserve"> </w:t>
      </w:r>
      <w:r>
        <w:t>extracted from the building design t</w:t>
      </w:r>
      <w:r w:rsidRPr="001F159D">
        <w:t xml:space="preserve">o automate </w:t>
      </w:r>
      <w:r>
        <w:t>the CW</w:t>
      </w:r>
      <w:r w:rsidRPr="001F159D">
        <w:t xml:space="preserve"> quantification process. The material take-off provides a list of building components</w:t>
      </w:r>
      <w:r w:rsidR="003054AF">
        <w:t>,</w:t>
      </w:r>
      <w:r w:rsidRPr="001F159D">
        <w:t xml:space="preserve"> </w:t>
      </w:r>
      <w:r w:rsidRPr="003054AF">
        <w:rPr>
          <w:noProof/>
        </w:rPr>
        <w:t>and</w:t>
      </w:r>
      <w:r w:rsidRPr="001F159D">
        <w:t xml:space="preserve"> their properties (dimensions, area, volume) </w:t>
      </w:r>
      <w:r w:rsidRPr="003054AF">
        <w:rPr>
          <w:noProof/>
        </w:rPr>
        <w:t>were aggregated</w:t>
      </w:r>
      <w:r w:rsidRPr="001F159D">
        <w:t xml:space="preserve">. In addition to this, floor levels and the GFA </w:t>
      </w:r>
      <w:r w:rsidR="005E2E87" w:rsidRPr="003054AF">
        <w:rPr>
          <w:noProof/>
        </w:rPr>
        <w:t>were</w:t>
      </w:r>
      <w:r w:rsidRPr="003054AF">
        <w:rPr>
          <w:noProof/>
        </w:rPr>
        <w:t xml:space="preserve"> also computed</w:t>
      </w:r>
      <w:r w:rsidRPr="001F159D">
        <w:t xml:space="preserve">. Given a set of floor levels </w:t>
      </w:r>
      <m:oMath>
        <m:r>
          <w:rPr>
            <w:rFonts w:ascii="Cambria Math" w:hAnsi="Cambria Math"/>
          </w:rPr>
          <m:t>L={</m:t>
        </m:r>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3</m:t>
            </m:r>
          </m:sub>
        </m:sSub>
        <m:r>
          <w:rPr>
            <w:rFonts w:ascii="Cambria Math" w:hAnsi="Cambria Math"/>
          </w:rPr>
          <m:t xml:space="preserve">, …, </m:t>
        </m:r>
        <m:sSub>
          <m:sSubPr>
            <m:ctrlPr>
              <w:rPr>
                <w:rFonts w:ascii="Cambria Math" w:hAnsi="Cambria Math"/>
                <w:i/>
              </w:rPr>
            </m:ctrlPr>
          </m:sSubPr>
          <m:e>
            <m:r>
              <w:rPr>
                <w:rFonts w:ascii="Cambria Math" w:hAnsi="Cambria Math"/>
              </w:rPr>
              <m:t>L</m:t>
            </m:r>
          </m:e>
          <m:sub>
            <m:r>
              <w:rPr>
                <w:rFonts w:ascii="Cambria Math" w:hAnsi="Cambria Math"/>
              </w:rPr>
              <m:t>n</m:t>
            </m:r>
          </m:sub>
        </m:sSub>
        <m:r>
          <w:rPr>
            <w:rFonts w:ascii="Cambria Math" w:hAnsi="Cambria Math"/>
          </w:rPr>
          <m:t>}</m:t>
        </m:r>
      </m:oMath>
      <w:r w:rsidRPr="001F159D">
        <w:rPr>
          <w:rFonts w:eastAsiaTheme="minorEastAsia"/>
        </w:rPr>
        <w:t xml:space="preserve">, the </w:t>
      </w:r>
      <w:r w:rsidR="006C50D2">
        <w:rPr>
          <w:rFonts w:eastAsiaTheme="minorEastAsia"/>
        </w:rPr>
        <w:t>GFA is computed using Equation 10</w:t>
      </w:r>
      <w:r w:rsidRPr="001F159D">
        <w:rPr>
          <w:rFonts w:eastAsiaTheme="minorEastAsia"/>
        </w:rPr>
        <w:t>.</w:t>
      </w:r>
      <w:r>
        <w:rPr>
          <w:rFonts w:eastAsiaTheme="minorEastAsia"/>
        </w:rPr>
        <w:t xml:space="preserve"> </w:t>
      </w:r>
      <w:r w:rsidRPr="001F159D">
        <w:rPr>
          <w:rFonts w:eastAsiaTheme="minorEastAsia"/>
        </w:rPr>
        <w:t>Accordingly, the building materials and elements in the material take-off are aggregated using th</w:t>
      </w:r>
      <w:r>
        <w:rPr>
          <w:rFonts w:eastAsiaTheme="minorEastAsia"/>
        </w:rPr>
        <w:t xml:space="preserve">e floor level filter benchmark to </w:t>
      </w:r>
      <w:r w:rsidRPr="001F159D">
        <w:rPr>
          <w:rFonts w:eastAsiaTheme="minorEastAsia"/>
        </w:rPr>
        <w:t xml:space="preserve">enable </w:t>
      </w:r>
      <w:r>
        <w:rPr>
          <w:rFonts w:eastAsiaTheme="minorEastAsia"/>
        </w:rPr>
        <w:t>CWA</w:t>
      </w:r>
      <w:r w:rsidRPr="001F159D">
        <w:rPr>
          <w:rFonts w:eastAsiaTheme="minorEastAsia"/>
        </w:rPr>
        <w:t xml:space="preserve"> by building levels.</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6"/>
        <w:gridCol w:w="867"/>
      </w:tblGrid>
      <w:tr w:rsidR="009E76D2" w:rsidRPr="0090171C" w14:paraId="3FC0AA61" w14:textId="77777777" w:rsidTr="00B00B63">
        <w:tc>
          <w:tcPr>
            <w:tcW w:w="8136" w:type="dxa"/>
            <w:vAlign w:val="center"/>
          </w:tcPr>
          <w:p w14:paraId="4D10C6BF" w14:textId="607E0E9B" w:rsidR="009E76D2" w:rsidRPr="006C50D2" w:rsidRDefault="006C50D2" w:rsidP="0072282C">
            <w:pPr>
              <w:spacing w:line="480" w:lineRule="auto"/>
              <w:rPr>
                <w:rFonts w:eastAsiaTheme="minorEastAsia"/>
              </w:rPr>
            </w:pPr>
            <m:oMathPara>
              <m:oMath>
                <m:r>
                  <w:rPr>
                    <w:rFonts w:ascii="Cambria Math" w:hAnsi="Cambria Math"/>
                    <w:sz w:val="24"/>
                  </w:rPr>
                  <w:lastRenderedPageBreak/>
                  <m:t xml:space="preserve">GFA= </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r>
                      <w:rPr>
                        <w:rFonts w:ascii="Cambria Math" w:hAnsi="Cambria Math"/>
                        <w:sz w:val="24"/>
                      </w:rPr>
                      <m:t>Area(</m:t>
                    </m:r>
                    <m:sSub>
                      <m:sSubPr>
                        <m:ctrlPr>
                          <w:rPr>
                            <w:rFonts w:ascii="Cambria Math" w:hAnsi="Cambria Math"/>
                            <w:i/>
                            <w:sz w:val="24"/>
                          </w:rPr>
                        </m:ctrlPr>
                      </m:sSubPr>
                      <m:e>
                        <m:r>
                          <w:rPr>
                            <w:rFonts w:ascii="Cambria Math" w:hAnsi="Cambria Math"/>
                            <w:sz w:val="24"/>
                          </w:rPr>
                          <m:t>L</m:t>
                        </m:r>
                      </m:e>
                      <m:sub>
                        <m:r>
                          <w:rPr>
                            <w:rFonts w:ascii="Cambria Math" w:hAnsi="Cambria Math"/>
                            <w:sz w:val="24"/>
                          </w:rPr>
                          <m:t>i</m:t>
                        </m:r>
                      </m:sub>
                    </m:sSub>
                    <m:r>
                      <w:rPr>
                        <w:rFonts w:ascii="Cambria Math" w:hAnsi="Cambria Math"/>
                        <w:sz w:val="24"/>
                      </w:rPr>
                      <m:t>)</m:t>
                    </m:r>
                  </m:e>
                </m:nary>
              </m:oMath>
            </m:oMathPara>
          </w:p>
        </w:tc>
        <w:tc>
          <w:tcPr>
            <w:tcW w:w="867" w:type="dxa"/>
            <w:vAlign w:val="center"/>
          </w:tcPr>
          <w:p w14:paraId="17A5692D" w14:textId="6BE7500D" w:rsidR="009E76D2" w:rsidRPr="0090171C" w:rsidRDefault="009E76D2" w:rsidP="0072282C">
            <w:pPr>
              <w:spacing w:line="480" w:lineRule="auto"/>
            </w:pPr>
            <w:r>
              <w:t>(</w:t>
            </w:r>
            <w:r w:rsidR="00150399">
              <w:rPr>
                <w:noProof/>
              </w:rPr>
              <w:fldChar w:fldCharType="begin"/>
            </w:r>
            <w:r w:rsidR="00150399">
              <w:rPr>
                <w:noProof/>
                <w:sz w:val="24"/>
                <w:szCs w:val="24"/>
              </w:rPr>
              <w:instrText xml:space="preserve"> SEQ Equations \* MERGEFORMAT  \* MERGEFORMAT </w:instrText>
            </w:r>
            <w:r w:rsidR="00150399">
              <w:rPr>
                <w:noProof/>
              </w:rPr>
              <w:fldChar w:fldCharType="separate"/>
            </w:r>
            <w:r w:rsidR="00AC780E">
              <w:rPr>
                <w:noProof/>
              </w:rPr>
              <w:t>10</w:t>
            </w:r>
            <w:r w:rsidR="00150399">
              <w:rPr>
                <w:noProof/>
              </w:rPr>
              <w:fldChar w:fldCharType="end"/>
            </w:r>
            <w:r w:rsidRPr="0090171C">
              <w:t>)</w:t>
            </w:r>
          </w:p>
        </w:tc>
      </w:tr>
    </w:tbl>
    <w:p w14:paraId="21068FE8" w14:textId="39206213" w:rsidR="00FC037D" w:rsidRPr="001F159D" w:rsidRDefault="00FC037D" w:rsidP="0072282C">
      <w:pPr>
        <w:spacing w:line="480" w:lineRule="auto"/>
      </w:pPr>
      <w:r w:rsidRPr="001F159D">
        <w:t xml:space="preserve">The </w:t>
      </w:r>
      <w:r w:rsidR="00C94509">
        <w:t xml:space="preserve">UI of the </w:t>
      </w:r>
      <w:r>
        <w:t xml:space="preserve">CWA </w:t>
      </w:r>
      <w:r w:rsidR="006727B8">
        <w:t>report</w:t>
      </w:r>
      <w:r w:rsidR="00C94509">
        <w:t xml:space="preserve"> </w:t>
      </w:r>
      <w:r>
        <w:t xml:space="preserve">uses Bootstrap and </w:t>
      </w:r>
      <w:r w:rsidRPr="001F159D">
        <w:t xml:space="preserve">ChartJS to generate the interactive charts. </w:t>
      </w:r>
      <w:r w:rsidRPr="003054AF">
        <w:rPr>
          <w:noProof/>
        </w:rPr>
        <w:t>The report view panel contains the following: (a) building information, (b) dashboard that shows the total waste, CW management route, and disposal costs, (c) building levels information, (d) CW by element type, (e) CW by material type; CW distribution charts by element and material types, (g) building element-material CW distribution; and (h) CW dis</w:t>
      </w:r>
      <w:r w:rsidR="0042202F" w:rsidRPr="003054AF">
        <w:rPr>
          <w:noProof/>
        </w:rPr>
        <w:t>tribution by levels.</w:t>
      </w:r>
      <w:r w:rsidR="0042202F">
        <w:t xml:space="preserve"> </w:t>
      </w:r>
      <w:r w:rsidR="006C50D2">
        <w:fldChar w:fldCharType="begin"/>
      </w:r>
      <w:r w:rsidR="006C50D2">
        <w:instrText xml:space="preserve"> REF _Ref514419127 \h </w:instrText>
      </w:r>
      <w:r w:rsidR="0072282C">
        <w:instrText xml:space="preserve"> \* MERGEFORMAT </w:instrText>
      </w:r>
      <w:r w:rsidR="006C50D2">
        <w:fldChar w:fldCharType="separate"/>
      </w:r>
      <w:r w:rsidR="00AC780E" w:rsidRPr="001F159D">
        <w:t xml:space="preserve">Figure </w:t>
      </w:r>
      <w:r w:rsidR="00AC780E">
        <w:rPr>
          <w:noProof/>
        </w:rPr>
        <w:t>8</w:t>
      </w:r>
      <w:r w:rsidR="006C50D2">
        <w:fldChar w:fldCharType="end"/>
      </w:r>
      <w:r w:rsidR="006C50D2">
        <w:t xml:space="preserve"> </w:t>
      </w:r>
      <w:r w:rsidR="008738B4">
        <w:t>to Figure 10</w:t>
      </w:r>
      <w:r w:rsidRPr="001F159D">
        <w:t xml:space="preserve"> show sections </w:t>
      </w:r>
      <w:r>
        <w:t>from</w:t>
      </w:r>
      <w:r w:rsidRPr="001F159D">
        <w:t xml:space="preserve"> a sample </w:t>
      </w:r>
      <w:r>
        <w:t>CWA</w:t>
      </w:r>
      <w:r w:rsidRPr="001F159D">
        <w:t xml:space="preserve"> report. </w:t>
      </w:r>
    </w:p>
    <w:p w14:paraId="13CB7912" w14:textId="77777777" w:rsidR="00FC037D" w:rsidRPr="001F159D" w:rsidRDefault="00FC037D" w:rsidP="0072282C">
      <w:pPr>
        <w:pStyle w:val="NoSpacing"/>
        <w:keepNext/>
        <w:spacing w:line="480" w:lineRule="auto"/>
        <w:jc w:val="center"/>
      </w:pPr>
      <w:r w:rsidRPr="001F159D">
        <w:rPr>
          <w:noProof/>
        </w:rPr>
        <w:lastRenderedPageBreak/>
        <w:drawing>
          <wp:inline distT="0" distB="0" distL="0" distR="0" wp14:anchorId="221D63F6" wp14:editId="405F8DB3">
            <wp:extent cx="4990656" cy="2046918"/>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5158669" cy="2115829"/>
                    </a:xfrm>
                    <a:prstGeom prst="rect">
                      <a:avLst/>
                    </a:prstGeom>
                  </pic:spPr>
                </pic:pic>
              </a:graphicData>
            </a:graphic>
          </wp:inline>
        </w:drawing>
      </w:r>
    </w:p>
    <w:p w14:paraId="45A39A50" w14:textId="13D7A5D5" w:rsidR="00FC037D" w:rsidRPr="001F159D" w:rsidRDefault="00FC037D" w:rsidP="00C94509">
      <w:pPr>
        <w:pStyle w:val="Caption"/>
        <w:spacing w:line="480" w:lineRule="auto"/>
      </w:pPr>
      <w:bookmarkStart w:id="23" w:name="_Ref514419127"/>
      <w:r w:rsidRPr="001F159D">
        <w:t xml:space="preserve">Figure </w:t>
      </w:r>
      <w:r w:rsidRPr="001F159D">
        <w:fldChar w:fldCharType="begin"/>
      </w:r>
      <w:r w:rsidRPr="001F159D">
        <w:instrText xml:space="preserve"> SEQ Figure \* ARABIC </w:instrText>
      </w:r>
      <w:r w:rsidRPr="001F159D">
        <w:fldChar w:fldCharType="separate"/>
      </w:r>
      <w:r w:rsidR="00AC780E">
        <w:rPr>
          <w:noProof/>
        </w:rPr>
        <w:t>8</w:t>
      </w:r>
      <w:r w:rsidRPr="001F159D">
        <w:fldChar w:fldCharType="end"/>
      </w:r>
      <w:bookmarkEnd w:id="23"/>
      <w:r>
        <w:t>: D</w:t>
      </w:r>
      <w:r w:rsidRPr="001F159D">
        <w:t xml:space="preserve">ashboard of a </w:t>
      </w:r>
      <w:r w:rsidR="002A2ED9">
        <w:t>A-WAS</w:t>
      </w:r>
      <w:r w:rsidRPr="001F159D">
        <w:t xml:space="preserve"> report</w:t>
      </w:r>
    </w:p>
    <w:p w14:paraId="3063B81E" w14:textId="77777777" w:rsidR="00FC037D" w:rsidRPr="001F159D" w:rsidRDefault="00FC037D" w:rsidP="0072282C">
      <w:pPr>
        <w:pStyle w:val="NoSpacing"/>
        <w:keepNext/>
        <w:spacing w:line="480" w:lineRule="auto"/>
        <w:jc w:val="center"/>
      </w:pPr>
      <w:r w:rsidRPr="001F159D">
        <w:rPr>
          <w:noProof/>
        </w:rPr>
        <w:drawing>
          <wp:inline distT="0" distB="0" distL="0" distR="0" wp14:anchorId="34D7002B" wp14:editId="527B3A67">
            <wp:extent cx="3744310" cy="2895600"/>
            <wp:effectExtent l="0" t="0" r="254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3783645" cy="2926019"/>
                    </a:xfrm>
                    <a:prstGeom prst="rect">
                      <a:avLst/>
                    </a:prstGeom>
                  </pic:spPr>
                </pic:pic>
              </a:graphicData>
            </a:graphic>
          </wp:inline>
        </w:drawing>
      </w:r>
      <w:bookmarkStart w:id="24" w:name="_Toc475705329"/>
    </w:p>
    <w:p w14:paraId="7C9B348E" w14:textId="05E602B9" w:rsidR="00FC037D" w:rsidRDefault="00FC037D" w:rsidP="0072282C">
      <w:pPr>
        <w:pStyle w:val="Caption"/>
        <w:spacing w:line="480" w:lineRule="auto"/>
      </w:pPr>
      <w:r w:rsidRPr="001F159D">
        <w:t xml:space="preserve">Figure </w:t>
      </w:r>
      <w:r w:rsidRPr="001F159D">
        <w:fldChar w:fldCharType="begin"/>
      </w:r>
      <w:r w:rsidRPr="001F159D">
        <w:instrText xml:space="preserve"> SEQ Figure \* ARABIC </w:instrText>
      </w:r>
      <w:r w:rsidRPr="001F159D">
        <w:fldChar w:fldCharType="separate"/>
      </w:r>
      <w:r w:rsidR="00AC780E">
        <w:rPr>
          <w:noProof/>
        </w:rPr>
        <w:t>9</w:t>
      </w:r>
      <w:r w:rsidRPr="001F159D">
        <w:fldChar w:fldCharType="end"/>
      </w:r>
      <w:r w:rsidRPr="001F159D">
        <w:t>: Construction waste distribution by levels</w:t>
      </w:r>
    </w:p>
    <w:p w14:paraId="64033691" w14:textId="77777777" w:rsidR="002834EE" w:rsidRPr="002834EE" w:rsidRDefault="002834EE" w:rsidP="002834EE"/>
    <w:bookmarkEnd w:id="24"/>
    <w:p w14:paraId="5CA8E1FE" w14:textId="20E84576" w:rsidR="002834EE" w:rsidRPr="001F159D" w:rsidRDefault="00C94509" w:rsidP="002834EE">
      <w:pPr>
        <w:pStyle w:val="NoSpacing"/>
        <w:spacing w:line="480" w:lineRule="auto"/>
        <w:jc w:val="center"/>
      </w:pPr>
      <w:r>
        <w:rPr>
          <w:noProof/>
        </w:rPr>
        <w:lastRenderedPageBreak/>
        <w:drawing>
          <wp:inline distT="0" distB="0" distL="0" distR="0" wp14:anchorId="09BD87BA" wp14:editId="114D2738">
            <wp:extent cx="4588042" cy="2621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a14:imgEffect>
                                <a14:sharpenSoften amount="50000"/>
                              </a14:imgEffect>
                            </a14:imgLayer>
                          </a14:imgProps>
                        </a:ext>
                      </a:extLst>
                    </a:blip>
                    <a:stretch>
                      <a:fillRect/>
                    </a:stretch>
                  </pic:blipFill>
                  <pic:spPr>
                    <a:xfrm>
                      <a:off x="0" y="0"/>
                      <a:ext cx="4607889" cy="2632933"/>
                    </a:xfrm>
                    <a:prstGeom prst="rect">
                      <a:avLst/>
                    </a:prstGeom>
                  </pic:spPr>
                </pic:pic>
              </a:graphicData>
            </a:graphic>
          </wp:inline>
        </w:drawing>
      </w:r>
    </w:p>
    <w:p w14:paraId="3A1475B5" w14:textId="570FD8AC" w:rsidR="00FC037D" w:rsidRPr="001F159D" w:rsidRDefault="00FC037D" w:rsidP="0072282C">
      <w:pPr>
        <w:pStyle w:val="Caption"/>
        <w:spacing w:line="480" w:lineRule="auto"/>
      </w:pPr>
      <w:r w:rsidRPr="001F159D">
        <w:t xml:space="preserve">Figure </w:t>
      </w:r>
      <w:r w:rsidRPr="001F159D">
        <w:fldChar w:fldCharType="begin"/>
      </w:r>
      <w:r w:rsidRPr="001F159D">
        <w:instrText xml:space="preserve"> SEQ Figure \* ARABIC </w:instrText>
      </w:r>
      <w:r w:rsidRPr="001F159D">
        <w:fldChar w:fldCharType="separate"/>
      </w:r>
      <w:r w:rsidR="00AC780E">
        <w:rPr>
          <w:noProof/>
        </w:rPr>
        <w:t>10</w:t>
      </w:r>
      <w:r w:rsidRPr="001F159D">
        <w:fldChar w:fldCharType="end"/>
      </w:r>
      <w:r w:rsidRPr="001F159D">
        <w:t>: Construction waste distribution by material types</w:t>
      </w:r>
    </w:p>
    <w:p w14:paraId="688879F2" w14:textId="77777777" w:rsidR="00FC037D" w:rsidRPr="001F159D" w:rsidRDefault="00FC037D" w:rsidP="0072282C">
      <w:pPr>
        <w:pStyle w:val="Heading1"/>
        <w:spacing w:line="480" w:lineRule="auto"/>
      </w:pPr>
      <w:r w:rsidRPr="001F159D">
        <w:t>Results and discussion</w:t>
      </w:r>
    </w:p>
    <w:p w14:paraId="56BB35E5" w14:textId="691ABAFF" w:rsidR="00FC037D" w:rsidRPr="001F159D" w:rsidRDefault="00FC037D" w:rsidP="0072282C">
      <w:pPr>
        <w:spacing w:line="480" w:lineRule="auto"/>
      </w:pPr>
      <w:r w:rsidRPr="001F159D">
        <w:t xml:space="preserve">This study tackles CW prediction by adopting the five BIM strategies proposed by Akinade </w:t>
      </w:r>
      <w:r w:rsidRPr="001F159D">
        <w:rPr>
          <w:i/>
        </w:rPr>
        <w:t xml:space="preserve">et al. </w:t>
      </w:r>
      <w:r w:rsidRPr="001F159D">
        <w:t xml:space="preserve">(2018). </w:t>
      </w:r>
      <w:r w:rsidRPr="003054AF">
        <w:rPr>
          <w:noProof/>
        </w:rPr>
        <w:t xml:space="preserve">After a careful consideration of the BIM strategies, </w:t>
      </w:r>
      <w:r w:rsidR="00260384" w:rsidRPr="003054AF">
        <w:rPr>
          <w:noProof/>
        </w:rPr>
        <w:t xml:space="preserve">the </w:t>
      </w:r>
      <w:r w:rsidR="00876A36">
        <w:rPr>
          <w:noProof/>
        </w:rPr>
        <w:t>A-WAS</w:t>
      </w:r>
      <w:r w:rsidR="00260384" w:rsidRPr="003054AF">
        <w:rPr>
          <w:noProof/>
        </w:rPr>
        <w:t xml:space="preserve"> tool</w:t>
      </w:r>
      <w:r w:rsidRPr="003054AF">
        <w:rPr>
          <w:noProof/>
        </w:rPr>
        <w:t xml:space="preserve"> aligns with th</w:t>
      </w:r>
      <w:r w:rsidR="00BF10D7" w:rsidRPr="003054AF">
        <w:rPr>
          <w:noProof/>
        </w:rPr>
        <w:t>ese strategies as follows: (i) i</w:t>
      </w:r>
      <w:r w:rsidRPr="003054AF">
        <w:rPr>
          <w:noProof/>
        </w:rPr>
        <w:t xml:space="preserve">mproved collaboration for waste management is achieved by enabling the ability to share CW information among stakeholders and the </w:t>
      </w:r>
      <w:r w:rsidR="0017014F" w:rsidRPr="003054AF">
        <w:rPr>
          <w:noProof/>
        </w:rPr>
        <w:t>adoption</w:t>
      </w:r>
      <w:r w:rsidRPr="003054AF">
        <w:rPr>
          <w:noProof/>
        </w:rPr>
        <w:t xml:space="preserve"> of BIM as a coordination tool for des</w:t>
      </w:r>
      <w:r w:rsidR="00BF10D7" w:rsidRPr="003054AF">
        <w:rPr>
          <w:noProof/>
        </w:rPr>
        <w:t>igning out CW</w:t>
      </w:r>
      <w:r w:rsidR="00876A36">
        <w:rPr>
          <w:noProof/>
        </w:rPr>
        <w:t>;</w:t>
      </w:r>
      <w:r w:rsidR="00BF10D7" w:rsidRPr="003054AF">
        <w:rPr>
          <w:noProof/>
        </w:rPr>
        <w:t xml:space="preserve"> (ii) w</w:t>
      </w:r>
      <w:r w:rsidRPr="003054AF">
        <w:rPr>
          <w:noProof/>
        </w:rPr>
        <w:t xml:space="preserve">aste-driven design process and solutions was achieved through automatic </w:t>
      </w:r>
      <w:r w:rsidR="00BF10D7" w:rsidRPr="003054AF">
        <w:rPr>
          <w:noProof/>
        </w:rPr>
        <w:t xml:space="preserve">waste performance </w:t>
      </w:r>
      <w:r w:rsidRPr="003054AF">
        <w:rPr>
          <w:noProof/>
        </w:rPr>
        <w:t xml:space="preserve">analysis </w:t>
      </w:r>
      <w:r w:rsidR="00BF10D7" w:rsidRPr="003054AF">
        <w:rPr>
          <w:noProof/>
        </w:rPr>
        <w:t>of building models</w:t>
      </w:r>
      <w:r w:rsidR="00876A36">
        <w:rPr>
          <w:noProof/>
        </w:rPr>
        <w:t>;</w:t>
      </w:r>
      <w:r w:rsidR="00BF10D7">
        <w:t xml:space="preserve"> (iii) </w:t>
      </w:r>
      <w:r w:rsidR="00BF10D7" w:rsidRPr="003054AF">
        <w:rPr>
          <w:noProof/>
        </w:rPr>
        <w:t>l</w:t>
      </w:r>
      <w:r w:rsidRPr="003054AF">
        <w:rPr>
          <w:noProof/>
        </w:rPr>
        <w:t>ifecycle waste analytics was achieved in BIM by supporting CWA at various lifecycle stages and whole-life preservation of CW information</w:t>
      </w:r>
      <w:r w:rsidR="00876A36">
        <w:rPr>
          <w:noProof/>
        </w:rPr>
        <w:t>;</w:t>
      </w:r>
      <w:r w:rsidRPr="003054AF">
        <w:rPr>
          <w:noProof/>
        </w:rPr>
        <w:t xml:space="preserve"> (iv) </w:t>
      </w:r>
      <w:r w:rsidR="00BF10D7" w:rsidRPr="003054AF">
        <w:rPr>
          <w:noProof/>
        </w:rPr>
        <w:t>i</w:t>
      </w:r>
      <w:r w:rsidRPr="003054AF">
        <w:rPr>
          <w:noProof/>
        </w:rPr>
        <w:t xml:space="preserve">nnovative technologies for waste intelligence and analytics was achieve using a hybrid machine learning technique (ANFIS) </w:t>
      </w:r>
      <w:r w:rsidR="00095716">
        <w:rPr>
          <w:noProof/>
        </w:rPr>
        <w:t xml:space="preserve">and BIM </w:t>
      </w:r>
      <w:r w:rsidRPr="003054AF">
        <w:rPr>
          <w:noProof/>
        </w:rPr>
        <w:t>for building CW performance monitoring and analyses</w:t>
      </w:r>
      <w:r w:rsidR="00876A36">
        <w:rPr>
          <w:noProof/>
        </w:rPr>
        <w:t>; and</w:t>
      </w:r>
      <w:r w:rsidRPr="003054AF">
        <w:rPr>
          <w:noProof/>
        </w:rPr>
        <w:t xml:space="preserve"> (iv) improved documentation for waste management was achieved through extraction of the CW</w:t>
      </w:r>
      <w:r w:rsidR="00876A36">
        <w:rPr>
          <w:noProof/>
        </w:rPr>
        <w:t xml:space="preserve">-related </w:t>
      </w:r>
      <w:r w:rsidRPr="003054AF">
        <w:rPr>
          <w:noProof/>
        </w:rPr>
        <w:t>documents from the building designs.</w:t>
      </w:r>
    </w:p>
    <w:p w14:paraId="670F6B21" w14:textId="7FCE22FC" w:rsidR="00FC037D" w:rsidRDefault="00FC037D" w:rsidP="0072282C">
      <w:pPr>
        <w:spacing w:line="480" w:lineRule="auto"/>
      </w:pPr>
      <w:r w:rsidRPr="001F159D">
        <w:lastRenderedPageBreak/>
        <w:t xml:space="preserve">A </w:t>
      </w:r>
      <w:r w:rsidR="007B1F70" w:rsidRPr="001F159D">
        <w:t>case</w:t>
      </w:r>
      <w:r w:rsidR="00872F81">
        <w:t xml:space="preserve"> study</w:t>
      </w:r>
      <w:r w:rsidR="007B1F70" w:rsidRPr="001F159D">
        <w:t xml:space="preserve"> was </w:t>
      </w:r>
      <w:r w:rsidR="00876A36">
        <w:t>used</w:t>
      </w:r>
      <w:r w:rsidR="007B1F70" w:rsidRPr="001F159D">
        <w:t xml:space="preserve"> </w:t>
      </w:r>
      <w:r w:rsidR="00872F81">
        <w:t xml:space="preserve">to test </w:t>
      </w:r>
      <w:r w:rsidR="00473B7F">
        <w:t xml:space="preserve">the </w:t>
      </w:r>
      <w:r w:rsidR="00876A36">
        <w:t>A-WAS</w:t>
      </w:r>
      <w:r w:rsidR="00473B7F">
        <w:t xml:space="preserve"> tool</w:t>
      </w:r>
      <w:r w:rsidR="00872F81">
        <w:t xml:space="preserve"> </w:t>
      </w:r>
      <w:r w:rsidRPr="001F159D">
        <w:t xml:space="preserve">for prediction ability and usability. The test case </w:t>
      </w:r>
      <w:r w:rsidR="00872F81">
        <w:t xml:space="preserve">study </w:t>
      </w:r>
      <w:r w:rsidRPr="001F159D">
        <w:t>is a commercial building</w:t>
      </w:r>
      <w:r w:rsidR="003054AF">
        <w:t>,</w:t>
      </w:r>
      <w:r w:rsidRPr="001F159D">
        <w:t xml:space="preserve"> </w:t>
      </w:r>
      <w:r w:rsidR="00F26A2C" w:rsidRPr="003054AF">
        <w:rPr>
          <w:noProof/>
        </w:rPr>
        <w:t>and</w:t>
      </w:r>
      <w:r w:rsidR="00F26A2C">
        <w:t xml:space="preserve"> its des</w:t>
      </w:r>
      <w:r w:rsidR="0042202F">
        <w:t xml:space="preserve">cription </w:t>
      </w:r>
      <w:r w:rsidR="0042202F" w:rsidRPr="003054AF">
        <w:rPr>
          <w:noProof/>
        </w:rPr>
        <w:t>is presented</w:t>
      </w:r>
      <w:r w:rsidR="0042202F">
        <w:t xml:space="preserve"> in Table 7</w:t>
      </w:r>
      <w:r w:rsidRPr="001F159D">
        <w:t xml:space="preserve">. </w:t>
      </w:r>
      <w:r w:rsidR="00F26A2C">
        <w:t xml:space="preserve">The </w:t>
      </w:r>
      <w:r w:rsidR="000769F6">
        <w:t>CWA report</w:t>
      </w:r>
      <w:r w:rsidR="00F26A2C">
        <w:t xml:space="preserve"> </w:t>
      </w:r>
      <w:r w:rsidR="0050336C">
        <w:t xml:space="preserve">shows that </w:t>
      </w:r>
      <w:r w:rsidR="0050336C" w:rsidRPr="001F159D">
        <w:t>39.44 tonnes</w:t>
      </w:r>
      <w:r w:rsidR="0050336C">
        <w:t xml:space="preserve"> of waste would </w:t>
      </w:r>
      <w:r w:rsidR="0050336C" w:rsidRPr="003054AF">
        <w:rPr>
          <w:noProof/>
        </w:rPr>
        <w:t>be generated</w:t>
      </w:r>
      <w:r w:rsidR="0050336C">
        <w:t xml:space="preserve"> from the case study, i.e.,</w:t>
      </w:r>
      <w:r w:rsidR="000769F6">
        <w:t xml:space="preserve"> </w:t>
      </w:r>
      <w:r w:rsidRPr="001F159D">
        <w:t>0.0673 tonnes</w:t>
      </w:r>
      <w:r w:rsidR="007E602D">
        <w:t xml:space="preserve"> of reusable arisings</w:t>
      </w:r>
      <w:r w:rsidRPr="001F159D">
        <w:t>, 39.3048 tonnes</w:t>
      </w:r>
      <w:r w:rsidR="007E602D">
        <w:t xml:space="preserve"> of recyclable arisings</w:t>
      </w:r>
      <w:r w:rsidRPr="001F159D">
        <w:t xml:space="preserve">, and 0.0693 tonnes </w:t>
      </w:r>
      <w:r w:rsidR="007E602D">
        <w:t xml:space="preserve">that would </w:t>
      </w:r>
      <w:r w:rsidR="007E602D" w:rsidRPr="003054AF">
        <w:rPr>
          <w:noProof/>
        </w:rPr>
        <w:t>be sent</w:t>
      </w:r>
      <w:r w:rsidR="007E602D">
        <w:t xml:space="preserve"> to landfills</w:t>
      </w:r>
      <w:r w:rsidRPr="001F159D">
        <w:t xml:space="preserve">. </w:t>
      </w:r>
      <w:r w:rsidR="000769F6">
        <w:t xml:space="preserve">The breakdown of the </w:t>
      </w:r>
      <w:r w:rsidRPr="001F159D">
        <w:t>result</w:t>
      </w:r>
      <w:r w:rsidR="007431F6">
        <w:t>s according to material types</w:t>
      </w:r>
      <w:r w:rsidR="007E602D">
        <w:t xml:space="preserve"> is</w:t>
      </w:r>
      <w:r w:rsidR="003923EE">
        <w:t xml:space="preserve"> as follows</w:t>
      </w:r>
      <w:r w:rsidR="007E602D">
        <w:t>:</w:t>
      </w:r>
      <w:r w:rsidRPr="001F159D">
        <w:t xml:space="preserve"> 0.07 tonnes</w:t>
      </w:r>
      <w:r w:rsidR="003307A4">
        <w:t xml:space="preserve"> of brick, 5.63 tonnes of</w:t>
      </w:r>
      <w:r w:rsidRPr="001F159D">
        <w:t xml:space="preserve"> concrete, </w:t>
      </w:r>
      <w:r w:rsidR="003307A4">
        <w:t xml:space="preserve">0.03 tonnes of </w:t>
      </w:r>
      <w:r w:rsidRPr="001F159D">
        <w:t xml:space="preserve">gypsum, </w:t>
      </w:r>
      <w:r w:rsidR="003307A4">
        <w:t xml:space="preserve">17.42 tonnes of </w:t>
      </w:r>
      <w:r w:rsidRPr="001F159D">
        <w:t xml:space="preserve">inert, </w:t>
      </w:r>
      <w:r w:rsidR="007E602D">
        <w:t xml:space="preserve">0.57 </w:t>
      </w:r>
      <w:r w:rsidR="007E602D" w:rsidRPr="001F159D">
        <w:t>tonnes</w:t>
      </w:r>
      <w:r w:rsidR="003307A4">
        <w:t xml:space="preserve"> of metal</w:t>
      </w:r>
      <w:r w:rsidRPr="001F159D">
        <w:t xml:space="preserve">, and </w:t>
      </w:r>
      <w:r w:rsidR="003307A4" w:rsidRPr="001F159D">
        <w:t xml:space="preserve">15.71 tonnes </w:t>
      </w:r>
      <w:r w:rsidR="003307A4">
        <w:t>of mixed waste</w:t>
      </w:r>
      <w:r w:rsidRPr="001F159D">
        <w:t>.</w:t>
      </w:r>
    </w:p>
    <w:p w14:paraId="636C3A12" w14:textId="77777777" w:rsidR="0072282C" w:rsidRPr="001F159D" w:rsidRDefault="0072282C" w:rsidP="0072282C">
      <w:pPr>
        <w:spacing w:line="480" w:lineRule="auto"/>
      </w:pPr>
    </w:p>
    <w:p w14:paraId="425993B1" w14:textId="09C9801F" w:rsidR="00FC037D" w:rsidRPr="001F159D" w:rsidRDefault="00FC037D" w:rsidP="0072282C">
      <w:pPr>
        <w:pStyle w:val="Caption"/>
        <w:spacing w:line="480" w:lineRule="auto"/>
      </w:pPr>
      <w:r w:rsidRPr="001F159D">
        <w:t xml:space="preserve">Table </w:t>
      </w:r>
      <w:r w:rsidRPr="001F159D">
        <w:fldChar w:fldCharType="begin"/>
      </w:r>
      <w:r w:rsidRPr="001F159D">
        <w:instrText xml:space="preserve"> SEQ Table \* ARABIC </w:instrText>
      </w:r>
      <w:r w:rsidRPr="001F159D">
        <w:fldChar w:fldCharType="separate"/>
      </w:r>
      <w:r w:rsidR="00AC780E">
        <w:rPr>
          <w:noProof/>
        </w:rPr>
        <w:t>7</w:t>
      </w:r>
      <w:r w:rsidRPr="001F159D">
        <w:fldChar w:fldCharType="end"/>
      </w:r>
      <w:r w:rsidRPr="001F159D">
        <w:t xml:space="preserve">: Test case </w:t>
      </w:r>
      <w:r w:rsidR="00872F81">
        <w:t xml:space="preserve">study </w:t>
      </w:r>
      <w:r w:rsidRPr="001F159D">
        <w:t xml:space="preserve">for </w:t>
      </w:r>
      <w:r w:rsidR="00473B7F">
        <w:t>the BIM tool</w:t>
      </w:r>
    </w:p>
    <w:tbl>
      <w:tblPr>
        <w:tblStyle w:val="ListTable31"/>
        <w:tblW w:w="0" w:type="auto"/>
        <w:jc w:val="center"/>
        <w:tblLook w:val="04A0" w:firstRow="1" w:lastRow="0" w:firstColumn="1" w:lastColumn="0" w:noHBand="0" w:noVBand="1"/>
      </w:tblPr>
      <w:tblGrid>
        <w:gridCol w:w="3936"/>
        <w:gridCol w:w="2807"/>
      </w:tblGrid>
      <w:tr w:rsidR="00FC037D" w:rsidRPr="001F159D" w14:paraId="573A0A1C" w14:textId="77777777" w:rsidTr="00E67AA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0" w:type="auto"/>
            <w:tcBorders>
              <w:left w:val="single" w:sz="4" w:space="0" w:color="auto"/>
              <w:right w:val="single" w:sz="4" w:space="0" w:color="auto"/>
            </w:tcBorders>
          </w:tcPr>
          <w:p w14:paraId="0183C5CC" w14:textId="77777777" w:rsidR="00FC037D" w:rsidRPr="001F159D" w:rsidRDefault="00FC037D" w:rsidP="0072282C">
            <w:pPr>
              <w:spacing w:after="0" w:line="480" w:lineRule="auto"/>
              <w:rPr>
                <w:b w:val="0"/>
              </w:rPr>
            </w:pPr>
            <w:r w:rsidRPr="001F159D">
              <w:rPr>
                <w:b w:val="0"/>
              </w:rPr>
              <w:t>Test case</w:t>
            </w:r>
          </w:p>
        </w:tc>
        <w:tc>
          <w:tcPr>
            <w:tcW w:w="0" w:type="auto"/>
            <w:tcBorders>
              <w:left w:val="single" w:sz="4" w:space="0" w:color="auto"/>
            </w:tcBorders>
          </w:tcPr>
          <w:p w14:paraId="3747C414" w14:textId="6BAC6727" w:rsidR="00FC037D" w:rsidRPr="001F159D" w:rsidRDefault="00FC037D" w:rsidP="0072282C">
            <w:pPr>
              <w:spacing w:after="0" w:line="480" w:lineRule="auto"/>
              <w:cnfStyle w:val="100000000000" w:firstRow="1" w:lastRow="0" w:firstColumn="0" w:lastColumn="0" w:oddVBand="0" w:evenVBand="0" w:oddHBand="0" w:evenHBand="0" w:firstRowFirstColumn="0" w:firstRowLastColumn="0" w:lastRowFirstColumn="0" w:lastRowLastColumn="0"/>
              <w:rPr>
                <w:b w:val="0"/>
              </w:rPr>
            </w:pPr>
            <w:r w:rsidRPr="001F159D">
              <w:rPr>
                <w:b w:val="0"/>
              </w:rPr>
              <w:t xml:space="preserve">Description of </w:t>
            </w:r>
            <w:r w:rsidR="00904EA9">
              <w:rPr>
                <w:b w:val="0"/>
              </w:rPr>
              <w:t>test case study</w:t>
            </w:r>
          </w:p>
        </w:tc>
      </w:tr>
      <w:tr w:rsidR="00FC037D" w:rsidRPr="001F159D" w14:paraId="21326855" w14:textId="77777777" w:rsidTr="00E67AA3">
        <w:trPr>
          <w:cnfStyle w:val="000000100000" w:firstRow="0" w:lastRow="0" w:firstColumn="0" w:lastColumn="0" w:oddVBand="0" w:evenVBand="0" w:oddHBand="1" w:evenHBand="0" w:firstRowFirstColumn="0" w:firstRowLastColumn="0" w:lastRowFirstColumn="0" w:lastRowLastColumn="0"/>
          <w:trHeight w:val="1968"/>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tcPr>
          <w:p w14:paraId="68A2A71E" w14:textId="77777777" w:rsidR="00FC037D" w:rsidRPr="001F159D" w:rsidRDefault="00FC037D" w:rsidP="0072282C">
            <w:pPr>
              <w:spacing w:after="0" w:line="480" w:lineRule="auto"/>
              <w:jc w:val="center"/>
            </w:pPr>
            <w:r w:rsidRPr="001F159D">
              <w:rPr>
                <w:noProof/>
              </w:rPr>
              <w:drawing>
                <wp:inline distT="0" distB="0" distL="0" distR="0" wp14:anchorId="55E3854F" wp14:editId="147E12C6">
                  <wp:extent cx="2353945" cy="1477000"/>
                  <wp:effectExtent l="0" t="0" r="825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4271" cy="1489753"/>
                          </a:xfrm>
                          <a:prstGeom prst="rect">
                            <a:avLst/>
                          </a:prstGeom>
                        </pic:spPr>
                      </pic:pic>
                    </a:graphicData>
                  </a:graphic>
                </wp:inline>
              </w:drawing>
            </w:r>
          </w:p>
          <w:p w14:paraId="42F206A9" w14:textId="77777777" w:rsidR="00FC037D" w:rsidRPr="001F159D" w:rsidRDefault="00FC037D" w:rsidP="0072282C">
            <w:pPr>
              <w:spacing w:after="0" w:line="480" w:lineRule="auto"/>
            </w:pPr>
          </w:p>
        </w:tc>
        <w:tc>
          <w:tcPr>
            <w:tcW w:w="0" w:type="auto"/>
            <w:tcBorders>
              <w:left w:val="single" w:sz="4" w:space="0" w:color="auto"/>
            </w:tcBorders>
          </w:tcPr>
          <w:p w14:paraId="59F65649" w14:textId="5E58C0FA" w:rsidR="00FC037D" w:rsidRPr="001F159D" w:rsidRDefault="009C5034" w:rsidP="0072282C">
            <w:pPr>
              <w:spacing w:after="0" w:line="480" w:lineRule="auto"/>
              <w:cnfStyle w:val="000000100000" w:firstRow="0" w:lastRow="0" w:firstColumn="0" w:lastColumn="0" w:oddVBand="0" w:evenVBand="0" w:oddHBand="1" w:evenHBand="0" w:firstRowFirstColumn="0" w:firstRowLastColumn="0" w:lastRowFirstColumn="0" w:lastRowLastColumn="0"/>
            </w:pPr>
            <w:r w:rsidRPr="009C5034">
              <w:rPr>
                <w:b/>
              </w:rPr>
              <w:t>Building type</w:t>
            </w:r>
            <w:r>
              <w:t>: C</w:t>
            </w:r>
            <w:r w:rsidR="00FC037D" w:rsidRPr="001F159D">
              <w:t>ommercial</w:t>
            </w:r>
          </w:p>
          <w:p w14:paraId="5A592701" w14:textId="77777777" w:rsidR="00FC037D" w:rsidRPr="001F159D" w:rsidRDefault="00FC037D" w:rsidP="0072282C">
            <w:pPr>
              <w:spacing w:after="0" w:line="480" w:lineRule="auto"/>
              <w:cnfStyle w:val="000000100000" w:firstRow="0" w:lastRow="0" w:firstColumn="0" w:lastColumn="0" w:oddVBand="0" w:evenVBand="0" w:oddHBand="1" w:evenHBand="0" w:firstRowFirstColumn="0" w:firstRowLastColumn="0" w:lastRowFirstColumn="0" w:lastRowLastColumn="0"/>
            </w:pPr>
            <w:r w:rsidRPr="001F159D">
              <w:rPr>
                <w:b/>
              </w:rPr>
              <w:t>No of levels</w:t>
            </w:r>
            <w:r w:rsidRPr="001F159D">
              <w:t>: 5 Levels</w:t>
            </w:r>
          </w:p>
          <w:p w14:paraId="293A2E33" w14:textId="77777777" w:rsidR="00FC037D" w:rsidRPr="001F159D" w:rsidRDefault="00FC037D" w:rsidP="0072282C">
            <w:pPr>
              <w:spacing w:after="0" w:line="480" w:lineRule="auto"/>
              <w:cnfStyle w:val="000000100000" w:firstRow="0" w:lastRow="0" w:firstColumn="0" w:lastColumn="0" w:oddVBand="0" w:evenVBand="0" w:oddHBand="1" w:evenHBand="0" w:firstRowFirstColumn="0" w:firstRowLastColumn="0" w:lastRowFirstColumn="0" w:lastRowLastColumn="0"/>
            </w:pPr>
            <w:r w:rsidRPr="001F159D">
              <w:rPr>
                <w:b/>
              </w:rPr>
              <w:t>No of floors</w:t>
            </w:r>
            <w:r w:rsidRPr="001F159D">
              <w:t>: 2 Floors</w:t>
            </w:r>
          </w:p>
          <w:p w14:paraId="380B3664" w14:textId="77777777" w:rsidR="00FC037D" w:rsidRPr="001F159D" w:rsidRDefault="00FC037D" w:rsidP="0072282C">
            <w:pPr>
              <w:spacing w:after="0" w:line="480" w:lineRule="auto"/>
              <w:cnfStyle w:val="000000100000" w:firstRow="0" w:lastRow="0" w:firstColumn="0" w:lastColumn="0" w:oddVBand="0" w:evenVBand="0" w:oddHBand="1" w:evenHBand="0" w:firstRowFirstColumn="0" w:firstRowLastColumn="0" w:lastRowFirstColumn="0" w:lastRowLastColumn="0"/>
            </w:pPr>
            <w:r w:rsidRPr="001F159D">
              <w:rPr>
                <w:b/>
              </w:rPr>
              <w:t>GFA</w:t>
            </w:r>
            <w:r w:rsidRPr="001F159D">
              <w:t>: 33,952.41m</w:t>
            </w:r>
            <w:r w:rsidRPr="001F159D">
              <w:rPr>
                <w:vertAlign w:val="superscript"/>
              </w:rPr>
              <w:t>2</w:t>
            </w:r>
          </w:p>
        </w:tc>
      </w:tr>
    </w:tbl>
    <w:p w14:paraId="25D93BBA" w14:textId="77777777" w:rsidR="00FC037D" w:rsidRPr="001F159D" w:rsidRDefault="00FC037D" w:rsidP="0072282C">
      <w:pPr>
        <w:spacing w:line="480" w:lineRule="auto"/>
      </w:pPr>
    </w:p>
    <w:p w14:paraId="19D526EA" w14:textId="287BB344" w:rsidR="00FC037D" w:rsidRPr="001F159D" w:rsidRDefault="009157E2" w:rsidP="0072282C">
      <w:pPr>
        <w:spacing w:line="480" w:lineRule="auto"/>
      </w:pPr>
      <w:r w:rsidRPr="0011338C">
        <w:t xml:space="preserve">Although </w:t>
      </w:r>
      <w:r>
        <w:t xml:space="preserve">the adoption of </w:t>
      </w:r>
      <w:r w:rsidRPr="0011338C">
        <w:t>BIM for improv</w:t>
      </w:r>
      <w:r>
        <w:t xml:space="preserve">ed </w:t>
      </w:r>
      <w:r w:rsidRPr="0011338C">
        <w:t xml:space="preserve">processes </w:t>
      </w:r>
      <w:r>
        <w:t xml:space="preserve">in AEC industries is </w:t>
      </w:r>
      <w:r>
        <w:rPr>
          <w:noProof/>
        </w:rPr>
        <w:t xml:space="preserve">a key </w:t>
      </w:r>
      <w:r w:rsidRPr="0011338C">
        <w:t>competitive and operational differentiator in the construction supply chains</w:t>
      </w:r>
      <w:r>
        <w:t xml:space="preserve">; most </w:t>
      </w:r>
      <w:r w:rsidRPr="001F159D">
        <w:t xml:space="preserve">of the existing </w:t>
      </w:r>
      <w:r>
        <w:t xml:space="preserve">CW management </w:t>
      </w:r>
      <w:r w:rsidRPr="001F159D">
        <w:t>tools are not BIM compatible</w:t>
      </w:r>
      <w:r>
        <w:t>.</w:t>
      </w:r>
      <w:r w:rsidRPr="001F159D">
        <w:t xml:space="preserve"> </w:t>
      </w:r>
      <w:r w:rsidR="00473B7F" w:rsidRPr="008A107E">
        <w:rPr>
          <w:color w:val="FF0000"/>
        </w:rPr>
        <w:t xml:space="preserve">The </w:t>
      </w:r>
      <w:r w:rsidR="002A2ED9" w:rsidRPr="008A107E">
        <w:rPr>
          <w:color w:val="FF0000"/>
        </w:rPr>
        <w:t>A-WAS</w:t>
      </w:r>
      <w:r w:rsidR="00473B7F" w:rsidRPr="008A107E">
        <w:rPr>
          <w:color w:val="FF0000"/>
        </w:rPr>
        <w:t xml:space="preserve"> tool</w:t>
      </w:r>
      <w:r w:rsidR="00A4146A" w:rsidRPr="008A107E">
        <w:rPr>
          <w:color w:val="FF0000"/>
        </w:rPr>
        <w:t>’s</w:t>
      </w:r>
      <w:r w:rsidR="00FC037D" w:rsidRPr="008A107E">
        <w:rPr>
          <w:color w:val="FF0000"/>
        </w:rPr>
        <w:t xml:space="preserve"> offering in integrating CW management into BIM shows that the tool is relevant to the stakeholders of the construction supply chain</w:t>
      </w:r>
      <w:r w:rsidR="002C76FD" w:rsidRPr="008A107E">
        <w:rPr>
          <w:color w:val="FF0000"/>
        </w:rPr>
        <w:t>s</w:t>
      </w:r>
      <w:r w:rsidR="00FC037D" w:rsidRPr="008A107E">
        <w:rPr>
          <w:color w:val="FF0000"/>
        </w:rPr>
        <w:t xml:space="preserve">.  With the increasing adoption of BIM in the AEC industries and the development of improved laser scanning techniques, the number of buildings that have BIM model is rapidly </w:t>
      </w:r>
      <w:r w:rsidR="00FC037D" w:rsidRPr="008A107E">
        <w:rPr>
          <w:color w:val="FF0000"/>
        </w:rPr>
        <w:lastRenderedPageBreak/>
        <w:t xml:space="preserve">increasing. This evidence and the results of this study shows that the relevance and usefulness of </w:t>
      </w:r>
      <w:r w:rsidR="00473B7F" w:rsidRPr="008A107E">
        <w:rPr>
          <w:color w:val="FF0000"/>
        </w:rPr>
        <w:t xml:space="preserve">the </w:t>
      </w:r>
      <w:r w:rsidR="002A2ED9" w:rsidRPr="008A107E">
        <w:rPr>
          <w:color w:val="FF0000"/>
        </w:rPr>
        <w:t>A-WAS</w:t>
      </w:r>
      <w:r w:rsidR="00473B7F" w:rsidRPr="008A107E">
        <w:rPr>
          <w:color w:val="FF0000"/>
        </w:rPr>
        <w:t xml:space="preserve"> tool</w:t>
      </w:r>
      <w:r w:rsidR="00FC037D" w:rsidRPr="008A107E">
        <w:rPr>
          <w:color w:val="FF0000"/>
        </w:rPr>
        <w:t xml:space="preserve">. </w:t>
      </w:r>
      <w:r w:rsidR="00FC037D" w:rsidRPr="008A107E">
        <w:rPr>
          <w:noProof/>
          <w:color w:val="FF0000"/>
        </w:rPr>
        <w:t xml:space="preserve">The </w:t>
      </w:r>
      <w:r w:rsidR="002A2ED9" w:rsidRPr="008A107E">
        <w:rPr>
          <w:noProof/>
          <w:color w:val="FF0000"/>
        </w:rPr>
        <w:t>A-WAS</w:t>
      </w:r>
      <w:r w:rsidR="00FC037D" w:rsidRPr="008A107E">
        <w:rPr>
          <w:noProof/>
          <w:color w:val="FF0000"/>
        </w:rPr>
        <w:t xml:space="preserve"> tool can perform the following functions: (i) extraction of material take-off (list of all element according to category, materials, and volume), (ii) calculation of the GFA and floor levels, (iii) estimation of the CW arisings by building material type, component type, and level, and (iv) generation of CW analytical report.</w:t>
      </w:r>
      <w:r w:rsidR="00FC037D" w:rsidRPr="008A107E">
        <w:rPr>
          <w:color w:val="FF0000"/>
        </w:rPr>
        <w:t xml:space="preserve"> </w:t>
      </w:r>
      <w:r w:rsidR="00473B7F" w:rsidRPr="008A107E">
        <w:rPr>
          <w:color w:val="FF0000"/>
        </w:rPr>
        <w:t>The BIM tool</w:t>
      </w:r>
      <w:r w:rsidR="00FC037D" w:rsidRPr="008A107E">
        <w:rPr>
          <w:color w:val="FF0000"/>
        </w:rPr>
        <w:t xml:space="preserve"> enables users to interact and export the report. </w:t>
      </w:r>
    </w:p>
    <w:p w14:paraId="21429868" w14:textId="2B9F9FA6" w:rsidR="00FC037D" w:rsidRPr="001F159D" w:rsidRDefault="009157E2" w:rsidP="0072282C">
      <w:pPr>
        <w:spacing w:line="480" w:lineRule="auto"/>
      </w:pPr>
      <w:r>
        <w:rPr>
          <w:color w:val="FF0000"/>
        </w:rPr>
        <w:t>The</w:t>
      </w:r>
      <w:r w:rsidR="002C76FD" w:rsidRPr="004D6C80">
        <w:rPr>
          <w:color w:val="FF0000"/>
        </w:rPr>
        <w:t xml:space="preserve"> </w:t>
      </w:r>
      <w:r w:rsidR="002C76FD" w:rsidRPr="004D6C80">
        <w:rPr>
          <w:noProof/>
          <w:color w:val="FF0000"/>
        </w:rPr>
        <w:t>major</w:t>
      </w:r>
      <w:r w:rsidR="002C76FD" w:rsidRPr="004D6C80">
        <w:rPr>
          <w:color w:val="FF0000"/>
        </w:rPr>
        <w:t xml:space="preserve"> limitation of </w:t>
      </w:r>
      <w:r>
        <w:rPr>
          <w:color w:val="FF0000"/>
        </w:rPr>
        <w:t>existing</w:t>
      </w:r>
      <w:r w:rsidR="002C76FD" w:rsidRPr="004D6C80">
        <w:rPr>
          <w:color w:val="FF0000"/>
        </w:rPr>
        <w:t xml:space="preserve"> WPMs is that </w:t>
      </w:r>
      <w:r>
        <w:rPr>
          <w:color w:val="FF0000"/>
        </w:rPr>
        <w:t>they</w:t>
      </w:r>
      <w:r w:rsidR="002C76FD" w:rsidRPr="004D6C80">
        <w:rPr>
          <w:color w:val="FF0000"/>
        </w:rPr>
        <w:t xml:space="preserve"> rely on the national waste generation rates and they can be used only after the completion of the building design. </w:t>
      </w:r>
      <w:r>
        <w:rPr>
          <w:color w:val="FF0000"/>
        </w:rPr>
        <w:t xml:space="preserve">However, </w:t>
      </w:r>
      <w:r w:rsidR="00315475">
        <w:rPr>
          <w:color w:val="FF0000"/>
        </w:rPr>
        <w:t xml:space="preserve">the AWAS tool provides a computational mechanism to continuously estimate the waste arisings during the design stage. Besides, </w:t>
      </w:r>
      <w:r w:rsidR="00315475" w:rsidRPr="00315475">
        <w:rPr>
          <w:color w:val="FF0000"/>
        </w:rPr>
        <w:t>t</w:t>
      </w:r>
      <w:r w:rsidR="00FC037D" w:rsidRPr="008A107E">
        <w:rPr>
          <w:color w:val="FF0000"/>
        </w:rPr>
        <w:t xml:space="preserve">he ability of </w:t>
      </w:r>
      <w:r w:rsidR="002A2ED9" w:rsidRPr="008A107E">
        <w:rPr>
          <w:color w:val="FF0000"/>
        </w:rPr>
        <w:t>A-WAS</w:t>
      </w:r>
      <w:r w:rsidR="00473B7F" w:rsidRPr="008A107E">
        <w:rPr>
          <w:color w:val="FF0000"/>
        </w:rPr>
        <w:t xml:space="preserve"> tool</w:t>
      </w:r>
      <w:r w:rsidR="00FC037D" w:rsidRPr="008A107E">
        <w:rPr>
          <w:color w:val="FF0000"/>
        </w:rPr>
        <w:t xml:space="preserve"> to isolate the sources of CW by buildin</w:t>
      </w:r>
      <w:r w:rsidR="00694DFF" w:rsidRPr="008A107E">
        <w:rPr>
          <w:color w:val="FF0000"/>
        </w:rPr>
        <w:t>g material type, component type</w:t>
      </w:r>
      <w:r w:rsidR="00FC037D" w:rsidRPr="008A107E">
        <w:rPr>
          <w:color w:val="FF0000"/>
        </w:rPr>
        <w:t xml:space="preserve"> and levels have </w:t>
      </w:r>
      <w:r w:rsidR="00FC037D" w:rsidRPr="008A107E">
        <w:rPr>
          <w:noProof/>
          <w:color w:val="FF0000"/>
        </w:rPr>
        <w:t>huge</w:t>
      </w:r>
      <w:r w:rsidR="00FC037D" w:rsidRPr="008A107E">
        <w:rPr>
          <w:color w:val="FF0000"/>
        </w:rPr>
        <w:t xml:space="preserve"> implications for CW management. The development of the tool </w:t>
      </w:r>
      <w:r w:rsidR="00315475" w:rsidRPr="008A107E">
        <w:rPr>
          <w:color w:val="FF0000"/>
        </w:rPr>
        <w:t>also</w:t>
      </w:r>
      <w:r w:rsidR="002D1F57">
        <w:rPr>
          <w:color w:val="FF0000"/>
        </w:rPr>
        <w:t xml:space="preserve"> </w:t>
      </w:r>
      <w:r w:rsidR="00FC037D" w:rsidRPr="008A107E">
        <w:rPr>
          <w:color w:val="FF0000"/>
        </w:rPr>
        <w:t xml:space="preserve">broadens the understanding of how </w:t>
      </w:r>
      <w:r w:rsidR="002B5444" w:rsidRPr="008A107E">
        <w:rPr>
          <w:color w:val="FF0000"/>
        </w:rPr>
        <w:t>DoW factor</w:t>
      </w:r>
      <w:r w:rsidR="00FC037D" w:rsidRPr="008A107E">
        <w:rPr>
          <w:color w:val="FF0000"/>
        </w:rPr>
        <w:t xml:space="preserve"> could </w:t>
      </w:r>
      <w:r w:rsidR="00FC037D" w:rsidRPr="008A107E">
        <w:rPr>
          <w:noProof/>
          <w:color w:val="FF0000"/>
        </w:rPr>
        <w:t>be integrated</w:t>
      </w:r>
      <w:r w:rsidR="00FC037D" w:rsidRPr="008A107E">
        <w:rPr>
          <w:color w:val="FF0000"/>
        </w:rPr>
        <w:t xml:space="preserve"> into BIM software. </w:t>
      </w:r>
      <w:r w:rsidR="00473B7F" w:rsidRPr="008A107E">
        <w:rPr>
          <w:color w:val="FF0000"/>
        </w:rPr>
        <w:t>The BIM tool</w:t>
      </w:r>
      <w:r w:rsidR="00FC037D" w:rsidRPr="008A107E">
        <w:rPr>
          <w:color w:val="FF0000"/>
        </w:rPr>
        <w:t xml:space="preserve"> is therefore useful </w:t>
      </w:r>
      <w:r w:rsidR="00581B44" w:rsidRPr="008A107E">
        <w:rPr>
          <w:color w:val="FF0000"/>
        </w:rPr>
        <w:t>to several industry stakeholders</w:t>
      </w:r>
      <w:r w:rsidR="003054AF" w:rsidRPr="008A107E">
        <w:rPr>
          <w:color w:val="FF0000"/>
        </w:rPr>
        <w:t>,</w:t>
      </w:r>
      <w:r w:rsidR="00581B44" w:rsidRPr="008A107E">
        <w:rPr>
          <w:color w:val="FF0000"/>
        </w:rPr>
        <w:t xml:space="preserve"> </w:t>
      </w:r>
      <w:r w:rsidR="00581B44" w:rsidRPr="008A107E">
        <w:rPr>
          <w:noProof/>
          <w:color w:val="FF0000"/>
        </w:rPr>
        <w:t>and</w:t>
      </w:r>
      <w:r w:rsidR="00581B44" w:rsidRPr="008A107E">
        <w:rPr>
          <w:color w:val="FF0000"/>
        </w:rPr>
        <w:t xml:space="preserve"> the</w:t>
      </w:r>
      <w:r w:rsidR="00FC037D" w:rsidRPr="008A107E">
        <w:rPr>
          <w:color w:val="FF0000"/>
        </w:rPr>
        <w:t xml:space="preserve"> implications for practice on the construction supply </w:t>
      </w:r>
      <w:r w:rsidR="006348AF" w:rsidRPr="008A107E">
        <w:rPr>
          <w:noProof/>
          <w:color w:val="FF0000"/>
        </w:rPr>
        <w:t>chains</w:t>
      </w:r>
      <w:r w:rsidR="00714D3E" w:rsidRPr="008A107E">
        <w:rPr>
          <w:noProof/>
          <w:color w:val="FF0000"/>
        </w:rPr>
        <w:t xml:space="preserve"> </w:t>
      </w:r>
      <w:r w:rsidR="00FC037D" w:rsidRPr="008A107E">
        <w:rPr>
          <w:noProof/>
          <w:color w:val="FF0000"/>
        </w:rPr>
        <w:t>are discussed</w:t>
      </w:r>
      <w:r w:rsidR="00FC037D" w:rsidRPr="008A107E">
        <w:rPr>
          <w:color w:val="FF0000"/>
        </w:rPr>
        <w:t xml:space="preserve"> in details in the next section.</w:t>
      </w:r>
    </w:p>
    <w:p w14:paraId="577DC998" w14:textId="1BC8CDF3" w:rsidR="00FC037D" w:rsidRDefault="00FC037D" w:rsidP="0072282C">
      <w:pPr>
        <w:pStyle w:val="Heading1"/>
        <w:spacing w:line="480" w:lineRule="auto"/>
      </w:pPr>
      <w:r w:rsidRPr="001F159D">
        <w:t>Implication</w:t>
      </w:r>
      <w:r w:rsidR="001D36BD">
        <w:t>s</w:t>
      </w:r>
      <w:r w:rsidRPr="001F159D">
        <w:t xml:space="preserve"> of </w:t>
      </w:r>
      <w:r w:rsidR="004B13AF">
        <w:t>findings</w:t>
      </w:r>
    </w:p>
    <w:p w14:paraId="1D176630" w14:textId="21BBE073" w:rsidR="008741F0" w:rsidRDefault="004129A9" w:rsidP="0072282C">
      <w:pPr>
        <w:spacing w:line="480" w:lineRule="auto"/>
      </w:pPr>
      <w:r>
        <w:t>This study shows</w:t>
      </w:r>
      <w:r w:rsidR="00FC037D" w:rsidRPr="001F159D">
        <w:t xml:space="preserve"> </w:t>
      </w:r>
      <w:r w:rsidR="00534CF0">
        <w:t xml:space="preserve">that </w:t>
      </w:r>
      <w:r w:rsidR="006B0D91">
        <w:t>supply chain</w:t>
      </w:r>
      <w:r w:rsidR="00141C26">
        <w:t>s</w:t>
      </w:r>
      <w:r w:rsidR="006B0D91">
        <w:t xml:space="preserve"> integration and the</w:t>
      </w:r>
      <w:r w:rsidR="003A214D">
        <w:t xml:space="preserve"> adoption of</w:t>
      </w:r>
      <w:r w:rsidR="00FC037D" w:rsidRPr="001F159D">
        <w:t xml:space="preserve"> </w:t>
      </w:r>
      <w:r>
        <w:t>principles</w:t>
      </w:r>
      <w:r w:rsidR="00FC037D" w:rsidRPr="001F159D">
        <w:t xml:space="preserve"> </w:t>
      </w:r>
      <w:r w:rsidR="007D3AF3">
        <w:t xml:space="preserve">in a </w:t>
      </w:r>
      <w:r w:rsidR="00FC037D" w:rsidRPr="001F159D">
        <w:t xml:space="preserve">BIM </w:t>
      </w:r>
      <w:r w:rsidR="003A214D">
        <w:t xml:space="preserve">environment </w:t>
      </w:r>
      <w:r w:rsidR="006B0D91">
        <w:t>are</w:t>
      </w:r>
      <w:r w:rsidR="00FC037D" w:rsidRPr="001F159D">
        <w:t xml:space="preserve"> critical for</w:t>
      </w:r>
      <w:r w:rsidR="00A9622E">
        <w:t xml:space="preserve"> CW</w:t>
      </w:r>
      <w:r>
        <w:t xml:space="preserve"> management</w:t>
      </w:r>
      <w:r w:rsidR="003A214D">
        <w:t>. This study</w:t>
      </w:r>
      <w:r w:rsidR="007D3AF3">
        <w:t>, therefore,</w:t>
      </w:r>
      <w:r w:rsidR="00FC037D" w:rsidRPr="001F159D">
        <w:t xml:space="preserve"> offers </w:t>
      </w:r>
      <w:r w:rsidR="002239FE" w:rsidRPr="0090491D">
        <w:rPr>
          <w:noProof/>
        </w:rPr>
        <w:t>huge</w:t>
      </w:r>
      <w:r w:rsidR="00FC037D" w:rsidRPr="001F159D">
        <w:t xml:space="preserve"> implications for</w:t>
      </w:r>
      <w:r w:rsidR="008741F0">
        <w:t xml:space="preserve"> construction supply chains </w:t>
      </w:r>
      <w:r w:rsidR="005201DB">
        <w:t xml:space="preserve">integration </w:t>
      </w:r>
      <w:r w:rsidR="008741F0">
        <w:t xml:space="preserve">and </w:t>
      </w:r>
      <w:r w:rsidR="00592D57">
        <w:t>collaboration</w:t>
      </w:r>
      <w:r w:rsidR="008741F0">
        <w:t xml:space="preserve">, </w:t>
      </w:r>
      <w:r w:rsidR="00592D57">
        <w:t>the circular economy agend</w:t>
      </w:r>
      <w:r w:rsidR="00095716">
        <w:t>a, and future tool development.</w:t>
      </w:r>
    </w:p>
    <w:p w14:paraId="735AC26A" w14:textId="1DD32C19" w:rsidR="008842F1" w:rsidRDefault="005201DB" w:rsidP="0072282C">
      <w:pPr>
        <w:pStyle w:val="Heading2"/>
      </w:pPr>
      <w:r>
        <w:lastRenderedPageBreak/>
        <w:t xml:space="preserve">Implications for </w:t>
      </w:r>
      <w:r w:rsidR="008842F1">
        <w:t>supply chains integration and collaboration</w:t>
      </w:r>
    </w:p>
    <w:p w14:paraId="661ED679" w14:textId="56DFE232" w:rsidR="00D6011C" w:rsidRDefault="003C71A4" w:rsidP="0072282C">
      <w:pPr>
        <w:spacing w:line="480" w:lineRule="auto"/>
      </w:pPr>
      <w:r>
        <w:t xml:space="preserve">Dainty and Brooke </w:t>
      </w:r>
      <w:r>
        <w:fldChar w:fldCharType="begin" w:fldLock="1"/>
      </w:r>
      <w:r w:rsidR="002B7C0A">
        <w:instrText>ADDIN CSL_CITATION {"citationItems":[{"id":"ITEM-1","itemData":{"DOI":"10.1108/02630800410533285","ISBN":"0263080041053","ISSN":"0263-080X","author":[{"dropping-particle":"","family":"Dainty","given":"Andrew R.J.","non-dropping-particle":"","parse-names":false,"suffix":""},{"dropping-particle":"","family":"Brooke","given":"Richard J.","non-dropping-particle":"","parse-names":false,"suffix":""}],"container-title":"Structural Survey","id":"ITEM-1","issue":"1","issued":{"date-parts":[["2004","2"]]},"page":"20-29","title":"Towards improved construction waste minimisation: a need for improved supply chain integration?","type":"article-journal","volume":"22"},"suppress-author":1,"uris":["http://www.mendeley.com/documents/?uuid=5f242757-6280-4ed3-b9fb-d45f729e0551"]}],"mendeley":{"formattedCitation":"(2004)","plainTextFormattedCitation":"(2004)","previouslyFormattedCitation":"(2004)"},"properties":{"noteIndex":0},"schema":"https://github.com/citation-style-language/schema/raw/master/csl-citation.json"}</w:instrText>
      </w:r>
      <w:r>
        <w:fldChar w:fldCharType="separate"/>
      </w:r>
      <w:r w:rsidRPr="003C71A4">
        <w:rPr>
          <w:noProof/>
        </w:rPr>
        <w:t>(2004)</w:t>
      </w:r>
      <w:r>
        <w:fldChar w:fldCharType="end"/>
      </w:r>
      <w:r w:rsidR="00CA13E1">
        <w:t xml:space="preserve"> argue</w:t>
      </w:r>
      <w:r>
        <w:t xml:space="preserve"> that s</w:t>
      </w:r>
      <w:r w:rsidR="005B2034">
        <w:t xml:space="preserve">upply chains solutions </w:t>
      </w:r>
      <w:r>
        <w:t xml:space="preserve">are </w:t>
      </w:r>
      <w:r w:rsidR="00CA13E1">
        <w:t xml:space="preserve">central to CW minimisation and </w:t>
      </w:r>
      <w:r w:rsidR="00AA39B8">
        <w:t xml:space="preserve">waste </w:t>
      </w:r>
      <w:r w:rsidR="00CA13E1">
        <w:t>diversion from landfills. Early supply chains integration and allianc</w:t>
      </w:r>
      <w:r w:rsidR="00AA39B8">
        <w:t xml:space="preserve">e </w:t>
      </w:r>
      <w:r w:rsidR="002A3BF0">
        <w:t xml:space="preserve">with suppliers, sub-contractors, recycling companies, and secondary users of waste </w:t>
      </w:r>
      <w:r w:rsidR="00665CAF" w:rsidRPr="0090491D">
        <w:rPr>
          <w:noProof/>
        </w:rPr>
        <w:t>offer</w:t>
      </w:r>
      <w:r w:rsidR="00665CAF">
        <w:t xml:space="preserve"> mutual benefits for stakeholders</w:t>
      </w:r>
      <w:r w:rsidR="00EA6CF9">
        <w:t>. T</w:t>
      </w:r>
      <w:r w:rsidR="00194B75">
        <w:t xml:space="preserve">hese relationships </w:t>
      </w:r>
      <w:r w:rsidR="00481491">
        <w:t>are essential fo</w:t>
      </w:r>
      <w:r w:rsidR="00317871">
        <w:t>r effective information sharing</w:t>
      </w:r>
      <w:r w:rsidR="009D3CCD">
        <w:t xml:space="preserve">, </w:t>
      </w:r>
      <w:r w:rsidR="00481491">
        <w:t>dy</w:t>
      </w:r>
      <w:r w:rsidR="00317871">
        <w:t xml:space="preserve">namism, competitive synergy, and superior </w:t>
      </w:r>
      <w:r w:rsidR="002B4E53" w:rsidRPr="003054AF">
        <w:rPr>
          <w:noProof/>
        </w:rPr>
        <w:t>operati</w:t>
      </w:r>
      <w:r w:rsidR="0090491D">
        <w:rPr>
          <w:noProof/>
        </w:rPr>
        <w:t>ng</w:t>
      </w:r>
      <w:r w:rsidR="002B4E53">
        <w:t xml:space="preserve"> </w:t>
      </w:r>
      <w:r w:rsidR="00317871">
        <w:t xml:space="preserve">performance within the entire supply chains </w:t>
      </w:r>
      <w:r w:rsidR="00317871">
        <w:fldChar w:fldCharType="begin" w:fldLock="1"/>
      </w:r>
      <w:r w:rsidR="002B7C0A">
        <w:instrText>ADDIN CSL_CITATION {"citationItems":[{"id":"ITEM-1","itemData":{"DOI":"10.1016/J.JOM.2007.01.009","ISSN":"0272-6963","abstract":"Effective supply chain practice and information sharing enhances the current supply chain management environment. The purpose of this study is to investigate the integration of information sharing and supply chain practice in supply chain management. Data from 125 North American manufacturing firms were collected. The results show that (1) effective information sharing significantly enhances effective supply chain practice; (2) supply chain dynamism has significant positive influence on effective information sharing as well as effective supply chain practice. Supply chain dynamism has more influence on information sharing than supply chain practice; (3) and effective supply chain practice becomes more important when the level of information sharing increases. The findings show that both effective information sharing and effective supply chain practice are critical in achieving good supply chain performance.","author":[{"dropping-particle":"","family":"Zhou","given":"Honggeng","non-dropping-particle":"","parse-names":false,"suffix":""},{"dropping-particle":"","family":"Benton","given":"W.C.","non-dropping-particle":"","parse-names":false,"suffix":""}],"container-title":"Journal of Operations Management","id":"ITEM-1","issue":"6","issued":{"date-parts":[["2007","11","1"]]},"page":"1348-1365","publisher":"Elsevier","title":"Supply chain practice and information sharing","type":"article-journal","volume":"25"},"uris":["http://www.mendeley.com/documents/?uuid=126d66ec-caca-3b49-93c5-7dbd132c6b5c"]},{"id":"ITEM-2","itemData":{"DOI":"10.1016/j.jom.2010.12.008","ISSN":"02726963","abstract":"Facing uncertain environments, firms have strived to achieve greater supply chain collaboration to leverage the resources and knowledge of their suppliers and customers. The objective of the study is to uncover the nature of supply chain collaboration and explore its impact on firm performance based on a paradigm of collaborative advantage. Reliable and valid instruments of these constructs were developed through rigorous empirical analysis. Data were collected through a Web survey of U.S. manufacturing firms in various industries. The statistical methods used include confirmatory factor analysis and structural equation modeling (i.e., LISREL). The results indicate that supply chain collaboration improves collaborative advantage and indeed has a bottom-line influence on firm performance, and collaborative advantage is an intermediate variable that enables supply chain partners to achieve synergies and create superior performance. A further analysis of the moderation effect of firm size reveals that collaborative advantage completely mediates the relationship between supply chain collaboration and firm performance for small firms while it partially mediates the relationship for medium and large firms.","author":[{"dropping-particle":"","family":"Cao","given":"Mei","non-dropping-particle":"","parse-names":false,"suffix":""},{"dropping-particle":"","family":"Zhang","given":"Qingyu","non-dropping-particle":"","parse-names":false,"suffix":""}],"container-title":"Journal of Operations Management","id":"ITEM-2","issue":"3","issued":{"date-parts":[["2011"]]},"page":"163-180","title":"Supply chain collaboration: Impact on collaborative advantage and firm performance","type":"article-journal","volume":"29"},"uris":["http://www.mendeley.com/documents/?uuid=be67bfae-06a9-308f-a818-edf721723909"]},{"id":"ITEM-3","itemData":{"DOI":"10.1016/J.IJPE.2011.09.001","ISSN":"0925-5273","abstract":"Supply chain integration is widely considered by both practitioners and researchers a vital contributor to supply chain performance. The two key flows in such relationships are material and information. Previous studies have addressed information integration and material (logistics) integration in separate studies. In this paper, we investigate the integrations of both information and material flows between supply chain partners and their effect on operational performance. Specifically, we examine the role of long-term supplier relationship as the driver of the integration. Using data from 232 Australian firms, we find that logistics integration has a significant effect on operations performance. Information technology capabilities and information sharing both have significant effects on logistics integration. Furthermore, long-term supplier relationships have both direct and indirect significant effects on performance; the indirect effect via the effect on information integration and logistics integration.","author":[{"dropping-particle":"","family":"Prajogo","given":"Daniel","non-dropping-particle":"","parse-names":false,"suffix":""},{"dropping-particle":"","family":"Olhager","given":"Jan","non-dropping-particle":"","parse-names":false,"suffix":""}],"container-title":"International Journal of Production Economics","id":"ITEM-3","issue":"1","issued":{"date-parts":[["2012","1","1"]]},"page":"514-522","publisher":"Elsevier","title":"Supply chain integration and performance: The effects of long-term relationships, information technology and sharing, and logistics integration","type":"article-journal","volume":"135"},"uris":["http://www.mendeley.com/documents/?uuid=b9459d94-468e-3f62-8d65-3f8b0ed503b4"]}],"mendeley":{"formattedCitation":"(Cao and Zhang, 2011; Prajogo and Olhager, 2012; Zhou and Benton, 2007)","plainTextFormattedCitation":"(Cao and Zhang, 2011; Prajogo and Olhager, 2012; Zhou and Benton, 2007)","previouslyFormattedCitation":"(Cao and Zhang, 2011; Prajogo and Olhager, 2012; Zhou and Benton, 2007)"},"properties":{"noteIndex":0},"schema":"https://github.com/citation-style-language/schema/raw/master/csl-citation.json"}</w:instrText>
      </w:r>
      <w:r w:rsidR="00317871">
        <w:fldChar w:fldCharType="separate"/>
      </w:r>
      <w:r w:rsidR="002A4C33" w:rsidRPr="002A4C33">
        <w:rPr>
          <w:noProof/>
        </w:rPr>
        <w:t>(Cao and Zhang, 2011; Prajogo and Olhager, 2012; Zhou and Benton, 2007)</w:t>
      </w:r>
      <w:r w:rsidR="00317871">
        <w:fldChar w:fldCharType="end"/>
      </w:r>
      <w:r w:rsidR="002A4C33">
        <w:t xml:space="preserve">. However, a </w:t>
      </w:r>
      <w:r w:rsidR="002A4C33" w:rsidRPr="0090491D">
        <w:rPr>
          <w:noProof/>
        </w:rPr>
        <w:t>major</w:t>
      </w:r>
      <w:r w:rsidR="002A4C33">
        <w:t xml:space="preserve"> gap in the leverage of supply chain integration for CW management is the lack of </w:t>
      </w:r>
      <w:r w:rsidR="0090491D">
        <w:t xml:space="preserve">a </w:t>
      </w:r>
      <w:r w:rsidR="002A4C33" w:rsidRPr="0090491D">
        <w:rPr>
          <w:noProof/>
        </w:rPr>
        <w:t>tool</w:t>
      </w:r>
      <w:r w:rsidR="002A4C33">
        <w:t xml:space="preserve"> that</w:t>
      </w:r>
      <w:r w:rsidR="004331BE">
        <w:t xml:space="preserve"> is</w:t>
      </w:r>
      <w:r w:rsidR="002A4C33">
        <w:t xml:space="preserve"> relevant to the operations of </w:t>
      </w:r>
      <w:r w:rsidR="00095716">
        <w:t xml:space="preserve">the </w:t>
      </w:r>
      <w:r w:rsidR="002A4C33" w:rsidRPr="0090491D">
        <w:rPr>
          <w:noProof/>
        </w:rPr>
        <w:t>key</w:t>
      </w:r>
      <w:r w:rsidR="002A4C33">
        <w:t xml:space="preserve"> stakeholders. </w:t>
      </w:r>
      <w:r w:rsidR="004331BE">
        <w:t xml:space="preserve">The </w:t>
      </w:r>
      <w:r w:rsidR="00876A36">
        <w:t>A-WAS</w:t>
      </w:r>
      <w:r w:rsidR="004331BE">
        <w:t xml:space="preserve"> tool developed as part of this study fills this gap. </w:t>
      </w:r>
      <w:r w:rsidR="00FC0BD7">
        <w:t xml:space="preserve">The study and the </w:t>
      </w:r>
      <w:r w:rsidR="00876A36">
        <w:t>A-WAS</w:t>
      </w:r>
      <w:r w:rsidR="00FC0BD7">
        <w:t xml:space="preserve"> tool</w:t>
      </w:r>
      <w:r w:rsidR="00095716">
        <w:t xml:space="preserve"> </w:t>
      </w:r>
      <w:r w:rsidR="00FC0BD7">
        <w:t>are</w:t>
      </w:r>
      <w:r w:rsidR="00095716">
        <w:t>, therefore,</w:t>
      </w:r>
      <w:r w:rsidR="00FC0BD7">
        <w:t xml:space="preserve"> </w:t>
      </w:r>
      <w:r w:rsidR="00342FE7">
        <w:t>relevant to the practices of building material</w:t>
      </w:r>
      <w:r w:rsidR="005768F6">
        <w:t xml:space="preserve"> </w:t>
      </w:r>
      <w:r w:rsidR="005768F6" w:rsidRPr="0090491D">
        <w:rPr>
          <w:noProof/>
        </w:rPr>
        <w:t>manufacture</w:t>
      </w:r>
      <w:r w:rsidR="0090491D">
        <w:rPr>
          <w:noProof/>
        </w:rPr>
        <w:t>r</w:t>
      </w:r>
      <w:r w:rsidR="005768F6" w:rsidRPr="0090491D">
        <w:rPr>
          <w:noProof/>
        </w:rPr>
        <w:t>s</w:t>
      </w:r>
      <w:r w:rsidR="005768F6">
        <w:t xml:space="preserve"> and</w:t>
      </w:r>
      <w:r w:rsidR="00342FE7">
        <w:t xml:space="preserve"> suppliers.</w:t>
      </w:r>
      <w:r w:rsidR="00342FE7" w:rsidRPr="001F159D">
        <w:t xml:space="preserve"> </w:t>
      </w:r>
      <w:r w:rsidR="00366202">
        <w:t>I</w:t>
      </w:r>
      <w:r w:rsidR="00903EFA">
        <w:t xml:space="preserve">t is </w:t>
      </w:r>
      <w:r w:rsidR="00903EFA" w:rsidRPr="0090491D">
        <w:rPr>
          <w:noProof/>
        </w:rPr>
        <w:t>important</w:t>
      </w:r>
      <w:r w:rsidR="00903EFA">
        <w:t xml:space="preserve"> for material manufacturers</w:t>
      </w:r>
      <w:r w:rsidR="00366202">
        <w:t xml:space="preserve"> and suppliers</w:t>
      </w:r>
      <w:r w:rsidR="00903EFA">
        <w:t xml:space="preserve"> to ensure that their products have minimal impact on the environment. </w:t>
      </w:r>
      <w:r w:rsidR="00366202">
        <w:t xml:space="preserve">The </w:t>
      </w:r>
      <w:r w:rsidR="00876A36">
        <w:t>A-WAS</w:t>
      </w:r>
      <w:r w:rsidR="00366202">
        <w:t xml:space="preserve"> tool</w:t>
      </w:r>
      <w:r w:rsidR="00903EFA">
        <w:t xml:space="preserve"> will assist material manufacturers</w:t>
      </w:r>
      <w:r w:rsidR="00366202">
        <w:t xml:space="preserve"> and suppliers</w:t>
      </w:r>
      <w:r w:rsidR="00903EFA">
        <w:t xml:space="preserve"> to </w:t>
      </w:r>
      <w:r w:rsidR="009400E2">
        <w:t xml:space="preserve">estimate and minimise </w:t>
      </w:r>
      <w:r w:rsidR="00903EFA">
        <w:t xml:space="preserve">the potential impact </w:t>
      </w:r>
      <w:r w:rsidR="009400E2">
        <w:t xml:space="preserve">of </w:t>
      </w:r>
      <w:r w:rsidR="00903EFA">
        <w:t xml:space="preserve">their products on </w:t>
      </w:r>
      <w:r w:rsidR="00366202">
        <w:t>CW</w:t>
      </w:r>
      <w:r w:rsidR="009400E2">
        <w:t xml:space="preserve"> generation</w:t>
      </w:r>
      <w:r w:rsidR="00903EFA">
        <w:t>.</w:t>
      </w:r>
      <w:r w:rsidR="00366202" w:rsidRPr="00366202">
        <w:t xml:space="preserve"> </w:t>
      </w:r>
      <w:r w:rsidR="000D6F05">
        <w:t xml:space="preserve">In the same way, </w:t>
      </w:r>
      <w:r w:rsidR="0090491D">
        <w:t xml:space="preserve">a </w:t>
      </w:r>
      <w:r w:rsidR="000D6F05" w:rsidRPr="0090491D">
        <w:rPr>
          <w:noProof/>
        </w:rPr>
        <w:t>client</w:t>
      </w:r>
      <w:r w:rsidR="000D6F05">
        <w:t xml:space="preserve"> such as the government with </w:t>
      </w:r>
      <w:r w:rsidR="000D6F05" w:rsidRPr="003056C4">
        <w:rPr>
          <w:noProof/>
        </w:rPr>
        <w:t>huge</w:t>
      </w:r>
      <w:r w:rsidR="000D6F05">
        <w:t xml:space="preserve"> commitment on the sus</w:t>
      </w:r>
      <w:r w:rsidR="00622DE0">
        <w:t>tainability agenda co</w:t>
      </w:r>
      <w:r w:rsidR="00095716">
        <w:t xml:space="preserve">uld use the </w:t>
      </w:r>
      <w:r w:rsidR="00876A36">
        <w:t>A-WAS</w:t>
      </w:r>
      <w:r w:rsidR="00095716">
        <w:t xml:space="preserve"> tool to ass</w:t>
      </w:r>
      <w:r w:rsidR="00622DE0">
        <w:t>ess various building design</w:t>
      </w:r>
      <w:r w:rsidR="00876A36">
        <w:t>s</w:t>
      </w:r>
      <w:r w:rsidR="00622DE0">
        <w:t xml:space="preserve"> </w:t>
      </w:r>
      <w:r w:rsidR="00095716">
        <w:rPr>
          <w:noProof/>
        </w:rPr>
        <w:t>with reg</w:t>
      </w:r>
      <w:r w:rsidR="00876A36">
        <w:rPr>
          <w:noProof/>
        </w:rPr>
        <w:t>ar</w:t>
      </w:r>
      <w:r w:rsidR="00095716">
        <w:rPr>
          <w:noProof/>
        </w:rPr>
        <w:t>ds to</w:t>
      </w:r>
      <w:r w:rsidR="00622DE0">
        <w:t xml:space="preserve"> their </w:t>
      </w:r>
      <w:r w:rsidR="00105D64">
        <w:t xml:space="preserve">CW </w:t>
      </w:r>
      <w:r w:rsidR="00876A36">
        <w:t xml:space="preserve">generation </w:t>
      </w:r>
      <w:r w:rsidR="00105D64">
        <w:t xml:space="preserve">potentials. </w:t>
      </w:r>
      <w:r w:rsidR="00095716">
        <w:t>As such, t</w:t>
      </w:r>
      <w:r w:rsidR="00105D64">
        <w:t xml:space="preserve">he </w:t>
      </w:r>
      <w:r w:rsidR="00876A36">
        <w:t>A-WAS</w:t>
      </w:r>
      <w:r w:rsidR="00105D64">
        <w:t xml:space="preserve"> tool could</w:t>
      </w:r>
      <w:r w:rsidR="00095716">
        <w:t xml:space="preserve"> serve as</w:t>
      </w:r>
      <w:r w:rsidR="0071532F">
        <w:t xml:space="preserve"> a selection </w:t>
      </w:r>
      <w:r w:rsidR="00876A36">
        <w:t>tool</w:t>
      </w:r>
      <w:r w:rsidR="0071532F">
        <w:t xml:space="preserve"> for delivering low-waste buildings</w:t>
      </w:r>
      <w:r w:rsidR="00364844">
        <w:t>.</w:t>
      </w:r>
    </w:p>
    <w:p w14:paraId="28D61DE5" w14:textId="6F394E16" w:rsidR="008842F1" w:rsidRDefault="005B07B3" w:rsidP="0072282C">
      <w:pPr>
        <w:pStyle w:val="Heading2"/>
      </w:pPr>
      <w:r>
        <w:t>Implications for the circular economy agenda</w:t>
      </w:r>
    </w:p>
    <w:p w14:paraId="1BBCF6F3" w14:textId="156855A7" w:rsidR="00693F64" w:rsidRDefault="00E260A7" w:rsidP="0072282C">
      <w:pPr>
        <w:spacing w:line="480" w:lineRule="auto"/>
      </w:pPr>
      <w:r>
        <w:t xml:space="preserve">The circular </w:t>
      </w:r>
      <w:r w:rsidR="00D2373E">
        <w:t xml:space="preserve">economy agenda proposes a shift from the </w:t>
      </w:r>
      <w:r w:rsidR="004265A8">
        <w:t>traditional</w:t>
      </w:r>
      <w:r w:rsidR="00D2373E">
        <w:t xml:space="preserve"> </w:t>
      </w:r>
      <w:r w:rsidR="000F41A5">
        <w:t xml:space="preserve"> “take-make-waste” </w:t>
      </w:r>
      <w:r w:rsidR="00D2373E">
        <w:t>model of consi</w:t>
      </w:r>
      <w:r w:rsidR="004265A8">
        <w:t xml:space="preserve">dering waste as a </w:t>
      </w:r>
      <w:r w:rsidR="00385589">
        <w:t>norm</w:t>
      </w:r>
      <w:r w:rsidR="004265A8">
        <w:t xml:space="preserve"> to an integrated system that emulates the nature’s sustainable cycle </w:t>
      </w:r>
      <w:r w:rsidR="00C35886">
        <w:t xml:space="preserve"> </w:t>
      </w:r>
      <w:r w:rsidR="00C35886">
        <w:fldChar w:fldCharType="begin" w:fldLock="1"/>
      </w:r>
      <w:r w:rsidR="002B7C0A">
        <w:instrText>ADDIN CSL_CITATION {"citationItems":[{"id":"ITEM-1","itemData":{"DOI":"10.1016/J.TECHFORE.2016.09.021","ISSN":"0040-1625","abstract":"The circular economy (CE) aims to radically improve resource efficiency by eliminating the concept of waste and leading to a shift away from the linear take-make-waste model. In a CE, resources are flowing in a circular manner either in a biocycle (biomass) or technocycle (inorganic materials). While early studies indicate that 3D printing (3DP) holds substantial promise for sustainability and the creation of a CE, there is no guarantee that it will do so. There is great uncertainty regarding whether the current trajectory of 3DP adoption is creating more circular material flows or if it is leading to an alternative scenario in which less eco-efficient localised production, demands for customised goods, and a higher rate of product obsolescence combine to bring about increased resource consumption. It is critical that CE principles are embedded into the new manufacturing system before the adoption of 3DP reaches a critical inflection point in which negative practices become entrenched. This paper, authored by both academic and industry experts, proposes a research agenda to determine enablers and barriers for 3DP to achieve a CE. We explore the two following overarching questions to discover what specific issues they entail: (1) How can a more distributed manufacturing system based on 3DP create a circular economy of closed-loop material flows? (2) What are the barriers to a circular 3D printing economy? We specifically examine six areas—design, supply chains, information flows, entrepreneurship, business models and education—with the aim of formulating a research agenda to enable 3DP to reach its full potential for a CE.","author":[{"dropping-particle":"","family":"Despeisse","given":"M.","non-dropping-particle":"","parse-names":false,"suffix":""},{"dropping-particle":"","family":"Baumers","given":"M.","non-dropping-particle":"","parse-names":false,"suffix":""},{"dropping-particle":"","family":"Brown","given":"P.","non-dropping-particle":"","parse-names":false,"suffix":""},{"dropping-particle":"","family":"Charnley","given":"F.","non-dropping-particle":"","parse-names":false,"suffix":""},{"dropping-particle":"","family":"Ford","given":"S.J.","non-dropping-particle":"","parse-names":false,"suffix":""},{"dropping-particle":"","family":"Garmulewicz","given":"A.","non-dropping-particle":"","parse-names":false,"suffix":""},{"dropping-particle":"","family":"Knowles","given":"S.","non-dropping-particle":"","parse-names":false,"suffix":""},{"dropping-particle":"","family":"Minshall","given":"T.H.W.","non-dropping-particle":"","parse-names":false,"suffix":""},{"dropping-particle":"","family":"Mortara","given":"L.","non-dropping-particle":"","parse-names":false,"suffix":""},{"dropping-particle":"","family":"Reed-Tsochas","given":"F.P.","non-dropping-particle":"","parse-names":false,"suffix":""},{"dropping-particle":"","family":"Rowley","given":"J.","non-dropping-particle":"","parse-names":false,"suffix":""}],"container-title":"Technological Forecasting and Social Change","id":"ITEM-1","issued":{"date-parts":[["2017","2","1"]]},"page":"75-84","publisher":"North-Holland","title":"Unlocking value for a circular economy through 3D printing: A research agenda","type":"article-journal","volume":"115"},"uris":["http://www.mendeley.com/documents/?uuid=6170e1ac-e749-30ee-b6de-e4d7e44b3caa"]},{"id":"ITEM-2","itemData":{"DOI":"10.1016/J.JCLEPRO.2015.09.007","ISSN":"0959-6526","abstract":"In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author":[{"dropping-particle":"","family":"Ghisellini","given":"Patrizia","non-dropping-particle":"","parse-names":false,"suffix":""},{"dropping-particle":"","family":"Cialani","given":"Catia","non-dropping-particle":"","parse-names":false,"suffix":""},{"dropping-particle":"","family":"Ulgiati","given":"Sergio","non-dropping-particle":"","parse-names":false,"suffix":""}],"container-title":"Journal of Cleaner Production","id":"ITEM-2","issued":{"date-parts":[["2016","2","15"]]},"page":"11-32","publisher":"Elsevier","title":"A review on circular economy: the expected transition to a balanced interplay of environmental and economic systems","type":"article-journal","volume":"114"},"uris":["http://www.mendeley.com/documents/?uuid=f179b2e5-79a6-37e2-8998-8bfb4df58d12"]}],"mendeley":{"formattedCitation":"(Despeisse et al., 2017; Ghisellini et al., 2016)","plainTextFormattedCitation":"(Despeisse et al., 2017; Ghisellini et al., 2016)","previouslyFormattedCitation":"(Despeisse et al., 2017; Ghisellini et al., 2016)"},"properties":{"noteIndex":0},"schema":"https://github.com/citation-style-language/schema/raw/master/csl-citation.json"}</w:instrText>
      </w:r>
      <w:r w:rsidR="00C35886">
        <w:fldChar w:fldCharType="separate"/>
      </w:r>
      <w:r w:rsidR="00C35886" w:rsidRPr="00C35886">
        <w:rPr>
          <w:noProof/>
        </w:rPr>
        <w:t>(Despeisse et al., 2017; Ghisellini et al., 2016)</w:t>
      </w:r>
      <w:r w:rsidR="00C35886">
        <w:fldChar w:fldCharType="end"/>
      </w:r>
      <w:r w:rsidR="000F41A5">
        <w:t xml:space="preserve">. Adopting this approach promotes </w:t>
      </w:r>
      <w:r w:rsidR="00963D37">
        <w:t>closed material cycle through</w:t>
      </w:r>
      <w:r w:rsidR="000F41A5">
        <w:t xml:space="preserve"> recycling economy and reuse. As such, it is imperative that all work</w:t>
      </w:r>
      <w:r w:rsidR="00360F92">
        <w:t xml:space="preserve"> </w:t>
      </w:r>
      <w:r w:rsidR="000F41A5">
        <w:t>stage</w:t>
      </w:r>
      <w:r w:rsidR="00360F92">
        <w:t>s</w:t>
      </w:r>
      <w:r w:rsidR="000F41A5">
        <w:t xml:space="preserve"> of production </w:t>
      </w:r>
      <w:r w:rsidR="00360F92">
        <w:t xml:space="preserve">minimise waste and reduce the demand for resources to achieve </w:t>
      </w:r>
      <w:r w:rsidR="00360F92">
        <w:lastRenderedPageBreak/>
        <w:t>sustainable development</w:t>
      </w:r>
      <w:r w:rsidR="00963D37">
        <w:t xml:space="preserve">. While CW management tools exist for the construction stage of </w:t>
      </w:r>
      <w:r w:rsidR="00963D37" w:rsidRPr="003056C4">
        <w:rPr>
          <w:noProof/>
        </w:rPr>
        <w:t>building</w:t>
      </w:r>
      <w:r w:rsidR="003056C4" w:rsidRPr="003056C4">
        <w:rPr>
          <w:noProof/>
        </w:rPr>
        <w:t>s</w:t>
      </w:r>
      <w:r w:rsidR="00963D37">
        <w:t xml:space="preserve"> </w:t>
      </w:r>
      <w:r w:rsidR="00963D37">
        <w:fldChar w:fldCharType="begin" w:fldLock="1"/>
      </w:r>
      <w:r w:rsidR="002B7C0A">
        <w:instrText>ADDIN CSL_CITATION {"citationItems":[{"id":"ITEM-1","itemData":{"URL":"http://www.smartwaste.co.uk/index.jsp","accessed":{"date-parts":[["2016","4","25"]]},"author":[{"dropping-particle":"","family":"BRE","given":"","non-dropping-particle":"","parse-names":false,"suffix":""}],"id":"ITEM-1","issued":{"date-parts":[["2008"]]},"title":"SMARTWASTE","type":"webpage"},"uris":["http://www.mendeley.com/documents/?uuid=dad5ab4f-5a95-4fe7-8743-b82dc9495a1c"]},{"id":"ITEM-2","itemData":{"author":[{"dropping-particle":"","family":"WRAP","given":"","non-dropping-particle":"","parse-names":false,"suffix":""}],"container-title":"Available from: http://dowtb.wrap.org.uk/","id":"ITEM-2","issued":{"date-parts":[["2011"]]},"title":"Designing-out Waste Tool for Buildings","type":"article-journal"},"uris":["http://www.mendeley.com/documents/?uuid=0bf22feb-dfcb-4b60-b280-8437d66bb824"]}],"mendeley":{"formattedCitation":"(BRE, 2008; WRAP, 2011)","plainTextFormattedCitation":"(BRE, 2008; WRAP, 2011)","previouslyFormattedCitation":"(BRE, 2008; WRAP, 2011)"},"properties":{"noteIndex":0},"schema":"https://github.com/citation-style-language/schema/raw/master/csl-citation.json"}</w:instrText>
      </w:r>
      <w:r w:rsidR="00963D37">
        <w:fldChar w:fldCharType="separate"/>
      </w:r>
      <w:r w:rsidR="00963D37" w:rsidRPr="00963D37">
        <w:rPr>
          <w:noProof/>
        </w:rPr>
        <w:t>(BRE, 2008; WRAP, 2011)</w:t>
      </w:r>
      <w:r w:rsidR="00963D37">
        <w:fldChar w:fldCharType="end"/>
      </w:r>
      <w:r w:rsidR="00963D37">
        <w:t xml:space="preserve">, little effort has </w:t>
      </w:r>
      <w:r w:rsidR="00963D37" w:rsidRPr="003056C4">
        <w:rPr>
          <w:noProof/>
        </w:rPr>
        <w:t>been given</w:t>
      </w:r>
      <w:r w:rsidR="00963D37">
        <w:t xml:space="preserve"> to the design stages. </w:t>
      </w:r>
      <w:r w:rsidR="007D3AF3" w:rsidRPr="001F159D">
        <w:t>This stu</w:t>
      </w:r>
      <w:r w:rsidR="00963D37">
        <w:t xml:space="preserve">dy, therefore, </w:t>
      </w:r>
      <w:r w:rsidR="007D3AF3" w:rsidRPr="001F159D">
        <w:t xml:space="preserve">has significant implications for </w:t>
      </w:r>
      <w:r w:rsidR="007D3AF3">
        <w:t xml:space="preserve">low-waste building design </w:t>
      </w:r>
      <w:r w:rsidR="007D3AF3" w:rsidRPr="001F159D">
        <w:t>practice</w:t>
      </w:r>
      <w:r w:rsidR="007D3AF3">
        <w:t xml:space="preserve">s. </w:t>
      </w:r>
      <w:r w:rsidR="00507FD7">
        <w:t>The</w:t>
      </w:r>
      <w:r w:rsidR="007D3AF3">
        <w:t xml:space="preserve"> study has </w:t>
      </w:r>
      <w:r w:rsidR="007D3AF3" w:rsidRPr="003056C4">
        <w:rPr>
          <w:noProof/>
        </w:rPr>
        <w:t>huge</w:t>
      </w:r>
      <w:r w:rsidR="007D3AF3">
        <w:t xml:space="preserve"> implications for architectural and design practices by b</w:t>
      </w:r>
      <w:r w:rsidR="007D3AF3" w:rsidRPr="001F159D">
        <w:t>roaden</w:t>
      </w:r>
      <w:r w:rsidR="007D3AF3">
        <w:t>ing</w:t>
      </w:r>
      <w:r w:rsidR="007D3AF3" w:rsidRPr="001F159D">
        <w:t xml:space="preserve"> the understanding of how</w:t>
      </w:r>
      <w:r w:rsidR="007D3AF3">
        <w:t xml:space="preserve"> CW reduction could </w:t>
      </w:r>
      <w:r w:rsidR="007D3AF3" w:rsidRPr="003056C4">
        <w:rPr>
          <w:noProof/>
        </w:rPr>
        <w:t>be achieved</w:t>
      </w:r>
      <w:r w:rsidR="007D3AF3">
        <w:t xml:space="preserve"> through</w:t>
      </w:r>
      <w:r w:rsidR="007D3AF3" w:rsidRPr="001F159D">
        <w:t xml:space="preserve"> </w:t>
      </w:r>
      <w:r w:rsidR="007D3AF3">
        <w:t>appropriate design decisions</w:t>
      </w:r>
      <w:r w:rsidR="007D3AF3" w:rsidRPr="001F159D">
        <w:t xml:space="preserve">. </w:t>
      </w:r>
      <w:r w:rsidR="007D3AF3">
        <w:t xml:space="preserve">The </w:t>
      </w:r>
      <w:r w:rsidR="0041652F">
        <w:t>A-WAS</w:t>
      </w:r>
      <w:r w:rsidR="007D3AF3">
        <w:t xml:space="preserve"> tool</w:t>
      </w:r>
      <w:r w:rsidR="007D3AF3" w:rsidRPr="001F159D">
        <w:t xml:space="preserve"> </w:t>
      </w:r>
      <w:r w:rsidR="007D3AF3">
        <w:t>provides</w:t>
      </w:r>
      <w:r w:rsidR="007D3AF3" w:rsidRPr="001F159D">
        <w:t xml:space="preserve"> architects and design engineers with insights into </w:t>
      </w:r>
      <w:r w:rsidR="007D3AF3">
        <w:t>potential sources of waste during building design. Achieving this</w:t>
      </w:r>
      <w:r w:rsidR="007D3AF3" w:rsidRPr="001F159D">
        <w:t xml:space="preserve"> provides </w:t>
      </w:r>
      <w:r w:rsidR="007D3AF3" w:rsidRPr="00A3453B">
        <w:rPr>
          <w:noProof/>
        </w:rPr>
        <w:t>an objective</w:t>
      </w:r>
      <w:r w:rsidR="007D3AF3">
        <w:t xml:space="preserve"> </w:t>
      </w:r>
      <w:r w:rsidR="003056C4">
        <w:t xml:space="preserve">comparative </w:t>
      </w:r>
      <w:r w:rsidR="007D3AF3">
        <w:t xml:space="preserve">mechanism </w:t>
      </w:r>
      <w:r w:rsidR="007D3AF3" w:rsidRPr="001F159D">
        <w:t xml:space="preserve">for </w:t>
      </w:r>
      <w:r w:rsidR="003056C4">
        <w:t xml:space="preserve">selecting </w:t>
      </w:r>
      <w:r w:rsidR="007D3AF3" w:rsidRPr="001F159D">
        <w:t xml:space="preserve">the </w:t>
      </w:r>
      <w:r w:rsidR="003056C4">
        <w:t xml:space="preserve">building </w:t>
      </w:r>
      <w:r w:rsidR="007D3AF3">
        <w:t xml:space="preserve">design </w:t>
      </w:r>
      <w:r w:rsidR="003056C4">
        <w:t xml:space="preserve">with the </w:t>
      </w:r>
      <w:r w:rsidR="007D3AF3" w:rsidRPr="003056C4">
        <w:rPr>
          <w:noProof/>
        </w:rPr>
        <w:t>least</w:t>
      </w:r>
      <w:r w:rsidR="003056C4" w:rsidRPr="003056C4">
        <w:rPr>
          <w:noProof/>
        </w:rPr>
        <w:t xml:space="preserve"> CW</w:t>
      </w:r>
      <w:r w:rsidR="003056C4">
        <w:t xml:space="preserve"> </w:t>
      </w:r>
      <w:r w:rsidR="0041652F">
        <w:t xml:space="preserve">generation </w:t>
      </w:r>
      <w:r w:rsidR="007D3AF3">
        <w:t>potential</w:t>
      </w:r>
      <w:r w:rsidR="007D3AF3" w:rsidRPr="001F159D">
        <w:t xml:space="preserve">. </w:t>
      </w:r>
      <w:r w:rsidR="00095716">
        <w:t>In addition, t</w:t>
      </w:r>
      <w:r w:rsidR="00DF1F49">
        <w:t>he study</w:t>
      </w:r>
      <w:r w:rsidR="00507FD7">
        <w:t xml:space="preserve"> </w:t>
      </w:r>
      <w:r w:rsidR="006A0114">
        <w:t>has</w:t>
      </w:r>
      <w:r w:rsidR="00DF1F49">
        <w:t xml:space="preserve"> </w:t>
      </w:r>
      <w:r w:rsidR="00DF1F49" w:rsidRPr="00A3453B">
        <w:rPr>
          <w:noProof/>
        </w:rPr>
        <w:t>huge</w:t>
      </w:r>
      <w:r w:rsidR="00DF1F49">
        <w:t xml:space="preserve"> implications for </w:t>
      </w:r>
      <w:r w:rsidR="00B00B63">
        <w:t xml:space="preserve">the </w:t>
      </w:r>
      <w:r w:rsidR="00DF1F49">
        <w:t xml:space="preserve">circular economy </w:t>
      </w:r>
      <w:r w:rsidR="00507FD7">
        <w:t xml:space="preserve">agenda </w:t>
      </w:r>
      <w:r w:rsidR="00591EB3">
        <w:t xml:space="preserve">because it </w:t>
      </w:r>
      <w:r w:rsidR="00375F57">
        <w:t>provides the management routes for the predicted CW, i.e. the portion of the CW that</w:t>
      </w:r>
      <w:r w:rsidR="00CD1243" w:rsidRPr="001F159D">
        <w:t xml:space="preserve"> could be recycled </w:t>
      </w:r>
      <w:r w:rsidR="00591EB3">
        <w:t>or</w:t>
      </w:r>
      <w:r w:rsidR="00CD1243" w:rsidRPr="001F159D">
        <w:t xml:space="preserve"> reused. This </w:t>
      </w:r>
      <w:r w:rsidR="000C35E0">
        <w:t xml:space="preserve">offering </w:t>
      </w:r>
      <w:r w:rsidR="00CD1243" w:rsidRPr="001F159D">
        <w:t xml:space="preserve">is </w:t>
      </w:r>
      <w:r w:rsidR="00CD1243" w:rsidRPr="00A3453B">
        <w:rPr>
          <w:noProof/>
        </w:rPr>
        <w:t>important</w:t>
      </w:r>
      <w:r w:rsidR="00CD1243" w:rsidRPr="001F159D">
        <w:t xml:space="preserve"> </w:t>
      </w:r>
      <w:r w:rsidR="00517350">
        <w:t xml:space="preserve">to </w:t>
      </w:r>
      <w:r w:rsidR="00FC037D" w:rsidRPr="001F159D">
        <w:t xml:space="preserve">ensure that the value of building materials </w:t>
      </w:r>
      <w:r w:rsidR="00FC037D" w:rsidRPr="00A3453B">
        <w:rPr>
          <w:noProof/>
        </w:rPr>
        <w:t xml:space="preserve">is </w:t>
      </w:r>
      <w:r w:rsidR="00693F64" w:rsidRPr="00A3453B">
        <w:rPr>
          <w:noProof/>
        </w:rPr>
        <w:t>sustained</w:t>
      </w:r>
      <w:r w:rsidR="00FC037D" w:rsidRPr="001F159D">
        <w:t xml:space="preserve"> within </w:t>
      </w:r>
      <w:r w:rsidR="007D1265">
        <w:t>the</w:t>
      </w:r>
      <w:r w:rsidR="00FC037D" w:rsidRPr="001F159D">
        <w:t xml:space="preserve"> economic circle</w:t>
      </w:r>
      <w:r w:rsidR="008842F1">
        <w:t>.</w:t>
      </w:r>
    </w:p>
    <w:p w14:paraId="0F516B6E" w14:textId="5638A163" w:rsidR="008842F1" w:rsidRDefault="008842F1" w:rsidP="0072282C">
      <w:pPr>
        <w:pStyle w:val="Heading2"/>
      </w:pPr>
      <w:r>
        <w:t>Implications for</w:t>
      </w:r>
      <w:r w:rsidR="00342FE7">
        <w:t xml:space="preserve"> BIM and</w:t>
      </w:r>
      <w:r>
        <w:t xml:space="preserve"> future tool development</w:t>
      </w:r>
    </w:p>
    <w:p w14:paraId="4E0265AB" w14:textId="6117D898" w:rsidR="00FC037D" w:rsidRPr="001F159D" w:rsidRDefault="00342FE7" w:rsidP="0072282C">
      <w:pPr>
        <w:spacing w:line="480" w:lineRule="auto"/>
      </w:pPr>
      <w:r>
        <w:t xml:space="preserve">This study could also influence the BIM practices in the built environment. </w:t>
      </w:r>
      <w:r w:rsidRPr="001F159D">
        <w:t>Although se</w:t>
      </w:r>
      <w:r>
        <w:t>veral studies suggest that</w:t>
      </w:r>
      <w:r w:rsidRPr="001F159D">
        <w:t xml:space="preserve"> BIM </w:t>
      </w:r>
      <w:r>
        <w:t xml:space="preserve">capability </w:t>
      </w:r>
      <w:r w:rsidRPr="001F159D">
        <w:t xml:space="preserve">is </w:t>
      </w:r>
      <w:r>
        <w:t>critical</w:t>
      </w:r>
      <w:r w:rsidRPr="001F159D">
        <w:t xml:space="preserve"> </w:t>
      </w:r>
      <w:r>
        <w:t>to</w:t>
      </w:r>
      <w:r w:rsidRPr="001F159D">
        <w:t xml:space="preserve"> efficient CW management, BIM</w:t>
      </w:r>
      <w:r>
        <w:t xml:space="preserve">-based </w:t>
      </w:r>
      <w:r w:rsidRPr="001F159D">
        <w:t xml:space="preserve">CW management </w:t>
      </w:r>
      <w:r>
        <w:t>practices</w:t>
      </w:r>
      <w:r w:rsidRPr="001F159D">
        <w:t xml:space="preserve"> </w:t>
      </w:r>
      <w:r w:rsidR="003056C4" w:rsidRPr="00A3453B">
        <w:rPr>
          <w:noProof/>
        </w:rPr>
        <w:t>are</w:t>
      </w:r>
      <w:r w:rsidRPr="00A3453B">
        <w:rPr>
          <w:noProof/>
        </w:rPr>
        <w:t xml:space="preserve"> often ignored</w:t>
      </w:r>
      <w:r w:rsidRPr="001F159D">
        <w:t xml:space="preserve">. </w:t>
      </w:r>
      <w:r>
        <w:t>T</w:t>
      </w:r>
      <w:r w:rsidRPr="001F159D">
        <w:t xml:space="preserve">he </w:t>
      </w:r>
      <w:r>
        <w:t xml:space="preserve">increasing rate of </w:t>
      </w:r>
      <w:r w:rsidRPr="001F159D">
        <w:t xml:space="preserve">BIM adoption and the </w:t>
      </w:r>
      <w:r>
        <w:t>governments’</w:t>
      </w:r>
      <w:r w:rsidRPr="001F159D">
        <w:t xml:space="preserve"> sustainability</w:t>
      </w:r>
      <w:r>
        <w:t xml:space="preserve"> goals have compelled more industry practitioners to become interested </w:t>
      </w:r>
      <w:r w:rsidRPr="001F159D">
        <w:t xml:space="preserve">in </w:t>
      </w:r>
      <w:r>
        <w:t xml:space="preserve">the integration of sustainable practices into BIM software. This study </w:t>
      </w:r>
      <w:r w:rsidRPr="001F159D">
        <w:t>provides a clear direction on</w:t>
      </w:r>
      <w:r w:rsidRPr="001F159D">
        <w:rPr>
          <w:color w:val="000000" w:themeColor="text1"/>
        </w:rPr>
        <w:t xml:space="preserve"> how </w:t>
      </w:r>
      <w:r>
        <w:rPr>
          <w:color w:val="000000" w:themeColor="text1"/>
        </w:rPr>
        <w:t xml:space="preserve">to achieve this integration </w:t>
      </w:r>
      <w:r w:rsidRPr="001F159D">
        <w:t xml:space="preserve">by </w:t>
      </w:r>
      <w:r>
        <w:t>streamlining</w:t>
      </w:r>
      <w:r w:rsidRPr="001F159D">
        <w:t xml:space="preserve"> the estimation of CW in a BIM environment.</w:t>
      </w:r>
      <w:r>
        <w:t xml:space="preserve"> </w:t>
      </w:r>
      <w:r w:rsidR="00A77D00">
        <w:t>T</w:t>
      </w:r>
      <w:r w:rsidR="00A77D00" w:rsidRPr="001F159D">
        <w:t xml:space="preserve">his study </w:t>
      </w:r>
      <w:r w:rsidR="00A77D00">
        <w:t>also shows</w:t>
      </w:r>
      <w:r w:rsidR="00A77D00" w:rsidRPr="001F159D">
        <w:t xml:space="preserve"> that adequate </w:t>
      </w:r>
      <w:r w:rsidR="00A77D00">
        <w:t>CW</w:t>
      </w:r>
      <w:r w:rsidR="00A77D00" w:rsidRPr="001F159D">
        <w:t xml:space="preserve"> management requires early supply </w:t>
      </w:r>
      <w:r w:rsidR="00A77D00">
        <w:t xml:space="preserve">chains </w:t>
      </w:r>
      <w:r w:rsidR="00A77D00" w:rsidRPr="001F159D">
        <w:t xml:space="preserve">involvement </w:t>
      </w:r>
      <w:r w:rsidR="00A77D00">
        <w:t>using BIM as a coordination and collaboration tool. T</w:t>
      </w:r>
      <w:r w:rsidR="002F583A">
        <w:t>his study</w:t>
      </w:r>
      <w:r w:rsidR="00A77D00">
        <w:t xml:space="preserve"> also</w:t>
      </w:r>
      <w:r w:rsidR="002F583A">
        <w:t xml:space="preserve"> has </w:t>
      </w:r>
      <w:r w:rsidR="002F583A" w:rsidRPr="00A3453B">
        <w:rPr>
          <w:noProof/>
        </w:rPr>
        <w:t>huge</w:t>
      </w:r>
      <w:r w:rsidR="002F583A">
        <w:t xml:space="preserve"> implications </w:t>
      </w:r>
      <w:r w:rsidR="0069466B">
        <w:t xml:space="preserve">for BIM software developers. </w:t>
      </w:r>
      <w:r w:rsidR="00FC037D" w:rsidRPr="001F159D">
        <w:t xml:space="preserve">The recent advancement in Information and Communication Technology (ICT) and BIM technologies </w:t>
      </w:r>
      <w:r w:rsidR="00601631">
        <w:t>show</w:t>
      </w:r>
      <w:r w:rsidR="00A77D00">
        <w:t xml:space="preserve"> that</w:t>
      </w:r>
      <w:r w:rsidR="00601631">
        <w:t xml:space="preserve"> </w:t>
      </w:r>
      <w:r w:rsidR="00FC037D" w:rsidRPr="001F159D">
        <w:t xml:space="preserve">innovation within the </w:t>
      </w:r>
      <w:r w:rsidR="00FC037D" w:rsidRPr="001F159D">
        <w:lastRenderedPageBreak/>
        <w:t xml:space="preserve">AEC </w:t>
      </w:r>
      <w:r w:rsidR="009F51F0">
        <w:t xml:space="preserve">industrial </w:t>
      </w:r>
      <w:r w:rsidR="00601631">
        <w:t>practices</w:t>
      </w:r>
      <w:r w:rsidR="009F51F0">
        <w:t xml:space="preserve"> </w:t>
      </w:r>
      <w:r w:rsidR="009F51F0" w:rsidRPr="003056C4">
        <w:rPr>
          <w:noProof/>
        </w:rPr>
        <w:t>require</w:t>
      </w:r>
      <w:r w:rsidR="003056C4">
        <w:rPr>
          <w:noProof/>
        </w:rPr>
        <w:t>s</w:t>
      </w:r>
      <w:r w:rsidR="00FC037D" w:rsidRPr="001F159D">
        <w:t xml:space="preserve"> BIM compliance. </w:t>
      </w:r>
      <w:r w:rsidR="009F51F0">
        <w:t xml:space="preserve">Besides, </w:t>
      </w:r>
      <w:r w:rsidR="00F87BCC" w:rsidRPr="001F159D">
        <w:t>complex,</w:t>
      </w:r>
      <w:r w:rsidR="00FC037D" w:rsidRPr="001F159D">
        <w:t xml:space="preserve"> and repetitive </w:t>
      </w:r>
      <w:r w:rsidR="00A634A6">
        <w:t xml:space="preserve">AEC </w:t>
      </w:r>
      <w:r w:rsidR="00FC037D" w:rsidRPr="001F159D">
        <w:t xml:space="preserve">tasks </w:t>
      </w:r>
      <w:r w:rsidR="009F51F0">
        <w:t>need to be</w:t>
      </w:r>
      <w:r w:rsidR="00FC037D" w:rsidRPr="001F159D">
        <w:t xml:space="preserve"> automated to achieve the required reliability, and efficiency. As such, the framework </w:t>
      </w:r>
      <w:r w:rsidR="00A634A6">
        <w:t>employed in this study</w:t>
      </w:r>
      <w:r w:rsidR="00FC037D" w:rsidRPr="001F159D">
        <w:t xml:space="preserve"> </w:t>
      </w:r>
      <w:r w:rsidR="00046AD6">
        <w:t xml:space="preserve">and the </w:t>
      </w:r>
      <w:r w:rsidR="00053181">
        <w:t>A-WAS</w:t>
      </w:r>
      <w:r w:rsidR="004D704B">
        <w:t xml:space="preserve"> tool</w:t>
      </w:r>
      <w:r w:rsidR="00046AD6">
        <w:t xml:space="preserve"> development process </w:t>
      </w:r>
      <w:r w:rsidR="00B30C9F">
        <w:t>serves as</w:t>
      </w:r>
      <w:r w:rsidR="00FC037D" w:rsidRPr="001F159D">
        <w:t xml:space="preserve"> a </w:t>
      </w:r>
      <w:r w:rsidR="00F87BCC">
        <w:t>blueprint</w:t>
      </w:r>
      <w:r w:rsidR="00FC037D" w:rsidRPr="001F159D">
        <w:t xml:space="preserve"> for developing BIM-enabled software for CW management</w:t>
      </w:r>
      <w:r w:rsidR="005636BB">
        <w:t xml:space="preserve"> and related tasks</w:t>
      </w:r>
      <w:r w:rsidR="00FC037D" w:rsidRPr="001F159D">
        <w:t xml:space="preserve">. </w:t>
      </w:r>
    </w:p>
    <w:p w14:paraId="4D031F7F" w14:textId="77777777" w:rsidR="00FC037D" w:rsidRPr="001F159D" w:rsidRDefault="00FC037D" w:rsidP="0072282C">
      <w:pPr>
        <w:pStyle w:val="Heading1"/>
        <w:spacing w:line="480" w:lineRule="auto"/>
      </w:pPr>
      <w:r w:rsidRPr="001F159D">
        <w:t>Conclusion</w:t>
      </w:r>
    </w:p>
    <w:p w14:paraId="4CED0E3B" w14:textId="7884CD43" w:rsidR="00BA5FB1" w:rsidRPr="008A107E" w:rsidRDefault="0069466B" w:rsidP="0072282C">
      <w:pPr>
        <w:spacing w:line="480" w:lineRule="auto"/>
        <w:rPr>
          <w:color w:val="FF0000"/>
        </w:rPr>
      </w:pPr>
      <w:r w:rsidRPr="003056C4">
        <w:rPr>
          <w:noProof/>
        </w:rPr>
        <w:t>Th</w:t>
      </w:r>
      <w:r w:rsidR="003056C4">
        <w:rPr>
          <w:noProof/>
        </w:rPr>
        <w:t>is study aim</w:t>
      </w:r>
      <w:r w:rsidR="009B5EB3" w:rsidRPr="003056C4">
        <w:rPr>
          <w:noProof/>
        </w:rPr>
        <w:t>s</w:t>
      </w:r>
      <w:r>
        <w:t xml:space="preserve"> to develop a </w:t>
      </w:r>
      <w:r w:rsidR="00FC037D" w:rsidRPr="001F159D">
        <w:t>BIM</w:t>
      </w:r>
      <w:r>
        <w:t xml:space="preserve"> tool for </w:t>
      </w:r>
      <w:r w:rsidR="00245841">
        <w:t xml:space="preserve">building </w:t>
      </w:r>
      <w:r>
        <w:t xml:space="preserve">CWA. </w:t>
      </w:r>
      <w:r w:rsidR="00245841">
        <w:t>The waste prediction capability of the BIM tool was achieve</w:t>
      </w:r>
      <w:r w:rsidR="00DD7EA4">
        <w:t>d</w:t>
      </w:r>
      <w:r w:rsidR="00245841">
        <w:t xml:space="preserve"> using a </w:t>
      </w:r>
      <w:r w:rsidR="00FC037D" w:rsidRPr="001F159D">
        <w:t xml:space="preserve">hybrid </w:t>
      </w:r>
      <w:r w:rsidR="00245841">
        <w:t>system known as ANFIS</w:t>
      </w:r>
      <w:r w:rsidR="009A041E">
        <w:t>, which combines the strengths of fuzzy systems and ANN.</w:t>
      </w:r>
      <w:r w:rsidR="00245841">
        <w:t xml:space="preserve"> </w:t>
      </w:r>
      <w:r w:rsidR="009A041E">
        <w:t xml:space="preserve">The model development process reveals that the two </w:t>
      </w:r>
      <w:r w:rsidR="009A041E" w:rsidRPr="00A3453B">
        <w:rPr>
          <w:noProof/>
        </w:rPr>
        <w:t>key</w:t>
      </w:r>
      <w:r w:rsidR="009A041E">
        <w:t xml:space="preserve"> predictors for CW are “</w:t>
      </w:r>
      <w:r w:rsidR="009A041E" w:rsidRPr="00095716">
        <w:rPr>
          <w:i/>
        </w:rPr>
        <w:t>GFA</w:t>
      </w:r>
      <w:r w:rsidR="009A041E">
        <w:t>” and “</w:t>
      </w:r>
      <w:r w:rsidR="009A041E" w:rsidRPr="00095716">
        <w:rPr>
          <w:i/>
          <w:noProof/>
        </w:rPr>
        <w:t>Construction type</w:t>
      </w:r>
      <w:r w:rsidR="009A041E">
        <w:t xml:space="preserve">”. </w:t>
      </w:r>
      <w:r w:rsidR="00245841">
        <w:t xml:space="preserve">The hybrid model was </w:t>
      </w:r>
      <w:r w:rsidR="00DD0C66">
        <w:t xml:space="preserve">integrated into the BIM </w:t>
      </w:r>
      <w:r w:rsidR="00053181">
        <w:t>platform</w:t>
      </w:r>
      <w:r w:rsidR="00DD0C66">
        <w:t xml:space="preserve"> and packaged as a</w:t>
      </w:r>
      <w:r w:rsidR="00FC037D" w:rsidRPr="001F159D">
        <w:t xml:space="preserve">n </w:t>
      </w:r>
      <w:r w:rsidR="00DD0C66">
        <w:t>a</w:t>
      </w:r>
      <w:r w:rsidR="00FC037D" w:rsidRPr="001F159D">
        <w:t>dd-in</w:t>
      </w:r>
      <w:r w:rsidR="00DD0C66">
        <w:t xml:space="preserve"> for Autodesk Revit</w:t>
      </w:r>
      <w:r w:rsidR="00FC037D" w:rsidRPr="008A107E">
        <w:rPr>
          <w:color w:val="FF0000"/>
        </w:rPr>
        <w:t xml:space="preserve">. </w:t>
      </w:r>
      <w:r w:rsidR="00DD0C66" w:rsidRPr="008A107E">
        <w:rPr>
          <w:color w:val="FF0000"/>
        </w:rPr>
        <w:t xml:space="preserve">The development of the </w:t>
      </w:r>
      <w:r w:rsidR="00053181" w:rsidRPr="008A107E">
        <w:rPr>
          <w:color w:val="FF0000"/>
        </w:rPr>
        <w:t>A-WAS</w:t>
      </w:r>
      <w:r w:rsidR="00DD0C66" w:rsidRPr="008A107E">
        <w:rPr>
          <w:color w:val="FF0000"/>
        </w:rPr>
        <w:t xml:space="preserve"> tool fills two main gaps in knowledge</w:t>
      </w:r>
      <w:r w:rsidR="009F4A49" w:rsidRPr="008A107E">
        <w:rPr>
          <w:color w:val="FF0000"/>
        </w:rPr>
        <w:t xml:space="preserve">, i.e., the detachment of </w:t>
      </w:r>
      <w:r w:rsidR="00FC037D" w:rsidRPr="008A107E">
        <w:rPr>
          <w:color w:val="FF0000"/>
        </w:rPr>
        <w:t>existing CW tools from the design process, and lack BIM interoperability capabilities</w:t>
      </w:r>
      <w:r w:rsidR="009F4A49" w:rsidRPr="008A107E">
        <w:rPr>
          <w:color w:val="FF0000"/>
        </w:rPr>
        <w:t xml:space="preserve"> in existing CW management tools</w:t>
      </w:r>
      <w:r w:rsidR="00FC037D" w:rsidRPr="008A107E">
        <w:rPr>
          <w:color w:val="FF0000"/>
        </w:rPr>
        <w:t xml:space="preserve">. </w:t>
      </w:r>
      <w:r w:rsidR="00C7009C" w:rsidRPr="008A107E">
        <w:rPr>
          <w:color w:val="FF0000"/>
        </w:rPr>
        <w:t>Test</w:t>
      </w:r>
      <w:r w:rsidR="00FC037D" w:rsidRPr="008A107E">
        <w:rPr>
          <w:color w:val="FF0000"/>
        </w:rPr>
        <w:t xml:space="preserve"> results </w:t>
      </w:r>
      <w:r w:rsidR="009655EE" w:rsidRPr="008A107E">
        <w:rPr>
          <w:color w:val="FF0000"/>
        </w:rPr>
        <w:t xml:space="preserve">of the </w:t>
      </w:r>
      <w:r w:rsidR="004D704B" w:rsidRPr="008A107E">
        <w:rPr>
          <w:color w:val="FF0000"/>
        </w:rPr>
        <w:t>BIM</w:t>
      </w:r>
      <w:r w:rsidR="009655EE" w:rsidRPr="008A107E">
        <w:rPr>
          <w:color w:val="FF0000"/>
        </w:rPr>
        <w:t xml:space="preserve"> tool show</w:t>
      </w:r>
      <w:r w:rsidR="00FC037D" w:rsidRPr="008A107E">
        <w:rPr>
          <w:color w:val="FF0000"/>
        </w:rPr>
        <w:t xml:space="preserve"> that the tool predicted CW according to waste types, elem</w:t>
      </w:r>
      <w:r w:rsidR="00C7009C" w:rsidRPr="008A107E">
        <w:rPr>
          <w:color w:val="FF0000"/>
        </w:rPr>
        <w:t>ent types, and building levels.</w:t>
      </w:r>
      <w:r w:rsidR="00567436" w:rsidRPr="008A107E">
        <w:rPr>
          <w:color w:val="FF0000"/>
        </w:rPr>
        <w:t xml:space="preserve"> The outputs of this study</w:t>
      </w:r>
      <w:r w:rsidR="00E8430B" w:rsidRPr="008A107E">
        <w:rPr>
          <w:color w:val="FF0000"/>
        </w:rPr>
        <w:t>,</w:t>
      </w:r>
      <w:r w:rsidR="00567436" w:rsidRPr="008A107E">
        <w:rPr>
          <w:color w:val="FF0000"/>
        </w:rPr>
        <w:t xml:space="preserve"> </w:t>
      </w:r>
      <w:r w:rsidR="00E8430B" w:rsidRPr="008A107E">
        <w:rPr>
          <w:color w:val="FF0000"/>
        </w:rPr>
        <w:t>t</w:t>
      </w:r>
      <w:r w:rsidR="00567436" w:rsidRPr="008A107E">
        <w:rPr>
          <w:color w:val="FF0000"/>
        </w:rPr>
        <w:t xml:space="preserve">herefore, offers </w:t>
      </w:r>
      <w:r w:rsidR="00567436" w:rsidRPr="008A107E">
        <w:rPr>
          <w:noProof/>
          <w:color w:val="FF0000"/>
        </w:rPr>
        <w:t>huge</w:t>
      </w:r>
      <w:r w:rsidR="00567436" w:rsidRPr="008A107E">
        <w:rPr>
          <w:color w:val="FF0000"/>
        </w:rPr>
        <w:t xml:space="preserve"> implications for industry practice </w:t>
      </w:r>
      <w:r w:rsidR="004632EF" w:rsidRPr="008A107E">
        <w:rPr>
          <w:color w:val="FF0000"/>
        </w:rPr>
        <w:t>of</w:t>
      </w:r>
      <w:r w:rsidR="00567436" w:rsidRPr="008A107E">
        <w:rPr>
          <w:color w:val="FF0000"/>
        </w:rPr>
        <w:t xml:space="preserve"> several stakeholders, which include architects, design engineers, building material suppliers, BIM professionals, sustainability experts, softwa</w:t>
      </w:r>
      <w:r w:rsidR="004632EF" w:rsidRPr="008A107E">
        <w:rPr>
          <w:color w:val="FF0000"/>
        </w:rPr>
        <w:t>re developers, and academics</w:t>
      </w:r>
      <w:r w:rsidR="00567436" w:rsidRPr="008A107E">
        <w:rPr>
          <w:color w:val="FF0000"/>
        </w:rPr>
        <w:t>.</w:t>
      </w:r>
    </w:p>
    <w:p w14:paraId="48F35362" w14:textId="311B2E7C" w:rsidR="00FC037D" w:rsidRDefault="002B6E1E" w:rsidP="0072282C">
      <w:pPr>
        <w:spacing w:line="480" w:lineRule="auto"/>
      </w:pPr>
      <w:r>
        <w:t>This study has some limitations despite it</w:t>
      </w:r>
      <w:r w:rsidR="00E12B5C">
        <w:t>s</w:t>
      </w:r>
      <w:r>
        <w:t xml:space="preserve"> </w:t>
      </w:r>
      <w:r w:rsidR="00BA5FB1">
        <w:t>contribution to exi</w:t>
      </w:r>
      <w:r w:rsidR="00070C33">
        <w:t>s</w:t>
      </w:r>
      <w:r w:rsidR="00BA5FB1">
        <w:t>ting knowledge</w:t>
      </w:r>
      <w:r w:rsidR="00FC037D" w:rsidRPr="001F159D">
        <w:t xml:space="preserve">. A </w:t>
      </w:r>
      <w:r w:rsidR="00FC037D" w:rsidRPr="00A3453B">
        <w:rPr>
          <w:noProof/>
        </w:rPr>
        <w:t>major</w:t>
      </w:r>
      <w:r w:rsidR="00FC037D" w:rsidRPr="001F159D">
        <w:t xml:space="preserve"> limitation </w:t>
      </w:r>
      <w:r w:rsidR="00982F0A">
        <w:t>is that</w:t>
      </w:r>
      <w:r w:rsidR="00FC037D" w:rsidRPr="001F159D">
        <w:t xml:space="preserve"> the study was </w:t>
      </w:r>
      <w:r w:rsidR="00982F0A">
        <w:t>carried out with</w:t>
      </w:r>
      <w:r w:rsidR="00FC037D" w:rsidRPr="001F159D">
        <w:t xml:space="preserve">in the </w:t>
      </w:r>
      <w:r w:rsidR="00982F0A">
        <w:t xml:space="preserve">UK construction industry </w:t>
      </w:r>
      <w:r w:rsidR="00FC037D" w:rsidRPr="001F159D">
        <w:t>context</w:t>
      </w:r>
      <w:r w:rsidR="006754D1">
        <w:t>,</w:t>
      </w:r>
      <w:r w:rsidR="00FC037D" w:rsidRPr="001F159D">
        <w:t xml:space="preserve"> </w:t>
      </w:r>
      <w:r w:rsidR="00FC037D" w:rsidRPr="006754D1">
        <w:rPr>
          <w:noProof/>
        </w:rPr>
        <w:t>so</w:t>
      </w:r>
      <w:r w:rsidR="00FC037D" w:rsidRPr="001F159D">
        <w:t xml:space="preserve"> the findings have a UK bias. </w:t>
      </w:r>
      <w:r w:rsidR="008F6E84">
        <w:t xml:space="preserve">Another limitation of the study is the nature of the data used for model development. </w:t>
      </w:r>
      <w:r w:rsidR="00E12B5C">
        <w:t>An exploration of the</w:t>
      </w:r>
      <w:r w:rsidR="00E30A57">
        <w:t xml:space="preserve"> collected</w:t>
      </w:r>
      <w:r w:rsidR="00E12B5C">
        <w:t xml:space="preserve"> </w:t>
      </w:r>
      <w:r w:rsidR="00E30A57">
        <w:t>historical</w:t>
      </w:r>
      <w:r w:rsidR="00A45094">
        <w:t xml:space="preserve"> </w:t>
      </w:r>
      <w:r w:rsidR="000B72B6">
        <w:t>WDR reveals</w:t>
      </w:r>
      <w:r w:rsidR="00095716">
        <w:t xml:space="preserve"> that 45% of CW arising</w:t>
      </w:r>
      <w:r w:rsidR="00FC037D" w:rsidRPr="001F159D">
        <w:t xml:space="preserve"> </w:t>
      </w:r>
      <w:r w:rsidR="00FC037D" w:rsidRPr="00A3453B">
        <w:rPr>
          <w:noProof/>
        </w:rPr>
        <w:t>a</w:t>
      </w:r>
      <w:r w:rsidR="000B72B6" w:rsidRPr="00A3453B">
        <w:rPr>
          <w:noProof/>
        </w:rPr>
        <w:t>re recorded</w:t>
      </w:r>
      <w:r w:rsidR="000B72B6">
        <w:t xml:space="preserve"> as</w:t>
      </w:r>
      <w:r w:rsidR="00FC037D" w:rsidRPr="001F159D">
        <w:t xml:space="preserve"> mixed waste. This </w:t>
      </w:r>
      <w:r w:rsidR="00227D54">
        <w:t xml:space="preserve">figure </w:t>
      </w:r>
      <w:r w:rsidR="00FC037D" w:rsidRPr="001F159D">
        <w:t xml:space="preserve">supports the general </w:t>
      </w:r>
      <w:r w:rsidR="00C9559F">
        <w:t xml:space="preserve">industry </w:t>
      </w:r>
      <w:r w:rsidR="00FC037D" w:rsidRPr="001F159D">
        <w:t xml:space="preserve">practice </w:t>
      </w:r>
      <w:r w:rsidR="00C9559F">
        <w:t xml:space="preserve">of </w:t>
      </w:r>
      <w:r w:rsidR="00FC037D" w:rsidRPr="001F159D">
        <w:t>record</w:t>
      </w:r>
      <w:r w:rsidR="00C9559F">
        <w:t>ing most arising</w:t>
      </w:r>
      <w:r w:rsidR="00FC037D" w:rsidRPr="001F159D">
        <w:t xml:space="preserve"> under mixed or general waste</w:t>
      </w:r>
      <w:r w:rsidR="00095716">
        <w:t xml:space="preserve"> because it is not cost-effective to segregate CW on-</w:t>
      </w:r>
      <w:r w:rsidR="00095716">
        <w:lastRenderedPageBreak/>
        <w:t>site</w:t>
      </w:r>
      <w:r w:rsidR="00FC037D" w:rsidRPr="001F159D">
        <w:t xml:space="preserve">. This challenge constitutes a significant hindrance to CW prediction because the </w:t>
      </w:r>
      <w:r w:rsidR="00764C37">
        <w:t xml:space="preserve">waste </w:t>
      </w:r>
      <w:r w:rsidR="00FC037D" w:rsidRPr="001F159D">
        <w:t xml:space="preserve">data </w:t>
      </w:r>
      <w:r w:rsidR="00764C37">
        <w:t xml:space="preserve">from building projects </w:t>
      </w:r>
      <w:r w:rsidR="00FC037D" w:rsidRPr="00A3453B">
        <w:rPr>
          <w:noProof/>
        </w:rPr>
        <w:t xml:space="preserve">are not </w:t>
      </w:r>
      <w:r w:rsidR="00764C37" w:rsidRPr="00A3453B">
        <w:rPr>
          <w:noProof/>
        </w:rPr>
        <w:t xml:space="preserve">adequately </w:t>
      </w:r>
      <w:r w:rsidR="00FC037D" w:rsidRPr="00A3453B">
        <w:rPr>
          <w:noProof/>
        </w:rPr>
        <w:t>recorded</w:t>
      </w:r>
      <w:r w:rsidR="00FC037D" w:rsidRPr="001F159D">
        <w:t xml:space="preserve">. Overcoming this </w:t>
      </w:r>
      <w:r w:rsidR="00764C37">
        <w:t xml:space="preserve">challenge </w:t>
      </w:r>
      <w:r w:rsidR="00FC037D" w:rsidRPr="001F159D">
        <w:t xml:space="preserve">requires </w:t>
      </w:r>
      <w:r w:rsidR="00053181">
        <w:t>the adoption of</w:t>
      </w:r>
      <w:r w:rsidR="00A45094">
        <w:t xml:space="preserve"> </w:t>
      </w:r>
      <w:r w:rsidR="00FC037D" w:rsidRPr="001F159D">
        <w:t>an integrated approach to CW data collection</w:t>
      </w:r>
      <w:r w:rsidR="004155EE">
        <w:t>. Future research</w:t>
      </w:r>
      <w:r w:rsidR="00095716">
        <w:t xml:space="preserve"> should also </w:t>
      </w:r>
      <w:r w:rsidR="00866843" w:rsidRPr="001F159D">
        <w:t>consider</w:t>
      </w:r>
      <w:r w:rsidR="00FC037D" w:rsidRPr="001F159D">
        <w:t xml:space="preserve"> the development of </w:t>
      </w:r>
      <w:r w:rsidR="00FC037D" w:rsidRPr="006754D1">
        <w:rPr>
          <w:noProof/>
        </w:rPr>
        <w:t>BIM</w:t>
      </w:r>
      <w:r w:rsidR="006754D1">
        <w:rPr>
          <w:noProof/>
        </w:rPr>
        <w:t>-</w:t>
      </w:r>
      <w:r w:rsidR="001D62A5" w:rsidRPr="006754D1">
        <w:rPr>
          <w:noProof/>
        </w:rPr>
        <w:t>enabled</w:t>
      </w:r>
      <w:r w:rsidR="00FC037D" w:rsidRPr="001F159D">
        <w:t xml:space="preserve"> </w:t>
      </w:r>
      <w:r w:rsidR="00E12B5C">
        <w:t>CW</w:t>
      </w:r>
      <w:r w:rsidR="00FC037D" w:rsidRPr="001F159D">
        <w:t xml:space="preserve"> collection tools, which will integrate </w:t>
      </w:r>
      <w:r w:rsidR="001D62A5">
        <w:t>WDR</w:t>
      </w:r>
      <w:r w:rsidR="00FC037D" w:rsidRPr="001F159D">
        <w:t xml:space="preserve"> into BIM </w:t>
      </w:r>
      <w:r w:rsidR="00053181">
        <w:t>models</w:t>
      </w:r>
      <w:r w:rsidR="00FC037D" w:rsidRPr="001F159D">
        <w:t xml:space="preserve">. </w:t>
      </w:r>
    </w:p>
    <w:p w14:paraId="7AD3252F" w14:textId="69068D05" w:rsidR="008B6040" w:rsidRDefault="00660595" w:rsidP="00660595">
      <w:pPr>
        <w:pStyle w:val="Heading1"/>
        <w:numPr>
          <w:ilvl w:val="0"/>
          <w:numId w:val="0"/>
        </w:numPr>
        <w:ind w:left="432" w:hanging="432"/>
      </w:pPr>
      <w:r>
        <w:t>Acknowledgement</w:t>
      </w:r>
    </w:p>
    <w:p w14:paraId="715E42B6" w14:textId="77777777" w:rsidR="00CF3C64" w:rsidRDefault="00CF3C64" w:rsidP="00CF3C64">
      <w:pPr>
        <w:rPr>
          <w:b/>
        </w:rPr>
      </w:pPr>
      <w:r w:rsidRPr="00A22A65">
        <w:t>The authors would like to acknowledge and express their sincere gratitude to the Engineering</w:t>
      </w:r>
      <w:r>
        <w:rPr>
          <w:b/>
        </w:rPr>
        <w:t xml:space="preserve"> </w:t>
      </w:r>
      <w:r w:rsidRPr="00A22A65">
        <w:t xml:space="preserve">and Physical Sciences Research Council (EPSRC) and Innovate UK (Grant Reference No. EP/N509012/1; Grant Application No. 54832–413479/File No. 102473) for providing the financial support for this study. </w:t>
      </w:r>
    </w:p>
    <w:p w14:paraId="60ED660F" w14:textId="77777777" w:rsidR="00FC037D" w:rsidRPr="001F159D" w:rsidRDefault="00FC037D" w:rsidP="008B6040">
      <w:pPr>
        <w:pStyle w:val="Heading1"/>
        <w:numPr>
          <w:ilvl w:val="0"/>
          <w:numId w:val="0"/>
        </w:numPr>
        <w:spacing w:line="480" w:lineRule="auto"/>
        <w:ind w:left="432" w:hanging="432"/>
      </w:pPr>
      <w:bookmarkStart w:id="25" w:name="_GoBack"/>
      <w:bookmarkEnd w:id="25"/>
      <w:r w:rsidRPr="001F159D">
        <w:t>References</w:t>
      </w:r>
    </w:p>
    <w:p w14:paraId="276F1D3A" w14:textId="70512AEB" w:rsidR="00003D50" w:rsidRPr="00003D50" w:rsidRDefault="00FC037D" w:rsidP="00003D50">
      <w:pPr>
        <w:widowControl w:val="0"/>
        <w:autoSpaceDE w:val="0"/>
        <w:autoSpaceDN w:val="0"/>
        <w:adjustRightInd w:val="0"/>
        <w:spacing w:after="120" w:line="240" w:lineRule="auto"/>
        <w:ind w:left="480" w:hanging="480"/>
        <w:rPr>
          <w:noProof/>
          <w:sz w:val="22"/>
          <w:lang w:val="en-US"/>
        </w:rPr>
      </w:pPr>
      <w:r w:rsidRPr="001F159D">
        <w:fldChar w:fldCharType="begin" w:fldLock="1"/>
      </w:r>
      <w:r w:rsidRPr="001F159D">
        <w:instrText xml:space="preserve">ADDIN Mendeley Bibliography CSL_BIBLIOGRAPHY </w:instrText>
      </w:r>
      <w:r w:rsidRPr="001F159D">
        <w:fldChar w:fldCharType="separate"/>
      </w:r>
      <w:r w:rsidR="00003D50" w:rsidRPr="00003D50">
        <w:rPr>
          <w:noProof/>
          <w:sz w:val="22"/>
          <w:lang w:val="en-US"/>
        </w:rPr>
        <w:t>Abraham,  a, 2005. Hybrid intelligent systems: evolving intelligence in hierarchical layers. Do Smart Adapt. Syst. Exist. 179, 159–179.</w:t>
      </w:r>
    </w:p>
    <w:p w14:paraId="6CC0FE2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Abraham, A., 2004. Meta learning evolutionary artificial neural networks. Neurocomputing. doi:10.1016/S0925-2312(03)00369-2</w:t>
      </w:r>
    </w:p>
    <w:p w14:paraId="42E408D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AIA, 2014. Integrated Project Delivery: An Updated Working Definition, AIA California Council, Sacramento, CA.</w:t>
      </w:r>
    </w:p>
    <w:p w14:paraId="41333F86"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Ajayi, S.O., Oyedele, L.O., Akinade, O.O., Bilal, M., Alaka, H.A., Owolabi, H.A., 2017. Optimising material procurement for construction waste minimization: An exploration of success factors. Sustain. Mater. Technol. 11, 38–46. doi:10.1016/j.susmat.2017.01.001</w:t>
      </w:r>
    </w:p>
    <w:p w14:paraId="6618CC59"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Ajayi, S.O., Oyedele, L.O., Akinade, O.O., Bilal, M., Owolabi, H.A., Alaka, H.A., Kadiri, K.O., 2016. Reducing waste to landfill: A need for cultural change in the UK construction industry. J. Build. Eng. 5, 185–193. doi:10.1016/j.jobe.2015.12.007</w:t>
      </w:r>
    </w:p>
    <w:p w14:paraId="606455E9"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Ajayi, S.O., Oyedele, L.O., Bilal, M., Akinade, O.O., Alaka, H.A., Owolabi, H.A., Kadiri, K.O., 2015. Waste effectiveness of the construction industry: Understanding the impediments and requisites for improvements. Resour. Conserv. Recycl. 102, 101–112. doi:10.1016/j.resconrec.2015.06.001</w:t>
      </w:r>
    </w:p>
    <w:p w14:paraId="0440B4D9"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Akinade, O.O., Oyedele, L.O., Ajayi, S.O., Bilal, M., Alaka, H.A., Owolabi, H.A., Arawomo, O.O., 2018. Designing out construction waste using BIM technology: Stakeholders’ expectations for industry deployment. J. Clean. Prod. 180, 375–385. doi:10.1016/J.JCLEPRO.2018.01.022</w:t>
      </w:r>
    </w:p>
    <w:p w14:paraId="41669D35"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Akinade, O.O., Oyedele, L.O., Ajayi, S.O., Bilal, M., Alaka, H.A., Owolabi, H.A., Bello, S.A., Jaiyeoba, B.E., Kadiri, K.O., 2017. Design for Deconstruction (DfD): Critical success factors for diverting end-of-life waste from landfills. Waste Manag. 60, 3–13. doi:10.1016/j.wasman.2016.08.017</w:t>
      </w:r>
    </w:p>
    <w:p w14:paraId="18A9D2D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 xml:space="preserve">Akinade, O.O., Oyedele, L.O., Bilal, M., Ajayi, S.O., Owolabi, H.A., Alaka, H.A., Bello, S.A., 2015. </w:t>
      </w:r>
      <w:r w:rsidRPr="00003D50">
        <w:rPr>
          <w:noProof/>
          <w:sz w:val="22"/>
          <w:lang w:val="en-US"/>
        </w:rPr>
        <w:lastRenderedPageBreak/>
        <w:t>Waste minimisation through deconstruction: A BIM based Deconstructability Assessment Score (BIM-DAS). Resour. Conserv. Recycl. 105, 167–176. doi:10.1016/j.resconrec.2015.10.018</w:t>
      </w:r>
    </w:p>
    <w:p w14:paraId="4609909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Akinade, O.O., Oyedele, L.O., Munir, K., Bilal, M., Ajayi, S.O., Owolabi, H.A., Alaka, H.A., Bello, S.A., 2016. Evaluation criteria for construction waste management tools: Towards a holistic BIM framework. Int. J. Sustain. Build. Technol. Urban Dev. 7, 3–21. doi:10.1080/2093761X.2016.1152203</w:t>
      </w:r>
    </w:p>
    <w:p w14:paraId="77FCC39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Akintoye, A., McIntosh, G., Fitzgerald, E., 2000. A survey of supply chain collaboration and management in the UK construction industry. Eur. J. Purch. Supply Manag. 6, 159–168. doi:10.1016/S0969-7012(00)00012-5</w:t>
      </w:r>
    </w:p>
    <w:p w14:paraId="36E7CC9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Alfalla-Luque, R., Marin-Garcia, J.A., Medina-Lopez, C., 2015. An analysis of the direct and mediated effects of employee commitment and supply chain integration on organisational performance. Int. J. Prod. Econ. 162, 242–257. doi:10.1016/J.IJPE.2014.07.004</w:t>
      </w:r>
    </w:p>
    <w:p w14:paraId="75A1D11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Anderson, J., Thornback, J., 2012. A guide to understanding the embodied impacts of construction products. Constr. Prod. Assoc. 1–53.</w:t>
      </w:r>
    </w:p>
    <w:p w14:paraId="5BDF5DA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Andi, Minato, T., 2003. Design documents quality in the Japanese construction industry: factors influencing and impacts on construction process. Int. J. Proj. Manag. 21, 537–546. doi:10.1016/S0263-7863(02)00083-2</w:t>
      </w:r>
    </w:p>
    <w:p w14:paraId="2319E60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Ataseven, C., Nair, A., 2017. Assessment of supply chain integration and performance relationships: A meta-analytic investigation of the literature. Int. J. Prod. Econ. 185, 252–265. doi:10.1016/J.IJPE.2017.01.007</w:t>
      </w:r>
    </w:p>
    <w:p w14:paraId="33998FA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Azhar, S., 2011. Building information modeling (BIM): Trends, benefits, risks, and challenges for the AEC industry. Leadersh. Manag. Eng. 11, 241–252.</w:t>
      </w:r>
    </w:p>
    <w:p w14:paraId="2527D01B"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Azhar, S., Hein, M., Sketo, B., 2007. Building Information Modeling ( BIM ): Benefits , Risks and Challenges. Leadersh. Manag. Eng. 11, 241–252.</w:t>
      </w:r>
    </w:p>
    <w:p w14:paraId="036773A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Baek, C., Park, S.H., Suzuki, M., Lee, S.H., 2013. Life cycle carbon dioxide assessment tool for buildings in the schematic design phase. Energy Build. 61, 275–287. doi:10.1016/j.enbuild.2013.01.025</w:t>
      </w:r>
    </w:p>
    <w:p w14:paraId="32CB9678"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Bergsdal, H., Bohne, R.A., Brattebø, H., 2007. Projection of construction and demolition waste in Norway. J. Ind. Ecol. 11, 27–39.</w:t>
      </w:r>
    </w:p>
    <w:p w14:paraId="47584F29"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Bilal, M., Oyedele, L.O., Munir, K., Ajayi, S.O., Akinade, O.O., Owolabi, H.A., Alaka, H.A., 2017. The application of web of data technologies in building materials information modelling for construction waste analytics. Sustain. Mater. Technol. 11, 28–37. doi:10.1016/J.SUSMAT.2016.12.004</w:t>
      </w:r>
    </w:p>
    <w:p w14:paraId="21E1C25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Bilal, M., Oyedele, L.O., Qadir, J., Munir, K., Ajayi, S.O., Akinade, O.O., Owolabi, H.A., Alaka, H.A., Pasha, M., 2016. Big Data in the construction industry: A review of present status, opportunities, and future trends. Adv. Eng. Informatics 30, 500–521. doi:10.1016/j.aei.2016.07.001</w:t>
      </w:r>
    </w:p>
    <w:p w14:paraId="6CEA6E4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Bilal, M., Oyedele, L.O., Qadir, J., Munir, K., Akinade, O.O., Ajayi, S.O., Alaka, H.A., Owolabi, H.A., 2015. Analysis of critical features and evaluation of BIM software: towards a plug-in for construction waste minimization using big data. Int. J. Sustain. Build. Technol. Urban Dev. 6, 211–228. doi:10.1080/2093761X.2015.1116415</w:t>
      </w:r>
    </w:p>
    <w:p w14:paraId="7894B935"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BRE, 2008. SMARTWASTE [WWW Document]. URL http://www.smartwaste.co.uk/index.jsp (accessed 4.25.16).</w:t>
      </w:r>
    </w:p>
    <w:p w14:paraId="7C92215C"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Cao, M., Zhang, Q., 2011. Supply chain collaboration: Impact on collaborative advantage and firm performance. J. Oper. Manag. 29, 163–180. doi:10.1016/j.jom.2010.12.008</w:t>
      </w:r>
    </w:p>
    <w:p w14:paraId="0D16B10C"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Christopher, M., 1998. Logistics and Supply Chain Management: Strategies for reducing cost and improving services. Financ. Times/prentice Hall, London.</w:t>
      </w:r>
    </w:p>
    <w:p w14:paraId="3A92DF1E"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lastRenderedPageBreak/>
        <w:t>Cochran, K., Townsend, T., Reinhart, D., Heck, H., 2007. Estimation of regional building-related C&amp;D debris generation and composition: case study for Florida, US. Waste Manag. 27, 921–31. doi:10.1016/j.wasman.2006.03.023</w:t>
      </w:r>
    </w:p>
    <w:p w14:paraId="2F865FDC"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Cui, J., Zhang, L., 2008. Metallurgical recovery of metals from electronic waste: A review. J. Hazard. Mater. 158, 228–256. doi:10.1016/J.JHAZMAT.2008.02.001</w:t>
      </w:r>
    </w:p>
    <w:p w14:paraId="51184C38"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Dainty, A.R.J., Brooke, R.J., 2004. Towards improved construction waste minimisation: a need for improved supply chain integration? Struct. Surv. 22, 20–29. doi:10.1108/02630800410533285</w:t>
      </w:r>
    </w:p>
    <w:p w14:paraId="2C30DD4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Dainty, A.R.J., Millett, S.J., Briscoe, G.H., 2001. New perspectives on construction supply chain integration. Supply Chain Manag. An Int. J. 6, 163–173. doi:10.1108/13598540110402700</w:t>
      </w:r>
    </w:p>
    <w:p w14:paraId="69A4E97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Despeisse, M., Baumers, M., Brown, P., Charnley, F., Ford, S.J., Garmulewicz, A., Knowles, S., Minshall, T.H.W., Mortara, L., Reed-Tsochas, F.P., Rowley, J., 2017. Unlocking value for a circular economy through 3D printing: A research agenda. Technol. Forecast. Soc. Change 115, 75–84. doi:10.1016/J.TECHFORE.2016.09.021</w:t>
      </w:r>
    </w:p>
    <w:p w14:paraId="769C844A"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Eadie, R., Browne, M., Odeyinka, H., McKeown, C., McNiff, S., 2013. BIM implementation throughout the UK construction project lifecycle: An analysis. Autom. Constr. 36, 145–151. doi:10.1016/j.autcon.2013.09.001</w:t>
      </w:r>
    </w:p>
    <w:p w14:paraId="6D8C0ED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Eastman, C., Teicholz, P., Sacks, R., Liston, K., 2011. BIM handbook: A guide to building information modeling for owners, managers, designers, engineers and contractors. John Wiley &amp; Sons.</w:t>
      </w:r>
    </w:p>
    <w:p w14:paraId="3121D646"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Egan, J., 1998. Rethinking construction, Department of the Environment, Transport and the Regions, London.</w:t>
      </w:r>
    </w:p>
    <w:p w14:paraId="7A260D9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Ekanayake, L.L., Ofori, G., 2004. Building waste assessment score: design-based tool. Build. Environ. 39, 851–861.</w:t>
      </w:r>
    </w:p>
    <w:p w14:paraId="20E596E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Faniran, O., Caban, G., 1998. Minimizing waste on construction project sites. Eng. Constr. … 5, 182–188.</w:t>
      </w:r>
    </w:p>
    <w:p w14:paraId="22DC003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Fatta, D., Papadopoulos, A., Avramikos, E., Sgourou, E., Moustakas, K., Kourmoussis, F., Mentzis, A., Loizidou, M., 2003. Generation and management of construction and demolition waste in Greece—an existing challenge. Resour. Conserv. Recycl. 40, 81–91. doi:10.1016/S0921-3449(03)00035-1</w:t>
      </w:r>
    </w:p>
    <w:p w14:paraId="6D00994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Flynn, B.B., Huo, B., Zhao, X., 2010. The impact of supply chain integration on performance: A contingency and configuration approach. J. Oper. Manag. 28, 58–71. doi:10.1016/J.JOM.2009.06.001</w:t>
      </w:r>
    </w:p>
    <w:p w14:paraId="4B049F6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Ghisellini, P., Cialani, C., Ulgiati, S., 2016. A review on circular economy: the expected transition to a balanced interplay of environmental and economic systems. J. Clean. Prod. 114, 11–32. doi:10.1016/J.JCLEPRO.2015.09.007</w:t>
      </w:r>
    </w:p>
    <w:p w14:paraId="0B63A98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Gimenez, C., McIvor, R., 2016. Risk, risk management practices, and the success of supply chain integration. Int. J. Prod. Econ. 171, 361–370. doi:10.1016/J.IJPE.2015.03.020</w:t>
      </w:r>
    </w:p>
    <w:p w14:paraId="096A7C1B"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Goedert, J.D., Meadati, P., 2008. Integrating construction process documentation into building information modeling. J. Constr. Eng. Manag. 134, 509–516.</w:t>
      </w:r>
    </w:p>
    <w:p w14:paraId="5527BAC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Gordon, O., Herrera, F., Hoffmann, F., Luis, M., 2001. Genetic fuzzy systems: Fuzzy Knowledge Extraction by Evolutionary Algorithms. Sci. Publ. Co. Pte. Ltd, UK. doi:10.1142/4177</w:t>
      </w:r>
    </w:p>
    <w:p w14:paraId="70361DA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Grilo, A., Jardim-Goncalves, R., 2010. Value proposition on interoperability of BIM and collaborative working environments. Autom. Constr. 19, 522–530. doi:10.1016/j.autcon.2009.11.003</w:t>
      </w:r>
    </w:p>
    <w:p w14:paraId="671C0E3E"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Hegde, V., Kulkarni, R.D., Ajantha, G.S., 2007. Biomedical waste management. J. Oral Maxillofac. Pathol. 11, 5.</w:t>
      </w:r>
    </w:p>
    <w:p w14:paraId="3A5B4F7E"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Hicks, C., Heidrich, O., McGovern, T., Donnelly, T., 2004. A functional model of supply chains and waste. Int. J. Prod. Econ. 89, 165–174. doi:10.1016/S0925-5273(03)00045-8</w:t>
      </w:r>
    </w:p>
    <w:p w14:paraId="5C056EFC"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lastRenderedPageBreak/>
        <w:t>Huang, M.-C., Yen, G.-F., Liu, T.-C., 2014. Reexamining supply chain integration and the supplier’s performance relationships under uncertainty. Supply Chain Manag. An Int. J. 19, 64–78. doi:10.1108/SCM-04-2013-0114</w:t>
      </w:r>
    </w:p>
    <w:p w14:paraId="577FAE0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Jalali, S., 2007. Quantification of Construction Waste Amount, in: 6th International Technical Conference of Waste.</w:t>
      </w:r>
    </w:p>
    <w:p w14:paraId="58456098"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Jang, J.-S.R., 1993. ANFIS : Adap tive-Ne twork-Based Fuzzy Inference System. IEEE Trans. Syst. Man. Cybern. 23.</w:t>
      </w:r>
    </w:p>
    <w:p w14:paraId="78979DA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Lavy, S., Jawadekar, S., 2014. A Case Study of Using BIM and COBie for Facility Management. Int. J. Facil. Manag. 5, 13–27.</w:t>
      </w:r>
    </w:p>
    <w:p w14:paraId="6B88FCB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Li, J., Ding, Z., Mi, X., Wang, J., 2013. A model for estimating construction waste generation index for building project in China. Resour. Conserv. Recycl. 74, 20–26. doi:10.1016/j.resconrec.2013.02.015</w:t>
      </w:r>
    </w:p>
    <w:p w14:paraId="0153F6E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Lichtig, W.A., 2010. The Integrated Agreement for Lean Project Delivery, in: Improving Healthcare through Built Environment Infrastructure. pp. 85–101. doi:10.1002/9781444319675.ch6</w:t>
      </w:r>
    </w:p>
    <w:p w14:paraId="0D33266E"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Lin, C.-T., Lee, C.S.G., Lin, C.-T., Lin, C.T., 1996. Neural fuzzy systems: a neuro-fuzzy synergism to intelligent systems. Prentice hall PTR Upper Saddle River NJ.</w:t>
      </w:r>
    </w:p>
    <w:p w14:paraId="7E55F3C5"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Liu, Z., Osmani, M., Demian, P., Baldwin, A., 2011. The potential use of BIM to aid construction waste minimalisation, in: Proceedings of the CIB W78-W102 2011: International Conference. Sophia Antipolis, France.</w:t>
      </w:r>
    </w:p>
    <w:p w14:paraId="4275BF8B"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Lopez, R., Love, P.E.D., 2012. Design Error Costs in Construction Projects. J. Constr. Eng. Manag. doi:10.1061/(ASCE)CO.1943-7862.0000454</w:t>
      </w:r>
    </w:p>
    <w:p w14:paraId="3A421A2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MacLeamy, P., 2004. MacLeamy Curve. Collab. Integr. Information, Proj. Lifecycle Build. Des. Constr. Oper.</w:t>
      </w:r>
    </w:p>
    <w:p w14:paraId="14F312A8"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Manning, R., Messner, J., 2008. Case studies in BIM implementation for programming of healthcare facilities, in: ITcon - IT in Construction, 13 (Special Issue - Case Studies of BIM Use). ITcon.</w:t>
      </w:r>
    </w:p>
    <w:p w14:paraId="4C1F767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Masudi, A.F., Rosmani, C., Hassan, C., Mahmood, N.Z., Mokhtar, S.N., 2011. Construction Waste Quantification and Benchmarking : A Study in Klang Valley , Malaysia 5, 909–916.</w:t>
      </w:r>
    </w:p>
    <w:p w14:paraId="6E11BA3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Mirabella, N., Castellani, V., Sala, S., 2014. Current options for the valorization of food manufacturing waste: a review. J. Clean. Prod. 65, 28–41. doi:10.1016/J.JCLEPRO.2013.10.051</w:t>
      </w:r>
    </w:p>
    <w:p w14:paraId="3921557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Narasimhan, R., Kim, S.W., 2002. Effect of supply chain integration on the relationship between diversification and performance: evidence from Japanese and Korean firms. J. Oper. Manag. 20, 303–323. doi:10.1016/S0272-6963(02)00008-6</w:t>
      </w:r>
    </w:p>
    <w:p w14:paraId="4ED800A8"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Osmani, M., Glass, J., Price, A.D.F., 2008. Architects’ perspectives on construction waste reduction by design. Waste Manag. 28, 1147–1158.</w:t>
      </w:r>
    </w:p>
    <w:p w14:paraId="4F9E0BB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Otto, M., 1990. Fuzzy expert systems, TrAC Trends in Analytical Chemistry. doi:10.1016/0165-9936(90)85030-B</w:t>
      </w:r>
    </w:p>
    <w:p w14:paraId="7D354246"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Oyedele, L.O., Ajayi, S.O., Kadiri, K.O., 2014. Use of recycled products in UK construction industry: An empirical investigation into critical impediments and strategies for improvement. Resour. Conserv. Recycl. 93, 23–31. doi:10.1016/j.resconrec.2014.09.011</w:t>
      </w:r>
    </w:p>
    <w:p w14:paraId="7F3C77DA"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Oyedele, L.O., Regan, M., von Meding, J., Ahmed, A., Ebohon, O.J., Elnokaly, A., 2013. Reducing waste to landfill in the UK: identifying impediments and critical solutions. World J. Sci. Technol. Sustain. Dev. 10, 131–142. doi:10.1108/20425941311323136</w:t>
      </w:r>
    </w:p>
    <w:p w14:paraId="4DCEF349"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Pan, S.-Y., Du, M.A., Huang, I.-T., Liu, I.-H., Chang, E.-E., Chiang, P.-C., 2015. Strategies on implementation of waste-to-energy (WTE) supply chain for circular economy system: a review. J. Clean. Prod. 108, 409–421. doi:10.1016/J.JCLEPRO.2015.06.124</w:t>
      </w:r>
    </w:p>
    <w:p w14:paraId="1758128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lastRenderedPageBreak/>
        <w:t>Poon, C.S., Yu, A.T.W., Jaillon, L., 2004. Reducing building waste at construction sites in Hong Kong. Constr. Manag. Econ. 22, 461–470. doi:10.1080/0144619042000202816</w:t>
      </w:r>
    </w:p>
    <w:p w14:paraId="28CCC60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Prajogo, D., Olhager, J., 2012. Supply chain integration and performance: The effects of long-term relationships, information technology and sharing, and logistics integration. Int. J. Prod. Econ. 135, 514–522. doi:10.1016/J.IJPE.2011.09.001</w:t>
      </w:r>
    </w:p>
    <w:p w14:paraId="52D5B85C"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Salem, O., Asce, M., Shahin, A., Khalifa, Y., 2008. Minimizing Cutting Wastes of Reinforcement Steel Bars Using Genetic Algorithms and Integer Programming Models 133, 982–992.</w:t>
      </w:r>
    </w:p>
    <w:p w14:paraId="6C0E75A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Sepehri, A., Sarrafzadeh, M.-H., 2018. Effect of nitrifiers community on fouling mitigation and nitrification efficiency in a membrane bioreactor. Chem. Eng. Process. - Process Intensif. 128, 10–18. doi:10.1016/J.CEP.2018.04.006</w:t>
      </w:r>
    </w:p>
    <w:p w14:paraId="01C3F4B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Shen, L.-Y., Lu, W.-S., Yao, H., Wu, D.-H., 2005. A computer-based scoring method for measuring the environmental performance of construction activities. Autom. Constr. 14, 297–309. doi:10.1016/j.autcon.2004.08.017</w:t>
      </w:r>
    </w:p>
    <w:p w14:paraId="558FC5C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Singh, T.N., Kanchan, R., Verma, A.K., Saigal, K., 2005. A comparative study of ANN and Neuro-fuzzy for the prediction of dynamic constant of rockmass. J. Earth Syst. Sci., 114, 75–86.</w:t>
      </w:r>
    </w:p>
    <w:p w14:paraId="07A25C94"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Singh, V., Gu, N., Wang, X., 2011. A theoretical framework of a BIM-based multi-disciplinary collaboration platform. Autom. Constr. 20, 134–144. doi:10.1016/j.autcon.2010.09.011</w:t>
      </w:r>
    </w:p>
    <w:p w14:paraId="7AC64D9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Solís-Guzmán, J., Marrero, M., Montes-Delgado, M.V., Ramírez-de-Arellano, A., 2009. A Spanish model for quantification and management of construction waste. Waste Manag. 29, 2542–2548. doi:http://dx.doi.org/10.1016/j.wasman.2009.05.009</w:t>
      </w:r>
    </w:p>
    <w:p w14:paraId="249C748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Steel, J., Drogemuller, R., Toth, B., 2012. Model interoperability in building information modelling. Softw. Syst. Model. 11, 99–109. doi:10.1007/s10270-010-0178-4</w:t>
      </w:r>
    </w:p>
    <w:p w14:paraId="21300A15"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Sud, D., Mahajan, G., Kaur, M.P., 2008. Agricultural waste material as potential adsorbent for sequestering heavy metal ions from aqueous solutions – A review. Bioresour. Technol. 99, 6017–6027. doi:10.1016/J.BIORTECH.2007.11.064</w:t>
      </w:r>
    </w:p>
    <w:p w14:paraId="4AFF9EB2"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Thunberg, M., Rudberg, M., Karrbom Gustavsson, T., 2017. Categorising on-site problems: A supply chain management perspective on construction projects. Constr. Innov. 17, 90–111. doi:10.1108/CI-10-2015-0059</w:t>
      </w:r>
    </w:p>
    <w:p w14:paraId="4B77EF0D"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Villarreal, B., Garcia, D., Rosas, I., 2009. Eliminating transportation waste in food distribution: a case study. Transp. J. 48, 72–77.</w:t>
      </w:r>
    </w:p>
    <w:p w14:paraId="531A9E2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Wang, J.Y., Touran, A., Christoforou, C., Fadlalla, H., 2004. A systems analysis tool for construction and demolition wastes management. Waste Manag. 24, 989–97. doi:10.1016/j.wasman.2004.07.010</w:t>
      </w:r>
    </w:p>
    <w:p w14:paraId="3F318B71"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Won, J., Cheng, J.C.P., Lee, G., 2016. Quantification of construction waste prevented by BIM-based design validation: Case studies in South Korea. Waste Manag. doi:10.1016/j.wasman.2015.12.026</w:t>
      </w:r>
    </w:p>
    <w:p w14:paraId="6ABF4903"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WRAP, 2011. Designing-out Waste Tool for Buildings. Available from http//dowtb.wrap.org.uk/.</w:t>
      </w:r>
    </w:p>
    <w:p w14:paraId="4760E58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Wu, Z., Fan, H., Liu, G., 2013. Forecasting Construction and Demolition Waste Using Gene Expression Programming. J. Comput. Civ. Eng. 04014059. doi:10.1061/(ASCE)CP.1943-5487.0000362</w:t>
      </w:r>
    </w:p>
    <w:p w14:paraId="6B53873F"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Yao, X., 1993. A review of evolutionary artificial neural networks. Int. J. Intell. Syst. 8, 539–567. doi:10.1002/int.4550080406</w:t>
      </w:r>
    </w:p>
    <w:p w14:paraId="7E787617" w14:textId="77777777" w:rsidR="00003D50" w:rsidRPr="00003D50" w:rsidRDefault="00003D50" w:rsidP="00003D50">
      <w:pPr>
        <w:widowControl w:val="0"/>
        <w:autoSpaceDE w:val="0"/>
        <w:autoSpaceDN w:val="0"/>
        <w:adjustRightInd w:val="0"/>
        <w:spacing w:after="120" w:line="240" w:lineRule="auto"/>
        <w:ind w:left="480" w:hanging="480"/>
        <w:rPr>
          <w:noProof/>
          <w:sz w:val="22"/>
          <w:lang w:val="en-US"/>
        </w:rPr>
      </w:pPr>
      <w:r w:rsidRPr="00003D50">
        <w:rPr>
          <w:noProof/>
          <w:sz w:val="22"/>
          <w:lang w:val="en-US"/>
        </w:rPr>
        <w:t>Zaman, A.U., Lehmann, S., 2013. The zero waste index: a performance measurement tool for waste management systems in a ‘zero waste city.’ J. Clean. Prod. 50, 123–132. doi:10.1016/j.jclepro.2012.11.041</w:t>
      </w:r>
    </w:p>
    <w:p w14:paraId="6E575A72" w14:textId="77777777" w:rsidR="00003D50" w:rsidRPr="00003D50" w:rsidRDefault="00003D50" w:rsidP="00003D50">
      <w:pPr>
        <w:widowControl w:val="0"/>
        <w:autoSpaceDE w:val="0"/>
        <w:autoSpaceDN w:val="0"/>
        <w:adjustRightInd w:val="0"/>
        <w:spacing w:after="120" w:line="240" w:lineRule="auto"/>
        <w:ind w:left="480" w:hanging="480"/>
        <w:rPr>
          <w:noProof/>
          <w:sz w:val="22"/>
        </w:rPr>
      </w:pPr>
      <w:r w:rsidRPr="00003D50">
        <w:rPr>
          <w:noProof/>
          <w:sz w:val="22"/>
          <w:lang w:val="en-US"/>
        </w:rPr>
        <w:t>Zhou, H., Benton, W.C., 2007. Supply chain practice and information sharing. J. Oper. Manag. 25, 1348–1365. doi:10.1016/J.JOM.2007.01.009</w:t>
      </w:r>
    </w:p>
    <w:p w14:paraId="2460FA28" w14:textId="495A10B0" w:rsidR="00D5359F" w:rsidRPr="00FC037D" w:rsidRDefault="00FC037D" w:rsidP="00003D50">
      <w:pPr>
        <w:widowControl w:val="0"/>
        <w:autoSpaceDE w:val="0"/>
        <w:autoSpaceDN w:val="0"/>
        <w:adjustRightInd w:val="0"/>
        <w:spacing w:after="120" w:line="240" w:lineRule="auto"/>
        <w:ind w:left="480" w:hanging="480"/>
      </w:pPr>
      <w:r w:rsidRPr="001F159D">
        <w:lastRenderedPageBreak/>
        <w:fldChar w:fldCharType="end"/>
      </w:r>
    </w:p>
    <w:sectPr w:rsidR="00D5359F" w:rsidRPr="00FC037D" w:rsidSect="00CE4D7D">
      <w:footerReference w:type="default" r:id="rId19"/>
      <w:pgSz w:w="11900" w:h="16840"/>
      <w:pgMar w:top="1440" w:right="1440" w:bottom="1440" w:left="1440" w:header="720" w:footer="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91FC8" w14:textId="77777777" w:rsidR="002C76FD" w:rsidRDefault="002C76FD">
      <w:pPr>
        <w:spacing w:after="0" w:line="240" w:lineRule="auto"/>
      </w:pPr>
      <w:r>
        <w:separator/>
      </w:r>
    </w:p>
  </w:endnote>
  <w:endnote w:type="continuationSeparator" w:id="0">
    <w:p w14:paraId="14D0CFF3" w14:textId="77777777" w:rsidR="002C76FD" w:rsidRDefault="002C7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Calibri"/>
    <w:panose1 w:val="020B0604020202020204"/>
    <w:charset w:val="00"/>
    <w:family w:val="swiss"/>
    <w:pitch w:val="variable"/>
    <w:sig w:usb0="E4002EFF" w:usb1="C000E47F" w:usb2="00000009" w:usb3="00000000" w:csb0="000001FF" w:csb1="00000000"/>
  </w:font>
  <w:font w:name="Univers 55">
    <w:altName w:val="Calibri"/>
    <w:panose1 w:val="020B0604020202020204"/>
    <w:charset w:val="00"/>
    <w:family w:val="swiss"/>
    <w:notTrueType/>
    <w:pitch w:val="default"/>
    <w:sig w:usb0="00000003" w:usb1="00000000" w:usb2="00000000" w:usb3="00000000" w:csb0="00000001" w:csb1="00000000"/>
  </w:font>
  <w:font w:name="Univers 45 Light">
    <w:altName w:val="Calibri"/>
    <w:panose1 w:val="020B0604020202020204"/>
    <w:charset w:val="00"/>
    <w:family w:val="auto"/>
    <w:pitch w:val="variable"/>
    <w:sig w:usb0="00000003" w:usb1="00000000" w:usb2="00000000" w:usb3="00000000" w:csb0="00000001" w:csb1="00000000"/>
  </w:font>
  <w:font w:name="Goudy Old Style">
    <w:panose1 w:val="02020502050305020303"/>
    <w:charset w:val="4D"/>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417953"/>
      <w:docPartObj>
        <w:docPartGallery w:val="Page Numbers (Bottom of Page)"/>
        <w:docPartUnique/>
      </w:docPartObj>
    </w:sdtPr>
    <w:sdtEndPr>
      <w:rPr>
        <w:noProof/>
      </w:rPr>
    </w:sdtEndPr>
    <w:sdtContent>
      <w:p w14:paraId="41436049" w14:textId="70842E25" w:rsidR="002C76FD" w:rsidRDefault="002C76FD">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50D1ACAE" w14:textId="77777777" w:rsidR="002C76FD" w:rsidRDefault="002C76FD" w:rsidP="00FE45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8382" w14:textId="77777777" w:rsidR="002C76FD" w:rsidRDefault="002C76FD">
      <w:pPr>
        <w:spacing w:after="0" w:line="240" w:lineRule="auto"/>
      </w:pPr>
      <w:r>
        <w:separator/>
      </w:r>
    </w:p>
  </w:footnote>
  <w:footnote w:type="continuationSeparator" w:id="0">
    <w:p w14:paraId="24696B95" w14:textId="77777777" w:rsidR="002C76FD" w:rsidRDefault="002C7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E65E84"/>
    <w:lvl w:ilvl="0">
      <w:start w:val="1"/>
      <w:numFmt w:val="bullet"/>
      <w:pStyle w:val="ListBullet1"/>
      <w:lvlText w:val=""/>
      <w:lvlJc w:val="left"/>
      <w:pPr>
        <w:tabs>
          <w:tab w:val="num" w:pos="360"/>
        </w:tabs>
        <w:ind w:left="360" w:hanging="360"/>
      </w:pPr>
      <w:rPr>
        <w:rFonts w:ascii="Symbol" w:hAnsi="Symbol" w:hint="default"/>
      </w:rPr>
    </w:lvl>
  </w:abstractNum>
  <w:abstractNum w:abstractNumId="1" w15:restartNumberingAfterBreak="0">
    <w:nsid w:val="093D1CC1"/>
    <w:multiLevelType w:val="hybridMultilevel"/>
    <w:tmpl w:val="C0FE67C8"/>
    <w:lvl w:ilvl="0" w:tplc="F4309D02">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ED5D34"/>
    <w:multiLevelType w:val="hybridMultilevel"/>
    <w:tmpl w:val="C6A8B38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965EA"/>
    <w:multiLevelType w:val="hybridMultilevel"/>
    <w:tmpl w:val="18DCFF82"/>
    <w:lvl w:ilvl="0" w:tplc="80BC1482">
      <w:start w:val="1"/>
      <w:numFmt w:val="decimal"/>
      <w:pStyle w:val="FigureCaption"/>
      <w:lvlText w:val="Figure %1:"/>
      <w:lvlJc w:val="left"/>
      <w:pPr>
        <w:tabs>
          <w:tab w:val="num" w:pos="2835"/>
        </w:tabs>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4" w15:restartNumberingAfterBreak="0">
    <w:nsid w:val="25C52017"/>
    <w:multiLevelType w:val="hybridMultilevel"/>
    <w:tmpl w:val="700A881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941F7D"/>
    <w:multiLevelType w:val="hybridMultilevel"/>
    <w:tmpl w:val="81F05E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07438"/>
    <w:multiLevelType w:val="hybridMultilevel"/>
    <w:tmpl w:val="8BDE60B6"/>
    <w:lvl w:ilvl="0" w:tplc="08EC8E10">
      <w:start w:val="1"/>
      <w:numFmt w:val="upperLetter"/>
      <w:lvlText w:val="SECTION %1: "/>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174513E"/>
    <w:multiLevelType w:val="hybridMultilevel"/>
    <w:tmpl w:val="CF22E7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AA5F47"/>
    <w:multiLevelType w:val="hybridMultilevel"/>
    <w:tmpl w:val="1422BB82"/>
    <w:lvl w:ilvl="0" w:tplc="DEA85DEC">
      <w:start w:val="1"/>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DAD0E16"/>
    <w:multiLevelType w:val="hybridMultilevel"/>
    <w:tmpl w:val="19C4C9B8"/>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D70F9D"/>
    <w:multiLevelType w:val="hybridMultilevel"/>
    <w:tmpl w:val="47E6DA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7D4E92"/>
    <w:multiLevelType w:val="hybridMultilevel"/>
    <w:tmpl w:val="DF80DEB6"/>
    <w:lvl w:ilvl="0" w:tplc="86DC2AF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89A23B7"/>
    <w:multiLevelType w:val="hybridMultilevel"/>
    <w:tmpl w:val="2DDE14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AA24AE"/>
    <w:multiLevelType w:val="multilevel"/>
    <w:tmpl w:val="DA64BE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7A8A415F"/>
    <w:multiLevelType w:val="hybridMultilevel"/>
    <w:tmpl w:val="FEEC39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2"/>
  </w:num>
  <w:num w:numId="5">
    <w:abstractNumId w:val="4"/>
  </w:num>
  <w:num w:numId="6">
    <w:abstractNumId w:val="10"/>
  </w:num>
  <w:num w:numId="7">
    <w:abstractNumId w:val="13"/>
  </w:num>
  <w:num w:numId="8">
    <w:abstractNumId w:val="14"/>
  </w:num>
  <w:num w:numId="9">
    <w:abstractNumId w:val="11"/>
  </w:num>
  <w:num w:numId="10">
    <w:abstractNumId w:val="5"/>
  </w:num>
  <w:num w:numId="11">
    <w:abstractNumId w:val="1"/>
  </w:num>
  <w:num w:numId="12">
    <w:abstractNumId w:val="6"/>
  </w:num>
  <w:num w:numId="13">
    <w:abstractNumId w:val="8"/>
  </w:num>
  <w:num w:numId="14">
    <w:abstractNumId w:val="12"/>
  </w:num>
  <w:num w:numId="15">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GB" w:vendorID="64" w:dllVersion="0" w:nlCheck="1" w:checkStyle="0"/>
  <w:activeWritingStyle w:appName="MSWord" w:lang="en-US" w:vendorID="64" w:dllVersion="0" w:nlCheck="1" w:checkStyle="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zQ0trQwMzY2sbQ0NzBU0lEKTi0uzszPAykwMqoFAPboM0otAAAA"/>
  </w:docVars>
  <w:rsids>
    <w:rsidRoot w:val="00D5359F"/>
    <w:rsid w:val="0000108D"/>
    <w:rsid w:val="00002EEB"/>
    <w:rsid w:val="00003D50"/>
    <w:rsid w:val="00004A2B"/>
    <w:rsid w:val="00004BDE"/>
    <w:rsid w:val="00010190"/>
    <w:rsid w:val="000117C7"/>
    <w:rsid w:val="00015B86"/>
    <w:rsid w:val="00022D2D"/>
    <w:rsid w:val="000233A8"/>
    <w:rsid w:val="0002494D"/>
    <w:rsid w:val="0002573D"/>
    <w:rsid w:val="000261AE"/>
    <w:rsid w:val="00027476"/>
    <w:rsid w:val="00034115"/>
    <w:rsid w:val="000351FF"/>
    <w:rsid w:val="00037596"/>
    <w:rsid w:val="00045541"/>
    <w:rsid w:val="00046AD6"/>
    <w:rsid w:val="00053181"/>
    <w:rsid w:val="0005627F"/>
    <w:rsid w:val="000562CC"/>
    <w:rsid w:val="00057EAE"/>
    <w:rsid w:val="00064EB5"/>
    <w:rsid w:val="00067C3B"/>
    <w:rsid w:val="0007076C"/>
    <w:rsid w:val="00070C33"/>
    <w:rsid w:val="000724ED"/>
    <w:rsid w:val="00073318"/>
    <w:rsid w:val="000742D5"/>
    <w:rsid w:val="0007509B"/>
    <w:rsid w:val="000769F6"/>
    <w:rsid w:val="00080FDC"/>
    <w:rsid w:val="0008384D"/>
    <w:rsid w:val="000859D7"/>
    <w:rsid w:val="0008613C"/>
    <w:rsid w:val="00087D2C"/>
    <w:rsid w:val="000901A0"/>
    <w:rsid w:val="00092A30"/>
    <w:rsid w:val="00094260"/>
    <w:rsid w:val="0009437E"/>
    <w:rsid w:val="00095272"/>
    <w:rsid w:val="00095716"/>
    <w:rsid w:val="000A11F3"/>
    <w:rsid w:val="000A1673"/>
    <w:rsid w:val="000A2090"/>
    <w:rsid w:val="000A4823"/>
    <w:rsid w:val="000A5405"/>
    <w:rsid w:val="000B2C27"/>
    <w:rsid w:val="000B522F"/>
    <w:rsid w:val="000B63E9"/>
    <w:rsid w:val="000B694D"/>
    <w:rsid w:val="000B72B6"/>
    <w:rsid w:val="000B75A9"/>
    <w:rsid w:val="000B7952"/>
    <w:rsid w:val="000C35E0"/>
    <w:rsid w:val="000C5BD5"/>
    <w:rsid w:val="000C7B67"/>
    <w:rsid w:val="000C7D9A"/>
    <w:rsid w:val="000C7FDC"/>
    <w:rsid w:val="000D31C2"/>
    <w:rsid w:val="000D6F05"/>
    <w:rsid w:val="000D6FF1"/>
    <w:rsid w:val="000E0384"/>
    <w:rsid w:val="000E41C1"/>
    <w:rsid w:val="000E4AC5"/>
    <w:rsid w:val="000E5823"/>
    <w:rsid w:val="000E6B43"/>
    <w:rsid w:val="000F0097"/>
    <w:rsid w:val="000F13B4"/>
    <w:rsid w:val="000F41A5"/>
    <w:rsid w:val="000F5602"/>
    <w:rsid w:val="00101DCD"/>
    <w:rsid w:val="0010359C"/>
    <w:rsid w:val="00105D64"/>
    <w:rsid w:val="00110955"/>
    <w:rsid w:val="001111E1"/>
    <w:rsid w:val="0011338C"/>
    <w:rsid w:val="00113EA4"/>
    <w:rsid w:val="00116387"/>
    <w:rsid w:val="00121547"/>
    <w:rsid w:val="0012189F"/>
    <w:rsid w:val="001223CA"/>
    <w:rsid w:val="00123938"/>
    <w:rsid w:val="001242A6"/>
    <w:rsid w:val="00125EBD"/>
    <w:rsid w:val="00127ED0"/>
    <w:rsid w:val="00130132"/>
    <w:rsid w:val="00130275"/>
    <w:rsid w:val="0013300C"/>
    <w:rsid w:val="001334FD"/>
    <w:rsid w:val="00134E74"/>
    <w:rsid w:val="00135B73"/>
    <w:rsid w:val="0013618F"/>
    <w:rsid w:val="001407AA"/>
    <w:rsid w:val="001407AC"/>
    <w:rsid w:val="00140DC7"/>
    <w:rsid w:val="00141C26"/>
    <w:rsid w:val="00142FA9"/>
    <w:rsid w:val="00143350"/>
    <w:rsid w:val="00143749"/>
    <w:rsid w:val="00143AB9"/>
    <w:rsid w:val="00145D64"/>
    <w:rsid w:val="00146CD0"/>
    <w:rsid w:val="00146FBE"/>
    <w:rsid w:val="00150399"/>
    <w:rsid w:val="00150BFC"/>
    <w:rsid w:val="00151940"/>
    <w:rsid w:val="00151BAA"/>
    <w:rsid w:val="00152A60"/>
    <w:rsid w:val="00152D86"/>
    <w:rsid w:val="00153D87"/>
    <w:rsid w:val="00160E19"/>
    <w:rsid w:val="00162DBF"/>
    <w:rsid w:val="00164102"/>
    <w:rsid w:val="00165057"/>
    <w:rsid w:val="001673C9"/>
    <w:rsid w:val="0017014F"/>
    <w:rsid w:val="00171924"/>
    <w:rsid w:val="001724C9"/>
    <w:rsid w:val="00173F70"/>
    <w:rsid w:val="00175988"/>
    <w:rsid w:val="00180BBF"/>
    <w:rsid w:val="001817BD"/>
    <w:rsid w:val="0018269A"/>
    <w:rsid w:val="001867BE"/>
    <w:rsid w:val="00190D5A"/>
    <w:rsid w:val="00193AA3"/>
    <w:rsid w:val="00194B75"/>
    <w:rsid w:val="00197042"/>
    <w:rsid w:val="0019785F"/>
    <w:rsid w:val="001A1186"/>
    <w:rsid w:val="001A6247"/>
    <w:rsid w:val="001A6D41"/>
    <w:rsid w:val="001B248D"/>
    <w:rsid w:val="001B72D1"/>
    <w:rsid w:val="001B7349"/>
    <w:rsid w:val="001B7521"/>
    <w:rsid w:val="001B7F97"/>
    <w:rsid w:val="001C127E"/>
    <w:rsid w:val="001C2255"/>
    <w:rsid w:val="001C2F51"/>
    <w:rsid w:val="001D0236"/>
    <w:rsid w:val="001D1575"/>
    <w:rsid w:val="001D1E65"/>
    <w:rsid w:val="001D2448"/>
    <w:rsid w:val="001D2F5A"/>
    <w:rsid w:val="001D36BD"/>
    <w:rsid w:val="001D3ED5"/>
    <w:rsid w:val="001D62A5"/>
    <w:rsid w:val="001D7CA3"/>
    <w:rsid w:val="001E181D"/>
    <w:rsid w:val="001E2D3F"/>
    <w:rsid w:val="001E362E"/>
    <w:rsid w:val="001E4FB1"/>
    <w:rsid w:val="001E571E"/>
    <w:rsid w:val="001E74FF"/>
    <w:rsid w:val="001F159D"/>
    <w:rsid w:val="001F1A2C"/>
    <w:rsid w:val="001F29CA"/>
    <w:rsid w:val="001F456A"/>
    <w:rsid w:val="001F6064"/>
    <w:rsid w:val="001F7BB6"/>
    <w:rsid w:val="00201033"/>
    <w:rsid w:val="00202B97"/>
    <w:rsid w:val="00207ED9"/>
    <w:rsid w:val="00207F3E"/>
    <w:rsid w:val="00210991"/>
    <w:rsid w:val="002127AC"/>
    <w:rsid w:val="0022006E"/>
    <w:rsid w:val="00221B17"/>
    <w:rsid w:val="0022235D"/>
    <w:rsid w:val="002239D8"/>
    <w:rsid w:val="002239FE"/>
    <w:rsid w:val="002242E6"/>
    <w:rsid w:val="00226103"/>
    <w:rsid w:val="00227D54"/>
    <w:rsid w:val="00234CBF"/>
    <w:rsid w:val="0023530D"/>
    <w:rsid w:val="002357C6"/>
    <w:rsid w:val="0024516B"/>
    <w:rsid w:val="00245841"/>
    <w:rsid w:val="002467AE"/>
    <w:rsid w:val="00250185"/>
    <w:rsid w:val="00251808"/>
    <w:rsid w:val="00252F1B"/>
    <w:rsid w:val="00253F1D"/>
    <w:rsid w:val="00254A10"/>
    <w:rsid w:val="00260384"/>
    <w:rsid w:val="00261C71"/>
    <w:rsid w:val="0026364B"/>
    <w:rsid w:val="00272A7C"/>
    <w:rsid w:val="002731CB"/>
    <w:rsid w:val="00273A52"/>
    <w:rsid w:val="00273DD1"/>
    <w:rsid w:val="00276B91"/>
    <w:rsid w:val="002834EE"/>
    <w:rsid w:val="00284A65"/>
    <w:rsid w:val="002865B3"/>
    <w:rsid w:val="00286608"/>
    <w:rsid w:val="0028689C"/>
    <w:rsid w:val="0029092C"/>
    <w:rsid w:val="0029289D"/>
    <w:rsid w:val="002976CF"/>
    <w:rsid w:val="002A2ED9"/>
    <w:rsid w:val="002A3BF0"/>
    <w:rsid w:val="002A494C"/>
    <w:rsid w:val="002A4C33"/>
    <w:rsid w:val="002A6167"/>
    <w:rsid w:val="002B07FB"/>
    <w:rsid w:val="002B3163"/>
    <w:rsid w:val="002B3582"/>
    <w:rsid w:val="002B4E53"/>
    <w:rsid w:val="002B5444"/>
    <w:rsid w:val="002B67CC"/>
    <w:rsid w:val="002B6D17"/>
    <w:rsid w:val="002B6E1E"/>
    <w:rsid w:val="002B6F8F"/>
    <w:rsid w:val="002B7C0A"/>
    <w:rsid w:val="002C0556"/>
    <w:rsid w:val="002C38C9"/>
    <w:rsid w:val="002C4891"/>
    <w:rsid w:val="002C571A"/>
    <w:rsid w:val="002C73A6"/>
    <w:rsid w:val="002C76FD"/>
    <w:rsid w:val="002C7AB0"/>
    <w:rsid w:val="002C7ED2"/>
    <w:rsid w:val="002D0F2E"/>
    <w:rsid w:val="002D1F57"/>
    <w:rsid w:val="002D280F"/>
    <w:rsid w:val="002D4BFE"/>
    <w:rsid w:val="002D4DA0"/>
    <w:rsid w:val="002D4F58"/>
    <w:rsid w:val="002D5211"/>
    <w:rsid w:val="002E18F3"/>
    <w:rsid w:val="002E490D"/>
    <w:rsid w:val="002E58A9"/>
    <w:rsid w:val="002F0B0E"/>
    <w:rsid w:val="002F1E86"/>
    <w:rsid w:val="002F583A"/>
    <w:rsid w:val="002F59FD"/>
    <w:rsid w:val="002F7B49"/>
    <w:rsid w:val="00301C32"/>
    <w:rsid w:val="003024DC"/>
    <w:rsid w:val="003045CB"/>
    <w:rsid w:val="003054AF"/>
    <w:rsid w:val="003056C4"/>
    <w:rsid w:val="003071D5"/>
    <w:rsid w:val="00307E57"/>
    <w:rsid w:val="00310ED0"/>
    <w:rsid w:val="003135FA"/>
    <w:rsid w:val="003143A6"/>
    <w:rsid w:val="00315475"/>
    <w:rsid w:val="003164AA"/>
    <w:rsid w:val="00317618"/>
    <w:rsid w:val="00317871"/>
    <w:rsid w:val="00322223"/>
    <w:rsid w:val="00322726"/>
    <w:rsid w:val="003230A8"/>
    <w:rsid w:val="00324B17"/>
    <w:rsid w:val="00325352"/>
    <w:rsid w:val="00325A15"/>
    <w:rsid w:val="0033023D"/>
    <w:rsid w:val="00330707"/>
    <w:rsid w:val="003307A4"/>
    <w:rsid w:val="00332DE5"/>
    <w:rsid w:val="00333F00"/>
    <w:rsid w:val="0033405F"/>
    <w:rsid w:val="003349FD"/>
    <w:rsid w:val="0033622E"/>
    <w:rsid w:val="00336AE0"/>
    <w:rsid w:val="00342FE7"/>
    <w:rsid w:val="00343EA9"/>
    <w:rsid w:val="0034661B"/>
    <w:rsid w:val="00346BB4"/>
    <w:rsid w:val="00346DBB"/>
    <w:rsid w:val="003506B9"/>
    <w:rsid w:val="00354C90"/>
    <w:rsid w:val="00354D26"/>
    <w:rsid w:val="00360F92"/>
    <w:rsid w:val="00361E28"/>
    <w:rsid w:val="00364844"/>
    <w:rsid w:val="00366202"/>
    <w:rsid w:val="0037408A"/>
    <w:rsid w:val="00375B12"/>
    <w:rsid w:val="00375F57"/>
    <w:rsid w:val="0037699E"/>
    <w:rsid w:val="00380712"/>
    <w:rsid w:val="00380B05"/>
    <w:rsid w:val="003810C7"/>
    <w:rsid w:val="003817A2"/>
    <w:rsid w:val="00381D29"/>
    <w:rsid w:val="003839F6"/>
    <w:rsid w:val="00385537"/>
    <w:rsid w:val="00385589"/>
    <w:rsid w:val="00386DE0"/>
    <w:rsid w:val="00387799"/>
    <w:rsid w:val="003923EE"/>
    <w:rsid w:val="00394F83"/>
    <w:rsid w:val="0039566C"/>
    <w:rsid w:val="003962F1"/>
    <w:rsid w:val="00397538"/>
    <w:rsid w:val="00397952"/>
    <w:rsid w:val="003A0D2E"/>
    <w:rsid w:val="003A137D"/>
    <w:rsid w:val="003A214D"/>
    <w:rsid w:val="003A2153"/>
    <w:rsid w:val="003A2480"/>
    <w:rsid w:val="003B1D93"/>
    <w:rsid w:val="003B3948"/>
    <w:rsid w:val="003B57D8"/>
    <w:rsid w:val="003B7334"/>
    <w:rsid w:val="003C2795"/>
    <w:rsid w:val="003C5829"/>
    <w:rsid w:val="003C71A4"/>
    <w:rsid w:val="003D057F"/>
    <w:rsid w:val="003D0661"/>
    <w:rsid w:val="003D2C45"/>
    <w:rsid w:val="003E0F26"/>
    <w:rsid w:val="003E1452"/>
    <w:rsid w:val="003E6169"/>
    <w:rsid w:val="003F099E"/>
    <w:rsid w:val="003F2375"/>
    <w:rsid w:val="003F320F"/>
    <w:rsid w:val="003F3B8B"/>
    <w:rsid w:val="003F447E"/>
    <w:rsid w:val="003F59D6"/>
    <w:rsid w:val="003F5A91"/>
    <w:rsid w:val="003F5B15"/>
    <w:rsid w:val="004039EF"/>
    <w:rsid w:val="004067E9"/>
    <w:rsid w:val="00407A8E"/>
    <w:rsid w:val="004107A0"/>
    <w:rsid w:val="0041124A"/>
    <w:rsid w:val="004129A9"/>
    <w:rsid w:val="004155EE"/>
    <w:rsid w:val="0041652F"/>
    <w:rsid w:val="00420D8E"/>
    <w:rsid w:val="00421992"/>
    <w:rsid w:val="0042202F"/>
    <w:rsid w:val="00423319"/>
    <w:rsid w:val="00424B63"/>
    <w:rsid w:val="00425BE1"/>
    <w:rsid w:val="00426278"/>
    <w:rsid w:val="004262CA"/>
    <w:rsid w:val="004265A8"/>
    <w:rsid w:val="004308E6"/>
    <w:rsid w:val="00431CC1"/>
    <w:rsid w:val="00432F82"/>
    <w:rsid w:val="004331BE"/>
    <w:rsid w:val="0043535F"/>
    <w:rsid w:val="004371BF"/>
    <w:rsid w:val="004431C4"/>
    <w:rsid w:val="004449AF"/>
    <w:rsid w:val="00444E47"/>
    <w:rsid w:val="00446DAC"/>
    <w:rsid w:val="00450C96"/>
    <w:rsid w:val="0045142F"/>
    <w:rsid w:val="004551E8"/>
    <w:rsid w:val="0045606C"/>
    <w:rsid w:val="004561EB"/>
    <w:rsid w:val="00456C89"/>
    <w:rsid w:val="00460DF7"/>
    <w:rsid w:val="004632EF"/>
    <w:rsid w:val="004664B0"/>
    <w:rsid w:val="004666A0"/>
    <w:rsid w:val="0046776C"/>
    <w:rsid w:val="004707B7"/>
    <w:rsid w:val="00473B7F"/>
    <w:rsid w:val="00476E7F"/>
    <w:rsid w:val="00476F78"/>
    <w:rsid w:val="00480A74"/>
    <w:rsid w:val="0048122E"/>
    <w:rsid w:val="00481491"/>
    <w:rsid w:val="004826B4"/>
    <w:rsid w:val="0048288B"/>
    <w:rsid w:val="0048554E"/>
    <w:rsid w:val="00486110"/>
    <w:rsid w:val="004875D1"/>
    <w:rsid w:val="004876E6"/>
    <w:rsid w:val="0049091D"/>
    <w:rsid w:val="00491496"/>
    <w:rsid w:val="00493244"/>
    <w:rsid w:val="0049450E"/>
    <w:rsid w:val="00494E42"/>
    <w:rsid w:val="0049754B"/>
    <w:rsid w:val="004A06D2"/>
    <w:rsid w:val="004A2404"/>
    <w:rsid w:val="004A2936"/>
    <w:rsid w:val="004B13AF"/>
    <w:rsid w:val="004B3565"/>
    <w:rsid w:val="004B4D7D"/>
    <w:rsid w:val="004B50AC"/>
    <w:rsid w:val="004B55A3"/>
    <w:rsid w:val="004B6AEB"/>
    <w:rsid w:val="004B7238"/>
    <w:rsid w:val="004C092C"/>
    <w:rsid w:val="004C32E1"/>
    <w:rsid w:val="004C372E"/>
    <w:rsid w:val="004C4AEB"/>
    <w:rsid w:val="004C6898"/>
    <w:rsid w:val="004D2EFF"/>
    <w:rsid w:val="004D34A6"/>
    <w:rsid w:val="004D3941"/>
    <w:rsid w:val="004D3950"/>
    <w:rsid w:val="004D598C"/>
    <w:rsid w:val="004D6C80"/>
    <w:rsid w:val="004D704B"/>
    <w:rsid w:val="004E09BB"/>
    <w:rsid w:val="004E5AE8"/>
    <w:rsid w:val="004E72B9"/>
    <w:rsid w:val="004F1702"/>
    <w:rsid w:val="004F3297"/>
    <w:rsid w:val="004F3AF3"/>
    <w:rsid w:val="00500439"/>
    <w:rsid w:val="00500492"/>
    <w:rsid w:val="0050336C"/>
    <w:rsid w:val="00503578"/>
    <w:rsid w:val="00504B2E"/>
    <w:rsid w:val="00507FD7"/>
    <w:rsid w:val="00511084"/>
    <w:rsid w:val="00516EFA"/>
    <w:rsid w:val="00517350"/>
    <w:rsid w:val="005173B6"/>
    <w:rsid w:val="00517653"/>
    <w:rsid w:val="005201DB"/>
    <w:rsid w:val="005202F2"/>
    <w:rsid w:val="00522331"/>
    <w:rsid w:val="00527449"/>
    <w:rsid w:val="00527513"/>
    <w:rsid w:val="00532603"/>
    <w:rsid w:val="00534CF0"/>
    <w:rsid w:val="00544676"/>
    <w:rsid w:val="00546447"/>
    <w:rsid w:val="005503D6"/>
    <w:rsid w:val="005505F0"/>
    <w:rsid w:val="00550856"/>
    <w:rsid w:val="00551190"/>
    <w:rsid w:val="0055347C"/>
    <w:rsid w:val="00556AE0"/>
    <w:rsid w:val="0055733A"/>
    <w:rsid w:val="00562938"/>
    <w:rsid w:val="005636BB"/>
    <w:rsid w:val="00567436"/>
    <w:rsid w:val="00567B3D"/>
    <w:rsid w:val="0057082D"/>
    <w:rsid w:val="00571C05"/>
    <w:rsid w:val="005722DC"/>
    <w:rsid w:val="00573C1D"/>
    <w:rsid w:val="00574466"/>
    <w:rsid w:val="00574B03"/>
    <w:rsid w:val="00575D8D"/>
    <w:rsid w:val="005768F6"/>
    <w:rsid w:val="00581B44"/>
    <w:rsid w:val="00583BF8"/>
    <w:rsid w:val="00591EB3"/>
    <w:rsid w:val="00592D57"/>
    <w:rsid w:val="005A0ED3"/>
    <w:rsid w:val="005A2649"/>
    <w:rsid w:val="005A29AA"/>
    <w:rsid w:val="005A46E9"/>
    <w:rsid w:val="005A52BF"/>
    <w:rsid w:val="005A5698"/>
    <w:rsid w:val="005B07B3"/>
    <w:rsid w:val="005B17B8"/>
    <w:rsid w:val="005B2034"/>
    <w:rsid w:val="005C1A5A"/>
    <w:rsid w:val="005C322C"/>
    <w:rsid w:val="005C3257"/>
    <w:rsid w:val="005C4337"/>
    <w:rsid w:val="005C6EDA"/>
    <w:rsid w:val="005D1131"/>
    <w:rsid w:val="005D5216"/>
    <w:rsid w:val="005D61F1"/>
    <w:rsid w:val="005E2E87"/>
    <w:rsid w:val="005F09D0"/>
    <w:rsid w:val="005F360F"/>
    <w:rsid w:val="005F4481"/>
    <w:rsid w:val="005F4C9E"/>
    <w:rsid w:val="00600B0B"/>
    <w:rsid w:val="00601435"/>
    <w:rsid w:val="00601631"/>
    <w:rsid w:val="00602404"/>
    <w:rsid w:val="00602AC0"/>
    <w:rsid w:val="00602D17"/>
    <w:rsid w:val="00605A06"/>
    <w:rsid w:val="00607D79"/>
    <w:rsid w:val="0061178D"/>
    <w:rsid w:val="00615447"/>
    <w:rsid w:val="00620EAB"/>
    <w:rsid w:val="00622DE0"/>
    <w:rsid w:val="00623027"/>
    <w:rsid w:val="00624820"/>
    <w:rsid w:val="006272EF"/>
    <w:rsid w:val="00627A18"/>
    <w:rsid w:val="0063120A"/>
    <w:rsid w:val="00631223"/>
    <w:rsid w:val="006323B6"/>
    <w:rsid w:val="006348AF"/>
    <w:rsid w:val="00640E29"/>
    <w:rsid w:val="00651C07"/>
    <w:rsid w:val="00660595"/>
    <w:rsid w:val="00662906"/>
    <w:rsid w:val="006629E1"/>
    <w:rsid w:val="0066527B"/>
    <w:rsid w:val="00665CAF"/>
    <w:rsid w:val="006664C4"/>
    <w:rsid w:val="00666BB3"/>
    <w:rsid w:val="006701CC"/>
    <w:rsid w:val="00671C22"/>
    <w:rsid w:val="006721F2"/>
    <w:rsid w:val="006727B8"/>
    <w:rsid w:val="00674A80"/>
    <w:rsid w:val="006754D1"/>
    <w:rsid w:val="006838DC"/>
    <w:rsid w:val="00684258"/>
    <w:rsid w:val="00685865"/>
    <w:rsid w:val="00685AC6"/>
    <w:rsid w:val="00685DF3"/>
    <w:rsid w:val="00693F64"/>
    <w:rsid w:val="006941CB"/>
    <w:rsid w:val="0069466B"/>
    <w:rsid w:val="00694DFF"/>
    <w:rsid w:val="00697254"/>
    <w:rsid w:val="006A0114"/>
    <w:rsid w:val="006A0BFE"/>
    <w:rsid w:val="006A47B2"/>
    <w:rsid w:val="006A6D9E"/>
    <w:rsid w:val="006A7B4C"/>
    <w:rsid w:val="006B01A0"/>
    <w:rsid w:val="006B063D"/>
    <w:rsid w:val="006B0A76"/>
    <w:rsid w:val="006B0D91"/>
    <w:rsid w:val="006B0F9B"/>
    <w:rsid w:val="006B13AB"/>
    <w:rsid w:val="006B4766"/>
    <w:rsid w:val="006B79E1"/>
    <w:rsid w:val="006C3444"/>
    <w:rsid w:val="006C50D2"/>
    <w:rsid w:val="006C6D4D"/>
    <w:rsid w:val="006D0BAF"/>
    <w:rsid w:val="006D4A04"/>
    <w:rsid w:val="006D5F3F"/>
    <w:rsid w:val="006D63EA"/>
    <w:rsid w:val="006E00B2"/>
    <w:rsid w:val="006E515B"/>
    <w:rsid w:val="006E55EA"/>
    <w:rsid w:val="006F22C9"/>
    <w:rsid w:val="006F2D53"/>
    <w:rsid w:val="006F55A1"/>
    <w:rsid w:val="006F6369"/>
    <w:rsid w:val="006F798B"/>
    <w:rsid w:val="00701888"/>
    <w:rsid w:val="00701B20"/>
    <w:rsid w:val="007053F2"/>
    <w:rsid w:val="00705918"/>
    <w:rsid w:val="00705A58"/>
    <w:rsid w:val="00710782"/>
    <w:rsid w:val="00710DF0"/>
    <w:rsid w:val="00711ED0"/>
    <w:rsid w:val="0071377C"/>
    <w:rsid w:val="00714D3E"/>
    <w:rsid w:val="0071532F"/>
    <w:rsid w:val="0071558B"/>
    <w:rsid w:val="007160DD"/>
    <w:rsid w:val="00720558"/>
    <w:rsid w:val="0072282C"/>
    <w:rsid w:val="00724504"/>
    <w:rsid w:val="0072490E"/>
    <w:rsid w:val="007303CB"/>
    <w:rsid w:val="00741D51"/>
    <w:rsid w:val="007431F6"/>
    <w:rsid w:val="00745AAB"/>
    <w:rsid w:val="00752BF5"/>
    <w:rsid w:val="007539C1"/>
    <w:rsid w:val="00756257"/>
    <w:rsid w:val="007563AD"/>
    <w:rsid w:val="00756B57"/>
    <w:rsid w:val="00761425"/>
    <w:rsid w:val="00764C37"/>
    <w:rsid w:val="007714B3"/>
    <w:rsid w:val="00771DB9"/>
    <w:rsid w:val="0077274D"/>
    <w:rsid w:val="007730A4"/>
    <w:rsid w:val="00773AB0"/>
    <w:rsid w:val="00775B48"/>
    <w:rsid w:val="00776500"/>
    <w:rsid w:val="007767E8"/>
    <w:rsid w:val="00781532"/>
    <w:rsid w:val="00785CA7"/>
    <w:rsid w:val="00785FA0"/>
    <w:rsid w:val="00791A56"/>
    <w:rsid w:val="00792D20"/>
    <w:rsid w:val="00793D05"/>
    <w:rsid w:val="00794643"/>
    <w:rsid w:val="00794E00"/>
    <w:rsid w:val="00794FF4"/>
    <w:rsid w:val="00795373"/>
    <w:rsid w:val="0079749A"/>
    <w:rsid w:val="007A4905"/>
    <w:rsid w:val="007A4D9D"/>
    <w:rsid w:val="007A66FE"/>
    <w:rsid w:val="007A6CC5"/>
    <w:rsid w:val="007B1F70"/>
    <w:rsid w:val="007B3BB9"/>
    <w:rsid w:val="007C06C7"/>
    <w:rsid w:val="007C21BB"/>
    <w:rsid w:val="007C2D81"/>
    <w:rsid w:val="007C5286"/>
    <w:rsid w:val="007D1265"/>
    <w:rsid w:val="007D3AF3"/>
    <w:rsid w:val="007D542D"/>
    <w:rsid w:val="007D6331"/>
    <w:rsid w:val="007D79FC"/>
    <w:rsid w:val="007E0CBA"/>
    <w:rsid w:val="007E355A"/>
    <w:rsid w:val="007E3832"/>
    <w:rsid w:val="007E4190"/>
    <w:rsid w:val="007E602D"/>
    <w:rsid w:val="007F0256"/>
    <w:rsid w:val="007F6FB7"/>
    <w:rsid w:val="00800143"/>
    <w:rsid w:val="00800EB0"/>
    <w:rsid w:val="008027E0"/>
    <w:rsid w:val="00804888"/>
    <w:rsid w:val="00805122"/>
    <w:rsid w:val="00805377"/>
    <w:rsid w:val="00810D10"/>
    <w:rsid w:val="00811C4F"/>
    <w:rsid w:val="00815698"/>
    <w:rsid w:val="00817DAC"/>
    <w:rsid w:val="00822AC2"/>
    <w:rsid w:val="00823921"/>
    <w:rsid w:val="00823BAC"/>
    <w:rsid w:val="00825107"/>
    <w:rsid w:val="00825E2E"/>
    <w:rsid w:val="00826E4F"/>
    <w:rsid w:val="00830EE8"/>
    <w:rsid w:val="0083295D"/>
    <w:rsid w:val="00833E48"/>
    <w:rsid w:val="008341A6"/>
    <w:rsid w:val="00835A7C"/>
    <w:rsid w:val="00835B6F"/>
    <w:rsid w:val="00835ED4"/>
    <w:rsid w:val="00837475"/>
    <w:rsid w:val="00842C48"/>
    <w:rsid w:val="0084333C"/>
    <w:rsid w:val="00843CB3"/>
    <w:rsid w:val="00844518"/>
    <w:rsid w:val="00851E09"/>
    <w:rsid w:val="008526DA"/>
    <w:rsid w:val="00853C58"/>
    <w:rsid w:val="00855726"/>
    <w:rsid w:val="00862122"/>
    <w:rsid w:val="00862CCF"/>
    <w:rsid w:val="0086325A"/>
    <w:rsid w:val="008636E1"/>
    <w:rsid w:val="00864D75"/>
    <w:rsid w:val="0086548B"/>
    <w:rsid w:val="008664D9"/>
    <w:rsid w:val="00866843"/>
    <w:rsid w:val="00870AE3"/>
    <w:rsid w:val="00871A5D"/>
    <w:rsid w:val="008724DC"/>
    <w:rsid w:val="00872F81"/>
    <w:rsid w:val="008738B4"/>
    <w:rsid w:val="008741F0"/>
    <w:rsid w:val="0087496F"/>
    <w:rsid w:val="008757DB"/>
    <w:rsid w:val="00876548"/>
    <w:rsid w:val="00876A36"/>
    <w:rsid w:val="00876F1E"/>
    <w:rsid w:val="00881A26"/>
    <w:rsid w:val="00882F89"/>
    <w:rsid w:val="00883EBC"/>
    <w:rsid w:val="008842F1"/>
    <w:rsid w:val="00884613"/>
    <w:rsid w:val="00884A1F"/>
    <w:rsid w:val="0089158C"/>
    <w:rsid w:val="00893798"/>
    <w:rsid w:val="00894B04"/>
    <w:rsid w:val="0089730C"/>
    <w:rsid w:val="008A0CE5"/>
    <w:rsid w:val="008A107E"/>
    <w:rsid w:val="008A2377"/>
    <w:rsid w:val="008A2F45"/>
    <w:rsid w:val="008B06CA"/>
    <w:rsid w:val="008B1368"/>
    <w:rsid w:val="008B1FEE"/>
    <w:rsid w:val="008B3206"/>
    <w:rsid w:val="008B6040"/>
    <w:rsid w:val="008B72AC"/>
    <w:rsid w:val="008C1477"/>
    <w:rsid w:val="008C3613"/>
    <w:rsid w:val="008C4AAD"/>
    <w:rsid w:val="008C664C"/>
    <w:rsid w:val="008D198C"/>
    <w:rsid w:val="008D2C2D"/>
    <w:rsid w:val="008D309E"/>
    <w:rsid w:val="008D48C3"/>
    <w:rsid w:val="008D5404"/>
    <w:rsid w:val="008E0855"/>
    <w:rsid w:val="008E417A"/>
    <w:rsid w:val="008F053A"/>
    <w:rsid w:val="008F0D62"/>
    <w:rsid w:val="008F28B2"/>
    <w:rsid w:val="008F43E0"/>
    <w:rsid w:val="008F4AE2"/>
    <w:rsid w:val="008F6414"/>
    <w:rsid w:val="008F6652"/>
    <w:rsid w:val="008F6E84"/>
    <w:rsid w:val="00900525"/>
    <w:rsid w:val="009006A2"/>
    <w:rsid w:val="00901762"/>
    <w:rsid w:val="009020BF"/>
    <w:rsid w:val="00903EFA"/>
    <w:rsid w:val="00903F70"/>
    <w:rsid w:val="0090491D"/>
    <w:rsid w:val="00904EA9"/>
    <w:rsid w:val="00907025"/>
    <w:rsid w:val="009105AB"/>
    <w:rsid w:val="0091168F"/>
    <w:rsid w:val="00912406"/>
    <w:rsid w:val="00914DF8"/>
    <w:rsid w:val="009157E2"/>
    <w:rsid w:val="00915822"/>
    <w:rsid w:val="009162B6"/>
    <w:rsid w:val="00922AE3"/>
    <w:rsid w:val="00923F7B"/>
    <w:rsid w:val="00925DBC"/>
    <w:rsid w:val="00926614"/>
    <w:rsid w:val="00935C08"/>
    <w:rsid w:val="009400E2"/>
    <w:rsid w:val="009407AF"/>
    <w:rsid w:val="0094280E"/>
    <w:rsid w:val="00945B86"/>
    <w:rsid w:val="00945E82"/>
    <w:rsid w:val="00947DDB"/>
    <w:rsid w:val="00951A81"/>
    <w:rsid w:val="00951F7D"/>
    <w:rsid w:val="009529C8"/>
    <w:rsid w:val="00952E7A"/>
    <w:rsid w:val="00953192"/>
    <w:rsid w:val="00954350"/>
    <w:rsid w:val="00962C29"/>
    <w:rsid w:val="0096338D"/>
    <w:rsid w:val="00963D37"/>
    <w:rsid w:val="00963F5F"/>
    <w:rsid w:val="009642A4"/>
    <w:rsid w:val="009643A8"/>
    <w:rsid w:val="00964582"/>
    <w:rsid w:val="00964F11"/>
    <w:rsid w:val="009655EE"/>
    <w:rsid w:val="00965771"/>
    <w:rsid w:val="00965FE9"/>
    <w:rsid w:val="0096626E"/>
    <w:rsid w:val="009664E9"/>
    <w:rsid w:val="00972E29"/>
    <w:rsid w:val="009750CB"/>
    <w:rsid w:val="009827EA"/>
    <w:rsid w:val="00982F0A"/>
    <w:rsid w:val="00985227"/>
    <w:rsid w:val="009870DF"/>
    <w:rsid w:val="00992645"/>
    <w:rsid w:val="00992C69"/>
    <w:rsid w:val="009A041E"/>
    <w:rsid w:val="009A0FE0"/>
    <w:rsid w:val="009A2B4D"/>
    <w:rsid w:val="009A6217"/>
    <w:rsid w:val="009B0174"/>
    <w:rsid w:val="009B25B6"/>
    <w:rsid w:val="009B3D70"/>
    <w:rsid w:val="009B5202"/>
    <w:rsid w:val="009B52EE"/>
    <w:rsid w:val="009B5EB3"/>
    <w:rsid w:val="009C4482"/>
    <w:rsid w:val="009C4924"/>
    <w:rsid w:val="009C4940"/>
    <w:rsid w:val="009C5034"/>
    <w:rsid w:val="009C6254"/>
    <w:rsid w:val="009C63ED"/>
    <w:rsid w:val="009D39DC"/>
    <w:rsid w:val="009D3CCD"/>
    <w:rsid w:val="009E147D"/>
    <w:rsid w:val="009E1785"/>
    <w:rsid w:val="009E2589"/>
    <w:rsid w:val="009E57CB"/>
    <w:rsid w:val="009E76D2"/>
    <w:rsid w:val="009F0FC9"/>
    <w:rsid w:val="009F4827"/>
    <w:rsid w:val="009F4A49"/>
    <w:rsid w:val="009F51F0"/>
    <w:rsid w:val="009F574C"/>
    <w:rsid w:val="009F69EA"/>
    <w:rsid w:val="00A005B3"/>
    <w:rsid w:val="00A011D3"/>
    <w:rsid w:val="00A0173A"/>
    <w:rsid w:val="00A05AA0"/>
    <w:rsid w:val="00A10CBB"/>
    <w:rsid w:val="00A11991"/>
    <w:rsid w:val="00A12234"/>
    <w:rsid w:val="00A148B6"/>
    <w:rsid w:val="00A14F90"/>
    <w:rsid w:val="00A204FF"/>
    <w:rsid w:val="00A2084B"/>
    <w:rsid w:val="00A20975"/>
    <w:rsid w:val="00A22518"/>
    <w:rsid w:val="00A23747"/>
    <w:rsid w:val="00A2450F"/>
    <w:rsid w:val="00A258D9"/>
    <w:rsid w:val="00A319C3"/>
    <w:rsid w:val="00A32E85"/>
    <w:rsid w:val="00A3453B"/>
    <w:rsid w:val="00A3478F"/>
    <w:rsid w:val="00A3590B"/>
    <w:rsid w:val="00A3624E"/>
    <w:rsid w:val="00A362C3"/>
    <w:rsid w:val="00A37C0E"/>
    <w:rsid w:val="00A4146A"/>
    <w:rsid w:val="00A4259A"/>
    <w:rsid w:val="00A42FEE"/>
    <w:rsid w:val="00A43BF0"/>
    <w:rsid w:val="00A44E22"/>
    <w:rsid w:val="00A44FE3"/>
    <w:rsid w:val="00A45094"/>
    <w:rsid w:val="00A4777E"/>
    <w:rsid w:val="00A52380"/>
    <w:rsid w:val="00A6150F"/>
    <w:rsid w:val="00A634A6"/>
    <w:rsid w:val="00A6714E"/>
    <w:rsid w:val="00A70173"/>
    <w:rsid w:val="00A7075A"/>
    <w:rsid w:val="00A70CBB"/>
    <w:rsid w:val="00A716E6"/>
    <w:rsid w:val="00A7276E"/>
    <w:rsid w:val="00A72882"/>
    <w:rsid w:val="00A72C64"/>
    <w:rsid w:val="00A7682A"/>
    <w:rsid w:val="00A77D00"/>
    <w:rsid w:val="00A80733"/>
    <w:rsid w:val="00A85B79"/>
    <w:rsid w:val="00A87C54"/>
    <w:rsid w:val="00A91BC6"/>
    <w:rsid w:val="00A925FB"/>
    <w:rsid w:val="00A92637"/>
    <w:rsid w:val="00A93874"/>
    <w:rsid w:val="00A93E16"/>
    <w:rsid w:val="00A94ED5"/>
    <w:rsid w:val="00A95537"/>
    <w:rsid w:val="00A959ED"/>
    <w:rsid w:val="00A9622E"/>
    <w:rsid w:val="00A97039"/>
    <w:rsid w:val="00AA0A12"/>
    <w:rsid w:val="00AA25D1"/>
    <w:rsid w:val="00AA39B8"/>
    <w:rsid w:val="00AA4147"/>
    <w:rsid w:val="00AA76D5"/>
    <w:rsid w:val="00AA7AC1"/>
    <w:rsid w:val="00AA7EA8"/>
    <w:rsid w:val="00AB14A1"/>
    <w:rsid w:val="00AB1854"/>
    <w:rsid w:val="00AB1EA7"/>
    <w:rsid w:val="00AB26ED"/>
    <w:rsid w:val="00AB68BB"/>
    <w:rsid w:val="00AC0DD0"/>
    <w:rsid w:val="00AC4DEE"/>
    <w:rsid w:val="00AC6CAC"/>
    <w:rsid w:val="00AC780E"/>
    <w:rsid w:val="00AD1CC0"/>
    <w:rsid w:val="00AD1FE1"/>
    <w:rsid w:val="00AD5B72"/>
    <w:rsid w:val="00AD6312"/>
    <w:rsid w:val="00AD67ED"/>
    <w:rsid w:val="00AE3780"/>
    <w:rsid w:val="00AF1679"/>
    <w:rsid w:val="00AF1B5C"/>
    <w:rsid w:val="00AF266F"/>
    <w:rsid w:val="00AF2CA5"/>
    <w:rsid w:val="00AF4252"/>
    <w:rsid w:val="00AF6167"/>
    <w:rsid w:val="00AF617D"/>
    <w:rsid w:val="00B00B63"/>
    <w:rsid w:val="00B03227"/>
    <w:rsid w:val="00B05DAD"/>
    <w:rsid w:val="00B06857"/>
    <w:rsid w:val="00B06F49"/>
    <w:rsid w:val="00B071C7"/>
    <w:rsid w:val="00B079CB"/>
    <w:rsid w:val="00B14269"/>
    <w:rsid w:val="00B1762B"/>
    <w:rsid w:val="00B20CE3"/>
    <w:rsid w:val="00B22AAA"/>
    <w:rsid w:val="00B252D9"/>
    <w:rsid w:val="00B26F09"/>
    <w:rsid w:val="00B30C9F"/>
    <w:rsid w:val="00B339DC"/>
    <w:rsid w:val="00B36599"/>
    <w:rsid w:val="00B375F8"/>
    <w:rsid w:val="00B404FD"/>
    <w:rsid w:val="00B4113E"/>
    <w:rsid w:val="00B420DD"/>
    <w:rsid w:val="00B423EA"/>
    <w:rsid w:val="00B43829"/>
    <w:rsid w:val="00B44499"/>
    <w:rsid w:val="00B46A87"/>
    <w:rsid w:val="00B501F0"/>
    <w:rsid w:val="00B51908"/>
    <w:rsid w:val="00B52D1D"/>
    <w:rsid w:val="00B53424"/>
    <w:rsid w:val="00B5700E"/>
    <w:rsid w:val="00B61466"/>
    <w:rsid w:val="00B616EC"/>
    <w:rsid w:val="00B62348"/>
    <w:rsid w:val="00B65927"/>
    <w:rsid w:val="00B6603D"/>
    <w:rsid w:val="00B668A8"/>
    <w:rsid w:val="00B66F41"/>
    <w:rsid w:val="00B67391"/>
    <w:rsid w:val="00B722DC"/>
    <w:rsid w:val="00B72D87"/>
    <w:rsid w:val="00B816EF"/>
    <w:rsid w:val="00B87A03"/>
    <w:rsid w:val="00B87F74"/>
    <w:rsid w:val="00B91F09"/>
    <w:rsid w:val="00B923BD"/>
    <w:rsid w:val="00B935C9"/>
    <w:rsid w:val="00B94C81"/>
    <w:rsid w:val="00B96B8A"/>
    <w:rsid w:val="00B96BBE"/>
    <w:rsid w:val="00BA3943"/>
    <w:rsid w:val="00BA4181"/>
    <w:rsid w:val="00BA5FB1"/>
    <w:rsid w:val="00BA6E37"/>
    <w:rsid w:val="00BB16F5"/>
    <w:rsid w:val="00BB2917"/>
    <w:rsid w:val="00BB3229"/>
    <w:rsid w:val="00BB3535"/>
    <w:rsid w:val="00BB3E51"/>
    <w:rsid w:val="00BB54A2"/>
    <w:rsid w:val="00BB6B1C"/>
    <w:rsid w:val="00BB7463"/>
    <w:rsid w:val="00BC1494"/>
    <w:rsid w:val="00BC6BE5"/>
    <w:rsid w:val="00BD4323"/>
    <w:rsid w:val="00BE1499"/>
    <w:rsid w:val="00BE339F"/>
    <w:rsid w:val="00BE49BD"/>
    <w:rsid w:val="00BE725B"/>
    <w:rsid w:val="00BF10D7"/>
    <w:rsid w:val="00BF2F37"/>
    <w:rsid w:val="00BF75D8"/>
    <w:rsid w:val="00C00344"/>
    <w:rsid w:val="00C0309F"/>
    <w:rsid w:val="00C0634E"/>
    <w:rsid w:val="00C06AF8"/>
    <w:rsid w:val="00C10139"/>
    <w:rsid w:val="00C11DD2"/>
    <w:rsid w:val="00C11E26"/>
    <w:rsid w:val="00C13126"/>
    <w:rsid w:val="00C14E0C"/>
    <w:rsid w:val="00C150F5"/>
    <w:rsid w:val="00C15C2E"/>
    <w:rsid w:val="00C168DD"/>
    <w:rsid w:val="00C170A2"/>
    <w:rsid w:val="00C2414F"/>
    <w:rsid w:val="00C35886"/>
    <w:rsid w:val="00C358D0"/>
    <w:rsid w:val="00C37F67"/>
    <w:rsid w:val="00C40937"/>
    <w:rsid w:val="00C42AB9"/>
    <w:rsid w:val="00C42D30"/>
    <w:rsid w:val="00C44E3E"/>
    <w:rsid w:val="00C452A8"/>
    <w:rsid w:val="00C527B0"/>
    <w:rsid w:val="00C53DEF"/>
    <w:rsid w:val="00C53E34"/>
    <w:rsid w:val="00C53FB0"/>
    <w:rsid w:val="00C560C0"/>
    <w:rsid w:val="00C573E7"/>
    <w:rsid w:val="00C57BF4"/>
    <w:rsid w:val="00C6040A"/>
    <w:rsid w:val="00C61477"/>
    <w:rsid w:val="00C64E18"/>
    <w:rsid w:val="00C6600B"/>
    <w:rsid w:val="00C679B5"/>
    <w:rsid w:val="00C67B1E"/>
    <w:rsid w:val="00C7009C"/>
    <w:rsid w:val="00C73355"/>
    <w:rsid w:val="00C7342F"/>
    <w:rsid w:val="00C74B31"/>
    <w:rsid w:val="00C74FE7"/>
    <w:rsid w:val="00C80C7A"/>
    <w:rsid w:val="00C8226E"/>
    <w:rsid w:val="00C83158"/>
    <w:rsid w:val="00C83454"/>
    <w:rsid w:val="00C84357"/>
    <w:rsid w:val="00C870DC"/>
    <w:rsid w:val="00C904EC"/>
    <w:rsid w:val="00C92036"/>
    <w:rsid w:val="00C94509"/>
    <w:rsid w:val="00C9559F"/>
    <w:rsid w:val="00C96B75"/>
    <w:rsid w:val="00C96FA1"/>
    <w:rsid w:val="00CA13E1"/>
    <w:rsid w:val="00CA3A0C"/>
    <w:rsid w:val="00CA54E8"/>
    <w:rsid w:val="00CB0F10"/>
    <w:rsid w:val="00CB384A"/>
    <w:rsid w:val="00CB5509"/>
    <w:rsid w:val="00CB6EA5"/>
    <w:rsid w:val="00CC58C3"/>
    <w:rsid w:val="00CC6B6E"/>
    <w:rsid w:val="00CD120B"/>
    <w:rsid w:val="00CD1243"/>
    <w:rsid w:val="00CD2F38"/>
    <w:rsid w:val="00CD3CD2"/>
    <w:rsid w:val="00CD510F"/>
    <w:rsid w:val="00CD6A45"/>
    <w:rsid w:val="00CD7CA6"/>
    <w:rsid w:val="00CE087A"/>
    <w:rsid w:val="00CE1F9E"/>
    <w:rsid w:val="00CE4D7D"/>
    <w:rsid w:val="00CE7569"/>
    <w:rsid w:val="00CF1299"/>
    <w:rsid w:val="00CF1697"/>
    <w:rsid w:val="00CF3C64"/>
    <w:rsid w:val="00CF4B4B"/>
    <w:rsid w:val="00D004A5"/>
    <w:rsid w:val="00D01341"/>
    <w:rsid w:val="00D11CF3"/>
    <w:rsid w:val="00D12915"/>
    <w:rsid w:val="00D148FA"/>
    <w:rsid w:val="00D16C2C"/>
    <w:rsid w:val="00D231A4"/>
    <w:rsid w:val="00D231B7"/>
    <w:rsid w:val="00D2373E"/>
    <w:rsid w:val="00D24D77"/>
    <w:rsid w:val="00D25156"/>
    <w:rsid w:val="00D30783"/>
    <w:rsid w:val="00D33745"/>
    <w:rsid w:val="00D33BC9"/>
    <w:rsid w:val="00D33EEA"/>
    <w:rsid w:val="00D36D3D"/>
    <w:rsid w:val="00D40712"/>
    <w:rsid w:val="00D4257E"/>
    <w:rsid w:val="00D44000"/>
    <w:rsid w:val="00D4457E"/>
    <w:rsid w:val="00D450EC"/>
    <w:rsid w:val="00D4545A"/>
    <w:rsid w:val="00D51D13"/>
    <w:rsid w:val="00D5359F"/>
    <w:rsid w:val="00D576B4"/>
    <w:rsid w:val="00D576D5"/>
    <w:rsid w:val="00D6011C"/>
    <w:rsid w:val="00D609A5"/>
    <w:rsid w:val="00D6204D"/>
    <w:rsid w:val="00D63EBC"/>
    <w:rsid w:val="00D64734"/>
    <w:rsid w:val="00D719F2"/>
    <w:rsid w:val="00D72B84"/>
    <w:rsid w:val="00D72CAB"/>
    <w:rsid w:val="00D74830"/>
    <w:rsid w:val="00D75A12"/>
    <w:rsid w:val="00D75CE1"/>
    <w:rsid w:val="00D76A8B"/>
    <w:rsid w:val="00D85817"/>
    <w:rsid w:val="00D878C6"/>
    <w:rsid w:val="00D91C43"/>
    <w:rsid w:val="00D92575"/>
    <w:rsid w:val="00DA1F9F"/>
    <w:rsid w:val="00DA25A4"/>
    <w:rsid w:val="00DA47D1"/>
    <w:rsid w:val="00DA4E0F"/>
    <w:rsid w:val="00DA4E88"/>
    <w:rsid w:val="00DA719B"/>
    <w:rsid w:val="00DA75B2"/>
    <w:rsid w:val="00DB00D5"/>
    <w:rsid w:val="00DB02FC"/>
    <w:rsid w:val="00DB710B"/>
    <w:rsid w:val="00DC18C1"/>
    <w:rsid w:val="00DC2609"/>
    <w:rsid w:val="00DC29DD"/>
    <w:rsid w:val="00DC3CDC"/>
    <w:rsid w:val="00DC3F6B"/>
    <w:rsid w:val="00DC5207"/>
    <w:rsid w:val="00DC7240"/>
    <w:rsid w:val="00DD0C66"/>
    <w:rsid w:val="00DD2A40"/>
    <w:rsid w:val="00DD3470"/>
    <w:rsid w:val="00DD371D"/>
    <w:rsid w:val="00DD62AC"/>
    <w:rsid w:val="00DD78F2"/>
    <w:rsid w:val="00DD7EA4"/>
    <w:rsid w:val="00DE0FC3"/>
    <w:rsid w:val="00DE2D6B"/>
    <w:rsid w:val="00DE3897"/>
    <w:rsid w:val="00DE7B53"/>
    <w:rsid w:val="00DF0561"/>
    <w:rsid w:val="00DF1F49"/>
    <w:rsid w:val="00DF247D"/>
    <w:rsid w:val="00DF665D"/>
    <w:rsid w:val="00DF7A40"/>
    <w:rsid w:val="00E02D61"/>
    <w:rsid w:val="00E05309"/>
    <w:rsid w:val="00E0755A"/>
    <w:rsid w:val="00E12B5C"/>
    <w:rsid w:val="00E131C9"/>
    <w:rsid w:val="00E174D2"/>
    <w:rsid w:val="00E20722"/>
    <w:rsid w:val="00E22151"/>
    <w:rsid w:val="00E2217C"/>
    <w:rsid w:val="00E22896"/>
    <w:rsid w:val="00E23316"/>
    <w:rsid w:val="00E257EF"/>
    <w:rsid w:val="00E260A7"/>
    <w:rsid w:val="00E30A57"/>
    <w:rsid w:val="00E30A64"/>
    <w:rsid w:val="00E34576"/>
    <w:rsid w:val="00E35F36"/>
    <w:rsid w:val="00E40544"/>
    <w:rsid w:val="00E413AE"/>
    <w:rsid w:val="00E4193F"/>
    <w:rsid w:val="00E45A97"/>
    <w:rsid w:val="00E4705B"/>
    <w:rsid w:val="00E4746E"/>
    <w:rsid w:val="00E568FC"/>
    <w:rsid w:val="00E577A0"/>
    <w:rsid w:val="00E57D0B"/>
    <w:rsid w:val="00E62EFC"/>
    <w:rsid w:val="00E630D7"/>
    <w:rsid w:val="00E63E6F"/>
    <w:rsid w:val="00E64A51"/>
    <w:rsid w:val="00E66B09"/>
    <w:rsid w:val="00E679F1"/>
    <w:rsid w:val="00E67AA3"/>
    <w:rsid w:val="00E720D8"/>
    <w:rsid w:val="00E72BF2"/>
    <w:rsid w:val="00E75F38"/>
    <w:rsid w:val="00E75F57"/>
    <w:rsid w:val="00E77E13"/>
    <w:rsid w:val="00E803DC"/>
    <w:rsid w:val="00E8430B"/>
    <w:rsid w:val="00E8447F"/>
    <w:rsid w:val="00E84C45"/>
    <w:rsid w:val="00E84F09"/>
    <w:rsid w:val="00E86426"/>
    <w:rsid w:val="00E86706"/>
    <w:rsid w:val="00E91435"/>
    <w:rsid w:val="00E96DE0"/>
    <w:rsid w:val="00EA2328"/>
    <w:rsid w:val="00EA5B69"/>
    <w:rsid w:val="00EA6CF9"/>
    <w:rsid w:val="00EA7564"/>
    <w:rsid w:val="00EB0492"/>
    <w:rsid w:val="00EB0B1B"/>
    <w:rsid w:val="00EB19FF"/>
    <w:rsid w:val="00EB31C0"/>
    <w:rsid w:val="00EB57FA"/>
    <w:rsid w:val="00EB5B83"/>
    <w:rsid w:val="00EB5F45"/>
    <w:rsid w:val="00EB697D"/>
    <w:rsid w:val="00EC051E"/>
    <w:rsid w:val="00EC3CF9"/>
    <w:rsid w:val="00EC6C06"/>
    <w:rsid w:val="00ED0154"/>
    <w:rsid w:val="00ED0218"/>
    <w:rsid w:val="00ED0492"/>
    <w:rsid w:val="00ED0643"/>
    <w:rsid w:val="00ED118A"/>
    <w:rsid w:val="00ED39DF"/>
    <w:rsid w:val="00ED4259"/>
    <w:rsid w:val="00ED447B"/>
    <w:rsid w:val="00ED45E6"/>
    <w:rsid w:val="00ED5804"/>
    <w:rsid w:val="00ED7F12"/>
    <w:rsid w:val="00EE037E"/>
    <w:rsid w:val="00EE104A"/>
    <w:rsid w:val="00EE1978"/>
    <w:rsid w:val="00EE4E00"/>
    <w:rsid w:val="00EE7672"/>
    <w:rsid w:val="00EE78F1"/>
    <w:rsid w:val="00EF3054"/>
    <w:rsid w:val="00EF5F04"/>
    <w:rsid w:val="00F011C9"/>
    <w:rsid w:val="00F01BC9"/>
    <w:rsid w:val="00F03FCD"/>
    <w:rsid w:val="00F052C9"/>
    <w:rsid w:val="00F0674D"/>
    <w:rsid w:val="00F07ABE"/>
    <w:rsid w:val="00F12491"/>
    <w:rsid w:val="00F124A6"/>
    <w:rsid w:val="00F1499E"/>
    <w:rsid w:val="00F16134"/>
    <w:rsid w:val="00F17C18"/>
    <w:rsid w:val="00F21F0C"/>
    <w:rsid w:val="00F2396A"/>
    <w:rsid w:val="00F2548B"/>
    <w:rsid w:val="00F26A2C"/>
    <w:rsid w:val="00F27F3E"/>
    <w:rsid w:val="00F3427B"/>
    <w:rsid w:val="00F35B3D"/>
    <w:rsid w:val="00F35F03"/>
    <w:rsid w:val="00F37DF6"/>
    <w:rsid w:val="00F40283"/>
    <w:rsid w:val="00F402D5"/>
    <w:rsid w:val="00F44BD6"/>
    <w:rsid w:val="00F46CB3"/>
    <w:rsid w:val="00F4732E"/>
    <w:rsid w:val="00F510BC"/>
    <w:rsid w:val="00F52A82"/>
    <w:rsid w:val="00F62364"/>
    <w:rsid w:val="00F64065"/>
    <w:rsid w:val="00F64E99"/>
    <w:rsid w:val="00F666A1"/>
    <w:rsid w:val="00F66CA0"/>
    <w:rsid w:val="00F67642"/>
    <w:rsid w:val="00F70931"/>
    <w:rsid w:val="00F716C7"/>
    <w:rsid w:val="00F717ED"/>
    <w:rsid w:val="00F73AA6"/>
    <w:rsid w:val="00F74AF5"/>
    <w:rsid w:val="00F764D5"/>
    <w:rsid w:val="00F80FAA"/>
    <w:rsid w:val="00F853C2"/>
    <w:rsid w:val="00F87BCC"/>
    <w:rsid w:val="00F913A1"/>
    <w:rsid w:val="00F979A9"/>
    <w:rsid w:val="00FA2E9A"/>
    <w:rsid w:val="00FA568C"/>
    <w:rsid w:val="00FA574A"/>
    <w:rsid w:val="00FA6843"/>
    <w:rsid w:val="00FB03AF"/>
    <w:rsid w:val="00FB30C0"/>
    <w:rsid w:val="00FB37B7"/>
    <w:rsid w:val="00FC037D"/>
    <w:rsid w:val="00FC0BD7"/>
    <w:rsid w:val="00FC180E"/>
    <w:rsid w:val="00FC3516"/>
    <w:rsid w:val="00FC43A9"/>
    <w:rsid w:val="00FC4406"/>
    <w:rsid w:val="00FC6CF6"/>
    <w:rsid w:val="00FC7900"/>
    <w:rsid w:val="00FD243A"/>
    <w:rsid w:val="00FD285A"/>
    <w:rsid w:val="00FD41B8"/>
    <w:rsid w:val="00FD7208"/>
    <w:rsid w:val="00FE1C5D"/>
    <w:rsid w:val="00FE33F4"/>
    <w:rsid w:val="00FE451C"/>
    <w:rsid w:val="00FE4791"/>
    <w:rsid w:val="00FE59DE"/>
    <w:rsid w:val="00FF467C"/>
    <w:rsid w:val="00FF6DB8"/>
    <w:rsid w:val="00FF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8463C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359F"/>
    <w:pPr>
      <w:spacing w:after="360" w:line="360" w:lineRule="auto"/>
      <w:jc w:val="both"/>
    </w:pPr>
    <w:rPr>
      <w:rFonts w:ascii="Times New Roman" w:hAnsi="Times New Roman" w:cs="Times New Roman"/>
      <w:lang w:val="en-GB"/>
    </w:rPr>
  </w:style>
  <w:style w:type="paragraph" w:styleId="Heading1">
    <w:name w:val="heading 1"/>
    <w:basedOn w:val="Normal"/>
    <w:next w:val="Normal"/>
    <w:link w:val="Heading1Char"/>
    <w:uiPriority w:val="9"/>
    <w:qFormat/>
    <w:rsid w:val="00D5359F"/>
    <w:pPr>
      <w:keepNext/>
      <w:keepLines/>
      <w:numPr>
        <w:numId w:val="7"/>
      </w:numPr>
      <w:spacing w:before="480" w:after="120"/>
      <w:jc w:val="left"/>
      <w:outlineLvl w:val="0"/>
    </w:pPr>
    <w:rPr>
      <w:rFonts w:eastAsia="Arial Unicode MS" w:cstheme="majorBidi"/>
      <w:b/>
      <w:sz w:val="32"/>
      <w:szCs w:val="32"/>
    </w:rPr>
  </w:style>
  <w:style w:type="paragraph" w:styleId="Heading2">
    <w:name w:val="heading 2"/>
    <w:basedOn w:val="Normal"/>
    <w:next w:val="Normal"/>
    <w:link w:val="Heading2Char"/>
    <w:uiPriority w:val="9"/>
    <w:unhideWhenUsed/>
    <w:qFormat/>
    <w:rsid w:val="00D5359F"/>
    <w:pPr>
      <w:keepNext/>
      <w:keepLines/>
      <w:numPr>
        <w:ilvl w:val="1"/>
        <w:numId w:val="7"/>
      </w:numPr>
      <w:spacing w:before="720" w:after="120" w:line="480" w:lineRule="auto"/>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D5359F"/>
    <w:pPr>
      <w:keepNext/>
      <w:keepLines/>
      <w:numPr>
        <w:ilvl w:val="2"/>
        <w:numId w:val="7"/>
      </w:numPr>
      <w:spacing w:before="600" w:after="240"/>
      <w:outlineLvl w:val="2"/>
    </w:pPr>
    <w:rPr>
      <w:rFonts w:eastAsia="Arial Unicode MS" w:cstheme="majorBidi"/>
      <w:b/>
    </w:rPr>
  </w:style>
  <w:style w:type="paragraph" w:styleId="Heading4">
    <w:name w:val="heading 4"/>
    <w:basedOn w:val="Normal"/>
    <w:next w:val="Normal"/>
    <w:link w:val="Heading4Char"/>
    <w:uiPriority w:val="9"/>
    <w:unhideWhenUsed/>
    <w:qFormat/>
    <w:rsid w:val="00D5359F"/>
    <w:pPr>
      <w:keepNext/>
      <w:keepLines/>
      <w:numPr>
        <w:ilvl w:val="3"/>
        <w:numId w:val="7"/>
      </w:numPr>
      <w:spacing w:before="200"/>
      <w:outlineLvl w:val="3"/>
    </w:pPr>
    <w:rPr>
      <w:b/>
      <w:i/>
      <w:iCs/>
    </w:rPr>
  </w:style>
  <w:style w:type="paragraph" w:styleId="Heading5">
    <w:name w:val="heading 5"/>
    <w:basedOn w:val="Normal"/>
    <w:next w:val="Normal"/>
    <w:link w:val="Heading5Char"/>
    <w:uiPriority w:val="9"/>
    <w:unhideWhenUsed/>
    <w:qFormat/>
    <w:rsid w:val="00D5359F"/>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D5359F"/>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5359F"/>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5359F"/>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5359F"/>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59F"/>
    <w:rPr>
      <w:rFonts w:ascii="Times New Roman" w:eastAsia="Arial Unicode MS" w:hAnsi="Times New Roman" w:cstheme="majorBidi"/>
      <w:b/>
      <w:sz w:val="32"/>
      <w:szCs w:val="32"/>
      <w:lang w:val="en-GB"/>
    </w:rPr>
  </w:style>
  <w:style w:type="character" w:customStyle="1" w:styleId="Heading2Char">
    <w:name w:val="Heading 2 Char"/>
    <w:basedOn w:val="DefaultParagraphFont"/>
    <w:link w:val="Heading2"/>
    <w:uiPriority w:val="9"/>
    <w:rsid w:val="00D5359F"/>
    <w:rPr>
      <w:rFonts w:ascii="Times New Roman" w:eastAsiaTheme="majorEastAsia" w:hAnsi="Times New Roman" w:cstheme="majorBidi"/>
      <w:b/>
      <w:sz w:val="28"/>
      <w:szCs w:val="26"/>
      <w:lang w:val="en-GB"/>
    </w:rPr>
  </w:style>
  <w:style w:type="character" w:customStyle="1" w:styleId="Heading3Char">
    <w:name w:val="Heading 3 Char"/>
    <w:basedOn w:val="DefaultParagraphFont"/>
    <w:link w:val="Heading3"/>
    <w:uiPriority w:val="9"/>
    <w:rsid w:val="00D5359F"/>
    <w:rPr>
      <w:rFonts w:ascii="Times New Roman" w:eastAsia="Arial Unicode MS" w:hAnsi="Times New Roman" w:cstheme="majorBidi"/>
      <w:b/>
      <w:lang w:val="en-GB"/>
    </w:rPr>
  </w:style>
  <w:style w:type="character" w:customStyle="1" w:styleId="Heading4Char">
    <w:name w:val="Heading 4 Char"/>
    <w:basedOn w:val="DefaultParagraphFont"/>
    <w:link w:val="Heading4"/>
    <w:uiPriority w:val="9"/>
    <w:rsid w:val="00D5359F"/>
    <w:rPr>
      <w:rFonts w:ascii="Times New Roman" w:hAnsi="Times New Roman" w:cs="Times New Roman"/>
      <w:b/>
      <w:i/>
      <w:iCs/>
      <w:lang w:val="en-GB"/>
    </w:rPr>
  </w:style>
  <w:style w:type="character" w:customStyle="1" w:styleId="Heading5Char">
    <w:name w:val="Heading 5 Char"/>
    <w:basedOn w:val="DefaultParagraphFont"/>
    <w:link w:val="Heading5"/>
    <w:uiPriority w:val="9"/>
    <w:rsid w:val="00D5359F"/>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rsid w:val="00D5359F"/>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D5359F"/>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D5359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5359F"/>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A91BC6"/>
    <w:pPr>
      <w:spacing w:after="0" w:line="240" w:lineRule="auto"/>
      <w:contextualSpacing/>
      <w:jc w:val="center"/>
    </w:pPr>
    <w:rPr>
      <w:rFonts w:eastAsiaTheme="majorEastAsia" w:cstheme="majorBidi"/>
      <w:b/>
      <w:spacing w:val="-10"/>
      <w:kern w:val="28"/>
      <w:sz w:val="36"/>
      <w:szCs w:val="56"/>
    </w:rPr>
  </w:style>
  <w:style w:type="character" w:customStyle="1" w:styleId="TitleChar">
    <w:name w:val="Title Char"/>
    <w:basedOn w:val="DefaultParagraphFont"/>
    <w:link w:val="Title"/>
    <w:uiPriority w:val="10"/>
    <w:rsid w:val="00A91BC6"/>
    <w:rPr>
      <w:rFonts w:ascii="Times New Roman" w:eastAsiaTheme="majorEastAsia" w:hAnsi="Times New Roman" w:cstheme="majorBidi"/>
      <w:b/>
      <w:spacing w:val="-10"/>
      <w:kern w:val="28"/>
      <w:sz w:val="36"/>
      <w:szCs w:val="56"/>
      <w:lang w:val="en-GB"/>
    </w:rPr>
  </w:style>
  <w:style w:type="paragraph" w:styleId="Caption">
    <w:name w:val="caption"/>
    <w:basedOn w:val="Normal"/>
    <w:next w:val="Normal"/>
    <w:uiPriority w:val="35"/>
    <w:unhideWhenUsed/>
    <w:qFormat/>
    <w:rsid w:val="00D5359F"/>
    <w:pPr>
      <w:keepNext/>
      <w:spacing w:after="240"/>
      <w:jc w:val="center"/>
    </w:pPr>
    <w:rPr>
      <w:rFonts w:eastAsia="Arial Unicode MS" w:cstheme="minorBidi"/>
      <w:bCs/>
      <w:i/>
    </w:rPr>
  </w:style>
  <w:style w:type="paragraph" w:styleId="Subtitle">
    <w:name w:val="Subtitle"/>
    <w:basedOn w:val="Normal"/>
    <w:next w:val="Normal"/>
    <w:link w:val="SubtitleChar"/>
    <w:uiPriority w:val="11"/>
    <w:qFormat/>
    <w:rsid w:val="00D5359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359F"/>
    <w:rPr>
      <w:rFonts w:eastAsiaTheme="minorEastAsia"/>
      <w:color w:val="5A5A5A" w:themeColor="text1" w:themeTint="A5"/>
      <w:spacing w:val="15"/>
      <w:sz w:val="22"/>
      <w:szCs w:val="22"/>
      <w:lang w:val="en-GB"/>
    </w:rPr>
  </w:style>
  <w:style w:type="character" w:styleId="Strong">
    <w:name w:val="Strong"/>
    <w:basedOn w:val="DefaultParagraphFont"/>
    <w:uiPriority w:val="22"/>
    <w:qFormat/>
    <w:rsid w:val="00D5359F"/>
    <w:rPr>
      <w:b/>
      <w:bCs/>
    </w:rPr>
  </w:style>
  <w:style w:type="character" w:styleId="Emphasis">
    <w:name w:val="Emphasis"/>
    <w:aliases w:val="Citation"/>
    <w:uiPriority w:val="20"/>
    <w:qFormat/>
    <w:rsid w:val="00D5359F"/>
    <w:rPr>
      <w:i/>
    </w:rPr>
  </w:style>
  <w:style w:type="paragraph" w:styleId="NoSpacing">
    <w:name w:val="No Spacing"/>
    <w:aliases w:val="Paras Formatting"/>
    <w:link w:val="NoSpacingChar"/>
    <w:uiPriority w:val="1"/>
    <w:qFormat/>
    <w:rsid w:val="00D5359F"/>
    <w:pPr>
      <w:jc w:val="both"/>
    </w:pPr>
    <w:rPr>
      <w:rFonts w:ascii="Times New Roman" w:eastAsia="Arial Unicode MS" w:hAnsi="Times New Roman"/>
      <w:i/>
      <w:lang w:val="en-GB"/>
    </w:rPr>
  </w:style>
  <w:style w:type="paragraph" w:styleId="Quote">
    <w:name w:val="Quote"/>
    <w:basedOn w:val="Normal"/>
    <w:next w:val="Normal"/>
    <w:link w:val="QuoteChar"/>
    <w:uiPriority w:val="29"/>
    <w:qFormat/>
    <w:rsid w:val="00D5359F"/>
    <w:pPr>
      <w:spacing w:before="360"/>
      <w:ind w:left="862" w:right="862"/>
    </w:pPr>
    <w:rPr>
      <w:rFonts w:eastAsia="Arial Unicode MS" w:cstheme="minorBidi"/>
      <w:i/>
      <w:iCs/>
    </w:rPr>
  </w:style>
  <w:style w:type="character" w:customStyle="1" w:styleId="QuoteChar">
    <w:name w:val="Quote Char"/>
    <w:basedOn w:val="DefaultParagraphFont"/>
    <w:link w:val="Quote"/>
    <w:uiPriority w:val="29"/>
    <w:rsid w:val="00D5359F"/>
    <w:rPr>
      <w:rFonts w:ascii="Times New Roman" w:eastAsia="Arial Unicode MS" w:hAnsi="Times New Roman"/>
      <w:i/>
      <w:iCs/>
      <w:lang w:val="en-GB"/>
    </w:rPr>
  </w:style>
  <w:style w:type="paragraph" w:styleId="IntenseQuote">
    <w:name w:val="Intense Quote"/>
    <w:basedOn w:val="Normal"/>
    <w:next w:val="Normal"/>
    <w:link w:val="IntenseQuoteChar"/>
    <w:uiPriority w:val="30"/>
    <w:qFormat/>
    <w:rsid w:val="00D5359F"/>
    <w:pPr>
      <w:pBdr>
        <w:top w:val="single" w:sz="4" w:space="1" w:color="000000" w:themeColor="text1"/>
        <w:bottom w:val="single" w:sz="4" w:space="1" w:color="000000" w:themeColor="text1"/>
      </w:pBdr>
      <w:spacing w:before="360"/>
      <w:ind w:left="864" w:right="864"/>
      <w:jc w:val="center"/>
    </w:pPr>
    <w:rPr>
      <w:rFonts w:eastAsia="Arial Unicode MS" w:cstheme="majorBidi"/>
      <w:i/>
      <w:iCs/>
    </w:rPr>
  </w:style>
  <w:style w:type="character" w:customStyle="1" w:styleId="IntenseQuoteChar">
    <w:name w:val="Intense Quote Char"/>
    <w:basedOn w:val="DefaultParagraphFont"/>
    <w:link w:val="IntenseQuote"/>
    <w:uiPriority w:val="30"/>
    <w:rsid w:val="00D5359F"/>
    <w:rPr>
      <w:rFonts w:ascii="Times New Roman" w:eastAsia="Arial Unicode MS" w:hAnsi="Times New Roman" w:cstheme="majorBidi"/>
      <w:i/>
      <w:iCs/>
      <w:lang w:val="en-GB"/>
    </w:rPr>
  </w:style>
  <w:style w:type="character" w:styleId="SubtleEmphasis">
    <w:name w:val="Subtle Emphasis"/>
    <w:uiPriority w:val="19"/>
    <w:qFormat/>
    <w:rsid w:val="00D5359F"/>
    <w:rPr>
      <w:rFonts w:cs="Times New Roman"/>
      <w:b/>
      <w:i/>
      <w:u w:val="single"/>
    </w:rPr>
  </w:style>
  <w:style w:type="character" w:styleId="IntenseEmphasis">
    <w:name w:val="Intense Emphasis"/>
    <w:basedOn w:val="DefaultParagraphFont"/>
    <w:uiPriority w:val="21"/>
    <w:qFormat/>
    <w:rsid w:val="00D5359F"/>
    <w:rPr>
      <w:i/>
      <w:iCs/>
      <w:color w:val="4472C4" w:themeColor="accent1"/>
    </w:rPr>
  </w:style>
  <w:style w:type="character" w:styleId="SubtleReference">
    <w:name w:val="Subtle Reference"/>
    <w:aliases w:val="Code"/>
    <w:uiPriority w:val="31"/>
    <w:qFormat/>
    <w:rsid w:val="00D5359F"/>
    <w:rPr>
      <w:rFonts w:ascii="Courier New" w:eastAsia="Times New Roman" w:hAnsi="Courier New" w:cs="Courier New"/>
      <w:color w:val="000088"/>
      <w:sz w:val="20"/>
      <w:szCs w:val="20"/>
      <w:lang w:eastAsia="en-GB"/>
    </w:rPr>
  </w:style>
  <w:style w:type="character" w:styleId="IntenseReference">
    <w:name w:val="Intense Reference"/>
    <w:basedOn w:val="DefaultParagraphFont"/>
    <w:uiPriority w:val="32"/>
    <w:qFormat/>
    <w:rsid w:val="00D5359F"/>
    <w:rPr>
      <w:b/>
      <w:bCs/>
      <w:smallCaps/>
      <w:color w:val="4472C4" w:themeColor="accent1"/>
      <w:spacing w:val="5"/>
    </w:rPr>
  </w:style>
  <w:style w:type="character" w:styleId="BookTitle">
    <w:name w:val="Book Title"/>
    <w:basedOn w:val="DefaultParagraphFont"/>
    <w:uiPriority w:val="33"/>
    <w:qFormat/>
    <w:rsid w:val="00D5359F"/>
    <w:rPr>
      <w:b/>
      <w:bCs/>
      <w:i/>
      <w:iCs/>
      <w:spacing w:val="5"/>
    </w:rPr>
  </w:style>
  <w:style w:type="paragraph" w:styleId="TOCHeading">
    <w:name w:val="TOC Heading"/>
    <w:basedOn w:val="Heading1"/>
    <w:next w:val="Normal"/>
    <w:uiPriority w:val="39"/>
    <w:unhideWhenUsed/>
    <w:qFormat/>
    <w:rsid w:val="00D5359F"/>
    <w:pPr>
      <w:numPr>
        <w:numId w:val="0"/>
      </w:numPr>
      <w:spacing w:before="240" w:after="0"/>
      <w:outlineLvl w:val="9"/>
    </w:pPr>
    <w:rPr>
      <w:rFonts w:asciiTheme="majorHAnsi" w:eastAsiaTheme="majorEastAsia" w:hAnsiTheme="majorHAnsi"/>
      <w:b w:val="0"/>
      <w:color w:val="2F5496" w:themeColor="accent1" w:themeShade="BF"/>
    </w:rPr>
  </w:style>
  <w:style w:type="paragraph" w:customStyle="1" w:styleId="MiniHead">
    <w:name w:val="Mini Head"/>
    <w:basedOn w:val="Normal"/>
    <w:next w:val="Normal"/>
    <w:link w:val="MiniHeadChar"/>
    <w:qFormat/>
    <w:rsid w:val="005F4481"/>
    <w:pPr>
      <w:spacing w:after="0" w:line="240" w:lineRule="auto"/>
    </w:pPr>
    <w:rPr>
      <w:rFonts w:eastAsia="Arial Unicode MS"/>
      <w:b/>
      <w:i/>
      <w:color w:val="FF0000"/>
      <w:u w:val="single"/>
    </w:rPr>
  </w:style>
  <w:style w:type="character" w:customStyle="1" w:styleId="MiniHeadChar">
    <w:name w:val="Mini Head Char"/>
    <w:basedOn w:val="DefaultParagraphFont"/>
    <w:link w:val="MiniHead"/>
    <w:rsid w:val="005F4481"/>
    <w:rPr>
      <w:rFonts w:ascii="Times New Roman" w:eastAsia="Arial Unicode MS" w:hAnsi="Times New Roman" w:cs="Times New Roman"/>
      <w:b/>
      <w:i/>
      <w:color w:val="FF0000"/>
      <w:u w:val="single"/>
      <w:lang w:val="en-GB"/>
    </w:rPr>
  </w:style>
  <w:style w:type="paragraph" w:styleId="ListParagraph">
    <w:name w:val="List Paragraph"/>
    <w:basedOn w:val="Normal"/>
    <w:uiPriority w:val="34"/>
    <w:qFormat/>
    <w:rsid w:val="00D5359F"/>
    <w:pPr>
      <w:ind w:left="720"/>
      <w:contextualSpacing/>
    </w:pPr>
    <w:rPr>
      <w:rFonts w:eastAsia="Arial Unicode MS"/>
    </w:rPr>
  </w:style>
  <w:style w:type="numbering" w:customStyle="1" w:styleId="NoList1">
    <w:name w:val="No List1"/>
    <w:next w:val="NoList"/>
    <w:uiPriority w:val="99"/>
    <w:semiHidden/>
    <w:unhideWhenUsed/>
    <w:rsid w:val="00D5359F"/>
  </w:style>
  <w:style w:type="table" w:customStyle="1" w:styleId="TableGrid1">
    <w:name w:val="Table Grid1"/>
    <w:basedOn w:val="TableNormal"/>
    <w:next w:val="TableGrid"/>
    <w:uiPriority w:val="59"/>
    <w:rsid w:val="00D5359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uiPriority w:val="99"/>
    <w:semiHidden/>
    <w:unhideWhenUsed/>
    <w:rsid w:val="00D5359F"/>
    <w:rPr>
      <w:rFonts w:ascii="Tahoma" w:hAnsi="Tahoma" w:cs="Tahoma"/>
      <w:sz w:val="16"/>
      <w:szCs w:val="16"/>
    </w:rPr>
  </w:style>
  <w:style w:type="character" w:customStyle="1" w:styleId="BalloonTextChar">
    <w:name w:val="Balloon Text Char"/>
    <w:basedOn w:val="DefaultParagraphFont"/>
    <w:link w:val="BalloonText1"/>
    <w:uiPriority w:val="99"/>
    <w:semiHidden/>
    <w:rsid w:val="00D5359F"/>
    <w:rPr>
      <w:rFonts w:ascii="Tahoma" w:hAnsi="Tahoma" w:cs="Tahoma"/>
      <w:sz w:val="16"/>
      <w:szCs w:val="16"/>
      <w:lang w:val="en-GB"/>
    </w:rPr>
  </w:style>
  <w:style w:type="character" w:customStyle="1" w:styleId="Hyperlink1">
    <w:name w:val="Hyperlink1"/>
    <w:basedOn w:val="DefaultParagraphFont"/>
    <w:uiPriority w:val="99"/>
    <w:unhideWhenUsed/>
    <w:rsid w:val="00D5359F"/>
    <w:rPr>
      <w:color w:val="0000FF"/>
      <w:u w:val="single"/>
    </w:rPr>
  </w:style>
  <w:style w:type="paragraph" w:customStyle="1" w:styleId="svarticle">
    <w:name w:val="svarticle"/>
    <w:basedOn w:val="Normal"/>
    <w:rsid w:val="00D5359F"/>
    <w:pPr>
      <w:spacing w:before="100" w:beforeAutospacing="1" w:after="100" w:afterAutospacing="1"/>
    </w:pPr>
    <w:rPr>
      <w:rFonts w:eastAsia="Times New Roman"/>
      <w:lang w:eastAsia="en-GB"/>
    </w:rPr>
  </w:style>
  <w:style w:type="character" w:customStyle="1" w:styleId="apple-converted-space">
    <w:name w:val="apple-converted-space"/>
    <w:basedOn w:val="DefaultParagraphFont"/>
    <w:rsid w:val="00D5359F"/>
  </w:style>
  <w:style w:type="paragraph" w:customStyle="1" w:styleId="Header1">
    <w:name w:val="Header1"/>
    <w:basedOn w:val="Normal"/>
    <w:next w:val="Header"/>
    <w:link w:val="HeaderChar"/>
    <w:uiPriority w:val="99"/>
    <w:unhideWhenUsed/>
    <w:rsid w:val="00D5359F"/>
    <w:pPr>
      <w:tabs>
        <w:tab w:val="center" w:pos="4513"/>
        <w:tab w:val="right" w:pos="9026"/>
      </w:tabs>
    </w:pPr>
  </w:style>
  <w:style w:type="character" w:customStyle="1" w:styleId="HeaderChar">
    <w:name w:val="Header Char"/>
    <w:basedOn w:val="DefaultParagraphFont"/>
    <w:link w:val="Header1"/>
    <w:uiPriority w:val="99"/>
    <w:rsid w:val="00D5359F"/>
    <w:rPr>
      <w:rFonts w:ascii="Times New Roman" w:hAnsi="Times New Roman" w:cs="Times New Roman"/>
      <w:lang w:val="en-GB"/>
    </w:rPr>
  </w:style>
  <w:style w:type="paragraph" w:customStyle="1" w:styleId="Footer1">
    <w:name w:val="Footer1"/>
    <w:basedOn w:val="Normal"/>
    <w:next w:val="Footer"/>
    <w:link w:val="FooterChar"/>
    <w:uiPriority w:val="99"/>
    <w:unhideWhenUsed/>
    <w:rsid w:val="00D5359F"/>
    <w:pPr>
      <w:tabs>
        <w:tab w:val="center" w:pos="4513"/>
        <w:tab w:val="right" w:pos="9026"/>
      </w:tabs>
    </w:pPr>
  </w:style>
  <w:style w:type="character" w:customStyle="1" w:styleId="FooterChar">
    <w:name w:val="Footer Char"/>
    <w:basedOn w:val="DefaultParagraphFont"/>
    <w:link w:val="Footer1"/>
    <w:uiPriority w:val="99"/>
    <w:rsid w:val="00D5359F"/>
    <w:rPr>
      <w:rFonts w:ascii="Times New Roman" w:hAnsi="Times New Roman" w:cs="Times New Roman"/>
      <w:lang w:val="en-GB"/>
    </w:rPr>
  </w:style>
  <w:style w:type="character" w:customStyle="1" w:styleId="FollowedHyperlink1">
    <w:name w:val="FollowedHyperlink1"/>
    <w:basedOn w:val="DefaultParagraphFont"/>
    <w:uiPriority w:val="99"/>
    <w:semiHidden/>
    <w:unhideWhenUsed/>
    <w:rsid w:val="00D5359F"/>
    <w:rPr>
      <w:color w:val="800080"/>
      <w:u w:val="single"/>
    </w:rPr>
  </w:style>
  <w:style w:type="paragraph" w:customStyle="1" w:styleId="TableofFigures1">
    <w:name w:val="Table of Figures1"/>
    <w:basedOn w:val="Normal"/>
    <w:next w:val="Normal"/>
    <w:uiPriority w:val="99"/>
    <w:unhideWhenUsed/>
    <w:rsid w:val="00D5359F"/>
    <w:rPr>
      <w:rFonts w:eastAsia="Calibri"/>
    </w:rPr>
  </w:style>
  <w:style w:type="paragraph" w:customStyle="1" w:styleId="ManuscriptTitle">
    <w:name w:val="Manuscript Title"/>
    <w:basedOn w:val="Title"/>
    <w:link w:val="ManuscriptTitleChar"/>
    <w:qFormat/>
    <w:rsid w:val="00D5359F"/>
    <w:rPr>
      <w:b w:val="0"/>
      <w:sz w:val="28"/>
      <w:szCs w:val="28"/>
    </w:rPr>
  </w:style>
  <w:style w:type="character" w:customStyle="1" w:styleId="ManuscriptTitleChar">
    <w:name w:val="Manuscript Title Char"/>
    <w:basedOn w:val="DefaultParagraphFont"/>
    <w:link w:val="ManuscriptTitle"/>
    <w:rsid w:val="00D5359F"/>
    <w:rPr>
      <w:rFonts w:ascii="Times New Roman" w:eastAsiaTheme="majorEastAsia" w:hAnsi="Times New Roman" w:cstheme="majorBidi"/>
      <w:spacing w:val="-10"/>
      <w:kern w:val="28"/>
      <w:sz w:val="28"/>
      <w:szCs w:val="28"/>
      <w:lang w:val="en-GB"/>
    </w:rPr>
  </w:style>
  <w:style w:type="character" w:styleId="PlaceholderText">
    <w:name w:val="Placeholder Text"/>
    <w:basedOn w:val="DefaultParagraphFont"/>
    <w:uiPriority w:val="99"/>
    <w:semiHidden/>
    <w:rsid w:val="00D5359F"/>
    <w:rPr>
      <w:color w:val="808080"/>
    </w:rPr>
  </w:style>
  <w:style w:type="table" w:customStyle="1" w:styleId="GridTable6Colorful1">
    <w:name w:val="Grid Table 6 Colorful1"/>
    <w:basedOn w:val="TableNormal"/>
    <w:uiPriority w:val="51"/>
    <w:rsid w:val="00D5359F"/>
    <w:rPr>
      <w:color w:val="000000"/>
      <w:sz w:val="22"/>
      <w:szCs w:val="22"/>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Bullet1">
    <w:name w:val="List Bullet1"/>
    <w:basedOn w:val="Normal"/>
    <w:next w:val="ListBullet"/>
    <w:uiPriority w:val="99"/>
    <w:unhideWhenUsed/>
    <w:rsid w:val="00D5359F"/>
    <w:pPr>
      <w:numPr>
        <w:numId w:val="2"/>
      </w:numPr>
      <w:tabs>
        <w:tab w:val="clear" w:pos="360"/>
      </w:tabs>
      <w:ind w:left="720"/>
      <w:contextualSpacing/>
    </w:pPr>
    <w:rPr>
      <w:rFonts w:eastAsia="Calibri"/>
    </w:rPr>
  </w:style>
  <w:style w:type="table" w:customStyle="1" w:styleId="PlainTable41">
    <w:name w:val="Plain Table 41"/>
    <w:basedOn w:val="TableNormal"/>
    <w:uiPriority w:val="44"/>
    <w:rsid w:val="00D5359F"/>
    <w:rPr>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D5359F"/>
    <w:rPr>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uiPriority w:val="99"/>
    <w:semiHidden/>
    <w:unhideWhenUsed/>
    <w:rsid w:val="00D5359F"/>
  </w:style>
  <w:style w:type="paragraph" w:customStyle="1" w:styleId="EndnoteText1">
    <w:name w:val="Endnote Text1"/>
    <w:basedOn w:val="Normal"/>
    <w:next w:val="EndnoteText"/>
    <w:link w:val="EndnoteTextChar"/>
    <w:uiPriority w:val="99"/>
    <w:semiHidden/>
    <w:unhideWhenUsed/>
    <w:rsid w:val="00D5359F"/>
    <w:rPr>
      <w:sz w:val="20"/>
      <w:szCs w:val="20"/>
    </w:rPr>
  </w:style>
  <w:style w:type="character" w:customStyle="1" w:styleId="EndnoteTextChar">
    <w:name w:val="Endnote Text Char"/>
    <w:basedOn w:val="DefaultParagraphFont"/>
    <w:link w:val="EndnoteText1"/>
    <w:uiPriority w:val="99"/>
    <w:semiHidden/>
    <w:rsid w:val="00D5359F"/>
    <w:rPr>
      <w:rFonts w:ascii="Times New Roman" w:hAnsi="Times New Roman" w:cs="Times New Roman"/>
      <w:sz w:val="20"/>
      <w:szCs w:val="20"/>
      <w:lang w:val="en-GB"/>
    </w:rPr>
  </w:style>
  <w:style w:type="character" w:styleId="EndnoteReference">
    <w:name w:val="endnote reference"/>
    <w:basedOn w:val="DefaultParagraphFont"/>
    <w:uiPriority w:val="99"/>
    <w:semiHidden/>
    <w:unhideWhenUsed/>
    <w:rsid w:val="00D5359F"/>
    <w:rPr>
      <w:vertAlign w:val="superscript"/>
    </w:rPr>
  </w:style>
  <w:style w:type="paragraph" w:customStyle="1" w:styleId="FootnoteText1">
    <w:name w:val="Footnote Text1"/>
    <w:basedOn w:val="Normal"/>
    <w:next w:val="FootnoteText"/>
    <w:link w:val="FootnoteTextChar"/>
    <w:uiPriority w:val="99"/>
    <w:unhideWhenUsed/>
    <w:rsid w:val="00D5359F"/>
    <w:rPr>
      <w:sz w:val="20"/>
      <w:szCs w:val="20"/>
    </w:rPr>
  </w:style>
  <w:style w:type="character" w:customStyle="1" w:styleId="FootnoteTextChar">
    <w:name w:val="Footnote Text Char"/>
    <w:basedOn w:val="DefaultParagraphFont"/>
    <w:link w:val="FootnoteText1"/>
    <w:uiPriority w:val="99"/>
    <w:rsid w:val="00D5359F"/>
    <w:rPr>
      <w:rFonts w:ascii="Times New Roman" w:hAnsi="Times New Roman" w:cs="Times New Roman"/>
      <w:sz w:val="20"/>
      <w:szCs w:val="20"/>
      <w:lang w:val="en-GB"/>
    </w:rPr>
  </w:style>
  <w:style w:type="character" w:styleId="FootnoteReference">
    <w:name w:val="footnote reference"/>
    <w:basedOn w:val="DefaultParagraphFont"/>
    <w:uiPriority w:val="99"/>
    <w:semiHidden/>
    <w:unhideWhenUsed/>
    <w:rsid w:val="00D5359F"/>
    <w:rPr>
      <w:vertAlign w:val="superscript"/>
    </w:rPr>
  </w:style>
  <w:style w:type="character" w:styleId="CommentReference">
    <w:name w:val="annotation reference"/>
    <w:basedOn w:val="DefaultParagraphFont"/>
    <w:uiPriority w:val="99"/>
    <w:unhideWhenUsed/>
    <w:rsid w:val="00D5359F"/>
    <w:rPr>
      <w:sz w:val="16"/>
      <w:szCs w:val="16"/>
    </w:rPr>
  </w:style>
  <w:style w:type="paragraph" w:customStyle="1" w:styleId="CommentText1">
    <w:name w:val="Comment Text1"/>
    <w:basedOn w:val="Normal"/>
    <w:next w:val="CommentText"/>
    <w:link w:val="CommentTextChar"/>
    <w:uiPriority w:val="99"/>
    <w:semiHidden/>
    <w:unhideWhenUsed/>
    <w:rsid w:val="00D5359F"/>
    <w:rPr>
      <w:sz w:val="20"/>
      <w:szCs w:val="20"/>
    </w:rPr>
  </w:style>
  <w:style w:type="character" w:customStyle="1" w:styleId="CommentTextChar">
    <w:name w:val="Comment Text Char"/>
    <w:basedOn w:val="DefaultParagraphFont"/>
    <w:link w:val="CommentText1"/>
    <w:uiPriority w:val="99"/>
    <w:semiHidden/>
    <w:rsid w:val="00D5359F"/>
    <w:rPr>
      <w:rFonts w:ascii="Times New Roman" w:hAnsi="Times New Roman" w:cs="Times New Roman"/>
      <w:sz w:val="20"/>
      <w:szCs w:val="20"/>
      <w:lang w:val="en-GB"/>
    </w:rPr>
  </w:style>
  <w:style w:type="paragraph" w:customStyle="1" w:styleId="CommentSubject1">
    <w:name w:val="Comment Subject1"/>
    <w:basedOn w:val="CommentText"/>
    <w:next w:val="CommentText"/>
    <w:uiPriority w:val="99"/>
    <w:semiHidden/>
    <w:unhideWhenUsed/>
    <w:rsid w:val="00D5359F"/>
    <w:rPr>
      <w:rFonts w:eastAsia="Calibri" w:cs="Times New Roman"/>
      <w:b/>
      <w:bCs/>
    </w:rPr>
  </w:style>
  <w:style w:type="character" w:customStyle="1" w:styleId="CommentSubjectChar">
    <w:name w:val="Comment Subject Char"/>
    <w:basedOn w:val="CommentTextChar"/>
    <w:link w:val="CommentSubject"/>
    <w:uiPriority w:val="99"/>
    <w:semiHidden/>
    <w:rsid w:val="00D5359F"/>
    <w:rPr>
      <w:rFonts w:ascii="Times New Roman" w:hAnsi="Times New Roman" w:cs="Times New Roman"/>
      <w:b/>
      <w:bCs/>
      <w:sz w:val="20"/>
      <w:szCs w:val="20"/>
      <w:lang w:val="en-GB"/>
    </w:rPr>
  </w:style>
  <w:style w:type="paragraph" w:customStyle="1" w:styleId="Revision1">
    <w:name w:val="Revision1"/>
    <w:next w:val="Revision"/>
    <w:hidden/>
    <w:uiPriority w:val="99"/>
    <w:semiHidden/>
    <w:rsid w:val="00D5359F"/>
    <w:rPr>
      <w:rFonts w:ascii="Times New Roman" w:hAnsi="Times New Roman" w:cs="Times New Roman"/>
      <w:lang w:val="en-GB"/>
    </w:rPr>
  </w:style>
  <w:style w:type="paragraph" w:customStyle="1" w:styleId="NormalWeb1">
    <w:name w:val="Normal (Web)1"/>
    <w:basedOn w:val="Normal"/>
    <w:next w:val="NormalWeb"/>
    <w:uiPriority w:val="99"/>
    <w:unhideWhenUsed/>
    <w:rsid w:val="00D5359F"/>
    <w:pPr>
      <w:spacing w:before="100" w:beforeAutospacing="1" w:after="100" w:afterAutospacing="1"/>
    </w:pPr>
    <w:rPr>
      <w:rFonts w:eastAsia="Times New Roman"/>
      <w:lang w:eastAsia="en-GB"/>
    </w:rPr>
  </w:style>
  <w:style w:type="table" w:styleId="TableGrid">
    <w:name w:val="Table Grid"/>
    <w:aliases w:val="Table Grid Grey"/>
    <w:basedOn w:val="TableNormal"/>
    <w:uiPriority w:val="39"/>
    <w:rsid w:val="00D5359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D5359F"/>
    <w:rPr>
      <w:rFonts w:ascii="Segoe UI" w:eastAsia="Arial Unicode MS" w:hAnsi="Segoe UI" w:cs="Segoe UI"/>
      <w:sz w:val="18"/>
      <w:szCs w:val="18"/>
    </w:rPr>
  </w:style>
  <w:style w:type="character" w:customStyle="1" w:styleId="BalloonTextChar1">
    <w:name w:val="Balloon Text Char1"/>
    <w:basedOn w:val="DefaultParagraphFont"/>
    <w:link w:val="BalloonText"/>
    <w:uiPriority w:val="99"/>
    <w:semiHidden/>
    <w:rsid w:val="00D5359F"/>
    <w:rPr>
      <w:rFonts w:ascii="Segoe UI" w:eastAsia="Arial Unicode MS" w:hAnsi="Segoe UI" w:cs="Segoe UI"/>
      <w:sz w:val="18"/>
      <w:szCs w:val="18"/>
      <w:lang w:val="en-GB"/>
    </w:rPr>
  </w:style>
  <w:style w:type="character" w:styleId="Hyperlink">
    <w:name w:val="Hyperlink"/>
    <w:basedOn w:val="DefaultParagraphFont"/>
    <w:uiPriority w:val="99"/>
    <w:unhideWhenUsed/>
    <w:rsid w:val="00D5359F"/>
    <w:rPr>
      <w:color w:val="0563C1" w:themeColor="hyperlink"/>
      <w:u w:val="single"/>
    </w:rPr>
  </w:style>
  <w:style w:type="paragraph" w:styleId="Header">
    <w:name w:val="header"/>
    <w:basedOn w:val="Normal"/>
    <w:link w:val="HeaderChar1"/>
    <w:uiPriority w:val="99"/>
    <w:unhideWhenUsed/>
    <w:rsid w:val="00D5359F"/>
    <w:pPr>
      <w:tabs>
        <w:tab w:val="center" w:pos="4680"/>
        <w:tab w:val="right" w:pos="9360"/>
      </w:tabs>
    </w:pPr>
    <w:rPr>
      <w:rFonts w:eastAsia="Arial Unicode MS" w:cstheme="minorBidi"/>
    </w:rPr>
  </w:style>
  <w:style w:type="character" w:customStyle="1" w:styleId="HeaderChar1">
    <w:name w:val="Header Char1"/>
    <w:basedOn w:val="DefaultParagraphFont"/>
    <w:link w:val="Header"/>
    <w:uiPriority w:val="99"/>
    <w:rsid w:val="00D5359F"/>
    <w:rPr>
      <w:rFonts w:ascii="Times New Roman" w:eastAsia="Arial Unicode MS" w:hAnsi="Times New Roman"/>
      <w:lang w:val="en-GB"/>
    </w:rPr>
  </w:style>
  <w:style w:type="paragraph" w:styleId="Footer">
    <w:name w:val="footer"/>
    <w:basedOn w:val="Normal"/>
    <w:link w:val="FooterChar1"/>
    <w:uiPriority w:val="99"/>
    <w:unhideWhenUsed/>
    <w:rsid w:val="00D5359F"/>
    <w:pPr>
      <w:tabs>
        <w:tab w:val="center" w:pos="4680"/>
        <w:tab w:val="right" w:pos="9360"/>
      </w:tabs>
    </w:pPr>
    <w:rPr>
      <w:rFonts w:eastAsia="Arial Unicode MS" w:cstheme="minorBidi"/>
    </w:rPr>
  </w:style>
  <w:style w:type="character" w:customStyle="1" w:styleId="FooterChar1">
    <w:name w:val="Footer Char1"/>
    <w:basedOn w:val="DefaultParagraphFont"/>
    <w:link w:val="Footer"/>
    <w:uiPriority w:val="99"/>
    <w:rsid w:val="00D5359F"/>
    <w:rPr>
      <w:rFonts w:ascii="Times New Roman" w:eastAsia="Arial Unicode MS" w:hAnsi="Times New Roman"/>
      <w:lang w:val="en-GB"/>
    </w:rPr>
  </w:style>
  <w:style w:type="character" w:styleId="FollowedHyperlink">
    <w:name w:val="FollowedHyperlink"/>
    <w:basedOn w:val="DefaultParagraphFont"/>
    <w:uiPriority w:val="99"/>
    <w:semiHidden/>
    <w:unhideWhenUsed/>
    <w:rsid w:val="00D5359F"/>
    <w:rPr>
      <w:color w:val="954F72" w:themeColor="followedHyperlink"/>
      <w:u w:val="single"/>
    </w:rPr>
  </w:style>
  <w:style w:type="paragraph" w:styleId="ListBullet">
    <w:name w:val="List Bullet"/>
    <w:basedOn w:val="Normal"/>
    <w:uiPriority w:val="99"/>
    <w:semiHidden/>
    <w:unhideWhenUsed/>
    <w:rsid w:val="00D5359F"/>
    <w:pPr>
      <w:numPr>
        <w:numId w:val="1"/>
      </w:numPr>
      <w:contextualSpacing/>
    </w:pPr>
    <w:rPr>
      <w:rFonts w:eastAsia="Arial Unicode MS" w:cstheme="minorBidi"/>
    </w:rPr>
  </w:style>
  <w:style w:type="paragraph" w:styleId="EndnoteText">
    <w:name w:val="endnote text"/>
    <w:basedOn w:val="Normal"/>
    <w:link w:val="EndnoteTextChar1"/>
    <w:uiPriority w:val="99"/>
    <w:semiHidden/>
    <w:unhideWhenUsed/>
    <w:rsid w:val="00D5359F"/>
    <w:rPr>
      <w:sz w:val="20"/>
      <w:szCs w:val="20"/>
    </w:rPr>
  </w:style>
  <w:style w:type="character" w:customStyle="1" w:styleId="EndnoteTextChar1">
    <w:name w:val="Endnote Text Char1"/>
    <w:basedOn w:val="DefaultParagraphFont"/>
    <w:link w:val="EndnoteText"/>
    <w:uiPriority w:val="99"/>
    <w:semiHidden/>
    <w:rsid w:val="00D5359F"/>
    <w:rPr>
      <w:rFonts w:ascii="Times New Roman" w:hAnsi="Times New Roman" w:cs="Times New Roman"/>
      <w:sz w:val="20"/>
      <w:szCs w:val="20"/>
      <w:lang w:val="en-GB"/>
    </w:rPr>
  </w:style>
  <w:style w:type="paragraph" w:styleId="FootnoteText">
    <w:name w:val="footnote text"/>
    <w:basedOn w:val="Normal"/>
    <w:link w:val="FootnoteTextChar1"/>
    <w:uiPriority w:val="99"/>
    <w:unhideWhenUsed/>
    <w:rsid w:val="00D5359F"/>
    <w:rPr>
      <w:rFonts w:eastAsia="Arial Unicode MS" w:cstheme="minorBidi"/>
      <w:sz w:val="20"/>
      <w:szCs w:val="20"/>
    </w:rPr>
  </w:style>
  <w:style w:type="character" w:customStyle="1" w:styleId="FootnoteTextChar1">
    <w:name w:val="Footnote Text Char1"/>
    <w:basedOn w:val="DefaultParagraphFont"/>
    <w:link w:val="FootnoteText"/>
    <w:uiPriority w:val="99"/>
    <w:rsid w:val="00D5359F"/>
    <w:rPr>
      <w:rFonts w:ascii="Times New Roman" w:eastAsia="Arial Unicode MS" w:hAnsi="Times New Roman"/>
      <w:sz w:val="20"/>
      <w:szCs w:val="20"/>
      <w:lang w:val="en-GB"/>
    </w:rPr>
  </w:style>
  <w:style w:type="paragraph" w:styleId="CommentText">
    <w:name w:val="annotation text"/>
    <w:basedOn w:val="Normal"/>
    <w:link w:val="CommentTextChar1"/>
    <w:uiPriority w:val="99"/>
    <w:unhideWhenUsed/>
    <w:rsid w:val="00D5359F"/>
    <w:rPr>
      <w:rFonts w:eastAsia="Arial Unicode MS" w:cstheme="minorBidi"/>
      <w:sz w:val="20"/>
      <w:szCs w:val="20"/>
    </w:rPr>
  </w:style>
  <w:style w:type="character" w:customStyle="1" w:styleId="CommentTextChar1">
    <w:name w:val="Comment Text Char1"/>
    <w:basedOn w:val="DefaultParagraphFont"/>
    <w:link w:val="CommentText"/>
    <w:uiPriority w:val="99"/>
    <w:rsid w:val="00D5359F"/>
    <w:rPr>
      <w:rFonts w:ascii="Times New Roman" w:eastAsia="Arial Unicode MS"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D5359F"/>
    <w:rPr>
      <w:rFonts w:eastAsiaTheme="minorHAnsi" w:cs="Times New Roman"/>
      <w:b/>
      <w:bCs/>
    </w:rPr>
  </w:style>
  <w:style w:type="character" w:customStyle="1" w:styleId="CommentSubjectChar1">
    <w:name w:val="Comment Subject Char1"/>
    <w:basedOn w:val="CommentTextChar1"/>
    <w:uiPriority w:val="99"/>
    <w:semiHidden/>
    <w:rsid w:val="00D5359F"/>
    <w:rPr>
      <w:rFonts w:ascii="Times New Roman" w:eastAsia="Arial Unicode MS" w:hAnsi="Times New Roman"/>
      <w:b/>
      <w:bCs/>
      <w:sz w:val="20"/>
      <w:szCs w:val="20"/>
      <w:lang w:val="en-GB"/>
    </w:rPr>
  </w:style>
  <w:style w:type="paragraph" w:styleId="Revision">
    <w:name w:val="Revision"/>
    <w:hidden/>
    <w:uiPriority w:val="99"/>
    <w:semiHidden/>
    <w:rsid w:val="00D5359F"/>
    <w:rPr>
      <w:rFonts w:ascii="Times New Roman" w:eastAsia="Arial Unicode MS" w:hAnsi="Times New Roman"/>
      <w:lang w:val="en-GB"/>
    </w:rPr>
  </w:style>
  <w:style w:type="paragraph" w:styleId="NormalWeb">
    <w:name w:val="Normal (Web)"/>
    <w:basedOn w:val="Normal"/>
    <w:uiPriority w:val="99"/>
    <w:unhideWhenUsed/>
    <w:rsid w:val="00D5359F"/>
    <w:rPr>
      <w:rFonts w:eastAsia="Arial Unicode MS"/>
    </w:rPr>
  </w:style>
  <w:style w:type="paragraph" w:styleId="TOC1">
    <w:name w:val="toc 1"/>
    <w:basedOn w:val="Normal"/>
    <w:next w:val="Normal"/>
    <w:autoRedefine/>
    <w:uiPriority w:val="39"/>
    <w:unhideWhenUsed/>
    <w:rsid w:val="00D5359F"/>
    <w:pPr>
      <w:spacing w:after="100" w:line="480" w:lineRule="auto"/>
    </w:pPr>
  </w:style>
  <w:style w:type="paragraph" w:styleId="TOC2">
    <w:name w:val="toc 2"/>
    <w:basedOn w:val="Normal"/>
    <w:next w:val="Normal"/>
    <w:autoRedefine/>
    <w:uiPriority w:val="39"/>
    <w:unhideWhenUsed/>
    <w:rsid w:val="00D5359F"/>
    <w:pPr>
      <w:spacing w:after="100" w:line="480" w:lineRule="auto"/>
      <w:ind w:left="240"/>
    </w:pPr>
  </w:style>
  <w:style w:type="paragraph" w:styleId="TableofFigures">
    <w:name w:val="table of figures"/>
    <w:basedOn w:val="Normal"/>
    <w:next w:val="Normal"/>
    <w:uiPriority w:val="99"/>
    <w:unhideWhenUsed/>
    <w:rsid w:val="00D5359F"/>
    <w:pPr>
      <w:spacing w:line="480" w:lineRule="auto"/>
    </w:pPr>
  </w:style>
  <w:style w:type="table" w:customStyle="1" w:styleId="ListTable6Colorful1">
    <w:name w:val="List Table 6 Colorful1"/>
    <w:aliases w:val="ManuTable"/>
    <w:basedOn w:val="TableNormal"/>
    <w:uiPriority w:val="51"/>
    <w:rsid w:val="00D5359F"/>
    <w:rPr>
      <w:rFonts w:ascii="Times New Roman" w:hAnsi="Times New Roman"/>
      <w:color w:val="000000" w:themeColor="text1"/>
      <w:szCs w:val="22"/>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FigureCaption">
    <w:name w:val="Figure Caption"/>
    <w:next w:val="Normal"/>
    <w:uiPriority w:val="13"/>
    <w:qFormat/>
    <w:rsid w:val="00D5359F"/>
    <w:pPr>
      <w:numPr>
        <w:numId w:val="3"/>
      </w:numPr>
      <w:ind w:right="1701"/>
    </w:pPr>
    <w:rPr>
      <w:rFonts w:ascii="Times New Roman" w:eastAsia="Times New Roman" w:hAnsi="Times New Roman" w:cs="Times New Roman"/>
      <w:sz w:val="20"/>
      <w:szCs w:val="20"/>
      <w:lang w:val="en-GB"/>
    </w:rPr>
  </w:style>
  <w:style w:type="paragraph" w:styleId="DocumentMap">
    <w:name w:val="Document Map"/>
    <w:basedOn w:val="Normal"/>
    <w:link w:val="DocumentMapChar"/>
    <w:uiPriority w:val="99"/>
    <w:semiHidden/>
    <w:unhideWhenUsed/>
    <w:rsid w:val="00D5359F"/>
  </w:style>
  <w:style w:type="character" w:customStyle="1" w:styleId="DocumentMapChar">
    <w:name w:val="Document Map Char"/>
    <w:basedOn w:val="DefaultParagraphFont"/>
    <w:link w:val="DocumentMap"/>
    <w:uiPriority w:val="99"/>
    <w:semiHidden/>
    <w:rsid w:val="00D5359F"/>
    <w:rPr>
      <w:rFonts w:ascii="Times New Roman" w:hAnsi="Times New Roman" w:cs="Times New Roman"/>
      <w:lang w:val="en-GB"/>
    </w:rPr>
  </w:style>
  <w:style w:type="paragraph" w:customStyle="1" w:styleId="p">
    <w:name w:val="p"/>
    <w:basedOn w:val="Normal"/>
    <w:rsid w:val="00D5359F"/>
    <w:pPr>
      <w:spacing w:before="100" w:beforeAutospacing="1" w:after="100" w:afterAutospacing="1"/>
    </w:pPr>
    <w:rPr>
      <w:rFonts w:eastAsia="Times New Roman"/>
      <w:lang w:eastAsia="en-GB"/>
    </w:rPr>
  </w:style>
  <w:style w:type="paragraph" w:styleId="TOC3">
    <w:name w:val="toc 3"/>
    <w:basedOn w:val="Normal"/>
    <w:next w:val="Normal"/>
    <w:autoRedefine/>
    <w:uiPriority w:val="39"/>
    <w:unhideWhenUsed/>
    <w:rsid w:val="00D5359F"/>
    <w:pPr>
      <w:spacing w:after="100"/>
      <w:ind w:left="480"/>
    </w:pPr>
    <w:rPr>
      <w:rFonts w:eastAsia="Arial Unicode MS" w:cstheme="minorBidi"/>
    </w:rPr>
  </w:style>
  <w:style w:type="paragraph" w:styleId="TOC4">
    <w:name w:val="toc 4"/>
    <w:basedOn w:val="Normal"/>
    <w:next w:val="Normal"/>
    <w:autoRedefine/>
    <w:uiPriority w:val="39"/>
    <w:unhideWhenUsed/>
    <w:rsid w:val="00D5359F"/>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D5359F"/>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D5359F"/>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D5359F"/>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D5359F"/>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D5359F"/>
    <w:pPr>
      <w:spacing w:after="100" w:line="259" w:lineRule="auto"/>
      <w:ind w:left="1760"/>
    </w:pPr>
    <w:rPr>
      <w:rFonts w:asciiTheme="minorHAnsi" w:eastAsiaTheme="minorEastAsia" w:hAnsiTheme="minorHAnsi" w:cstheme="minorBidi"/>
      <w:sz w:val="22"/>
      <w:szCs w:val="22"/>
      <w:lang w:eastAsia="en-GB"/>
    </w:rPr>
  </w:style>
  <w:style w:type="table" w:customStyle="1" w:styleId="PlainTable22">
    <w:name w:val="Plain Table 22"/>
    <w:basedOn w:val="TableNormal"/>
    <w:uiPriority w:val="42"/>
    <w:rsid w:val="00D5359F"/>
    <w:rPr>
      <w:sz w:val="22"/>
      <w:szCs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2">
    <w:name w:val="List Table 6 Colorful2"/>
    <w:basedOn w:val="TableNormal"/>
    <w:uiPriority w:val="51"/>
    <w:rsid w:val="00D5359F"/>
    <w:rPr>
      <w:rFonts w:ascii="Times New Roman" w:hAnsi="Times New Roman"/>
      <w:color w:val="000000" w:themeColor="text1"/>
      <w:szCs w:val="22"/>
      <w:lang w:val="en-GB"/>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styleId="HTMLPreformatted">
    <w:name w:val="HTML Preformatted"/>
    <w:basedOn w:val="Normal"/>
    <w:link w:val="HTMLPreformattedChar"/>
    <w:uiPriority w:val="99"/>
    <w:unhideWhenUsed/>
    <w:rsid w:val="00D53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5359F"/>
    <w:rPr>
      <w:rFonts w:ascii="Courier New" w:hAnsi="Courier New" w:cs="Courier New"/>
      <w:sz w:val="20"/>
      <w:szCs w:val="20"/>
      <w:lang w:val="en-GB"/>
    </w:rPr>
  </w:style>
  <w:style w:type="character" w:customStyle="1" w:styleId="kwd">
    <w:name w:val="kwd"/>
    <w:basedOn w:val="DefaultParagraphFont"/>
    <w:rsid w:val="00D5359F"/>
  </w:style>
  <w:style w:type="character" w:customStyle="1" w:styleId="pln">
    <w:name w:val="pln"/>
    <w:basedOn w:val="DefaultParagraphFont"/>
    <w:rsid w:val="00D5359F"/>
  </w:style>
  <w:style w:type="character" w:customStyle="1" w:styleId="typ">
    <w:name w:val="typ"/>
    <w:basedOn w:val="DefaultParagraphFont"/>
    <w:rsid w:val="00D5359F"/>
  </w:style>
  <w:style w:type="character" w:customStyle="1" w:styleId="pun">
    <w:name w:val="pun"/>
    <w:basedOn w:val="DefaultParagraphFont"/>
    <w:rsid w:val="00D5359F"/>
  </w:style>
  <w:style w:type="character" w:customStyle="1" w:styleId="str">
    <w:name w:val="str"/>
    <w:basedOn w:val="DefaultParagraphFont"/>
    <w:rsid w:val="00D5359F"/>
  </w:style>
  <w:style w:type="character" w:customStyle="1" w:styleId="com">
    <w:name w:val="com"/>
    <w:basedOn w:val="DefaultParagraphFont"/>
    <w:rsid w:val="00D5359F"/>
  </w:style>
  <w:style w:type="character" w:customStyle="1" w:styleId="lit">
    <w:name w:val="lit"/>
    <w:basedOn w:val="DefaultParagraphFont"/>
    <w:rsid w:val="00D5359F"/>
  </w:style>
  <w:style w:type="table" w:customStyle="1" w:styleId="ListTable6Colorful-Accent31">
    <w:name w:val="List Table 6 Colorful - Accent 31"/>
    <w:basedOn w:val="TableNormal"/>
    <w:uiPriority w:val="51"/>
    <w:rsid w:val="00D5359F"/>
    <w:rPr>
      <w:color w:val="7B7B7B" w:themeColor="accent3" w:themeShade="BF"/>
      <w:sz w:val="22"/>
      <w:szCs w:val="22"/>
      <w:lang w:val="en-GB"/>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SpacingChar">
    <w:name w:val="No Spacing Char"/>
    <w:aliases w:val="Paras Formatting Char"/>
    <w:basedOn w:val="DefaultParagraphFont"/>
    <w:link w:val="NoSpacing"/>
    <w:uiPriority w:val="1"/>
    <w:rsid w:val="00D5359F"/>
    <w:rPr>
      <w:rFonts w:ascii="Times New Roman" w:eastAsia="Arial Unicode MS" w:hAnsi="Times New Roman"/>
      <w:i/>
      <w:lang w:val="en-GB"/>
    </w:rPr>
  </w:style>
  <w:style w:type="paragraph" w:customStyle="1" w:styleId="CaseStudyHeading">
    <w:name w:val="Case Study Heading"/>
    <w:basedOn w:val="Normal"/>
    <w:autoRedefine/>
    <w:rsid w:val="00D5359F"/>
    <w:pPr>
      <w:spacing w:before="120" w:after="120" w:line="168" w:lineRule="auto"/>
    </w:pPr>
    <w:rPr>
      <w:rFonts w:ascii="Calibri" w:eastAsiaTheme="minorEastAsia" w:hAnsi="Calibri" w:cstheme="minorBidi"/>
      <w:b/>
      <w:caps/>
      <w:sz w:val="44"/>
      <w:szCs w:val="28"/>
      <w:lang w:eastAsia="ja-JP"/>
    </w:rPr>
  </w:style>
  <w:style w:type="paragraph" w:customStyle="1" w:styleId="WhereWhenWho">
    <w:name w:val="Where When Who"/>
    <w:basedOn w:val="Normal"/>
    <w:autoRedefine/>
    <w:rsid w:val="00D5359F"/>
    <w:pPr>
      <w:spacing w:line="192" w:lineRule="auto"/>
    </w:pPr>
    <w:rPr>
      <w:rFonts w:ascii="Calibri" w:eastAsiaTheme="minorEastAsia" w:hAnsi="Calibri" w:cstheme="minorBidi"/>
      <w:caps/>
      <w:lang w:eastAsia="ja-JP"/>
    </w:rPr>
  </w:style>
  <w:style w:type="paragraph" w:customStyle="1" w:styleId="WhereWhenWhoText">
    <w:name w:val="Where When Who Text"/>
    <w:basedOn w:val="WhereWhenWho"/>
    <w:autoRedefine/>
    <w:rsid w:val="00D5359F"/>
    <w:rPr>
      <w:b/>
    </w:rPr>
  </w:style>
  <w:style w:type="paragraph" w:customStyle="1" w:styleId="CaseStudyBodyText">
    <w:name w:val="Case Study Body Text"/>
    <w:basedOn w:val="Normal"/>
    <w:rsid w:val="00D5359F"/>
    <w:pPr>
      <w:spacing w:after="480"/>
    </w:pPr>
    <w:rPr>
      <w:rFonts w:ascii="Calibri" w:eastAsiaTheme="minorEastAsia" w:hAnsi="Calibri" w:cstheme="minorBidi"/>
      <w:lang w:eastAsia="ja-JP"/>
    </w:rPr>
  </w:style>
  <w:style w:type="paragraph" w:customStyle="1" w:styleId="CaseStudyBodyTextHeaders">
    <w:name w:val="Case Study Body Text Headers"/>
    <w:basedOn w:val="CaseStudyBodyText"/>
    <w:autoRedefine/>
    <w:rsid w:val="00D5359F"/>
    <w:pPr>
      <w:spacing w:after="100"/>
    </w:pPr>
    <w:rPr>
      <w:b/>
      <w:caps/>
      <w:noProof/>
      <w:sz w:val="30"/>
      <w:lang w:eastAsia="en-US"/>
    </w:rPr>
  </w:style>
  <w:style w:type="paragraph" w:customStyle="1" w:styleId="QuoteStyle">
    <w:name w:val="Quote Style"/>
    <w:basedOn w:val="Normal"/>
    <w:autoRedefine/>
    <w:rsid w:val="00D5359F"/>
    <w:pPr>
      <w:spacing w:after="480" w:line="192" w:lineRule="auto"/>
      <w:ind w:hanging="56"/>
    </w:pPr>
    <w:rPr>
      <w:rFonts w:ascii="Calibri" w:eastAsiaTheme="minorEastAsia" w:hAnsi="Calibri" w:cstheme="minorBidi"/>
      <w:lang w:eastAsia="ja-JP"/>
    </w:rPr>
  </w:style>
  <w:style w:type="paragraph" w:customStyle="1" w:styleId="QuoteeStyle">
    <w:name w:val="Quotee Style"/>
    <w:basedOn w:val="QuoteStyle"/>
    <w:autoRedefine/>
    <w:rsid w:val="00D5359F"/>
    <w:pPr>
      <w:spacing w:after="120"/>
      <w:ind w:firstLine="0"/>
    </w:pPr>
    <w:rPr>
      <w:b/>
    </w:rPr>
  </w:style>
  <w:style w:type="table" w:customStyle="1" w:styleId="GridTable7Colorful-Accent11">
    <w:name w:val="Grid Table 7 Colorful - Accent 11"/>
    <w:basedOn w:val="TableNormal"/>
    <w:uiPriority w:val="52"/>
    <w:rsid w:val="00D5359F"/>
    <w:rPr>
      <w:color w:val="2F5496" w:themeColor="accent1" w:themeShade="BF"/>
      <w:sz w:val="22"/>
      <w:szCs w:val="22"/>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customStyle="1" w:styleId="Default">
    <w:name w:val="Default"/>
    <w:rsid w:val="00D5359F"/>
    <w:pPr>
      <w:autoSpaceDE w:val="0"/>
      <w:autoSpaceDN w:val="0"/>
      <w:adjustRightInd w:val="0"/>
    </w:pPr>
    <w:rPr>
      <w:rFonts w:ascii="Calibri" w:eastAsia="Calibri" w:hAnsi="Calibri" w:cs="Calibri"/>
      <w:color w:val="000000"/>
      <w:lang w:val="en-GB"/>
    </w:rPr>
  </w:style>
  <w:style w:type="character" w:customStyle="1" w:styleId="A6">
    <w:name w:val="A6"/>
    <w:uiPriority w:val="99"/>
    <w:rsid w:val="00D5359F"/>
    <w:rPr>
      <w:rFonts w:cs="Univers 55"/>
      <w:color w:val="000000"/>
      <w:sz w:val="16"/>
      <w:szCs w:val="16"/>
    </w:rPr>
  </w:style>
  <w:style w:type="paragraph" w:customStyle="1" w:styleId="Pa0">
    <w:name w:val="Pa0"/>
    <w:basedOn w:val="Default"/>
    <w:next w:val="Default"/>
    <w:uiPriority w:val="99"/>
    <w:rsid w:val="00D5359F"/>
    <w:pPr>
      <w:spacing w:line="241" w:lineRule="atLeast"/>
    </w:pPr>
    <w:rPr>
      <w:rFonts w:ascii="Univers 45 Light" w:hAnsi="Univers 45 Light" w:cs="Times New Roman"/>
      <w:color w:val="auto"/>
    </w:rPr>
  </w:style>
  <w:style w:type="character" w:customStyle="1" w:styleId="A0">
    <w:name w:val="A0"/>
    <w:uiPriority w:val="99"/>
    <w:rsid w:val="00D5359F"/>
    <w:rPr>
      <w:rFonts w:cs="Univers 45 Light"/>
      <w:b/>
      <w:bCs/>
      <w:color w:val="000000"/>
      <w:sz w:val="72"/>
      <w:szCs w:val="72"/>
    </w:rPr>
  </w:style>
  <w:style w:type="character" w:customStyle="1" w:styleId="personname">
    <w:name w:val="person_name"/>
    <w:basedOn w:val="DefaultParagraphFont"/>
    <w:rsid w:val="00D5359F"/>
  </w:style>
  <w:style w:type="paragraph" w:customStyle="1" w:styleId="specissuetitle">
    <w:name w:val="specissuetitle"/>
    <w:basedOn w:val="Normal"/>
    <w:rsid w:val="00D5359F"/>
    <w:pPr>
      <w:spacing w:before="100" w:beforeAutospacing="1" w:after="100" w:afterAutospacing="1"/>
    </w:pPr>
    <w:rPr>
      <w:rFonts w:eastAsia="Times New Roman"/>
      <w:sz w:val="22"/>
      <w:lang w:eastAsia="en-GB"/>
    </w:rPr>
  </w:style>
  <w:style w:type="character" w:customStyle="1" w:styleId="A3">
    <w:name w:val="A3"/>
    <w:uiPriority w:val="99"/>
    <w:rsid w:val="00D5359F"/>
    <w:rPr>
      <w:rFonts w:cs="Goudy Old Style"/>
      <w:color w:val="000000"/>
      <w:sz w:val="21"/>
      <w:szCs w:val="21"/>
    </w:rPr>
  </w:style>
  <w:style w:type="character" w:customStyle="1" w:styleId="fn">
    <w:name w:val="fn"/>
    <w:basedOn w:val="DefaultParagraphFont"/>
    <w:rsid w:val="00D5359F"/>
  </w:style>
  <w:style w:type="character" w:customStyle="1" w:styleId="Subtitle1">
    <w:name w:val="Subtitle1"/>
    <w:basedOn w:val="DefaultParagraphFont"/>
    <w:rsid w:val="00D5359F"/>
  </w:style>
  <w:style w:type="paragraph" w:customStyle="1" w:styleId="volissue">
    <w:name w:val="volissue"/>
    <w:basedOn w:val="Normal"/>
    <w:rsid w:val="00D5359F"/>
    <w:pPr>
      <w:spacing w:before="100" w:beforeAutospacing="1" w:after="100" w:afterAutospacing="1"/>
    </w:pPr>
    <w:rPr>
      <w:rFonts w:eastAsia="Times New Roman"/>
      <w:sz w:val="22"/>
      <w:lang w:eastAsia="en-GB"/>
    </w:rPr>
  </w:style>
  <w:style w:type="paragraph" w:customStyle="1" w:styleId="Pa1">
    <w:name w:val="Pa1"/>
    <w:basedOn w:val="Default"/>
    <w:next w:val="Default"/>
    <w:uiPriority w:val="99"/>
    <w:rsid w:val="00D5359F"/>
    <w:pPr>
      <w:spacing w:line="241" w:lineRule="atLeast"/>
    </w:pPr>
    <w:rPr>
      <w:rFonts w:ascii="Goudy Old Style" w:hAnsi="Goudy Old Style" w:cs="Times New Roman"/>
      <w:color w:val="auto"/>
    </w:rPr>
  </w:style>
  <w:style w:type="character" w:customStyle="1" w:styleId="A1">
    <w:name w:val="A1"/>
    <w:uiPriority w:val="99"/>
    <w:rsid w:val="00D5359F"/>
    <w:rPr>
      <w:rFonts w:cs="Goudy Old Style"/>
      <w:color w:val="000000"/>
      <w:sz w:val="19"/>
      <w:szCs w:val="19"/>
    </w:rPr>
  </w:style>
  <w:style w:type="character" w:customStyle="1" w:styleId="a-size-large">
    <w:name w:val="a-size-large"/>
    <w:basedOn w:val="DefaultParagraphFont"/>
    <w:rsid w:val="00D5359F"/>
  </w:style>
  <w:style w:type="character" w:customStyle="1" w:styleId="interref">
    <w:name w:val="interref"/>
    <w:basedOn w:val="DefaultParagraphFont"/>
    <w:rsid w:val="00D5359F"/>
  </w:style>
  <w:style w:type="character" w:customStyle="1" w:styleId="nlmstring-name">
    <w:name w:val="nlm_string-name"/>
    <w:basedOn w:val="DefaultParagraphFont"/>
    <w:rsid w:val="00D5359F"/>
  </w:style>
  <w:style w:type="character" w:customStyle="1" w:styleId="st">
    <w:name w:val="st"/>
    <w:basedOn w:val="DefaultParagraphFont"/>
    <w:rsid w:val="00D5359F"/>
  </w:style>
  <w:style w:type="paragraph" w:styleId="BodyText">
    <w:name w:val="Body Text"/>
    <w:basedOn w:val="Normal"/>
    <w:link w:val="BodyTextChar"/>
    <w:semiHidden/>
    <w:unhideWhenUsed/>
    <w:rsid w:val="00D5359F"/>
    <w:pPr>
      <w:numPr>
        <w:ilvl w:val="12"/>
      </w:numPr>
    </w:pPr>
    <w:rPr>
      <w:rFonts w:ascii="Arial" w:eastAsia="Times New Roman" w:hAnsi="Arial"/>
      <w:b/>
      <w:sz w:val="22"/>
      <w:szCs w:val="20"/>
    </w:rPr>
  </w:style>
  <w:style w:type="character" w:customStyle="1" w:styleId="BodyTextChar">
    <w:name w:val="Body Text Char"/>
    <w:basedOn w:val="DefaultParagraphFont"/>
    <w:link w:val="BodyText"/>
    <w:semiHidden/>
    <w:rsid w:val="00D5359F"/>
    <w:rPr>
      <w:rFonts w:ascii="Arial" w:eastAsia="Times New Roman" w:hAnsi="Arial" w:cs="Times New Roman"/>
      <w:b/>
      <w:sz w:val="22"/>
      <w:szCs w:val="20"/>
      <w:lang w:val="en-GB"/>
    </w:rPr>
  </w:style>
  <w:style w:type="character" w:customStyle="1" w:styleId="pafhovertarget">
    <w:name w:val="p_afhovertarget"/>
    <w:basedOn w:val="DefaultParagraphFont"/>
    <w:rsid w:val="00D5359F"/>
  </w:style>
  <w:style w:type="table" w:customStyle="1" w:styleId="GridTable7Colorful-Accent51">
    <w:name w:val="Grid Table 7 Colorful - Accent 51"/>
    <w:basedOn w:val="TableNormal"/>
    <w:uiPriority w:val="52"/>
    <w:rsid w:val="00D5359F"/>
    <w:rPr>
      <w:color w:val="2E74B5" w:themeColor="accent5" w:themeShade="BF"/>
      <w:sz w:val="22"/>
      <w:szCs w:val="22"/>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MediumGrid2-Accent3">
    <w:name w:val="Medium Grid 2 Accent 3"/>
    <w:basedOn w:val="TableNormal"/>
    <w:uiPriority w:val="68"/>
    <w:rsid w:val="00D5359F"/>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olorfulGrid-Accent1">
    <w:name w:val="Colorful Grid Accent 1"/>
    <w:basedOn w:val="TableNormal"/>
    <w:uiPriority w:val="73"/>
    <w:rsid w:val="00D5359F"/>
    <w:rPr>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paragraph" w:styleId="Bibliography">
    <w:name w:val="Bibliography"/>
    <w:basedOn w:val="Normal"/>
    <w:next w:val="Normal"/>
    <w:uiPriority w:val="37"/>
    <w:unhideWhenUsed/>
    <w:rsid w:val="00D5359F"/>
    <w:pPr>
      <w:spacing w:after="200" w:line="276" w:lineRule="auto"/>
    </w:pPr>
    <w:rPr>
      <w:rFonts w:asciiTheme="minorHAnsi" w:hAnsiTheme="minorHAnsi" w:cstheme="minorBidi"/>
      <w:sz w:val="22"/>
      <w:szCs w:val="22"/>
    </w:rPr>
  </w:style>
  <w:style w:type="table" w:customStyle="1" w:styleId="LightShading1">
    <w:name w:val="Light Shading1"/>
    <w:basedOn w:val="TableNormal"/>
    <w:uiPriority w:val="60"/>
    <w:rsid w:val="00D5359F"/>
    <w:rPr>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Table7Colorful-Accent31">
    <w:name w:val="List Table 7 Colorful - Accent 31"/>
    <w:basedOn w:val="TableNormal"/>
    <w:uiPriority w:val="52"/>
    <w:rsid w:val="00D5359F"/>
    <w:rPr>
      <w:color w:val="7B7B7B" w:themeColor="accent3" w:themeShade="BF"/>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1">
    <w:name w:val="Grid Table 41"/>
    <w:basedOn w:val="TableNormal"/>
    <w:uiPriority w:val="49"/>
    <w:rsid w:val="00D5359F"/>
    <w:rPr>
      <w:sz w:val="22"/>
      <w:szCs w:val="22"/>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31">
    <w:name w:val="List Table 31"/>
    <w:basedOn w:val="TableNormal"/>
    <w:uiPriority w:val="48"/>
    <w:rsid w:val="00D5359F"/>
    <w:rPr>
      <w:sz w:val="22"/>
      <w:szCs w:val="22"/>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1">
    <w:name w:val="p1"/>
    <w:basedOn w:val="Normal"/>
    <w:rsid w:val="00D5359F"/>
    <w:pPr>
      <w:spacing w:after="0" w:line="240" w:lineRule="auto"/>
      <w:jc w:val="left"/>
    </w:pPr>
    <w:rPr>
      <w:rFonts w:ascii="Helvetica" w:hAnsi="Helvetica"/>
      <w:sz w:val="18"/>
      <w:szCs w:val="18"/>
      <w:lang w:val="en-US"/>
    </w:rPr>
  </w:style>
  <w:style w:type="table" w:styleId="GridTable1Light-Accent6">
    <w:name w:val="Grid Table 1 Light Accent 6"/>
    <w:basedOn w:val="TableNormal"/>
    <w:uiPriority w:val="46"/>
    <w:rsid w:val="00D5359F"/>
    <w:rPr>
      <w:sz w:val="22"/>
      <w:szCs w:val="22"/>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D5359F"/>
    <w:pPr>
      <w:pBdr>
        <w:bottom w:val="single" w:sz="6" w:space="1" w:color="auto"/>
      </w:pBdr>
      <w:spacing w:after="0"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5359F"/>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D5359F"/>
    <w:pPr>
      <w:pBdr>
        <w:top w:val="single" w:sz="6" w:space="1" w:color="auto"/>
      </w:pBdr>
      <w:spacing w:after="0"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5359F"/>
    <w:rPr>
      <w:rFonts w:ascii="Arial" w:hAnsi="Arial" w:cs="Arial"/>
      <w:vanish/>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410541">
      <w:bodyDiv w:val="1"/>
      <w:marLeft w:val="0"/>
      <w:marRight w:val="0"/>
      <w:marTop w:val="0"/>
      <w:marBottom w:val="0"/>
      <w:divBdr>
        <w:top w:val="none" w:sz="0" w:space="0" w:color="auto"/>
        <w:left w:val="none" w:sz="0" w:space="0" w:color="auto"/>
        <w:bottom w:val="none" w:sz="0" w:space="0" w:color="auto"/>
        <w:right w:val="none" w:sz="0" w:space="0" w:color="auto"/>
      </w:divBdr>
    </w:div>
    <w:div w:id="1619802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047878-1447-2E4A-83D8-415AB14E9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35891</Words>
  <Characters>204580</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
    </vt:vector>
  </TitlesOfParts>
  <Company>University of the West of England</Company>
  <LinksUpToDate>false</LinksUpToDate>
  <CharactersWithSpaces>239992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Olúgbénga Akinadé</dc:creator>
  <cp:keywords/>
  <dc:description/>
  <cp:lastModifiedBy>Olugbenga Akinade</cp:lastModifiedBy>
  <cp:revision>3</cp:revision>
  <cp:lastPrinted>2018-05-29T10:15:00Z</cp:lastPrinted>
  <dcterms:created xsi:type="dcterms:W3CDTF">2019-03-15T15:58:00Z</dcterms:created>
  <dcterms:modified xsi:type="dcterms:W3CDTF">2019-03-15T16:04:00Z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http://www.zotero.org/styles/european-journal-of-operational-research</vt:lpwstr>
  </property>
  <property fmtid="{D5CDD505-2E9C-101B-9397-08002B2CF9AE}" pid="7" name="Mendeley Recent Style Name 2_1">
    <vt:lpwstr>European Journal of Operational Research</vt:lpwstr>
  </property>
  <property fmtid="{D5CDD505-2E9C-101B-9397-08002B2CF9AE}" pid="8" name="Mendeley Recent Style Id 3_1">
    <vt:lpwstr>http://www.zotero.org/styles/international-journal-of-production-economics</vt:lpwstr>
  </property>
  <property fmtid="{D5CDD505-2E9C-101B-9397-08002B2CF9AE}" pid="9" name="Mendeley Recent Style Name 3_1">
    <vt:lpwstr>International Journal of Production Economics</vt:lpwstr>
  </property>
  <property fmtid="{D5CDD505-2E9C-101B-9397-08002B2CF9AE}" pid="10" name="Mendeley Recent Style Id 4_1">
    <vt:lpwstr>http://www.zotero.org/styles/journal-of-cleaner-production</vt:lpwstr>
  </property>
  <property fmtid="{D5CDD505-2E9C-101B-9397-08002B2CF9AE}" pid="11" name="Mendeley Recent Style Name 4_1">
    <vt:lpwstr>Journal of Cleaner Production</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http://www.zotero.org/styles/resources-conservation-and-recycling</vt:lpwstr>
  </property>
  <property fmtid="{D5CDD505-2E9C-101B-9397-08002B2CF9AE}" pid="17" name="Mendeley Recent Style Name 7_1">
    <vt:lpwstr>Resources, Conservation &amp; Recycling</vt:lpwstr>
  </property>
  <property fmtid="{D5CDD505-2E9C-101B-9397-08002B2CF9AE}" pid="18" name="Mendeley Recent Style Id 8_1">
    <vt:lpwstr>http://www.zotero.org/styles/harvard-university-of-the-west-of-england</vt:lpwstr>
  </property>
  <property fmtid="{D5CDD505-2E9C-101B-9397-08002B2CF9AE}" pid="19" name="Mendeley Recent Style Name 8_1">
    <vt:lpwstr>University of the West of England (Bristol) - Harvard</vt:lpwstr>
  </property>
  <property fmtid="{D5CDD505-2E9C-101B-9397-08002B2CF9AE}" pid="20" name="Mendeley Recent Style Id 9_1">
    <vt:lpwstr>http://www.zotero.org/styles/waste-management</vt:lpwstr>
  </property>
  <property fmtid="{D5CDD505-2E9C-101B-9397-08002B2CF9AE}" pid="21" name="Mendeley Recent Style Name 9_1">
    <vt:lpwstr>Waste Management</vt:lpwstr>
  </property>
  <property fmtid="{D5CDD505-2E9C-101B-9397-08002B2CF9AE}" pid="22" name="Mendeley Document_1">
    <vt:lpwstr>True</vt:lpwstr>
  </property>
  <property fmtid="{D5CDD505-2E9C-101B-9397-08002B2CF9AE}" pid="23" name="Mendeley Unique User Id_1">
    <vt:lpwstr>e575db94-94e4-3100-976e-95cede023cef</vt:lpwstr>
  </property>
  <property fmtid="{D5CDD505-2E9C-101B-9397-08002B2CF9AE}" pid="24" name="Mendeley Citation Style_1">
    <vt:lpwstr>http://www.zotero.org/styles/international-journal-of-production-economics</vt:lpwstr>
  </property>
</Properties>
</file>