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19DD" w14:textId="2D330658" w:rsidR="00C400F3" w:rsidRPr="009D2EFA" w:rsidRDefault="00C400F3" w:rsidP="009D2EFA">
      <w:pPr>
        <w:spacing w:after="0" w:line="360" w:lineRule="auto"/>
        <w:jc w:val="center"/>
        <w:rPr>
          <w:rFonts w:ascii="Times New Roman" w:hAnsi="Times New Roman" w:cs="Times New Roman"/>
          <w:b/>
          <w:caps/>
          <w:color w:val="000000" w:themeColor="text1"/>
          <w:sz w:val="28"/>
          <w:szCs w:val="24"/>
        </w:rPr>
      </w:pPr>
      <w:bookmarkStart w:id="0" w:name="_Toc492309178"/>
      <w:r w:rsidRPr="009D2EFA">
        <w:rPr>
          <w:rFonts w:ascii="Times New Roman" w:hAnsi="Times New Roman" w:cs="Times New Roman"/>
          <w:b/>
          <w:caps/>
          <w:color w:val="000000" w:themeColor="text1"/>
          <w:sz w:val="28"/>
          <w:szCs w:val="24"/>
        </w:rPr>
        <w:t>The Obligation to Investigate after a Potential Breach of Article 2 ECHR in an Extra-territorial Context: Mission Impossible for the Armed Forces?</w:t>
      </w:r>
    </w:p>
    <w:p w14:paraId="4E776BE9" w14:textId="071F4A98" w:rsidR="00316A45" w:rsidRDefault="00316A45" w:rsidP="00670537">
      <w:pPr>
        <w:spacing w:after="0" w:line="360" w:lineRule="auto"/>
        <w:rPr>
          <w:rFonts w:ascii="Times New Roman" w:hAnsi="Times New Roman" w:cs="Times New Roman"/>
          <w:color w:val="000000" w:themeColor="text1"/>
          <w:sz w:val="24"/>
          <w:szCs w:val="24"/>
        </w:rPr>
      </w:pPr>
    </w:p>
    <w:p w14:paraId="567D59C5" w14:textId="21E9CF62" w:rsidR="009D2EFA" w:rsidRDefault="009D2EFA" w:rsidP="00670537">
      <w:pPr>
        <w:spacing w:after="0" w:line="360" w:lineRule="auto"/>
        <w:rPr>
          <w:rFonts w:ascii="Times New Roman" w:hAnsi="Times New Roman" w:cs="Times New Roman"/>
          <w:color w:val="000000" w:themeColor="text1"/>
          <w:sz w:val="24"/>
          <w:szCs w:val="24"/>
        </w:rPr>
      </w:pPr>
    </w:p>
    <w:p w14:paraId="21C59CE6" w14:textId="0A0473F8" w:rsidR="009D2EFA" w:rsidRDefault="009D2EFA" w:rsidP="00670537">
      <w:pPr>
        <w:spacing w:after="0" w:line="360" w:lineRule="auto"/>
        <w:rPr>
          <w:rFonts w:ascii="Times New Roman" w:hAnsi="Times New Roman" w:cs="Times New Roman"/>
          <w:b/>
          <w:smallCaps/>
          <w:color w:val="000000" w:themeColor="text1"/>
          <w:sz w:val="24"/>
          <w:szCs w:val="24"/>
        </w:rPr>
      </w:pPr>
      <w:proofErr w:type="spellStart"/>
      <w:r w:rsidRPr="009D2EFA">
        <w:rPr>
          <w:rFonts w:ascii="Times New Roman" w:hAnsi="Times New Roman" w:cs="Times New Roman"/>
          <w:b/>
          <w:smallCaps/>
          <w:color w:val="000000" w:themeColor="text1"/>
          <w:sz w:val="24"/>
          <w:szCs w:val="24"/>
        </w:rPr>
        <w:t>Noëlle</w:t>
      </w:r>
      <w:proofErr w:type="spellEnd"/>
      <w:r w:rsidRPr="009D2EFA">
        <w:rPr>
          <w:rFonts w:ascii="Times New Roman" w:hAnsi="Times New Roman" w:cs="Times New Roman"/>
          <w:b/>
          <w:smallCaps/>
          <w:color w:val="000000" w:themeColor="text1"/>
          <w:sz w:val="24"/>
          <w:szCs w:val="24"/>
        </w:rPr>
        <w:t xml:space="preserve"> </w:t>
      </w:r>
      <w:proofErr w:type="spellStart"/>
      <w:r w:rsidRPr="009D2EFA">
        <w:rPr>
          <w:rFonts w:ascii="Times New Roman" w:hAnsi="Times New Roman" w:cs="Times New Roman"/>
          <w:b/>
          <w:smallCaps/>
          <w:color w:val="000000" w:themeColor="text1"/>
          <w:sz w:val="24"/>
          <w:szCs w:val="24"/>
        </w:rPr>
        <w:t>Quénivet</w:t>
      </w:r>
      <w:proofErr w:type="spellEnd"/>
      <w:r>
        <w:rPr>
          <w:rStyle w:val="FootnoteReference"/>
          <w:rFonts w:ascii="Times New Roman" w:hAnsi="Times New Roman" w:cs="Times New Roman"/>
          <w:b/>
          <w:smallCaps/>
          <w:color w:val="000000" w:themeColor="text1"/>
          <w:sz w:val="24"/>
          <w:szCs w:val="24"/>
        </w:rPr>
        <w:footnoteReference w:customMarkFollows="1" w:id="1"/>
        <w:t>*</w:t>
      </w:r>
    </w:p>
    <w:p w14:paraId="67E1AB63" w14:textId="77777777" w:rsidR="008241E7" w:rsidRPr="009D2EFA" w:rsidRDefault="008241E7" w:rsidP="00670537">
      <w:pPr>
        <w:spacing w:after="0" w:line="360" w:lineRule="auto"/>
        <w:rPr>
          <w:rFonts w:ascii="Times New Roman" w:hAnsi="Times New Roman" w:cs="Times New Roman"/>
          <w:b/>
          <w:smallCaps/>
          <w:color w:val="000000" w:themeColor="text1"/>
          <w:sz w:val="24"/>
          <w:szCs w:val="24"/>
        </w:rPr>
      </w:pPr>
    </w:p>
    <w:p w14:paraId="15A05106" w14:textId="5778DAF1" w:rsidR="00C400F3" w:rsidRPr="008241E7" w:rsidRDefault="00EB45FD" w:rsidP="00670537">
      <w:pPr>
        <w:spacing w:after="0" w:line="360" w:lineRule="auto"/>
        <w:rPr>
          <w:rStyle w:val="apple-converted-space"/>
          <w:rFonts w:ascii="Times New Roman" w:hAnsi="Times New Roman" w:cs="Times New Roman"/>
          <w:b/>
          <w:caps/>
          <w:color w:val="000000" w:themeColor="text1"/>
          <w:sz w:val="24"/>
          <w:szCs w:val="24"/>
        </w:rPr>
      </w:pPr>
      <w:r w:rsidRPr="008241E7">
        <w:rPr>
          <w:rStyle w:val="apple-converted-space"/>
          <w:rFonts w:ascii="Times New Roman" w:hAnsi="Times New Roman" w:cs="Times New Roman"/>
          <w:b/>
          <w:caps/>
          <w:color w:val="000000" w:themeColor="text1"/>
          <w:sz w:val="24"/>
          <w:szCs w:val="24"/>
        </w:rPr>
        <w:t>1</w:t>
      </w:r>
      <w:r w:rsidR="008241E7" w:rsidRPr="008241E7">
        <w:rPr>
          <w:rStyle w:val="apple-converted-space"/>
          <w:rFonts w:ascii="Times New Roman" w:hAnsi="Times New Roman" w:cs="Times New Roman"/>
          <w:b/>
          <w:caps/>
          <w:color w:val="000000" w:themeColor="text1"/>
          <w:sz w:val="24"/>
          <w:szCs w:val="24"/>
        </w:rPr>
        <w:t>.</w:t>
      </w:r>
      <w:r w:rsidR="00E9188D" w:rsidRPr="008241E7">
        <w:rPr>
          <w:rStyle w:val="apple-converted-space"/>
          <w:rFonts w:ascii="Times New Roman" w:hAnsi="Times New Roman" w:cs="Times New Roman"/>
          <w:b/>
          <w:caps/>
          <w:color w:val="000000" w:themeColor="text1"/>
          <w:sz w:val="24"/>
          <w:szCs w:val="24"/>
        </w:rPr>
        <w:t xml:space="preserve"> Introduction</w:t>
      </w:r>
      <w:bookmarkEnd w:id="0"/>
      <w:r w:rsidR="00C400F3" w:rsidRPr="008241E7">
        <w:rPr>
          <w:rStyle w:val="apple-converted-space"/>
          <w:rFonts w:ascii="Times New Roman" w:hAnsi="Times New Roman" w:cs="Times New Roman"/>
          <w:b/>
          <w:caps/>
          <w:color w:val="000000" w:themeColor="text1"/>
          <w:sz w:val="24"/>
          <w:szCs w:val="24"/>
        </w:rPr>
        <w:t xml:space="preserve"> </w:t>
      </w:r>
    </w:p>
    <w:p w14:paraId="2FCE0316" w14:textId="4C6A4595" w:rsidR="00835F62" w:rsidRPr="00DC1103" w:rsidRDefault="00C400F3" w:rsidP="00670537">
      <w:pPr>
        <w:spacing w:after="0" w:line="360" w:lineRule="auto"/>
        <w:rPr>
          <w:rFonts w:ascii="Times New Roman" w:hAnsi="Times New Roman" w:cs="Times New Roman"/>
          <w:color w:val="000000" w:themeColor="text1"/>
          <w:sz w:val="24"/>
          <w:szCs w:val="24"/>
          <w:shd w:val="clear" w:color="auto" w:fill="FFFFFF"/>
        </w:rPr>
      </w:pPr>
      <w:r w:rsidRPr="00490DD1">
        <w:rPr>
          <w:rStyle w:val="apple-converted-space"/>
          <w:rFonts w:ascii="Times New Roman" w:hAnsi="Times New Roman" w:cs="Times New Roman"/>
          <w:color w:val="000000" w:themeColor="text1"/>
          <w:sz w:val="24"/>
          <w:szCs w:val="24"/>
          <w:shd w:val="clear" w:color="auto" w:fill="FFFFFF"/>
        </w:rPr>
        <w:t>In the past few years</w:t>
      </w:r>
      <w:r w:rsidR="000A1460" w:rsidRPr="00490DD1">
        <w:rPr>
          <w:rStyle w:val="apple-converted-space"/>
          <w:rFonts w:ascii="Times New Roman" w:hAnsi="Times New Roman" w:cs="Times New Roman"/>
          <w:color w:val="000000" w:themeColor="text1"/>
          <w:sz w:val="24"/>
          <w:szCs w:val="24"/>
          <w:shd w:val="clear" w:color="auto" w:fill="FFFFFF"/>
        </w:rPr>
        <w:t>,</w:t>
      </w:r>
      <w:r w:rsidRPr="00490DD1">
        <w:rPr>
          <w:rStyle w:val="apple-converted-space"/>
          <w:rFonts w:ascii="Times New Roman" w:hAnsi="Times New Roman" w:cs="Times New Roman"/>
          <w:color w:val="000000" w:themeColor="text1"/>
          <w:sz w:val="24"/>
          <w:szCs w:val="24"/>
          <w:shd w:val="clear" w:color="auto" w:fill="FFFFFF"/>
        </w:rPr>
        <w:t xml:space="preserve"> the growing number of military operations</w:t>
      </w:r>
      <w:r w:rsidRPr="00490DD1">
        <w:rPr>
          <w:rStyle w:val="FootnoteReference"/>
          <w:rFonts w:ascii="Times New Roman" w:hAnsi="Times New Roman" w:cs="Times New Roman"/>
          <w:color w:val="000000" w:themeColor="text1"/>
          <w:sz w:val="24"/>
          <w:szCs w:val="24"/>
          <w:shd w:val="clear" w:color="auto" w:fill="FFFFFF"/>
        </w:rPr>
        <w:footnoteReference w:id="2"/>
      </w:r>
      <w:r w:rsidRPr="00490DD1">
        <w:rPr>
          <w:rStyle w:val="apple-converted-space"/>
          <w:rFonts w:ascii="Times New Roman" w:hAnsi="Times New Roman" w:cs="Times New Roman"/>
          <w:color w:val="000000" w:themeColor="text1"/>
          <w:sz w:val="24"/>
          <w:szCs w:val="24"/>
          <w:shd w:val="clear" w:color="auto" w:fill="FFFFFF"/>
        </w:rPr>
        <w:t xml:space="preserve"> conducted by States part</w:t>
      </w:r>
      <w:r w:rsidR="000A1460" w:rsidRPr="00490DD1">
        <w:rPr>
          <w:rStyle w:val="apple-converted-space"/>
          <w:rFonts w:ascii="Times New Roman" w:hAnsi="Times New Roman" w:cs="Times New Roman"/>
          <w:color w:val="000000" w:themeColor="text1"/>
          <w:sz w:val="24"/>
          <w:szCs w:val="24"/>
          <w:shd w:val="clear" w:color="auto" w:fill="FFFFFF"/>
        </w:rPr>
        <w:t>y</w:t>
      </w:r>
      <w:r w:rsidRPr="00490DD1">
        <w:rPr>
          <w:rStyle w:val="apple-converted-space"/>
          <w:rFonts w:ascii="Times New Roman" w:hAnsi="Times New Roman" w:cs="Times New Roman"/>
          <w:color w:val="000000" w:themeColor="text1"/>
          <w:sz w:val="24"/>
          <w:szCs w:val="24"/>
          <w:shd w:val="clear" w:color="auto" w:fill="FFFFFF"/>
        </w:rPr>
        <w:t xml:space="preserve"> to the European Convention on Human Rights (ECHR) abroad</w:t>
      </w:r>
      <w:r w:rsidR="000A1460" w:rsidRPr="00490DD1">
        <w:rPr>
          <w:rStyle w:val="apple-converted-space"/>
          <w:rFonts w:ascii="Times New Roman" w:hAnsi="Times New Roman" w:cs="Times New Roman"/>
          <w:color w:val="000000" w:themeColor="text1"/>
          <w:sz w:val="24"/>
          <w:szCs w:val="24"/>
          <w:shd w:val="clear" w:color="auto" w:fill="FFFFFF"/>
        </w:rPr>
        <w:t>,</w:t>
      </w:r>
      <w:r w:rsidRPr="00490DD1">
        <w:rPr>
          <w:rStyle w:val="apple-converted-space"/>
          <w:rFonts w:ascii="Times New Roman" w:hAnsi="Times New Roman" w:cs="Times New Roman"/>
          <w:color w:val="000000" w:themeColor="text1"/>
          <w:sz w:val="24"/>
          <w:szCs w:val="24"/>
          <w:shd w:val="clear" w:color="auto" w:fill="FFFFFF"/>
        </w:rPr>
        <w:t xml:space="preserve"> combined with a broad definition of the </w:t>
      </w:r>
      <w:r w:rsidR="004070B4" w:rsidRPr="00490DD1">
        <w:rPr>
          <w:rStyle w:val="apple-converted-space"/>
          <w:rFonts w:ascii="Times New Roman" w:hAnsi="Times New Roman" w:cs="Times New Roman"/>
          <w:color w:val="000000" w:themeColor="text1"/>
          <w:sz w:val="24"/>
          <w:szCs w:val="24"/>
          <w:shd w:val="clear" w:color="auto" w:fill="FFFFFF"/>
        </w:rPr>
        <w:t>notion</w:t>
      </w:r>
      <w:r w:rsidRPr="00490DD1">
        <w:rPr>
          <w:rStyle w:val="apple-converted-space"/>
          <w:rFonts w:ascii="Times New Roman" w:hAnsi="Times New Roman" w:cs="Times New Roman"/>
          <w:color w:val="000000" w:themeColor="text1"/>
          <w:sz w:val="24"/>
          <w:szCs w:val="24"/>
          <w:shd w:val="clear" w:color="auto" w:fill="FFFFFF"/>
        </w:rPr>
        <w:t xml:space="preserve"> of jurisdiction under Article 1 ECHR</w:t>
      </w:r>
      <w:r w:rsidR="000A1460" w:rsidRPr="00490DD1">
        <w:rPr>
          <w:rStyle w:val="apple-converted-space"/>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3"/>
      </w:r>
      <w:r w:rsidRPr="00490DD1">
        <w:rPr>
          <w:rStyle w:val="apple-converted-space"/>
          <w:rFonts w:ascii="Times New Roman" w:hAnsi="Times New Roman" w:cs="Times New Roman"/>
          <w:color w:val="000000" w:themeColor="text1"/>
          <w:sz w:val="24"/>
          <w:szCs w:val="24"/>
          <w:shd w:val="clear" w:color="auto" w:fill="FFFFFF"/>
        </w:rPr>
        <w:t xml:space="preserve"> has led to a concomitant surge in cases brought before the European Court of Human Rights. </w:t>
      </w:r>
      <w:r w:rsidR="009853E7" w:rsidRPr="00490DD1">
        <w:rPr>
          <w:rStyle w:val="apple-converted-space"/>
          <w:rFonts w:ascii="Times New Roman" w:hAnsi="Times New Roman" w:cs="Times New Roman"/>
          <w:color w:val="000000" w:themeColor="text1"/>
          <w:sz w:val="24"/>
          <w:szCs w:val="24"/>
          <w:shd w:val="clear" w:color="auto" w:fill="FFFFFF"/>
        </w:rPr>
        <w:t xml:space="preserve">One of the contentious issues has been the challenges brought about by the application of </w:t>
      </w:r>
      <w:r w:rsidR="004179B2" w:rsidRPr="00490DD1">
        <w:rPr>
          <w:rStyle w:val="apple-converted-space"/>
          <w:rFonts w:ascii="Times New Roman" w:hAnsi="Times New Roman" w:cs="Times New Roman"/>
          <w:color w:val="000000" w:themeColor="text1"/>
          <w:sz w:val="24"/>
          <w:szCs w:val="24"/>
          <w:shd w:val="clear" w:color="auto" w:fill="FFFFFF"/>
        </w:rPr>
        <w:t xml:space="preserve">the procedural aspect of </w:t>
      </w:r>
      <w:r w:rsidR="009853E7" w:rsidRPr="00490DD1">
        <w:rPr>
          <w:rStyle w:val="apple-converted-space"/>
          <w:rFonts w:ascii="Times New Roman" w:hAnsi="Times New Roman" w:cs="Times New Roman"/>
          <w:color w:val="000000" w:themeColor="text1"/>
          <w:sz w:val="24"/>
          <w:szCs w:val="24"/>
          <w:shd w:val="clear" w:color="auto" w:fill="FFFFFF"/>
        </w:rPr>
        <w:t>Article 2 ECHR</w:t>
      </w:r>
      <w:r w:rsidR="004179B2" w:rsidRPr="00490DD1">
        <w:rPr>
          <w:rStyle w:val="apple-converted-space"/>
          <w:rFonts w:ascii="Times New Roman" w:hAnsi="Times New Roman" w:cs="Times New Roman"/>
          <w:color w:val="000000" w:themeColor="text1"/>
          <w:sz w:val="24"/>
          <w:szCs w:val="24"/>
          <w:shd w:val="clear" w:color="auto" w:fill="FFFFFF"/>
        </w:rPr>
        <w:t xml:space="preserve"> that guarantees</w:t>
      </w:r>
      <w:r w:rsidR="009853E7" w:rsidRPr="00490DD1">
        <w:rPr>
          <w:rStyle w:val="apple-converted-space"/>
          <w:rFonts w:ascii="Times New Roman" w:hAnsi="Times New Roman" w:cs="Times New Roman"/>
          <w:color w:val="000000" w:themeColor="text1"/>
          <w:sz w:val="24"/>
          <w:szCs w:val="24"/>
          <w:shd w:val="clear" w:color="auto" w:fill="FFFFFF"/>
        </w:rPr>
        <w:t xml:space="preserve"> the right to life.</w:t>
      </w:r>
      <w:r w:rsidR="006B7AB6" w:rsidRPr="00490DD1">
        <w:rPr>
          <w:rStyle w:val="apple-converted-space"/>
          <w:rFonts w:ascii="Times New Roman" w:hAnsi="Times New Roman" w:cs="Times New Roman"/>
          <w:color w:val="000000" w:themeColor="text1"/>
          <w:sz w:val="24"/>
          <w:szCs w:val="24"/>
          <w:shd w:val="clear" w:color="auto" w:fill="FFFFFF"/>
        </w:rPr>
        <w:t xml:space="preserve"> </w:t>
      </w:r>
      <w:proofErr w:type="gramStart"/>
      <w:r w:rsidR="006B7AB6" w:rsidRPr="00490DD1">
        <w:rPr>
          <w:rStyle w:val="apple-converted-space"/>
          <w:rFonts w:ascii="Times New Roman" w:hAnsi="Times New Roman" w:cs="Times New Roman"/>
          <w:color w:val="000000" w:themeColor="text1"/>
          <w:sz w:val="24"/>
          <w:szCs w:val="24"/>
          <w:shd w:val="clear" w:color="auto" w:fill="FFFFFF"/>
        </w:rPr>
        <w:t>In spite of</w:t>
      </w:r>
      <w:proofErr w:type="gramEnd"/>
      <w:r w:rsidR="006B7AB6" w:rsidRPr="00490DD1">
        <w:rPr>
          <w:rStyle w:val="apple-converted-space"/>
          <w:rFonts w:ascii="Times New Roman" w:hAnsi="Times New Roman" w:cs="Times New Roman"/>
          <w:color w:val="000000" w:themeColor="text1"/>
          <w:sz w:val="24"/>
          <w:szCs w:val="24"/>
          <w:shd w:val="clear" w:color="auto" w:fill="FFFFFF"/>
        </w:rPr>
        <w:t xml:space="preserve"> this, </w:t>
      </w:r>
      <w:r w:rsidR="004179B2" w:rsidRPr="00490DD1">
        <w:rPr>
          <w:rStyle w:val="apple-converted-space"/>
          <w:rFonts w:ascii="Times New Roman" w:hAnsi="Times New Roman" w:cs="Times New Roman"/>
          <w:color w:val="000000" w:themeColor="text1"/>
          <w:sz w:val="24"/>
          <w:szCs w:val="24"/>
          <w:shd w:val="clear" w:color="auto" w:fill="FFFFFF"/>
        </w:rPr>
        <w:t>l</w:t>
      </w:r>
      <w:r w:rsidR="009853E7" w:rsidRPr="00490DD1">
        <w:rPr>
          <w:rStyle w:val="apple-converted-space"/>
          <w:rFonts w:ascii="Times New Roman" w:hAnsi="Times New Roman" w:cs="Times New Roman"/>
          <w:color w:val="000000" w:themeColor="text1"/>
          <w:sz w:val="24"/>
          <w:szCs w:val="24"/>
          <w:shd w:val="clear" w:color="auto" w:fill="FFFFFF"/>
        </w:rPr>
        <w:t xml:space="preserve">ittle attention is paid </w:t>
      </w:r>
      <w:r w:rsidR="004179B2" w:rsidRPr="00490DD1">
        <w:rPr>
          <w:rStyle w:val="apple-converted-space"/>
          <w:rFonts w:ascii="Times New Roman" w:hAnsi="Times New Roman" w:cs="Times New Roman"/>
          <w:color w:val="000000" w:themeColor="text1"/>
          <w:sz w:val="24"/>
          <w:szCs w:val="24"/>
          <w:shd w:val="clear" w:color="auto" w:fill="FFFFFF"/>
        </w:rPr>
        <w:t xml:space="preserve">in academic literature </w:t>
      </w:r>
      <w:r w:rsidR="009853E7" w:rsidRPr="00490DD1">
        <w:rPr>
          <w:rStyle w:val="apple-converted-space"/>
          <w:rFonts w:ascii="Times New Roman" w:hAnsi="Times New Roman" w:cs="Times New Roman"/>
          <w:color w:val="000000" w:themeColor="text1"/>
          <w:sz w:val="24"/>
          <w:szCs w:val="24"/>
          <w:shd w:val="clear" w:color="auto" w:fill="FFFFFF"/>
        </w:rPr>
        <w:t>to the procedural aspect of Article 2 ECHR which requires States</w:t>
      </w:r>
      <w:r w:rsidR="004179B2" w:rsidRPr="00490DD1">
        <w:rPr>
          <w:rStyle w:val="apple-converted-space"/>
          <w:rFonts w:ascii="Times New Roman" w:hAnsi="Times New Roman" w:cs="Times New Roman"/>
          <w:color w:val="000000" w:themeColor="text1"/>
          <w:sz w:val="24"/>
          <w:szCs w:val="24"/>
          <w:shd w:val="clear" w:color="auto" w:fill="FFFFFF"/>
        </w:rPr>
        <w:t xml:space="preserve"> conducting military operations to carry out</w:t>
      </w:r>
      <w:r w:rsidR="009853E7" w:rsidRPr="00490DD1">
        <w:rPr>
          <w:rStyle w:val="apple-converted-space"/>
          <w:rFonts w:ascii="Times New Roman" w:hAnsi="Times New Roman" w:cs="Times New Roman"/>
          <w:color w:val="000000" w:themeColor="text1"/>
          <w:sz w:val="24"/>
          <w:szCs w:val="24"/>
          <w:shd w:val="clear" w:color="auto" w:fill="FFFFFF"/>
        </w:rPr>
        <w:t xml:space="preserve"> an</w:t>
      </w:r>
      <w:r w:rsidR="0015476E" w:rsidRPr="00490DD1">
        <w:rPr>
          <w:rStyle w:val="apple-converted-space"/>
          <w:rFonts w:ascii="Times New Roman" w:hAnsi="Times New Roman" w:cs="Times New Roman"/>
          <w:color w:val="000000" w:themeColor="text1"/>
          <w:sz w:val="24"/>
          <w:szCs w:val="24"/>
          <w:shd w:val="clear" w:color="auto" w:fill="FFFFFF"/>
        </w:rPr>
        <w:t xml:space="preserve"> appropriate</w:t>
      </w:r>
      <w:r w:rsidR="009853E7" w:rsidRPr="00490DD1">
        <w:rPr>
          <w:rStyle w:val="apple-converted-space"/>
          <w:rFonts w:ascii="Times New Roman" w:hAnsi="Times New Roman" w:cs="Times New Roman"/>
          <w:color w:val="000000" w:themeColor="text1"/>
          <w:sz w:val="24"/>
          <w:szCs w:val="24"/>
          <w:shd w:val="clear" w:color="auto" w:fill="FFFFFF"/>
        </w:rPr>
        <w:t xml:space="preserve"> investigation into the lawfulness of the use of force</w:t>
      </w:r>
      <w:r w:rsidR="004179B2" w:rsidRPr="00490DD1">
        <w:rPr>
          <w:rStyle w:val="apple-converted-space"/>
          <w:rFonts w:ascii="Times New Roman" w:hAnsi="Times New Roman" w:cs="Times New Roman"/>
          <w:color w:val="000000" w:themeColor="text1"/>
          <w:sz w:val="24"/>
          <w:szCs w:val="24"/>
          <w:shd w:val="clear" w:color="auto" w:fill="FFFFFF"/>
        </w:rPr>
        <w:t>.</w:t>
      </w:r>
      <w:r w:rsidR="009853E7" w:rsidRPr="00490DD1">
        <w:rPr>
          <w:rStyle w:val="FootnoteReference"/>
          <w:rFonts w:ascii="Times New Roman" w:hAnsi="Times New Roman" w:cs="Times New Roman"/>
          <w:color w:val="000000" w:themeColor="text1"/>
          <w:sz w:val="24"/>
          <w:szCs w:val="24"/>
          <w:shd w:val="clear" w:color="auto" w:fill="FFFFFF"/>
        </w:rPr>
        <w:footnoteReference w:id="4"/>
      </w:r>
      <w:r w:rsidR="009853E7" w:rsidRPr="00490DD1">
        <w:rPr>
          <w:rStyle w:val="apple-converted-space"/>
          <w:rFonts w:ascii="Times New Roman" w:hAnsi="Times New Roman" w:cs="Times New Roman"/>
          <w:color w:val="000000" w:themeColor="text1"/>
          <w:sz w:val="24"/>
          <w:szCs w:val="24"/>
          <w:shd w:val="clear" w:color="auto" w:fill="FFFFFF"/>
        </w:rPr>
        <w:t xml:space="preserve"> </w:t>
      </w:r>
      <w:r w:rsidR="004179B2" w:rsidRPr="00490DD1">
        <w:rPr>
          <w:rStyle w:val="apple-converted-space"/>
          <w:rFonts w:ascii="Times New Roman" w:hAnsi="Times New Roman" w:cs="Times New Roman"/>
          <w:color w:val="000000" w:themeColor="text1"/>
          <w:sz w:val="24"/>
          <w:szCs w:val="24"/>
          <w:shd w:val="clear" w:color="auto" w:fill="FFFFFF"/>
        </w:rPr>
        <w:t>E</w:t>
      </w:r>
      <w:r w:rsidR="009853E7" w:rsidRPr="00490DD1">
        <w:rPr>
          <w:rStyle w:val="apple-converted-space"/>
          <w:rFonts w:ascii="Times New Roman" w:hAnsi="Times New Roman" w:cs="Times New Roman"/>
          <w:color w:val="000000" w:themeColor="text1"/>
          <w:sz w:val="24"/>
          <w:szCs w:val="24"/>
          <w:shd w:val="clear" w:color="auto" w:fill="FFFFFF"/>
        </w:rPr>
        <w:t xml:space="preserve">ven </w:t>
      </w:r>
      <w:r w:rsidR="00B62006" w:rsidRPr="00490DD1">
        <w:rPr>
          <w:rStyle w:val="apple-converted-space"/>
          <w:rFonts w:ascii="Times New Roman" w:hAnsi="Times New Roman" w:cs="Times New Roman"/>
          <w:color w:val="000000" w:themeColor="text1"/>
          <w:sz w:val="24"/>
          <w:szCs w:val="24"/>
          <w:shd w:val="clear" w:color="auto" w:fill="FFFFFF"/>
        </w:rPr>
        <w:t>fewer</w:t>
      </w:r>
      <w:r w:rsidR="004179B2" w:rsidRPr="00490DD1">
        <w:rPr>
          <w:rStyle w:val="apple-converted-space"/>
          <w:rFonts w:ascii="Times New Roman" w:hAnsi="Times New Roman" w:cs="Times New Roman"/>
          <w:color w:val="000000" w:themeColor="text1"/>
          <w:sz w:val="24"/>
          <w:szCs w:val="24"/>
          <w:shd w:val="clear" w:color="auto" w:fill="FFFFFF"/>
        </w:rPr>
        <w:t xml:space="preserve"> </w:t>
      </w:r>
      <w:r w:rsidR="00B62006" w:rsidRPr="00490DD1">
        <w:rPr>
          <w:rStyle w:val="apple-converted-space"/>
          <w:rFonts w:ascii="Times New Roman" w:hAnsi="Times New Roman" w:cs="Times New Roman"/>
          <w:color w:val="000000" w:themeColor="text1"/>
          <w:sz w:val="24"/>
          <w:szCs w:val="24"/>
          <w:shd w:val="clear" w:color="auto" w:fill="FFFFFF"/>
        </w:rPr>
        <w:t xml:space="preserve">scholars </w:t>
      </w:r>
      <w:r w:rsidR="00067447" w:rsidRPr="00490DD1">
        <w:rPr>
          <w:rStyle w:val="apple-converted-space"/>
          <w:rFonts w:ascii="Times New Roman" w:hAnsi="Times New Roman" w:cs="Times New Roman"/>
          <w:color w:val="000000" w:themeColor="text1"/>
          <w:sz w:val="24"/>
          <w:szCs w:val="24"/>
          <w:shd w:val="clear" w:color="auto" w:fill="FFFFFF"/>
        </w:rPr>
        <w:t>examine</w:t>
      </w:r>
      <w:r w:rsidR="004179B2" w:rsidRPr="00490DD1">
        <w:rPr>
          <w:rStyle w:val="apple-converted-space"/>
          <w:rFonts w:ascii="Times New Roman" w:hAnsi="Times New Roman" w:cs="Times New Roman"/>
          <w:color w:val="000000" w:themeColor="text1"/>
          <w:sz w:val="24"/>
          <w:szCs w:val="24"/>
          <w:shd w:val="clear" w:color="auto" w:fill="FFFFFF"/>
        </w:rPr>
        <w:t xml:space="preserve"> this duty</w:t>
      </w:r>
      <w:r w:rsidR="009853E7" w:rsidRPr="00490DD1">
        <w:rPr>
          <w:rStyle w:val="apple-converted-space"/>
          <w:rFonts w:ascii="Times New Roman" w:hAnsi="Times New Roman" w:cs="Times New Roman"/>
          <w:color w:val="000000" w:themeColor="text1"/>
          <w:sz w:val="24"/>
          <w:szCs w:val="24"/>
          <w:shd w:val="clear" w:color="auto" w:fill="FFFFFF"/>
        </w:rPr>
        <w:t xml:space="preserve"> in an extra-</w:t>
      </w:r>
      <w:r w:rsidR="009853E7" w:rsidRPr="00490DD1">
        <w:rPr>
          <w:rStyle w:val="apple-converted-space"/>
          <w:rFonts w:ascii="Times New Roman" w:hAnsi="Times New Roman" w:cs="Times New Roman"/>
          <w:color w:val="000000" w:themeColor="text1"/>
          <w:sz w:val="24"/>
          <w:szCs w:val="24"/>
          <w:shd w:val="clear" w:color="auto" w:fill="FFFFFF"/>
        </w:rPr>
        <w:lastRenderedPageBreak/>
        <w:t>territorial context</w:t>
      </w:r>
      <w:r w:rsidR="00067447" w:rsidRPr="00490DD1">
        <w:rPr>
          <w:rStyle w:val="apple-converted-space"/>
          <w:rFonts w:ascii="Times New Roman" w:hAnsi="Times New Roman" w:cs="Times New Roman"/>
          <w:color w:val="000000" w:themeColor="text1"/>
          <w:sz w:val="24"/>
          <w:szCs w:val="24"/>
          <w:shd w:val="clear" w:color="auto" w:fill="FFFFFF"/>
        </w:rPr>
        <w:t>,</w:t>
      </w:r>
      <w:r w:rsidR="00067447" w:rsidRPr="00490DD1">
        <w:rPr>
          <w:rStyle w:val="FootnoteReference"/>
          <w:rFonts w:ascii="Times New Roman" w:hAnsi="Times New Roman" w:cs="Times New Roman"/>
          <w:color w:val="000000" w:themeColor="text1"/>
          <w:sz w:val="24"/>
          <w:szCs w:val="24"/>
          <w:shd w:val="clear" w:color="auto" w:fill="FFFFFF"/>
        </w:rPr>
        <w:footnoteReference w:id="5"/>
      </w:r>
      <w:r w:rsidR="00067447" w:rsidRPr="00490DD1">
        <w:rPr>
          <w:rStyle w:val="apple-converted-space"/>
          <w:rFonts w:ascii="Times New Roman" w:hAnsi="Times New Roman" w:cs="Times New Roman"/>
          <w:color w:val="000000" w:themeColor="text1"/>
          <w:sz w:val="24"/>
          <w:szCs w:val="24"/>
          <w:shd w:val="clear" w:color="auto" w:fill="FFFFFF"/>
        </w:rPr>
        <w:t xml:space="preserve"> none offering a comprehensive overview of the application of all the legal requirements </w:t>
      </w:r>
      <w:r w:rsidR="00673E67" w:rsidRPr="00490DD1">
        <w:rPr>
          <w:rStyle w:val="apple-converted-space"/>
          <w:rFonts w:ascii="Times New Roman" w:hAnsi="Times New Roman" w:cs="Times New Roman"/>
          <w:color w:val="000000" w:themeColor="text1"/>
          <w:sz w:val="24"/>
          <w:szCs w:val="24"/>
          <w:shd w:val="clear" w:color="auto" w:fill="FFFFFF"/>
        </w:rPr>
        <w:t>concerning</w:t>
      </w:r>
      <w:r w:rsidR="00067447" w:rsidRPr="00490DD1">
        <w:rPr>
          <w:rStyle w:val="apple-converted-space"/>
          <w:rFonts w:ascii="Times New Roman" w:hAnsi="Times New Roman" w:cs="Times New Roman"/>
          <w:color w:val="000000" w:themeColor="text1"/>
          <w:sz w:val="24"/>
          <w:szCs w:val="24"/>
          <w:shd w:val="clear" w:color="auto" w:fill="FFFFFF"/>
        </w:rPr>
        <w:t xml:space="preserve"> this duty</w:t>
      </w:r>
      <w:r w:rsidR="009853E7" w:rsidRPr="00490DD1">
        <w:rPr>
          <w:rStyle w:val="apple-converted-space"/>
          <w:rFonts w:ascii="Times New Roman" w:hAnsi="Times New Roman" w:cs="Times New Roman"/>
          <w:color w:val="000000" w:themeColor="text1"/>
          <w:sz w:val="24"/>
          <w:szCs w:val="24"/>
          <w:shd w:val="clear" w:color="auto" w:fill="FFFFFF"/>
        </w:rPr>
        <w:t xml:space="preserve">. This article seeks to remedy this gap by examining </w:t>
      </w:r>
      <w:r w:rsidR="004179B2" w:rsidRPr="00490DD1">
        <w:rPr>
          <w:rStyle w:val="apple-converted-space"/>
          <w:rFonts w:ascii="Times New Roman" w:hAnsi="Times New Roman" w:cs="Times New Roman"/>
          <w:color w:val="000000" w:themeColor="text1"/>
          <w:sz w:val="24"/>
          <w:szCs w:val="24"/>
          <w:shd w:val="clear" w:color="auto" w:fill="FFFFFF"/>
        </w:rPr>
        <w:t xml:space="preserve">the application of </w:t>
      </w:r>
      <w:r w:rsidR="0015476E" w:rsidRPr="00490DD1">
        <w:rPr>
          <w:rStyle w:val="apple-converted-space"/>
          <w:rFonts w:ascii="Times New Roman" w:hAnsi="Times New Roman" w:cs="Times New Roman"/>
          <w:color w:val="000000" w:themeColor="text1"/>
          <w:sz w:val="24"/>
          <w:szCs w:val="24"/>
          <w:shd w:val="clear" w:color="auto" w:fill="FFFFFF"/>
        </w:rPr>
        <w:t xml:space="preserve">the procedural </w:t>
      </w:r>
      <w:r w:rsidR="00591D96" w:rsidRPr="00490DD1">
        <w:rPr>
          <w:rStyle w:val="apple-converted-space"/>
          <w:rFonts w:ascii="Times New Roman" w:hAnsi="Times New Roman" w:cs="Times New Roman"/>
          <w:color w:val="000000" w:themeColor="text1"/>
          <w:sz w:val="24"/>
          <w:szCs w:val="24"/>
          <w:shd w:val="clear" w:color="auto" w:fill="FFFFFF"/>
        </w:rPr>
        <w:t>aspects</w:t>
      </w:r>
      <w:r w:rsidR="0015476E" w:rsidRPr="00490DD1">
        <w:rPr>
          <w:rStyle w:val="apple-converted-space"/>
          <w:rFonts w:ascii="Times New Roman" w:hAnsi="Times New Roman" w:cs="Times New Roman"/>
          <w:color w:val="000000" w:themeColor="text1"/>
          <w:sz w:val="24"/>
          <w:szCs w:val="24"/>
          <w:shd w:val="clear" w:color="auto" w:fill="FFFFFF"/>
        </w:rPr>
        <w:t xml:space="preserve"> relating to Article 2 in armed conflict</w:t>
      </w:r>
      <w:r w:rsidR="006B7AB6" w:rsidRPr="00490DD1">
        <w:rPr>
          <w:rStyle w:val="apple-converted-space"/>
          <w:rFonts w:ascii="Times New Roman" w:hAnsi="Times New Roman" w:cs="Times New Roman"/>
          <w:color w:val="000000" w:themeColor="text1"/>
          <w:sz w:val="24"/>
          <w:szCs w:val="24"/>
          <w:shd w:val="clear" w:color="auto" w:fill="FFFFFF"/>
        </w:rPr>
        <w:t>s</w:t>
      </w:r>
      <w:r w:rsidR="0015476E" w:rsidRPr="00490DD1">
        <w:rPr>
          <w:rStyle w:val="apple-converted-space"/>
          <w:rFonts w:ascii="Times New Roman" w:hAnsi="Times New Roman" w:cs="Times New Roman"/>
          <w:color w:val="000000" w:themeColor="text1"/>
          <w:sz w:val="24"/>
          <w:szCs w:val="24"/>
          <w:shd w:val="clear" w:color="auto" w:fill="FFFFFF"/>
        </w:rPr>
        <w:t xml:space="preserve"> abroad</w:t>
      </w:r>
      <w:r w:rsidR="009853E7" w:rsidRPr="00490DD1">
        <w:rPr>
          <w:rStyle w:val="apple-converted-space"/>
          <w:rFonts w:ascii="Times New Roman" w:hAnsi="Times New Roman" w:cs="Times New Roman"/>
          <w:color w:val="000000" w:themeColor="text1"/>
          <w:sz w:val="24"/>
          <w:szCs w:val="24"/>
          <w:shd w:val="clear" w:color="auto" w:fill="FFFFFF"/>
        </w:rPr>
        <w:t>.</w:t>
      </w:r>
    </w:p>
    <w:p w14:paraId="07A9C799" w14:textId="23FC45DD" w:rsidR="000A1460" w:rsidRPr="00490DD1" w:rsidRDefault="009853E7" w:rsidP="00DC1103">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S</w:t>
      </w:r>
      <w:r w:rsidR="00C400F3" w:rsidRPr="00490DD1">
        <w:rPr>
          <w:rFonts w:ascii="Times New Roman" w:hAnsi="Times New Roman" w:cs="Times New Roman"/>
          <w:color w:val="000000" w:themeColor="text1"/>
          <w:sz w:val="24"/>
          <w:szCs w:val="24"/>
        </w:rPr>
        <w:t>tates must comply with the duty to investigate an attack resulting in the death of an individual.</w:t>
      </w:r>
      <w:r w:rsidR="00C400F3" w:rsidRPr="00490DD1">
        <w:rPr>
          <w:rStyle w:val="FootnoteReference"/>
          <w:rFonts w:ascii="Times New Roman" w:hAnsi="Times New Roman" w:cs="Times New Roman"/>
          <w:color w:val="000000" w:themeColor="text1"/>
          <w:sz w:val="24"/>
          <w:szCs w:val="24"/>
        </w:rPr>
        <w:footnoteReference w:id="6"/>
      </w:r>
      <w:r w:rsidR="00C400F3" w:rsidRPr="00490DD1">
        <w:rPr>
          <w:rFonts w:ascii="Times New Roman" w:hAnsi="Times New Roman" w:cs="Times New Roman"/>
          <w:color w:val="000000" w:themeColor="text1"/>
          <w:sz w:val="24"/>
          <w:szCs w:val="24"/>
        </w:rPr>
        <w:t xml:space="preserve"> </w:t>
      </w:r>
      <w:r w:rsidR="00B63A72">
        <w:rPr>
          <w:rFonts w:ascii="Times New Roman" w:hAnsi="Times New Roman" w:cs="Times New Roman"/>
          <w:color w:val="000000" w:themeColor="text1"/>
          <w:sz w:val="24"/>
          <w:szCs w:val="24"/>
        </w:rPr>
        <w:t>T</w:t>
      </w:r>
      <w:r w:rsidR="00C400F3" w:rsidRPr="00490DD1">
        <w:rPr>
          <w:rFonts w:ascii="Times New Roman" w:hAnsi="Times New Roman" w:cs="Times New Roman"/>
          <w:color w:val="000000" w:themeColor="text1"/>
          <w:sz w:val="24"/>
          <w:szCs w:val="24"/>
        </w:rPr>
        <w:t>he procedural requirement is implicit in Article 2 ECHR</w:t>
      </w:r>
      <w:r w:rsidR="00D343D8" w:rsidRPr="00490DD1">
        <w:rPr>
          <w:rFonts w:ascii="Times New Roman" w:hAnsi="Times New Roman" w:cs="Times New Roman"/>
          <w:color w:val="000000" w:themeColor="text1"/>
          <w:sz w:val="24"/>
          <w:szCs w:val="24"/>
        </w:rPr>
        <w:t>,</w:t>
      </w:r>
      <w:r w:rsidR="00C400F3" w:rsidRPr="00490DD1">
        <w:rPr>
          <w:rStyle w:val="FootnoteReference"/>
          <w:rFonts w:ascii="Times New Roman" w:hAnsi="Times New Roman" w:cs="Times New Roman"/>
          <w:color w:val="000000" w:themeColor="text1"/>
          <w:sz w:val="24"/>
          <w:szCs w:val="24"/>
        </w:rPr>
        <w:footnoteReference w:id="7"/>
      </w:r>
      <w:r w:rsidR="00C400F3" w:rsidRPr="00490DD1">
        <w:rPr>
          <w:rFonts w:ascii="Times New Roman" w:hAnsi="Times New Roman" w:cs="Times New Roman"/>
          <w:color w:val="000000" w:themeColor="text1"/>
          <w:sz w:val="24"/>
          <w:szCs w:val="24"/>
        </w:rPr>
        <w:t xml:space="preserve"> as ‘a general legal prohibition of arbitrary killing by the agent of the State would be ineffective, in practice, if there existed no procedure for reviewing the lawfulness of the use of lethal force by State authorities’</w:t>
      </w:r>
      <w:r w:rsidR="00615026">
        <w:rPr>
          <w:rFonts w:ascii="Times New Roman" w:hAnsi="Times New Roman" w:cs="Times New Roman"/>
          <w:color w:val="000000" w:themeColor="text1"/>
          <w:sz w:val="24"/>
          <w:szCs w:val="24"/>
        </w:rPr>
        <w:t>.</w:t>
      </w:r>
      <w:r w:rsidR="00C400F3" w:rsidRPr="00490DD1">
        <w:rPr>
          <w:rStyle w:val="FootnoteReference"/>
          <w:rFonts w:ascii="Times New Roman" w:hAnsi="Times New Roman" w:cs="Times New Roman"/>
          <w:color w:val="000000" w:themeColor="text1"/>
          <w:sz w:val="24"/>
          <w:szCs w:val="24"/>
        </w:rPr>
        <w:footnoteReference w:id="8"/>
      </w:r>
      <w:r w:rsidR="00C400F3" w:rsidRPr="00490DD1">
        <w:rPr>
          <w:rFonts w:ascii="Times New Roman" w:hAnsi="Times New Roman" w:cs="Times New Roman"/>
          <w:color w:val="000000" w:themeColor="text1"/>
          <w:sz w:val="24"/>
          <w:szCs w:val="24"/>
        </w:rPr>
        <w:t xml:space="preserve"> Consequently, States are required to provide a system of ‘adequate and effective safeguards against arbitrariness and abuse of force and even against avoidable accident’</w:t>
      </w:r>
      <w:r w:rsidR="00615026">
        <w:rPr>
          <w:rFonts w:ascii="Times New Roman" w:hAnsi="Times New Roman" w:cs="Times New Roman"/>
          <w:color w:val="000000" w:themeColor="text1"/>
          <w:sz w:val="24"/>
          <w:szCs w:val="24"/>
        </w:rPr>
        <w:t>.</w:t>
      </w:r>
      <w:r w:rsidR="00C400F3" w:rsidRPr="00490DD1">
        <w:rPr>
          <w:rStyle w:val="FootnoteReference"/>
          <w:rFonts w:ascii="Times New Roman" w:hAnsi="Times New Roman" w:cs="Times New Roman"/>
          <w:color w:val="000000" w:themeColor="text1"/>
          <w:sz w:val="24"/>
          <w:szCs w:val="24"/>
        </w:rPr>
        <w:footnoteReference w:id="9"/>
      </w:r>
      <w:r w:rsidR="00C400F3" w:rsidRPr="00490DD1">
        <w:rPr>
          <w:rFonts w:ascii="Times New Roman" w:hAnsi="Times New Roman" w:cs="Times New Roman"/>
          <w:color w:val="000000" w:themeColor="text1"/>
          <w:sz w:val="24"/>
          <w:szCs w:val="24"/>
        </w:rPr>
        <w:t xml:space="preserve"> </w:t>
      </w:r>
    </w:p>
    <w:p w14:paraId="76987AD8" w14:textId="7A9090C4" w:rsidR="0085138A" w:rsidRPr="00490DD1" w:rsidRDefault="00591D96" w:rsidP="0085138A">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lastRenderedPageBreak/>
        <w:t>The Court leaves a certain amount of discretion as to how the investigation is run,</w:t>
      </w:r>
      <w:r w:rsidRPr="00490DD1">
        <w:rPr>
          <w:rStyle w:val="FootnoteReference"/>
          <w:rFonts w:ascii="Times New Roman" w:hAnsi="Times New Roman" w:cs="Times New Roman"/>
          <w:color w:val="000000" w:themeColor="text1"/>
          <w:sz w:val="24"/>
          <w:szCs w:val="24"/>
        </w:rPr>
        <w:footnoteReference w:id="10"/>
      </w:r>
      <w:r w:rsidRPr="00490DD1">
        <w:rPr>
          <w:rFonts w:ascii="Times New Roman" w:hAnsi="Times New Roman" w:cs="Times New Roman"/>
          <w:color w:val="000000" w:themeColor="text1"/>
          <w:sz w:val="24"/>
          <w:szCs w:val="24"/>
        </w:rPr>
        <w:t xml:space="preserve"> provided it follows </w:t>
      </w:r>
      <w:r w:rsidR="009A7027">
        <w:rPr>
          <w:rFonts w:ascii="Times New Roman" w:hAnsi="Times New Roman" w:cs="Times New Roman"/>
          <w:color w:val="000000" w:themeColor="text1"/>
          <w:sz w:val="24"/>
          <w:szCs w:val="24"/>
        </w:rPr>
        <w:t>three</w:t>
      </w:r>
      <w:r w:rsidRPr="00490DD1">
        <w:rPr>
          <w:rFonts w:ascii="Times New Roman" w:hAnsi="Times New Roman" w:cs="Times New Roman"/>
          <w:color w:val="000000" w:themeColor="text1"/>
          <w:sz w:val="24"/>
          <w:szCs w:val="24"/>
        </w:rPr>
        <w:t xml:space="preserve"> principles</w:t>
      </w:r>
      <w:r w:rsidRPr="00490DD1">
        <w:rPr>
          <w:rStyle w:val="FootnoteReference"/>
          <w:rFonts w:ascii="Times New Roman" w:hAnsi="Times New Roman" w:cs="Times New Roman"/>
          <w:color w:val="000000" w:themeColor="text1"/>
          <w:sz w:val="24"/>
          <w:szCs w:val="24"/>
        </w:rPr>
        <w:footnoteReference w:id="11"/>
      </w:r>
      <w:r w:rsidRPr="00490DD1">
        <w:rPr>
          <w:rFonts w:ascii="Times New Roman" w:hAnsi="Times New Roman" w:cs="Times New Roman"/>
          <w:color w:val="000000" w:themeColor="text1"/>
          <w:sz w:val="24"/>
          <w:szCs w:val="24"/>
        </w:rPr>
        <w:t xml:space="preserve"> </w:t>
      </w:r>
      <w:r w:rsidR="00651D63">
        <w:rPr>
          <w:rFonts w:ascii="Times New Roman" w:hAnsi="Times New Roman" w:cs="Times New Roman"/>
          <w:color w:val="000000" w:themeColor="text1"/>
          <w:sz w:val="24"/>
          <w:szCs w:val="24"/>
        </w:rPr>
        <w:t xml:space="preserve">or ‘essential parameters’ in the </w:t>
      </w:r>
      <w:r w:rsidR="00F94647">
        <w:rPr>
          <w:rFonts w:ascii="Times New Roman" w:hAnsi="Times New Roman" w:cs="Times New Roman"/>
          <w:color w:val="000000" w:themeColor="text1"/>
          <w:sz w:val="24"/>
          <w:szCs w:val="24"/>
        </w:rPr>
        <w:t xml:space="preserve">Court’s </w:t>
      </w:r>
      <w:r w:rsidR="00875AFB">
        <w:rPr>
          <w:rFonts w:ascii="Times New Roman" w:hAnsi="Times New Roman" w:cs="Times New Roman"/>
          <w:color w:val="000000" w:themeColor="text1"/>
          <w:sz w:val="24"/>
          <w:szCs w:val="24"/>
        </w:rPr>
        <w:t xml:space="preserve">most recent </w:t>
      </w:r>
      <w:r w:rsidR="00E17C9D">
        <w:rPr>
          <w:rFonts w:ascii="Times New Roman" w:hAnsi="Times New Roman" w:cs="Times New Roman"/>
          <w:color w:val="000000" w:themeColor="text1"/>
          <w:sz w:val="24"/>
          <w:szCs w:val="24"/>
        </w:rPr>
        <w:t>vernacular</w:t>
      </w:r>
      <w:r w:rsidR="00651D63">
        <w:rPr>
          <w:rFonts w:ascii="Times New Roman" w:hAnsi="Times New Roman" w:cs="Times New Roman"/>
          <w:color w:val="000000" w:themeColor="text1"/>
          <w:sz w:val="24"/>
          <w:szCs w:val="24"/>
        </w:rPr>
        <w:t>.</w:t>
      </w:r>
      <w:r w:rsidR="00651D63">
        <w:rPr>
          <w:rStyle w:val="FootnoteReference"/>
          <w:rFonts w:ascii="Times New Roman" w:hAnsi="Times New Roman" w:cs="Times New Roman"/>
          <w:color w:val="000000" w:themeColor="text1"/>
          <w:sz w:val="24"/>
          <w:szCs w:val="24"/>
        </w:rPr>
        <w:footnoteReference w:id="12"/>
      </w:r>
      <w:r w:rsidR="00651D63">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 xml:space="preserve">First, the </w:t>
      </w:r>
      <w:r w:rsidR="006429B3">
        <w:rPr>
          <w:rFonts w:ascii="Times New Roman" w:hAnsi="Times New Roman" w:cs="Times New Roman"/>
          <w:color w:val="000000" w:themeColor="text1"/>
          <w:sz w:val="24"/>
          <w:szCs w:val="24"/>
        </w:rPr>
        <w:t xml:space="preserve">Court has developed the principle that the </w:t>
      </w:r>
      <w:bookmarkStart w:id="1" w:name="_GoBack"/>
      <w:bookmarkEnd w:id="1"/>
      <w:r w:rsidRPr="00490DD1">
        <w:rPr>
          <w:rFonts w:ascii="Times New Roman" w:hAnsi="Times New Roman" w:cs="Times New Roman"/>
          <w:color w:val="000000" w:themeColor="text1"/>
          <w:sz w:val="24"/>
          <w:szCs w:val="24"/>
        </w:rPr>
        <w:t>investigation must be effective</w:t>
      </w:r>
      <w:r w:rsidR="00493A06">
        <w:rPr>
          <w:rFonts w:ascii="Times New Roman" w:hAnsi="Times New Roman" w:cs="Times New Roman"/>
          <w:color w:val="000000" w:themeColor="text1"/>
          <w:sz w:val="24"/>
          <w:szCs w:val="24"/>
        </w:rPr>
        <w:t xml:space="preserve"> and so</w:t>
      </w:r>
      <w:r w:rsidRPr="00490DD1">
        <w:rPr>
          <w:rFonts w:ascii="Times New Roman" w:hAnsi="Times New Roman" w:cs="Times New Roman"/>
          <w:color w:val="000000" w:themeColor="text1"/>
          <w:sz w:val="24"/>
          <w:szCs w:val="24"/>
        </w:rPr>
        <w:t xml:space="preserve"> able to determine whether the force used was justified</w:t>
      </w:r>
      <w:r w:rsidR="00EA41FC" w:rsidRPr="00490DD1">
        <w:rPr>
          <w:rFonts w:ascii="Times New Roman" w:hAnsi="Times New Roman" w:cs="Times New Roman"/>
          <w:color w:val="000000" w:themeColor="text1"/>
          <w:sz w:val="24"/>
          <w:szCs w:val="24"/>
        </w:rPr>
        <w:t xml:space="preserve"> or not</w:t>
      </w:r>
      <w:r w:rsidR="000A1460"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in the circumstances</w:t>
      </w:r>
      <w:r w:rsidR="00AE49D9"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3"/>
      </w:r>
      <w:r w:rsidRPr="00490DD1">
        <w:rPr>
          <w:rFonts w:ascii="Times New Roman" w:hAnsi="Times New Roman" w:cs="Times New Roman"/>
          <w:color w:val="000000" w:themeColor="text1"/>
          <w:sz w:val="24"/>
          <w:szCs w:val="24"/>
        </w:rPr>
        <w:t xml:space="preserve"> an</w:t>
      </w:r>
      <w:r w:rsidR="00AE49D9" w:rsidRPr="00490DD1">
        <w:rPr>
          <w:rFonts w:ascii="Times New Roman" w:hAnsi="Times New Roman" w:cs="Times New Roman"/>
          <w:color w:val="000000" w:themeColor="text1"/>
          <w:sz w:val="24"/>
          <w:szCs w:val="24"/>
        </w:rPr>
        <w:t>d i</w:t>
      </w:r>
      <w:r w:rsidRPr="00490DD1">
        <w:rPr>
          <w:rFonts w:ascii="Times New Roman" w:hAnsi="Times New Roman" w:cs="Times New Roman"/>
          <w:color w:val="000000" w:themeColor="text1"/>
          <w:sz w:val="24"/>
          <w:szCs w:val="24"/>
        </w:rPr>
        <w:t>f not, to identify and punish those responsible.</w:t>
      </w:r>
      <w:r w:rsidRPr="00490DD1">
        <w:rPr>
          <w:rStyle w:val="FootnoteReference"/>
          <w:rFonts w:ascii="Times New Roman" w:hAnsi="Times New Roman" w:cs="Times New Roman"/>
          <w:color w:val="000000" w:themeColor="text1"/>
          <w:sz w:val="24"/>
          <w:szCs w:val="24"/>
        </w:rPr>
        <w:footnoteReference w:id="14"/>
      </w:r>
      <w:r w:rsidRPr="00490DD1">
        <w:rPr>
          <w:rFonts w:ascii="Times New Roman" w:hAnsi="Times New Roman" w:cs="Times New Roman"/>
          <w:color w:val="000000" w:themeColor="text1"/>
          <w:sz w:val="24"/>
          <w:szCs w:val="24"/>
        </w:rPr>
        <w:t xml:space="preserve"> Second, the investigation must be prompt and independent</w:t>
      </w:r>
      <w:r w:rsidR="00861049"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5"/>
      </w:r>
      <w:r w:rsidRPr="00490DD1">
        <w:rPr>
          <w:rFonts w:ascii="Times New Roman" w:hAnsi="Times New Roman" w:cs="Times New Roman"/>
          <w:color w:val="000000" w:themeColor="text1"/>
          <w:sz w:val="24"/>
          <w:szCs w:val="24"/>
        </w:rPr>
        <w:t xml:space="preserve"> an</w:t>
      </w:r>
      <w:r w:rsidR="00861049" w:rsidRPr="00490DD1">
        <w:rPr>
          <w:rFonts w:ascii="Times New Roman" w:hAnsi="Times New Roman" w:cs="Times New Roman"/>
          <w:color w:val="000000" w:themeColor="text1"/>
          <w:sz w:val="24"/>
          <w:szCs w:val="24"/>
        </w:rPr>
        <w:t>d t</w:t>
      </w:r>
      <w:r w:rsidRPr="00490DD1">
        <w:rPr>
          <w:rFonts w:ascii="Times New Roman" w:hAnsi="Times New Roman" w:cs="Times New Roman"/>
          <w:color w:val="000000" w:themeColor="text1"/>
          <w:sz w:val="24"/>
          <w:szCs w:val="24"/>
        </w:rPr>
        <w:t>hird</w:t>
      </w:r>
      <w:r w:rsidR="000A1460"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there must be an element of public scrutiny of the investigation or its results.</w:t>
      </w:r>
      <w:r w:rsidRPr="00490DD1">
        <w:rPr>
          <w:rStyle w:val="FootnoteReference"/>
          <w:rFonts w:ascii="Times New Roman" w:hAnsi="Times New Roman" w:cs="Times New Roman"/>
          <w:color w:val="000000" w:themeColor="text1"/>
          <w:sz w:val="24"/>
          <w:szCs w:val="24"/>
        </w:rPr>
        <w:footnoteReference w:id="16"/>
      </w:r>
      <w:r w:rsidR="00875AFB">
        <w:rPr>
          <w:rFonts w:ascii="Times New Roman" w:hAnsi="Times New Roman" w:cs="Times New Roman"/>
          <w:color w:val="000000" w:themeColor="text1"/>
          <w:sz w:val="24"/>
          <w:szCs w:val="24"/>
        </w:rPr>
        <w:t xml:space="preserve"> </w:t>
      </w:r>
      <w:r w:rsidR="0085138A">
        <w:rPr>
          <w:rFonts w:ascii="Times New Roman" w:hAnsi="Times New Roman" w:cs="Times New Roman"/>
          <w:color w:val="000000" w:themeColor="text1"/>
          <w:sz w:val="24"/>
          <w:szCs w:val="24"/>
          <w:shd w:val="clear" w:color="auto" w:fill="FFFFFF"/>
        </w:rPr>
        <w:t xml:space="preserve">In jurisprudence that postdates cases </w:t>
      </w:r>
      <w:r w:rsidR="003E67ED">
        <w:rPr>
          <w:rFonts w:ascii="Times New Roman" w:hAnsi="Times New Roman" w:cs="Times New Roman"/>
          <w:color w:val="000000" w:themeColor="text1"/>
          <w:sz w:val="24"/>
          <w:szCs w:val="24"/>
          <w:shd w:val="clear" w:color="auto" w:fill="FFFFFF"/>
        </w:rPr>
        <w:t>on</w:t>
      </w:r>
      <w:r w:rsidR="0085138A">
        <w:rPr>
          <w:rFonts w:ascii="Times New Roman" w:hAnsi="Times New Roman" w:cs="Times New Roman"/>
          <w:color w:val="000000" w:themeColor="text1"/>
          <w:sz w:val="24"/>
          <w:szCs w:val="24"/>
          <w:shd w:val="clear" w:color="auto" w:fill="FFFFFF"/>
        </w:rPr>
        <w:t xml:space="preserve"> the extra-territorial application of the procedural limb of Article 2 ECHR, the Court has </w:t>
      </w:r>
      <w:r w:rsidR="00E17C9D">
        <w:rPr>
          <w:rFonts w:ascii="Times New Roman" w:hAnsi="Times New Roman" w:cs="Times New Roman"/>
          <w:color w:val="000000" w:themeColor="text1"/>
          <w:sz w:val="24"/>
          <w:szCs w:val="24"/>
          <w:shd w:val="clear" w:color="auto" w:fill="FFFFFF"/>
        </w:rPr>
        <w:t xml:space="preserve">clearly stated </w:t>
      </w:r>
      <w:r w:rsidR="0085138A">
        <w:rPr>
          <w:rFonts w:ascii="Times New Roman" w:hAnsi="Times New Roman" w:cs="Times New Roman"/>
          <w:color w:val="000000" w:themeColor="text1"/>
          <w:sz w:val="24"/>
          <w:szCs w:val="24"/>
          <w:shd w:val="clear" w:color="auto" w:fill="FFFFFF"/>
        </w:rPr>
        <w:t>that</w:t>
      </w:r>
      <w:r w:rsidR="0085138A" w:rsidRPr="00E90D14">
        <w:rPr>
          <w:rFonts w:ascii="Times New Roman" w:hAnsi="Times New Roman" w:cs="Times New Roman"/>
          <w:i/>
          <w:color w:val="000000" w:themeColor="text1"/>
          <w:sz w:val="24"/>
          <w:szCs w:val="24"/>
          <w:shd w:val="clear" w:color="auto" w:fill="FFFFFF"/>
        </w:rPr>
        <w:t xml:space="preserve"> ‘</w:t>
      </w:r>
      <w:r w:rsidR="0085138A" w:rsidRPr="00D30A49">
        <w:rPr>
          <w:rFonts w:ascii="Times New Roman" w:hAnsi="Times New Roman" w:cs="Times New Roman"/>
          <w:color w:val="000000"/>
          <w:sz w:val="24"/>
          <w:szCs w:val="24"/>
          <w:shd w:val="clear" w:color="auto" w:fill="FFFFFF"/>
        </w:rPr>
        <w:t>[t]</w:t>
      </w:r>
      <w:proofErr w:type="spellStart"/>
      <w:r w:rsidR="0085138A" w:rsidRPr="00D30A49">
        <w:rPr>
          <w:rFonts w:ascii="Times New Roman" w:hAnsi="Times New Roman" w:cs="Times New Roman"/>
          <w:color w:val="000000"/>
          <w:sz w:val="24"/>
          <w:szCs w:val="24"/>
          <w:shd w:val="clear" w:color="auto" w:fill="FFFFFF"/>
        </w:rPr>
        <w:t>hese</w:t>
      </w:r>
      <w:proofErr w:type="spellEnd"/>
      <w:r w:rsidR="0085138A" w:rsidRPr="00D30A49">
        <w:rPr>
          <w:rFonts w:ascii="Times New Roman" w:hAnsi="Times New Roman" w:cs="Times New Roman"/>
          <w:color w:val="000000"/>
          <w:sz w:val="24"/>
          <w:szCs w:val="24"/>
          <w:shd w:val="clear" w:color="auto" w:fill="FFFFFF"/>
        </w:rPr>
        <w:t xml:space="preserve"> elements are inter-related and each of them, taken separately, does not amount to an end in itself’</w:t>
      </w:r>
      <w:r w:rsidR="00615026">
        <w:rPr>
          <w:rFonts w:ascii="Times New Roman" w:hAnsi="Times New Roman" w:cs="Times New Roman"/>
          <w:color w:val="000000"/>
          <w:sz w:val="24"/>
          <w:szCs w:val="24"/>
          <w:shd w:val="clear" w:color="auto" w:fill="FFFFFF"/>
        </w:rPr>
        <w:t>.</w:t>
      </w:r>
      <w:r w:rsidR="0085138A">
        <w:rPr>
          <w:rStyle w:val="FootnoteReference"/>
          <w:rFonts w:ascii="Times New Roman" w:hAnsi="Times New Roman" w:cs="Times New Roman"/>
          <w:color w:val="000000"/>
          <w:sz w:val="24"/>
          <w:szCs w:val="24"/>
          <w:shd w:val="clear" w:color="auto" w:fill="FFFFFF"/>
        </w:rPr>
        <w:footnoteReference w:id="17"/>
      </w:r>
      <w:r w:rsidR="0085138A">
        <w:rPr>
          <w:rFonts w:ascii="Times New Roman" w:hAnsi="Times New Roman" w:cs="Times New Roman"/>
          <w:color w:val="000000" w:themeColor="text1"/>
          <w:sz w:val="24"/>
          <w:szCs w:val="24"/>
          <w:shd w:val="clear" w:color="auto" w:fill="FFFFFF"/>
        </w:rPr>
        <w:t xml:space="preserve"> As the Court explains, </w:t>
      </w:r>
      <w:r w:rsidR="0085138A" w:rsidRPr="00490DD1">
        <w:rPr>
          <w:rFonts w:ascii="Times New Roman" w:hAnsi="Times New Roman" w:cs="Times New Roman"/>
          <w:color w:val="000000" w:themeColor="text1"/>
          <w:sz w:val="24"/>
          <w:szCs w:val="24"/>
          <w:shd w:val="clear" w:color="auto" w:fill="FFFFFF"/>
        </w:rPr>
        <w:t>‘[t]hey are criteria which, taken jointly, enable the degree of effectiveness of t</w:t>
      </w:r>
      <w:r w:rsidR="00E17C9D">
        <w:rPr>
          <w:rFonts w:ascii="Times New Roman" w:hAnsi="Times New Roman" w:cs="Times New Roman"/>
          <w:color w:val="000000" w:themeColor="text1"/>
          <w:sz w:val="24"/>
          <w:szCs w:val="24"/>
          <w:shd w:val="clear" w:color="auto" w:fill="FFFFFF"/>
        </w:rPr>
        <w:t>he investigation to be assessed</w:t>
      </w:r>
      <w:r w:rsidR="0085138A" w:rsidRPr="00490DD1">
        <w:rPr>
          <w:rFonts w:ascii="Times New Roman" w:hAnsi="Times New Roman" w:cs="Times New Roman"/>
          <w:color w:val="000000" w:themeColor="text1"/>
          <w:sz w:val="24"/>
          <w:szCs w:val="24"/>
          <w:shd w:val="clear" w:color="auto" w:fill="FFFFFF"/>
        </w:rPr>
        <w:t>’</w:t>
      </w:r>
      <w:r w:rsidR="00615026">
        <w:rPr>
          <w:rFonts w:ascii="Times New Roman" w:hAnsi="Times New Roman" w:cs="Times New Roman"/>
          <w:color w:val="000000" w:themeColor="text1"/>
          <w:sz w:val="24"/>
          <w:szCs w:val="24"/>
          <w:shd w:val="clear" w:color="auto" w:fill="FFFFFF"/>
        </w:rPr>
        <w:t>.</w:t>
      </w:r>
      <w:r w:rsidR="0085138A" w:rsidRPr="00490DD1">
        <w:rPr>
          <w:rStyle w:val="FootnoteReference"/>
          <w:rFonts w:ascii="Times New Roman" w:hAnsi="Times New Roman" w:cs="Times New Roman"/>
          <w:color w:val="000000" w:themeColor="text1"/>
          <w:sz w:val="24"/>
          <w:szCs w:val="24"/>
          <w:shd w:val="clear" w:color="auto" w:fill="FFFFFF"/>
        </w:rPr>
        <w:footnoteReference w:id="18"/>
      </w:r>
      <w:r w:rsidR="00E17C9D">
        <w:rPr>
          <w:rFonts w:ascii="Times New Roman" w:hAnsi="Times New Roman" w:cs="Times New Roman"/>
          <w:color w:val="000000" w:themeColor="text1"/>
          <w:sz w:val="24"/>
          <w:szCs w:val="24"/>
          <w:shd w:val="clear" w:color="auto" w:fill="FFFFFF"/>
        </w:rPr>
        <w:t xml:space="preserve"> </w:t>
      </w:r>
      <w:r w:rsidR="00B319A9">
        <w:rPr>
          <w:rFonts w:ascii="Times New Roman" w:hAnsi="Times New Roman" w:cs="Times New Roman"/>
          <w:color w:val="000000" w:themeColor="text1"/>
          <w:sz w:val="24"/>
          <w:szCs w:val="24"/>
        </w:rPr>
        <w:t xml:space="preserve">In other words, not every failure to meet the principles and the individual elements </w:t>
      </w:r>
      <w:r w:rsidR="009A7027">
        <w:rPr>
          <w:rFonts w:ascii="Times New Roman" w:hAnsi="Times New Roman" w:cs="Times New Roman"/>
          <w:color w:val="000000" w:themeColor="text1"/>
          <w:sz w:val="24"/>
          <w:szCs w:val="24"/>
        </w:rPr>
        <w:t xml:space="preserve">thereof </w:t>
      </w:r>
      <w:r w:rsidR="00B319A9">
        <w:rPr>
          <w:rFonts w:ascii="Times New Roman" w:hAnsi="Times New Roman" w:cs="Times New Roman"/>
          <w:color w:val="000000" w:themeColor="text1"/>
          <w:sz w:val="24"/>
          <w:szCs w:val="24"/>
        </w:rPr>
        <w:t xml:space="preserve">will automatically lead to a violation. </w:t>
      </w:r>
    </w:p>
    <w:p w14:paraId="5FF2E533" w14:textId="77777777" w:rsidR="000A1460" w:rsidRPr="00490DD1" w:rsidRDefault="000A1460" w:rsidP="000A1460">
      <w:pPr>
        <w:spacing w:after="0" w:line="360" w:lineRule="auto"/>
        <w:rPr>
          <w:rFonts w:ascii="Times New Roman" w:hAnsi="Times New Roman" w:cs="Times New Roman"/>
          <w:color w:val="000000" w:themeColor="text1"/>
          <w:sz w:val="24"/>
          <w:szCs w:val="24"/>
        </w:rPr>
      </w:pPr>
    </w:p>
    <w:p w14:paraId="4D797D45" w14:textId="11AE16F5" w:rsidR="00C400F3" w:rsidRDefault="0015476E" w:rsidP="00670537">
      <w:pPr>
        <w:spacing w:after="0" w:line="360" w:lineRule="auto"/>
        <w:ind w:firstLine="720"/>
        <w:rPr>
          <w:rFonts w:ascii="Times New Roman" w:hAnsi="Times New Roman" w:cs="Times New Roman"/>
          <w:color w:val="000000" w:themeColor="text1"/>
          <w:sz w:val="24"/>
          <w:szCs w:val="24"/>
        </w:rPr>
      </w:pPr>
      <w:r w:rsidRPr="00490DD1">
        <w:rPr>
          <w:rStyle w:val="apple-converted-space"/>
          <w:rFonts w:ascii="Times New Roman" w:hAnsi="Times New Roman" w:cs="Times New Roman"/>
          <w:color w:val="000000" w:themeColor="text1"/>
          <w:sz w:val="24"/>
          <w:szCs w:val="24"/>
          <w:shd w:val="clear" w:color="auto" w:fill="FFFFFF"/>
        </w:rPr>
        <w:t xml:space="preserve">Such principles and elements were </w:t>
      </w:r>
      <w:r w:rsidR="004070B4" w:rsidRPr="00490DD1">
        <w:rPr>
          <w:rStyle w:val="apple-converted-space"/>
          <w:rFonts w:ascii="Times New Roman" w:hAnsi="Times New Roman" w:cs="Times New Roman"/>
          <w:color w:val="000000" w:themeColor="text1"/>
          <w:sz w:val="24"/>
          <w:szCs w:val="24"/>
          <w:shd w:val="clear" w:color="auto" w:fill="FFFFFF"/>
        </w:rPr>
        <w:t>originally</w:t>
      </w:r>
      <w:r w:rsidRPr="00490DD1">
        <w:rPr>
          <w:rStyle w:val="apple-converted-space"/>
          <w:rFonts w:ascii="Times New Roman" w:hAnsi="Times New Roman" w:cs="Times New Roman"/>
          <w:color w:val="000000" w:themeColor="text1"/>
          <w:sz w:val="24"/>
          <w:szCs w:val="24"/>
          <w:shd w:val="clear" w:color="auto" w:fill="FFFFFF"/>
        </w:rPr>
        <w:t xml:space="preserve"> spelled out in cases relating to law-enforcement situations on the territory of </w:t>
      </w:r>
      <w:r w:rsidR="004070B4" w:rsidRPr="00490DD1">
        <w:rPr>
          <w:rStyle w:val="apple-converted-space"/>
          <w:rFonts w:ascii="Times New Roman" w:hAnsi="Times New Roman" w:cs="Times New Roman"/>
          <w:color w:val="000000" w:themeColor="text1"/>
          <w:sz w:val="24"/>
          <w:szCs w:val="24"/>
          <w:shd w:val="clear" w:color="auto" w:fill="FFFFFF"/>
        </w:rPr>
        <w:t>a</w:t>
      </w:r>
      <w:r w:rsidRPr="00490DD1">
        <w:rPr>
          <w:rStyle w:val="apple-converted-space"/>
          <w:rFonts w:ascii="Times New Roman" w:hAnsi="Times New Roman" w:cs="Times New Roman"/>
          <w:color w:val="000000" w:themeColor="text1"/>
          <w:sz w:val="24"/>
          <w:szCs w:val="24"/>
          <w:shd w:val="clear" w:color="auto" w:fill="FFFFFF"/>
        </w:rPr>
        <w:t xml:space="preserve"> State party. They were then extended to armed conflict situations</w:t>
      </w:r>
      <w:r w:rsidR="00F94647">
        <w:rPr>
          <w:rStyle w:val="apple-converted-space"/>
          <w:rFonts w:ascii="Times New Roman" w:hAnsi="Times New Roman" w:cs="Times New Roman"/>
          <w:color w:val="000000" w:themeColor="text1"/>
          <w:sz w:val="24"/>
          <w:szCs w:val="24"/>
          <w:shd w:val="clear" w:color="auto" w:fill="FFFFFF"/>
        </w:rPr>
        <w:t xml:space="preserve">, </w:t>
      </w:r>
      <w:r w:rsidRPr="00490DD1">
        <w:rPr>
          <w:rStyle w:val="apple-converted-space"/>
          <w:rFonts w:ascii="Times New Roman" w:hAnsi="Times New Roman" w:cs="Times New Roman"/>
          <w:color w:val="000000" w:themeColor="text1"/>
          <w:sz w:val="24"/>
          <w:szCs w:val="24"/>
          <w:shd w:val="clear" w:color="auto" w:fill="FFFFFF"/>
        </w:rPr>
        <w:t>t</w:t>
      </w:r>
      <w:r w:rsidR="00C400F3" w:rsidRPr="00490DD1">
        <w:rPr>
          <w:rFonts w:ascii="Times New Roman" w:hAnsi="Times New Roman" w:cs="Times New Roman"/>
          <w:color w:val="000000" w:themeColor="text1"/>
          <w:sz w:val="24"/>
          <w:szCs w:val="24"/>
        </w:rPr>
        <w:t>he Court stress</w:t>
      </w:r>
      <w:r w:rsidR="00F94647">
        <w:rPr>
          <w:rFonts w:ascii="Times New Roman" w:hAnsi="Times New Roman" w:cs="Times New Roman"/>
          <w:color w:val="000000" w:themeColor="text1"/>
          <w:sz w:val="24"/>
          <w:szCs w:val="24"/>
        </w:rPr>
        <w:t>ing</w:t>
      </w:r>
      <w:r w:rsidR="00C400F3" w:rsidRPr="00490DD1">
        <w:rPr>
          <w:rFonts w:ascii="Times New Roman" w:hAnsi="Times New Roman" w:cs="Times New Roman"/>
          <w:color w:val="000000" w:themeColor="text1"/>
          <w:sz w:val="24"/>
          <w:szCs w:val="24"/>
        </w:rPr>
        <w:t xml:space="preserve"> and maintain</w:t>
      </w:r>
      <w:r w:rsidR="00F94647">
        <w:rPr>
          <w:rFonts w:ascii="Times New Roman" w:hAnsi="Times New Roman" w:cs="Times New Roman"/>
          <w:color w:val="000000" w:themeColor="text1"/>
          <w:sz w:val="24"/>
          <w:szCs w:val="24"/>
        </w:rPr>
        <w:t>ing</w:t>
      </w:r>
      <w:r w:rsidR="00254C36" w:rsidRPr="00490DD1">
        <w:rPr>
          <w:rFonts w:ascii="Times New Roman" w:hAnsi="Times New Roman" w:cs="Times New Roman"/>
          <w:color w:val="000000" w:themeColor="text1"/>
          <w:sz w:val="24"/>
          <w:szCs w:val="24"/>
        </w:rPr>
        <w:t xml:space="preserve"> s</w:t>
      </w:r>
      <w:r w:rsidR="00C400F3" w:rsidRPr="00490DD1">
        <w:rPr>
          <w:rFonts w:ascii="Times New Roman" w:hAnsi="Times New Roman" w:cs="Times New Roman"/>
          <w:color w:val="000000" w:themeColor="text1"/>
          <w:sz w:val="24"/>
          <w:szCs w:val="24"/>
        </w:rPr>
        <w:t xml:space="preserve">ince </w:t>
      </w:r>
      <w:proofErr w:type="spellStart"/>
      <w:r w:rsidR="00C400F3" w:rsidRPr="00490DD1">
        <w:rPr>
          <w:rFonts w:ascii="Times New Roman" w:hAnsi="Times New Roman" w:cs="Times New Roman"/>
          <w:i/>
          <w:color w:val="000000" w:themeColor="text1"/>
          <w:sz w:val="24"/>
          <w:szCs w:val="24"/>
        </w:rPr>
        <w:t>Ergi</w:t>
      </w:r>
      <w:proofErr w:type="spellEnd"/>
      <w:r w:rsidR="00C400F3" w:rsidRPr="00490DD1">
        <w:rPr>
          <w:rFonts w:ascii="Times New Roman" w:hAnsi="Times New Roman" w:cs="Times New Roman"/>
          <w:color w:val="000000" w:themeColor="text1"/>
          <w:sz w:val="24"/>
          <w:szCs w:val="24"/>
        </w:rPr>
        <w:t xml:space="preserve"> and </w:t>
      </w:r>
      <w:r w:rsidR="00C400F3" w:rsidRPr="00490DD1">
        <w:rPr>
          <w:rFonts w:ascii="Times New Roman" w:hAnsi="Times New Roman" w:cs="Times New Roman"/>
          <w:i/>
          <w:color w:val="000000" w:themeColor="text1"/>
          <w:sz w:val="24"/>
          <w:szCs w:val="24"/>
        </w:rPr>
        <w:t xml:space="preserve">Kaya </w:t>
      </w:r>
      <w:r w:rsidR="00254C36" w:rsidRPr="00490DD1">
        <w:rPr>
          <w:rFonts w:ascii="Times New Roman" w:hAnsi="Times New Roman" w:cs="Times New Roman"/>
          <w:color w:val="000000" w:themeColor="text1"/>
          <w:sz w:val="24"/>
          <w:szCs w:val="24"/>
        </w:rPr>
        <w:t>t</w:t>
      </w:r>
      <w:r w:rsidR="00C400F3" w:rsidRPr="00490DD1">
        <w:rPr>
          <w:rFonts w:ascii="Times New Roman" w:hAnsi="Times New Roman" w:cs="Times New Roman"/>
          <w:color w:val="000000" w:themeColor="text1"/>
          <w:sz w:val="24"/>
          <w:szCs w:val="24"/>
        </w:rPr>
        <w:t xml:space="preserve">hat </w:t>
      </w:r>
      <w:r w:rsidRPr="00490DD1">
        <w:rPr>
          <w:rFonts w:ascii="Times New Roman" w:hAnsi="Times New Roman" w:cs="Times New Roman"/>
          <w:color w:val="000000" w:themeColor="text1"/>
          <w:sz w:val="24"/>
          <w:szCs w:val="24"/>
        </w:rPr>
        <w:t xml:space="preserve">the obligation </w:t>
      </w:r>
      <w:r w:rsidR="00C400F3" w:rsidRPr="00490DD1">
        <w:rPr>
          <w:rFonts w:ascii="Times New Roman" w:hAnsi="Times New Roman" w:cs="Times New Roman"/>
          <w:color w:val="000000" w:themeColor="text1"/>
          <w:sz w:val="24"/>
          <w:szCs w:val="24"/>
        </w:rPr>
        <w:t>also applies ‘despite the prevalence of violent armed clashes [and] the high incidence of fatalities’</w:t>
      </w:r>
      <w:r w:rsidR="00C400F3" w:rsidRPr="00490DD1">
        <w:rPr>
          <w:rStyle w:val="FootnoteReference"/>
          <w:rFonts w:ascii="Times New Roman" w:hAnsi="Times New Roman" w:cs="Times New Roman"/>
          <w:color w:val="000000" w:themeColor="text1"/>
          <w:sz w:val="24"/>
          <w:szCs w:val="24"/>
        </w:rPr>
        <w:footnoteReference w:id="19"/>
      </w:r>
      <w:r w:rsidR="00C400F3" w:rsidRPr="00490DD1">
        <w:rPr>
          <w:rFonts w:ascii="Times New Roman" w:hAnsi="Times New Roman" w:cs="Times New Roman"/>
          <w:color w:val="000000" w:themeColor="text1"/>
          <w:sz w:val="24"/>
          <w:szCs w:val="24"/>
        </w:rPr>
        <w:t xml:space="preserve"> and ‘in difficult security conditions, including in a context of armed conflict’</w:t>
      </w:r>
      <w:r w:rsidR="00615026">
        <w:rPr>
          <w:rFonts w:ascii="Times New Roman" w:hAnsi="Times New Roman" w:cs="Times New Roman"/>
          <w:color w:val="000000" w:themeColor="text1"/>
          <w:sz w:val="24"/>
          <w:szCs w:val="24"/>
        </w:rPr>
        <w:t>.</w:t>
      </w:r>
      <w:r w:rsidR="00C400F3" w:rsidRPr="00490DD1">
        <w:rPr>
          <w:rStyle w:val="FootnoteReference"/>
          <w:rFonts w:ascii="Times New Roman" w:hAnsi="Times New Roman" w:cs="Times New Roman"/>
          <w:color w:val="000000" w:themeColor="text1"/>
          <w:sz w:val="24"/>
          <w:szCs w:val="24"/>
        </w:rPr>
        <w:footnoteReference w:id="20"/>
      </w:r>
      <w:r w:rsidR="00C400F3" w:rsidRPr="00490DD1">
        <w:rPr>
          <w:rFonts w:ascii="Times New Roman" w:hAnsi="Times New Roman" w:cs="Times New Roman"/>
          <w:color w:val="000000" w:themeColor="text1"/>
          <w:sz w:val="24"/>
          <w:szCs w:val="24"/>
        </w:rPr>
        <w:t xml:space="preserve"> </w:t>
      </w:r>
      <w:r w:rsidR="00755A7D" w:rsidRPr="00490DD1">
        <w:rPr>
          <w:rFonts w:ascii="Times New Roman" w:hAnsi="Times New Roman" w:cs="Times New Roman"/>
          <w:color w:val="000000" w:themeColor="text1"/>
          <w:sz w:val="24"/>
          <w:szCs w:val="24"/>
        </w:rPr>
        <w:t xml:space="preserve">A more tailored set of requirements and elements was then fashioned by the Court, acknowledging some of the inherent challenges in applying </w:t>
      </w:r>
      <w:r w:rsidR="004070B4" w:rsidRPr="00490DD1">
        <w:rPr>
          <w:rFonts w:ascii="Times New Roman" w:hAnsi="Times New Roman" w:cs="Times New Roman"/>
          <w:color w:val="000000" w:themeColor="text1"/>
          <w:sz w:val="24"/>
          <w:szCs w:val="24"/>
        </w:rPr>
        <w:t xml:space="preserve">them </w:t>
      </w:r>
      <w:r w:rsidR="00755A7D" w:rsidRPr="00490DD1">
        <w:rPr>
          <w:rFonts w:ascii="Times New Roman" w:hAnsi="Times New Roman" w:cs="Times New Roman"/>
          <w:color w:val="000000" w:themeColor="text1"/>
          <w:sz w:val="24"/>
          <w:szCs w:val="24"/>
        </w:rPr>
        <w:t xml:space="preserve">to military operations. As the Court </w:t>
      </w:r>
      <w:r w:rsidR="004070B4" w:rsidRPr="00490DD1">
        <w:rPr>
          <w:rFonts w:ascii="Times New Roman" w:hAnsi="Times New Roman" w:cs="Times New Roman"/>
          <w:color w:val="000000" w:themeColor="text1"/>
          <w:sz w:val="24"/>
          <w:szCs w:val="24"/>
        </w:rPr>
        <w:t>expanded</w:t>
      </w:r>
      <w:r w:rsidR="00755A7D" w:rsidRPr="00490DD1">
        <w:rPr>
          <w:rFonts w:ascii="Times New Roman" w:hAnsi="Times New Roman" w:cs="Times New Roman"/>
          <w:color w:val="000000" w:themeColor="text1"/>
          <w:sz w:val="24"/>
          <w:szCs w:val="24"/>
        </w:rPr>
        <w:t xml:space="preserve"> the Convention’s application to extra-territorial situations,</w:t>
      </w:r>
      <w:r w:rsidR="003D06A7">
        <w:rPr>
          <w:rStyle w:val="FootnoteReference"/>
          <w:rFonts w:ascii="Times New Roman" w:hAnsi="Times New Roman" w:cs="Times New Roman"/>
          <w:color w:val="000000" w:themeColor="text1"/>
          <w:sz w:val="24"/>
          <w:szCs w:val="24"/>
        </w:rPr>
        <w:footnoteReference w:id="21"/>
      </w:r>
      <w:r w:rsidR="00755A7D" w:rsidRPr="00490DD1">
        <w:rPr>
          <w:rFonts w:ascii="Times New Roman" w:hAnsi="Times New Roman" w:cs="Times New Roman"/>
          <w:color w:val="000000" w:themeColor="text1"/>
          <w:sz w:val="24"/>
          <w:szCs w:val="24"/>
        </w:rPr>
        <w:t xml:space="preserve"> the investigation of deaths occurring in armed conflicts fought by State parties abroad </w:t>
      </w:r>
      <w:r w:rsidR="00F91FC7" w:rsidRPr="00490DD1">
        <w:rPr>
          <w:rFonts w:ascii="Times New Roman" w:hAnsi="Times New Roman" w:cs="Times New Roman"/>
          <w:color w:val="000000" w:themeColor="text1"/>
          <w:sz w:val="24"/>
          <w:szCs w:val="24"/>
        </w:rPr>
        <w:t>fell within the ambit of the Convention guarantees</w:t>
      </w:r>
      <w:r w:rsidR="00CF4D23" w:rsidRPr="00490DD1">
        <w:rPr>
          <w:rFonts w:ascii="Times New Roman" w:hAnsi="Times New Roman" w:cs="Times New Roman"/>
          <w:color w:val="000000" w:themeColor="text1"/>
          <w:sz w:val="24"/>
          <w:szCs w:val="24"/>
        </w:rPr>
        <w:t xml:space="preserve"> </w:t>
      </w:r>
      <w:r w:rsidR="00F91FC7" w:rsidRPr="00490DD1">
        <w:rPr>
          <w:rFonts w:ascii="Times New Roman" w:hAnsi="Times New Roman" w:cs="Times New Roman"/>
          <w:color w:val="000000" w:themeColor="text1"/>
          <w:sz w:val="24"/>
          <w:szCs w:val="24"/>
        </w:rPr>
        <w:t>an</w:t>
      </w:r>
      <w:r w:rsidR="00A3617D" w:rsidRPr="00490DD1">
        <w:rPr>
          <w:rFonts w:ascii="Times New Roman" w:hAnsi="Times New Roman" w:cs="Times New Roman"/>
          <w:color w:val="000000" w:themeColor="text1"/>
          <w:sz w:val="24"/>
          <w:szCs w:val="24"/>
        </w:rPr>
        <w:t xml:space="preserve">d </w:t>
      </w:r>
      <w:r w:rsidR="00151047" w:rsidRPr="00490DD1">
        <w:rPr>
          <w:rFonts w:ascii="Times New Roman" w:hAnsi="Times New Roman" w:cs="Times New Roman"/>
          <w:color w:val="000000" w:themeColor="text1"/>
          <w:sz w:val="24"/>
          <w:szCs w:val="24"/>
        </w:rPr>
        <w:t>t</w:t>
      </w:r>
      <w:r w:rsidR="00F91FC7" w:rsidRPr="00490DD1">
        <w:rPr>
          <w:rFonts w:ascii="Times New Roman" w:hAnsi="Times New Roman" w:cs="Times New Roman"/>
          <w:color w:val="000000" w:themeColor="text1"/>
          <w:sz w:val="24"/>
          <w:szCs w:val="24"/>
        </w:rPr>
        <w:t>hu</w:t>
      </w:r>
      <w:r w:rsidR="00A3617D" w:rsidRPr="00490DD1">
        <w:rPr>
          <w:rFonts w:ascii="Times New Roman" w:hAnsi="Times New Roman" w:cs="Times New Roman"/>
          <w:color w:val="000000" w:themeColor="text1"/>
          <w:sz w:val="24"/>
          <w:szCs w:val="24"/>
        </w:rPr>
        <w:t xml:space="preserve">s </w:t>
      </w:r>
      <w:r w:rsidR="00755A7D" w:rsidRPr="00490DD1">
        <w:rPr>
          <w:rFonts w:ascii="Times New Roman" w:hAnsi="Times New Roman" w:cs="Times New Roman"/>
          <w:color w:val="000000" w:themeColor="text1"/>
          <w:sz w:val="24"/>
          <w:szCs w:val="24"/>
        </w:rPr>
        <w:t xml:space="preserve">had to comply with </w:t>
      </w:r>
      <w:r w:rsidR="00F91FC7" w:rsidRPr="00490DD1">
        <w:rPr>
          <w:rFonts w:ascii="Times New Roman" w:hAnsi="Times New Roman" w:cs="Times New Roman"/>
          <w:color w:val="000000" w:themeColor="text1"/>
          <w:sz w:val="24"/>
          <w:szCs w:val="24"/>
        </w:rPr>
        <w:t>its provisions</w:t>
      </w:r>
      <w:r w:rsidR="00755A7D" w:rsidRPr="00490DD1">
        <w:rPr>
          <w:rFonts w:ascii="Times New Roman" w:hAnsi="Times New Roman" w:cs="Times New Roman"/>
          <w:color w:val="000000" w:themeColor="text1"/>
          <w:sz w:val="24"/>
          <w:szCs w:val="24"/>
        </w:rPr>
        <w:t xml:space="preserve"> and </w:t>
      </w:r>
      <w:r w:rsidR="00F91FC7" w:rsidRPr="00490DD1">
        <w:rPr>
          <w:rFonts w:ascii="Times New Roman" w:hAnsi="Times New Roman" w:cs="Times New Roman"/>
          <w:color w:val="000000" w:themeColor="text1"/>
          <w:sz w:val="24"/>
          <w:szCs w:val="24"/>
        </w:rPr>
        <w:t>related</w:t>
      </w:r>
      <w:r w:rsidR="00755A7D" w:rsidRPr="00490DD1">
        <w:rPr>
          <w:rFonts w:ascii="Times New Roman" w:hAnsi="Times New Roman" w:cs="Times New Roman"/>
          <w:color w:val="000000" w:themeColor="text1"/>
          <w:sz w:val="24"/>
          <w:szCs w:val="24"/>
        </w:rPr>
        <w:t xml:space="preserve"> case-law</w:t>
      </w:r>
      <w:r w:rsidRPr="00490DD1">
        <w:rPr>
          <w:rFonts w:ascii="Times New Roman" w:hAnsi="Times New Roman" w:cs="Times New Roman"/>
          <w:color w:val="000000" w:themeColor="text1"/>
          <w:sz w:val="24"/>
          <w:szCs w:val="24"/>
        </w:rPr>
        <w:t>.</w:t>
      </w:r>
    </w:p>
    <w:p w14:paraId="31C91494" w14:textId="2D9D4381" w:rsidR="00755A7D" w:rsidRPr="00490DD1" w:rsidRDefault="00A3743B" w:rsidP="00670537">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755A7D" w:rsidRPr="00490DD1">
        <w:rPr>
          <w:rFonts w:ascii="Times New Roman" w:hAnsi="Times New Roman" w:cs="Times New Roman"/>
          <w:color w:val="000000" w:themeColor="text1"/>
          <w:sz w:val="24"/>
          <w:szCs w:val="24"/>
        </w:rPr>
        <w:t xml:space="preserve">his </w:t>
      </w:r>
      <w:r w:rsidR="006B7AB6" w:rsidRPr="00490DD1">
        <w:rPr>
          <w:rFonts w:ascii="Times New Roman" w:hAnsi="Times New Roman" w:cs="Times New Roman"/>
          <w:color w:val="000000" w:themeColor="text1"/>
          <w:sz w:val="24"/>
          <w:szCs w:val="24"/>
        </w:rPr>
        <w:t>article</w:t>
      </w:r>
      <w:r w:rsidR="00755A7D" w:rsidRPr="00490DD1">
        <w:rPr>
          <w:rFonts w:ascii="Times New Roman" w:hAnsi="Times New Roman" w:cs="Times New Roman"/>
          <w:color w:val="000000" w:themeColor="text1"/>
          <w:sz w:val="24"/>
          <w:szCs w:val="24"/>
        </w:rPr>
        <w:t xml:space="preserve"> </w:t>
      </w:r>
      <w:r w:rsidR="008F1456" w:rsidRPr="00490DD1">
        <w:rPr>
          <w:rFonts w:ascii="Times New Roman" w:hAnsi="Times New Roman" w:cs="Times New Roman"/>
          <w:color w:val="000000" w:themeColor="text1"/>
          <w:sz w:val="24"/>
          <w:szCs w:val="24"/>
        </w:rPr>
        <w:t>argues</w:t>
      </w:r>
      <w:r w:rsidR="00755A7D" w:rsidRPr="00490DD1">
        <w:rPr>
          <w:rFonts w:ascii="Times New Roman" w:hAnsi="Times New Roman" w:cs="Times New Roman"/>
          <w:color w:val="000000" w:themeColor="text1"/>
          <w:sz w:val="24"/>
          <w:szCs w:val="24"/>
        </w:rPr>
        <w:t xml:space="preserve"> that</w:t>
      </w:r>
      <w:r w:rsidR="00151047" w:rsidRPr="00490DD1">
        <w:rPr>
          <w:rFonts w:ascii="Times New Roman" w:hAnsi="Times New Roman" w:cs="Times New Roman"/>
          <w:color w:val="000000" w:themeColor="text1"/>
          <w:sz w:val="24"/>
          <w:szCs w:val="24"/>
        </w:rPr>
        <w:t>:</w:t>
      </w:r>
      <w:r w:rsidR="008F1456" w:rsidRPr="00490DD1">
        <w:rPr>
          <w:rFonts w:ascii="Times New Roman" w:hAnsi="Times New Roman" w:cs="Times New Roman"/>
          <w:color w:val="000000" w:themeColor="text1"/>
          <w:sz w:val="24"/>
          <w:szCs w:val="24"/>
        </w:rPr>
        <w:t xml:space="preserve"> 1) some principles and elements are sometimes difficult, if not impossible, to fulfil when </w:t>
      </w:r>
      <w:r w:rsidR="00B63A72">
        <w:rPr>
          <w:rFonts w:ascii="Times New Roman" w:hAnsi="Times New Roman" w:cs="Times New Roman"/>
          <w:color w:val="000000" w:themeColor="text1"/>
          <w:sz w:val="24"/>
          <w:szCs w:val="24"/>
        </w:rPr>
        <w:t>military</w:t>
      </w:r>
      <w:r w:rsidR="00B63A72" w:rsidRPr="00490DD1">
        <w:rPr>
          <w:rFonts w:ascii="Times New Roman" w:hAnsi="Times New Roman" w:cs="Times New Roman"/>
          <w:color w:val="000000" w:themeColor="text1"/>
          <w:sz w:val="24"/>
          <w:szCs w:val="24"/>
        </w:rPr>
        <w:t xml:space="preserve"> </w:t>
      </w:r>
      <w:r w:rsidR="008F1456" w:rsidRPr="00490DD1">
        <w:rPr>
          <w:rFonts w:ascii="Times New Roman" w:hAnsi="Times New Roman" w:cs="Times New Roman"/>
          <w:color w:val="000000" w:themeColor="text1"/>
          <w:sz w:val="24"/>
          <w:szCs w:val="24"/>
        </w:rPr>
        <w:t>operations are conducted abroa</w:t>
      </w:r>
      <w:r w:rsidR="006B5205" w:rsidRPr="00490DD1">
        <w:rPr>
          <w:rFonts w:ascii="Times New Roman" w:hAnsi="Times New Roman" w:cs="Times New Roman"/>
          <w:color w:val="000000" w:themeColor="text1"/>
          <w:sz w:val="24"/>
          <w:szCs w:val="24"/>
        </w:rPr>
        <w:t>d</w:t>
      </w:r>
      <w:r w:rsidR="00861049" w:rsidRPr="00490DD1">
        <w:rPr>
          <w:rFonts w:ascii="Times New Roman" w:hAnsi="Times New Roman" w:cs="Times New Roman"/>
          <w:color w:val="000000" w:themeColor="text1"/>
          <w:sz w:val="24"/>
          <w:szCs w:val="24"/>
        </w:rPr>
        <w:t>,</w:t>
      </w:r>
      <w:r w:rsidR="008F1456" w:rsidRPr="00490DD1">
        <w:rPr>
          <w:rFonts w:ascii="Times New Roman" w:hAnsi="Times New Roman" w:cs="Times New Roman"/>
          <w:color w:val="000000" w:themeColor="text1"/>
          <w:sz w:val="24"/>
          <w:szCs w:val="24"/>
        </w:rPr>
        <w:t xml:space="preserve"> and 2) </w:t>
      </w:r>
      <w:r w:rsidR="00755A7D" w:rsidRPr="00490DD1">
        <w:rPr>
          <w:rFonts w:ascii="Times New Roman" w:hAnsi="Times New Roman" w:cs="Times New Roman"/>
          <w:color w:val="000000" w:themeColor="text1"/>
          <w:sz w:val="24"/>
          <w:szCs w:val="24"/>
        </w:rPr>
        <w:t>the Court</w:t>
      </w:r>
      <w:r w:rsidR="008F1456" w:rsidRPr="00490DD1">
        <w:rPr>
          <w:rFonts w:ascii="Times New Roman" w:hAnsi="Times New Roman" w:cs="Times New Roman"/>
          <w:color w:val="000000" w:themeColor="text1"/>
          <w:sz w:val="24"/>
          <w:szCs w:val="24"/>
        </w:rPr>
        <w:t xml:space="preserve"> has </w:t>
      </w:r>
      <w:r w:rsidR="00F91FC7" w:rsidRPr="00490DD1">
        <w:rPr>
          <w:rFonts w:ascii="Times New Roman" w:hAnsi="Times New Roman" w:cs="Times New Roman"/>
          <w:color w:val="000000" w:themeColor="text1"/>
          <w:sz w:val="24"/>
          <w:szCs w:val="24"/>
        </w:rPr>
        <w:t xml:space="preserve">sometimes </w:t>
      </w:r>
      <w:r w:rsidR="008F1456" w:rsidRPr="00490DD1">
        <w:rPr>
          <w:rFonts w:ascii="Times New Roman" w:hAnsi="Times New Roman" w:cs="Times New Roman"/>
          <w:color w:val="000000" w:themeColor="text1"/>
          <w:sz w:val="24"/>
          <w:szCs w:val="24"/>
        </w:rPr>
        <w:t xml:space="preserve">shown </w:t>
      </w:r>
      <w:r w:rsidR="00F91FC7" w:rsidRPr="00490DD1">
        <w:rPr>
          <w:rFonts w:ascii="Times New Roman" w:hAnsi="Times New Roman" w:cs="Times New Roman"/>
          <w:color w:val="000000" w:themeColor="text1"/>
          <w:sz w:val="24"/>
          <w:szCs w:val="24"/>
        </w:rPr>
        <w:t>flexibilit</w:t>
      </w:r>
      <w:r w:rsidR="006B5205" w:rsidRPr="00490DD1">
        <w:rPr>
          <w:rFonts w:ascii="Times New Roman" w:hAnsi="Times New Roman" w:cs="Times New Roman"/>
          <w:color w:val="000000" w:themeColor="text1"/>
          <w:sz w:val="24"/>
          <w:szCs w:val="24"/>
        </w:rPr>
        <w:t xml:space="preserve">y </w:t>
      </w:r>
      <w:r w:rsidR="00F91FC7" w:rsidRPr="00490DD1">
        <w:rPr>
          <w:rFonts w:ascii="Times New Roman" w:hAnsi="Times New Roman" w:cs="Times New Roman"/>
          <w:color w:val="000000" w:themeColor="text1"/>
          <w:sz w:val="24"/>
          <w:szCs w:val="24"/>
        </w:rPr>
        <w:t>but</w:t>
      </w:r>
      <w:r w:rsidR="006B5205" w:rsidRPr="00490DD1">
        <w:rPr>
          <w:rFonts w:ascii="Times New Roman" w:hAnsi="Times New Roman" w:cs="Times New Roman"/>
          <w:color w:val="000000" w:themeColor="text1"/>
          <w:sz w:val="24"/>
          <w:szCs w:val="24"/>
        </w:rPr>
        <w:t>,</w:t>
      </w:r>
      <w:r w:rsidR="00F91FC7" w:rsidRPr="00490DD1">
        <w:rPr>
          <w:rFonts w:ascii="Times New Roman" w:hAnsi="Times New Roman" w:cs="Times New Roman"/>
          <w:color w:val="000000" w:themeColor="text1"/>
          <w:sz w:val="24"/>
          <w:szCs w:val="24"/>
        </w:rPr>
        <w:t xml:space="preserve"> in others</w:t>
      </w:r>
      <w:r w:rsidR="00EA41FC" w:rsidRPr="00490DD1">
        <w:rPr>
          <w:rFonts w:ascii="Times New Roman" w:hAnsi="Times New Roman" w:cs="Times New Roman"/>
          <w:color w:val="000000" w:themeColor="text1"/>
          <w:sz w:val="24"/>
          <w:szCs w:val="24"/>
        </w:rPr>
        <w:t>,</w:t>
      </w:r>
      <w:r w:rsidR="00F91FC7" w:rsidRPr="00490DD1">
        <w:rPr>
          <w:rFonts w:ascii="Times New Roman" w:hAnsi="Times New Roman" w:cs="Times New Roman"/>
          <w:color w:val="000000" w:themeColor="text1"/>
          <w:sz w:val="24"/>
          <w:szCs w:val="24"/>
        </w:rPr>
        <w:t xml:space="preserve"> </w:t>
      </w:r>
      <w:r w:rsidR="00755A7D" w:rsidRPr="00490DD1">
        <w:rPr>
          <w:rFonts w:ascii="Times New Roman" w:hAnsi="Times New Roman" w:cs="Times New Roman"/>
          <w:color w:val="000000" w:themeColor="text1"/>
          <w:sz w:val="24"/>
          <w:szCs w:val="24"/>
        </w:rPr>
        <w:t>fail</w:t>
      </w:r>
      <w:r w:rsidR="00957B89">
        <w:rPr>
          <w:rFonts w:ascii="Times New Roman" w:hAnsi="Times New Roman" w:cs="Times New Roman"/>
          <w:color w:val="000000" w:themeColor="text1"/>
          <w:sz w:val="24"/>
          <w:szCs w:val="24"/>
        </w:rPr>
        <w:t>ed</w:t>
      </w:r>
      <w:r w:rsidR="00755A7D" w:rsidRPr="00490DD1">
        <w:rPr>
          <w:rFonts w:ascii="Times New Roman" w:hAnsi="Times New Roman" w:cs="Times New Roman"/>
          <w:color w:val="000000" w:themeColor="text1"/>
          <w:sz w:val="24"/>
          <w:szCs w:val="24"/>
        </w:rPr>
        <w:t xml:space="preserve"> to recognise the inherent challenges faced by States in complying with these principles</w:t>
      </w:r>
      <w:r w:rsidR="00F91FC7" w:rsidRPr="00490DD1">
        <w:rPr>
          <w:rFonts w:ascii="Times New Roman" w:hAnsi="Times New Roman" w:cs="Times New Roman"/>
          <w:color w:val="000000" w:themeColor="text1"/>
          <w:sz w:val="24"/>
          <w:szCs w:val="24"/>
        </w:rPr>
        <w:t xml:space="preserve"> in a</w:t>
      </w:r>
      <w:r w:rsidR="008F1456" w:rsidRPr="00490DD1">
        <w:rPr>
          <w:rFonts w:ascii="Times New Roman" w:hAnsi="Times New Roman" w:cs="Times New Roman"/>
          <w:color w:val="000000" w:themeColor="text1"/>
          <w:sz w:val="24"/>
          <w:szCs w:val="24"/>
        </w:rPr>
        <w:t xml:space="preserve">n extra-territorial setting. </w:t>
      </w:r>
      <w:r w:rsidR="00B63A72">
        <w:rPr>
          <w:rFonts w:ascii="Times New Roman" w:hAnsi="Times New Roman" w:cs="Times New Roman"/>
          <w:color w:val="000000" w:themeColor="text1"/>
          <w:sz w:val="24"/>
          <w:szCs w:val="24"/>
        </w:rPr>
        <w:t>Thus</w:t>
      </w:r>
      <w:r w:rsidR="008F1456" w:rsidRPr="00490DD1">
        <w:rPr>
          <w:rFonts w:ascii="Times New Roman" w:hAnsi="Times New Roman" w:cs="Times New Roman"/>
          <w:color w:val="000000" w:themeColor="text1"/>
          <w:sz w:val="24"/>
          <w:szCs w:val="24"/>
        </w:rPr>
        <w:t xml:space="preserve">, </w:t>
      </w:r>
      <w:r w:rsidR="00151047" w:rsidRPr="00490DD1">
        <w:rPr>
          <w:rFonts w:ascii="Times New Roman" w:hAnsi="Times New Roman" w:cs="Times New Roman"/>
          <w:color w:val="000000" w:themeColor="text1"/>
          <w:sz w:val="24"/>
          <w:szCs w:val="24"/>
        </w:rPr>
        <w:t>this</w:t>
      </w:r>
      <w:r w:rsidR="008F1456" w:rsidRPr="00490DD1">
        <w:rPr>
          <w:rFonts w:ascii="Times New Roman" w:hAnsi="Times New Roman" w:cs="Times New Roman"/>
          <w:color w:val="000000" w:themeColor="text1"/>
          <w:sz w:val="24"/>
          <w:szCs w:val="24"/>
        </w:rPr>
        <w:t xml:space="preserve"> article contends</w:t>
      </w:r>
      <w:r w:rsidR="00F91FC7" w:rsidRPr="00490DD1">
        <w:rPr>
          <w:rFonts w:ascii="Times New Roman" w:hAnsi="Times New Roman" w:cs="Times New Roman"/>
          <w:color w:val="000000" w:themeColor="text1"/>
          <w:sz w:val="24"/>
          <w:szCs w:val="24"/>
        </w:rPr>
        <w:t xml:space="preserve"> that the Court ought to recognise the distinct nature of extra-territorial armed conflicts</w:t>
      </w:r>
      <w:r w:rsidR="00755A7D" w:rsidRPr="00490DD1">
        <w:rPr>
          <w:rFonts w:ascii="Times New Roman" w:hAnsi="Times New Roman" w:cs="Times New Roman"/>
          <w:color w:val="000000" w:themeColor="text1"/>
          <w:sz w:val="24"/>
          <w:szCs w:val="24"/>
        </w:rPr>
        <w:t xml:space="preserve"> </w:t>
      </w:r>
      <w:r w:rsidR="00F91FC7" w:rsidRPr="00490DD1">
        <w:rPr>
          <w:rFonts w:ascii="Times New Roman" w:hAnsi="Times New Roman" w:cs="Times New Roman"/>
          <w:color w:val="000000" w:themeColor="text1"/>
          <w:sz w:val="24"/>
          <w:szCs w:val="24"/>
        </w:rPr>
        <w:t>when applying its jurisprudence.</w:t>
      </w:r>
      <w:r>
        <w:rPr>
          <w:rFonts w:ascii="Times New Roman" w:hAnsi="Times New Roman" w:cs="Times New Roman"/>
          <w:color w:val="000000" w:themeColor="text1"/>
          <w:sz w:val="24"/>
          <w:szCs w:val="24"/>
        </w:rPr>
        <w:t xml:space="preserve"> </w:t>
      </w:r>
    </w:p>
    <w:p w14:paraId="570D0234" w14:textId="588C8BB8" w:rsidR="00FF53D1" w:rsidRPr="00490DD1" w:rsidRDefault="00957B89" w:rsidP="00670537">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this view this article</w:t>
      </w:r>
      <w:r w:rsidR="00A3743B">
        <w:rPr>
          <w:rFonts w:ascii="Times New Roman" w:hAnsi="Times New Roman" w:cs="Times New Roman"/>
          <w:color w:val="000000" w:themeColor="text1"/>
          <w:sz w:val="24"/>
          <w:szCs w:val="24"/>
        </w:rPr>
        <w:t xml:space="preserve"> uses the jurisprudence of </w:t>
      </w:r>
      <w:r w:rsidR="00A301F3">
        <w:rPr>
          <w:rFonts w:ascii="Times New Roman" w:hAnsi="Times New Roman" w:cs="Times New Roman"/>
          <w:color w:val="000000" w:themeColor="text1"/>
          <w:sz w:val="24"/>
          <w:szCs w:val="24"/>
        </w:rPr>
        <w:t xml:space="preserve">both </w:t>
      </w:r>
      <w:r w:rsidR="00A3743B">
        <w:rPr>
          <w:rFonts w:ascii="Times New Roman" w:hAnsi="Times New Roman" w:cs="Times New Roman"/>
          <w:color w:val="000000" w:themeColor="text1"/>
          <w:sz w:val="24"/>
          <w:szCs w:val="24"/>
        </w:rPr>
        <w:t xml:space="preserve">the Court as well as the experience of the British armed forces as a case-study. First, whenever available, arguments are supported by cases concerning armed conflicts </w:t>
      </w:r>
      <w:r w:rsidR="00A301F3">
        <w:rPr>
          <w:rFonts w:ascii="Times New Roman" w:hAnsi="Times New Roman" w:cs="Times New Roman"/>
          <w:color w:val="000000" w:themeColor="text1"/>
          <w:sz w:val="24"/>
          <w:szCs w:val="24"/>
        </w:rPr>
        <w:t>or situations of violence in an extra-territorial context</w:t>
      </w:r>
      <w:r w:rsidR="00A3743B">
        <w:rPr>
          <w:rFonts w:ascii="Times New Roman" w:hAnsi="Times New Roman" w:cs="Times New Roman"/>
          <w:color w:val="000000" w:themeColor="text1"/>
          <w:sz w:val="24"/>
          <w:szCs w:val="24"/>
        </w:rPr>
        <w:t xml:space="preserve">. If there are no such </w:t>
      </w:r>
      <w:proofErr w:type="gramStart"/>
      <w:r w:rsidR="00A3743B">
        <w:rPr>
          <w:rFonts w:ascii="Times New Roman" w:hAnsi="Times New Roman" w:cs="Times New Roman"/>
          <w:color w:val="000000" w:themeColor="text1"/>
          <w:sz w:val="24"/>
          <w:szCs w:val="24"/>
        </w:rPr>
        <w:t>cases</w:t>
      </w:r>
      <w:proofErr w:type="gramEnd"/>
      <w:r w:rsidR="00A3743B">
        <w:rPr>
          <w:rFonts w:ascii="Times New Roman" w:hAnsi="Times New Roman" w:cs="Times New Roman"/>
          <w:color w:val="000000" w:themeColor="text1"/>
          <w:sz w:val="24"/>
          <w:szCs w:val="24"/>
        </w:rPr>
        <w:t xml:space="preserve"> then recourse must be had to cases relating to armed conflicts (</w:t>
      </w:r>
      <w:r w:rsidR="00493A06">
        <w:rPr>
          <w:rFonts w:ascii="Times New Roman" w:hAnsi="Times New Roman" w:cs="Times New Roman"/>
          <w:color w:val="000000" w:themeColor="text1"/>
          <w:sz w:val="24"/>
          <w:szCs w:val="24"/>
        </w:rPr>
        <w:t xml:space="preserve">for example </w:t>
      </w:r>
      <w:r w:rsidR="00A3743B">
        <w:rPr>
          <w:rFonts w:ascii="Times New Roman" w:hAnsi="Times New Roman" w:cs="Times New Roman"/>
          <w:color w:val="000000" w:themeColor="text1"/>
          <w:sz w:val="24"/>
          <w:szCs w:val="24"/>
        </w:rPr>
        <w:t>Chechnya) or situations of violence (</w:t>
      </w:r>
      <w:r w:rsidR="00493A06">
        <w:rPr>
          <w:rFonts w:ascii="Times New Roman" w:hAnsi="Times New Roman" w:cs="Times New Roman"/>
          <w:color w:val="000000" w:themeColor="text1"/>
          <w:sz w:val="24"/>
          <w:szCs w:val="24"/>
        </w:rPr>
        <w:t xml:space="preserve">for example </w:t>
      </w:r>
      <w:r w:rsidR="00B96ACE">
        <w:rPr>
          <w:rFonts w:ascii="Times New Roman" w:hAnsi="Times New Roman" w:cs="Times New Roman"/>
          <w:color w:val="000000" w:themeColor="text1"/>
          <w:sz w:val="24"/>
          <w:szCs w:val="24"/>
        </w:rPr>
        <w:lastRenderedPageBreak/>
        <w:t>Northern Ireland and</w:t>
      </w:r>
      <w:r w:rsidR="00A3743B">
        <w:rPr>
          <w:rFonts w:ascii="Times New Roman" w:hAnsi="Times New Roman" w:cs="Times New Roman"/>
          <w:color w:val="000000" w:themeColor="text1"/>
          <w:sz w:val="24"/>
          <w:szCs w:val="24"/>
        </w:rPr>
        <w:t xml:space="preserve"> Turkey)</w:t>
      </w:r>
      <w:r w:rsidR="003174EE">
        <w:rPr>
          <w:rFonts w:ascii="Times New Roman" w:hAnsi="Times New Roman" w:cs="Times New Roman"/>
          <w:color w:val="000000" w:themeColor="text1"/>
          <w:sz w:val="24"/>
          <w:szCs w:val="24"/>
        </w:rPr>
        <w:t xml:space="preserve"> on</w:t>
      </w:r>
      <w:r w:rsidR="00A3743B">
        <w:rPr>
          <w:rFonts w:ascii="Times New Roman" w:hAnsi="Times New Roman" w:cs="Times New Roman"/>
          <w:color w:val="000000" w:themeColor="text1"/>
          <w:sz w:val="24"/>
          <w:szCs w:val="24"/>
        </w:rPr>
        <w:t xml:space="preserve"> the </w:t>
      </w:r>
      <w:r w:rsidR="003174EE">
        <w:rPr>
          <w:rFonts w:ascii="Times New Roman" w:hAnsi="Times New Roman" w:cs="Times New Roman"/>
          <w:color w:val="000000" w:themeColor="text1"/>
          <w:sz w:val="24"/>
          <w:szCs w:val="24"/>
        </w:rPr>
        <w:t xml:space="preserve">territory of the </w:t>
      </w:r>
      <w:r w:rsidR="00A3743B">
        <w:rPr>
          <w:rFonts w:ascii="Times New Roman" w:hAnsi="Times New Roman" w:cs="Times New Roman"/>
          <w:color w:val="000000" w:themeColor="text1"/>
          <w:sz w:val="24"/>
          <w:szCs w:val="24"/>
        </w:rPr>
        <w:t>State party</w:t>
      </w:r>
      <w:r w:rsidR="008F7A4E">
        <w:rPr>
          <w:rFonts w:ascii="Times New Roman" w:hAnsi="Times New Roman" w:cs="Times New Roman"/>
          <w:color w:val="000000" w:themeColor="text1"/>
          <w:sz w:val="24"/>
          <w:szCs w:val="24"/>
        </w:rPr>
        <w:t xml:space="preserve"> as the jurisprudence is indicative of what the Court may require in an extra-territorial context</w:t>
      </w:r>
      <w:r w:rsidR="008123EF">
        <w:rPr>
          <w:rFonts w:ascii="Times New Roman" w:hAnsi="Times New Roman" w:cs="Times New Roman"/>
          <w:color w:val="000000" w:themeColor="text1"/>
          <w:sz w:val="24"/>
          <w:szCs w:val="24"/>
        </w:rPr>
        <w:t>. One would indeed expect the Court to assess s</w:t>
      </w:r>
      <w:r w:rsidR="00586D3D">
        <w:rPr>
          <w:rFonts w:ascii="Times New Roman" w:hAnsi="Times New Roman" w:cs="Times New Roman"/>
          <w:color w:val="000000" w:themeColor="text1"/>
          <w:sz w:val="24"/>
          <w:szCs w:val="24"/>
        </w:rPr>
        <w:t>imilar situations of (armed) violence</w:t>
      </w:r>
      <w:r w:rsidR="008123EF">
        <w:rPr>
          <w:rFonts w:ascii="Times New Roman" w:hAnsi="Times New Roman" w:cs="Times New Roman"/>
          <w:color w:val="000000" w:themeColor="text1"/>
          <w:sz w:val="24"/>
          <w:szCs w:val="24"/>
        </w:rPr>
        <w:t xml:space="preserve"> whether at home or abroad in a similar manner</w:t>
      </w:r>
      <w:r w:rsidR="00A3743B">
        <w:rPr>
          <w:rFonts w:ascii="Times New Roman" w:hAnsi="Times New Roman" w:cs="Times New Roman"/>
          <w:color w:val="000000" w:themeColor="text1"/>
          <w:sz w:val="24"/>
          <w:szCs w:val="24"/>
        </w:rPr>
        <w:t xml:space="preserve">. Only exceptionally will cases concerning peacetime, law-enforcement operations be used. Second, </w:t>
      </w:r>
      <w:r w:rsidR="00FF53D1" w:rsidRPr="00490DD1">
        <w:rPr>
          <w:rFonts w:ascii="Times New Roman" w:hAnsi="Times New Roman" w:cs="Times New Roman"/>
          <w:color w:val="000000" w:themeColor="text1"/>
          <w:sz w:val="24"/>
          <w:szCs w:val="24"/>
        </w:rPr>
        <w:t xml:space="preserve">the experience of the </w:t>
      </w:r>
      <w:r>
        <w:rPr>
          <w:rFonts w:ascii="Times New Roman" w:hAnsi="Times New Roman" w:cs="Times New Roman"/>
          <w:color w:val="000000" w:themeColor="text1"/>
          <w:sz w:val="24"/>
          <w:szCs w:val="24"/>
        </w:rPr>
        <w:t>British</w:t>
      </w:r>
      <w:r w:rsidRPr="00490DD1">
        <w:rPr>
          <w:rFonts w:ascii="Times New Roman" w:hAnsi="Times New Roman" w:cs="Times New Roman"/>
          <w:color w:val="000000" w:themeColor="text1"/>
          <w:sz w:val="24"/>
          <w:szCs w:val="24"/>
        </w:rPr>
        <w:t xml:space="preserve"> </w:t>
      </w:r>
      <w:r w:rsidR="00FF53D1" w:rsidRPr="00490DD1">
        <w:rPr>
          <w:rFonts w:ascii="Times New Roman" w:hAnsi="Times New Roman" w:cs="Times New Roman"/>
          <w:color w:val="000000" w:themeColor="text1"/>
          <w:sz w:val="24"/>
          <w:szCs w:val="24"/>
        </w:rPr>
        <w:t xml:space="preserve">armed forces </w:t>
      </w:r>
      <w:r>
        <w:rPr>
          <w:rFonts w:ascii="Times New Roman" w:hAnsi="Times New Roman" w:cs="Times New Roman"/>
          <w:color w:val="000000" w:themeColor="text1"/>
          <w:sz w:val="24"/>
          <w:szCs w:val="24"/>
        </w:rPr>
        <w:t>illustrate</w:t>
      </w:r>
      <w:r w:rsidR="00E17C9D">
        <w:rPr>
          <w:rFonts w:ascii="Times New Roman" w:hAnsi="Times New Roman" w:cs="Times New Roman"/>
          <w:color w:val="000000" w:themeColor="text1"/>
          <w:sz w:val="24"/>
          <w:szCs w:val="24"/>
        </w:rPr>
        <w:t>s</w:t>
      </w:r>
      <w:r w:rsidR="009538AA" w:rsidRPr="00490DD1">
        <w:rPr>
          <w:rFonts w:ascii="Times New Roman" w:hAnsi="Times New Roman" w:cs="Times New Roman"/>
          <w:color w:val="000000" w:themeColor="text1"/>
          <w:sz w:val="24"/>
          <w:szCs w:val="24"/>
        </w:rPr>
        <w:t xml:space="preserve"> the challenges faced by armed forces in</w:t>
      </w:r>
      <w:r w:rsidR="00FF53D1" w:rsidRPr="00490DD1">
        <w:rPr>
          <w:rFonts w:ascii="Times New Roman" w:hAnsi="Times New Roman" w:cs="Times New Roman"/>
          <w:color w:val="000000" w:themeColor="text1"/>
          <w:sz w:val="24"/>
          <w:szCs w:val="24"/>
        </w:rPr>
        <w:t xml:space="preserve"> conducting an appropriate and lawful investigation into </w:t>
      </w:r>
      <w:r w:rsidR="009538AA" w:rsidRPr="00490DD1">
        <w:rPr>
          <w:rFonts w:ascii="Times New Roman" w:hAnsi="Times New Roman" w:cs="Times New Roman"/>
          <w:color w:val="000000" w:themeColor="text1"/>
          <w:sz w:val="24"/>
          <w:szCs w:val="24"/>
        </w:rPr>
        <w:t>a potential breach of Article 2 ECHR in an extra-territorial context</w:t>
      </w:r>
      <w:r w:rsidR="00FF53D1" w:rsidRPr="00490D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reasons</w:t>
      </w:r>
      <w:r w:rsidR="00A3743B">
        <w:rPr>
          <w:rFonts w:ascii="Times New Roman" w:hAnsi="Times New Roman" w:cs="Times New Roman"/>
          <w:color w:val="000000" w:themeColor="text1"/>
          <w:sz w:val="24"/>
          <w:szCs w:val="24"/>
        </w:rPr>
        <w:t xml:space="preserve"> for choosing the UK as a case-study</w:t>
      </w:r>
      <w:r>
        <w:rPr>
          <w:rFonts w:ascii="Times New Roman" w:hAnsi="Times New Roman" w:cs="Times New Roman"/>
          <w:color w:val="000000" w:themeColor="text1"/>
          <w:sz w:val="24"/>
          <w:szCs w:val="24"/>
        </w:rPr>
        <w:t xml:space="preserve"> are manifold. First, the overwhelming majority of ECtHR cases relating to the application of the procedural limb of Article 2 in an armed conflict or situation of violence in an extra-territorial context were brought against the </w:t>
      </w:r>
      <w:r w:rsidR="008123EF">
        <w:rPr>
          <w:rFonts w:ascii="Times New Roman" w:hAnsi="Times New Roman" w:cs="Times New Roman"/>
          <w:color w:val="000000" w:themeColor="text1"/>
          <w:sz w:val="24"/>
          <w:szCs w:val="24"/>
        </w:rPr>
        <w:t>UK</w:t>
      </w:r>
      <w:r>
        <w:rPr>
          <w:rFonts w:ascii="Times New Roman" w:hAnsi="Times New Roman" w:cs="Times New Roman"/>
          <w:color w:val="000000" w:themeColor="text1"/>
          <w:sz w:val="24"/>
          <w:szCs w:val="24"/>
        </w:rPr>
        <w:t xml:space="preserve">. Second, </w:t>
      </w:r>
      <w:r w:rsidR="00B319A9">
        <w:rPr>
          <w:rFonts w:ascii="Times New Roman" w:hAnsi="Times New Roman" w:cs="Times New Roman"/>
          <w:color w:val="000000" w:themeColor="text1"/>
          <w:sz w:val="24"/>
          <w:szCs w:val="24"/>
        </w:rPr>
        <w:t xml:space="preserve">prior and </w:t>
      </w:r>
      <w:r w:rsidR="00423165">
        <w:rPr>
          <w:rFonts w:ascii="Times New Roman" w:hAnsi="Times New Roman" w:cs="Times New Roman"/>
          <w:color w:val="000000" w:themeColor="text1"/>
          <w:sz w:val="24"/>
          <w:szCs w:val="24"/>
        </w:rPr>
        <w:t>after</w:t>
      </w:r>
      <w:r w:rsidR="00A3743B">
        <w:rPr>
          <w:rFonts w:ascii="Times New Roman" w:hAnsi="Times New Roman" w:cs="Times New Roman"/>
          <w:color w:val="000000" w:themeColor="text1"/>
          <w:sz w:val="24"/>
          <w:szCs w:val="24"/>
        </w:rPr>
        <w:t xml:space="preserve"> these judg</w:t>
      </w:r>
      <w:r>
        <w:rPr>
          <w:rFonts w:ascii="Times New Roman" w:hAnsi="Times New Roman" w:cs="Times New Roman"/>
          <w:color w:val="000000" w:themeColor="text1"/>
          <w:sz w:val="24"/>
          <w:szCs w:val="24"/>
        </w:rPr>
        <w:t xml:space="preserve">ments a vigorous, albeit not always rigorous, debate was </w:t>
      </w:r>
      <w:r w:rsidR="00B319A9">
        <w:rPr>
          <w:rFonts w:ascii="Times New Roman" w:hAnsi="Times New Roman" w:cs="Times New Roman"/>
          <w:color w:val="000000" w:themeColor="text1"/>
          <w:sz w:val="24"/>
          <w:szCs w:val="24"/>
        </w:rPr>
        <w:t>held</w:t>
      </w:r>
      <w:r>
        <w:rPr>
          <w:rFonts w:ascii="Times New Roman" w:hAnsi="Times New Roman" w:cs="Times New Roman"/>
          <w:color w:val="000000" w:themeColor="text1"/>
          <w:sz w:val="24"/>
          <w:szCs w:val="24"/>
        </w:rPr>
        <w:t xml:space="preserve"> in the UK leading to a flurry of </w:t>
      </w:r>
      <w:r w:rsidR="00423165">
        <w:rPr>
          <w:rFonts w:ascii="Times New Roman" w:hAnsi="Times New Roman" w:cs="Times New Roman"/>
          <w:color w:val="000000" w:themeColor="text1"/>
          <w:sz w:val="24"/>
          <w:szCs w:val="24"/>
        </w:rPr>
        <w:t>comments and reports useful to</w:t>
      </w:r>
      <w:r w:rsidR="00A301F3" w:rsidRPr="00490DD1">
        <w:rPr>
          <w:rFonts w:ascii="Times New Roman" w:hAnsi="Times New Roman" w:cs="Times New Roman"/>
          <w:color w:val="000000" w:themeColor="text1"/>
          <w:sz w:val="24"/>
          <w:szCs w:val="24"/>
        </w:rPr>
        <w:t xml:space="preserve"> identify the challenges faced by the armed forces</w:t>
      </w:r>
      <w:r w:rsidR="00A301F3">
        <w:rPr>
          <w:rFonts w:ascii="Times New Roman" w:hAnsi="Times New Roman" w:cs="Times New Roman"/>
          <w:color w:val="000000" w:themeColor="text1"/>
          <w:sz w:val="24"/>
          <w:szCs w:val="24"/>
        </w:rPr>
        <w:t>.</w:t>
      </w:r>
      <w:r w:rsidR="00A301F3" w:rsidRPr="00490DD1">
        <w:rPr>
          <w:rStyle w:val="FootnoteReference"/>
          <w:rFonts w:ascii="Times New Roman" w:hAnsi="Times New Roman" w:cs="Times New Roman"/>
          <w:color w:val="000000" w:themeColor="text1"/>
          <w:sz w:val="24"/>
          <w:szCs w:val="24"/>
        </w:rPr>
        <w:footnoteReference w:id="22"/>
      </w:r>
      <w:r w:rsidR="00A301F3" w:rsidRPr="00490D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Third, t</w:t>
      </w:r>
      <w:r w:rsidR="006B7AB6" w:rsidRPr="00490DD1">
        <w:rPr>
          <w:rFonts w:ascii="Times New Roman" w:hAnsi="Times New Roman" w:cs="Times New Roman"/>
          <w:color w:val="000000" w:themeColor="text1"/>
          <w:sz w:val="24"/>
          <w:szCs w:val="24"/>
        </w:rPr>
        <w:t>he UK is viewed as a State ‘that operate[s] at the highest end of investigative processes and procedures’</w:t>
      </w:r>
      <w:r w:rsidR="00615026">
        <w:rPr>
          <w:rFonts w:ascii="Times New Roman" w:hAnsi="Times New Roman" w:cs="Times New Roman"/>
          <w:color w:val="000000" w:themeColor="text1"/>
          <w:sz w:val="24"/>
          <w:szCs w:val="24"/>
        </w:rPr>
        <w:t>.</w:t>
      </w:r>
      <w:r w:rsidR="006B7AB6" w:rsidRPr="00490DD1">
        <w:rPr>
          <w:rStyle w:val="FootnoteReference"/>
          <w:rFonts w:ascii="Times New Roman" w:hAnsi="Times New Roman" w:cs="Times New Roman"/>
          <w:color w:val="000000" w:themeColor="text1"/>
          <w:sz w:val="24"/>
          <w:szCs w:val="24"/>
        </w:rPr>
        <w:footnoteReference w:id="23"/>
      </w:r>
      <w:r w:rsidR="00423165">
        <w:rPr>
          <w:rFonts w:ascii="Times New Roman" w:hAnsi="Times New Roman" w:cs="Times New Roman"/>
          <w:color w:val="000000" w:themeColor="text1"/>
          <w:sz w:val="24"/>
          <w:szCs w:val="24"/>
        </w:rPr>
        <w:t xml:space="preserve"> </w:t>
      </w:r>
      <w:r w:rsidR="00F23060">
        <w:rPr>
          <w:rFonts w:ascii="Times New Roman" w:hAnsi="Times New Roman" w:cs="Times New Roman"/>
          <w:color w:val="000000" w:themeColor="text1"/>
          <w:sz w:val="24"/>
          <w:szCs w:val="24"/>
        </w:rPr>
        <w:t xml:space="preserve">Also, </w:t>
      </w:r>
      <w:r w:rsidR="00423165">
        <w:rPr>
          <w:rFonts w:ascii="Times New Roman" w:hAnsi="Times New Roman" w:cs="Times New Roman"/>
          <w:color w:val="000000" w:themeColor="text1"/>
          <w:sz w:val="24"/>
          <w:szCs w:val="24"/>
        </w:rPr>
        <w:t xml:space="preserve">the </w:t>
      </w:r>
      <w:r w:rsidR="00F23060">
        <w:rPr>
          <w:rFonts w:ascii="Times New Roman" w:hAnsi="Times New Roman" w:cs="Times New Roman"/>
          <w:color w:val="000000" w:themeColor="text1"/>
          <w:sz w:val="24"/>
          <w:szCs w:val="24"/>
        </w:rPr>
        <w:t>British</w:t>
      </w:r>
      <w:r>
        <w:rPr>
          <w:rFonts w:ascii="Times New Roman" w:hAnsi="Times New Roman" w:cs="Times New Roman"/>
          <w:color w:val="000000" w:themeColor="text1"/>
          <w:sz w:val="24"/>
          <w:szCs w:val="24"/>
        </w:rPr>
        <w:t xml:space="preserve"> </w:t>
      </w:r>
      <w:r w:rsidR="00F23060">
        <w:rPr>
          <w:rFonts w:ascii="Times New Roman" w:hAnsi="Times New Roman" w:cs="Times New Roman"/>
          <w:color w:val="000000" w:themeColor="text1"/>
          <w:sz w:val="24"/>
          <w:szCs w:val="24"/>
        </w:rPr>
        <w:t>armed forces have,</w:t>
      </w:r>
      <w:r>
        <w:rPr>
          <w:rFonts w:ascii="Times New Roman" w:hAnsi="Times New Roman" w:cs="Times New Roman"/>
          <w:color w:val="000000" w:themeColor="text1"/>
          <w:sz w:val="24"/>
          <w:szCs w:val="24"/>
        </w:rPr>
        <w:t xml:space="preserve"> following the case-law of the Court</w:t>
      </w:r>
      <w:r w:rsidR="00F230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23060">
        <w:rPr>
          <w:rFonts w:ascii="Times New Roman" w:hAnsi="Times New Roman" w:cs="Times New Roman"/>
          <w:color w:val="000000" w:themeColor="text1"/>
          <w:sz w:val="24"/>
          <w:szCs w:val="24"/>
        </w:rPr>
        <w:t>made changes to the way they work,</w:t>
      </w:r>
      <w:r w:rsidR="00F23060">
        <w:rPr>
          <w:rStyle w:val="FootnoteReference"/>
          <w:rFonts w:ascii="Times New Roman" w:hAnsi="Times New Roman" w:cs="Times New Roman"/>
          <w:color w:val="000000" w:themeColor="text1"/>
          <w:sz w:val="24"/>
          <w:szCs w:val="24"/>
        </w:rPr>
        <w:footnoteReference w:id="24"/>
      </w:r>
      <w:r w:rsidR="00F23060" w:rsidRPr="00490DD1">
        <w:rPr>
          <w:rFonts w:ascii="Times New Roman" w:hAnsi="Times New Roman" w:cs="Times New Roman"/>
          <w:color w:val="000000" w:themeColor="text1"/>
          <w:sz w:val="24"/>
          <w:szCs w:val="24"/>
        </w:rPr>
        <w:t xml:space="preserve"> </w:t>
      </w:r>
      <w:r w:rsidR="00F23060">
        <w:rPr>
          <w:rFonts w:ascii="Times New Roman" w:hAnsi="Times New Roman" w:cs="Times New Roman"/>
          <w:color w:val="000000" w:themeColor="text1"/>
          <w:sz w:val="24"/>
          <w:szCs w:val="24"/>
        </w:rPr>
        <w:t>thereby demonstrating</w:t>
      </w:r>
      <w:r>
        <w:rPr>
          <w:rFonts w:ascii="Times New Roman" w:hAnsi="Times New Roman" w:cs="Times New Roman"/>
          <w:color w:val="000000" w:themeColor="text1"/>
          <w:sz w:val="24"/>
          <w:szCs w:val="24"/>
        </w:rPr>
        <w:t xml:space="preserve"> good will in </w:t>
      </w:r>
      <w:r w:rsidR="00F23060">
        <w:rPr>
          <w:rFonts w:ascii="Times New Roman" w:hAnsi="Times New Roman" w:cs="Times New Roman"/>
          <w:color w:val="000000" w:themeColor="text1"/>
          <w:sz w:val="24"/>
          <w:szCs w:val="24"/>
        </w:rPr>
        <w:t>trying to comply with the Court’s requirements.</w:t>
      </w:r>
      <w:r w:rsidR="00F23060" w:rsidRPr="00F23060">
        <w:rPr>
          <w:rFonts w:ascii="Times New Roman" w:hAnsi="Times New Roman" w:cs="Times New Roman"/>
          <w:color w:val="000000" w:themeColor="text1"/>
          <w:sz w:val="24"/>
          <w:szCs w:val="24"/>
        </w:rPr>
        <w:t xml:space="preserve"> </w:t>
      </w:r>
      <w:r w:rsidR="00F23060">
        <w:rPr>
          <w:rFonts w:ascii="Times New Roman" w:hAnsi="Times New Roman" w:cs="Times New Roman"/>
          <w:color w:val="000000" w:themeColor="text1"/>
          <w:sz w:val="24"/>
          <w:szCs w:val="24"/>
        </w:rPr>
        <w:t>If they struggle to abide by the Court’s requirements it is likely that forces of other States will do too.</w:t>
      </w:r>
      <w:r w:rsidR="00A272C0">
        <w:rPr>
          <w:rFonts w:ascii="Times New Roman" w:hAnsi="Times New Roman" w:cs="Times New Roman"/>
          <w:color w:val="000000" w:themeColor="text1"/>
          <w:sz w:val="24"/>
          <w:szCs w:val="24"/>
        </w:rPr>
        <w:t xml:space="preserve"> </w:t>
      </w:r>
    </w:p>
    <w:p w14:paraId="417D3D4D" w14:textId="7BDA317C" w:rsidR="00C11465" w:rsidRPr="00490DD1" w:rsidRDefault="00384E1D"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This</w:t>
      </w:r>
      <w:r w:rsidR="00C11465" w:rsidRPr="00490DD1">
        <w:rPr>
          <w:rFonts w:ascii="Times New Roman" w:hAnsi="Times New Roman" w:cs="Times New Roman"/>
          <w:color w:val="000000" w:themeColor="text1"/>
          <w:sz w:val="24"/>
          <w:szCs w:val="24"/>
        </w:rPr>
        <w:t xml:space="preserve"> article starts by </w:t>
      </w:r>
      <w:r w:rsidR="003D06A7">
        <w:rPr>
          <w:rFonts w:ascii="Times New Roman" w:hAnsi="Times New Roman" w:cs="Times New Roman"/>
          <w:color w:val="000000" w:themeColor="text1"/>
          <w:sz w:val="24"/>
          <w:szCs w:val="24"/>
        </w:rPr>
        <w:t>explaining when the duty to investigate arises in the specific situation of an armed conflict or violence</w:t>
      </w:r>
      <w:r w:rsidR="0001563E">
        <w:rPr>
          <w:rFonts w:ascii="Times New Roman" w:hAnsi="Times New Roman" w:cs="Times New Roman"/>
          <w:color w:val="000000" w:themeColor="text1"/>
          <w:sz w:val="24"/>
          <w:szCs w:val="24"/>
        </w:rPr>
        <w:t xml:space="preserve">. </w:t>
      </w:r>
      <w:r w:rsidR="003D06A7">
        <w:rPr>
          <w:rFonts w:ascii="Times New Roman" w:hAnsi="Times New Roman" w:cs="Times New Roman"/>
          <w:color w:val="000000" w:themeColor="text1"/>
          <w:sz w:val="24"/>
          <w:szCs w:val="24"/>
        </w:rPr>
        <w:t>It then proceeds to applying</w:t>
      </w:r>
      <w:r w:rsidR="00C11465" w:rsidRPr="00490DD1">
        <w:rPr>
          <w:rFonts w:ascii="Times New Roman" w:hAnsi="Times New Roman" w:cs="Times New Roman"/>
          <w:color w:val="000000" w:themeColor="text1"/>
          <w:sz w:val="24"/>
          <w:szCs w:val="24"/>
        </w:rPr>
        <w:t xml:space="preserve"> the </w:t>
      </w:r>
      <w:r w:rsidR="00591D96" w:rsidRPr="00490DD1">
        <w:rPr>
          <w:rFonts w:ascii="Times New Roman" w:hAnsi="Times New Roman" w:cs="Times New Roman"/>
          <w:color w:val="000000" w:themeColor="text1"/>
          <w:sz w:val="24"/>
          <w:szCs w:val="24"/>
        </w:rPr>
        <w:t>principles</w:t>
      </w:r>
      <w:r w:rsidR="00C11465" w:rsidRPr="00490DD1">
        <w:rPr>
          <w:rFonts w:ascii="Times New Roman" w:hAnsi="Times New Roman" w:cs="Times New Roman"/>
          <w:color w:val="000000" w:themeColor="text1"/>
          <w:sz w:val="24"/>
          <w:szCs w:val="24"/>
        </w:rPr>
        <w:t xml:space="preserve"> (and </w:t>
      </w:r>
      <w:r w:rsidR="00C11465" w:rsidRPr="00490DD1">
        <w:rPr>
          <w:rFonts w:ascii="Times New Roman" w:hAnsi="Times New Roman" w:cs="Times New Roman"/>
          <w:color w:val="000000" w:themeColor="text1"/>
          <w:sz w:val="24"/>
          <w:szCs w:val="24"/>
        </w:rPr>
        <w:lastRenderedPageBreak/>
        <w:t xml:space="preserve">elements) of the procedural aspects of Article 2 ECHR </w:t>
      </w:r>
      <w:r w:rsidR="00DA1CE4" w:rsidRPr="00490DD1">
        <w:rPr>
          <w:rFonts w:ascii="Times New Roman" w:hAnsi="Times New Roman" w:cs="Times New Roman"/>
          <w:color w:val="000000" w:themeColor="text1"/>
          <w:sz w:val="24"/>
          <w:szCs w:val="24"/>
        </w:rPr>
        <w:t xml:space="preserve">in </w:t>
      </w:r>
      <w:r w:rsidR="00C11465" w:rsidRPr="00490DD1">
        <w:rPr>
          <w:rFonts w:ascii="Times New Roman" w:hAnsi="Times New Roman" w:cs="Times New Roman"/>
          <w:color w:val="000000" w:themeColor="text1"/>
          <w:sz w:val="24"/>
          <w:szCs w:val="24"/>
        </w:rPr>
        <w:t>an extra-territorial setting</w:t>
      </w:r>
      <w:r w:rsidR="009C34AE">
        <w:rPr>
          <w:rFonts w:ascii="Times New Roman" w:hAnsi="Times New Roman" w:cs="Times New Roman"/>
          <w:color w:val="000000" w:themeColor="text1"/>
          <w:sz w:val="24"/>
          <w:szCs w:val="24"/>
        </w:rPr>
        <w:t xml:space="preserve">, </w:t>
      </w:r>
      <w:r w:rsidR="00493A06">
        <w:rPr>
          <w:rFonts w:ascii="Times New Roman" w:hAnsi="Times New Roman" w:cs="Times New Roman"/>
          <w:color w:val="000000" w:themeColor="text1"/>
          <w:sz w:val="24"/>
          <w:szCs w:val="24"/>
        </w:rPr>
        <w:t>that is</w:t>
      </w:r>
      <w:r w:rsidR="009C34AE">
        <w:rPr>
          <w:rFonts w:ascii="Times New Roman" w:hAnsi="Times New Roman" w:cs="Times New Roman"/>
          <w:color w:val="000000" w:themeColor="text1"/>
          <w:sz w:val="24"/>
          <w:szCs w:val="24"/>
        </w:rPr>
        <w:t xml:space="preserve">, </w:t>
      </w:r>
      <w:r w:rsidR="00A301F3">
        <w:rPr>
          <w:rFonts w:ascii="Times New Roman" w:hAnsi="Times New Roman" w:cs="Times New Roman"/>
          <w:color w:val="000000" w:themeColor="text1"/>
          <w:sz w:val="24"/>
          <w:szCs w:val="24"/>
        </w:rPr>
        <w:t>where armed forces are engaged on the territory of a State that is not a party to the ECHR</w:t>
      </w:r>
      <w:r w:rsidR="00B63A72">
        <w:rPr>
          <w:rFonts w:ascii="Times New Roman" w:hAnsi="Times New Roman" w:cs="Times New Roman"/>
          <w:color w:val="000000" w:themeColor="text1"/>
          <w:sz w:val="24"/>
          <w:szCs w:val="24"/>
        </w:rPr>
        <w:t>, the aim being</w:t>
      </w:r>
      <w:r w:rsidR="00B319A9">
        <w:rPr>
          <w:rFonts w:ascii="Times New Roman" w:hAnsi="Times New Roman" w:cs="Times New Roman"/>
          <w:color w:val="000000" w:themeColor="text1"/>
          <w:sz w:val="24"/>
          <w:szCs w:val="24"/>
        </w:rPr>
        <w:t xml:space="preserve"> to highlight elements that might </w:t>
      </w:r>
      <w:r w:rsidR="004D4EC8">
        <w:rPr>
          <w:rFonts w:ascii="Times New Roman" w:hAnsi="Times New Roman" w:cs="Times New Roman"/>
          <w:color w:val="000000" w:themeColor="text1"/>
          <w:sz w:val="24"/>
          <w:szCs w:val="24"/>
        </w:rPr>
        <w:t>be difficult to comply with.</w:t>
      </w:r>
      <w:r w:rsidR="00B319A9">
        <w:rPr>
          <w:rFonts w:ascii="Times New Roman" w:hAnsi="Times New Roman" w:cs="Times New Roman"/>
          <w:color w:val="000000" w:themeColor="text1"/>
          <w:sz w:val="24"/>
          <w:szCs w:val="24"/>
        </w:rPr>
        <w:t xml:space="preserve"> </w:t>
      </w:r>
      <w:r w:rsidR="00CF4D23" w:rsidRPr="00490DD1">
        <w:rPr>
          <w:rFonts w:ascii="Times New Roman" w:hAnsi="Times New Roman" w:cs="Times New Roman"/>
          <w:color w:val="000000" w:themeColor="text1"/>
          <w:sz w:val="24"/>
          <w:szCs w:val="24"/>
        </w:rPr>
        <w:t>It</w:t>
      </w:r>
      <w:r w:rsidR="006B7AB6" w:rsidRPr="00490DD1">
        <w:rPr>
          <w:rFonts w:ascii="Times New Roman" w:hAnsi="Times New Roman" w:cs="Times New Roman"/>
          <w:color w:val="000000" w:themeColor="text1"/>
          <w:sz w:val="24"/>
          <w:szCs w:val="24"/>
        </w:rPr>
        <w:t xml:space="preserve"> then</w:t>
      </w:r>
      <w:r w:rsidR="00DA1CE4" w:rsidRPr="00490DD1">
        <w:rPr>
          <w:rFonts w:ascii="Times New Roman" w:hAnsi="Times New Roman" w:cs="Times New Roman"/>
          <w:color w:val="000000" w:themeColor="text1"/>
          <w:sz w:val="24"/>
          <w:szCs w:val="24"/>
        </w:rPr>
        <w:t xml:space="preserve"> suggests that the Court should infus</w:t>
      </w:r>
      <w:r w:rsidR="00C8213B" w:rsidRPr="00490DD1">
        <w:rPr>
          <w:rFonts w:ascii="Times New Roman" w:hAnsi="Times New Roman" w:cs="Times New Roman"/>
          <w:color w:val="000000" w:themeColor="text1"/>
          <w:sz w:val="24"/>
          <w:szCs w:val="24"/>
        </w:rPr>
        <w:t>e i</w:t>
      </w:r>
      <w:r w:rsidR="00DA1CE4" w:rsidRPr="00490DD1">
        <w:rPr>
          <w:rFonts w:ascii="Times New Roman" w:hAnsi="Times New Roman" w:cs="Times New Roman"/>
          <w:color w:val="000000" w:themeColor="text1"/>
          <w:sz w:val="24"/>
          <w:szCs w:val="24"/>
        </w:rPr>
        <w:t>n its jurisprudenc</w:t>
      </w:r>
      <w:r w:rsidR="00C8213B" w:rsidRPr="00490DD1">
        <w:rPr>
          <w:rFonts w:ascii="Times New Roman" w:hAnsi="Times New Roman" w:cs="Times New Roman"/>
          <w:color w:val="000000" w:themeColor="text1"/>
          <w:sz w:val="24"/>
          <w:szCs w:val="24"/>
        </w:rPr>
        <w:t>e a</w:t>
      </w:r>
      <w:r w:rsidR="00DA1CE4" w:rsidRPr="00490DD1">
        <w:rPr>
          <w:rFonts w:ascii="Times New Roman" w:hAnsi="Times New Roman" w:cs="Times New Roman"/>
          <w:color w:val="000000" w:themeColor="text1"/>
          <w:sz w:val="24"/>
          <w:szCs w:val="24"/>
        </w:rPr>
        <w:t xml:space="preserve"> contextual approach that would allow it to confirm its case-law</w:t>
      </w:r>
      <w:r w:rsidR="006B7AB6" w:rsidRPr="00490DD1">
        <w:rPr>
          <w:rFonts w:ascii="Times New Roman" w:hAnsi="Times New Roman" w:cs="Times New Roman"/>
          <w:color w:val="000000" w:themeColor="text1"/>
          <w:sz w:val="24"/>
          <w:szCs w:val="24"/>
        </w:rPr>
        <w:t xml:space="preserve"> relating to armed conflict on the territory of a member State whilst adapting it to the realities of conflicts abroad</w:t>
      </w:r>
      <w:r w:rsidR="00DA1CE4" w:rsidRPr="00490DD1">
        <w:rPr>
          <w:rFonts w:ascii="Times New Roman" w:hAnsi="Times New Roman" w:cs="Times New Roman"/>
          <w:color w:val="000000" w:themeColor="text1"/>
          <w:sz w:val="24"/>
          <w:szCs w:val="24"/>
        </w:rPr>
        <w:t>.</w:t>
      </w:r>
    </w:p>
    <w:p w14:paraId="551495A6" w14:textId="77777777" w:rsidR="00D17493" w:rsidRPr="00490DD1" w:rsidRDefault="00D17493" w:rsidP="00670537">
      <w:pPr>
        <w:spacing w:after="0" w:line="360" w:lineRule="auto"/>
        <w:rPr>
          <w:rFonts w:ascii="Times New Roman" w:hAnsi="Times New Roman" w:cs="Times New Roman"/>
          <w:color w:val="000000" w:themeColor="text1"/>
          <w:sz w:val="24"/>
          <w:szCs w:val="24"/>
        </w:rPr>
      </w:pPr>
    </w:p>
    <w:p w14:paraId="3DA9E42A" w14:textId="26BE3CCB" w:rsidR="003D06A7" w:rsidRPr="008241E7" w:rsidRDefault="00EB45FD" w:rsidP="00670537">
      <w:pPr>
        <w:spacing w:after="0" w:line="360" w:lineRule="auto"/>
        <w:rPr>
          <w:rFonts w:ascii="Times New Roman" w:hAnsi="Times New Roman" w:cs="Times New Roman"/>
          <w:b/>
          <w:caps/>
          <w:color w:val="000000" w:themeColor="text1"/>
          <w:sz w:val="24"/>
          <w:szCs w:val="24"/>
        </w:rPr>
      </w:pPr>
      <w:bookmarkStart w:id="4" w:name="_Toc492309179"/>
      <w:r w:rsidRPr="008241E7">
        <w:rPr>
          <w:rFonts w:ascii="Times New Roman" w:hAnsi="Times New Roman" w:cs="Times New Roman"/>
          <w:b/>
          <w:caps/>
          <w:color w:val="000000" w:themeColor="text1"/>
          <w:sz w:val="24"/>
          <w:szCs w:val="24"/>
        </w:rPr>
        <w:t>2</w:t>
      </w:r>
      <w:r w:rsidR="008241E7" w:rsidRPr="008241E7">
        <w:rPr>
          <w:rFonts w:ascii="Times New Roman" w:hAnsi="Times New Roman" w:cs="Times New Roman"/>
          <w:b/>
          <w:caps/>
          <w:color w:val="000000" w:themeColor="text1"/>
          <w:sz w:val="24"/>
          <w:szCs w:val="24"/>
        </w:rPr>
        <w:t>.</w:t>
      </w:r>
      <w:r w:rsidRPr="008241E7">
        <w:rPr>
          <w:rFonts w:ascii="Times New Roman" w:hAnsi="Times New Roman" w:cs="Times New Roman"/>
          <w:b/>
          <w:caps/>
          <w:color w:val="000000" w:themeColor="text1"/>
          <w:sz w:val="24"/>
          <w:szCs w:val="24"/>
        </w:rPr>
        <w:t xml:space="preserve"> </w:t>
      </w:r>
      <w:bookmarkStart w:id="5" w:name="_Toc492309180"/>
      <w:bookmarkEnd w:id="4"/>
      <w:r w:rsidR="003D06A7" w:rsidRPr="008241E7">
        <w:rPr>
          <w:rFonts w:ascii="Times New Roman" w:hAnsi="Times New Roman" w:cs="Times New Roman"/>
          <w:b/>
          <w:caps/>
          <w:color w:val="000000" w:themeColor="text1"/>
          <w:sz w:val="24"/>
          <w:szCs w:val="24"/>
        </w:rPr>
        <w:t>The Duty to Investigate</w:t>
      </w:r>
      <w:r w:rsidR="000B74C7" w:rsidRPr="008241E7">
        <w:rPr>
          <w:rFonts w:ascii="Times New Roman" w:hAnsi="Times New Roman" w:cs="Times New Roman"/>
          <w:b/>
          <w:caps/>
          <w:color w:val="000000" w:themeColor="text1"/>
          <w:sz w:val="24"/>
          <w:szCs w:val="24"/>
        </w:rPr>
        <w:t xml:space="preserve"> under Article 2 ECHR</w:t>
      </w:r>
    </w:p>
    <w:p w14:paraId="4F57F81E" w14:textId="74A7A623" w:rsidR="004D7E5F" w:rsidRDefault="00BD3D57" w:rsidP="009C34AE">
      <w:pPr>
        <w:spacing w:after="0" w:line="360" w:lineRule="auto"/>
        <w:rPr>
          <w:rFonts w:ascii="Times New Roman" w:hAnsi="Times New Roman" w:cs="Times New Roman"/>
          <w:sz w:val="24"/>
          <w:szCs w:val="24"/>
        </w:rPr>
      </w:pPr>
      <w:r>
        <w:rPr>
          <w:rFonts w:ascii="Times New Roman" w:hAnsi="Times New Roman" w:cs="Times New Roman"/>
          <w:sz w:val="24"/>
          <w:szCs w:val="24"/>
        </w:rPr>
        <w:t>It is established that although international humanitarian law is the legal regime that regulates armed conflict human rights law applies too.</w:t>
      </w:r>
      <w:r>
        <w:rPr>
          <w:rStyle w:val="FootnoteReference"/>
          <w:rFonts w:ascii="Times New Roman" w:hAnsi="Times New Roman" w:cs="Times New Roman"/>
          <w:sz w:val="24"/>
          <w:szCs w:val="24"/>
        </w:rPr>
        <w:footnoteReference w:id="25"/>
      </w:r>
      <w:r w:rsidR="0001563E">
        <w:rPr>
          <w:rFonts w:ascii="Times New Roman" w:hAnsi="Times New Roman" w:cs="Times New Roman"/>
          <w:sz w:val="24"/>
          <w:szCs w:val="24"/>
        </w:rPr>
        <w:t xml:space="preserve"> </w:t>
      </w:r>
      <w:r w:rsidR="0007242A">
        <w:rPr>
          <w:rFonts w:ascii="Times New Roman" w:hAnsi="Times New Roman" w:cs="Times New Roman"/>
          <w:sz w:val="24"/>
          <w:szCs w:val="24"/>
        </w:rPr>
        <w:t xml:space="preserve">In some </w:t>
      </w:r>
      <w:r w:rsidR="0006008D">
        <w:rPr>
          <w:rFonts w:ascii="Times New Roman" w:hAnsi="Times New Roman" w:cs="Times New Roman"/>
          <w:sz w:val="24"/>
          <w:szCs w:val="24"/>
        </w:rPr>
        <w:t>instances,</w:t>
      </w:r>
      <w:r w:rsidR="0007242A">
        <w:rPr>
          <w:rFonts w:ascii="Times New Roman" w:hAnsi="Times New Roman" w:cs="Times New Roman"/>
          <w:sz w:val="24"/>
          <w:szCs w:val="24"/>
        </w:rPr>
        <w:t xml:space="preserve"> these bodies of law are complementary and in others their rules collide, thereby calling for the application of the doctrine of </w:t>
      </w:r>
      <w:proofErr w:type="spellStart"/>
      <w:r w:rsidR="0007242A">
        <w:rPr>
          <w:rFonts w:ascii="Times New Roman" w:hAnsi="Times New Roman" w:cs="Times New Roman"/>
          <w:i/>
          <w:sz w:val="24"/>
          <w:szCs w:val="24"/>
        </w:rPr>
        <w:t>lex</w:t>
      </w:r>
      <w:proofErr w:type="spellEnd"/>
      <w:r w:rsidR="0007242A">
        <w:rPr>
          <w:rFonts w:ascii="Times New Roman" w:hAnsi="Times New Roman" w:cs="Times New Roman"/>
          <w:i/>
          <w:sz w:val="24"/>
          <w:szCs w:val="24"/>
        </w:rPr>
        <w:t xml:space="preserve"> </w:t>
      </w:r>
      <w:proofErr w:type="spellStart"/>
      <w:r w:rsidR="0007242A">
        <w:rPr>
          <w:rFonts w:ascii="Times New Roman" w:hAnsi="Times New Roman" w:cs="Times New Roman"/>
          <w:i/>
          <w:sz w:val="24"/>
          <w:szCs w:val="24"/>
        </w:rPr>
        <w:t>specialis</w:t>
      </w:r>
      <w:proofErr w:type="spellEnd"/>
      <w:r w:rsidR="00011855">
        <w:rPr>
          <w:rFonts w:ascii="Times New Roman" w:hAnsi="Times New Roman" w:cs="Times New Roman"/>
          <w:i/>
          <w:sz w:val="24"/>
          <w:szCs w:val="24"/>
        </w:rPr>
        <w:t>.</w:t>
      </w:r>
      <w:r w:rsidR="0006008D" w:rsidRPr="004D7E5F">
        <w:rPr>
          <w:rStyle w:val="FootnoteReference"/>
          <w:rFonts w:ascii="Times New Roman" w:hAnsi="Times New Roman" w:cs="Times New Roman"/>
          <w:sz w:val="24"/>
          <w:szCs w:val="24"/>
        </w:rPr>
        <w:footnoteReference w:id="26"/>
      </w:r>
      <w:r w:rsidR="00011855">
        <w:rPr>
          <w:rFonts w:ascii="Times New Roman" w:hAnsi="Times New Roman" w:cs="Times New Roman"/>
          <w:i/>
          <w:sz w:val="24"/>
          <w:szCs w:val="24"/>
        </w:rPr>
        <w:t xml:space="preserve"> </w:t>
      </w:r>
      <w:r w:rsidR="00011855" w:rsidRPr="004D7E5F">
        <w:rPr>
          <w:rFonts w:ascii="Times New Roman" w:hAnsi="Times New Roman" w:cs="Times New Roman"/>
          <w:sz w:val="24"/>
          <w:szCs w:val="24"/>
        </w:rPr>
        <w:t>W</w:t>
      </w:r>
      <w:r w:rsidR="0006008D">
        <w:rPr>
          <w:rFonts w:ascii="Times New Roman" w:hAnsi="Times New Roman" w:cs="Times New Roman"/>
          <w:sz w:val="24"/>
          <w:szCs w:val="24"/>
        </w:rPr>
        <w:t>hich rule prevails depends on the specific situation</w:t>
      </w:r>
      <w:r w:rsidR="00011855">
        <w:rPr>
          <w:rFonts w:ascii="Times New Roman" w:hAnsi="Times New Roman" w:cs="Times New Roman"/>
          <w:sz w:val="24"/>
          <w:szCs w:val="24"/>
        </w:rPr>
        <w:t xml:space="preserve"> as the </w:t>
      </w:r>
      <w:proofErr w:type="spellStart"/>
      <w:r w:rsidR="00011855">
        <w:rPr>
          <w:rFonts w:ascii="Times New Roman" w:hAnsi="Times New Roman" w:cs="Times New Roman"/>
          <w:i/>
          <w:sz w:val="24"/>
          <w:szCs w:val="24"/>
        </w:rPr>
        <w:t>lex</w:t>
      </w:r>
      <w:proofErr w:type="spellEnd"/>
      <w:r w:rsidR="00011855">
        <w:rPr>
          <w:rFonts w:ascii="Times New Roman" w:hAnsi="Times New Roman" w:cs="Times New Roman"/>
          <w:i/>
          <w:sz w:val="24"/>
          <w:szCs w:val="24"/>
        </w:rPr>
        <w:t xml:space="preserve"> </w:t>
      </w:r>
      <w:proofErr w:type="spellStart"/>
      <w:r w:rsidR="00011855">
        <w:rPr>
          <w:rFonts w:ascii="Times New Roman" w:hAnsi="Times New Roman" w:cs="Times New Roman"/>
          <w:i/>
          <w:sz w:val="24"/>
          <w:szCs w:val="24"/>
        </w:rPr>
        <w:t>specialis</w:t>
      </w:r>
      <w:proofErr w:type="spellEnd"/>
      <w:r w:rsidR="00011855">
        <w:rPr>
          <w:rFonts w:ascii="Times New Roman" w:hAnsi="Times New Roman" w:cs="Times New Roman"/>
          <w:i/>
          <w:sz w:val="24"/>
          <w:szCs w:val="24"/>
        </w:rPr>
        <w:t xml:space="preserve"> </w:t>
      </w:r>
      <w:r w:rsidR="00011855">
        <w:rPr>
          <w:rFonts w:ascii="Times New Roman" w:hAnsi="Times New Roman" w:cs="Times New Roman"/>
          <w:sz w:val="24"/>
          <w:szCs w:val="24"/>
        </w:rPr>
        <w:t>doctrine operate</w:t>
      </w:r>
      <w:r w:rsidR="004D7E5F">
        <w:rPr>
          <w:rFonts w:ascii="Times New Roman" w:hAnsi="Times New Roman" w:cs="Times New Roman"/>
          <w:sz w:val="24"/>
          <w:szCs w:val="24"/>
        </w:rPr>
        <w:t>s</w:t>
      </w:r>
      <w:r w:rsidR="00011855">
        <w:rPr>
          <w:rFonts w:ascii="Times New Roman" w:hAnsi="Times New Roman" w:cs="Times New Roman"/>
          <w:sz w:val="24"/>
          <w:szCs w:val="24"/>
        </w:rPr>
        <w:t xml:space="preserve"> on the level of norms and not legal </w:t>
      </w:r>
      <w:r w:rsidR="00011855" w:rsidRPr="004D7E5F">
        <w:rPr>
          <w:rFonts w:ascii="Times New Roman" w:hAnsi="Times New Roman" w:cs="Times New Roman"/>
          <w:sz w:val="24"/>
          <w:szCs w:val="24"/>
        </w:rPr>
        <w:t>regimes</w:t>
      </w:r>
      <w:r w:rsidR="0006008D" w:rsidRPr="004D7E5F">
        <w:rPr>
          <w:rFonts w:ascii="Times New Roman" w:hAnsi="Times New Roman" w:cs="Times New Roman"/>
          <w:sz w:val="24"/>
          <w:szCs w:val="24"/>
        </w:rPr>
        <w:t xml:space="preserve">. </w:t>
      </w:r>
      <w:r w:rsidR="00011855" w:rsidRPr="004D7E5F">
        <w:rPr>
          <w:rFonts w:ascii="Times New Roman" w:hAnsi="Times New Roman" w:cs="Times New Roman"/>
          <w:sz w:val="24"/>
          <w:szCs w:val="24"/>
        </w:rPr>
        <w:t xml:space="preserve">It is often assumed that IHL rules are more specific than those of human rights law. The reverse is however true and the rules relating to investigations into unlawful killings are a testimony to it. </w:t>
      </w:r>
      <w:r w:rsidR="0006008D" w:rsidRPr="004D7E5F">
        <w:rPr>
          <w:rFonts w:ascii="Times New Roman" w:hAnsi="Times New Roman" w:cs="Times New Roman"/>
          <w:sz w:val="24"/>
          <w:szCs w:val="24"/>
        </w:rPr>
        <w:t xml:space="preserve">Whilst IHL sets out </w:t>
      </w:r>
      <w:r w:rsidR="00011855" w:rsidRPr="004D7E5F">
        <w:rPr>
          <w:rFonts w:ascii="Times New Roman" w:hAnsi="Times New Roman" w:cs="Times New Roman"/>
          <w:sz w:val="24"/>
          <w:szCs w:val="24"/>
        </w:rPr>
        <w:t>such a duty</w:t>
      </w:r>
      <w:r w:rsidR="0006008D" w:rsidRPr="004D7E5F">
        <w:rPr>
          <w:rStyle w:val="FootnoteReference"/>
          <w:rFonts w:ascii="Times New Roman" w:hAnsi="Times New Roman" w:cs="Times New Roman"/>
          <w:sz w:val="24"/>
          <w:szCs w:val="24"/>
        </w:rPr>
        <w:footnoteReference w:id="27"/>
      </w:r>
      <w:r w:rsidR="0006008D" w:rsidRPr="004D7E5F">
        <w:rPr>
          <w:rFonts w:ascii="Times New Roman" w:hAnsi="Times New Roman" w:cs="Times New Roman"/>
          <w:sz w:val="24"/>
          <w:szCs w:val="24"/>
        </w:rPr>
        <w:t xml:space="preserve"> </w:t>
      </w:r>
      <w:r w:rsidR="00011855" w:rsidRPr="004D7E5F">
        <w:rPr>
          <w:rFonts w:ascii="Times New Roman" w:hAnsi="Times New Roman" w:cs="Times New Roman"/>
          <w:sz w:val="24"/>
          <w:szCs w:val="24"/>
        </w:rPr>
        <w:t>its</w:t>
      </w:r>
      <w:r w:rsidR="0001563E" w:rsidRPr="004D7E5F">
        <w:rPr>
          <w:rFonts w:ascii="Times New Roman" w:hAnsi="Times New Roman" w:cs="Times New Roman"/>
          <w:sz w:val="24"/>
          <w:szCs w:val="24"/>
        </w:rPr>
        <w:t xml:space="preserve"> </w:t>
      </w:r>
      <w:r w:rsidR="00011855" w:rsidRPr="004D7E5F">
        <w:rPr>
          <w:rFonts w:ascii="Times New Roman" w:hAnsi="Times New Roman" w:cs="Times New Roman"/>
          <w:sz w:val="24"/>
          <w:szCs w:val="24"/>
        </w:rPr>
        <w:t xml:space="preserve">rules </w:t>
      </w:r>
      <w:r w:rsidR="0001563E" w:rsidRPr="004D7E5F">
        <w:rPr>
          <w:rFonts w:ascii="Times New Roman" w:hAnsi="Times New Roman" w:cs="Times New Roman"/>
          <w:sz w:val="24"/>
          <w:szCs w:val="24"/>
        </w:rPr>
        <w:t>are not very developed</w:t>
      </w:r>
      <w:r w:rsidR="0001563E" w:rsidRPr="004D7E5F">
        <w:rPr>
          <w:rStyle w:val="FootnoteReference"/>
          <w:rFonts w:ascii="Times New Roman" w:hAnsi="Times New Roman" w:cs="Times New Roman"/>
          <w:sz w:val="24"/>
          <w:szCs w:val="24"/>
        </w:rPr>
        <w:footnoteReference w:id="28"/>
      </w:r>
      <w:r w:rsidR="00011855" w:rsidRPr="004D7E5F">
        <w:rPr>
          <w:rFonts w:ascii="Times New Roman" w:hAnsi="Times New Roman" w:cs="Times New Roman"/>
          <w:sz w:val="24"/>
          <w:szCs w:val="24"/>
        </w:rPr>
        <w:t xml:space="preserve"> </w:t>
      </w:r>
      <w:r w:rsidR="0001563E" w:rsidRPr="004D7E5F">
        <w:rPr>
          <w:rFonts w:ascii="Times New Roman" w:hAnsi="Times New Roman" w:cs="Times New Roman"/>
          <w:sz w:val="24"/>
          <w:szCs w:val="24"/>
        </w:rPr>
        <w:t>to the effect that one could argue that human rights law</w:t>
      </w:r>
      <w:r w:rsidR="00011855" w:rsidRPr="004D7E5F">
        <w:rPr>
          <w:rFonts w:ascii="Times New Roman" w:hAnsi="Times New Roman" w:cs="Times New Roman"/>
          <w:sz w:val="24"/>
          <w:szCs w:val="24"/>
        </w:rPr>
        <w:t>,</w:t>
      </w:r>
      <w:r w:rsidR="0001563E" w:rsidRPr="004D7E5F">
        <w:rPr>
          <w:rFonts w:ascii="Times New Roman" w:hAnsi="Times New Roman" w:cs="Times New Roman"/>
          <w:sz w:val="24"/>
          <w:szCs w:val="24"/>
        </w:rPr>
        <w:t xml:space="preserve"> by providing</w:t>
      </w:r>
      <w:r w:rsidR="0006008D" w:rsidRPr="004D7E5F">
        <w:rPr>
          <w:rFonts w:ascii="Times New Roman" w:hAnsi="Times New Roman" w:cs="Times New Roman"/>
          <w:sz w:val="24"/>
          <w:szCs w:val="24"/>
        </w:rPr>
        <w:t xml:space="preserve"> a more detailed set of principles</w:t>
      </w:r>
      <w:r w:rsidR="00011855" w:rsidRPr="004D7E5F">
        <w:rPr>
          <w:rFonts w:ascii="Times New Roman" w:hAnsi="Times New Roman" w:cs="Times New Roman"/>
          <w:sz w:val="24"/>
          <w:szCs w:val="24"/>
        </w:rPr>
        <w:t>,</w:t>
      </w:r>
      <w:r w:rsidR="0006008D" w:rsidRPr="004D7E5F">
        <w:rPr>
          <w:rFonts w:ascii="Times New Roman" w:hAnsi="Times New Roman" w:cs="Times New Roman"/>
          <w:sz w:val="24"/>
          <w:szCs w:val="24"/>
        </w:rPr>
        <w:t xml:space="preserve"> support</w:t>
      </w:r>
      <w:r w:rsidR="004D7E5F" w:rsidRPr="004D7E5F">
        <w:rPr>
          <w:rFonts w:ascii="Times New Roman" w:hAnsi="Times New Roman" w:cs="Times New Roman"/>
          <w:sz w:val="24"/>
          <w:szCs w:val="24"/>
        </w:rPr>
        <w:t>s</w:t>
      </w:r>
      <w:r w:rsidR="0006008D" w:rsidRPr="004D7E5F">
        <w:rPr>
          <w:rFonts w:ascii="Times New Roman" w:hAnsi="Times New Roman" w:cs="Times New Roman"/>
          <w:sz w:val="24"/>
          <w:szCs w:val="24"/>
        </w:rPr>
        <w:t xml:space="preserve"> and </w:t>
      </w:r>
      <w:r w:rsidR="000B74C7">
        <w:rPr>
          <w:rFonts w:ascii="Times New Roman" w:hAnsi="Times New Roman" w:cs="Times New Roman"/>
          <w:sz w:val="24"/>
          <w:szCs w:val="24"/>
        </w:rPr>
        <w:t>reinforces</w:t>
      </w:r>
      <w:r w:rsidR="0006008D" w:rsidRPr="004D7E5F">
        <w:rPr>
          <w:rFonts w:ascii="Times New Roman" w:hAnsi="Times New Roman" w:cs="Times New Roman"/>
          <w:sz w:val="24"/>
          <w:szCs w:val="24"/>
        </w:rPr>
        <w:t xml:space="preserve"> the IHL duty to investigate</w:t>
      </w:r>
      <w:r w:rsidR="0001563E" w:rsidRPr="004D7E5F">
        <w:rPr>
          <w:rFonts w:ascii="Times New Roman" w:hAnsi="Times New Roman" w:cs="Times New Roman"/>
          <w:sz w:val="24"/>
          <w:szCs w:val="24"/>
        </w:rPr>
        <w:t>.</w:t>
      </w:r>
      <w:r w:rsidR="004D7E5F" w:rsidRPr="004D7E5F">
        <w:rPr>
          <w:rStyle w:val="FootnoteReference"/>
          <w:rFonts w:ascii="Times New Roman" w:hAnsi="Times New Roman" w:cs="Times New Roman"/>
          <w:sz w:val="24"/>
          <w:szCs w:val="24"/>
        </w:rPr>
        <w:footnoteReference w:id="29"/>
      </w:r>
    </w:p>
    <w:p w14:paraId="535B7F11" w14:textId="75931E95" w:rsidR="004D7E5F" w:rsidRDefault="004D7E5F" w:rsidP="004D7E5F">
      <w:pPr>
        <w:spacing w:after="0" w:line="360" w:lineRule="auto"/>
        <w:ind w:firstLine="720"/>
        <w:rPr>
          <w:rFonts w:ascii="Times New Roman" w:hAnsi="Times New Roman" w:cs="Times New Roman"/>
          <w:sz w:val="24"/>
          <w:szCs w:val="24"/>
        </w:rPr>
      </w:pPr>
      <w:r w:rsidRPr="000B5362">
        <w:rPr>
          <w:rFonts w:ascii="Times New Roman" w:hAnsi="Times New Roman" w:cs="Times New Roman"/>
          <w:sz w:val="24"/>
          <w:szCs w:val="24"/>
        </w:rPr>
        <w:lastRenderedPageBreak/>
        <w:t xml:space="preserve">This article </w:t>
      </w:r>
      <w:r w:rsidR="000B74C7">
        <w:rPr>
          <w:rFonts w:ascii="Times New Roman" w:hAnsi="Times New Roman" w:cs="Times New Roman"/>
          <w:sz w:val="24"/>
          <w:szCs w:val="24"/>
        </w:rPr>
        <w:t xml:space="preserve">however </w:t>
      </w:r>
      <w:r w:rsidR="00BD3D57" w:rsidRPr="000B5362">
        <w:rPr>
          <w:rFonts w:ascii="Times New Roman" w:hAnsi="Times New Roman" w:cs="Times New Roman"/>
          <w:sz w:val="24"/>
          <w:szCs w:val="24"/>
        </w:rPr>
        <w:t>on</w:t>
      </w:r>
      <w:r w:rsidR="00BD3D57">
        <w:rPr>
          <w:rFonts w:ascii="Times New Roman" w:hAnsi="Times New Roman" w:cs="Times New Roman"/>
          <w:sz w:val="24"/>
          <w:szCs w:val="24"/>
        </w:rPr>
        <w:t xml:space="preserve">ly </w:t>
      </w:r>
      <w:r w:rsidRPr="000B5362">
        <w:rPr>
          <w:rFonts w:ascii="Times New Roman" w:hAnsi="Times New Roman" w:cs="Times New Roman"/>
          <w:sz w:val="24"/>
          <w:szCs w:val="24"/>
        </w:rPr>
        <w:t xml:space="preserve">focuses </w:t>
      </w:r>
      <w:r w:rsidR="000B74C7">
        <w:rPr>
          <w:rFonts w:ascii="Times New Roman" w:hAnsi="Times New Roman" w:cs="Times New Roman"/>
          <w:sz w:val="24"/>
          <w:szCs w:val="24"/>
        </w:rPr>
        <w:t>on</w:t>
      </w:r>
      <w:r w:rsidRPr="000B5362">
        <w:rPr>
          <w:rFonts w:ascii="Times New Roman" w:hAnsi="Times New Roman" w:cs="Times New Roman"/>
          <w:sz w:val="24"/>
          <w:szCs w:val="24"/>
        </w:rPr>
        <w:t xml:space="preserve"> the strict application of human rights law </w:t>
      </w:r>
      <w:r>
        <w:rPr>
          <w:rFonts w:ascii="Times New Roman" w:hAnsi="Times New Roman" w:cs="Times New Roman"/>
          <w:sz w:val="24"/>
          <w:szCs w:val="24"/>
        </w:rPr>
        <w:t xml:space="preserve">and does not cover investigations under IHL notably because </w:t>
      </w:r>
      <w:r w:rsidR="0001563E" w:rsidRPr="000B5362">
        <w:rPr>
          <w:rFonts w:ascii="Times New Roman" w:hAnsi="Times New Roman" w:cs="Times New Roman"/>
          <w:sz w:val="24"/>
          <w:szCs w:val="24"/>
        </w:rPr>
        <w:t>States</w:t>
      </w:r>
      <w:r>
        <w:rPr>
          <w:rFonts w:ascii="Times New Roman" w:hAnsi="Times New Roman" w:cs="Times New Roman"/>
          <w:sz w:val="24"/>
          <w:szCs w:val="24"/>
        </w:rPr>
        <w:t xml:space="preserve"> have</w:t>
      </w:r>
      <w:r w:rsidR="0001563E" w:rsidRPr="000B5362">
        <w:rPr>
          <w:rFonts w:ascii="Times New Roman" w:hAnsi="Times New Roman" w:cs="Times New Roman"/>
          <w:sz w:val="24"/>
          <w:szCs w:val="24"/>
        </w:rPr>
        <w:t xml:space="preserve"> </w:t>
      </w:r>
      <w:r>
        <w:rPr>
          <w:rFonts w:ascii="Times New Roman" w:hAnsi="Times New Roman" w:cs="Times New Roman"/>
          <w:sz w:val="24"/>
          <w:szCs w:val="24"/>
        </w:rPr>
        <w:t xml:space="preserve">(barring </w:t>
      </w:r>
      <w:r>
        <w:rPr>
          <w:rFonts w:ascii="Times New Roman" w:hAnsi="Times New Roman" w:cs="Times New Roman"/>
          <w:i/>
          <w:sz w:val="24"/>
          <w:szCs w:val="24"/>
        </w:rPr>
        <w:t>Hassan</w:t>
      </w:r>
      <w:r w:rsidR="00B63A72">
        <w:rPr>
          <w:rFonts w:ascii="Times New Roman" w:hAnsi="Times New Roman" w:cs="Times New Roman"/>
          <w:i/>
          <w:sz w:val="24"/>
          <w:szCs w:val="24"/>
        </w:rPr>
        <w:t xml:space="preserve"> </w:t>
      </w:r>
      <w:r w:rsidR="00B63A72">
        <w:rPr>
          <w:rFonts w:ascii="Times New Roman" w:hAnsi="Times New Roman" w:cs="Times New Roman"/>
          <w:sz w:val="24"/>
          <w:szCs w:val="24"/>
        </w:rPr>
        <w:t>in relation to Article 5 ECHR</w:t>
      </w:r>
      <w:r w:rsidR="00B96ACE">
        <w:rPr>
          <w:rStyle w:val="FootnoteReference"/>
          <w:rFonts w:ascii="Times New Roman" w:hAnsi="Times New Roman" w:cs="Times New Roman"/>
          <w:sz w:val="24"/>
          <w:szCs w:val="24"/>
        </w:rPr>
        <w:footnoteReference w:id="30"/>
      </w:r>
      <w:r>
        <w:rPr>
          <w:rFonts w:ascii="Times New Roman" w:hAnsi="Times New Roman" w:cs="Times New Roman"/>
          <w:sz w:val="24"/>
          <w:szCs w:val="24"/>
        </w:rPr>
        <w:t>)</w:t>
      </w:r>
      <w:r w:rsidRPr="000B5362">
        <w:rPr>
          <w:rFonts w:ascii="Times New Roman" w:hAnsi="Times New Roman" w:cs="Times New Roman"/>
          <w:sz w:val="24"/>
          <w:szCs w:val="24"/>
        </w:rPr>
        <w:t xml:space="preserve"> </w:t>
      </w:r>
      <w:r w:rsidR="0001563E" w:rsidRPr="000B5362">
        <w:rPr>
          <w:rFonts w:ascii="Times New Roman" w:hAnsi="Times New Roman" w:cs="Times New Roman"/>
          <w:sz w:val="24"/>
          <w:szCs w:val="24"/>
        </w:rPr>
        <w:t xml:space="preserve">failed to invoke </w:t>
      </w:r>
      <w:r w:rsidR="0001563E">
        <w:rPr>
          <w:rFonts w:ascii="Times New Roman" w:hAnsi="Times New Roman" w:cs="Times New Roman"/>
          <w:sz w:val="24"/>
          <w:szCs w:val="24"/>
        </w:rPr>
        <w:t>IHL</w:t>
      </w:r>
      <w:r w:rsidR="0001563E" w:rsidRPr="000B5362">
        <w:rPr>
          <w:rFonts w:ascii="Times New Roman" w:hAnsi="Times New Roman" w:cs="Times New Roman"/>
          <w:sz w:val="24"/>
          <w:szCs w:val="24"/>
        </w:rPr>
        <w:t xml:space="preserve"> in their pleadings</w:t>
      </w:r>
      <w:r>
        <w:rPr>
          <w:rFonts w:ascii="Times New Roman" w:hAnsi="Times New Roman" w:cs="Times New Roman"/>
          <w:sz w:val="24"/>
          <w:szCs w:val="24"/>
        </w:rPr>
        <w:t xml:space="preserve"> before the Court. </w:t>
      </w:r>
      <w:proofErr w:type="gramStart"/>
      <w:r>
        <w:rPr>
          <w:rFonts w:ascii="Times New Roman" w:hAnsi="Times New Roman" w:cs="Times New Roman"/>
          <w:sz w:val="24"/>
          <w:szCs w:val="24"/>
        </w:rPr>
        <w:t xml:space="preserve">As </w:t>
      </w:r>
      <w:r w:rsidR="00B63A72">
        <w:rPr>
          <w:rFonts w:ascii="Times New Roman" w:hAnsi="Times New Roman" w:cs="Times New Roman"/>
          <w:sz w:val="24"/>
          <w:szCs w:val="24"/>
        </w:rPr>
        <w:t xml:space="preserve">a </w:t>
      </w:r>
      <w:r>
        <w:rPr>
          <w:rFonts w:ascii="Times New Roman" w:hAnsi="Times New Roman" w:cs="Times New Roman"/>
          <w:sz w:val="24"/>
          <w:szCs w:val="24"/>
        </w:rPr>
        <w:t>consequence</w:t>
      </w:r>
      <w:proofErr w:type="gramEnd"/>
      <w:r>
        <w:rPr>
          <w:rFonts w:ascii="Times New Roman" w:hAnsi="Times New Roman" w:cs="Times New Roman"/>
          <w:sz w:val="24"/>
          <w:szCs w:val="24"/>
        </w:rPr>
        <w:t xml:space="preserve">, </w:t>
      </w:r>
      <w:r w:rsidR="0001563E" w:rsidRPr="000B5362">
        <w:rPr>
          <w:rFonts w:ascii="Times New Roman" w:hAnsi="Times New Roman" w:cs="Times New Roman"/>
          <w:sz w:val="24"/>
          <w:szCs w:val="24"/>
        </w:rPr>
        <w:t xml:space="preserve">the Court </w:t>
      </w:r>
      <w:r w:rsidR="000B74C7">
        <w:rPr>
          <w:rFonts w:ascii="Times New Roman" w:hAnsi="Times New Roman" w:cs="Times New Roman"/>
          <w:sz w:val="24"/>
          <w:szCs w:val="24"/>
        </w:rPr>
        <w:t xml:space="preserve">has not been given </w:t>
      </w:r>
      <w:r w:rsidR="0001563E" w:rsidRPr="000B5362">
        <w:rPr>
          <w:rFonts w:ascii="Times New Roman" w:hAnsi="Times New Roman" w:cs="Times New Roman"/>
          <w:sz w:val="24"/>
          <w:szCs w:val="24"/>
        </w:rPr>
        <w:t xml:space="preserve">the opportunity to address the interrelationship between </w:t>
      </w:r>
      <w:r w:rsidR="0001563E">
        <w:rPr>
          <w:rFonts w:ascii="Times New Roman" w:hAnsi="Times New Roman" w:cs="Times New Roman"/>
          <w:sz w:val="24"/>
          <w:szCs w:val="24"/>
        </w:rPr>
        <w:t>IHL</w:t>
      </w:r>
      <w:r w:rsidR="0001563E" w:rsidRPr="000B5362">
        <w:rPr>
          <w:rFonts w:ascii="Times New Roman" w:hAnsi="Times New Roman" w:cs="Times New Roman"/>
          <w:sz w:val="24"/>
          <w:szCs w:val="24"/>
        </w:rPr>
        <w:t xml:space="preserve"> and human rights law</w:t>
      </w:r>
      <w:r w:rsidR="0001563E">
        <w:rPr>
          <w:rFonts w:ascii="Times New Roman" w:hAnsi="Times New Roman" w:cs="Times New Roman"/>
          <w:sz w:val="24"/>
          <w:szCs w:val="24"/>
        </w:rPr>
        <w:t xml:space="preserve"> </w:t>
      </w:r>
      <w:r w:rsidR="00BD3D57">
        <w:rPr>
          <w:rFonts w:ascii="Times New Roman" w:hAnsi="Times New Roman" w:cs="Times New Roman"/>
          <w:sz w:val="24"/>
          <w:szCs w:val="24"/>
        </w:rPr>
        <w:t>regarding</w:t>
      </w:r>
      <w:r w:rsidR="0001563E">
        <w:rPr>
          <w:rFonts w:ascii="Times New Roman" w:hAnsi="Times New Roman" w:cs="Times New Roman"/>
          <w:sz w:val="24"/>
          <w:szCs w:val="24"/>
        </w:rPr>
        <w:t xml:space="preserve"> the procedural aspects of Article 2 ECHR</w:t>
      </w:r>
      <w:r w:rsidR="0001563E" w:rsidRPr="000B5362">
        <w:rPr>
          <w:rFonts w:ascii="Times New Roman" w:hAnsi="Times New Roman" w:cs="Times New Roman"/>
          <w:sz w:val="24"/>
          <w:szCs w:val="24"/>
        </w:rPr>
        <w:t xml:space="preserve">. </w:t>
      </w:r>
    </w:p>
    <w:p w14:paraId="195293F4" w14:textId="033DF595" w:rsidR="003D06A7" w:rsidRDefault="000B74C7" w:rsidP="003D06A7">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obligation to launch an investigation begins </w:t>
      </w:r>
      <w:r w:rsidR="003D06A7" w:rsidRPr="00490DD1">
        <w:rPr>
          <w:rFonts w:ascii="Times New Roman" w:hAnsi="Times New Roman" w:cs="Times New Roman"/>
          <w:color w:val="000000" w:themeColor="text1"/>
          <w:sz w:val="24"/>
          <w:szCs w:val="24"/>
        </w:rPr>
        <w:t>as soon as State authorities are informed or become aware of facts that potentially constitut</w:t>
      </w:r>
      <w:r>
        <w:rPr>
          <w:rFonts w:ascii="Times New Roman" w:hAnsi="Times New Roman" w:cs="Times New Roman"/>
          <w:color w:val="000000" w:themeColor="text1"/>
          <w:sz w:val="24"/>
          <w:szCs w:val="24"/>
        </w:rPr>
        <w:t>e a violation of Article 2 ECHR</w:t>
      </w:r>
      <w:r w:rsidR="003D06A7" w:rsidRPr="00490DD1">
        <w:rPr>
          <w:rFonts w:ascii="Times New Roman" w:hAnsi="Times New Roman" w:cs="Times New Roman"/>
          <w:color w:val="000000" w:themeColor="text1"/>
          <w:sz w:val="24"/>
          <w:szCs w:val="24"/>
        </w:rPr>
        <w:t>.</w:t>
      </w:r>
      <w:r w:rsidR="003D06A7" w:rsidRPr="00490DD1">
        <w:rPr>
          <w:rStyle w:val="FootnoteReference"/>
          <w:rFonts w:ascii="Times New Roman" w:hAnsi="Times New Roman" w:cs="Times New Roman"/>
          <w:color w:val="000000" w:themeColor="text1"/>
          <w:sz w:val="24"/>
          <w:szCs w:val="24"/>
        </w:rPr>
        <w:footnoteReference w:id="31"/>
      </w:r>
      <w:r w:rsidR="003D06A7" w:rsidRPr="00490DD1">
        <w:rPr>
          <w:rFonts w:ascii="Times New Roman" w:hAnsi="Times New Roman" w:cs="Times New Roman"/>
          <w:color w:val="000000" w:themeColor="text1"/>
          <w:sz w:val="24"/>
          <w:szCs w:val="24"/>
        </w:rPr>
        <w:t xml:space="preserve"> In </w:t>
      </w:r>
      <w:proofErr w:type="spellStart"/>
      <w:r w:rsidR="003D06A7" w:rsidRPr="00490DD1">
        <w:rPr>
          <w:rFonts w:ascii="Times New Roman" w:hAnsi="Times New Roman" w:cs="Times New Roman"/>
          <w:i/>
          <w:color w:val="000000" w:themeColor="text1"/>
          <w:sz w:val="24"/>
          <w:szCs w:val="24"/>
        </w:rPr>
        <w:t>Akkum</w:t>
      </w:r>
      <w:proofErr w:type="spellEnd"/>
      <w:r w:rsidR="003D06A7" w:rsidRPr="00490DD1">
        <w:rPr>
          <w:rFonts w:ascii="Times New Roman" w:hAnsi="Times New Roman" w:cs="Times New Roman"/>
          <w:color w:val="000000" w:themeColor="text1"/>
          <w:sz w:val="24"/>
          <w:szCs w:val="24"/>
        </w:rPr>
        <w:t>, the Court added that, in circumstances where the State had exclusive control over an area, it was deemed that the State had knowledge of such events, as they ‘lie wholly, or in large part, within the exclusive knowledge of the authorities’</w:t>
      </w:r>
      <w:r w:rsidR="00615026">
        <w:rPr>
          <w:rFonts w:ascii="Times New Roman" w:hAnsi="Times New Roman" w:cs="Times New Roman"/>
          <w:color w:val="000000" w:themeColor="text1"/>
          <w:sz w:val="24"/>
          <w:szCs w:val="24"/>
        </w:rPr>
        <w:t>.</w:t>
      </w:r>
      <w:r w:rsidR="003D06A7" w:rsidRPr="00490DD1">
        <w:rPr>
          <w:rStyle w:val="FootnoteReference"/>
          <w:rFonts w:ascii="Times New Roman" w:hAnsi="Times New Roman" w:cs="Times New Roman"/>
          <w:color w:val="000000" w:themeColor="text1"/>
          <w:sz w:val="24"/>
          <w:szCs w:val="24"/>
        </w:rPr>
        <w:footnoteReference w:id="32"/>
      </w:r>
      <w:r w:rsidR="003D06A7" w:rsidRPr="00490DD1">
        <w:rPr>
          <w:rFonts w:ascii="Times New Roman" w:hAnsi="Times New Roman" w:cs="Times New Roman"/>
          <w:color w:val="000000" w:themeColor="text1"/>
          <w:sz w:val="24"/>
          <w:szCs w:val="24"/>
        </w:rPr>
        <w:t xml:space="preserve"> </w:t>
      </w:r>
      <w:r w:rsidR="003D06A7">
        <w:rPr>
          <w:rFonts w:ascii="Times New Roman" w:hAnsi="Times New Roman" w:cs="Times New Roman"/>
          <w:color w:val="000000" w:themeColor="text1"/>
          <w:sz w:val="24"/>
          <w:szCs w:val="24"/>
        </w:rPr>
        <w:t>First,</w:t>
      </w:r>
      <w:r w:rsidR="003D06A7" w:rsidRPr="00490DD1">
        <w:rPr>
          <w:rFonts w:ascii="Times New Roman" w:hAnsi="Times New Roman" w:cs="Times New Roman"/>
          <w:color w:val="000000" w:themeColor="text1"/>
          <w:sz w:val="24"/>
          <w:szCs w:val="24"/>
        </w:rPr>
        <w:t xml:space="preserve"> there must be an ‘arguable breach’ or ‘grounds for suspicion’ for Article 2 ECHR to be triggered</w:t>
      </w:r>
      <w:r w:rsidR="003D06A7">
        <w:rPr>
          <w:rFonts w:ascii="Times New Roman" w:hAnsi="Times New Roman" w:cs="Times New Roman"/>
          <w:color w:val="000000" w:themeColor="text1"/>
          <w:sz w:val="24"/>
          <w:szCs w:val="24"/>
        </w:rPr>
        <w:t>,</w:t>
      </w:r>
      <w:r w:rsidR="003D06A7" w:rsidRPr="00490DD1">
        <w:rPr>
          <w:rStyle w:val="FootnoteReference"/>
          <w:rFonts w:ascii="Times New Roman" w:hAnsi="Times New Roman" w:cs="Times New Roman"/>
          <w:color w:val="000000" w:themeColor="text1"/>
          <w:sz w:val="24"/>
          <w:szCs w:val="24"/>
        </w:rPr>
        <w:footnoteReference w:id="33"/>
      </w:r>
      <w:r w:rsidR="003D06A7" w:rsidRPr="00490DD1">
        <w:rPr>
          <w:rFonts w:ascii="Times New Roman" w:hAnsi="Times New Roman" w:cs="Times New Roman"/>
          <w:color w:val="000000" w:themeColor="text1"/>
          <w:sz w:val="24"/>
          <w:szCs w:val="24"/>
        </w:rPr>
        <w:t xml:space="preserve"> the emphasis </w:t>
      </w:r>
      <w:r w:rsidR="003D06A7">
        <w:rPr>
          <w:rFonts w:ascii="Times New Roman" w:hAnsi="Times New Roman" w:cs="Times New Roman"/>
          <w:color w:val="000000" w:themeColor="text1"/>
          <w:sz w:val="24"/>
          <w:szCs w:val="24"/>
        </w:rPr>
        <w:t>being</w:t>
      </w:r>
      <w:r w:rsidR="003D06A7" w:rsidRPr="00490DD1">
        <w:rPr>
          <w:rFonts w:ascii="Times New Roman" w:hAnsi="Times New Roman" w:cs="Times New Roman"/>
          <w:color w:val="000000" w:themeColor="text1"/>
          <w:sz w:val="24"/>
          <w:szCs w:val="24"/>
        </w:rPr>
        <w:t xml:space="preserve"> on ‘cases of suspected </w:t>
      </w:r>
      <w:r w:rsidR="003D06A7" w:rsidRPr="00490DD1">
        <w:rPr>
          <w:rFonts w:ascii="Times New Roman" w:hAnsi="Times New Roman" w:cs="Times New Roman"/>
          <w:i/>
          <w:color w:val="000000" w:themeColor="text1"/>
          <w:sz w:val="24"/>
          <w:szCs w:val="24"/>
        </w:rPr>
        <w:t xml:space="preserve">unlawful </w:t>
      </w:r>
      <w:r w:rsidR="003D06A7" w:rsidRPr="00490DD1">
        <w:rPr>
          <w:rFonts w:ascii="Times New Roman" w:hAnsi="Times New Roman" w:cs="Times New Roman"/>
          <w:color w:val="000000" w:themeColor="text1"/>
          <w:sz w:val="24"/>
          <w:szCs w:val="24"/>
        </w:rPr>
        <w:t>killing’</w:t>
      </w:r>
      <w:r w:rsidR="00615026">
        <w:rPr>
          <w:rFonts w:ascii="Times New Roman" w:hAnsi="Times New Roman" w:cs="Times New Roman"/>
          <w:color w:val="000000" w:themeColor="text1"/>
          <w:sz w:val="24"/>
          <w:szCs w:val="24"/>
        </w:rPr>
        <w:t>.</w:t>
      </w:r>
      <w:r w:rsidR="003D06A7" w:rsidRPr="00490DD1">
        <w:rPr>
          <w:rFonts w:ascii="Times New Roman" w:hAnsi="Times New Roman" w:cs="Times New Roman"/>
          <w:color w:val="000000" w:themeColor="text1"/>
          <w:sz w:val="24"/>
          <w:szCs w:val="24"/>
        </w:rPr>
        <w:t xml:space="preserve"> </w:t>
      </w:r>
      <w:r w:rsidR="003D06A7">
        <w:rPr>
          <w:rStyle w:val="sb8d990e2"/>
          <w:rFonts w:ascii="Times New Roman" w:hAnsi="Times New Roman" w:cs="Times New Roman"/>
          <w:color w:val="000000" w:themeColor="text1"/>
          <w:sz w:val="24"/>
          <w:szCs w:val="24"/>
          <w:shd w:val="clear" w:color="auto" w:fill="FFFFFF"/>
        </w:rPr>
        <w:t>T</w:t>
      </w:r>
      <w:r w:rsidR="003D06A7" w:rsidRPr="00490DD1">
        <w:rPr>
          <w:rStyle w:val="sb8d990e2"/>
          <w:rFonts w:ascii="Times New Roman" w:hAnsi="Times New Roman" w:cs="Times New Roman"/>
          <w:color w:val="000000" w:themeColor="text1"/>
          <w:sz w:val="24"/>
          <w:szCs w:val="24"/>
          <w:shd w:val="clear" w:color="auto" w:fill="FFFFFF"/>
        </w:rPr>
        <w:t>he Court considers that two categories of events trigger an investigation in the context of military operations: 1) the death of a civilian and 2) the death in unlawful circumstances</w:t>
      </w:r>
      <w:r w:rsidR="003D06A7" w:rsidRPr="00490DD1">
        <w:rPr>
          <w:rFonts w:ascii="Times New Roman" w:hAnsi="Times New Roman" w:cs="Times New Roman"/>
          <w:color w:val="000000" w:themeColor="text1"/>
          <w:sz w:val="24"/>
          <w:szCs w:val="24"/>
          <w:shd w:val="clear" w:color="auto" w:fill="FFFFFF"/>
        </w:rPr>
        <w:t>.</w:t>
      </w:r>
      <w:r w:rsidR="003D06A7" w:rsidRPr="00490DD1">
        <w:rPr>
          <w:rStyle w:val="FootnoteReference"/>
          <w:rFonts w:ascii="Times New Roman" w:hAnsi="Times New Roman" w:cs="Times New Roman"/>
          <w:color w:val="000000" w:themeColor="text1"/>
          <w:sz w:val="24"/>
          <w:szCs w:val="24"/>
          <w:shd w:val="clear" w:color="auto" w:fill="FFFFFF"/>
        </w:rPr>
        <w:footnoteReference w:id="34"/>
      </w:r>
      <w:r w:rsidR="003D06A7">
        <w:rPr>
          <w:rFonts w:ascii="Times New Roman" w:hAnsi="Times New Roman" w:cs="Times New Roman"/>
          <w:color w:val="000000" w:themeColor="text1"/>
          <w:sz w:val="24"/>
          <w:szCs w:val="24"/>
          <w:shd w:val="clear" w:color="auto" w:fill="FFFFFF"/>
        </w:rPr>
        <w:t xml:space="preserve"> </w:t>
      </w:r>
      <w:r w:rsidR="004D09EF">
        <w:rPr>
          <w:rFonts w:ascii="Times New Roman" w:hAnsi="Times New Roman" w:cs="Times New Roman"/>
          <w:color w:val="000000" w:themeColor="text1"/>
          <w:sz w:val="24"/>
          <w:szCs w:val="24"/>
          <w:shd w:val="clear" w:color="auto" w:fill="FFFFFF"/>
        </w:rPr>
        <w:t>T</w:t>
      </w:r>
      <w:r w:rsidR="003D06A7">
        <w:rPr>
          <w:rFonts w:ascii="Times New Roman" w:hAnsi="Times New Roman" w:cs="Times New Roman"/>
          <w:color w:val="000000" w:themeColor="text1"/>
          <w:sz w:val="24"/>
          <w:szCs w:val="24"/>
          <w:shd w:val="clear" w:color="auto" w:fill="FFFFFF"/>
        </w:rPr>
        <w:t>he Court</w:t>
      </w:r>
      <w:r w:rsidR="004D09EF">
        <w:rPr>
          <w:rFonts w:ascii="Times New Roman" w:hAnsi="Times New Roman" w:cs="Times New Roman"/>
          <w:color w:val="000000" w:themeColor="text1"/>
          <w:sz w:val="24"/>
          <w:szCs w:val="24"/>
          <w:shd w:val="clear" w:color="auto" w:fill="FFFFFF"/>
        </w:rPr>
        <w:t xml:space="preserve"> thus</w:t>
      </w:r>
      <w:r w:rsidR="003D06A7">
        <w:rPr>
          <w:rFonts w:ascii="Times New Roman" w:hAnsi="Times New Roman" w:cs="Times New Roman"/>
          <w:color w:val="000000" w:themeColor="text1"/>
          <w:sz w:val="24"/>
          <w:szCs w:val="24"/>
          <w:shd w:val="clear" w:color="auto" w:fill="FFFFFF"/>
        </w:rPr>
        <w:t xml:space="preserve"> understands that arbitrary deprivation of life must be construed with reference to </w:t>
      </w:r>
      <w:r>
        <w:rPr>
          <w:rFonts w:ascii="Times New Roman" w:hAnsi="Times New Roman" w:cs="Times New Roman"/>
          <w:color w:val="000000" w:themeColor="text1"/>
          <w:sz w:val="24"/>
          <w:szCs w:val="24"/>
          <w:shd w:val="clear" w:color="auto" w:fill="FFFFFF"/>
        </w:rPr>
        <w:t>IHL</w:t>
      </w:r>
      <w:r w:rsidR="003D06A7">
        <w:rPr>
          <w:rFonts w:ascii="Times New Roman" w:hAnsi="Times New Roman" w:cs="Times New Roman"/>
          <w:color w:val="000000" w:themeColor="text1"/>
          <w:sz w:val="24"/>
          <w:szCs w:val="24"/>
          <w:shd w:val="clear" w:color="auto" w:fill="FFFFFF"/>
        </w:rPr>
        <w:t xml:space="preserve"> rather than human rights law.</w:t>
      </w:r>
      <w:r w:rsidR="003D06A7">
        <w:rPr>
          <w:rStyle w:val="FootnoteReference"/>
          <w:rFonts w:ascii="Times New Roman" w:hAnsi="Times New Roman" w:cs="Times New Roman"/>
          <w:color w:val="000000" w:themeColor="text1"/>
          <w:sz w:val="24"/>
          <w:szCs w:val="24"/>
          <w:shd w:val="clear" w:color="auto" w:fill="FFFFFF"/>
        </w:rPr>
        <w:footnoteReference w:id="35"/>
      </w:r>
      <w:r w:rsidR="003D06A7">
        <w:rPr>
          <w:rFonts w:ascii="Times New Roman" w:hAnsi="Times New Roman" w:cs="Times New Roman"/>
          <w:color w:val="000000" w:themeColor="text1"/>
          <w:sz w:val="24"/>
          <w:szCs w:val="24"/>
          <w:shd w:val="clear" w:color="auto" w:fill="FFFFFF"/>
        </w:rPr>
        <w:t xml:space="preserve"> Indeed, </w:t>
      </w:r>
      <w:r w:rsidR="003D06A7" w:rsidRPr="00490DD1">
        <w:rPr>
          <w:rFonts w:ascii="Times New Roman" w:hAnsi="Times New Roman" w:cs="Times New Roman"/>
          <w:color w:val="000000" w:themeColor="text1"/>
          <w:sz w:val="24"/>
          <w:szCs w:val="24"/>
        </w:rPr>
        <w:t>in a string of Chechen cases,</w:t>
      </w:r>
      <w:r w:rsidR="003D06A7" w:rsidRPr="00490DD1">
        <w:rPr>
          <w:rStyle w:val="FootnoteReference"/>
          <w:rFonts w:ascii="Times New Roman" w:hAnsi="Times New Roman" w:cs="Times New Roman"/>
          <w:color w:val="000000" w:themeColor="text1"/>
          <w:sz w:val="24"/>
          <w:szCs w:val="24"/>
          <w:shd w:val="clear" w:color="auto" w:fill="FFFFFF"/>
        </w:rPr>
        <w:footnoteReference w:id="36"/>
      </w:r>
      <w:r w:rsidR="003D06A7">
        <w:rPr>
          <w:rFonts w:ascii="Times New Roman" w:hAnsi="Times New Roman" w:cs="Times New Roman"/>
          <w:color w:val="000000" w:themeColor="text1"/>
          <w:sz w:val="24"/>
          <w:szCs w:val="24"/>
        </w:rPr>
        <w:t xml:space="preserve"> it </w:t>
      </w:r>
      <w:r w:rsidR="003D06A7" w:rsidRPr="00490DD1">
        <w:rPr>
          <w:rFonts w:ascii="Times New Roman" w:hAnsi="Times New Roman" w:cs="Times New Roman"/>
          <w:color w:val="000000" w:themeColor="text1"/>
          <w:sz w:val="24"/>
          <w:szCs w:val="24"/>
        </w:rPr>
        <w:t xml:space="preserve">refers to civilian deaths </w:t>
      </w:r>
      <w:r w:rsidR="003D06A7" w:rsidRPr="00490DD1">
        <w:rPr>
          <w:rFonts w:ascii="Times New Roman" w:hAnsi="Times New Roman" w:cs="Times New Roman"/>
          <w:color w:val="000000" w:themeColor="text1"/>
          <w:sz w:val="24"/>
          <w:szCs w:val="24"/>
          <w:shd w:val="clear" w:color="auto" w:fill="FFFFFF"/>
        </w:rPr>
        <w:t>and i</w:t>
      </w:r>
      <w:r w:rsidR="003D06A7" w:rsidRPr="00490DD1">
        <w:rPr>
          <w:rFonts w:ascii="Times New Roman" w:hAnsi="Times New Roman" w:cs="Times New Roman"/>
          <w:color w:val="000000" w:themeColor="text1"/>
          <w:sz w:val="24"/>
          <w:szCs w:val="24"/>
        </w:rPr>
        <w:t xml:space="preserve">n </w:t>
      </w:r>
      <w:proofErr w:type="spellStart"/>
      <w:r w:rsidR="003D06A7" w:rsidRPr="00490DD1">
        <w:rPr>
          <w:rFonts w:ascii="Times New Roman" w:hAnsi="Times New Roman" w:cs="Times New Roman"/>
          <w:i/>
          <w:color w:val="000000" w:themeColor="text1"/>
          <w:sz w:val="24"/>
          <w:szCs w:val="24"/>
        </w:rPr>
        <w:t>Varnava</w:t>
      </w:r>
      <w:proofErr w:type="spellEnd"/>
      <w:r w:rsidR="003D06A7" w:rsidRPr="00490DD1">
        <w:rPr>
          <w:rFonts w:ascii="Times New Roman" w:hAnsi="Times New Roman" w:cs="Times New Roman"/>
          <w:color w:val="000000" w:themeColor="text1"/>
          <w:sz w:val="24"/>
          <w:szCs w:val="24"/>
        </w:rPr>
        <w:t xml:space="preserve">, acknowledges that targeting combatants or civilians taking a direct part in the hostilities is permitted inasmuch as it specifies that the States ‘are under obligation to protect the lives of those not, or no longer, engaged in </w:t>
      </w:r>
      <w:r w:rsidR="003D06A7" w:rsidRPr="00490DD1">
        <w:rPr>
          <w:rFonts w:ascii="Times New Roman" w:hAnsi="Times New Roman" w:cs="Times New Roman"/>
          <w:color w:val="000000" w:themeColor="text1"/>
          <w:sz w:val="24"/>
          <w:szCs w:val="24"/>
        </w:rPr>
        <w:lastRenderedPageBreak/>
        <w:t>hostilities’</w:t>
      </w:r>
      <w:r w:rsidR="00615026">
        <w:rPr>
          <w:rFonts w:ascii="Times New Roman" w:hAnsi="Times New Roman" w:cs="Times New Roman"/>
          <w:color w:val="000000" w:themeColor="text1"/>
          <w:sz w:val="24"/>
          <w:szCs w:val="24"/>
        </w:rPr>
        <w:t>.</w:t>
      </w:r>
      <w:r w:rsidR="003D06A7" w:rsidRPr="00490DD1">
        <w:rPr>
          <w:rStyle w:val="FootnoteReference"/>
          <w:rFonts w:ascii="Times New Roman" w:hAnsi="Times New Roman" w:cs="Times New Roman"/>
          <w:color w:val="000000" w:themeColor="text1"/>
          <w:sz w:val="24"/>
          <w:szCs w:val="24"/>
        </w:rPr>
        <w:footnoteReference w:id="37"/>
      </w:r>
      <w:r w:rsidR="003D06A7" w:rsidRPr="00490D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duty to investigate also arises when</w:t>
      </w:r>
      <w:r w:rsidR="003D06A7" w:rsidRPr="00490DD1">
        <w:rPr>
          <w:rFonts w:ascii="Times New Roman" w:hAnsi="Times New Roman" w:cs="Times New Roman"/>
          <w:color w:val="000000" w:themeColor="text1"/>
          <w:sz w:val="24"/>
          <w:szCs w:val="24"/>
        </w:rPr>
        <w:t xml:space="preserve"> the circumstances in which the person has been killed are d</w:t>
      </w:r>
      <w:r>
        <w:rPr>
          <w:rFonts w:ascii="Times New Roman" w:hAnsi="Times New Roman" w:cs="Times New Roman"/>
          <w:color w:val="000000" w:themeColor="text1"/>
          <w:sz w:val="24"/>
          <w:szCs w:val="24"/>
        </w:rPr>
        <w:t>oubtful</w:t>
      </w:r>
      <w:r w:rsidR="003D06A7" w:rsidRPr="00490DD1">
        <w:rPr>
          <w:rFonts w:ascii="Times New Roman" w:hAnsi="Times New Roman" w:cs="Times New Roman"/>
          <w:color w:val="000000" w:themeColor="text1"/>
          <w:sz w:val="24"/>
          <w:szCs w:val="24"/>
        </w:rPr>
        <w:t xml:space="preserve">. </w:t>
      </w:r>
      <w:r w:rsidR="003D06A7">
        <w:rPr>
          <w:rFonts w:ascii="Times New Roman" w:hAnsi="Times New Roman" w:cs="Times New Roman"/>
          <w:color w:val="000000" w:themeColor="text1"/>
          <w:sz w:val="24"/>
          <w:szCs w:val="24"/>
        </w:rPr>
        <w:t>I</w:t>
      </w:r>
      <w:r w:rsidR="003D06A7" w:rsidRPr="00490DD1">
        <w:rPr>
          <w:rFonts w:ascii="Times New Roman" w:hAnsi="Times New Roman" w:cs="Times New Roman"/>
          <w:color w:val="000000" w:themeColor="text1"/>
          <w:sz w:val="24"/>
          <w:szCs w:val="24"/>
        </w:rPr>
        <w:t xml:space="preserve">n mounting a military operation, States must ensure that they ‘take all feasible precautions in the choice of means and methods of a security operation </w:t>
      </w:r>
      <w:r w:rsidR="00615026">
        <w:rPr>
          <w:rFonts w:ascii="Times New Roman" w:hAnsi="Times New Roman" w:cs="Times New Roman"/>
          <w:color w:val="000000" w:themeColor="text1"/>
          <w:sz w:val="24"/>
          <w:szCs w:val="24"/>
        </w:rPr>
        <w:t>[</w:t>
      </w:r>
      <w:r w:rsidR="003D06A7" w:rsidRPr="00490DD1">
        <w:rPr>
          <w:rFonts w:ascii="Times New Roman" w:hAnsi="Times New Roman" w:cs="Times New Roman"/>
          <w:color w:val="000000" w:themeColor="text1"/>
          <w:sz w:val="24"/>
          <w:szCs w:val="24"/>
        </w:rPr>
        <w:t>…</w:t>
      </w:r>
      <w:r w:rsidR="00615026">
        <w:rPr>
          <w:rFonts w:ascii="Times New Roman" w:hAnsi="Times New Roman" w:cs="Times New Roman"/>
          <w:color w:val="000000" w:themeColor="text1"/>
          <w:sz w:val="24"/>
          <w:szCs w:val="24"/>
        </w:rPr>
        <w:t>]</w:t>
      </w:r>
      <w:r w:rsidR="003D06A7" w:rsidRPr="00490DD1">
        <w:rPr>
          <w:rFonts w:ascii="Times New Roman" w:hAnsi="Times New Roman" w:cs="Times New Roman"/>
          <w:color w:val="000000" w:themeColor="text1"/>
          <w:sz w:val="24"/>
          <w:szCs w:val="24"/>
        </w:rPr>
        <w:t xml:space="preserve"> with a view to avoiding and, in any event, minimising, incidental loss of civilian life’</w:t>
      </w:r>
      <w:r w:rsidR="00615026">
        <w:rPr>
          <w:rFonts w:ascii="Times New Roman" w:hAnsi="Times New Roman" w:cs="Times New Roman"/>
          <w:color w:val="000000" w:themeColor="text1"/>
          <w:sz w:val="24"/>
          <w:szCs w:val="24"/>
        </w:rPr>
        <w:t>.</w:t>
      </w:r>
      <w:r w:rsidR="003D06A7" w:rsidRPr="00490DD1">
        <w:rPr>
          <w:rStyle w:val="FootnoteReference"/>
          <w:rFonts w:ascii="Times New Roman" w:hAnsi="Times New Roman" w:cs="Times New Roman"/>
          <w:color w:val="000000" w:themeColor="text1"/>
          <w:sz w:val="24"/>
          <w:szCs w:val="24"/>
        </w:rPr>
        <w:footnoteReference w:id="38"/>
      </w:r>
      <w:r w:rsidR="003D06A7" w:rsidRPr="00490DD1">
        <w:rPr>
          <w:rFonts w:ascii="Times New Roman" w:hAnsi="Times New Roman" w:cs="Times New Roman"/>
          <w:color w:val="000000" w:themeColor="text1"/>
          <w:sz w:val="24"/>
          <w:szCs w:val="24"/>
        </w:rPr>
        <w:t xml:space="preserve"> Here, the deaths are suspicious because of the circumstances in which they happened, </w:t>
      </w:r>
      <w:r w:rsidR="00493A06">
        <w:rPr>
          <w:rFonts w:ascii="Times New Roman" w:hAnsi="Times New Roman" w:cs="Times New Roman"/>
          <w:color w:val="000000" w:themeColor="text1"/>
          <w:sz w:val="24"/>
          <w:szCs w:val="24"/>
        </w:rPr>
        <w:t>that is</w:t>
      </w:r>
      <w:r w:rsidR="003D06A7" w:rsidRPr="00490DD1">
        <w:rPr>
          <w:rFonts w:ascii="Times New Roman" w:hAnsi="Times New Roman" w:cs="Times New Roman"/>
          <w:color w:val="000000" w:themeColor="text1"/>
          <w:sz w:val="24"/>
          <w:szCs w:val="24"/>
        </w:rPr>
        <w:t>, the means and methods deployed are unlawful.</w:t>
      </w:r>
      <w:r w:rsidR="003D06A7" w:rsidRPr="00490DD1">
        <w:rPr>
          <w:rStyle w:val="FootnoteReference"/>
          <w:rFonts w:ascii="Times New Roman" w:hAnsi="Times New Roman" w:cs="Times New Roman"/>
          <w:color w:val="000000" w:themeColor="text1"/>
          <w:sz w:val="24"/>
          <w:szCs w:val="24"/>
        </w:rPr>
        <w:footnoteReference w:id="39"/>
      </w:r>
      <w:r w:rsidR="003D06A7" w:rsidRPr="00490DD1">
        <w:rPr>
          <w:rFonts w:ascii="Times New Roman" w:hAnsi="Times New Roman" w:cs="Times New Roman"/>
          <w:color w:val="000000" w:themeColor="text1"/>
          <w:sz w:val="24"/>
          <w:szCs w:val="24"/>
        </w:rPr>
        <w:t xml:space="preserve"> </w:t>
      </w:r>
      <w:r w:rsidR="00BD3D57">
        <w:rPr>
          <w:rFonts w:ascii="Times New Roman" w:hAnsi="Times New Roman" w:cs="Times New Roman"/>
          <w:color w:val="000000" w:themeColor="text1"/>
          <w:sz w:val="24"/>
          <w:szCs w:val="24"/>
        </w:rPr>
        <w:t>The use of these two categories to determine the lawfulness of a military op</w:t>
      </w:r>
      <w:r w:rsidR="008123EF">
        <w:rPr>
          <w:rFonts w:ascii="Times New Roman" w:hAnsi="Times New Roman" w:cs="Times New Roman"/>
          <w:color w:val="000000" w:themeColor="text1"/>
          <w:sz w:val="24"/>
          <w:szCs w:val="24"/>
        </w:rPr>
        <w:t>e</w:t>
      </w:r>
      <w:r w:rsidR="00BD3D57">
        <w:rPr>
          <w:rFonts w:ascii="Times New Roman" w:hAnsi="Times New Roman" w:cs="Times New Roman"/>
          <w:color w:val="000000" w:themeColor="text1"/>
          <w:sz w:val="24"/>
          <w:szCs w:val="24"/>
        </w:rPr>
        <w:t>ration</w:t>
      </w:r>
      <w:r w:rsidR="003D06A7" w:rsidRPr="00490DD1">
        <w:rPr>
          <w:rFonts w:ascii="Times New Roman" w:hAnsi="Times New Roman" w:cs="Times New Roman"/>
          <w:color w:val="000000" w:themeColor="text1"/>
          <w:sz w:val="24"/>
          <w:szCs w:val="24"/>
        </w:rPr>
        <w:t xml:space="preserve"> chimes well with </w:t>
      </w:r>
      <w:r>
        <w:rPr>
          <w:rFonts w:ascii="Times New Roman" w:hAnsi="Times New Roman" w:cs="Times New Roman"/>
          <w:color w:val="000000" w:themeColor="text1"/>
          <w:sz w:val="24"/>
          <w:szCs w:val="24"/>
        </w:rPr>
        <w:t xml:space="preserve">military </w:t>
      </w:r>
      <w:r w:rsidR="003D06A7" w:rsidRPr="00490DD1">
        <w:rPr>
          <w:rFonts w:ascii="Times New Roman" w:hAnsi="Times New Roman" w:cs="Times New Roman"/>
          <w:color w:val="000000" w:themeColor="text1"/>
          <w:sz w:val="24"/>
          <w:szCs w:val="24"/>
        </w:rPr>
        <w:t xml:space="preserve">operational </w:t>
      </w:r>
      <w:r>
        <w:rPr>
          <w:rFonts w:ascii="Times New Roman" w:hAnsi="Times New Roman" w:cs="Times New Roman"/>
          <w:color w:val="000000" w:themeColor="text1"/>
          <w:sz w:val="24"/>
          <w:szCs w:val="24"/>
        </w:rPr>
        <w:t>requirements and IHL principles</w:t>
      </w:r>
      <w:r w:rsidR="003D06A7" w:rsidRPr="00490DD1">
        <w:rPr>
          <w:rFonts w:ascii="Times New Roman" w:hAnsi="Times New Roman" w:cs="Times New Roman"/>
          <w:color w:val="000000" w:themeColor="text1"/>
          <w:sz w:val="24"/>
          <w:szCs w:val="24"/>
        </w:rPr>
        <w:t>.</w:t>
      </w:r>
      <w:r w:rsidR="003D06A7" w:rsidRPr="00490DD1">
        <w:rPr>
          <w:rStyle w:val="FootnoteReference"/>
          <w:rFonts w:ascii="Times New Roman" w:hAnsi="Times New Roman" w:cs="Times New Roman"/>
          <w:color w:val="000000" w:themeColor="text1"/>
          <w:sz w:val="24"/>
          <w:szCs w:val="24"/>
        </w:rPr>
        <w:footnoteReference w:id="40"/>
      </w:r>
    </w:p>
    <w:p w14:paraId="4C0F5671" w14:textId="77ED1AED" w:rsidR="0001563E" w:rsidRDefault="008123EF" w:rsidP="003D06A7">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Such a duty</w:t>
      </w:r>
      <w:r w:rsidRPr="00490DD1">
        <w:rPr>
          <w:rFonts w:ascii="Times New Roman" w:hAnsi="Times New Roman" w:cs="Times New Roman"/>
          <w:color w:val="000000" w:themeColor="text1"/>
          <w:sz w:val="24"/>
          <w:szCs w:val="24"/>
        </w:rPr>
        <w:t xml:space="preserve"> is also applicable to situations where there is uncertainty about the lethality of the attack, as Article 2 ECHR applies to situ</w:t>
      </w:r>
      <w:r>
        <w:rPr>
          <w:rFonts w:ascii="Times New Roman" w:hAnsi="Times New Roman" w:cs="Times New Roman"/>
          <w:color w:val="000000" w:themeColor="text1"/>
          <w:sz w:val="24"/>
          <w:szCs w:val="24"/>
        </w:rPr>
        <w:t>ations of attempted killing too.</w:t>
      </w:r>
      <w:r w:rsidRPr="00490DD1">
        <w:rPr>
          <w:rStyle w:val="FootnoteReference"/>
          <w:rFonts w:ascii="Times New Roman" w:hAnsi="Times New Roman" w:cs="Times New Roman"/>
          <w:color w:val="000000" w:themeColor="text1"/>
          <w:sz w:val="24"/>
          <w:szCs w:val="24"/>
        </w:rPr>
        <w:footnoteReference w:id="41"/>
      </w:r>
      <w:r w:rsidRPr="003D06A7">
        <w:rPr>
          <w:rFonts w:ascii="Times New Roman" w:hAnsi="Times New Roman" w:cs="Times New Roman"/>
          <w:color w:val="000000" w:themeColor="text1"/>
          <w:sz w:val="24"/>
          <w:szCs w:val="24"/>
        </w:rPr>
        <w:t xml:space="preserve"> </w:t>
      </w:r>
      <w:r w:rsidR="004D09EF">
        <w:rPr>
          <w:rFonts w:ascii="Times New Roman" w:hAnsi="Times New Roman" w:cs="Times New Roman"/>
          <w:color w:val="000000" w:themeColor="text1"/>
          <w:sz w:val="24"/>
          <w:szCs w:val="24"/>
        </w:rPr>
        <w:t>At first sight it appears difficulty for the armed forces to comply with this obligation since t</w:t>
      </w:r>
      <w:r w:rsidR="0001563E" w:rsidRPr="00490DD1">
        <w:rPr>
          <w:rFonts w:ascii="Times New Roman" w:hAnsi="Times New Roman" w:cs="Times New Roman"/>
          <w:color w:val="000000" w:themeColor="text1"/>
          <w:sz w:val="24"/>
          <w:szCs w:val="24"/>
        </w:rPr>
        <w:t>here are situations where, despite taking all necessary steps to verify that no civilian has been killed, the State is unaware of the death of a person.</w:t>
      </w:r>
      <w:r w:rsidR="0001563E" w:rsidRPr="00490DD1">
        <w:rPr>
          <w:rStyle w:val="FootnoteReference"/>
          <w:rFonts w:ascii="Times New Roman" w:hAnsi="Times New Roman" w:cs="Times New Roman"/>
          <w:color w:val="000000" w:themeColor="text1"/>
          <w:sz w:val="24"/>
          <w:szCs w:val="24"/>
        </w:rPr>
        <w:footnoteReference w:id="42"/>
      </w:r>
      <w:r w:rsidR="0001563E" w:rsidRPr="00490DD1">
        <w:rPr>
          <w:rFonts w:ascii="Times New Roman" w:hAnsi="Times New Roman" w:cs="Times New Roman"/>
          <w:color w:val="000000" w:themeColor="text1"/>
          <w:sz w:val="24"/>
          <w:szCs w:val="24"/>
        </w:rPr>
        <w:t xml:space="preserve"> </w:t>
      </w:r>
      <w:r w:rsidR="004D09EF">
        <w:rPr>
          <w:rFonts w:ascii="Times New Roman" w:hAnsi="Times New Roman" w:cs="Times New Roman"/>
          <w:color w:val="000000" w:themeColor="text1"/>
          <w:sz w:val="24"/>
          <w:szCs w:val="24"/>
        </w:rPr>
        <w:t>However, i</w:t>
      </w:r>
      <w:r w:rsidR="0001563E" w:rsidRPr="00490DD1">
        <w:rPr>
          <w:rFonts w:ascii="Times New Roman" w:hAnsi="Times New Roman" w:cs="Times New Roman"/>
          <w:color w:val="000000" w:themeColor="text1"/>
          <w:sz w:val="24"/>
          <w:szCs w:val="24"/>
        </w:rPr>
        <w:t xml:space="preserve">n this instance, the obligation starts from the moment the State has been made aware of the potential breach, </w:t>
      </w:r>
      <w:r w:rsidR="00493A06">
        <w:rPr>
          <w:rFonts w:ascii="Times New Roman" w:hAnsi="Times New Roman" w:cs="Times New Roman"/>
          <w:color w:val="000000" w:themeColor="text1"/>
          <w:sz w:val="24"/>
          <w:szCs w:val="24"/>
        </w:rPr>
        <w:t>that is</w:t>
      </w:r>
      <w:r w:rsidR="0001563E" w:rsidRPr="00490DD1">
        <w:rPr>
          <w:rFonts w:ascii="Times New Roman" w:hAnsi="Times New Roman" w:cs="Times New Roman"/>
          <w:color w:val="000000" w:themeColor="text1"/>
          <w:sz w:val="24"/>
          <w:szCs w:val="24"/>
        </w:rPr>
        <w:t xml:space="preserve">, when </w:t>
      </w:r>
      <w:r w:rsidR="0001563E">
        <w:rPr>
          <w:rFonts w:ascii="Times New Roman" w:hAnsi="Times New Roman" w:cs="Times New Roman"/>
          <w:color w:val="000000" w:themeColor="text1"/>
          <w:sz w:val="24"/>
          <w:szCs w:val="24"/>
        </w:rPr>
        <w:t xml:space="preserve">plausible or </w:t>
      </w:r>
      <w:r w:rsidR="0001563E" w:rsidRPr="00490DD1">
        <w:rPr>
          <w:rFonts w:ascii="Times New Roman" w:hAnsi="Times New Roman" w:cs="Times New Roman"/>
          <w:color w:val="000000" w:themeColor="text1"/>
          <w:sz w:val="24"/>
          <w:szCs w:val="24"/>
        </w:rPr>
        <w:t>credible allegation</w:t>
      </w:r>
      <w:r w:rsidR="0001563E">
        <w:rPr>
          <w:rFonts w:ascii="Times New Roman" w:hAnsi="Times New Roman" w:cs="Times New Roman"/>
          <w:color w:val="000000" w:themeColor="text1"/>
          <w:sz w:val="24"/>
          <w:szCs w:val="24"/>
        </w:rPr>
        <w:t>s</w:t>
      </w:r>
      <w:r w:rsidR="0001563E" w:rsidRPr="00490DD1">
        <w:rPr>
          <w:rFonts w:ascii="Times New Roman" w:hAnsi="Times New Roman" w:cs="Times New Roman"/>
          <w:color w:val="000000" w:themeColor="text1"/>
          <w:sz w:val="24"/>
          <w:szCs w:val="24"/>
        </w:rPr>
        <w:t xml:space="preserve"> </w:t>
      </w:r>
      <w:r w:rsidR="00BD3D57">
        <w:rPr>
          <w:rFonts w:ascii="Times New Roman" w:hAnsi="Times New Roman" w:cs="Times New Roman"/>
          <w:color w:val="000000" w:themeColor="text1"/>
          <w:sz w:val="24"/>
          <w:szCs w:val="24"/>
        </w:rPr>
        <w:t>are</w:t>
      </w:r>
      <w:r w:rsidR="0001563E" w:rsidRPr="00490DD1">
        <w:rPr>
          <w:rFonts w:ascii="Times New Roman" w:hAnsi="Times New Roman" w:cs="Times New Roman"/>
          <w:color w:val="000000" w:themeColor="text1"/>
          <w:sz w:val="24"/>
          <w:szCs w:val="24"/>
        </w:rPr>
        <w:t xml:space="preserve"> made.</w:t>
      </w:r>
      <w:r w:rsidR="0001563E" w:rsidRPr="00490DD1">
        <w:rPr>
          <w:rStyle w:val="FootnoteReference"/>
          <w:rFonts w:ascii="Times New Roman" w:hAnsi="Times New Roman" w:cs="Times New Roman"/>
          <w:color w:val="000000" w:themeColor="text1"/>
          <w:sz w:val="24"/>
          <w:szCs w:val="24"/>
        </w:rPr>
        <w:footnoteReference w:id="43"/>
      </w:r>
      <w:r w:rsidR="0001563E" w:rsidRPr="00490DD1">
        <w:rPr>
          <w:rFonts w:ascii="Times New Roman" w:hAnsi="Times New Roman" w:cs="Times New Roman"/>
          <w:color w:val="000000" w:themeColor="text1"/>
          <w:sz w:val="24"/>
          <w:szCs w:val="24"/>
        </w:rPr>
        <w:t xml:space="preserve"> After all, ‘a duty to conduct an </w:t>
      </w:r>
      <w:r w:rsidR="0001563E" w:rsidRPr="00490DD1">
        <w:rPr>
          <w:rFonts w:ascii="Times New Roman" w:hAnsi="Times New Roman" w:cs="Times New Roman"/>
          <w:color w:val="000000" w:themeColor="text1"/>
          <w:sz w:val="24"/>
          <w:szCs w:val="24"/>
        </w:rPr>
        <w:lastRenderedPageBreak/>
        <w:t xml:space="preserve">investigation does not arise until an allegation or information which discloses an arguable breach of article 2 </w:t>
      </w:r>
      <w:r w:rsidR="00615026">
        <w:rPr>
          <w:rFonts w:ascii="Times New Roman" w:hAnsi="Times New Roman" w:cs="Times New Roman"/>
          <w:color w:val="000000" w:themeColor="text1"/>
          <w:sz w:val="24"/>
          <w:szCs w:val="24"/>
        </w:rPr>
        <w:t>[</w:t>
      </w:r>
      <w:r w:rsidR="0001563E" w:rsidRPr="00490DD1">
        <w:rPr>
          <w:rFonts w:ascii="Times New Roman" w:hAnsi="Times New Roman" w:cs="Times New Roman"/>
          <w:color w:val="000000" w:themeColor="text1"/>
          <w:sz w:val="24"/>
          <w:szCs w:val="24"/>
        </w:rPr>
        <w:t>…</w:t>
      </w:r>
      <w:r w:rsidR="00615026">
        <w:rPr>
          <w:rFonts w:ascii="Times New Roman" w:hAnsi="Times New Roman" w:cs="Times New Roman"/>
          <w:color w:val="000000" w:themeColor="text1"/>
          <w:sz w:val="24"/>
          <w:szCs w:val="24"/>
        </w:rPr>
        <w:t>]</w:t>
      </w:r>
      <w:r w:rsidR="0001563E" w:rsidRPr="00490DD1">
        <w:rPr>
          <w:rFonts w:ascii="Times New Roman" w:hAnsi="Times New Roman" w:cs="Times New Roman"/>
          <w:color w:val="000000" w:themeColor="text1"/>
          <w:sz w:val="24"/>
          <w:szCs w:val="24"/>
        </w:rPr>
        <w:t xml:space="preserve"> has “come to the attention” of the state authorities’</w:t>
      </w:r>
      <w:r w:rsidR="00615026">
        <w:rPr>
          <w:rFonts w:ascii="Times New Roman" w:hAnsi="Times New Roman" w:cs="Times New Roman"/>
          <w:color w:val="000000" w:themeColor="text1"/>
          <w:sz w:val="24"/>
          <w:szCs w:val="24"/>
        </w:rPr>
        <w:t>.</w:t>
      </w:r>
      <w:r w:rsidR="0001563E" w:rsidRPr="00490DD1">
        <w:rPr>
          <w:rStyle w:val="FootnoteReference"/>
          <w:rFonts w:ascii="Times New Roman" w:hAnsi="Times New Roman" w:cs="Times New Roman"/>
          <w:color w:val="000000" w:themeColor="text1"/>
          <w:sz w:val="24"/>
          <w:szCs w:val="24"/>
        </w:rPr>
        <w:footnoteReference w:id="44"/>
      </w:r>
      <w:r w:rsidR="0001563E" w:rsidRPr="00490DD1">
        <w:rPr>
          <w:rFonts w:ascii="Times New Roman" w:hAnsi="Times New Roman" w:cs="Times New Roman"/>
          <w:color w:val="000000" w:themeColor="text1"/>
          <w:sz w:val="24"/>
          <w:szCs w:val="24"/>
        </w:rPr>
        <w:t xml:space="preserve"> </w:t>
      </w:r>
      <w:r w:rsidR="000B74C7">
        <w:rPr>
          <w:rFonts w:ascii="Times New Roman" w:hAnsi="Times New Roman" w:cs="Times New Roman"/>
          <w:color w:val="000000" w:themeColor="text1"/>
          <w:sz w:val="24"/>
          <w:szCs w:val="24"/>
        </w:rPr>
        <w:t>T</w:t>
      </w:r>
      <w:r w:rsidR="0001563E" w:rsidRPr="00490DD1">
        <w:rPr>
          <w:rFonts w:ascii="Times New Roman" w:hAnsi="Times New Roman" w:cs="Times New Roman"/>
          <w:color w:val="000000" w:themeColor="text1"/>
          <w:sz w:val="24"/>
          <w:szCs w:val="24"/>
        </w:rPr>
        <w:t>he</w:t>
      </w:r>
      <w:r w:rsidR="00BD3D57">
        <w:rPr>
          <w:rFonts w:ascii="Times New Roman" w:hAnsi="Times New Roman" w:cs="Times New Roman"/>
          <w:color w:val="000000" w:themeColor="text1"/>
          <w:sz w:val="24"/>
          <w:szCs w:val="24"/>
        </w:rPr>
        <w:t xml:space="preserve"> mere knowledge of the killing </w:t>
      </w:r>
      <w:r w:rsidR="0001563E" w:rsidRPr="00490DD1">
        <w:rPr>
          <w:rFonts w:ascii="Times New Roman" w:hAnsi="Times New Roman" w:cs="Times New Roman"/>
          <w:color w:val="000000" w:themeColor="text1"/>
          <w:sz w:val="24"/>
          <w:szCs w:val="24"/>
        </w:rPr>
        <w:t xml:space="preserve">gives rise </w:t>
      </w:r>
      <w:r w:rsidR="0001563E" w:rsidRPr="00490DD1">
        <w:rPr>
          <w:rFonts w:ascii="Times New Roman" w:hAnsi="Times New Roman" w:cs="Times New Roman"/>
          <w:i/>
          <w:color w:val="000000" w:themeColor="text1"/>
          <w:sz w:val="24"/>
          <w:szCs w:val="24"/>
        </w:rPr>
        <w:t>ipso facto</w:t>
      </w:r>
      <w:r w:rsidR="0001563E" w:rsidRPr="00490DD1">
        <w:rPr>
          <w:rFonts w:ascii="Times New Roman" w:hAnsi="Times New Roman" w:cs="Times New Roman"/>
          <w:color w:val="000000" w:themeColor="text1"/>
          <w:sz w:val="24"/>
          <w:szCs w:val="24"/>
        </w:rPr>
        <w:t xml:space="preserve"> to an obligation under Article 2 to carry out an effective investigation into the circumstances surrounding the death.</w:t>
      </w:r>
      <w:r w:rsidR="0001563E" w:rsidRPr="00490DD1">
        <w:rPr>
          <w:rStyle w:val="FootnoteReference"/>
          <w:rFonts w:ascii="Times New Roman" w:hAnsi="Times New Roman" w:cs="Times New Roman"/>
          <w:color w:val="000000" w:themeColor="text1"/>
          <w:sz w:val="24"/>
          <w:szCs w:val="24"/>
        </w:rPr>
        <w:footnoteReference w:id="45"/>
      </w:r>
      <w:r w:rsidR="0001563E" w:rsidRPr="00490DD1">
        <w:rPr>
          <w:rFonts w:ascii="Times New Roman" w:hAnsi="Times New Roman" w:cs="Times New Roman"/>
          <w:color w:val="000000" w:themeColor="text1"/>
          <w:sz w:val="24"/>
          <w:szCs w:val="24"/>
        </w:rPr>
        <w:t xml:space="preserve"> Once aware, the authorities must act of their own motion and should not leave it to the next of kin or victim to lodge a formal complaint.</w:t>
      </w:r>
      <w:r w:rsidR="0001563E" w:rsidRPr="00490DD1">
        <w:rPr>
          <w:rStyle w:val="FootnoteReference"/>
          <w:rFonts w:ascii="Times New Roman" w:hAnsi="Times New Roman" w:cs="Times New Roman"/>
          <w:color w:val="000000" w:themeColor="text1"/>
          <w:sz w:val="24"/>
          <w:szCs w:val="24"/>
        </w:rPr>
        <w:footnoteReference w:id="46"/>
      </w:r>
      <w:r w:rsidR="0001563E" w:rsidRPr="00490DD1">
        <w:rPr>
          <w:rFonts w:ascii="Times New Roman" w:hAnsi="Times New Roman" w:cs="Times New Roman"/>
          <w:color w:val="000000" w:themeColor="text1"/>
          <w:sz w:val="24"/>
          <w:szCs w:val="24"/>
        </w:rPr>
        <w:t xml:space="preserve"> Indeed, by bringing the matter to the attention of the authorities, the relatives are simply notifying the authorities that an individual might have been killed in unlawful circumstances, and the State must then act promptly thereafter.</w:t>
      </w:r>
      <w:r w:rsidR="0001563E" w:rsidRPr="00490DD1">
        <w:rPr>
          <w:rStyle w:val="FootnoteReference"/>
          <w:rFonts w:ascii="Times New Roman" w:hAnsi="Times New Roman" w:cs="Times New Roman"/>
          <w:color w:val="000000" w:themeColor="text1"/>
          <w:sz w:val="24"/>
          <w:szCs w:val="24"/>
        </w:rPr>
        <w:footnoteReference w:id="47"/>
      </w:r>
      <w:r w:rsidR="0001563E" w:rsidRPr="00490DD1">
        <w:rPr>
          <w:rFonts w:ascii="Times New Roman" w:hAnsi="Times New Roman" w:cs="Times New Roman"/>
          <w:color w:val="000000" w:themeColor="text1"/>
          <w:sz w:val="24"/>
          <w:szCs w:val="24"/>
        </w:rPr>
        <w:t xml:space="preserve"> After all, the obligation to investigate only arises ‘in cases of </w:t>
      </w:r>
      <w:r w:rsidR="0001563E" w:rsidRPr="00490DD1">
        <w:rPr>
          <w:rFonts w:ascii="Times New Roman" w:hAnsi="Times New Roman" w:cs="Times New Roman"/>
          <w:i/>
          <w:color w:val="000000" w:themeColor="text1"/>
          <w:sz w:val="24"/>
          <w:szCs w:val="24"/>
        </w:rPr>
        <w:t xml:space="preserve">suspected </w:t>
      </w:r>
      <w:r w:rsidR="0001563E" w:rsidRPr="00490DD1">
        <w:rPr>
          <w:rFonts w:ascii="Times New Roman" w:hAnsi="Times New Roman" w:cs="Times New Roman"/>
          <w:color w:val="000000" w:themeColor="text1"/>
          <w:sz w:val="24"/>
          <w:szCs w:val="24"/>
        </w:rPr>
        <w:t>unlawful killing’</w:t>
      </w:r>
      <w:r w:rsidR="00615026">
        <w:rPr>
          <w:rFonts w:ascii="Times New Roman" w:hAnsi="Times New Roman" w:cs="Times New Roman"/>
          <w:color w:val="000000" w:themeColor="text1"/>
          <w:sz w:val="24"/>
          <w:szCs w:val="24"/>
        </w:rPr>
        <w:t>.</w:t>
      </w:r>
      <w:r w:rsidR="0001563E" w:rsidRPr="00490DD1">
        <w:rPr>
          <w:rStyle w:val="FootnoteReference"/>
          <w:rFonts w:ascii="Times New Roman" w:hAnsi="Times New Roman" w:cs="Times New Roman"/>
          <w:color w:val="000000" w:themeColor="text1"/>
          <w:sz w:val="24"/>
          <w:szCs w:val="24"/>
        </w:rPr>
        <w:footnoteReference w:id="48"/>
      </w:r>
      <w:r w:rsidR="0001563E" w:rsidRPr="00490DD1">
        <w:rPr>
          <w:rFonts w:ascii="Times New Roman" w:hAnsi="Times New Roman" w:cs="Times New Roman"/>
          <w:color w:val="000000" w:themeColor="text1"/>
          <w:sz w:val="24"/>
          <w:szCs w:val="24"/>
        </w:rPr>
        <w:t xml:space="preserve"> If there is no known or suspected killing, there </w:t>
      </w:r>
      <w:r w:rsidR="00B63A72">
        <w:rPr>
          <w:rFonts w:ascii="Times New Roman" w:hAnsi="Times New Roman" w:cs="Times New Roman"/>
          <w:color w:val="000000" w:themeColor="text1"/>
          <w:sz w:val="24"/>
          <w:szCs w:val="24"/>
        </w:rPr>
        <w:t>is no</w:t>
      </w:r>
      <w:r w:rsidR="0001563E" w:rsidRPr="00490DD1">
        <w:rPr>
          <w:rFonts w:ascii="Times New Roman" w:hAnsi="Times New Roman" w:cs="Times New Roman"/>
          <w:color w:val="000000" w:themeColor="text1"/>
          <w:sz w:val="24"/>
          <w:szCs w:val="24"/>
        </w:rPr>
        <w:t xml:space="preserve"> duty to investigate.</w:t>
      </w:r>
    </w:p>
    <w:p w14:paraId="54DD3F8C" w14:textId="20539F57" w:rsidR="008A3ADB" w:rsidRDefault="008A3ADB" w:rsidP="008A3ADB">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Once the obligation arises, the State must comply with the principles spelled out by the Court, the first being that the investigation be effective.</w:t>
      </w:r>
    </w:p>
    <w:p w14:paraId="2F25965C" w14:textId="77777777" w:rsidR="003D06A7" w:rsidRDefault="003D06A7" w:rsidP="00670537">
      <w:pPr>
        <w:spacing w:after="0" w:line="360" w:lineRule="auto"/>
        <w:rPr>
          <w:rFonts w:ascii="Times New Roman" w:hAnsi="Times New Roman" w:cs="Times New Roman"/>
          <w:b/>
          <w:color w:val="000000" w:themeColor="text1"/>
          <w:sz w:val="24"/>
          <w:szCs w:val="24"/>
        </w:rPr>
      </w:pPr>
    </w:p>
    <w:p w14:paraId="0A74F6DF" w14:textId="6B2F0778" w:rsidR="00D17493" w:rsidRPr="008241E7" w:rsidRDefault="003D06A7" w:rsidP="00670537">
      <w:pPr>
        <w:spacing w:after="0" w:line="360" w:lineRule="auto"/>
        <w:rPr>
          <w:rFonts w:ascii="Times New Roman" w:hAnsi="Times New Roman" w:cs="Times New Roman"/>
          <w:b/>
          <w:caps/>
          <w:color w:val="000000" w:themeColor="text1"/>
          <w:sz w:val="24"/>
          <w:szCs w:val="24"/>
        </w:rPr>
      </w:pPr>
      <w:r w:rsidRPr="008241E7">
        <w:rPr>
          <w:rFonts w:ascii="Times New Roman" w:hAnsi="Times New Roman" w:cs="Times New Roman"/>
          <w:b/>
          <w:caps/>
          <w:color w:val="000000" w:themeColor="text1"/>
          <w:sz w:val="24"/>
          <w:szCs w:val="24"/>
        </w:rPr>
        <w:t>3</w:t>
      </w:r>
      <w:r w:rsidR="008241E7" w:rsidRPr="008241E7">
        <w:rPr>
          <w:rFonts w:ascii="Times New Roman" w:hAnsi="Times New Roman" w:cs="Times New Roman"/>
          <w:b/>
          <w:caps/>
          <w:color w:val="000000" w:themeColor="text1"/>
          <w:sz w:val="24"/>
          <w:szCs w:val="24"/>
        </w:rPr>
        <w:t>.</w:t>
      </w:r>
      <w:r w:rsidRPr="008241E7">
        <w:rPr>
          <w:rFonts w:ascii="Times New Roman" w:hAnsi="Times New Roman" w:cs="Times New Roman"/>
          <w:b/>
          <w:caps/>
          <w:color w:val="000000" w:themeColor="text1"/>
          <w:sz w:val="24"/>
          <w:szCs w:val="24"/>
        </w:rPr>
        <w:t xml:space="preserve"> </w:t>
      </w:r>
      <w:r w:rsidR="00EB45FD" w:rsidRPr="008241E7">
        <w:rPr>
          <w:rFonts w:ascii="Times New Roman" w:hAnsi="Times New Roman" w:cs="Times New Roman"/>
          <w:b/>
          <w:caps/>
          <w:color w:val="000000" w:themeColor="text1"/>
          <w:sz w:val="24"/>
          <w:szCs w:val="24"/>
        </w:rPr>
        <w:t>Principle of Effective I</w:t>
      </w:r>
      <w:r w:rsidR="00D17493" w:rsidRPr="008241E7">
        <w:rPr>
          <w:rFonts w:ascii="Times New Roman" w:hAnsi="Times New Roman" w:cs="Times New Roman"/>
          <w:b/>
          <w:caps/>
          <w:color w:val="000000" w:themeColor="text1"/>
          <w:sz w:val="24"/>
          <w:szCs w:val="24"/>
        </w:rPr>
        <w:t>nvestigation</w:t>
      </w:r>
      <w:bookmarkEnd w:id="5"/>
    </w:p>
    <w:p w14:paraId="75DD1F66" w14:textId="36C30C73" w:rsidR="00D17493" w:rsidRPr="00490DD1" w:rsidRDefault="00D17493" w:rsidP="00670537">
      <w:pPr>
        <w:spacing w:after="0" w:line="360" w:lineRule="auto"/>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Determining the legality of the use of force entails collecting and securing evidence that shed</w:t>
      </w:r>
      <w:r w:rsidR="00B63A72">
        <w:rPr>
          <w:rFonts w:ascii="Times New Roman" w:hAnsi="Times New Roman" w:cs="Times New Roman"/>
          <w:color w:val="000000" w:themeColor="text1"/>
          <w:sz w:val="24"/>
          <w:szCs w:val="24"/>
        </w:rPr>
        <w:t>s</w:t>
      </w:r>
      <w:r w:rsidRPr="00490DD1">
        <w:rPr>
          <w:rFonts w:ascii="Times New Roman" w:hAnsi="Times New Roman" w:cs="Times New Roman"/>
          <w:color w:val="000000" w:themeColor="text1"/>
          <w:sz w:val="24"/>
          <w:szCs w:val="24"/>
        </w:rPr>
        <w:t xml:space="preserve"> light on the circumstances that have led to the loss of life. In this process</w:t>
      </w:r>
      <w:r w:rsidR="004542AE"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it is imperative that potential suspects be identified. Indeed</w:t>
      </w:r>
      <w:r w:rsidR="004542AE"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major shortcomings in the investigation might undermine the ability to identify the perpetrato</w:t>
      </w:r>
      <w:r w:rsidR="006B5205" w:rsidRPr="00490DD1">
        <w:rPr>
          <w:rFonts w:ascii="Times New Roman" w:hAnsi="Times New Roman" w:cs="Times New Roman"/>
          <w:color w:val="000000" w:themeColor="text1"/>
          <w:sz w:val="24"/>
          <w:szCs w:val="24"/>
        </w:rPr>
        <w:t xml:space="preserve">r </w:t>
      </w:r>
      <w:r w:rsidRPr="00490DD1">
        <w:rPr>
          <w:rFonts w:ascii="Times New Roman" w:hAnsi="Times New Roman" w:cs="Times New Roman"/>
          <w:color w:val="000000" w:themeColor="text1"/>
          <w:sz w:val="24"/>
          <w:szCs w:val="24"/>
        </w:rPr>
        <w:t>an</w:t>
      </w:r>
      <w:r w:rsidR="005F2077" w:rsidRPr="00490DD1">
        <w:rPr>
          <w:rFonts w:ascii="Times New Roman" w:hAnsi="Times New Roman" w:cs="Times New Roman"/>
          <w:color w:val="000000" w:themeColor="text1"/>
          <w:sz w:val="24"/>
          <w:szCs w:val="24"/>
        </w:rPr>
        <w:t xml:space="preserve">d </w:t>
      </w:r>
      <w:r w:rsidRPr="00490DD1">
        <w:rPr>
          <w:rFonts w:ascii="Times New Roman" w:hAnsi="Times New Roman" w:cs="Times New Roman"/>
          <w:color w:val="000000" w:themeColor="text1"/>
          <w:sz w:val="24"/>
          <w:szCs w:val="24"/>
        </w:rPr>
        <w:t>thu</w:t>
      </w:r>
      <w:r w:rsidR="005F2077" w:rsidRPr="00490DD1">
        <w:rPr>
          <w:rFonts w:ascii="Times New Roman" w:hAnsi="Times New Roman" w:cs="Times New Roman"/>
          <w:color w:val="000000" w:themeColor="text1"/>
          <w:sz w:val="24"/>
          <w:szCs w:val="24"/>
        </w:rPr>
        <w:t xml:space="preserve">s </w:t>
      </w:r>
      <w:r w:rsidRPr="00490DD1">
        <w:rPr>
          <w:rFonts w:ascii="Times New Roman" w:hAnsi="Times New Roman" w:cs="Times New Roman"/>
          <w:color w:val="000000" w:themeColor="text1"/>
          <w:sz w:val="24"/>
          <w:szCs w:val="24"/>
        </w:rPr>
        <w:t>‘the bringing of appropriate domestic proceedings, such as criminal prosecution, disciplinary proceedings and proceedings for the exercise of remedies available to victims and their families’</w:t>
      </w:r>
      <w:r w:rsidRPr="00490DD1">
        <w:rPr>
          <w:rStyle w:val="FootnoteReference"/>
          <w:rFonts w:ascii="Times New Roman" w:hAnsi="Times New Roman" w:cs="Times New Roman"/>
          <w:color w:val="000000" w:themeColor="text1"/>
          <w:sz w:val="24"/>
          <w:szCs w:val="24"/>
        </w:rPr>
        <w:footnoteReference w:id="49"/>
      </w:r>
      <w:r w:rsidRPr="00490DD1">
        <w:rPr>
          <w:rFonts w:ascii="Times New Roman" w:hAnsi="Times New Roman" w:cs="Times New Roman"/>
          <w:color w:val="000000" w:themeColor="text1"/>
          <w:sz w:val="24"/>
          <w:szCs w:val="24"/>
        </w:rPr>
        <w:t xml:space="preserve"> an</w:t>
      </w:r>
      <w:r w:rsidR="005F2077" w:rsidRPr="00490DD1">
        <w:rPr>
          <w:rFonts w:ascii="Times New Roman" w:hAnsi="Times New Roman" w:cs="Times New Roman"/>
          <w:color w:val="000000" w:themeColor="text1"/>
          <w:sz w:val="24"/>
          <w:szCs w:val="24"/>
        </w:rPr>
        <w:t xml:space="preserve">d </w:t>
      </w:r>
      <w:r w:rsidRPr="00490DD1">
        <w:rPr>
          <w:rFonts w:ascii="Times New Roman" w:hAnsi="Times New Roman" w:cs="Times New Roman"/>
          <w:color w:val="000000" w:themeColor="text1"/>
          <w:sz w:val="24"/>
          <w:szCs w:val="24"/>
        </w:rPr>
        <w:t>therefor</w:t>
      </w:r>
      <w:r w:rsidR="005F2077" w:rsidRPr="00490DD1">
        <w:rPr>
          <w:rFonts w:ascii="Times New Roman" w:hAnsi="Times New Roman" w:cs="Times New Roman"/>
          <w:color w:val="000000" w:themeColor="text1"/>
          <w:sz w:val="24"/>
          <w:szCs w:val="24"/>
        </w:rPr>
        <w:t>e</w:t>
      </w:r>
      <w:r w:rsidRPr="00490DD1">
        <w:rPr>
          <w:rFonts w:ascii="Times New Roman" w:hAnsi="Times New Roman" w:cs="Times New Roman"/>
          <w:color w:val="000000" w:themeColor="text1"/>
          <w:sz w:val="24"/>
          <w:szCs w:val="24"/>
        </w:rPr>
        <w:t xml:space="preserve"> </w:t>
      </w:r>
      <w:r w:rsidR="006B5205" w:rsidRPr="00490DD1">
        <w:rPr>
          <w:rFonts w:ascii="Times New Roman" w:hAnsi="Times New Roman" w:cs="Times New Roman"/>
          <w:color w:val="000000" w:themeColor="text1"/>
          <w:sz w:val="24"/>
          <w:szCs w:val="24"/>
        </w:rPr>
        <w:t>result in the failure of</w:t>
      </w:r>
      <w:r w:rsidRPr="00490DD1">
        <w:rPr>
          <w:rFonts w:ascii="Times New Roman" w:hAnsi="Times New Roman" w:cs="Times New Roman"/>
          <w:color w:val="000000" w:themeColor="text1"/>
          <w:sz w:val="24"/>
          <w:szCs w:val="24"/>
        </w:rPr>
        <w:t xml:space="preserve"> the Article 2 ECHR test.</w:t>
      </w:r>
      <w:r w:rsidRPr="00490DD1">
        <w:rPr>
          <w:rStyle w:val="FootnoteReference"/>
          <w:rFonts w:ascii="Times New Roman" w:hAnsi="Times New Roman" w:cs="Times New Roman"/>
          <w:color w:val="000000" w:themeColor="text1"/>
          <w:sz w:val="24"/>
          <w:szCs w:val="24"/>
        </w:rPr>
        <w:footnoteReference w:id="50"/>
      </w:r>
      <w:r w:rsidRPr="00490DD1">
        <w:rPr>
          <w:rFonts w:ascii="Times New Roman" w:hAnsi="Times New Roman" w:cs="Times New Roman"/>
          <w:color w:val="000000" w:themeColor="text1"/>
          <w:sz w:val="24"/>
          <w:szCs w:val="24"/>
        </w:rPr>
        <w:t xml:space="preserve"> Consequently, </w:t>
      </w:r>
      <w:r w:rsidRPr="00490DD1">
        <w:rPr>
          <w:rFonts w:ascii="Times New Roman" w:hAnsi="Times New Roman" w:cs="Times New Roman"/>
          <w:color w:val="000000" w:themeColor="text1"/>
          <w:sz w:val="24"/>
          <w:szCs w:val="24"/>
        </w:rPr>
        <w:lastRenderedPageBreak/>
        <w:t>States are under an obligation to</w:t>
      </w:r>
      <w:r w:rsidR="00754FD3">
        <w:rPr>
          <w:rFonts w:ascii="Times New Roman" w:hAnsi="Times New Roman" w:cs="Times New Roman"/>
          <w:color w:val="000000" w:themeColor="text1"/>
          <w:sz w:val="24"/>
          <w:szCs w:val="24"/>
        </w:rPr>
        <w:t xml:space="preserve"> </w:t>
      </w:r>
      <w:r w:rsidRPr="00490DD1">
        <w:rPr>
          <w:rStyle w:val="sb8d990e2"/>
          <w:rFonts w:ascii="Times New Roman" w:hAnsi="Times New Roman" w:cs="Times New Roman"/>
          <w:color w:val="000000" w:themeColor="text1"/>
          <w:sz w:val="24"/>
          <w:szCs w:val="24"/>
          <w:shd w:val="clear" w:color="auto" w:fill="FFFFFF"/>
        </w:rPr>
        <w:t>secure the evidence concerning the incident, including,</w:t>
      </w:r>
      <w:r w:rsidRPr="00490DD1">
        <w:rPr>
          <w:rStyle w:val="apple-converted-space"/>
          <w:rFonts w:ascii="Times New Roman" w:hAnsi="Times New Roman" w:cs="Times New Roman"/>
          <w:color w:val="000000" w:themeColor="text1"/>
          <w:sz w:val="24"/>
          <w:szCs w:val="24"/>
          <w:shd w:val="clear" w:color="auto" w:fill="FFFFFF"/>
        </w:rPr>
        <w:t> </w:t>
      </w:r>
      <w:r w:rsidRPr="00490DD1">
        <w:rPr>
          <w:rStyle w:val="s6b621b36"/>
          <w:rFonts w:ascii="Times New Roman" w:hAnsi="Times New Roman" w:cs="Times New Roman"/>
          <w:i/>
          <w:iCs/>
          <w:color w:val="000000" w:themeColor="text1"/>
          <w:sz w:val="24"/>
          <w:szCs w:val="24"/>
          <w:shd w:val="clear" w:color="auto" w:fill="FFFFFF"/>
        </w:rPr>
        <w:t>inter alia</w:t>
      </w:r>
      <w:r w:rsidRPr="00490DD1">
        <w:rPr>
          <w:rStyle w:val="sb8d990e2"/>
          <w:rFonts w:ascii="Times New Roman" w:hAnsi="Times New Roman" w:cs="Times New Roman"/>
          <w:color w:val="000000" w:themeColor="text1"/>
          <w:sz w:val="24"/>
          <w:szCs w:val="24"/>
          <w:shd w:val="clear" w:color="auto" w:fill="FFFFFF"/>
        </w:rPr>
        <w:t>, eyewitness testimony, forensic evidence</w:t>
      </w:r>
      <w:r w:rsidR="00AE49D9" w:rsidRPr="00490DD1">
        <w:rPr>
          <w:rStyle w:val="sb8d990e2"/>
          <w:rFonts w:ascii="Times New Roman" w:hAnsi="Times New Roman" w:cs="Times New Roman"/>
          <w:color w:val="000000" w:themeColor="text1"/>
          <w:sz w:val="24"/>
          <w:szCs w:val="24"/>
          <w:shd w:val="clear" w:color="auto" w:fill="FFFFFF"/>
        </w:rPr>
        <w:t>,</w:t>
      </w:r>
      <w:r w:rsidRPr="00490DD1">
        <w:rPr>
          <w:rStyle w:val="sb8d990e2"/>
          <w:rFonts w:ascii="Times New Roman" w:hAnsi="Times New Roman" w:cs="Times New Roman"/>
          <w:color w:val="000000" w:themeColor="text1"/>
          <w:sz w:val="24"/>
          <w:szCs w:val="24"/>
          <w:shd w:val="clear" w:color="auto" w:fill="FFFFFF"/>
        </w:rPr>
        <w:t xml:space="preserve"> and where appropriate, an autopsy which provides a complete and accurate record of injury and an objective analysis of clinical findings, including the cause of death</w:t>
      </w:r>
      <w:r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51"/>
      </w:r>
      <w:r w:rsidR="00B96ACE">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As the Court has underlined</w:t>
      </w:r>
      <w:r w:rsidR="006B5205"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shd w:val="clear" w:color="auto" w:fill="FFFFFF"/>
        </w:rPr>
        <w:t>[a]</w:t>
      </w:r>
      <w:proofErr w:type="spellStart"/>
      <w:r w:rsidRPr="00490DD1">
        <w:rPr>
          <w:rFonts w:ascii="Times New Roman" w:hAnsi="Times New Roman" w:cs="Times New Roman"/>
          <w:color w:val="000000" w:themeColor="text1"/>
          <w:sz w:val="24"/>
          <w:szCs w:val="24"/>
          <w:shd w:val="clear" w:color="auto" w:fill="FFFFFF"/>
        </w:rPr>
        <w:t>ny</w:t>
      </w:r>
      <w:proofErr w:type="spellEnd"/>
      <w:r w:rsidRPr="00490DD1">
        <w:rPr>
          <w:rFonts w:ascii="Times New Roman" w:hAnsi="Times New Roman" w:cs="Times New Roman"/>
          <w:color w:val="000000" w:themeColor="text1"/>
          <w:sz w:val="24"/>
          <w:szCs w:val="24"/>
          <w:shd w:val="clear" w:color="auto" w:fill="FFFFFF"/>
        </w:rPr>
        <w:t xml:space="preserve"> deficiency in the investigation which undermines its ability to establish the cause of death or the person responsible will risk falling foul of this standard</w:t>
      </w:r>
      <w:r w:rsidRPr="00490DD1">
        <w:rPr>
          <w:rStyle w:val="apple-converted-space"/>
          <w:rFonts w:ascii="Times New Roman" w:hAnsi="Times New Roman" w:cs="Times New Roman"/>
          <w:color w:val="000000" w:themeColor="text1"/>
          <w:sz w:val="24"/>
          <w:szCs w:val="24"/>
          <w:shd w:val="clear" w:color="auto" w:fill="FFFFFF"/>
        </w:rPr>
        <w:t>’</w:t>
      </w:r>
      <w:r w:rsidR="00615026">
        <w:rPr>
          <w:rStyle w:val="apple-converted-space"/>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52"/>
      </w:r>
      <w:r w:rsidRPr="00490DD1">
        <w:rPr>
          <w:rFonts w:ascii="Times New Roman" w:hAnsi="Times New Roman" w:cs="Times New Roman"/>
          <w:color w:val="000000" w:themeColor="text1"/>
          <w:sz w:val="24"/>
          <w:szCs w:val="24"/>
        </w:rPr>
        <w:t xml:space="preserve"> That being said, the obligation to investigate is one of means and not </w:t>
      </w:r>
      <w:r w:rsidR="006B5205" w:rsidRPr="00490DD1">
        <w:rPr>
          <w:rFonts w:ascii="Times New Roman" w:hAnsi="Times New Roman" w:cs="Times New Roman"/>
          <w:color w:val="000000" w:themeColor="text1"/>
          <w:sz w:val="24"/>
          <w:szCs w:val="24"/>
        </w:rPr>
        <w:t>results</w:t>
      </w:r>
      <w:r w:rsidR="008F7A4E">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53"/>
      </w:r>
      <w:r w:rsidR="00E17C9D">
        <w:rPr>
          <w:rFonts w:ascii="Times New Roman" w:hAnsi="Times New Roman" w:cs="Times New Roman"/>
          <w:color w:val="000000" w:themeColor="text1"/>
          <w:sz w:val="24"/>
          <w:szCs w:val="24"/>
        </w:rPr>
        <w:t xml:space="preserve"> </w:t>
      </w:r>
    </w:p>
    <w:p w14:paraId="251462CF" w14:textId="51987DB9" w:rsidR="003D5461" w:rsidRPr="00490DD1" w:rsidRDefault="00D17493"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 xml:space="preserve">The first question is how the armed forces can effectively secure the area where the death has occurred. </w:t>
      </w:r>
      <w:r w:rsidR="00A301F3">
        <w:rPr>
          <w:rFonts w:ascii="Times New Roman" w:hAnsi="Times New Roman" w:cs="Times New Roman"/>
          <w:color w:val="000000" w:themeColor="text1"/>
          <w:sz w:val="24"/>
          <w:szCs w:val="24"/>
        </w:rPr>
        <w:t>A useful</w:t>
      </w:r>
      <w:r w:rsidR="00875AFB">
        <w:rPr>
          <w:rFonts w:ascii="Times New Roman" w:hAnsi="Times New Roman" w:cs="Times New Roman"/>
          <w:color w:val="000000" w:themeColor="text1"/>
          <w:sz w:val="24"/>
          <w:szCs w:val="24"/>
        </w:rPr>
        <w:t xml:space="preserve"> insight into the relevant, practical, issues faced by the armed forces is provided by</w:t>
      </w:r>
      <w:r w:rsidR="00A301F3">
        <w:rPr>
          <w:rFonts w:ascii="Times New Roman" w:hAnsi="Times New Roman" w:cs="Times New Roman"/>
          <w:color w:val="000000" w:themeColor="text1"/>
          <w:sz w:val="24"/>
          <w:szCs w:val="24"/>
        </w:rPr>
        <w:t xml:space="preserve"> </w:t>
      </w:r>
      <w:r w:rsidR="00875AFB" w:rsidRPr="00490DD1">
        <w:rPr>
          <w:rFonts w:ascii="Times New Roman" w:hAnsi="Times New Roman" w:cs="Times New Roman"/>
          <w:color w:val="000000" w:themeColor="text1"/>
          <w:sz w:val="24"/>
          <w:szCs w:val="24"/>
        </w:rPr>
        <w:t>Brig</w:t>
      </w:r>
      <w:r w:rsidR="009D2EFA">
        <w:rPr>
          <w:rFonts w:ascii="Times New Roman" w:hAnsi="Times New Roman" w:cs="Times New Roman"/>
          <w:color w:val="000000" w:themeColor="text1"/>
          <w:sz w:val="24"/>
          <w:szCs w:val="24"/>
        </w:rPr>
        <w:t>adier</w:t>
      </w:r>
      <w:r w:rsidR="00875AFB" w:rsidRPr="00490DD1">
        <w:rPr>
          <w:rFonts w:ascii="Times New Roman" w:hAnsi="Times New Roman" w:cs="Times New Roman"/>
          <w:color w:val="000000" w:themeColor="text1"/>
          <w:sz w:val="24"/>
          <w:szCs w:val="24"/>
        </w:rPr>
        <w:t xml:space="preserve"> (ret</w:t>
      </w:r>
      <w:r w:rsidR="009D2EFA">
        <w:rPr>
          <w:rFonts w:ascii="Times New Roman" w:hAnsi="Times New Roman" w:cs="Times New Roman"/>
          <w:color w:val="000000" w:themeColor="text1"/>
          <w:sz w:val="24"/>
          <w:szCs w:val="24"/>
        </w:rPr>
        <w:t>ired</w:t>
      </w:r>
      <w:r w:rsidR="00875AFB" w:rsidRPr="00490DD1">
        <w:rPr>
          <w:rFonts w:ascii="Times New Roman" w:hAnsi="Times New Roman" w:cs="Times New Roman"/>
          <w:color w:val="000000" w:themeColor="text1"/>
          <w:sz w:val="24"/>
          <w:szCs w:val="24"/>
        </w:rPr>
        <w:t xml:space="preserve">) </w:t>
      </w:r>
      <w:proofErr w:type="spellStart"/>
      <w:r w:rsidR="00875AFB" w:rsidRPr="00490DD1">
        <w:rPr>
          <w:rFonts w:ascii="Times New Roman" w:hAnsi="Times New Roman" w:cs="Times New Roman"/>
          <w:color w:val="000000" w:themeColor="text1"/>
          <w:sz w:val="24"/>
          <w:szCs w:val="24"/>
        </w:rPr>
        <w:t>Paphiti</w:t>
      </w:r>
      <w:proofErr w:type="spellEnd"/>
      <w:r w:rsidR="00875AFB" w:rsidRPr="00F94647">
        <w:rPr>
          <w:rStyle w:val="FootnoteReference"/>
          <w:rFonts w:ascii="Times New Roman" w:hAnsi="Times New Roman" w:cs="Times New Roman"/>
          <w:color w:val="000000" w:themeColor="text1"/>
          <w:sz w:val="24"/>
          <w:szCs w:val="24"/>
        </w:rPr>
        <w:footnoteReference w:id="54"/>
      </w:r>
      <w:r w:rsidR="00875AFB" w:rsidRPr="00F23060">
        <w:rPr>
          <w:rFonts w:ascii="Times New Roman" w:hAnsi="Times New Roman" w:cs="Times New Roman"/>
          <w:color w:val="000000" w:themeColor="text1"/>
          <w:sz w:val="24"/>
          <w:szCs w:val="24"/>
        </w:rPr>
        <w:t xml:space="preserve"> </w:t>
      </w:r>
      <w:r w:rsidR="00875AFB">
        <w:rPr>
          <w:rFonts w:ascii="Times New Roman" w:hAnsi="Times New Roman" w:cs="Times New Roman"/>
          <w:color w:val="000000" w:themeColor="text1"/>
          <w:sz w:val="24"/>
          <w:szCs w:val="24"/>
        </w:rPr>
        <w:t>i</w:t>
      </w:r>
      <w:r w:rsidRPr="00490DD1">
        <w:rPr>
          <w:rFonts w:ascii="Times New Roman" w:hAnsi="Times New Roman" w:cs="Times New Roman"/>
          <w:color w:val="000000" w:themeColor="text1"/>
          <w:sz w:val="24"/>
          <w:szCs w:val="24"/>
        </w:rPr>
        <w:t>n his written evidence to the Defence Committee</w:t>
      </w:r>
      <w:r w:rsidR="00875AFB">
        <w:rPr>
          <w:rFonts w:ascii="Times New Roman" w:hAnsi="Times New Roman" w:cs="Times New Roman"/>
          <w:color w:val="000000" w:themeColor="text1"/>
          <w:sz w:val="24"/>
          <w:szCs w:val="24"/>
        </w:rPr>
        <w:t xml:space="preserve"> of the House of Commons</w:t>
      </w:r>
      <w:r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55"/>
      </w:r>
      <w:r w:rsidRPr="00490DD1">
        <w:rPr>
          <w:rFonts w:ascii="Times New Roman" w:hAnsi="Times New Roman" w:cs="Times New Roman"/>
          <w:color w:val="000000" w:themeColor="text1"/>
          <w:sz w:val="24"/>
          <w:szCs w:val="24"/>
        </w:rPr>
        <w:t xml:space="preserve"> First, access to the scene of death can be ‘extremely difficult and dangerous’, especially if located in an area under the control of the belligerents</w:t>
      </w:r>
      <w:r w:rsidR="004542AE"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an</w:t>
      </w:r>
      <w:r w:rsidR="005F2077" w:rsidRPr="00490DD1">
        <w:rPr>
          <w:rFonts w:ascii="Times New Roman" w:hAnsi="Times New Roman" w:cs="Times New Roman"/>
          <w:color w:val="000000" w:themeColor="text1"/>
          <w:sz w:val="24"/>
          <w:szCs w:val="24"/>
        </w:rPr>
        <w:t xml:space="preserve">d </w:t>
      </w:r>
      <w:r w:rsidRPr="00490DD1">
        <w:rPr>
          <w:rFonts w:ascii="Times New Roman" w:hAnsi="Times New Roman" w:cs="Times New Roman"/>
          <w:color w:val="000000" w:themeColor="text1"/>
          <w:sz w:val="24"/>
          <w:szCs w:val="24"/>
        </w:rPr>
        <w:t>thu</w:t>
      </w:r>
      <w:r w:rsidR="005F2077" w:rsidRPr="00490DD1">
        <w:rPr>
          <w:rFonts w:ascii="Times New Roman" w:hAnsi="Times New Roman" w:cs="Times New Roman"/>
          <w:color w:val="000000" w:themeColor="text1"/>
          <w:sz w:val="24"/>
          <w:szCs w:val="24"/>
        </w:rPr>
        <w:t>s c</w:t>
      </w:r>
      <w:r w:rsidRPr="00490DD1">
        <w:rPr>
          <w:rFonts w:ascii="Times New Roman" w:hAnsi="Times New Roman" w:cs="Times New Roman"/>
          <w:color w:val="000000" w:themeColor="text1"/>
          <w:sz w:val="24"/>
          <w:szCs w:val="24"/>
        </w:rPr>
        <w:t xml:space="preserve">ollecting evidence </w:t>
      </w:r>
      <w:r w:rsidR="002068F7" w:rsidRPr="00490DD1">
        <w:rPr>
          <w:rFonts w:ascii="Times New Roman" w:hAnsi="Times New Roman" w:cs="Times New Roman"/>
          <w:color w:val="000000" w:themeColor="text1"/>
          <w:sz w:val="24"/>
          <w:szCs w:val="24"/>
        </w:rPr>
        <w:t>can</w:t>
      </w:r>
      <w:r w:rsidRPr="00490DD1">
        <w:rPr>
          <w:rFonts w:ascii="Times New Roman" w:hAnsi="Times New Roman" w:cs="Times New Roman"/>
          <w:color w:val="000000" w:themeColor="text1"/>
          <w:sz w:val="24"/>
          <w:szCs w:val="24"/>
        </w:rPr>
        <w:t xml:space="preserve"> turn into a difficult, if not insurmountable, task. </w:t>
      </w:r>
      <w:r w:rsidR="006A6DED" w:rsidRPr="00490DD1">
        <w:rPr>
          <w:rFonts w:ascii="Times New Roman" w:hAnsi="Times New Roman" w:cs="Times New Roman"/>
          <w:color w:val="000000" w:themeColor="text1"/>
          <w:sz w:val="24"/>
          <w:szCs w:val="24"/>
        </w:rPr>
        <w:t>The Cour</w:t>
      </w:r>
      <w:r w:rsidR="005F2077" w:rsidRPr="00490DD1">
        <w:rPr>
          <w:rFonts w:ascii="Times New Roman" w:hAnsi="Times New Roman" w:cs="Times New Roman"/>
          <w:color w:val="000000" w:themeColor="text1"/>
          <w:sz w:val="24"/>
          <w:szCs w:val="24"/>
        </w:rPr>
        <w:t>t n</w:t>
      </w:r>
      <w:r w:rsidR="006A6DED" w:rsidRPr="00490DD1">
        <w:rPr>
          <w:rFonts w:ascii="Times New Roman" w:hAnsi="Times New Roman" w:cs="Times New Roman"/>
          <w:color w:val="000000" w:themeColor="text1"/>
          <w:sz w:val="24"/>
          <w:szCs w:val="24"/>
        </w:rPr>
        <w:t>onetheles</w:t>
      </w:r>
      <w:r w:rsidR="005F2077" w:rsidRPr="00490DD1">
        <w:rPr>
          <w:rFonts w:ascii="Times New Roman" w:hAnsi="Times New Roman" w:cs="Times New Roman"/>
          <w:color w:val="000000" w:themeColor="text1"/>
          <w:sz w:val="24"/>
          <w:szCs w:val="24"/>
        </w:rPr>
        <w:t>s d</w:t>
      </w:r>
      <w:r w:rsidR="006A6DED" w:rsidRPr="00490DD1">
        <w:rPr>
          <w:rFonts w:ascii="Times New Roman" w:hAnsi="Times New Roman" w:cs="Times New Roman"/>
          <w:color w:val="000000" w:themeColor="text1"/>
          <w:sz w:val="24"/>
          <w:szCs w:val="24"/>
        </w:rPr>
        <w:t>o</w:t>
      </w:r>
      <w:r w:rsidR="00673E67" w:rsidRPr="00490DD1">
        <w:rPr>
          <w:rFonts w:ascii="Times New Roman" w:hAnsi="Times New Roman" w:cs="Times New Roman"/>
          <w:color w:val="000000" w:themeColor="text1"/>
          <w:sz w:val="24"/>
          <w:szCs w:val="24"/>
        </w:rPr>
        <w:t>es not require immediate access</w:t>
      </w:r>
      <w:r w:rsidR="00C8213B" w:rsidRPr="00490DD1">
        <w:rPr>
          <w:rFonts w:ascii="Times New Roman" w:hAnsi="Times New Roman" w:cs="Times New Roman"/>
          <w:color w:val="000000" w:themeColor="text1"/>
          <w:sz w:val="24"/>
          <w:szCs w:val="24"/>
        </w:rPr>
        <w:t>,</w:t>
      </w:r>
      <w:r w:rsidR="00673E67" w:rsidRPr="00490DD1">
        <w:rPr>
          <w:rFonts w:ascii="Times New Roman" w:hAnsi="Times New Roman" w:cs="Times New Roman"/>
          <w:color w:val="000000" w:themeColor="text1"/>
          <w:sz w:val="24"/>
          <w:szCs w:val="24"/>
        </w:rPr>
        <w:t xml:space="preserve"> </w:t>
      </w:r>
      <w:r w:rsidR="004542AE" w:rsidRPr="00490DD1">
        <w:rPr>
          <w:rFonts w:ascii="Times New Roman" w:hAnsi="Times New Roman" w:cs="Times New Roman"/>
          <w:color w:val="000000" w:themeColor="text1"/>
          <w:sz w:val="24"/>
          <w:szCs w:val="24"/>
        </w:rPr>
        <w:t>as</w:t>
      </w:r>
      <w:r w:rsidR="00673E67" w:rsidRPr="00490DD1">
        <w:rPr>
          <w:rFonts w:ascii="Times New Roman" w:hAnsi="Times New Roman" w:cs="Times New Roman"/>
          <w:color w:val="000000" w:themeColor="text1"/>
          <w:sz w:val="24"/>
          <w:szCs w:val="24"/>
        </w:rPr>
        <w:t xml:space="preserve"> it has explained that investigations must start </w:t>
      </w:r>
      <w:r w:rsidR="006A6DED" w:rsidRPr="00490DD1">
        <w:rPr>
          <w:rFonts w:ascii="Times New Roman" w:hAnsi="Times New Roman" w:cs="Times New Roman"/>
          <w:color w:val="000000" w:themeColor="text1"/>
          <w:sz w:val="24"/>
          <w:szCs w:val="24"/>
        </w:rPr>
        <w:t xml:space="preserve">as soon as </w:t>
      </w:r>
      <w:r w:rsidR="002068F7" w:rsidRPr="00490DD1">
        <w:rPr>
          <w:rFonts w:ascii="Times New Roman" w:hAnsi="Times New Roman" w:cs="Times New Roman"/>
          <w:color w:val="000000" w:themeColor="text1"/>
          <w:sz w:val="24"/>
          <w:szCs w:val="24"/>
        </w:rPr>
        <w:t>control is gained over the area.</w:t>
      </w:r>
      <w:r w:rsidR="006A6DED" w:rsidRPr="00490DD1">
        <w:rPr>
          <w:rStyle w:val="FootnoteReference"/>
          <w:rFonts w:ascii="Times New Roman" w:hAnsi="Times New Roman" w:cs="Times New Roman"/>
          <w:color w:val="000000" w:themeColor="text1"/>
          <w:sz w:val="24"/>
          <w:szCs w:val="24"/>
        </w:rPr>
        <w:footnoteReference w:id="56"/>
      </w:r>
      <w:r w:rsidR="002068F7" w:rsidRPr="00490DD1">
        <w:rPr>
          <w:rFonts w:ascii="Times New Roman" w:hAnsi="Times New Roman" w:cs="Times New Roman"/>
          <w:color w:val="000000" w:themeColor="text1"/>
          <w:sz w:val="24"/>
          <w:szCs w:val="24"/>
        </w:rPr>
        <w:t xml:space="preserve"> Also,</w:t>
      </w:r>
      <w:r w:rsidR="006A6DED" w:rsidRPr="00490DD1">
        <w:rPr>
          <w:rFonts w:ascii="Times New Roman" w:hAnsi="Times New Roman" w:cs="Times New Roman"/>
          <w:color w:val="000000" w:themeColor="text1"/>
          <w:sz w:val="24"/>
          <w:szCs w:val="24"/>
        </w:rPr>
        <w:t xml:space="preserve"> </w:t>
      </w:r>
      <w:r w:rsidR="002068F7" w:rsidRPr="00490DD1">
        <w:rPr>
          <w:rFonts w:ascii="Times New Roman" w:hAnsi="Times New Roman" w:cs="Times New Roman"/>
          <w:color w:val="000000" w:themeColor="text1"/>
          <w:sz w:val="24"/>
          <w:szCs w:val="24"/>
        </w:rPr>
        <w:t>to ensure the safety of personnel, practical alternative solutions must be sought.</w:t>
      </w:r>
      <w:r w:rsidR="002068F7" w:rsidRPr="00490DD1">
        <w:rPr>
          <w:rStyle w:val="FootnoteReference"/>
          <w:rFonts w:ascii="Times New Roman" w:hAnsi="Times New Roman" w:cs="Times New Roman"/>
          <w:color w:val="000000" w:themeColor="text1"/>
          <w:sz w:val="24"/>
          <w:szCs w:val="24"/>
        </w:rPr>
        <w:footnoteReference w:id="57"/>
      </w:r>
      <w:r w:rsidR="002068F7" w:rsidRPr="00490DD1">
        <w:rPr>
          <w:rFonts w:ascii="Times New Roman" w:hAnsi="Times New Roman" w:cs="Times New Roman"/>
          <w:color w:val="000000" w:themeColor="text1"/>
          <w:sz w:val="24"/>
          <w:szCs w:val="24"/>
        </w:rPr>
        <w:t xml:space="preserve"> </w:t>
      </w:r>
      <w:r w:rsidR="006A6DED" w:rsidRPr="00490DD1">
        <w:rPr>
          <w:rFonts w:ascii="Times New Roman" w:hAnsi="Times New Roman" w:cs="Times New Roman"/>
          <w:color w:val="000000" w:themeColor="text1"/>
          <w:sz w:val="24"/>
          <w:szCs w:val="24"/>
        </w:rPr>
        <w:t>I</w:t>
      </w:r>
      <w:r w:rsidR="00DA16D7" w:rsidRPr="00490DD1">
        <w:rPr>
          <w:rFonts w:ascii="Times New Roman" w:hAnsi="Times New Roman" w:cs="Times New Roman"/>
          <w:color w:val="000000" w:themeColor="text1"/>
          <w:sz w:val="24"/>
          <w:szCs w:val="24"/>
        </w:rPr>
        <w:t>f the area is under the control of the State forces</w:t>
      </w:r>
      <w:r w:rsidR="004542AE" w:rsidRPr="00490DD1">
        <w:rPr>
          <w:rFonts w:ascii="Times New Roman" w:hAnsi="Times New Roman" w:cs="Times New Roman"/>
          <w:color w:val="000000" w:themeColor="text1"/>
          <w:sz w:val="24"/>
          <w:szCs w:val="24"/>
        </w:rPr>
        <w:t>,</w:t>
      </w:r>
      <w:r w:rsidR="00DA16D7" w:rsidRPr="00490DD1">
        <w:rPr>
          <w:rFonts w:ascii="Times New Roman" w:hAnsi="Times New Roman" w:cs="Times New Roman"/>
          <w:color w:val="000000" w:themeColor="text1"/>
          <w:sz w:val="24"/>
          <w:szCs w:val="24"/>
        </w:rPr>
        <w:t xml:space="preserve"> this should not be unfeasible</w:t>
      </w:r>
      <w:r w:rsidR="0018464D" w:rsidRPr="00490DD1">
        <w:rPr>
          <w:rFonts w:ascii="Times New Roman" w:hAnsi="Times New Roman" w:cs="Times New Roman"/>
          <w:color w:val="000000" w:themeColor="text1"/>
          <w:sz w:val="24"/>
          <w:szCs w:val="24"/>
        </w:rPr>
        <w:t>,</w:t>
      </w:r>
      <w:r w:rsidR="00DA16D7" w:rsidRPr="00490DD1">
        <w:rPr>
          <w:rFonts w:ascii="Times New Roman" w:hAnsi="Times New Roman" w:cs="Times New Roman"/>
          <w:color w:val="000000" w:themeColor="text1"/>
          <w:sz w:val="24"/>
          <w:szCs w:val="24"/>
        </w:rPr>
        <w:t xml:space="preserve"> even in an extra-</w:t>
      </w:r>
      <w:r w:rsidR="00DA16D7" w:rsidRPr="00490DD1">
        <w:rPr>
          <w:rFonts w:ascii="Times New Roman" w:hAnsi="Times New Roman" w:cs="Times New Roman"/>
          <w:color w:val="000000" w:themeColor="text1"/>
          <w:sz w:val="24"/>
          <w:szCs w:val="24"/>
        </w:rPr>
        <w:lastRenderedPageBreak/>
        <w:t>territorial context</w:t>
      </w:r>
      <w:r w:rsidR="0018464D" w:rsidRPr="00490DD1">
        <w:rPr>
          <w:rFonts w:ascii="Times New Roman" w:hAnsi="Times New Roman" w:cs="Times New Roman"/>
          <w:color w:val="000000" w:themeColor="text1"/>
          <w:sz w:val="24"/>
          <w:szCs w:val="24"/>
        </w:rPr>
        <w:t>,</w:t>
      </w:r>
      <w:r w:rsidR="002068F7" w:rsidRPr="00490DD1">
        <w:rPr>
          <w:rFonts w:ascii="Times New Roman" w:hAnsi="Times New Roman" w:cs="Times New Roman"/>
          <w:color w:val="000000" w:themeColor="text1"/>
          <w:sz w:val="24"/>
          <w:szCs w:val="24"/>
        </w:rPr>
        <w:t xml:space="preserve"> bu</w:t>
      </w:r>
      <w:r w:rsidR="004B6F7F" w:rsidRPr="00490DD1">
        <w:rPr>
          <w:rFonts w:ascii="Times New Roman" w:hAnsi="Times New Roman" w:cs="Times New Roman"/>
          <w:color w:val="000000" w:themeColor="text1"/>
          <w:sz w:val="24"/>
          <w:szCs w:val="24"/>
        </w:rPr>
        <w:t xml:space="preserve">t </w:t>
      </w:r>
      <w:r w:rsidR="002068F7" w:rsidRPr="00490DD1">
        <w:rPr>
          <w:rFonts w:ascii="Times New Roman" w:hAnsi="Times New Roman" w:cs="Times New Roman"/>
          <w:color w:val="000000" w:themeColor="text1"/>
          <w:sz w:val="24"/>
          <w:szCs w:val="24"/>
        </w:rPr>
        <w:t>if not</w:t>
      </w:r>
      <w:r w:rsidR="004542AE" w:rsidRPr="00490DD1">
        <w:rPr>
          <w:rFonts w:ascii="Times New Roman" w:hAnsi="Times New Roman" w:cs="Times New Roman"/>
          <w:color w:val="000000" w:themeColor="text1"/>
          <w:sz w:val="24"/>
          <w:szCs w:val="24"/>
        </w:rPr>
        <w:t>,</w:t>
      </w:r>
      <w:r w:rsidR="002068F7" w:rsidRPr="00490DD1">
        <w:rPr>
          <w:rFonts w:ascii="Times New Roman" w:hAnsi="Times New Roman" w:cs="Times New Roman"/>
          <w:color w:val="000000" w:themeColor="text1"/>
          <w:sz w:val="24"/>
          <w:szCs w:val="24"/>
        </w:rPr>
        <w:t xml:space="preserve"> it might be that</w:t>
      </w:r>
      <w:r w:rsidR="004542AE" w:rsidRPr="00490DD1">
        <w:rPr>
          <w:rFonts w:ascii="Times New Roman" w:hAnsi="Times New Roman" w:cs="Times New Roman"/>
          <w:color w:val="000000" w:themeColor="text1"/>
          <w:sz w:val="24"/>
          <w:szCs w:val="24"/>
        </w:rPr>
        <w:t>,</w:t>
      </w:r>
      <w:r w:rsidR="002068F7" w:rsidRPr="00490DD1">
        <w:rPr>
          <w:rFonts w:ascii="Times New Roman" w:hAnsi="Times New Roman" w:cs="Times New Roman"/>
          <w:color w:val="000000" w:themeColor="text1"/>
          <w:sz w:val="24"/>
          <w:szCs w:val="24"/>
        </w:rPr>
        <w:t xml:space="preserve"> for a variety of reasons (including the lack of consent of the territorial State)</w:t>
      </w:r>
      <w:r w:rsidR="004542AE" w:rsidRPr="00490DD1">
        <w:rPr>
          <w:rFonts w:ascii="Times New Roman" w:hAnsi="Times New Roman" w:cs="Times New Roman"/>
          <w:color w:val="000000" w:themeColor="text1"/>
          <w:sz w:val="24"/>
          <w:szCs w:val="24"/>
        </w:rPr>
        <w:t>,</w:t>
      </w:r>
      <w:r w:rsidR="002068F7" w:rsidRPr="00490DD1">
        <w:rPr>
          <w:rFonts w:ascii="Times New Roman" w:hAnsi="Times New Roman" w:cs="Times New Roman"/>
          <w:color w:val="000000" w:themeColor="text1"/>
          <w:sz w:val="24"/>
          <w:szCs w:val="24"/>
        </w:rPr>
        <w:t xml:space="preserve"> the State forces cannot access the area</w:t>
      </w:r>
      <w:r w:rsidR="00B96ACE">
        <w:rPr>
          <w:rFonts w:ascii="Times New Roman" w:hAnsi="Times New Roman" w:cs="Times New Roman"/>
          <w:color w:val="000000" w:themeColor="text1"/>
          <w:sz w:val="24"/>
          <w:szCs w:val="24"/>
        </w:rPr>
        <w:t xml:space="preserve"> and so information cannot be gathered</w:t>
      </w:r>
      <w:r w:rsidR="002068F7" w:rsidRPr="00490DD1">
        <w:rPr>
          <w:rFonts w:ascii="Times New Roman" w:hAnsi="Times New Roman" w:cs="Times New Roman"/>
          <w:color w:val="000000" w:themeColor="text1"/>
          <w:sz w:val="24"/>
          <w:szCs w:val="24"/>
        </w:rPr>
        <w:t>.</w:t>
      </w:r>
      <w:r w:rsidR="00DA16D7"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 xml:space="preserve">Second, in a situation where members of the armed forces are present </w:t>
      </w:r>
      <w:r w:rsidR="005F2077" w:rsidRPr="00490DD1">
        <w:rPr>
          <w:rFonts w:ascii="Times New Roman" w:hAnsi="Times New Roman" w:cs="Times New Roman"/>
          <w:color w:val="000000" w:themeColor="text1"/>
          <w:sz w:val="24"/>
          <w:szCs w:val="24"/>
        </w:rPr>
        <w:t>at</w:t>
      </w:r>
      <w:r w:rsidRPr="00490DD1">
        <w:rPr>
          <w:rFonts w:ascii="Times New Roman" w:hAnsi="Times New Roman" w:cs="Times New Roman"/>
          <w:color w:val="000000" w:themeColor="text1"/>
          <w:sz w:val="24"/>
          <w:szCs w:val="24"/>
        </w:rPr>
        <w:t xml:space="preserve"> the scene of the incident, the standard procedure would require those implicated to be disarmed and separated. Taking away the soldiers’ weapons might make them an easy target</w:t>
      </w:r>
      <w:r w:rsidR="00F9357A"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as ‘there is an</w:t>
      </w:r>
      <w:r w:rsidR="004542AE" w:rsidRPr="00490DD1">
        <w:rPr>
          <w:rFonts w:ascii="Times New Roman" w:hAnsi="Times New Roman" w:cs="Times New Roman"/>
          <w:color w:val="000000" w:themeColor="text1"/>
          <w:sz w:val="24"/>
          <w:szCs w:val="24"/>
        </w:rPr>
        <w:t xml:space="preserve"> [</w:t>
      </w:r>
      <w:r w:rsidR="004542AE" w:rsidRPr="00754FD3">
        <w:rPr>
          <w:rFonts w:ascii="Times New Roman" w:hAnsi="Times New Roman" w:cs="Times New Roman"/>
          <w:i/>
          <w:color w:val="000000" w:themeColor="text1"/>
          <w:sz w:val="24"/>
          <w:szCs w:val="24"/>
        </w:rPr>
        <w:t>sic</w:t>
      </w:r>
      <w:r w:rsidR="004542AE"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hostility (either expressed or not) to the foreign force’</w:t>
      </w:r>
      <w:r w:rsidR="00615026">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 predicament compounded by the fact that many people in States </w:t>
      </w:r>
      <w:r w:rsidR="00B96ACE">
        <w:rPr>
          <w:rFonts w:ascii="Times New Roman" w:hAnsi="Times New Roman" w:cs="Times New Roman"/>
          <w:color w:val="000000" w:themeColor="text1"/>
          <w:sz w:val="24"/>
          <w:szCs w:val="24"/>
        </w:rPr>
        <w:t xml:space="preserve">where armed forces are deployed </w:t>
      </w:r>
      <w:r w:rsidRPr="00490DD1">
        <w:rPr>
          <w:rFonts w:ascii="Times New Roman" w:hAnsi="Times New Roman" w:cs="Times New Roman"/>
          <w:color w:val="000000" w:themeColor="text1"/>
          <w:sz w:val="24"/>
          <w:szCs w:val="24"/>
        </w:rPr>
        <w:t>carry and use ‘weapons of varying lethality’</w:t>
      </w:r>
      <w:r w:rsidR="00615026">
        <w:rPr>
          <w:rFonts w:ascii="Times New Roman" w:hAnsi="Times New Roman" w:cs="Times New Roman"/>
          <w:color w:val="000000" w:themeColor="text1"/>
          <w:sz w:val="24"/>
          <w:szCs w:val="24"/>
        </w:rPr>
        <w:t>.</w:t>
      </w:r>
      <w:r w:rsidR="00DA1CE4" w:rsidRPr="00490DD1">
        <w:rPr>
          <w:rStyle w:val="FootnoteReference"/>
          <w:rFonts w:ascii="Times New Roman" w:hAnsi="Times New Roman" w:cs="Times New Roman"/>
          <w:color w:val="000000" w:themeColor="text1"/>
          <w:sz w:val="24"/>
          <w:szCs w:val="24"/>
        </w:rPr>
        <w:footnoteReference w:id="58"/>
      </w:r>
      <w:r w:rsidR="00977898" w:rsidRPr="00490DD1">
        <w:rPr>
          <w:rFonts w:ascii="Times New Roman" w:hAnsi="Times New Roman" w:cs="Times New Roman"/>
          <w:color w:val="000000" w:themeColor="text1"/>
          <w:sz w:val="24"/>
          <w:szCs w:val="24"/>
        </w:rPr>
        <w:t xml:space="preserve"> Although t</w:t>
      </w:r>
      <w:r w:rsidRPr="00490DD1">
        <w:rPr>
          <w:rFonts w:ascii="Times New Roman" w:hAnsi="Times New Roman" w:cs="Times New Roman"/>
          <w:color w:val="000000" w:themeColor="text1"/>
          <w:sz w:val="24"/>
          <w:szCs w:val="24"/>
        </w:rPr>
        <w:t xml:space="preserve">his was noted by the Court </w:t>
      </w:r>
      <w:r w:rsidR="002068F7" w:rsidRPr="00490DD1">
        <w:rPr>
          <w:rFonts w:ascii="Times New Roman" w:hAnsi="Times New Roman" w:cs="Times New Roman"/>
          <w:color w:val="000000" w:themeColor="text1"/>
          <w:sz w:val="24"/>
          <w:szCs w:val="24"/>
        </w:rPr>
        <w:t>and the concurring judges</w:t>
      </w:r>
      <w:r w:rsidR="002068F7" w:rsidRPr="00490DD1">
        <w:rPr>
          <w:rStyle w:val="FootnoteReference"/>
          <w:rFonts w:ascii="Times New Roman" w:hAnsi="Times New Roman" w:cs="Times New Roman"/>
          <w:color w:val="000000" w:themeColor="text1"/>
          <w:sz w:val="24"/>
          <w:szCs w:val="24"/>
          <w:shd w:val="clear" w:color="auto" w:fill="FFFFFF"/>
        </w:rPr>
        <w:footnoteReference w:id="59"/>
      </w:r>
      <w:r w:rsidR="002068F7"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 xml:space="preserve">in </w:t>
      </w:r>
      <w:proofErr w:type="spellStart"/>
      <w:r w:rsidRPr="00490DD1">
        <w:rPr>
          <w:rFonts w:ascii="Times New Roman" w:hAnsi="Times New Roman" w:cs="Times New Roman"/>
          <w:i/>
          <w:color w:val="000000" w:themeColor="text1"/>
          <w:sz w:val="24"/>
          <w:szCs w:val="24"/>
        </w:rPr>
        <w:t>Jaloud</w:t>
      </w:r>
      <w:proofErr w:type="spellEnd"/>
      <w:r w:rsidR="004542AE"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60"/>
      </w:r>
      <w:r w:rsidR="00977898" w:rsidRPr="00490DD1">
        <w:rPr>
          <w:rFonts w:ascii="Times New Roman" w:hAnsi="Times New Roman" w:cs="Times New Roman"/>
          <w:color w:val="000000" w:themeColor="text1"/>
          <w:sz w:val="24"/>
          <w:szCs w:val="24"/>
        </w:rPr>
        <w:t xml:space="preserve"> </w:t>
      </w:r>
      <w:r w:rsidR="00737DED" w:rsidRPr="00490DD1">
        <w:rPr>
          <w:rFonts w:ascii="Times New Roman" w:hAnsi="Times New Roman" w:cs="Times New Roman"/>
          <w:color w:val="000000" w:themeColor="text1"/>
          <w:sz w:val="24"/>
          <w:szCs w:val="24"/>
        </w:rPr>
        <w:t>the Court lamented the lack of precautions to separate the members of the armed forces</w:t>
      </w:r>
      <w:r w:rsidR="00737DED" w:rsidRPr="00490DD1">
        <w:rPr>
          <w:rStyle w:val="FootnoteReference"/>
          <w:rFonts w:ascii="Times New Roman" w:hAnsi="Times New Roman" w:cs="Times New Roman"/>
          <w:color w:val="000000" w:themeColor="text1"/>
          <w:sz w:val="24"/>
          <w:szCs w:val="24"/>
        </w:rPr>
        <w:footnoteReference w:id="61"/>
      </w:r>
      <w:r w:rsidR="002068F7" w:rsidRPr="00490DD1">
        <w:rPr>
          <w:rFonts w:ascii="Times New Roman" w:hAnsi="Times New Roman" w:cs="Times New Roman"/>
          <w:color w:val="000000" w:themeColor="text1"/>
          <w:sz w:val="24"/>
          <w:szCs w:val="24"/>
        </w:rPr>
        <w:t xml:space="preserve"> when they wer</w:t>
      </w:r>
      <w:r w:rsidR="005F2077" w:rsidRPr="00490DD1">
        <w:rPr>
          <w:rFonts w:ascii="Times New Roman" w:hAnsi="Times New Roman" w:cs="Times New Roman"/>
          <w:color w:val="000000" w:themeColor="text1"/>
          <w:sz w:val="24"/>
          <w:szCs w:val="24"/>
        </w:rPr>
        <w:t>e i</w:t>
      </w:r>
      <w:r w:rsidR="002068F7" w:rsidRPr="00490DD1">
        <w:rPr>
          <w:rFonts w:ascii="Times New Roman" w:hAnsi="Times New Roman" w:cs="Times New Roman"/>
          <w:color w:val="000000" w:themeColor="text1"/>
          <w:sz w:val="24"/>
          <w:szCs w:val="24"/>
        </w:rPr>
        <w:t>n fac</w:t>
      </w:r>
      <w:r w:rsidR="005F2077" w:rsidRPr="00490DD1">
        <w:rPr>
          <w:rFonts w:ascii="Times New Roman" w:hAnsi="Times New Roman" w:cs="Times New Roman"/>
          <w:color w:val="000000" w:themeColor="text1"/>
          <w:sz w:val="24"/>
          <w:szCs w:val="24"/>
        </w:rPr>
        <w:t>t i</w:t>
      </w:r>
      <w:r w:rsidR="002068F7" w:rsidRPr="00490DD1">
        <w:rPr>
          <w:rFonts w:ascii="Times New Roman" w:hAnsi="Times New Roman" w:cs="Times New Roman"/>
          <w:color w:val="000000" w:themeColor="text1"/>
          <w:sz w:val="24"/>
          <w:szCs w:val="24"/>
        </w:rPr>
        <w:t>n charge of maintaining security in the area. The reason for separating the soldiers is that,</w:t>
      </w:r>
      <w:r w:rsidRPr="00490DD1">
        <w:rPr>
          <w:rFonts w:ascii="Times New Roman" w:hAnsi="Times New Roman" w:cs="Times New Roman"/>
          <w:color w:val="000000" w:themeColor="text1"/>
          <w:sz w:val="24"/>
          <w:szCs w:val="24"/>
        </w:rPr>
        <w:t xml:space="preserve"> given the opportunity and especially the time</w:t>
      </w:r>
      <w:r w:rsidR="002068F7"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w:t>
      </w:r>
      <w:r w:rsidR="002068F7" w:rsidRPr="00490DD1">
        <w:rPr>
          <w:rFonts w:ascii="Times New Roman" w:hAnsi="Times New Roman" w:cs="Times New Roman"/>
          <w:color w:val="000000" w:themeColor="text1"/>
          <w:sz w:val="24"/>
          <w:szCs w:val="24"/>
        </w:rPr>
        <w:t>they</w:t>
      </w:r>
      <w:r w:rsidRPr="00490DD1">
        <w:rPr>
          <w:rFonts w:ascii="Times New Roman" w:hAnsi="Times New Roman" w:cs="Times New Roman"/>
          <w:color w:val="000000" w:themeColor="text1"/>
          <w:sz w:val="24"/>
          <w:szCs w:val="24"/>
        </w:rPr>
        <w:t xml:space="preserve"> might ‘collu</w:t>
      </w:r>
      <w:r w:rsidRPr="00490DD1">
        <w:rPr>
          <w:rFonts w:ascii="Times New Roman" w:hAnsi="Times New Roman" w:cs="Times New Roman"/>
          <w:color w:val="000000" w:themeColor="text1"/>
          <w:sz w:val="24"/>
          <w:szCs w:val="24"/>
          <w:shd w:val="clear" w:color="auto" w:fill="FFFFFF"/>
        </w:rPr>
        <w:t>de with others to distort the truth’</w:t>
      </w:r>
      <w:r w:rsidR="00615026">
        <w:rPr>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62"/>
      </w:r>
      <w:r w:rsidRPr="00490DD1">
        <w:rPr>
          <w:rFonts w:ascii="Times New Roman" w:hAnsi="Times New Roman" w:cs="Times New Roman"/>
          <w:color w:val="000000" w:themeColor="text1"/>
          <w:sz w:val="24"/>
          <w:szCs w:val="24"/>
        </w:rPr>
        <w:t xml:space="preserve"> </w:t>
      </w:r>
      <w:r w:rsidR="006D59C9" w:rsidRPr="00490DD1">
        <w:rPr>
          <w:rFonts w:ascii="Times New Roman" w:hAnsi="Times New Roman" w:cs="Times New Roman"/>
          <w:color w:val="000000" w:themeColor="text1"/>
          <w:sz w:val="24"/>
          <w:szCs w:val="24"/>
        </w:rPr>
        <w:t xml:space="preserve">The Court explained </w:t>
      </w:r>
      <w:r w:rsidR="00823116" w:rsidRPr="00490DD1">
        <w:rPr>
          <w:rFonts w:ascii="Times New Roman" w:hAnsi="Times New Roman" w:cs="Times New Roman"/>
          <w:color w:val="000000" w:themeColor="text1"/>
          <w:sz w:val="24"/>
          <w:szCs w:val="24"/>
        </w:rPr>
        <w:t xml:space="preserve">that ‘the mere fact that appropriate steps were not taken to reduce the risk </w:t>
      </w:r>
      <w:r w:rsidR="003D5461" w:rsidRPr="00490DD1">
        <w:rPr>
          <w:rFonts w:ascii="Times New Roman" w:hAnsi="Times New Roman" w:cs="Times New Roman"/>
          <w:color w:val="000000" w:themeColor="text1"/>
          <w:sz w:val="24"/>
          <w:szCs w:val="24"/>
        </w:rPr>
        <w:t>of collusion’</w:t>
      </w:r>
      <w:r w:rsidR="002068F7" w:rsidRPr="00490DD1">
        <w:rPr>
          <w:rStyle w:val="FootnoteReference"/>
          <w:rFonts w:ascii="Times New Roman" w:hAnsi="Times New Roman" w:cs="Times New Roman"/>
          <w:color w:val="000000" w:themeColor="text1"/>
          <w:sz w:val="24"/>
          <w:szCs w:val="24"/>
        </w:rPr>
        <w:footnoteReference w:id="63"/>
      </w:r>
      <w:r w:rsidR="003D5461" w:rsidRPr="00490DD1">
        <w:rPr>
          <w:rFonts w:ascii="Times New Roman" w:hAnsi="Times New Roman" w:cs="Times New Roman"/>
          <w:color w:val="000000" w:themeColor="text1"/>
          <w:sz w:val="24"/>
          <w:szCs w:val="24"/>
        </w:rPr>
        <w:t xml:space="preserve"> was a shortcoming </w:t>
      </w:r>
      <w:proofErr w:type="gramStart"/>
      <w:r w:rsidR="003D5461" w:rsidRPr="00490DD1">
        <w:rPr>
          <w:rFonts w:ascii="Times New Roman" w:hAnsi="Times New Roman" w:cs="Times New Roman"/>
          <w:color w:val="000000" w:themeColor="text1"/>
          <w:sz w:val="24"/>
          <w:szCs w:val="24"/>
        </w:rPr>
        <w:t>despite the fact that</w:t>
      </w:r>
      <w:proofErr w:type="gramEnd"/>
      <w:r w:rsidR="003D5461" w:rsidRPr="00490DD1">
        <w:rPr>
          <w:rFonts w:ascii="Times New Roman" w:hAnsi="Times New Roman" w:cs="Times New Roman"/>
          <w:color w:val="000000" w:themeColor="text1"/>
          <w:sz w:val="24"/>
          <w:szCs w:val="24"/>
        </w:rPr>
        <w:t xml:space="preserve"> the concurrent judges recognised that</w:t>
      </w:r>
    </w:p>
    <w:p w14:paraId="1A17606F" w14:textId="5992D730" w:rsidR="003D5461" w:rsidRPr="00490DD1" w:rsidRDefault="003D5461" w:rsidP="00615026">
      <w:pPr>
        <w:spacing w:after="0" w:line="360" w:lineRule="auto"/>
        <w:ind w:left="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[s]</w:t>
      </w:r>
      <w:proofErr w:type="spellStart"/>
      <w:r w:rsidRPr="00490DD1">
        <w:rPr>
          <w:rFonts w:ascii="Times New Roman" w:hAnsi="Times New Roman" w:cs="Times New Roman"/>
          <w:color w:val="000000" w:themeColor="text1"/>
          <w:sz w:val="24"/>
          <w:szCs w:val="24"/>
          <w:shd w:val="clear" w:color="auto" w:fill="FFFFFF"/>
        </w:rPr>
        <w:t>eparating</w:t>
      </w:r>
      <w:proofErr w:type="spellEnd"/>
      <w:r w:rsidRPr="00490DD1">
        <w:rPr>
          <w:rFonts w:ascii="Times New Roman" w:hAnsi="Times New Roman" w:cs="Times New Roman"/>
          <w:color w:val="000000" w:themeColor="text1"/>
          <w:sz w:val="24"/>
          <w:szCs w:val="24"/>
          <w:shd w:val="clear" w:color="auto" w:fill="FFFFFF"/>
        </w:rPr>
        <w:t xml:space="preserve"> all the witnesses on the spot could have interfered with that duty [to provide security at the checkpoint]. Equally, to separate persons in a command position from their military personnel abruptly and in such an unstable environment seems rather dangerous.</w:t>
      </w:r>
      <w:r w:rsidRPr="00490DD1">
        <w:rPr>
          <w:rStyle w:val="FootnoteReference"/>
          <w:rFonts w:ascii="Times New Roman" w:hAnsi="Times New Roman" w:cs="Times New Roman"/>
          <w:color w:val="000000" w:themeColor="text1"/>
          <w:sz w:val="24"/>
          <w:szCs w:val="24"/>
          <w:shd w:val="clear" w:color="auto" w:fill="FFFFFF"/>
        </w:rPr>
        <w:footnoteReference w:id="64"/>
      </w:r>
    </w:p>
    <w:p w14:paraId="5B75C01A" w14:textId="2A480AB5" w:rsidR="003D5461" w:rsidRDefault="006D59C9" w:rsidP="00670537">
      <w:pPr>
        <w:spacing w:after="0" w:line="360" w:lineRule="auto"/>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lastRenderedPageBreak/>
        <w:t xml:space="preserve">Ensuring that each individual </w:t>
      </w:r>
      <w:proofErr w:type="gramStart"/>
      <w:r w:rsidRPr="00490DD1">
        <w:rPr>
          <w:rFonts w:ascii="Times New Roman" w:hAnsi="Times New Roman" w:cs="Times New Roman"/>
          <w:color w:val="000000" w:themeColor="text1"/>
          <w:sz w:val="24"/>
          <w:szCs w:val="24"/>
        </w:rPr>
        <w:t>leaves</w:t>
      </w:r>
      <w:proofErr w:type="gramEnd"/>
      <w:r w:rsidRPr="00490DD1">
        <w:rPr>
          <w:rFonts w:ascii="Times New Roman" w:hAnsi="Times New Roman" w:cs="Times New Roman"/>
          <w:color w:val="000000" w:themeColor="text1"/>
          <w:sz w:val="24"/>
          <w:szCs w:val="24"/>
        </w:rPr>
        <w:t xml:space="preserve"> separately and safely might not be possibl</w:t>
      </w:r>
      <w:r w:rsidR="005F2077" w:rsidRPr="00490DD1">
        <w:rPr>
          <w:rFonts w:ascii="Times New Roman" w:hAnsi="Times New Roman" w:cs="Times New Roman"/>
          <w:color w:val="000000" w:themeColor="text1"/>
          <w:sz w:val="24"/>
          <w:szCs w:val="24"/>
        </w:rPr>
        <w:t>e, a</w:t>
      </w:r>
      <w:r w:rsidRPr="00490DD1">
        <w:rPr>
          <w:rFonts w:ascii="Times New Roman" w:hAnsi="Times New Roman" w:cs="Times New Roman"/>
          <w:color w:val="000000" w:themeColor="text1"/>
          <w:sz w:val="24"/>
          <w:szCs w:val="24"/>
        </w:rPr>
        <w:t>nd</w:t>
      </w:r>
      <w:r w:rsidR="004542AE" w:rsidRPr="00490DD1">
        <w:rPr>
          <w:rFonts w:ascii="Times New Roman" w:hAnsi="Times New Roman" w:cs="Times New Roman"/>
          <w:color w:val="000000" w:themeColor="text1"/>
          <w:sz w:val="24"/>
          <w:szCs w:val="24"/>
        </w:rPr>
        <w:t xml:space="preserve"> therefore</w:t>
      </w:r>
      <w:r w:rsidRPr="00490DD1">
        <w:rPr>
          <w:rFonts w:ascii="Times New Roman" w:hAnsi="Times New Roman" w:cs="Times New Roman"/>
          <w:color w:val="000000" w:themeColor="text1"/>
          <w:sz w:val="24"/>
          <w:szCs w:val="24"/>
        </w:rPr>
        <w:t xml:space="preserve"> </w:t>
      </w:r>
      <w:r w:rsidR="003D5461" w:rsidRPr="00490DD1">
        <w:rPr>
          <w:rFonts w:ascii="Times New Roman" w:hAnsi="Times New Roman" w:cs="Times New Roman"/>
          <w:color w:val="000000" w:themeColor="text1"/>
          <w:sz w:val="24"/>
          <w:szCs w:val="24"/>
        </w:rPr>
        <w:t xml:space="preserve">the Court </w:t>
      </w:r>
      <w:r w:rsidR="00670537" w:rsidRPr="00490DD1">
        <w:rPr>
          <w:rFonts w:ascii="Times New Roman" w:hAnsi="Times New Roman" w:cs="Times New Roman"/>
          <w:color w:val="000000" w:themeColor="text1"/>
          <w:sz w:val="24"/>
          <w:szCs w:val="24"/>
        </w:rPr>
        <w:t>displays</w:t>
      </w:r>
      <w:r w:rsidRPr="00490DD1">
        <w:rPr>
          <w:rFonts w:ascii="Times New Roman" w:hAnsi="Times New Roman" w:cs="Times New Roman"/>
          <w:color w:val="000000" w:themeColor="text1"/>
          <w:sz w:val="24"/>
          <w:szCs w:val="24"/>
        </w:rPr>
        <w:t xml:space="preserve"> a</w:t>
      </w:r>
      <w:r w:rsidR="00B96ACE">
        <w:rPr>
          <w:rFonts w:ascii="Times New Roman" w:hAnsi="Times New Roman" w:cs="Times New Roman"/>
          <w:color w:val="000000" w:themeColor="text1"/>
          <w:sz w:val="24"/>
          <w:szCs w:val="24"/>
        </w:rPr>
        <w:t xml:space="preserve"> certain</w:t>
      </w:r>
      <w:r w:rsidRPr="00490DD1">
        <w:rPr>
          <w:rFonts w:ascii="Times New Roman" w:hAnsi="Times New Roman" w:cs="Times New Roman"/>
          <w:color w:val="000000" w:themeColor="text1"/>
          <w:sz w:val="24"/>
          <w:szCs w:val="24"/>
        </w:rPr>
        <w:t xml:space="preserve"> lack of</w:t>
      </w:r>
      <w:r w:rsidR="003D5461" w:rsidRPr="00490DD1">
        <w:rPr>
          <w:rFonts w:ascii="Times New Roman" w:hAnsi="Times New Roman" w:cs="Times New Roman"/>
          <w:color w:val="000000" w:themeColor="text1"/>
          <w:sz w:val="24"/>
          <w:szCs w:val="24"/>
        </w:rPr>
        <w:t xml:space="preserve"> flexibility in </w:t>
      </w:r>
      <w:r w:rsidR="007E0C7C" w:rsidRPr="00490DD1">
        <w:rPr>
          <w:rFonts w:ascii="Times New Roman" w:hAnsi="Times New Roman" w:cs="Times New Roman"/>
          <w:color w:val="000000" w:themeColor="text1"/>
          <w:sz w:val="24"/>
          <w:szCs w:val="24"/>
        </w:rPr>
        <w:t>the</w:t>
      </w:r>
      <w:r w:rsidR="003D5461" w:rsidRPr="00490DD1">
        <w:rPr>
          <w:rFonts w:ascii="Times New Roman" w:hAnsi="Times New Roman" w:cs="Times New Roman"/>
          <w:color w:val="000000" w:themeColor="text1"/>
          <w:sz w:val="24"/>
          <w:szCs w:val="24"/>
        </w:rPr>
        <w:t xml:space="preserve"> application of this element in an extra-territorial setting.</w:t>
      </w:r>
    </w:p>
    <w:p w14:paraId="0A76F5E4" w14:textId="38F1B9E0" w:rsidR="00D17493" w:rsidRPr="00490DD1" w:rsidRDefault="00D17493"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 xml:space="preserve">Second, members of the armed forces must be </w:t>
      </w:r>
      <w:r w:rsidR="005A3C02" w:rsidRPr="00490DD1">
        <w:rPr>
          <w:rFonts w:ascii="Times New Roman" w:hAnsi="Times New Roman" w:cs="Times New Roman"/>
          <w:color w:val="000000" w:themeColor="text1"/>
          <w:sz w:val="24"/>
          <w:szCs w:val="24"/>
        </w:rPr>
        <w:t>interrogated</w:t>
      </w:r>
      <w:r w:rsidRPr="00490DD1">
        <w:rPr>
          <w:rFonts w:ascii="Times New Roman" w:hAnsi="Times New Roman" w:cs="Times New Roman"/>
          <w:color w:val="000000" w:themeColor="text1"/>
          <w:sz w:val="24"/>
          <w:szCs w:val="24"/>
        </w:rPr>
        <w:t xml:space="preserve"> about the incident</w:t>
      </w:r>
      <w:r w:rsidRPr="00490DD1">
        <w:rPr>
          <w:rStyle w:val="FootnoteReference"/>
          <w:rFonts w:ascii="Times New Roman" w:hAnsi="Times New Roman" w:cs="Times New Roman"/>
          <w:color w:val="000000" w:themeColor="text1"/>
          <w:sz w:val="24"/>
          <w:szCs w:val="24"/>
        </w:rPr>
        <w:footnoteReference w:id="65"/>
      </w:r>
      <w:r w:rsidRPr="00490DD1">
        <w:rPr>
          <w:rFonts w:ascii="Times New Roman" w:hAnsi="Times New Roman" w:cs="Times New Roman"/>
          <w:color w:val="000000" w:themeColor="text1"/>
          <w:sz w:val="24"/>
          <w:szCs w:val="24"/>
        </w:rPr>
        <w:t xml:space="preserve"> in an adequate manner. The Court has indicated that reliance on written evidence </w:t>
      </w:r>
      <w:r w:rsidR="005A3C02" w:rsidRPr="00490DD1">
        <w:rPr>
          <w:rFonts w:ascii="Times New Roman" w:hAnsi="Times New Roman" w:cs="Times New Roman"/>
          <w:color w:val="000000" w:themeColor="text1"/>
          <w:sz w:val="24"/>
          <w:szCs w:val="24"/>
        </w:rPr>
        <w:t>and/or reports produced by them</w:t>
      </w:r>
      <w:r w:rsidR="005614BC" w:rsidRPr="00490DD1">
        <w:rPr>
          <w:rFonts w:ascii="Times New Roman" w:hAnsi="Times New Roman" w:cs="Times New Roman"/>
          <w:color w:val="000000" w:themeColor="text1"/>
          <w:sz w:val="24"/>
          <w:szCs w:val="24"/>
        </w:rPr>
        <w:t>,</w:t>
      </w:r>
      <w:r w:rsidR="005A3C02" w:rsidRPr="00490DD1">
        <w:rPr>
          <w:rStyle w:val="FootnoteReference"/>
          <w:rFonts w:ascii="Times New Roman" w:hAnsi="Times New Roman" w:cs="Times New Roman"/>
          <w:color w:val="000000" w:themeColor="text1"/>
          <w:sz w:val="24"/>
          <w:szCs w:val="24"/>
        </w:rPr>
        <w:footnoteReference w:id="66"/>
      </w:r>
      <w:r w:rsidR="005A3C02" w:rsidRPr="00490DD1">
        <w:rPr>
          <w:rFonts w:ascii="Times New Roman" w:hAnsi="Times New Roman" w:cs="Times New Roman"/>
          <w:color w:val="000000" w:themeColor="text1"/>
          <w:sz w:val="24"/>
          <w:szCs w:val="24"/>
        </w:rPr>
        <w:t xml:space="preserve"> as well as</w:t>
      </w:r>
      <w:r w:rsidRPr="00490DD1">
        <w:rPr>
          <w:rFonts w:ascii="Times New Roman" w:hAnsi="Times New Roman" w:cs="Times New Roman"/>
          <w:color w:val="000000" w:themeColor="text1"/>
          <w:sz w:val="24"/>
          <w:szCs w:val="24"/>
        </w:rPr>
        <w:t xml:space="preserve"> transcripts of interviews</w:t>
      </w:r>
      <w:r w:rsidR="004542AE"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was not sufficient</w:t>
      </w:r>
      <w:r w:rsidR="00F9357A" w:rsidRPr="00490DD1">
        <w:rPr>
          <w:rFonts w:ascii="Times New Roman" w:hAnsi="Times New Roman" w:cs="Times New Roman"/>
          <w:color w:val="000000" w:themeColor="text1"/>
          <w:sz w:val="24"/>
          <w:szCs w:val="24"/>
        </w:rPr>
        <w:t xml:space="preserve">, </w:t>
      </w:r>
      <w:r w:rsidR="004542AE" w:rsidRPr="00490DD1">
        <w:rPr>
          <w:rFonts w:ascii="Times New Roman" w:hAnsi="Times New Roman" w:cs="Times New Roman"/>
          <w:color w:val="000000" w:themeColor="text1"/>
          <w:sz w:val="24"/>
          <w:szCs w:val="24"/>
        </w:rPr>
        <w:t>as</w:t>
      </w:r>
      <w:r w:rsidRPr="00490DD1">
        <w:rPr>
          <w:rFonts w:ascii="Times New Roman" w:hAnsi="Times New Roman" w:cs="Times New Roman"/>
          <w:color w:val="000000" w:themeColor="text1"/>
          <w:sz w:val="24"/>
          <w:szCs w:val="24"/>
        </w:rPr>
        <w:t xml:space="preserve"> it does not allow for the reliability or credibility of the accounts of those involved in the incident to be verified.</w:t>
      </w:r>
      <w:r w:rsidRPr="00490DD1">
        <w:rPr>
          <w:rStyle w:val="FootnoteReference"/>
          <w:rFonts w:ascii="Times New Roman" w:hAnsi="Times New Roman" w:cs="Times New Roman"/>
          <w:color w:val="000000" w:themeColor="text1"/>
          <w:sz w:val="24"/>
          <w:szCs w:val="24"/>
        </w:rPr>
        <w:footnoteReference w:id="67"/>
      </w:r>
      <w:r w:rsidRPr="00490DD1">
        <w:rPr>
          <w:rFonts w:ascii="Times New Roman" w:hAnsi="Times New Roman" w:cs="Times New Roman"/>
          <w:color w:val="000000" w:themeColor="text1"/>
          <w:sz w:val="24"/>
          <w:szCs w:val="24"/>
        </w:rPr>
        <w:t xml:space="preserve"> Crucial factual elements might have been, voluntarily or not, omitted</w:t>
      </w:r>
      <w:r w:rsidR="0018464D" w:rsidRPr="00490DD1">
        <w:rPr>
          <w:rFonts w:ascii="Times New Roman" w:hAnsi="Times New Roman" w:cs="Times New Roman"/>
          <w:color w:val="000000" w:themeColor="text1"/>
          <w:sz w:val="24"/>
          <w:szCs w:val="24"/>
        </w:rPr>
        <w:t>,</w:t>
      </w:r>
      <w:r w:rsidR="008414C5" w:rsidRPr="00490DD1">
        <w:rPr>
          <w:rFonts w:ascii="Times New Roman" w:hAnsi="Times New Roman" w:cs="Times New Roman"/>
          <w:color w:val="000000" w:themeColor="text1"/>
          <w:sz w:val="24"/>
          <w:szCs w:val="24"/>
        </w:rPr>
        <w:t xml:space="preserve"> and contradictory information might not be cross-checked</w:t>
      </w:r>
      <w:r w:rsidRPr="00490DD1">
        <w:rPr>
          <w:rFonts w:ascii="Times New Roman" w:hAnsi="Times New Roman" w:cs="Times New Roman"/>
          <w:color w:val="000000" w:themeColor="text1"/>
          <w:sz w:val="24"/>
          <w:szCs w:val="24"/>
        </w:rPr>
        <w:t>.</w:t>
      </w:r>
      <w:r w:rsidR="005A3C02" w:rsidRPr="00490DD1">
        <w:rPr>
          <w:rStyle w:val="FootnoteReference"/>
          <w:rFonts w:ascii="Times New Roman" w:hAnsi="Times New Roman" w:cs="Times New Roman"/>
          <w:color w:val="000000" w:themeColor="text1"/>
          <w:sz w:val="24"/>
          <w:szCs w:val="24"/>
        </w:rPr>
        <w:footnoteReference w:id="68"/>
      </w:r>
      <w:r w:rsidRPr="00490DD1">
        <w:rPr>
          <w:rFonts w:ascii="Times New Roman" w:hAnsi="Times New Roman" w:cs="Times New Roman"/>
          <w:color w:val="000000" w:themeColor="text1"/>
          <w:sz w:val="24"/>
          <w:szCs w:val="24"/>
        </w:rPr>
        <w:t xml:space="preserve"> As a result, failure to collect the testimony of those implicated in the incidents might render it difficult to ascertain whether the force used was justified. I</w:t>
      </w:r>
      <w:r w:rsidR="00B63A72">
        <w:rPr>
          <w:rFonts w:ascii="Times New Roman" w:hAnsi="Times New Roman" w:cs="Times New Roman"/>
          <w:color w:val="000000" w:themeColor="text1"/>
          <w:sz w:val="24"/>
          <w:szCs w:val="24"/>
        </w:rPr>
        <w:t>t is submitted that, i</w:t>
      </w:r>
      <w:r w:rsidRPr="00490DD1">
        <w:rPr>
          <w:rFonts w:ascii="Times New Roman" w:hAnsi="Times New Roman" w:cs="Times New Roman"/>
          <w:color w:val="000000" w:themeColor="text1"/>
          <w:sz w:val="24"/>
          <w:szCs w:val="24"/>
        </w:rPr>
        <w:t>deally, such interviews should take place back in the compound to ensure the security of all those involved. The reality is that military witnesses may not be interviewed quickly after the incident and in fact ‘be deployed elsewhere or be engaged in combat’</w:t>
      </w:r>
      <w:r w:rsidRPr="00490DD1">
        <w:rPr>
          <w:rStyle w:val="FootnoteReference"/>
          <w:rFonts w:ascii="Times New Roman" w:hAnsi="Times New Roman" w:cs="Times New Roman"/>
          <w:color w:val="000000" w:themeColor="text1"/>
          <w:sz w:val="24"/>
          <w:szCs w:val="24"/>
        </w:rPr>
        <w:footnoteReference w:id="69"/>
      </w:r>
      <w:r w:rsidRPr="00490DD1">
        <w:rPr>
          <w:rFonts w:ascii="Times New Roman" w:hAnsi="Times New Roman" w:cs="Times New Roman"/>
          <w:color w:val="000000" w:themeColor="text1"/>
          <w:sz w:val="24"/>
          <w:szCs w:val="24"/>
        </w:rPr>
        <w:t xml:space="preserve"> and therefor</w:t>
      </w:r>
      <w:r w:rsidR="005614BC" w:rsidRPr="00490DD1">
        <w:rPr>
          <w:rFonts w:ascii="Times New Roman" w:hAnsi="Times New Roman" w:cs="Times New Roman"/>
          <w:color w:val="000000" w:themeColor="text1"/>
          <w:sz w:val="24"/>
          <w:szCs w:val="24"/>
        </w:rPr>
        <w:t>e</w:t>
      </w:r>
      <w:r w:rsidRPr="00490DD1">
        <w:rPr>
          <w:rFonts w:ascii="Times New Roman" w:hAnsi="Times New Roman" w:cs="Times New Roman"/>
          <w:color w:val="000000" w:themeColor="text1"/>
          <w:sz w:val="24"/>
          <w:szCs w:val="24"/>
        </w:rPr>
        <w:t xml:space="preserve"> unable to provide evidence.</w:t>
      </w:r>
      <w:r w:rsidR="00C17FCF" w:rsidRPr="00490DD1">
        <w:rPr>
          <w:rFonts w:ascii="Times New Roman" w:hAnsi="Times New Roman" w:cs="Times New Roman"/>
          <w:color w:val="000000" w:themeColor="text1"/>
          <w:sz w:val="24"/>
          <w:szCs w:val="24"/>
        </w:rPr>
        <w:t xml:space="preserve"> </w:t>
      </w:r>
      <w:proofErr w:type="gramStart"/>
      <w:r w:rsidR="004D4EC8">
        <w:rPr>
          <w:rFonts w:ascii="Times New Roman" w:hAnsi="Times New Roman" w:cs="Times New Roman"/>
          <w:color w:val="000000" w:themeColor="text1"/>
          <w:sz w:val="24"/>
          <w:szCs w:val="24"/>
        </w:rPr>
        <w:t>As a consequence</w:t>
      </w:r>
      <w:proofErr w:type="gramEnd"/>
      <w:r w:rsidR="004D4EC8">
        <w:rPr>
          <w:rFonts w:ascii="Times New Roman" w:hAnsi="Times New Roman" w:cs="Times New Roman"/>
          <w:color w:val="000000" w:themeColor="text1"/>
          <w:sz w:val="24"/>
          <w:szCs w:val="24"/>
        </w:rPr>
        <w:t>, to ensure that the testimony of those involved in the incident is gathered promptly,</w:t>
      </w:r>
      <w:r w:rsidR="00C17FCF" w:rsidRPr="00490DD1">
        <w:rPr>
          <w:rFonts w:ascii="Times New Roman" w:hAnsi="Times New Roman" w:cs="Times New Roman"/>
          <w:color w:val="000000" w:themeColor="text1"/>
          <w:sz w:val="24"/>
          <w:szCs w:val="24"/>
        </w:rPr>
        <w:t xml:space="preserve"> the State should </w:t>
      </w:r>
      <w:r w:rsidR="00FA4FA6" w:rsidRPr="00490DD1">
        <w:rPr>
          <w:rFonts w:ascii="Times New Roman" w:hAnsi="Times New Roman" w:cs="Times New Roman"/>
          <w:color w:val="000000" w:themeColor="text1"/>
          <w:sz w:val="24"/>
          <w:szCs w:val="24"/>
        </w:rPr>
        <w:t>take steps so</w:t>
      </w:r>
      <w:r w:rsidR="00C17FCF" w:rsidRPr="00490DD1">
        <w:rPr>
          <w:rFonts w:ascii="Times New Roman" w:hAnsi="Times New Roman" w:cs="Times New Roman"/>
          <w:color w:val="000000" w:themeColor="text1"/>
          <w:sz w:val="24"/>
          <w:szCs w:val="24"/>
        </w:rPr>
        <w:t xml:space="preserve"> that </w:t>
      </w:r>
      <w:r w:rsidR="006D59C9" w:rsidRPr="00490DD1">
        <w:rPr>
          <w:rFonts w:ascii="Times New Roman" w:hAnsi="Times New Roman" w:cs="Times New Roman"/>
          <w:color w:val="000000" w:themeColor="text1"/>
          <w:sz w:val="24"/>
          <w:szCs w:val="24"/>
        </w:rPr>
        <w:t>these</w:t>
      </w:r>
      <w:r w:rsidR="00C17FCF" w:rsidRPr="00490DD1">
        <w:rPr>
          <w:rFonts w:ascii="Times New Roman" w:hAnsi="Times New Roman" w:cs="Times New Roman"/>
          <w:color w:val="000000" w:themeColor="text1"/>
          <w:sz w:val="24"/>
          <w:szCs w:val="24"/>
        </w:rPr>
        <w:t xml:space="preserve"> individuals remain available for questioning</w:t>
      </w:r>
      <w:r w:rsidR="00823116" w:rsidRPr="00490DD1">
        <w:rPr>
          <w:rFonts w:ascii="Times New Roman" w:hAnsi="Times New Roman" w:cs="Times New Roman"/>
          <w:color w:val="000000" w:themeColor="text1"/>
          <w:sz w:val="24"/>
          <w:szCs w:val="24"/>
        </w:rPr>
        <w:t xml:space="preserve"> and </w:t>
      </w:r>
      <w:r w:rsidR="004D4EC8">
        <w:rPr>
          <w:rFonts w:ascii="Times New Roman" w:hAnsi="Times New Roman" w:cs="Times New Roman"/>
          <w:color w:val="000000" w:themeColor="text1"/>
          <w:sz w:val="24"/>
          <w:szCs w:val="24"/>
        </w:rPr>
        <w:t xml:space="preserve">are </w:t>
      </w:r>
      <w:r w:rsidR="00823116" w:rsidRPr="00490DD1">
        <w:rPr>
          <w:rFonts w:ascii="Times New Roman" w:hAnsi="Times New Roman" w:cs="Times New Roman"/>
          <w:color w:val="000000" w:themeColor="text1"/>
          <w:sz w:val="24"/>
          <w:szCs w:val="24"/>
        </w:rPr>
        <w:t>not deployed quickly after the incident</w:t>
      </w:r>
      <w:r w:rsidR="00C17FCF" w:rsidRPr="00490DD1">
        <w:rPr>
          <w:rFonts w:ascii="Times New Roman" w:hAnsi="Times New Roman" w:cs="Times New Roman"/>
          <w:color w:val="000000" w:themeColor="text1"/>
          <w:sz w:val="24"/>
          <w:szCs w:val="24"/>
        </w:rPr>
        <w:t>.</w:t>
      </w:r>
      <w:r w:rsidR="00823116" w:rsidRPr="00490DD1">
        <w:rPr>
          <w:rFonts w:ascii="Times New Roman" w:hAnsi="Times New Roman" w:cs="Times New Roman"/>
          <w:color w:val="000000" w:themeColor="text1"/>
          <w:sz w:val="24"/>
          <w:szCs w:val="24"/>
        </w:rPr>
        <w:t xml:space="preserve"> This also highlights the fact that the State must </w:t>
      </w:r>
      <w:r w:rsidR="00FA4FA6" w:rsidRPr="00490DD1">
        <w:rPr>
          <w:rFonts w:ascii="Times New Roman" w:hAnsi="Times New Roman" w:cs="Times New Roman"/>
          <w:color w:val="000000" w:themeColor="text1"/>
          <w:sz w:val="24"/>
          <w:szCs w:val="24"/>
        </w:rPr>
        <w:t xml:space="preserve">ensure that it </w:t>
      </w:r>
      <w:r w:rsidR="00B96ACE">
        <w:rPr>
          <w:rFonts w:ascii="Times New Roman" w:hAnsi="Times New Roman" w:cs="Times New Roman"/>
          <w:color w:val="000000" w:themeColor="text1"/>
          <w:sz w:val="24"/>
          <w:szCs w:val="24"/>
        </w:rPr>
        <w:t>deploys</w:t>
      </w:r>
      <w:r w:rsidR="00FA4FA6" w:rsidRPr="00490DD1">
        <w:rPr>
          <w:rFonts w:ascii="Times New Roman" w:hAnsi="Times New Roman" w:cs="Times New Roman"/>
          <w:color w:val="000000" w:themeColor="text1"/>
          <w:sz w:val="24"/>
          <w:szCs w:val="24"/>
        </w:rPr>
        <w:t xml:space="preserve"> a sufficient number of military personnel</w:t>
      </w:r>
      <w:r w:rsidR="004D4EC8">
        <w:rPr>
          <w:rFonts w:ascii="Times New Roman" w:hAnsi="Times New Roman" w:cs="Times New Roman"/>
          <w:color w:val="000000" w:themeColor="text1"/>
          <w:sz w:val="24"/>
          <w:szCs w:val="24"/>
        </w:rPr>
        <w:t xml:space="preserve"> as it would otherwise not be </w:t>
      </w:r>
      <w:proofErr w:type="gramStart"/>
      <w:r w:rsidR="004D4EC8">
        <w:rPr>
          <w:rFonts w:ascii="Times New Roman" w:hAnsi="Times New Roman" w:cs="Times New Roman"/>
          <w:color w:val="000000" w:themeColor="text1"/>
          <w:sz w:val="24"/>
          <w:szCs w:val="24"/>
        </w:rPr>
        <w:t>in a position</w:t>
      </w:r>
      <w:proofErr w:type="gramEnd"/>
      <w:r w:rsidR="004D4EC8">
        <w:rPr>
          <w:rFonts w:ascii="Times New Roman" w:hAnsi="Times New Roman" w:cs="Times New Roman"/>
          <w:color w:val="000000" w:themeColor="text1"/>
          <w:sz w:val="24"/>
          <w:szCs w:val="24"/>
        </w:rPr>
        <w:t xml:space="preserve"> to continue military operations whilst its personnel is being interviewed</w:t>
      </w:r>
      <w:r w:rsidR="00FA4FA6" w:rsidRPr="00490DD1">
        <w:rPr>
          <w:rFonts w:ascii="Times New Roman" w:hAnsi="Times New Roman" w:cs="Times New Roman"/>
          <w:color w:val="000000" w:themeColor="text1"/>
          <w:sz w:val="24"/>
          <w:szCs w:val="24"/>
        </w:rPr>
        <w:t xml:space="preserve">. </w:t>
      </w:r>
      <w:r w:rsidR="003F66AE" w:rsidRPr="00490DD1">
        <w:rPr>
          <w:rFonts w:ascii="Times New Roman" w:hAnsi="Times New Roman" w:cs="Times New Roman"/>
          <w:color w:val="000000" w:themeColor="text1"/>
          <w:sz w:val="24"/>
          <w:szCs w:val="24"/>
        </w:rPr>
        <w:t xml:space="preserve">This is neither a practical nor a legal impediment but one related to </w:t>
      </w:r>
      <w:r w:rsidR="00BA60FC" w:rsidRPr="00490DD1">
        <w:rPr>
          <w:rFonts w:ascii="Times New Roman" w:hAnsi="Times New Roman" w:cs="Times New Roman"/>
          <w:color w:val="000000" w:themeColor="text1"/>
          <w:sz w:val="24"/>
          <w:szCs w:val="24"/>
        </w:rPr>
        <w:t xml:space="preserve">the </w:t>
      </w:r>
      <w:r w:rsidR="003F66AE" w:rsidRPr="00490DD1">
        <w:rPr>
          <w:rFonts w:ascii="Times New Roman" w:hAnsi="Times New Roman" w:cs="Times New Roman"/>
          <w:color w:val="000000" w:themeColor="text1"/>
          <w:sz w:val="24"/>
          <w:szCs w:val="24"/>
        </w:rPr>
        <w:t>allocation of resources by the government.</w:t>
      </w:r>
    </w:p>
    <w:p w14:paraId="60D6D45F" w14:textId="7A9D3401" w:rsidR="001221E1" w:rsidRDefault="00D17493" w:rsidP="00BD7FF0">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lastRenderedPageBreak/>
        <w:t>Third, the Court has stressed that there must be an attempt at promptly identifying or locating witnesses, even in the context of military operations,</w:t>
      </w:r>
      <w:r w:rsidRPr="00490DD1">
        <w:rPr>
          <w:rStyle w:val="FootnoteReference"/>
          <w:rFonts w:ascii="Times New Roman" w:hAnsi="Times New Roman" w:cs="Times New Roman"/>
          <w:color w:val="000000" w:themeColor="text1"/>
          <w:sz w:val="24"/>
          <w:szCs w:val="24"/>
        </w:rPr>
        <w:footnoteReference w:id="70"/>
      </w:r>
      <w:r w:rsidR="00A9673D" w:rsidRPr="00490DD1">
        <w:rPr>
          <w:rFonts w:ascii="Times New Roman" w:hAnsi="Times New Roman" w:cs="Times New Roman"/>
          <w:color w:val="000000" w:themeColor="text1"/>
          <w:sz w:val="24"/>
          <w:szCs w:val="24"/>
        </w:rPr>
        <w:t xml:space="preserve"> and to take their statements</w:t>
      </w:r>
      <w:r w:rsidR="00F9357A"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71"/>
      </w:r>
      <w:r w:rsidR="00A9673D" w:rsidRPr="00490DD1">
        <w:rPr>
          <w:rFonts w:ascii="Times New Roman" w:hAnsi="Times New Roman" w:cs="Times New Roman"/>
          <w:color w:val="000000" w:themeColor="text1"/>
          <w:sz w:val="24"/>
          <w:szCs w:val="24"/>
        </w:rPr>
        <w:t xml:space="preserve"> as this enables the investigators ‘to create a comprehensive picture of the circumstances of the killings’</w:t>
      </w:r>
      <w:r w:rsidR="00615026">
        <w:rPr>
          <w:rFonts w:ascii="Times New Roman" w:hAnsi="Times New Roman" w:cs="Times New Roman"/>
          <w:color w:val="000000" w:themeColor="text1"/>
          <w:sz w:val="24"/>
          <w:szCs w:val="24"/>
        </w:rPr>
        <w:t>.</w:t>
      </w:r>
      <w:r w:rsidR="00A9673D" w:rsidRPr="00490DD1">
        <w:rPr>
          <w:rStyle w:val="FootnoteReference"/>
          <w:rFonts w:ascii="Times New Roman" w:hAnsi="Times New Roman" w:cs="Times New Roman"/>
          <w:color w:val="000000" w:themeColor="text1"/>
          <w:sz w:val="24"/>
          <w:szCs w:val="24"/>
        </w:rPr>
        <w:footnoteReference w:id="72"/>
      </w:r>
      <w:r w:rsidRPr="00490DD1">
        <w:rPr>
          <w:rFonts w:ascii="Times New Roman" w:hAnsi="Times New Roman" w:cs="Times New Roman"/>
          <w:color w:val="000000" w:themeColor="text1"/>
          <w:sz w:val="24"/>
          <w:szCs w:val="24"/>
        </w:rPr>
        <w:t xml:space="preserve"> Civilian witnesses might not be available</w:t>
      </w:r>
      <w:r w:rsidR="00F9357A"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as they may have become refugees or internally displaced persons</w:t>
      </w:r>
      <w:r w:rsidR="00BA60FC"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73"/>
      </w:r>
      <w:r w:rsidRPr="00490DD1">
        <w:rPr>
          <w:rFonts w:ascii="Times New Roman" w:hAnsi="Times New Roman" w:cs="Times New Roman"/>
          <w:color w:val="000000" w:themeColor="text1"/>
          <w:sz w:val="24"/>
          <w:szCs w:val="24"/>
        </w:rPr>
        <w:t xml:space="preserve"> or they may be located in a place </w:t>
      </w:r>
      <w:r w:rsidR="00B96ACE">
        <w:rPr>
          <w:rFonts w:ascii="Times New Roman" w:hAnsi="Times New Roman" w:cs="Times New Roman"/>
          <w:color w:val="000000" w:themeColor="text1"/>
          <w:sz w:val="24"/>
          <w:szCs w:val="24"/>
        </w:rPr>
        <w:t>to which</w:t>
      </w:r>
      <w:r w:rsidRPr="00490DD1">
        <w:rPr>
          <w:rFonts w:ascii="Times New Roman" w:hAnsi="Times New Roman" w:cs="Times New Roman"/>
          <w:color w:val="000000" w:themeColor="text1"/>
          <w:sz w:val="24"/>
          <w:szCs w:val="24"/>
        </w:rPr>
        <w:t xml:space="preserve"> the armed forces do</w:t>
      </w:r>
      <w:r w:rsidR="007E0C7C" w:rsidRPr="00490DD1">
        <w:rPr>
          <w:rFonts w:ascii="Times New Roman" w:hAnsi="Times New Roman" w:cs="Times New Roman"/>
          <w:color w:val="000000" w:themeColor="text1"/>
          <w:sz w:val="24"/>
          <w:szCs w:val="24"/>
        </w:rPr>
        <w:t>es</w:t>
      </w:r>
      <w:r w:rsidRPr="00490DD1">
        <w:rPr>
          <w:rFonts w:ascii="Times New Roman" w:hAnsi="Times New Roman" w:cs="Times New Roman"/>
          <w:color w:val="000000" w:themeColor="text1"/>
          <w:sz w:val="24"/>
          <w:szCs w:val="24"/>
        </w:rPr>
        <w:t xml:space="preserve"> not have access.</w:t>
      </w:r>
      <w:r w:rsidRPr="00490DD1">
        <w:rPr>
          <w:rStyle w:val="FootnoteReference"/>
          <w:rFonts w:ascii="Times New Roman" w:hAnsi="Times New Roman" w:cs="Times New Roman"/>
          <w:color w:val="000000" w:themeColor="text1"/>
          <w:sz w:val="24"/>
          <w:szCs w:val="24"/>
        </w:rPr>
        <w:footnoteReference w:id="74"/>
      </w:r>
      <w:r w:rsidRPr="00490DD1">
        <w:rPr>
          <w:rFonts w:ascii="Times New Roman" w:hAnsi="Times New Roman" w:cs="Times New Roman"/>
          <w:color w:val="000000" w:themeColor="text1"/>
          <w:sz w:val="24"/>
          <w:szCs w:val="24"/>
        </w:rPr>
        <w:t xml:space="preserve"> </w:t>
      </w:r>
      <w:r w:rsidR="006D59C9" w:rsidRPr="00490DD1">
        <w:rPr>
          <w:rFonts w:ascii="Times New Roman" w:hAnsi="Times New Roman" w:cs="Times New Roman"/>
          <w:color w:val="000000" w:themeColor="text1"/>
          <w:sz w:val="24"/>
          <w:szCs w:val="24"/>
        </w:rPr>
        <w:t>Yet</w:t>
      </w:r>
      <w:r w:rsidR="00CB53E9" w:rsidRPr="00490DD1">
        <w:rPr>
          <w:rFonts w:ascii="Times New Roman" w:hAnsi="Times New Roman" w:cs="Times New Roman"/>
          <w:color w:val="000000" w:themeColor="text1"/>
          <w:sz w:val="24"/>
          <w:szCs w:val="24"/>
        </w:rPr>
        <w:t>,</w:t>
      </w:r>
      <w:r w:rsidR="00B377E4" w:rsidRPr="00490DD1">
        <w:rPr>
          <w:rFonts w:ascii="Times New Roman" w:hAnsi="Times New Roman" w:cs="Times New Roman"/>
          <w:color w:val="000000" w:themeColor="text1"/>
          <w:sz w:val="24"/>
          <w:szCs w:val="24"/>
        </w:rPr>
        <w:t xml:space="preserve"> </w:t>
      </w:r>
      <w:r w:rsidR="006D59C9" w:rsidRPr="00490DD1">
        <w:rPr>
          <w:rFonts w:ascii="Times New Roman" w:hAnsi="Times New Roman" w:cs="Times New Roman"/>
          <w:color w:val="000000" w:themeColor="text1"/>
          <w:sz w:val="24"/>
          <w:szCs w:val="24"/>
        </w:rPr>
        <w:t xml:space="preserve">the Court requires </w:t>
      </w:r>
      <w:r w:rsidR="005338C2" w:rsidRPr="00490DD1">
        <w:rPr>
          <w:rFonts w:ascii="Times New Roman" w:hAnsi="Times New Roman" w:cs="Times New Roman"/>
          <w:color w:val="000000" w:themeColor="text1"/>
          <w:sz w:val="24"/>
          <w:szCs w:val="24"/>
        </w:rPr>
        <w:t xml:space="preserve">the State </w:t>
      </w:r>
      <w:r w:rsidR="006D59C9" w:rsidRPr="00490DD1">
        <w:rPr>
          <w:rFonts w:ascii="Times New Roman" w:hAnsi="Times New Roman" w:cs="Times New Roman"/>
          <w:color w:val="000000" w:themeColor="text1"/>
          <w:sz w:val="24"/>
          <w:szCs w:val="24"/>
        </w:rPr>
        <w:t>to do</w:t>
      </w:r>
      <w:r w:rsidR="00A9673D" w:rsidRPr="00490DD1">
        <w:rPr>
          <w:rFonts w:ascii="Times New Roman" w:hAnsi="Times New Roman" w:cs="Times New Roman"/>
          <w:color w:val="000000" w:themeColor="text1"/>
          <w:sz w:val="24"/>
          <w:szCs w:val="24"/>
        </w:rPr>
        <w:t xml:space="preserve"> its outmost to locate them.</w:t>
      </w:r>
      <w:r w:rsidR="005338C2" w:rsidRPr="00490DD1">
        <w:rPr>
          <w:rStyle w:val="FootnoteReference"/>
          <w:rFonts w:ascii="Times New Roman" w:hAnsi="Times New Roman" w:cs="Times New Roman"/>
          <w:color w:val="000000" w:themeColor="text1"/>
          <w:sz w:val="24"/>
          <w:szCs w:val="24"/>
        </w:rPr>
        <w:footnoteReference w:id="75"/>
      </w:r>
      <w:r w:rsidR="005338C2" w:rsidRPr="00490DD1">
        <w:rPr>
          <w:rFonts w:ascii="Times New Roman" w:hAnsi="Times New Roman" w:cs="Times New Roman"/>
          <w:color w:val="000000" w:themeColor="text1"/>
          <w:sz w:val="24"/>
          <w:szCs w:val="24"/>
        </w:rPr>
        <w:t xml:space="preserve"> </w:t>
      </w:r>
      <w:r w:rsidR="007E0C7C" w:rsidRPr="00490DD1">
        <w:rPr>
          <w:rFonts w:ascii="Times New Roman" w:hAnsi="Times New Roman" w:cs="Times New Roman"/>
          <w:color w:val="000000" w:themeColor="text1"/>
          <w:sz w:val="24"/>
          <w:szCs w:val="24"/>
        </w:rPr>
        <w:t>In an extra-territorial context</w:t>
      </w:r>
      <w:r w:rsidR="00BA60FC" w:rsidRPr="00490DD1">
        <w:rPr>
          <w:rFonts w:ascii="Times New Roman" w:hAnsi="Times New Roman" w:cs="Times New Roman"/>
          <w:color w:val="000000" w:themeColor="text1"/>
          <w:sz w:val="24"/>
          <w:szCs w:val="24"/>
        </w:rPr>
        <w:t>,</w:t>
      </w:r>
      <w:r w:rsidR="007E0C7C" w:rsidRPr="00490DD1">
        <w:rPr>
          <w:rFonts w:ascii="Times New Roman" w:hAnsi="Times New Roman" w:cs="Times New Roman"/>
          <w:color w:val="000000" w:themeColor="text1"/>
          <w:sz w:val="24"/>
          <w:szCs w:val="24"/>
        </w:rPr>
        <w:t xml:space="preserve"> this seems rather difficult</w:t>
      </w:r>
      <w:r w:rsidR="00A9673D"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Even, when available</w:t>
      </w:r>
      <w:r w:rsidR="006D59C9"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questioning them entails some degree of risk for investigators working in a ‘dangerous operational environment’</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76"/>
      </w:r>
      <w:r w:rsidRPr="00490DD1">
        <w:rPr>
          <w:rFonts w:ascii="Times New Roman" w:hAnsi="Times New Roman" w:cs="Times New Roman"/>
          <w:color w:val="000000" w:themeColor="text1"/>
          <w:sz w:val="24"/>
          <w:szCs w:val="24"/>
        </w:rPr>
        <w:t xml:space="preserve"> </w:t>
      </w:r>
      <w:r w:rsidR="001F4824" w:rsidRPr="00490DD1">
        <w:rPr>
          <w:rFonts w:ascii="Times New Roman" w:hAnsi="Times New Roman" w:cs="Times New Roman"/>
          <w:color w:val="000000" w:themeColor="text1"/>
          <w:sz w:val="24"/>
          <w:szCs w:val="24"/>
        </w:rPr>
        <w:t>Technically, a protection force could be deployed to ensure the safety of the investigators.</w:t>
      </w:r>
      <w:r w:rsidR="001F4824" w:rsidRPr="00490DD1">
        <w:rPr>
          <w:rStyle w:val="FootnoteReference"/>
          <w:rFonts w:ascii="Times New Roman" w:hAnsi="Times New Roman" w:cs="Times New Roman"/>
          <w:color w:val="000000" w:themeColor="text1"/>
          <w:sz w:val="24"/>
          <w:szCs w:val="24"/>
        </w:rPr>
        <w:footnoteReference w:id="77"/>
      </w:r>
      <w:r w:rsidR="001F4824" w:rsidRPr="00490DD1">
        <w:rPr>
          <w:rFonts w:ascii="Times New Roman" w:hAnsi="Times New Roman" w:cs="Times New Roman"/>
          <w:color w:val="000000" w:themeColor="text1"/>
          <w:sz w:val="24"/>
          <w:szCs w:val="24"/>
        </w:rPr>
        <w:t xml:space="preserve"> </w:t>
      </w:r>
      <w:r w:rsidR="004D4EC8">
        <w:rPr>
          <w:rFonts w:ascii="Times New Roman" w:hAnsi="Times New Roman" w:cs="Times New Roman"/>
          <w:color w:val="000000" w:themeColor="text1"/>
          <w:sz w:val="24"/>
          <w:szCs w:val="24"/>
        </w:rPr>
        <w:t>An additional problem is that</w:t>
      </w:r>
      <w:r w:rsidRPr="00490DD1">
        <w:rPr>
          <w:rFonts w:ascii="Times New Roman" w:hAnsi="Times New Roman" w:cs="Times New Roman"/>
          <w:color w:val="000000" w:themeColor="text1"/>
          <w:sz w:val="24"/>
          <w:szCs w:val="24"/>
        </w:rPr>
        <w:t xml:space="preserve"> witnesses might not be willing to cooperate with the Service Police</w:t>
      </w:r>
      <w:r w:rsidRPr="00490DD1">
        <w:rPr>
          <w:rStyle w:val="FootnoteReference"/>
          <w:rFonts w:ascii="Times New Roman" w:hAnsi="Times New Roman" w:cs="Times New Roman"/>
          <w:color w:val="000000" w:themeColor="text1"/>
          <w:sz w:val="24"/>
          <w:szCs w:val="24"/>
        </w:rPr>
        <w:footnoteReference w:id="78"/>
      </w:r>
      <w:r w:rsidRPr="00490DD1">
        <w:rPr>
          <w:rFonts w:ascii="Times New Roman" w:hAnsi="Times New Roman" w:cs="Times New Roman"/>
          <w:color w:val="000000" w:themeColor="text1"/>
          <w:sz w:val="24"/>
          <w:szCs w:val="24"/>
        </w:rPr>
        <w:t xml:space="preserve"> and/or not truthfully report the facts</w:t>
      </w:r>
      <w:r w:rsidR="00CB53E9"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as they might be biased against the military forces. The problem </w:t>
      </w:r>
      <w:r w:rsidR="007271E7">
        <w:rPr>
          <w:rFonts w:ascii="Times New Roman" w:hAnsi="Times New Roman" w:cs="Times New Roman"/>
          <w:color w:val="000000" w:themeColor="text1"/>
          <w:sz w:val="24"/>
          <w:szCs w:val="24"/>
        </w:rPr>
        <w:t>might be</w:t>
      </w:r>
      <w:r w:rsidR="007271E7"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compounded by the local population’s suspicious attitude towards law and law enforcement.</w:t>
      </w:r>
      <w:r w:rsidRPr="00490DD1">
        <w:rPr>
          <w:rStyle w:val="FootnoteReference"/>
          <w:rFonts w:ascii="Times New Roman" w:hAnsi="Times New Roman" w:cs="Times New Roman"/>
          <w:color w:val="000000" w:themeColor="text1"/>
          <w:sz w:val="24"/>
          <w:szCs w:val="24"/>
        </w:rPr>
        <w:footnoteReference w:id="79"/>
      </w:r>
      <w:r w:rsidRPr="00490DD1">
        <w:rPr>
          <w:rFonts w:ascii="Times New Roman" w:hAnsi="Times New Roman" w:cs="Times New Roman"/>
          <w:color w:val="000000" w:themeColor="text1"/>
          <w:sz w:val="24"/>
          <w:szCs w:val="24"/>
        </w:rPr>
        <w:t xml:space="preserve"> </w:t>
      </w:r>
      <w:r w:rsidR="003F66AE" w:rsidRPr="00490DD1">
        <w:rPr>
          <w:rFonts w:ascii="Times New Roman" w:hAnsi="Times New Roman" w:cs="Times New Roman"/>
          <w:color w:val="000000" w:themeColor="text1"/>
          <w:sz w:val="24"/>
          <w:szCs w:val="24"/>
        </w:rPr>
        <w:t xml:space="preserve">Clearly, this is a practical difficulty that cannot be dismissed. </w:t>
      </w:r>
      <w:r w:rsidR="0036723F" w:rsidRPr="00490DD1">
        <w:rPr>
          <w:rFonts w:ascii="Times New Roman" w:hAnsi="Times New Roman" w:cs="Times New Roman"/>
          <w:color w:val="000000" w:themeColor="text1"/>
          <w:sz w:val="24"/>
          <w:szCs w:val="24"/>
        </w:rPr>
        <w:t>Whilst</w:t>
      </w:r>
      <w:r w:rsidR="000B4C69" w:rsidRPr="00490DD1">
        <w:rPr>
          <w:rFonts w:ascii="Times New Roman" w:hAnsi="Times New Roman" w:cs="Times New Roman"/>
          <w:color w:val="000000" w:themeColor="text1"/>
          <w:sz w:val="24"/>
          <w:szCs w:val="24"/>
        </w:rPr>
        <w:t xml:space="preserve">, in </w:t>
      </w:r>
      <w:r w:rsidR="000E42A7" w:rsidRPr="00490DD1">
        <w:rPr>
          <w:rFonts w:ascii="Times New Roman" w:hAnsi="Times New Roman" w:cs="Times New Roman"/>
          <w:i/>
          <w:color w:val="000000" w:themeColor="text1"/>
          <w:sz w:val="24"/>
          <w:szCs w:val="24"/>
        </w:rPr>
        <w:t>J</w:t>
      </w:r>
      <w:r w:rsidR="000B4C69" w:rsidRPr="00490DD1">
        <w:rPr>
          <w:rFonts w:ascii="Times New Roman" w:hAnsi="Times New Roman" w:cs="Times New Roman"/>
          <w:i/>
          <w:color w:val="000000" w:themeColor="text1"/>
          <w:sz w:val="24"/>
          <w:szCs w:val="24"/>
        </w:rPr>
        <w:t>ordan</w:t>
      </w:r>
      <w:r w:rsidR="00BA60FC" w:rsidRPr="00490DD1">
        <w:rPr>
          <w:rFonts w:ascii="Times New Roman" w:hAnsi="Times New Roman" w:cs="Times New Roman"/>
          <w:color w:val="000000" w:themeColor="text1"/>
          <w:sz w:val="24"/>
          <w:szCs w:val="24"/>
        </w:rPr>
        <w:t>,</w:t>
      </w:r>
      <w:r w:rsidR="000B4C69" w:rsidRPr="00490DD1">
        <w:rPr>
          <w:rFonts w:ascii="Times New Roman" w:hAnsi="Times New Roman" w:cs="Times New Roman"/>
          <w:color w:val="000000" w:themeColor="text1"/>
          <w:sz w:val="24"/>
          <w:szCs w:val="24"/>
        </w:rPr>
        <w:t xml:space="preserve"> the Court acknowledged that the State could not be held responsible for a witness’ </w:t>
      </w:r>
      <w:r w:rsidR="000E42A7" w:rsidRPr="00490DD1">
        <w:rPr>
          <w:rFonts w:ascii="Times New Roman" w:hAnsi="Times New Roman" w:cs="Times New Roman"/>
          <w:color w:val="000000" w:themeColor="text1"/>
          <w:sz w:val="24"/>
          <w:szCs w:val="24"/>
        </w:rPr>
        <w:t>unwillingness</w:t>
      </w:r>
      <w:r w:rsidR="0036723F" w:rsidRPr="00490DD1">
        <w:rPr>
          <w:rFonts w:ascii="Times New Roman" w:hAnsi="Times New Roman" w:cs="Times New Roman"/>
          <w:color w:val="000000" w:themeColor="text1"/>
          <w:sz w:val="24"/>
          <w:szCs w:val="24"/>
        </w:rPr>
        <w:t xml:space="preserve"> to come forward</w:t>
      </w:r>
      <w:r w:rsidR="00BA60FC" w:rsidRPr="00490DD1">
        <w:rPr>
          <w:rFonts w:ascii="Times New Roman" w:hAnsi="Times New Roman" w:cs="Times New Roman"/>
          <w:color w:val="000000" w:themeColor="text1"/>
          <w:sz w:val="24"/>
          <w:szCs w:val="24"/>
        </w:rPr>
        <w:t>,</w:t>
      </w:r>
      <w:r w:rsidR="000E42A7" w:rsidRPr="00490DD1">
        <w:rPr>
          <w:rStyle w:val="FootnoteReference"/>
          <w:rFonts w:ascii="Times New Roman" w:hAnsi="Times New Roman" w:cs="Times New Roman"/>
          <w:color w:val="000000" w:themeColor="text1"/>
          <w:sz w:val="24"/>
          <w:szCs w:val="24"/>
        </w:rPr>
        <w:footnoteReference w:id="80"/>
      </w:r>
      <w:r w:rsidR="000E42A7" w:rsidRPr="00490DD1">
        <w:rPr>
          <w:rFonts w:ascii="Times New Roman" w:hAnsi="Times New Roman" w:cs="Times New Roman"/>
          <w:color w:val="000000" w:themeColor="text1"/>
          <w:sz w:val="24"/>
          <w:szCs w:val="24"/>
        </w:rPr>
        <w:t xml:space="preserve"> </w:t>
      </w:r>
      <w:r w:rsidR="0036723F" w:rsidRPr="00490DD1">
        <w:rPr>
          <w:rFonts w:ascii="Times New Roman" w:hAnsi="Times New Roman" w:cs="Times New Roman"/>
          <w:color w:val="000000" w:themeColor="text1"/>
          <w:sz w:val="24"/>
          <w:szCs w:val="24"/>
        </w:rPr>
        <w:t xml:space="preserve">in </w:t>
      </w:r>
      <w:r w:rsidR="0036723F" w:rsidRPr="00490DD1">
        <w:rPr>
          <w:rFonts w:ascii="Times New Roman" w:hAnsi="Times New Roman" w:cs="Times New Roman"/>
          <w:i/>
          <w:color w:val="000000" w:themeColor="text1"/>
          <w:sz w:val="24"/>
          <w:szCs w:val="24"/>
        </w:rPr>
        <w:t>Al-</w:t>
      </w:r>
      <w:proofErr w:type="spellStart"/>
      <w:r w:rsidR="0036723F" w:rsidRPr="00490DD1">
        <w:rPr>
          <w:rFonts w:ascii="Times New Roman" w:hAnsi="Times New Roman" w:cs="Times New Roman"/>
          <w:i/>
          <w:color w:val="000000" w:themeColor="text1"/>
          <w:sz w:val="24"/>
          <w:szCs w:val="24"/>
        </w:rPr>
        <w:t>Skeini</w:t>
      </w:r>
      <w:proofErr w:type="spellEnd"/>
      <w:r w:rsidR="00BA60FC" w:rsidRPr="00490DD1">
        <w:rPr>
          <w:rFonts w:ascii="Times New Roman" w:hAnsi="Times New Roman" w:cs="Times New Roman"/>
          <w:color w:val="000000" w:themeColor="text1"/>
          <w:sz w:val="24"/>
          <w:szCs w:val="24"/>
        </w:rPr>
        <w:t>,</w:t>
      </w:r>
      <w:r w:rsidR="0036723F" w:rsidRPr="00490DD1">
        <w:rPr>
          <w:rFonts w:ascii="Times New Roman" w:hAnsi="Times New Roman" w:cs="Times New Roman"/>
          <w:color w:val="000000" w:themeColor="text1"/>
          <w:sz w:val="24"/>
          <w:szCs w:val="24"/>
        </w:rPr>
        <w:t xml:space="preserve"> it explained that ‘</w:t>
      </w:r>
      <w:r w:rsidR="0036723F" w:rsidRPr="00490DD1">
        <w:rPr>
          <w:rFonts w:ascii="Times New Roman" w:hAnsi="Times New Roman" w:cs="Times New Roman"/>
          <w:color w:val="000000" w:themeColor="text1"/>
          <w:sz w:val="24"/>
          <w:szCs w:val="24"/>
          <w:shd w:val="clear" w:color="auto" w:fill="FFFFFF"/>
        </w:rPr>
        <w:t xml:space="preserve">every effort should have been taken to identify Iraqi eyewitnesses and to persuade them that they would not place themselves at risk by coming forward and giving information and that their evidence </w:t>
      </w:r>
      <w:r w:rsidR="0036723F" w:rsidRPr="00490DD1">
        <w:rPr>
          <w:rFonts w:ascii="Times New Roman" w:hAnsi="Times New Roman" w:cs="Times New Roman"/>
          <w:color w:val="000000" w:themeColor="text1"/>
          <w:sz w:val="24"/>
          <w:szCs w:val="24"/>
          <w:shd w:val="clear" w:color="auto" w:fill="FFFFFF"/>
        </w:rPr>
        <w:lastRenderedPageBreak/>
        <w:t>would be treated seriously and acted upon without delay’</w:t>
      </w:r>
      <w:r w:rsidR="00615026">
        <w:rPr>
          <w:rFonts w:ascii="Times New Roman" w:hAnsi="Times New Roman" w:cs="Times New Roman"/>
          <w:color w:val="000000" w:themeColor="text1"/>
          <w:sz w:val="24"/>
          <w:szCs w:val="24"/>
          <w:shd w:val="clear" w:color="auto" w:fill="FFFFFF"/>
        </w:rPr>
        <w:t>.</w:t>
      </w:r>
      <w:r w:rsidR="0036723F" w:rsidRPr="00490DD1">
        <w:rPr>
          <w:rStyle w:val="FootnoteReference"/>
          <w:rFonts w:ascii="Times New Roman" w:hAnsi="Times New Roman" w:cs="Times New Roman"/>
          <w:color w:val="000000" w:themeColor="text1"/>
          <w:sz w:val="24"/>
          <w:szCs w:val="24"/>
          <w:shd w:val="clear" w:color="auto" w:fill="FFFFFF"/>
        </w:rPr>
        <w:footnoteReference w:id="81"/>
      </w:r>
      <w:r w:rsidR="0036723F" w:rsidRPr="00490DD1">
        <w:rPr>
          <w:rFonts w:ascii="Times New Roman" w:hAnsi="Times New Roman" w:cs="Times New Roman"/>
          <w:color w:val="000000" w:themeColor="text1"/>
          <w:sz w:val="24"/>
          <w:szCs w:val="24"/>
        </w:rPr>
        <w:t xml:space="preserve"> </w:t>
      </w:r>
      <w:r w:rsidR="004D4EC8">
        <w:rPr>
          <w:rFonts w:ascii="Times New Roman" w:hAnsi="Times New Roman" w:cs="Times New Roman"/>
          <w:color w:val="000000" w:themeColor="text1"/>
          <w:sz w:val="24"/>
          <w:szCs w:val="24"/>
        </w:rPr>
        <w:t xml:space="preserve">This obligation of means rather than result is welcome though it remains to be seen how the Court </w:t>
      </w:r>
      <w:r w:rsidR="008F7A4E">
        <w:rPr>
          <w:rFonts w:ascii="Times New Roman" w:hAnsi="Times New Roman" w:cs="Times New Roman"/>
          <w:color w:val="000000" w:themeColor="text1"/>
          <w:sz w:val="24"/>
          <w:szCs w:val="24"/>
        </w:rPr>
        <w:t>will interpret</w:t>
      </w:r>
      <w:r w:rsidR="004D4EC8">
        <w:rPr>
          <w:rFonts w:ascii="Times New Roman" w:hAnsi="Times New Roman" w:cs="Times New Roman"/>
          <w:color w:val="000000" w:themeColor="text1"/>
          <w:sz w:val="24"/>
          <w:szCs w:val="24"/>
        </w:rPr>
        <w:t xml:space="preserve"> ‘every effort’</w:t>
      </w:r>
      <w:r w:rsidR="008F7A4E">
        <w:rPr>
          <w:rFonts w:ascii="Times New Roman" w:hAnsi="Times New Roman" w:cs="Times New Roman"/>
          <w:color w:val="000000" w:themeColor="text1"/>
          <w:sz w:val="24"/>
          <w:szCs w:val="24"/>
        </w:rPr>
        <w:t xml:space="preserve"> in future cases</w:t>
      </w:r>
      <w:r w:rsidR="0036723F"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 xml:space="preserve">The </w:t>
      </w:r>
      <w:r w:rsidR="006D59C9" w:rsidRPr="00490DD1">
        <w:rPr>
          <w:rFonts w:ascii="Times New Roman" w:hAnsi="Times New Roman" w:cs="Times New Roman"/>
          <w:color w:val="000000" w:themeColor="text1"/>
          <w:sz w:val="24"/>
          <w:szCs w:val="24"/>
        </w:rPr>
        <w:t>dearth</w:t>
      </w:r>
      <w:r w:rsidRPr="00490DD1">
        <w:rPr>
          <w:rFonts w:ascii="Times New Roman" w:hAnsi="Times New Roman" w:cs="Times New Roman"/>
          <w:color w:val="000000" w:themeColor="text1"/>
          <w:sz w:val="24"/>
          <w:szCs w:val="24"/>
        </w:rPr>
        <w:t xml:space="preserve"> of (competent) interpreters to carry out such interviews is another impediment faced by the investigators when talking to potential witnesses.</w:t>
      </w:r>
      <w:r w:rsidRPr="00490DD1">
        <w:rPr>
          <w:rStyle w:val="FootnoteReference"/>
          <w:rFonts w:ascii="Times New Roman" w:hAnsi="Times New Roman" w:cs="Times New Roman"/>
          <w:color w:val="000000" w:themeColor="text1"/>
          <w:sz w:val="24"/>
          <w:szCs w:val="24"/>
        </w:rPr>
        <w:footnoteReference w:id="82"/>
      </w:r>
      <w:r w:rsidRPr="00490DD1">
        <w:rPr>
          <w:rFonts w:ascii="Times New Roman" w:hAnsi="Times New Roman" w:cs="Times New Roman"/>
          <w:color w:val="000000" w:themeColor="text1"/>
          <w:sz w:val="24"/>
          <w:szCs w:val="24"/>
        </w:rPr>
        <w:t xml:space="preserve"> </w:t>
      </w:r>
      <w:r w:rsidR="00FA4FA6" w:rsidRPr="00490DD1">
        <w:rPr>
          <w:rFonts w:ascii="Times New Roman" w:hAnsi="Times New Roman" w:cs="Times New Roman"/>
          <w:color w:val="000000" w:themeColor="text1"/>
          <w:sz w:val="24"/>
          <w:szCs w:val="24"/>
        </w:rPr>
        <w:t>This, in con</w:t>
      </w:r>
      <w:r w:rsidR="00BD7FF0" w:rsidRPr="00490DD1">
        <w:rPr>
          <w:rFonts w:ascii="Times New Roman" w:hAnsi="Times New Roman" w:cs="Times New Roman"/>
          <w:color w:val="000000" w:themeColor="text1"/>
          <w:sz w:val="24"/>
          <w:szCs w:val="24"/>
        </w:rPr>
        <w:t>trast,</w:t>
      </w:r>
      <w:r w:rsidR="00DC388A" w:rsidRPr="00490DD1">
        <w:rPr>
          <w:rFonts w:ascii="Times New Roman" w:hAnsi="Times New Roman" w:cs="Times New Roman"/>
          <w:color w:val="000000" w:themeColor="text1"/>
          <w:sz w:val="24"/>
          <w:szCs w:val="24"/>
        </w:rPr>
        <w:t xml:space="preserve"> is not</w:t>
      </w:r>
      <w:r w:rsidR="00FA4FA6" w:rsidRPr="00490DD1">
        <w:rPr>
          <w:rFonts w:ascii="Times New Roman" w:hAnsi="Times New Roman" w:cs="Times New Roman"/>
          <w:color w:val="000000" w:themeColor="text1"/>
          <w:sz w:val="24"/>
          <w:szCs w:val="24"/>
        </w:rPr>
        <w:t xml:space="preserve"> an element </w:t>
      </w:r>
      <w:r w:rsidR="00DC388A" w:rsidRPr="00490DD1">
        <w:rPr>
          <w:rFonts w:ascii="Times New Roman" w:hAnsi="Times New Roman" w:cs="Times New Roman"/>
          <w:color w:val="000000" w:themeColor="text1"/>
          <w:sz w:val="24"/>
          <w:szCs w:val="24"/>
        </w:rPr>
        <w:t>impossible</w:t>
      </w:r>
      <w:r w:rsidR="00FA4FA6" w:rsidRPr="00490DD1">
        <w:rPr>
          <w:rFonts w:ascii="Times New Roman" w:hAnsi="Times New Roman" w:cs="Times New Roman"/>
          <w:color w:val="000000" w:themeColor="text1"/>
          <w:sz w:val="24"/>
          <w:szCs w:val="24"/>
        </w:rPr>
        <w:t xml:space="preserve"> to fulfil</w:t>
      </w:r>
      <w:r w:rsidR="00DC388A" w:rsidRPr="00490DD1">
        <w:rPr>
          <w:rFonts w:ascii="Times New Roman" w:hAnsi="Times New Roman" w:cs="Times New Roman"/>
          <w:color w:val="000000" w:themeColor="text1"/>
          <w:sz w:val="24"/>
          <w:szCs w:val="24"/>
        </w:rPr>
        <w:t xml:space="preserve">: </w:t>
      </w:r>
      <w:proofErr w:type="gramStart"/>
      <w:r w:rsidR="00DC388A" w:rsidRPr="00490DD1">
        <w:rPr>
          <w:rFonts w:ascii="Times New Roman" w:hAnsi="Times New Roman" w:cs="Times New Roman"/>
          <w:color w:val="000000" w:themeColor="text1"/>
          <w:sz w:val="24"/>
          <w:szCs w:val="24"/>
        </w:rPr>
        <w:t>the</w:t>
      </w:r>
      <w:proofErr w:type="gramEnd"/>
      <w:r w:rsidR="00DC388A" w:rsidRPr="00490DD1">
        <w:rPr>
          <w:rFonts w:ascii="Times New Roman" w:hAnsi="Times New Roman" w:cs="Times New Roman"/>
          <w:color w:val="000000" w:themeColor="text1"/>
          <w:sz w:val="24"/>
          <w:szCs w:val="24"/>
        </w:rPr>
        <w:t xml:space="preserve"> </w:t>
      </w:r>
      <w:r w:rsidR="00A272C0">
        <w:rPr>
          <w:rFonts w:ascii="Times New Roman" w:hAnsi="Times New Roman" w:cs="Times New Roman"/>
          <w:color w:val="000000" w:themeColor="text1"/>
          <w:sz w:val="24"/>
          <w:szCs w:val="24"/>
        </w:rPr>
        <w:t>State</w:t>
      </w:r>
      <w:r w:rsidR="00A272C0" w:rsidRPr="00490DD1">
        <w:rPr>
          <w:rFonts w:ascii="Times New Roman" w:hAnsi="Times New Roman" w:cs="Times New Roman"/>
          <w:color w:val="000000" w:themeColor="text1"/>
          <w:sz w:val="24"/>
          <w:szCs w:val="24"/>
        </w:rPr>
        <w:t xml:space="preserve"> </w:t>
      </w:r>
      <w:r w:rsidR="00DC388A" w:rsidRPr="00490DD1">
        <w:rPr>
          <w:rFonts w:ascii="Times New Roman" w:hAnsi="Times New Roman" w:cs="Times New Roman"/>
          <w:color w:val="000000" w:themeColor="text1"/>
          <w:sz w:val="24"/>
          <w:szCs w:val="24"/>
        </w:rPr>
        <w:t>must ensure tha</w:t>
      </w:r>
      <w:r w:rsidR="00BD7FF0" w:rsidRPr="00490DD1">
        <w:rPr>
          <w:rFonts w:ascii="Times New Roman" w:hAnsi="Times New Roman" w:cs="Times New Roman"/>
          <w:color w:val="000000" w:themeColor="text1"/>
          <w:sz w:val="24"/>
          <w:szCs w:val="24"/>
        </w:rPr>
        <w:t>t interpreters are available.</w:t>
      </w:r>
    </w:p>
    <w:p w14:paraId="52756EC9" w14:textId="460C9C4A" w:rsidR="00BD7FF0" w:rsidRDefault="00D17493" w:rsidP="00CB53E9">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Fourth, the ‘crime’ scene must be adequately</w:t>
      </w:r>
      <w:r w:rsidR="005A3C02" w:rsidRPr="00490DD1">
        <w:rPr>
          <w:rFonts w:ascii="Times New Roman" w:hAnsi="Times New Roman" w:cs="Times New Roman"/>
          <w:color w:val="000000" w:themeColor="text1"/>
          <w:sz w:val="24"/>
          <w:szCs w:val="24"/>
        </w:rPr>
        <w:t xml:space="preserve"> and independently</w:t>
      </w:r>
      <w:r w:rsidRPr="00490DD1">
        <w:rPr>
          <w:rFonts w:ascii="Times New Roman" w:hAnsi="Times New Roman" w:cs="Times New Roman"/>
          <w:color w:val="000000" w:themeColor="text1"/>
          <w:sz w:val="24"/>
          <w:szCs w:val="24"/>
        </w:rPr>
        <w:t xml:space="preserve"> inspected so that all the evidence can be collected and preserved.</w:t>
      </w:r>
      <w:r w:rsidRPr="00490DD1">
        <w:rPr>
          <w:rStyle w:val="FootnoteReference"/>
          <w:rFonts w:ascii="Times New Roman" w:hAnsi="Times New Roman" w:cs="Times New Roman"/>
          <w:color w:val="000000" w:themeColor="text1"/>
          <w:sz w:val="24"/>
          <w:szCs w:val="24"/>
        </w:rPr>
        <w:footnoteReference w:id="83"/>
      </w:r>
      <w:r w:rsidRPr="00490DD1">
        <w:rPr>
          <w:rFonts w:ascii="Times New Roman" w:hAnsi="Times New Roman" w:cs="Times New Roman"/>
          <w:color w:val="000000" w:themeColor="text1"/>
          <w:sz w:val="24"/>
          <w:szCs w:val="24"/>
        </w:rPr>
        <w:t xml:space="preserve"> This requires taking photographs of the crime scene and collecting empty cartridges and bullet fragments</w:t>
      </w:r>
      <w:r w:rsidR="00FA4FA6"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recording their exact number and location</w:t>
      </w:r>
      <w:r w:rsidR="00BD7FF0"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w:t>
      </w:r>
      <w:r w:rsidR="00FA4FA6" w:rsidRPr="00490DD1">
        <w:rPr>
          <w:rFonts w:ascii="Times New Roman" w:hAnsi="Times New Roman" w:cs="Times New Roman"/>
          <w:color w:val="000000" w:themeColor="text1"/>
          <w:sz w:val="24"/>
          <w:szCs w:val="24"/>
        </w:rPr>
        <w:t>and</w:t>
      </w:r>
      <w:r w:rsidRPr="00490DD1">
        <w:rPr>
          <w:rFonts w:ascii="Times New Roman" w:hAnsi="Times New Roman" w:cs="Times New Roman"/>
          <w:color w:val="000000" w:themeColor="text1"/>
          <w:sz w:val="24"/>
          <w:szCs w:val="24"/>
        </w:rPr>
        <w:t xml:space="preserve"> numbering them individually.</w:t>
      </w:r>
      <w:r w:rsidRPr="00490DD1">
        <w:rPr>
          <w:rStyle w:val="FootnoteReference"/>
          <w:rFonts w:ascii="Times New Roman" w:hAnsi="Times New Roman" w:cs="Times New Roman"/>
          <w:color w:val="000000" w:themeColor="text1"/>
          <w:sz w:val="24"/>
          <w:szCs w:val="24"/>
          <w:shd w:val="clear" w:color="auto" w:fill="FFFFFF"/>
        </w:rPr>
        <w:footnoteReference w:id="84"/>
      </w:r>
      <w:r w:rsidRPr="00490DD1">
        <w:rPr>
          <w:rFonts w:ascii="Times New Roman" w:hAnsi="Times New Roman" w:cs="Times New Roman"/>
          <w:color w:val="000000" w:themeColor="text1"/>
          <w:sz w:val="24"/>
          <w:szCs w:val="24"/>
        </w:rPr>
        <w:t xml:space="preserve"> Such </w:t>
      </w:r>
      <w:r w:rsidR="00BA60FC" w:rsidRPr="00490DD1">
        <w:rPr>
          <w:rFonts w:ascii="Times New Roman" w:hAnsi="Times New Roman" w:cs="Times New Roman"/>
          <w:color w:val="000000" w:themeColor="text1"/>
          <w:sz w:val="24"/>
          <w:szCs w:val="24"/>
        </w:rPr>
        <w:t xml:space="preserve">a </w:t>
      </w:r>
      <w:r w:rsidRPr="00490DD1">
        <w:rPr>
          <w:rFonts w:ascii="Times New Roman" w:hAnsi="Times New Roman" w:cs="Times New Roman"/>
          <w:color w:val="000000" w:themeColor="text1"/>
          <w:sz w:val="24"/>
          <w:szCs w:val="24"/>
        </w:rPr>
        <w:t>task is all the more important</w:t>
      </w:r>
      <w:r w:rsidR="00F9357A"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as it enables the State to determine which/whose weapon fired the rounds and thus attribute individual responsibility. Given the tense security situation on the ground and the hostile environment in which investigators are working, it </w:t>
      </w:r>
      <w:r w:rsidR="005A3C02" w:rsidRPr="00490DD1">
        <w:rPr>
          <w:rFonts w:ascii="Times New Roman" w:hAnsi="Times New Roman" w:cs="Times New Roman"/>
          <w:color w:val="000000" w:themeColor="text1"/>
          <w:sz w:val="24"/>
          <w:szCs w:val="24"/>
        </w:rPr>
        <w:t>might be</w:t>
      </w:r>
      <w:r w:rsidRPr="00490DD1">
        <w:rPr>
          <w:rFonts w:ascii="Times New Roman" w:hAnsi="Times New Roman" w:cs="Times New Roman"/>
          <w:color w:val="000000" w:themeColor="text1"/>
          <w:sz w:val="24"/>
          <w:szCs w:val="24"/>
        </w:rPr>
        <w:t xml:space="preserve"> difficult to collect all cartridges and bullet fragments.</w:t>
      </w:r>
      <w:r w:rsidR="007F64B7" w:rsidRPr="00490DD1">
        <w:rPr>
          <w:rFonts w:ascii="Times New Roman" w:hAnsi="Times New Roman" w:cs="Times New Roman"/>
          <w:color w:val="000000" w:themeColor="text1"/>
          <w:sz w:val="24"/>
          <w:szCs w:val="24"/>
        </w:rPr>
        <w:t xml:space="preserve"> Yet</w:t>
      </w:r>
      <w:r w:rsidR="00B377E4" w:rsidRPr="00490DD1">
        <w:rPr>
          <w:rFonts w:ascii="Times New Roman" w:hAnsi="Times New Roman" w:cs="Times New Roman"/>
          <w:color w:val="000000" w:themeColor="text1"/>
          <w:sz w:val="24"/>
          <w:szCs w:val="24"/>
        </w:rPr>
        <w:t>,</w:t>
      </w:r>
      <w:r w:rsidR="007F64B7" w:rsidRPr="00490DD1">
        <w:rPr>
          <w:rFonts w:ascii="Times New Roman" w:hAnsi="Times New Roman" w:cs="Times New Roman"/>
          <w:color w:val="000000" w:themeColor="text1"/>
          <w:sz w:val="24"/>
          <w:szCs w:val="24"/>
        </w:rPr>
        <w:t xml:space="preserve"> again it is not impossible</w:t>
      </w:r>
      <w:r w:rsidR="006D59C9" w:rsidRPr="00490DD1">
        <w:rPr>
          <w:rFonts w:ascii="Times New Roman" w:hAnsi="Times New Roman" w:cs="Times New Roman"/>
          <w:color w:val="000000" w:themeColor="text1"/>
          <w:sz w:val="24"/>
          <w:szCs w:val="24"/>
        </w:rPr>
        <w:t xml:space="preserve"> if the State is in control of the area</w:t>
      </w:r>
      <w:r w:rsidR="007F64B7"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In a second phase, the forensic evidence must be </w:t>
      </w:r>
      <w:r w:rsidR="006D59C9" w:rsidRPr="00490DD1">
        <w:rPr>
          <w:rFonts w:ascii="Times New Roman" w:hAnsi="Times New Roman" w:cs="Times New Roman"/>
          <w:color w:val="000000" w:themeColor="text1"/>
          <w:sz w:val="24"/>
          <w:szCs w:val="24"/>
        </w:rPr>
        <w:t xml:space="preserve">thoroughly </w:t>
      </w:r>
      <w:r w:rsidRPr="00490DD1">
        <w:rPr>
          <w:rFonts w:ascii="Times New Roman" w:hAnsi="Times New Roman" w:cs="Times New Roman"/>
          <w:color w:val="000000" w:themeColor="text1"/>
          <w:sz w:val="24"/>
          <w:szCs w:val="24"/>
        </w:rPr>
        <w:t>analysed.</w:t>
      </w:r>
      <w:r w:rsidR="00FB755F" w:rsidRPr="00490DD1">
        <w:rPr>
          <w:rStyle w:val="FootnoteReference"/>
          <w:rFonts w:ascii="Times New Roman" w:hAnsi="Times New Roman" w:cs="Times New Roman"/>
          <w:color w:val="000000" w:themeColor="text1"/>
          <w:sz w:val="24"/>
          <w:szCs w:val="24"/>
        </w:rPr>
        <w:footnoteReference w:id="85"/>
      </w:r>
      <w:r w:rsidRPr="00490DD1">
        <w:rPr>
          <w:rFonts w:ascii="Times New Roman" w:hAnsi="Times New Roman" w:cs="Times New Roman"/>
          <w:color w:val="000000" w:themeColor="text1"/>
          <w:sz w:val="24"/>
          <w:szCs w:val="24"/>
        </w:rPr>
        <w:t xml:space="preserve"> </w:t>
      </w:r>
      <w:r w:rsidR="006D59C9" w:rsidRPr="00490DD1">
        <w:rPr>
          <w:rFonts w:ascii="Times New Roman" w:hAnsi="Times New Roman" w:cs="Times New Roman"/>
          <w:color w:val="000000" w:themeColor="text1"/>
          <w:sz w:val="24"/>
          <w:szCs w:val="24"/>
        </w:rPr>
        <w:t>In an extra-territorial setting</w:t>
      </w:r>
      <w:r w:rsidR="00BA60FC" w:rsidRPr="00490DD1">
        <w:rPr>
          <w:rFonts w:ascii="Times New Roman" w:hAnsi="Times New Roman" w:cs="Times New Roman"/>
          <w:color w:val="000000" w:themeColor="text1"/>
          <w:sz w:val="24"/>
          <w:szCs w:val="24"/>
        </w:rPr>
        <w:t>,</w:t>
      </w:r>
      <w:r w:rsidR="006D59C9" w:rsidRPr="00490DD1">
        <w:rPr>
          <w:rFonts w:ascii="Times New Roman" w:hAnsi="Times New Roman" w:cs="Times New Roman"/>
          <w:color w:val="000000" w:themeColor="text1"/>
          <w:sz w:val="24"/>
          <w:szCs w:val="24"/>
        </w:rPr>
        <w:t xml:space="preserve"> this</w:t>
      </w:r>
      <w:r w:rsidRPr="00490DD1">
        <w:rPr>
          <w:rFonts w:ascii="Times New Roman" w:hAnsi="Times New Roman" w:cs="Times New Roman"/>
          <w:color w:val="000000" w:themeColor="text1"/>
          <w:sz w:val="24"/>
          <w:szCs w:val="24"/>
        </w:rPr>
        <w:t xml:space="preserve"> raises </w:t>
      </w:r>
      <w:proofErr w:type="gramStart"/>
      <w:r w:rsidRPr="00490DD1">
        <w:rPr>
          <w:rFonts w:ascii="Times New Roman" w:hAnsi="Times New Roman" w:cs="Times New Roman"/>
          <w:color w:val="000000" w:themeColor="text1"/>
          <w:sz w:val="24"/>
          <w:szCs w:val="24"/>
        </w:rPr>
        <w:t>a number of</w:t>
      </w:r>
      <w:proofErr w:type="gramEnd"/>
      <w:r w:rsidRPr="00490DD1">
        <w:rPr>
          <w:rFonts w:ascii="Times New Roman" w:hAnsi="Times New Roman" w:cs="Times New Roman"/>
          <w:color w:val="000000" w:themeColor="text1"/>
          <w:sz w:val="24"/>
          <w:szCs w:val="24"/>
        </w:rPr>
        <w:t xml:space="preserve"> issues regarding</w:t>
      </w:r>
      <w:r w:rsidR="00B545B8" w:rsidRPr="00490DD1">
        <w:rPr>
          <w:rFonts w:ascii="Times New Roman" w:hAnsi="Times New Roman" w:cs="Times New Roman"/>
          <w:color w:val="000000" w:themeColor="text1"/>
          <w:sz w:val="24"/>
          <w:szCs w:val="24"/>
        </w:rPr>
        <w:t xml:space="preserve"> which State should undertake the analysis, the place where the task should be discharged,</w:t>
      </w:r>
      <w:r w:rsidRPr="00490DD1">
        <w:rPr>
          <w:rFonts w:ascii="Times New Roman" w:hAnsi="Times New Roman" w:cs="Times New Roman"/>
          <w:color w:val="000000" w:themeColor="text1"/>
          <w:sz w:val="24"/>
          <w:szCs w:val="24"/>
        </w:rPr>
        <w:t xml:space="preserve"> the quality of the assessments</w:t>
      </w:r>
      <w:r w:rsidR="007E0C7C"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86"/>
      </w:r>
      <w:r w:rsidR="00B545B8" w:rsidRPr="00490DD1">
        <w:rPr>
          <w:rFonts w:ascii="Times New Roman" w:hAnsi="Times New Roman" w:cs="Times New Roman"/>
          <w:color w:val="000000" w:themeColor="text1"/>
          <w:sz w:val="24"/>
          <w:szCs w:val="24"/>
        </w:rPr>
        <w:t xml:space="preserve"> </w:t>
      </w:r>
      <w:r w:rsidR="00493A06">
        <w:rPr>
          <w:rFonts w:ascii="Times New Roman" w:hAnsi="Times New Roman" w:cs="Times New Roman"/>
          <w:color w:val="000000" w:themeColor="text1"/>
          <w:sz w:val="24"/>
          <w:szCs w:val="24"/>
        </w:rPr>
        <w:t>and so on</w:t>
      </w:r>
      <w:r w:rsidR="00B545B8"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w:t>
      </w:r>
      <w:r w:rsidR="00740CA3" w:rsidRPr="00490DD1">
        <w:rPr>
          <w:rFonts w:ascii="Times New Roman" w:hAnsi="Times New Roman" w:cs="Times New Roman"/>
          <w:color w:val="000000" w:themeColor="text1"/>
          <w:sz w:val="24"/>
          <w:szCs w:val="24"/>
        </w:rPr>
        <w:t xml:space="preserve">Whilst </w:t>
      </w:r>
      <w:r w:rsidR="00B63A72">
        <w:rPr>
          <w:rFonts w:ascii="Times New Roman" w:hAnsi="Times New Roman" w:cs="Times New Roman"/>
          <w:color w:val="000000" w:themeColor="text1"/>
          <w:sz w:val="24"/>
          <w:szCs w:val="24"/>
        </w:rPr>
        <w:t>such</w:t>
      </w:r>
      <w:r w:rsidR="00B63A72" w:rsidRPr="00490DD1">
        <w:rPr>
          <w:rFonts w:ascii="Times New Roman" w:hAnsi="Times New Roman" w:cs="Times New Roman"/>
          <w:color w:val="000000" w:themeColor="text1"/>
          <w:sz w:val="24"/>
          <w:szCs w:val="24"/>
        </w:rPr>
        <w:t xml:space="preserve"> </w:t>
      </w:r>
      <w:r w:rsidR="00740CA3" w:rsidRPr="00490DD1">
        <w:rPr>
          <w:rFonts w:ascii="Times New Roman" w:hAnsi="Times New Roman" w:cs="Times New Roman"/>
          <w:color w:val="000000" w:themeColor="text1"/>
          <w:sz w:val="24"/>
          <w:szCs w:val="24"/>
        </w:rPr>
        <w:t>standards may be appropriate for armed conflicts taki</w:t>
      </w:r>
      <w:r w:rsidR="00B545B8" w:rsidRPr="00490DD1">
        <w:rPr>
          <w:rFonts w:ascii="Times New Roman" w:hAnsi="Times New Roman" w:cs="Times New Roman"/>
          <w:color w:val="000000" w:themeColor="text1"/>
          <w:sz w:val="24"/>
          <w:szCs w:val="24"/>
        </w:rPr>
        <w:t xml:space="preserve">ng place on the territory of a </w:t>
      </w:r>
      <w:r w:rsidR="00740CA3" w:rsidRPr="00490DD1">
        <w:rPr>
          <w:rFonts w:ascii="Times New Roman" w:hAnsi="Times New Roman" w:cs="Times New Roman"/>
          <w:color w:val="000000" w:themeColor="text1"/>
          <w:sz w:val="24"/>
          <w:szCs w:val="24"/>
        </w:rPr>
        <w:t xml:space="preserve">Member State, they do not seem </w:t>
      </w:r>
      <w:r w:rsidR="006D59C9" w:rsidRPr="00490DD1">
        <w:rPr>
          <w:rFonts w:ascii="Times New Roman" w:hAnsi="Times New Roman" w:cs="Times New Roman"/>
          <w:color w:val="000000" w:themeColor="text1"/>
          <w:sz w:val="24"/>
          <w:szCs w:val="24"/>
        </w:rPr>
        <w:t>t</w:t>
      </w:r>
      <w:r w:rsidR="007E0C7C" w:rsidRPr="00490DD1">
        <w:rPr>
          <w:rFonts w:ascii="Times New Roman" w:hAnsi="Times New Roman" w:cs="Times New Roman"/>
          <w:color w:val="000000" w:themeColor="text1"/>
          <w:sz w:val="24"/>
          <w:szCs w:val="24"/>
        </w:rPr>
        <w:t>o</w:t>
      </w:r>
      <w:r w:rsidR="00740CA3" w:rsidRPr="00490DD1">
        <w:rPr>
          <w:rFonts w:ascii="Times New Roman" w:hAnsi="Times New Roman" w:cs="Times New Roman"/>
          <w:color w:val="000000" w:themeColor="text1"/>
          <w:sz w:val="24"/>
          <w:szCs w:val="24"/>
        </w:rPr>
        <w:t xml:space="preserve"> when applied in an extra-territorial context</w:t>
      </w:r>
      <w:r w:rsidRPr="00490DD1">
        <w:rPr>
          <w:rFonts w:ascii="Times New Roman" w:hAnsi="Times New Roman" w:cs="Times New Roman"/>
          <w:color w:val="000000" w:themeColor="text1"/>
          <w:sz w:val="24"/>
          <w:szCs w:val="24"/>
        </w:rPr>
        <w:t>.</w:t>
      </w:r>
      <w:r w:rsidR="00B545B8" w:rsidRPr="00490DD1">
        <w:rPr>
          <w:rFonts w:ascii="Times New Roman" w:hAnsi="Times New Roman" w:cs="Times New Roman"/>
          <w:color w:val="000000" w:themeColor="text1"/>
          <w:sz w:val="24"/>
          <w:szCs w:val="24"/>
        </w:rPr>
        <w:t xml:space="preserve"> I</w:t>
      </w:r>
      <w:r w:rsidR="00740CA3" w:rsidRPr="00490DD1">
        <w:rPr>
          <w:rFonts w:ascii="Times New Roman" w:hAnsi="Times New Roman" w:cs="Times New Roman"/>
          <w:color w:val="000000" w:themeColor="text1"/>
          <w:sz w:val="24"/>
          <w:szCs w:val="24"/>
        </w:rPr>
        <w:t>n concrete terms</w:t>
      </w:r>
      <w:r w:rsidR="00BA60FC" w:rsidRPr="00490DD1">
        <w:rPr>
          <w:rFonts w:ascii="Times New Roman" w:hAnsi="Times New Roman" w:cs="Times New Roman"/>
          <w:color w:val="000000" w:themeColor="text1"/>
          <w:sz w:val="24"/>
          <w:szCs w:val="24"/>
        </w:rPr>
        <w:t>,</w:t>
      </w:r>
      <w:r w:rsidR="00740CA3" w:rsidRPr="00490DD1">
        <w:rPr>
          <w:rFonts w:ascii="Times New Roman" w:hAnsi="Times New Roman" w:cs="Times New Roman"/>
          <w:color w:val="000000" w:themeColor="text1"/>
          <w:sz w:val="24"/>
          <w:szCs w:val="24"/>
        </w:rPr>
        <w:t xml:space="preserve"> this</w:t>
      </w:r>
      <w:r w:rsidR="005B6EF8" w:rsidRPr="00490DD1">
        <w:rPr>
          <w:rFonts w:ascii="Times New Roman" w:hAnsi="Times New Roman" w:cs="Times New Roman"/>
          <w:color w:val="000000" w:themeColor="text1"/>
          <w:sz w:val="24"/>
          <w:szCs w:val="24"/>
        </w:rPr>
        <w:t xml:space="preserve"> means that</w:t>
      </w:r>
      <w:r w:rsidR="00BA60FC" w:rsidRPr="00490DD1">
        <w:rPr>
          <w:rFonts w:ascii="Times New Roman" w:hAnsi="Times New Roman" w:cs="Times New Roman"/>
          <w:color w:val="000000" w:themeColor="text1"/>
          <w:sz w:val="24"/>
          <w:szCs w:val="24"/>
        </w:rPr>
        <w:t>,</w:t>
      </w:r>
      <w:r w:rsidR="005B6EF8" w:rsidRPr="00490DD1">
        <w:rPr>
          <w:rFonts w:ascii="Times New Roman" w:hAnsi="Times New Roman" w:cs="Times New Roman"/>
          <w:color w:val="000000" w:themeColor="text1"/>
          <w:sz w:val="24"/>
          <w:szCs w:val="24"/>
        </w:rPr>
        <w:t xml:space="preserve"> in future military </w:t>
      </w:r>
      <w:r w:rsidR="005B6EF8" w:rsidRPr="00490DD1">
        <w:rPr>
          <w:rFonts w:ascii="Times New Roman" w:hAnsi="Times New Roman" w:cs="Times New Roman"/>
          <w:color w:val="000000" w:themeColor="text1"/>
          <w:sz w:val="24"/>
          <w:szCs w:val="24"/>
        </w:rPr>
        <w:lastRenderedPageBreak/>
        <w:t>operations</w:t>
      </w:r>
      <w:r w:rsidR="00BA60FC" w:rsidRPr="00490DD1">
        <w:rPr>
          <w:rFonts w:ascii="Times New Roman" w:hAnsi="Times New Roman" w:cs="Times New Roman"/>
          <w:color w:val="000000" w:themeColor="text1"/>
          <w:sz w:val="24"/>
          <w:szCs w:val="24"/>
        </w:rPr>
        <w:t>,</w:t>
      </w:r>
      <w:r w:rsidR="005B6EF8" w:rsidRPr="00490DD1">
        <w:rPr>
          <w:rFonts w:ascii="Times New Roman" w:hAnsi="Times New Roman" w:cs="Times New Roman"/>
          <w:color w:val="000000" w:themeColor="text1"/>
          <w:sz w:val="24"/>
          <w:szCs w:val="24"/>
        </w:rPr>
        <w:t xml:space="preserve"> the </w:t>
      </w:r>
      <w:r w:rsidR="00A272C0">
        <w:rPr>
          <w:rFonts w:ascii="Times New Roman" w:hAnsi="Times New Roman" w:cs="Times New Roman"/>
          <w:color w:val="000000" w:themeColor="text1"/>
          <w:sz w:val="24"/>
          <w:szCs w:val="24"/>
        </w:rPr>
        <w:t>armed</w:t>
      </w:r>
      <w:r w:rsidR="00A272C0" w:rsidRPr="00490DD1">
        <w:rPr>
          <w:rFonts w:ascii="Times New Roman" w:hAnsi="Times New Roman" w:cs="Times New Roman"/>
          <w:color w:val="000000" w:themeColor="text1"/>
          <w:sz w:val="24"/>
          <w:szCs w:val="24"/>
        </w:rPr>
        <w:t xml:space="preserve"> </w:t>
      </w:r>
      <w:r w:rsidR="005B6EF8" w:rsidRPr="00490DD1">
        <w:rPr>
          <w:rFonts w:ascii="Times New Roman" w:hAnsi="Times New Roman" w:cs="Times New Roman"/>
          <w:color w:val="000000" w:themeColor="text1"/>
          <w:sz w:val="24"/>
          <w:szCs w:val="24"/>
        </w:rPr>
        <w:t xml:space="preserve">forces will need to ensure that ‘access to such experts </w:t>
      </w:r>
      <w:r w:rsidR="007E0C7C" w:rsidRPr="00490DD1">
        <w:rPr>
          <w:rFonts w:ascii="Times New Roman" w:hAnsi="Times New Roman" w:cs="Times New Roman"/>
          <w:color w:val="000000" w:themeColor="text1"/>
          <w:sz w:val="24"/>
          <w:szCs w:val="24"/>
        </w:rPr>
        <w:t>[is]</w:t>
      </w:r>
      <w:r w:rsidR="005B6EF8" w:rsidRPr="00490DD1">
        <w:rPr>
          <w:rFonts w:ascii="Times New Roman" w:hAnsi="Times New Roman" w:cs="Times New Roman"/>
          <w:color w:val="000000" w:themeColor="text1"/>
          <w:sz w:val="24"/>
          <w:szCs w:val="24"/>
        </w:rPr>
        <w:t xml:space="preserve"> an integral part of the planning process’</w:t>
      </w:r>
      <w:r w:rsidR="005B6EF8" w:rsidRPr="00490DD1">
        <w:rPr>
          <w:rStyle w:val="FootnoteReference"/>
          <w:rFonts w:ascii="Times New Roman" w:hAnsi="Times New Roman" w:cs="Times New Roman"/>
          <w:color w:val="000000" w:themeColor="text1"/>
          <w:sz w:val="24"/>
          <w:szCs w:val="24"/>
        </w:rPr>
        <w:footnoteReference w:id="87"/>
      </w:r>
      <w:r w:rsidR="006D59C9" w:rsidRPr="00490DD1">
        <w:rPr>
          <w:rFonts w:ascii="Times New Roman" w:hAnsi="Times New Roman" w:cs="Times New Roman"/>
          <w:color w:val="000000" w:themeColor="text1"/>
          <w:sz w:val="24"/>
          <w:szCs w:val="24"/>
        </w:rPr>
        <w:t xml:space="preserve"> and appropriate resource</w:t>
      </w:r>
      <w:r w:rsidR="00CB53E9" w:rsidRPr="00490DD1">
        <w:rPr>
          <w:rFonts w:ascii="Times New Roman" w:hAnsi="Times New Roman" w:cs="Times New Roman"/>
          <w:color w:val="000000" w:themeColor="text1"/>
          <w:sz w:val="24"/>
          <w:szCs w:val="24"/>
        </w:rPr>
        <w:t>s</w:t>
      </w:r>
      <w:r w:rsidR="00B377E4" w:rsidRPr="00490DD1">
        <w:rPr>
          <w:rFonts w:ascii="Times New Roman" w:hAnsi="Times New Roman" w:cs="Times New Roman"/>
          <w:color w:val="000000" w:themeColor="text1"/>
          <w:sz w:val="24"/>
          <w:szCs w:val="24"/>
        </w:rPr>
        <w:t xml:space="preserve"> </w:t>
      </w:r>
      <w:r w:rsidR="003174EE" w:rsidRPr="00490DD1">
        <w:rPr>
          <w:rFonts w:ascii="Times New Roman" w:hAnsi="Times New Roman" w:cs="Times New Roman"/>
          <w:color w:val="000000" w:themeColor="text1"/>
          <w:sz w:val="24"/>
          <w:szCs w:val="24"/>
        </w:rPr>
        <w:t xml:space="preserve">allocated </w:t>
      </w:r>
      <w:r w:rsidR="006D59C9" w:rsidRPr="00490DD1">
        <w:rPr>
          <w:rFonts w:ascii="Times New Roman" w:hAnsi="Times New Roman" w:cs="Times New Roman"/>
          <w:color w:val="000000" w:themeColor="text1"/>
          <w:sz w:val="24"/>
          <w:szCs w:val="24"/>
        </w:rPr>
        <w:t>to this effec</w:t>
      </w:r>
      <w:r w:rsidR="00CB53E9" w:rsidRPr="00490DD1">
        <w:rPr>
          <w:rFonts w:ascii="Times New Roman" w:hAnsi="Times New Roman" w:cs="Times New Roman"/>
          <w:color w:val="000000" w:themeColor="text1"/>
          <w:sz w:val="24"/>
          <w:szCs w:val="24"/>
        </w:rPr>
        <w:t>t</w:t>
      </w:r>
      <w:r w:rsidR="005B6EF8" w:rsidRPr="00490DD1">
        <w:rPr>
          <w:rFonts w:ascii="Times New Roman" w:hAnsi="Times New Roman" w:cs="Times New Roman"/>
          <w:color w:val="000000" w:themeColor="text1"/>
          <w:sz w:val="24"/>
          <w:szCs w:val="24"/>
        </w:rPr>
        <w:t>.</w:t>
      </w:r>
    </w:p>
    <w:p w14:paraId="7D75F173" w14:textId="79EEDF35" w:rsidR="00D17493" w:rsidRPr="00490DD1" w:rsidRDefault="00D17493" w:rsidP="00751109">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Fifth, if the use of force results in the death of a person, the Court requires an adequate autopsy to be completed.</w:t>
      </w:r>
      <w:r w:rsidR="00FB755F" w:rsidRPr="00490DD1">
        <w:rPr>
          <w:rStyle w:val="FootnoteReference"/>
          <w:rFonts w:ascii="Times New Roman" w:hAnsi="Times New Roman" w:cs="Times New Roman"/>
          <w:color w:val="000000" w:themeColor="text1"/>
          <w:sz w:val="24"/>
          <w:szCs w:val="24"/>
        </w:rPr>
        <w:footnoteReference w:id="88"/>
      </w:r>
      <w:r w:rsidRPr="00490DD1">
        <w:rPr>
          <w:rFonts w:ascii="Times New Roman" w:hAnsi="Times New Roman" w:cs="Times New Roman"/>
          <w:color w:val="000000" w:themeColor="text1"/>
          <w:sz w:val="24"/>
          <w:szCs w:val="24"/>
        </w:rPr>
        <w:t xml:space="preserve"> Post-mortem examinations are not possible if there is no body</w:t>
      </w:r>
      <w:r w:rsidR="00BD7FF0"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and often it is difficult, if not impossible, to r</w:t>
      </w:r>
      <w:r w:rsidR="00B545B8" w:rsidRPr="00490DD1">
        <w:rPr>
          <w:rFonts w:ascii="Times New Roman" w:hAnsi="Times New Roman" w:cs="Times New Roman"/>
          <w:color w:val="000000" w:themeColor="text1"/>
          <w:sz w:val="24"/>
          <w:szCs w:val="24"/>
        </w:rPr>
        <w:t>etrieve the body</w:t>
      </w:r>
      <w:r w:rsidRPr="00490DD1">
        <w:rPr>
          <w:rFonts w:ascii="Times New Roman" w:hAnsi="Times New Roman" w:cs="Times New Roman"/>
          <w:color w:val="000000" w:themeColor="text1"/>
          <w:sz w:val="24"/>
          <w:szCs w:val="24"/>
        </w:rPr>
        <w:t>. Besides safety concerns to enter an area that might be under the authority of the belligerent</w:t>
      </w:r>
      <w:r w:rsidRPr="00490DD1">
        <w:rPr>
          <w:rStyle w:val="FootnoteReference"/>
          <w:rFonts w:ascii="Times New Roman" w:hAnsi="Times New Roman" w:cs="Times New Roman"/>
          <w:color w:val="000000" w:themeColor="text1"/>
          <w:sz w:val="24"/>
          <w:szCs w:val="24"/>
        </w:rPr>
        <w:footnoteReference w:id="89"/>
      </w:r>
      <w:r w:rsidRPr="00490DD1">
        <w:rPr>
          <w:rFonts w:ascii="Times New Roman" w:hAnsi="Times New Roman" w:cs="Times New Roman"/>
          <w:color w:val="000000" w:themeColor="text1"/>
          <w:sz w:val="24"/>
          <w:szCs w:val="24"/>
        </w:rPr>
        <w:t xml:space="preserve"> or that might not be fully secured, </w:t>
      </w:r>
      <w:r w:rsidR="00751109">
        <w:rPr>
          <w:rFonts w:ascii="Times New Roman" w:hAnsi="Times New Roman" w:cs="Times New Roman"/>
          <w:color w:val="000000" w:themeColor="text1"/>
          <w:sz w:val="24"/>
          <w:szCs w:val="24"/>
        </w:rPr>
        <w:t xml:space="preserve">an </w:t>
      </w:r>
      <w:r w:rsidRPr="00490DD1">
        <w:rPr>
          <w:rFonts w:ascii="Times New Roman" w:hAnsi="Times New Roman" w:cs="Times New Roman"/>
          <w:color w:val="000000" w:themeColor="text1"/>
          <w:sz w:val="24"/>
          <w:szCs w:val="24"/>
        </w:rPr>
        <w:t xml:space="preserve">obstacle </w:t>
      </w:r>
      <w:r w:rsidR="00751109">
        <w:rPr>
          <w:rFonts w:ascii="Times New Roman" w:hAnsi="Times New Roman" w:cs="Times New Roman"/>
          <w:color w:val="000000" w:themeColor="text1"/>
          <w:sz w:val="24"/>
          <w:szCs w:val="24"/>
        </w:rPr>
        <w:t xml:space="preserve">that investigators might, as in Iraq and Afghanistan, </w:t>
      </w:r>
      <w:r w:rsidRPr="00490DD1">
        <w:rPr>
          <w:rFonts w:ascii="Times New Roman" w:hAnsi="Times New Roman" w:cs="Times New Roman"/>
          <w:color w:val="000000" w:themeColor="text1"/>
          <w:sz w:val="24"/>
          <w:szCs w:val="24"/>
        </w:rPr>
        <w:t>encounter relates to the population who, following local customs, refuse</w:t>
      </w:r>
      <w:r w:rsidR="00BA60FC" w:rsidRPr="00490DD1">
        <w:rPr>
          <w:rFonts w:ascii="Times New Roman" w:hAnsi="Times New Roman" w:cs="Times New Roman"/>
          <w:color w:val="000000" w:themeColor="text1"/>
          <w:sz w:val="24"/>
          <w:szCs w:val="24"/>
        </w:rPr>
        <w:t>s</w:t>
      </w:r>
      <w:r w:rsidRPr="00490DD1">
        <w:rPr>
          <w:rFonts w:ascii="Times New Roman" w:hAnsi="Times New Roman" w:cs="Times New Roman"/>
          <w:color w:val="000000" w:themeColor="text1"/>
          <w:sz w:val="24"/>
          <w:szCs w:val="24"/>
        </w:rPr>
        <w:t xml:space="preserve"> to surrender the body.</w:t>
      </w:r>
      <w:r w:rsidR="00B545B8" w:rsidRPr="00490DD1">
        <w:rPr>
          <w:rStyle w:val="FootnoteReference"/>
          <w:rFonts w:ascii="Times New Roman" w:hAnsi="Times New Roman" w:cs="Times New Roman"/>
          <w:color w:val="000000" w:themeColor="text1"/>
          <w:sz w:val="24"/>
          <w:szCs w:val="24"/>
        </w:rPr>
        <w:footnoteReference w:id="90"/>
      </w:r>
      <w:r w:rsidRPr="00490DD1">
        <w:rPr>
          <w:rFonts w:ascii="Times New Roman" w:hAnsi="Times New Roman" w:cs="Times New Roman"/>
          <w:color w:val="000000" w:themeColor="text1"/>
          <w:sz w:val="24"/>
          <w:szCs w:val="24"/>
        </w:rPr>
        <w:t xml:space="preserve"> Indeed, in accordance with local customs and traditions, the deceased </w:t>
      </w:r>
      <w:r w:rsidR="006D59C9" w:rsidRPr="00490DD1">
        <w:rPr>
          <w:rFonts w:ascii="Times New Roman" w:hAnsi="Times New Roman" w:cs="Times New Roman"/>
          <w:color w:val="000000" w:themeColor="text1"/>
          <w:sz w:val="24"/>
          <w:szCs w:val="24"/>
        </w:rPr>
        <w:t>might be</w:t>
      </w:r>
      <w:r w:rsidRPr="00490DD1">
        <w:rPr>
          <w:rFonts w:ascii="Times New Roman" w:hAnsi="Times New Roman" w:cs="Times New Roman"/>
          <w:color w:val="000000" w:themeColor="text1"/>
          <w:sz w:val="24"/>
          <w:szCs w:val="24"/>
        </w:rPr>
        <w:t xml:space="preserve"> buried </w:t>
      </w:r>
      <w:r w:rsidR="00B545B8" w:rsidRPr="00490DD1">
        <w:rPr>
          <w:rFonts w:ascii="Times New Roman" w:hAnsi="Times New Roman" w:cs="Times New Roman"/>
          <w:color w:val="000000" w:themeColor="text1"/>
          <w:sz w:val="24"/>
          <w:szCs w:val="24"/>
        </w:rPr>
        <w:t>very quickly by their relatives.</w:t>
      </w:r>
      <w:r w:rsidRPr="00490DD1">
        <w:rPr>
          <w:rStyle w:val="FootnoteReference"/>
          <w:rFonts w:ascii="Times New Roman" w:hAnsi="Times New Roman" w:cs="Times New Roman"/>
          <w:color w:val="000000" w:themeColor="text1"/>
          <w:sz w:val="24"/>
          <w:szCs w:val="24"/>
        </w:rPr>
        <w:footnoteReference w:id="91"/>
      </w:r>
      <w:r w:rsidR="00591D96" w:rsidRPr="00490DD1">
        <w:rPr>
          <w:rFonts w:ascii="Times New Roman" w:hAnsi="Times New Roman" w:cs="Times New Roman"/>
          <w:color w:val="000000" w:themeColor="text1"/>
          <w:sz w:val="24"/>
          <w:szCs w:val="24"/>
        </w:rPr>
        <w:t xml:space="preserve"> U</w:t>
      </w:r>
      <w:r w:rsidRPr="00490DD1">
        <w:rPr>
          <w:rFonts w:ascii="Times New Roman" w:hAnsi="Times New Roman" w:cs="Times New Roman"/>
          <w:color w:val="000000" w:themeColor="text1"/>
          <w:sz w:val="24"/>
          <w:szCs w:val="24"/>
        </w:rPr>
        <w:t>nless the body can be secured straight after the incident, there is little chance for the investigators to retrieve it.</w:t>
      </w:r>
      <w:r w:rsidR="00B63A72">
        <w:rPr>
          <w:rFonts w:ascii="Times New Roman" w:hAnsi="Times New Roman" w:cs="Times New Roman"/>
          <w:color w:val="000000" w:themeColor="text1"/>
          <w:sz w:val="24"/>
          <w:szCs w:val="24"/>
        </w:rPr>
        <w:t xml:space="preserve"> The autopsy must also be of a certain</w:t>
      </w:r>
      <w:r w:rsidR="00751109">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quality</w:t>
      </w:r>
      <w:r w:rsidR="00B63A72" w:rsidRPr="00490DD1">
        <w:rPr>
          <w:rStyle w:val="FootnoteReference"/>
          <w:rFonts w:ascii="Times New Roman" w:hAnsi="Times New Roman" w:cs="Times New Roman"/>
          <w:color w:val="000000" w:themeColor="text1"/>
          <w:sz w:val="24"/>
          <w:szCs w:val="24"/>
        </w:rPr>
        <w:footnoteReference w:id="92"/>
      </w:r>
      <w:r w:rsidR="00B63A72">
        <w:rPr>
          <w:rFonts w:ascii="Times New Roman" w:hAnsi="Times New Roman" w:cs="Times New Roman"/>
          <w:color w:val="000000" w:themeColor="text1"/>
          <w:sz w:val="24"/>
          <w:szCs w:val="24"/>
        </w:rPr>
        <w:t xml:space="preserve"> as a</w:t>
      </w:r>
      <w:r w:rsidR="00CC34A2" w:rsidRPr="00490DD1">
        <w:rPr>
          <w:rFonts w:ascii="Times New Roman" w:hAnsi="Times New Roman" w:cs="Times New Roman"/>
          <w:color w:val="000000" w:themeColor="text1"/>
          <w:sz w:val="24"/>
          <w:szCs w:val="24"/>
        </w:rPr>
        <w:t>n ex</w:t>
      </w:r>
      <w:r w:rsidRPr="00490DD1">
        <w:rPr>
          <w:rFonts w:ascii="Times New Roman" w:hAnsi="Times New Roman" w:cs="Times New Roman"/>
          <w:color w:val="000000" w:themeColor="text1"/>
          <w:sz w:val="24"/>
          <w:szCs w:val="24"/>
          <w:shd w:val="clear" w:color="auto" w:fill="FFFFFF"/>
        </w:rPr>
        <w:t xml:space="preserve">pert medical examination </w:t>
      </w:r>
      <w:r w:rsidR="00CC34A2" w:rsidRPr="00490DD1">
        <w:rPr>
          <w:rFonts w:ascii="Times New Roman" w:hAnsi="Times New Roman" w:cs="Times New Roman"/>
          <w:color w:val="000000" w:themeColor="text1"/>
          <w:sz w:val="24"/>
          <w:szCs w:val="24"/>
          <w:shd w:val="clear" w:color="auto" w:fill="FFFFFF"/>
        </w:rPr>
        <w:t xml:space="preserve">helps ascertain </w:t>
      </w:r>
      <w:r w:rsidRPr="00490DD1">
        <w:rPr>
          <w:rFonts w:ascii="Times New Roman" w:hAnsi="Times New Roman" w:cs="Times New Roman"/>
          <w:color w:val="000000" w:themeColor="text1"/>
          <w:sz w:val="24"/>
          <w:szCs w:val="24"/>
          <w:shd w:val="clear" w:color="auto" w:fill="FFFFFF"/>
        </w:rPr>
        <w:t>the circumstances of a death</w:t>
      </w:r>
      <w:r w:rsidR="00CC34A2" w:rsidRPr="00490DD1">
        <w:rPr>
          <w:rFonts w:ascii="Times New Roman" w:hAnsi="Times New Roman" w:cs="Times New Roman"/>
          <w:color w:val="000000" w:themeColor="text1"/>
          <w:sz w:val="24"/>
          <w:szCs w:val="24"/>
          <w:shd w:val="clear" w:color="auto" w:fill="FFFFFF"/>
        </w:rPr>
        <w:t xml:space="preserve"> and thus undergirds the State’s obligation to carry out an effective </w:t>
      </w:r>
      <w:r w:rsidRPr="00490DD1">
        <w:rPr>
          <w:rFonts w:ascii="Times New Roman" w:hAnsi="Times New Roman" w:cs="Times New Roman"/>
          <w:color w:val="000000" w:themeColor="text1"/>
          <w:sz w:val="24"/>
          <w:szCs w:val="24"/>
          <w:shd w:val="clear" w:color="auto" w:fill="FFFFFF"/>
        </w:rPr>
        <w:t>domestic investigation.</w:t>
      </w:r>
      <w:r w:rsidR="00CC34A2" w:rsidRPr="00490DD1">
        <w:rPr>
          <w:rFonts w:ascii="Times New Roman" w:hAnsi="Times New Roman" w:cs="Times New Roman"/>
          <w:color w:val="000000" w:themeColor="text1"/>
          <w:sz w:val="24"/>
          <w:szCs w:val="24"/>
          <w:shd w:val="clear" w:color="auto" w:fill="FFFFFF"/>
        </w:rPr>
        <w:t xml:space="preserve"> T</w:t>
      </w:r>
      <w:r w:rsidRPr="00490DD1">
        <w:rPr>
          <w:rFonts w:ascii="Times New Roman" w:hAnsi="Times New Roman" w:cs="Times New Roman"/>
          <w:color w:val="000000" w:themeColor="text1"/>
          <w:sz w:val="24"/>
          <w:szCs w:val="24"/>
        </w:rPr>
        <w:t>he Court check</w:t>
      </w:r>
      <w:r w:rsidR="00CC34A2" w:rsidRPr="00490DD1">
        <w:rPr>
          <w:rFonts w:ascii="Times New Roman" w:hAnsi="Times New Roman" w:cs="Times New Roman"/>
          <w:color w:val="000000" w:themeColor="text1"/>
          <w:sz w:val="24"/>
          <w:szCs w:val="24"/>
        </w:rPr>
        <w:t>s</w:t>
      </w:r>
      <w:r w:rsidR="00BA60FC"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amongst other</w:t>
      </w:r>
      <w:r w:rsidR="00BA60FC" w:rsidRPr="00490DD1">
        <w:rPr>
          <w:rFonts w:ascii="Times New Roman" w:hAnsi="Times New Roman" w:cs="Times New Roman"/>
          <w:color w:val="000000" w:themeColor="text1"/>
          <w:sz w:val="24"/>
          <w:szCs w:val="24"/>
        </w:rPr>
        <w:t xml:space="preserve"> things,</w:t>
      </w:r>
      <w:r w:rsidRPr="00490DD1">
        <w:rPr>
          <w:rFonts w:ascii="Times New Roman" w:hAnsi="Times New Roman" w:cs="Times New Roman"/>
          <w:color w:val="000000" w:themeColor="text1"/>
          <w:sz w:val="24"/>
          <w:szCs w:val="24"/>
        </w:rPr>
        <w:t xml:space="preserve"> whether forensic specialists, rather than general practitioners</w:t>
      </w:r>
      <w:r w:rsidR="00BD7FF0" w:rsidRPr="00490DD1">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93"/>
      </w:r>
      <w:r w:rsidRPr="00490DD1">
        <w:rPr>
          <w:rFonts w:ascii="Times New Roman" w:hAnsi="Times New Roman" w:cs="Times New Roman"/>
          <w:color w:val="000000" w:themeColor="text1"/>
          <w:sz w:val="24"/>
          <w:szCs w:val="24"/>
        </w:rPr>
        <w:t xml:space="preserve"> are taking part in the process, </w:t>
      </w:r>
      <w:r w:rsidR="008A5CDD" w:rsidRPr="00490DD1">
        <w:rPr>
          <w:rFonts w:ascii="Times New Roman" w:hAnsi="Times New Roman" w:cs="Times New Roman"/>
          <w:color w:val="000000" w:themeColor="text1"/>
          <w:sz w:val="24"/>
          <w:szCs w:val="24"/>
        </w:rPr>
        <w:t xml:space="preserve">whether </w:t>
      </w:r>
      <w:r w:rsidRPr="00490DD1">
        <w:rPr>
          <w:rFonts w:ascii="Times New Roman" w:hAnsi="Times New Roman" w:cs="Times New Roman"/>
          <w:color w:val="000000" w:themeColor="text1"/>
          <w:sz w:val="24"/>
          <w:szCs w:val="24"/>
        </w:rPr>
        <w:t>proper forensic photographs of the body have been taken,</w:t>
      </w:r>
      <w:r w:rsidRPr="00490DD1">
        <w:rPr>
          <w:rStyle w:val="FootnoteReference"/>
          <w:rFonts w:ascii="Times New Roman" w:hAnsi="Times New Roman" w:cs="Times New Roman"/>
          <w:color w:val="000000" w:themeColor="text1"/>
          <w:sz w:val="24"/>
          <w:szCs w:val="24"/>
        </w:rPr>
        <w:footnoteReference w:id="94"/>
      </w:r>
      <w:r w:rsidRPr="00490DD1">
        <w:rPr>
          <w:rFonts w:ascii="Times New Roman" w:hAnsi="Times New Roman" w:cs="Times New Roman"/>
          <w:color w:val="000000" w:themeColor="text1"/>
          <w:sz w:val="24"/>
          <w:szCs w:val="24"/>
        </w:rPr>
        <w:t xml:space="preserve"> </w:t>
      </w:r>
      <w:r w:rsidR="008A5CDD" w:rsidRPr="00490DD1">
        <w:rPr>
          <w:rFonts w:ascii="Times New Roman" w:hAnsi="Times New Roman" w:cs="Times New Roman"/>
          <w:color w:val="000000" w:themeColor="text1"/>
          <w:sz w:val="24"/>
          <w:szCs w:val="24"/>
        </w:rPr>
        <w:t xml:space="preserve">whether </w:t>
      </w:r>
      <w:r w:rsidRPr="00490DD1">
        <w:rPr>
          <w:rFonts w:ascii="Times New Roman" w:hAnsi="Times New Roman" w:cs="Times New Roman"/>
          <w:color w:val="000000" w:themeColor="text1"/>
          <w:sz w:val="24"/>
          <w:szCs w:val="24"/>
        </w:rPr>
        <w:t>the number of bullet entry and exit wounds ha</w:t>
      </w:r>
      <w:r w:rsidR="008A5CDD" w:rsidRPr="00490DD1">
        <w:rPr>
          <w:rFonts w:ascii="Times New Roman" w:hAnsi="Times New Roman" w:cs="Times New Roman"/>
          <w:color w:val="000000" w:themeColor="text1"/>
          <w:sz w:val="24"/>
          <w:szCs w:val="24"/>
        </w:rPr>
        <w:t>s</w:t>
      </w:r>
      <w:r w:rsidRPr="00490DD1">
        <w:rPr>
          <w:rFonts w:ascii="Times New Roman" w:hAnsi="Times New Roman" w:cs="Times New Roman"/>
          <w:color w:val="000000" w:themeColor="text1"/>
          <w:sz w:val="24"/>
          <w:szCs w:val="24"/>
        </w:rPr>
        <w:t xml:space="preserve"> been recorded,</w:t>
      </w:r>
      <w:r w:rsidRPr="00490DD1">
        <w:rPr>
          <w:rStyle w:val="FootnoteReference"/>
          <w:rFonts w:ascii="Times New Roman" w:hAnsi="Times New Roman" w:cs="Times New Roman"/>
          <w:color w:val="000000" w:themeColor="text1"/>
          <w:sz w:val="24"/>
          <w:szCs w:val="24"/>
        </w:rPr>
        <w:footnoteReference w:id="95"/>
      </w:r>
      <w:r w:rsidRPr="00490DD1">
        <w:rPr>
          <w:rFonts w:ascii="Times New Roman" w:hAnsi="Times New Roman" w:cs="Times New Roman"/>
          <w:color w:val="000000" w:themeColor="text1"/>
          <w:sz w:val="24"/>
          <w:szCs w:val="24"/>
        </w:rPr>
        <w:t xml:space="preserve"> </w:t>
      </w:r>
      <w:r w:rsidR="008A5CDD" w:rsidRPr="00490DD1">
        <w:rPr>
          <w:rFonts w:ascii="Times New Roman" w:hAnsi="Times New Roman" w:cs="Times New Roman"/>
          <w:color w:val="000000" w:themeColor="text1"/>
          <w:sz w:val="24"/>
          <w:szCs w:val="24"/>
        </w:rPr>
        <w:t xml:space="preserve">whether </w:t>
      </w:r>
      <w:r w:rsidRPr="00490DD1">
        <w:rPr>
          <w:rFonts w:ascii="Times New Roman" w:hAnsi="Times New Roman" w:cs="Times New Roman"/>
          <w:color w:val="000000" w:themeColor="text1"/>
          <w:sz w:val="24"/>
          <w:szCs w:val="24"/>
        </w:rPr>
        <w:t>there are traces of bullets, shrapnel or other evidence,</w:t>
      </w:r>
      <w:r w:rsidRPr="00490DD1">
        <w:rPr>
          <w:rStyle w:val="FootnoteReference"/>
          <w:rFonts w:ascii="Times New Roman" w:hAnsi="Times New Roman" w:cs="Times New Roman"/>
          <w:color w:val="000000" w:themeColor="text1"/>
          <w:sz w:val="24"/>
          <w:szCs w:val="24"/>
        </w:rPr>
        <w:footnoteReference w:id="96"/>
      </w:r>
      <w:r w:rsidRPr="00490DD1">
        <w:rPr>
          <w:rFonts w:ascii="Times New Roman" w:hAnsi="Times New Roman" w:cs="Times New Roman"/>
          <w:color w:val="000000" w:themeColor="text1"/>
          <w:sz w:val="24"/>
          <w:szCs w:val="24"/>
        </w:rPr>
        <w:t xml:space="preserve"> </w:t>
      </w:r>
      <w:r w:rsidR="008A5CDD" w:rsidRPr="00490DD1">
        <w:rPr>
          <w:rFonts w:ascii="Times New Roman" w:hAnsi="Times New Roman" w:cs="Times New Roman"/>
          <w:color w:val="000000" w:themeColor="text1"/>
          <w:sz w:val="24"/>
          <w:szCs w:val="24"/>
        </w:rPr>
        <w:t xml:space="preserve">whether </w:t>
      </w:r>
      <w:r w:rsidRPr="00490DD1">
        <w:rPr>
          <w:rFonts w:ascii="Times New Roman" w:hAnsi="Times New Roman" w:cs="Times New Roman"/>
          <w:color w:val="000000" w:themeColor="text1"/>
          <w:sz w:val="24"/>
          <w:szCs w:val="24"/>
        </w:rPr>
        <w:t xml:space="preserve">injuries and marks on the body have been the </w:t>
      </w:r>
      <w:r w:rsidRPr="00490DD1">
        <w:rPr>
          <w:rFonts w:ascii="Times New Roman" w:hAnsi="Times New Roman" w:cs="Times New Roman"/>
          <w:color w:val="000000" w:themeColor="text1"/>
          <w:sz w:val="24"/>
          <w:szCs w:val="24"/>
        </w:rPr>
        <w:lastRenderedPageBreak/>
        <w:t>subject of a histopathological analysis,</w:t>
      </w:r>
      <w:r w:rsidRPr="00490DD1">
        <w:rPr>
          <w:rStyle w:val="FootnoteReference"/>
          <w:rFonts w:ascii="Times New Roman" w:hAnsi="Times New Roman" w:cs="Times New Roman"/>
          <w:color w:val="000000" w:themeColor="text1"/>
          <w:sz w:val="24"/>
          <w:szCs w:val="24"/>
        </w:rPr>
        <w:footnoteReference w:id="97"/>
      </w:r>
      <w:r w:rsidRPr="00490DD1">
        <w:rPr>
          <w:rFonts w:ascii="Times New Roman" w:hAnsi="Times New Roman" w:cs="Times New Roman"/>
          <w:color w:val="000000" w:themeColor="text1"/>
          <w:sz w:val="24"/>
          <w:szCs w:val="24"/>
        </w:rPr>
        <w:t xml:space="preserve"> </w:t>
      </w:r>
      <w:r w:rsidR="008A5CDD" w:rsidRPr="00490DD1">
        <w:rPr>
          <w:rFonts w:ascii="Times New Roman" w:hAnsi="Times New Roman" w:cs="Times New Roman"/>
          <w:color w:val="000000" w:themeColor="text1"/>
          <w:sz w:val="24"/>
          <w:szCs w:val="24"/>
        </w:rPr>
        <w:t xml:space="preserve">whether </w:t>
      </w:r>
      <w:r w:rsidR="00C17FCF" w:rsidRPr="00490DD1">
        <w:rPr>
          <w:rFonts w:ascii="Times New Roman" w:hAnsi="Times New Roman" w:cs="Times New Roman"/>
          <w:color w:val="000000" w:themeColor="text1"/>
          <w:sz w:val="24"/>
          <w:szCs w:val="24"/>
        </w:rPr>
        <w:t>clothes have been examined,</w:t>
      </w:r>
      <w:r w:rsidR="00C17FCF" w:rsidRPr="00490DD1">
        <w:rPr>
          <w:rStyle w:val="FootnoteReference"/>
          <w:rFonts w:ascii="Times New Roman" w:hAnsi="Times New Roman" w:cs="Times New Roman"/>
          <w:color w:val="000000" w:themeColor="text1"/>
          <w:sz w:val="24"/>
          <w:szCs w:val="24"/>
        </w:rPr>
        <w:footnoteReference w:id="98"/>
      </w:r>
      <w:r w:rsidR="00C17FCF" w:rsidRPr="00490DD1">
        <w:rPr>
          <w:rFonts w:ascii="Times New Roman" w:hAnsi="Times New Roman" w:cs="Times New Roman"/>
          <w:color w:val="000000" w:themeColor="text1"/>
          <w:sz w:val="24"/>
          <w:szCs w:val="24"/>
        </w:rPr>
        <w:t xml:space="preserve"> </w:t>
      </w:r>
      <w:r w:rsidR="00493A06">
        <w:rPr>
          <w:rFonts w:ascii="Times New Roman" w:hAnsi="Times New Roman" w:cs="Times New Roman"/>
          <w:color w:val="000000" w:themeColor="text1"/>
          <w:sz w:val="24"/>
          <w:szCs w:val="24"/>
        </w:rPr>
        <w:t>and so on</w:t>
      </w:r>
      <w:r w:rsidRPr="00490DD1">
        <w:rPr>
          <w:rFonts w:ascii="Times New Roman" w:hAnsi="Times New Roman" w:cs="Times New Roman"/>
          <w:color w:val="000000" w:themeColor="text1"/>
          <w:sz w:val="24"/>
          <w:szCs w:val="24"/>
        </w:rPr>
        <w:t xml:space="preserve">. </w:t>
      </w:r>
      <w:r w:rsidR="00591D96" w:rsidRPr="00490DD1">
        <w:rPr>
          <w:rFonts w:ascii="Times New Roman" w:hAnsi="Times New Roman" w:cs="Times New Roman"/>
          <w:color w:val="000000" w:themeColor="text1"/>
          <w:sz w:val="24"/>
          <w:szCs w:val="24"/>
        </w:rPr>
        <w:t>T</w:t>
      </w:r>
      <w:r w:rsidR="008F59B8" w:rsidRPr="00490DD1">
        <w:rPr>
          <w:rFonts w:ascii="Times New Roman" w:hAnsi="Times New Roman" w:cs="Times New Roman"/>
          <w:color w:val="000000" w:themeColor="text1"/>
          <w:sz w:val="24"/>
          <w:szCs w:val="24"/>
        </w:rPr>
        <w:t>he autopsy is a way to establish the circumstances relating to a person’s death</w:t>
      </w:r>
      <w:r w:rsidR="00764342" w:rsidRPr="00490DD1">
        <w:rPr>
          <w:rFonts w:ascii="Times New Roman" w:hAnsi="Times New Roman" w:cs="Times New Roman"/>
          <w:color w:val="000000" w:themeColor="text1"/>
          <w:sz w:val="24"/>
          <w:szCs w:val="24"/>
        </w:rPr>
        <w:t>,</w:t>
      </w:r>
      <w:r w:rsidR="008F59B8" w:rsidRPr="00490DD1">
        <w:rPr>
          <w:rFonts w:ascii="Times New Roman" w:hAnsi="Times New Roman" w:cs="Times New Roman"/>
          <w:color w:val="000000" w:themeColor="text1"/>
          <w:sz w:val="24"/>
          <w:szCs w:val="24"/>
        </w:rPr>
        <w:t xml:space="preserve"> as well as to enable the State to identify the potential perpetrator.</w:t>
      </w:r>
      <w:r w:rsidR="000B4C69" w:rsidRPr="00490DD1">
        <w:rPr>
          <w:rStyle w:val="FootnoteReference"/>
          <w:rFonts w:ascii="Times New Roman" w:hAnsi="Times New Roman" w:cs="Times New Roman"/>
          <w:color w:val="000000" w:themeColor="text1"/>
          <w:sz w:val="24"/>
          <w:szCs w:val="24"/>
        </w:rPr>
        <w:footnoteReference w:id="99"/>
      </w:r>
      <w:r w:rsidR="008F59B8" w:rsidRPr="00490DD1">
        <w:rPr>
          <w:rFonts w:ascii="Times New Roman" w:hAnsi="Times New Roman" w:cs="Times New Roman"/>
          <w:color w:val="000000" w:themeColor="text1"/>
          <w:sz w:val="24"/>
          <w:szCs w:val="24"/>
        </w:rPr>
        <w:t xml:space="preserve"> Information recovered from a body can be used to understand from w</w:t>
      </w:r>
      <w:r w:rsidR="00A201D8" w:rsidRPr="00490DD1">
        <w:rPr>
          <w:rFonts w:ascii="Times New Roman" w:hAnsi="Times New Roman" w:cs="Times New Roman"/>
          <w:color w:val="000000" w:themeColor="text1"/>
          <w:sz w:val="24"/>
          <w:szCs w:val="24"/>
        </w:rPr>
        <w:t>hich weapons bullets were fired</w:t>
      </w:r>
      <w:r w:rsidR="00764342" w:rsidRPr="00490DD1">
        <w:rPr>
          <w:rFonts w:ascii="Times New Roman" w:hAnsi="Times New Roman" w:cs="Times New Roman"/>
          <w:color w:val="000000" w:themeColor="text1"/>
          <w:sz w:val="24"/>
          <w:szCs w:val="24"/>
        </w:rPr>
        <w:t>,</w:t>
      </w:r>
      <w:r w:rsidR="00A201D8" w:rsidRPr="00490DD1">
        <w:rPr>
          <w:rFonts w:ascii="Times New Roman" w:hAnsi="Times New Roman" w:cs="Times New Roman"/>
          <w:color w:val="000000" w:themeColor="text1"/>
          <w:sz w:val="24"/>
          <w:szCs w:val="24"/>
        </w:rPr>
        <w:t xml:space="preserve"> as well as from which distance, </w:t>
      </w:r>
      <w:r w:rsidR="008F59B8" w:rsidRPr="00490DD1">
        <w:rPr>
          <w:rFonts w:ascii="Times New Roman" w:hAnsi="Times New Roman" w:cs="Times New Roman"/>
          <w:color w:val="000000" w:themeColor="text1"/>
          <w:sz w:val="24"/>
          <w:szCs w:val="24"/>
        </w:rPr>
        <w:t>which type of weapons were used</w:t>
      </w:r>
      <w:r w:rsidR="00A201D8" w:rsidRPr="00490DD1">
        <w:rPr>
          <w:rFonts w:ascii="Times New Roman" w:hAnsi="Times New Roman" w:cs="Times New Roman"/>
          <w:color w:val="000000" w:themeColor="text1"/>
          <w:sz w:val="24"/>
          <w:szCs w:val="24"/>
        </w:rPr>
        <w:t xml:space="preserve">, whether gunpowder could be found on the fingers of the deceased, </w:t>
      </w:r>
      <w:r w:rsidR="00493A06">
        <w:rPr>
          <w:rFonts w:ascii="Times New Roman" w:hAnsi="Times New Roman" w:cs="Times New Roman"/>
          <w:color w:val="000000" w:themeColor="text1"/>
          <w:sz w:val="24"/>
          <w:szCs w:val="24"/>
        </w:rPr>
        <w:t>and so on</w:t>
      </w:r>
      <w:r w:rsidR="008F59B8" w:rsidRPr="00490DD1">
        <w:rPr>
          <w:rFonts w:ascii="Times New Roman" w:hAnsi="Times New Roman" w:cs="Times New Roman"/>
          <w:color w:val="000000" w:themeColor="text1"/>
          <w:sz w:val="24"/>
          <w:szCs w:val="24"/>
        </w:rPr>
        <w:t>.</w:t>
      </w:r>
      <w:r w:rsidR="008F59B8" w:rsidRPr="00490DD1">
        <w:rPr>
          <w:rStyle w:val="FootnoteReference"/>
          <w:rFonts w:ascii="Times New Roman" w:hAnsi="Times New Roman" w:cs="Times New Roman"/>
          <w:color w:val="000000" w:themeColor="text1"/>
          <w:sz w:val="24"/>
          <w:szCs w:val="24"/>
        </w:rPr>
        <w:footnoteReference w:id="100"/>
      </w:r>
      <w:r w:rsidR="008F59B8" w:rsidRPr="00490DD1">
        <w:rPr>
          <w:rFonts w:ascii="Times New Roman" w:hAnsi="Times New Roman" w:cs="Times New Roman"/>
          <w:color w:val="000000" w:themeColor="text1"/>
          <w:sz w:val="24"/>
          <w:szCs w:val="24"/>
        </w:rPr>
        <w:t xml:space="preserve"> </w:t>
      </w:r>
      <w:r w:rsidR="00D97E86">
        <w:rPr>
          <w:rFonts w:ascii="Times New Roman" w:hAnsi="Times New Roman" w:cs="Times New Roman"/>
          <w:color w:val="000000" w:themeColor="text1"/>
          <w:sz w:val="24"/>
          <w:szCs w:val="24"/>
        </w:rPr>
        <w:t>As a result, t</w:t>
      </w:r>
      <w:r w:rsidR="00D97E86" w:rsidRPr="00490DD1">
        <w:rPr>
          <w:rFonts w:ascii="Times New Roman" w:hAnsi="Times New Roman" w:cs="Times New Roman"/>
          <w:color w:val="000000" w:themeColor="text1"/>
          <w:sz w:val="24"/>
          <w:szCs w:val="24"/>
        </w:rPr>
        <w:t xml:space="preserve">he lack of pathologists and post-mortem facilities on site </w:t>
      </w:r>
      <w:r w:rsidR="00B63A72">
        <w:rPr>
          <w:rFonts w:ascii="Times New Roman" w:hAnsi="Times New Roman" w:cs="Times New Roman"/>
          <w:color w:val="000000" w:themeColor="text1"/>
          <w:sz w:val="24"/>
          <w:szCs w:val="24"/>
        </w:rPr>
        <w:t>prevents an effective</w:t>
      </w:r>
      <w:r w:rsidR="00D97E86" w:rsidRPr="00490DD1">
        <w:rPr>
          <w:rFonts w:ascii="Times New Roman" w:hAnsi="Times New Roman" w:cs="Times New Roman"/>
          <w:color w:val="000000" w:themeColor="text1"/>
          <w:sz w:val="24"/>
          <w:szCs w:val="24"/>
        </w:rPr>
        <w:t xml:space="preserve"> investigation</w:t>
      </w:r>
      <w:r w:rsidR="00D97E86" w:rsidRPr="00490DD1">
        <w:rPr>
          <w:rStyle w:val="FootnoteReference"/>
          <w:rFonts w:ascii="Times New Roman" w:hAnsi="Times New Roman" w:cs="Times New Roman"/>
          <w:color w:val="000000" w:themeColor="text1"/>
          <w:sz w:val="24"/>
          <w:szCs w:val="24"/>
        </w:rPr>
        <w:footnoteReference w:id="101"/>
      </w:r>
      <w:r w:rsidR="00D97E86" w:rsidRPr="00490DD1">
        <w:rPr>
          <w:rFonts w:ascii="Times New Roman" w:hAnsi="Times New Roman" w:cs="Times New Roman"/>
          <w:color w:val="000000" w:themeColor="text1"/>
          <w:sz w:val="24"/>
          <w:szCs w:val="24"/>
        </w:rPr>
        <w:t xml:space="preserve"> </w:t>
      </w:r>
      <w:r w:rsidR="00B63A72">
        <w:rPr>
          <w:rFonts w:ascii="Times New Roman" w:hAnsi="Times New Roman" w:cs="Times New Roman"/>
          <w:color w:val="000000" w:themeColor="text1"/>
          <w:sz w:val="24"/>
          <w:szCs w:val="24"/>
        </w:rPr>
        <w:t>and only better planning and increased resources can remedy the problem. Yet, further challenges</w:t>
      </w:r>
      <w:r w:rsidR="00B96ACE">
        <w:rPr>
          <w:rFonts w:ascii="Times New Roman" w:hAnsi="Times New Roman" w:cs="Times New Roman"/>
          <w:color w:val="000000" w:themeColor="text1"/>
          <w:sz w:val="24"/>
          <w:szCs w:val="24"/>
        </w:rPr>
        <w:t>,</w:t>
      </w:r>
      <w:r w:rsidR="00B63A72">
        <w:rPr>
          <w:rFonts w:ascii="Times New Roman" w:hAnsi="Times New Roman" w:cs="Times New Roman"/>
          <w:color w:val="000000" w:themeColor="text1"/>
          <w:sz w:val="24"/>
          <w:szCs w:val="24"/>
        </w:rPr>
        <w:t xml:space="preserve"> as the</w:t>
      </w:r>
      <w:r w:rsidR="00591D96" w:rsidRPr="00490DD1">
        <w:rPr>
          <w:rFonts w:ascii="Times New Roman" w:hAnsi="Times New Roman" w:cs="Times New Roman"/>
          <w:color w:val="000000" w:themeColor="text1"/>
          <w:sz w:val="24"/>
          <w:szCs w:val="24"/>
        </w:rPr>
        <w:t xml:space="preserve"> </w:t>
      </w:r>
      <w:proofErr w:type="spellStart"/>
      <w:r w:rsidRPr="00490DD1">
        <w:rPr>
          <w:rFonts w:ascii="Times New Roman" w:hAnsi="Times New Roman" w:cs="Times New Roman"/>
          <w:i/>
          <w:color w:val="000000" w:themeColor="text1"/>
          <w:sz w:val="24"/>
          <w:szCs w:val="24"/>
        </w:rPr>
        <w:t>Jaloud</w:t>
      </w:r>
      <w:proofErr w:type="spellEnd"/>
      <w:r w:rsidRPr="00490DD1">
        <w:rPr>
          <w:rFonts w:ascii="Times New Roman" w:hAnsi="Times New Roman" w:cs="Times New Roman"/>
          <w:i/>
          <w:color w:val="000000" w:themeColor="text1"/>
          <w:sz w:val="24"/>
          <w:szCs w:val="24"/>
        </w:rPr>
        <w:t xml:space="preserve"> </w:t>
      </w:r>
      <w:r w:rsidRPr="00490DD1">
        <w:rPr>
          <w:rFonts w:ascii="Times New Roman" w:hAnsi="Times New Roman" w:cs="Times New Roman"/>
          <w:color w:val="000000" w:themeColor="text1"/>
          <w:sz w:val="24"/>
          <w:szCs w:val="24"/>
        </w:rPr>
        <w:t>case</w:t>
      </w:r>
      <w:r w:rsidR="001D1445" w:rsidRPr="00490DD1">
        <w:rPr>
          <w:rFonts w:ascii="Times New Roman" w:hAnsi="Times New Roman" w:cs="Times New Roman"/>
          <w:color w:val="000000" w:themeColor="text1"/>
          <w:sz w:val="24"/>
          <w:szCs w:val="24"/>
        </w:rPr>
        <w:t xml:space="preserve"> </w:t>
      </w:r>
      <w:r w:rsidR="00670537" w:rsidRPr="00490DD1">
        <w:rPr>
          <w:rFonts w:ascii="Times New Roman" w:hAnsi="Times New Roman" w:cs="Times New Roman"/>
          <w:color w:val="000000" w:themeColor="text1"/>
          <w:sz w:val="24"/>
          <w:szCs w:val="24"/>
        </w:rPr>
        <w:t>illustrates</w:t>
      </w:r>
      <w:r w:rsidR="00B96ACE">
        <w:rPr>
          <w:rFonts w:ascii="Times New Roman" w:hAnsi="Times New Roman" w:cs="Times New Roman"/>
          <w:color w:val="000000" w:themeColor="text1"/>
          <w:sz w:val="24"/>
          <w:szCs w:val="24"/>
        </w:rPr>
        <w:t>,</w:t>
      </w:r>
      <w:r w:rsidR="001D1445" w:rsidRPr="00490DD1">
        <w:rPr>
          <w:rFonts w:ascii="Times New Roman" w:hAnsi="Times New Roman" w:cs="Times New Roman"/>
          <w:color w:val="000000" w:themeColor="text1"/>
          <w:sz w:val="24"/>
          <w:szCs w:val="24"/>
        </w:rPr>
        <w:t xml:space="preserve"> </w:t>
      </w:r>
      <w:r w:rsidR="00B63A72">
        <w:rPr>
          <w:rFonts w:ascii="Times New Roman" w:hAnsi="Times New Roman" w:cs="Times New Roman"/>
          <w:color w:val="000000" w:themeColor="text1"/>
          <w:sz w:val="24"/>
          <w:szCs w:val="24"/>
        </w:rPr>
        <w:t>are present</w:t>
      </w:r>
      <w:r w:rsidR="001D1445" w:rsidRPr="00490DD1">
        <w:rPr>
          <w:rFonts w:ascii="Times New Roman" w:hAnsi="Times New Roman" w:cs="Times New Roman"/>
          <w:color w:val="000000" w:themeColor="text1"/>
          <w:sz w:val="24"/>
          <w:szCs w:val="24"/>
        </w:rPr>
        <w:t xml:space="preserve">. </w:t>
      </w:r>
      <w:proofErr w:type="spellStart"/>
      <w:r w:rsidR="00A272C0">
        <w:rPr>
          <w:rFonts w:ascii="Times New Roman" w:hAnsi="Times New Roman" w:cs="Times New Roman"/>
          <w:color w:val="000000" w:themeColor="text1"/>
          <w:sz w:val="24"/>
          <w:szCs w:val="24"/>
        </w:rPr>
        <w:t>Jaloud</w:t>
      </w:r>
      <w:r w:rsidR="00473E94">
        <w:rPr>
          <w:rFonts w:ascii="Times New Roman" w:hAnsi="Times New Roman" w:cs="Times New Roman"/>
          <w:color w:val="000000" w:themeColor="text1"/>
          <w:sz w:val="24"/>
          <w:szCs w:val="24"/>
        </w:rPr>
        <w:t>’s</w:t>
      </w:r>
      <w:proofErr w:type="spellEnd"/>
      <w:r w:rsidR="00473E94">
        <w:rPr>
          <w:rFonts w:ascii="Times New Roman" w:hAnsi="Times New Roman" w:cs="Times New Roman"/>
          <w:color w:val="000000" w:themeColor="text1"/>
          <w:sz w:val="24"/>
          <w:szCs w:val="24"/>
        </w:rPr>
        <w:t xml:space="preserve"> son</w:t>
      </w:r>
      <w:r w:rsidR="00A272C0">
        <w:rPr>
          <w:rFonts w:ascii="Times New Roman" w:hAnsi="Times New Roman" w:cs="Times New Roman"/>
          <w:color w:val="000000" w:themeColor="text1"/>
          <w:sz w:val="24"/>
          <w:szCs w:val="24"/>
        </w:rPr>
        <w:t xml:space="preserve"> was </w:t>
      </w:r>
      <w:r w:rsidR="00473E94">
        <w:rPr>
          <w:rFonts w:ascii="Times New Roman" w:hAnsi="Times New Roman" w:cs="Times New Roman"/>
          <w:color w:val="000000" w:themeColor="text1"/>
          <w:sz w:val="24"/>
          <w:szCs w:val="24"/>
        </w:rPr>
        <w:t xml:space="preserve">killed </w:t>
      </w:r>
      <w:r w:rsidR="003174EE">
        <w:rPr>
          <w:rFonts w:ascii="Times New Roman" w:hAnsi="Times New Roman" w:cs="Times New Roman"/>
          <w:color w:val="000000" w:themeColor="text1"/>
          <w:sz w:val="24"/>
          <w:szCs w:val="24"/>
        </w:rPr>
        <w:t xml:space="preserve">by Dutch (and possibly Iraqi) forces </w:t>
      </w:r>
      <w:r w:rsidR="00473E94">
        <w:rPr>
          <w:rFonts w:ascii="Times New Roman" w:hAnsi="Times New Roman" w:cs="Times New Roman"/>
          <w:color w:val="000000" w:themeColor="text1"/>
          <w:sz w:val="24"/>
          <w:szCs w:val="24"/>
        </w:rPr>
        <w:t xml:space="preserve">whilst attempting to pass a vehicle checkpoint at speed in Iraq. The Netherlands launched an investigation into the fatal shooting. </w:t>
      </w:r>
      <w:r w:rsidR="003174EE">
        <w:rPr>
          <w:rFonts w:ascii="Times New Roman" w:hAnsi="Times New Roman" w:cs="Times New Roman"/>
          <w:color w:val="000000" w:themeColor="text1"/>
          <w:sz w:val="24"/>
          <w:szCs w:val="24"/>
        </w:rPr>
        <w:t>Yet, f</w:t>
      </w:r>
      <w:r w:rsidR="001D1445" w:rsidRPr="00490DD1">
        <w:rPr>
          <w:rFonts w:ascii="Times New Roman" w:hAnsi="Times New Roman" w:cs="Times New Roman"/>
          <w:color w:val="000000" w:themeColor="text1"/>
          <w:sz w:val="24"/>
          <w:szCs w:val="24"/>
        </w:rPr>
        <w:t>or a variety of legal and practical reasons, the Netherlands handed over the body into the care of the territorial State.</w:t>
      </w:r>
      <w:r w:rsidR="001D1445" w:rsidRPr="00490DD1">
        <w:rPr>
          <w:rStyle w:val="FootnoteReference"/>
          <w:rFonts w:ascii="Times New Roman" w:hAnsi="Times New Roman" w:cs="Times New Roman"/>
          <w:color w:val="000000" w:themeColor="text1"/>
          <w:sz w:val="24"/>
          <w:szCs w:val="24"/>
        </w:rPr>
        <w:footnoteReference w:id="102"/>
      </w:r>
      <w:r w:rsidR="001D1445" w:rsidRPr="00490DD1">
        <w:rPr>
          <w:rFonts w:ascii="Times New Roman" w:hAnsi="Times New Roman" w:cs="Times New Roman"/>
          <w:color w:val="000000" w:themeColor="text1"/>
          <w:sz w:val="24"/>
          <w:szCs w:val="24"/>
        </w:rPr>
        <w:t xml:space="preserve"> </w:t>
      </w:r>
      <w:r w:rsidR="003174EE">
        <w:rPr>
          <w:rFonts w:ascii="Times New Roman" w:hAnsi="Times New Roman" w:cs="Times New Roman"/>
          <w:color w:val="000000" w:themeColor="text1"/>
          <w:sz w:val="24"/>
          <w:szCs w:val="24"/>
        </w:rPr>
        <w:t>C</w:t>
      </w:r>
      <w:r w:rsidR="001D1445" w:rsidRPr="00490DD1">
        <w:rPr>
          <w:rFonts w:ascii="Times New Roman" w:hAnsi="Times New Roman" w:cs="Times New Roman"/>
          <w:color w:val="000000" w:themeColor="text1"/>
          <w:sz w:val="24"/>
          <w:szCs w:val="24"/>
        </w:rPr>
        <w:t>onscious of the likely poor quality of the post-mortem examination</w:t>
      </w:r>
      <w:r w:rsidR="00591D96" w:rsidRPr="00490DD1">
        <w:rPr>
          <w:rFonts w:ascii="Times New Roman" w:hAnsi="Times New Roman" w:cs="Times New Roman"/>
          <w:color w:val="000000" w:themeColor="text1"/>
          <w:sz w:val="24"/>
          <w:szCs w:val="24"/>
        </w:rPr>
        <w:t xml:space="preserve"> and</w:t>
      </w:r>
      <w:r w:rsidR="001D1445" w:rsidRPr="00490DD1">
        <w:rPr>
          <w:rFonts w:ascii="Times New Roman" w:hAnsi="Times New Roman" w:cs="Times New Roman"/>
          <w:color w:val="000000" w:themeColor="text1"/>
          <w:sz w:val="24"/>
          <w:szCs w:val="24"/>
        </w:rPr>
        <w:t xml:space="preserve"> </w:t>
      </w:r>
      <w:r w:rsidR="00591D96" w:rsidRPr="00490DD1">
        <w:rPr>
          <w:rStyle w:val="sb8d990e2"/>
          <w:rFonts w:ascii="Times New Roman" w:hAnsi="Times New Roman" w:cs="Times New Roman"/>
          <w:color w:val="000000" w:themeColor="text1"/>
          <w:sz w:val="24"/>
          <w:szCs w:val="24"/>
        </w:rPr>
        <w:t>legally unable to compel the Iraqi authorities to include its personnel at the autopsy</w:t>
      </w:r>
      <w:r w:rsidR="008A5CDD" w:rsidRPr="00490DD1">
        <w:rPr>
          <w:rStyle w:val="sb8d990e2"/>
          <w:rFonts w:ascii="Times New Roman" w:hAnsi="Times New Roman" w:cs="Times New Roman"/>
          <w:color w:val="000000" w:themeColor="text1"/>
          <w:sz w:val="24"/>
          <w:szCs w:val="24"/>
        </w:rPr>
        <w:t>,</w:t>
      </w:r>
      <w:r w:rsidR="00591D96" w:rsidRPr="00490DD1">
        <w:rPr>
          <w:rStyle w:val="sb8d990e2"/>
          <w:rFonts w:ascii="Times New Roman" w:hAnsi="Times New Roman" w:cs="Times New Roman"/>
          <w:color w:val="000000" w:themeColor="text1"/>
          <w:sz w:val="24"/>
          <w:szCs w:val="24"/>
        </w:rPr>
        <w:t xml:space="preserve"> </w:t>
      </w:r>
      <w:r w:rsidR="00591D96" w:rsidRPr="00490DD1">
        <w:rPr>
          <w:rFonts w:ascii="Times New Roman" w:hAnsi="Times New Roman" w:cs="Times New Roman"/>
          <w:color w:val="000000" w:themeColor="text1"/>
          <w:sz w:val="24"/>
          <w:szCs w:val="24"/>
        </w:rPr>
        <w:t>the Netherlands</w:t>
      </w:r>
      <w:r w:rsidR="00591D96" w:rsidRPr="00490DD1">
        <w:rPr>
          <w:rStyle w:val="sb8d990e2"/>
          <w:rFonts w:ascii="Times New Roman" w:hAnsi="Times New Roman" w:cs="Times New Roman"/>
          <w:color w:val="000000" w:themeColor="text1"/>
          <w:sz w:val="24"/>
          <w:szCs w:val="24"/>
        </w:rPr>
        <w:t xml:space="preserve"> sent</w:t>
      </w:r>
      <w:r w:rsidR="001D1445" w:rsidRPr="00490DD1">
        <w:rPr>
          <w:rStyle w:val="sb8d990e2"/>
          <w:rFonts w:ascii="Times New Roman" w:hAnsi="Times New Roman" w:cs="Times New Roman"/>
          <w:color w:val="000000" w:themeColor="text1"/>
          <w:sz w:val="24"/>
          <w:szCs w:val="24"/>
        </w:rPr>
        <w:t xml:space="preserve"> troops to oversee the autopsy.</w:t>
      </w:r>
      <w:r w:rsidR="001D1445" w:rsidRPr="00490DD1">
        <w:rPr>
          <w:rFonts w:ascii="Times New Roman" w:hAnsi="Times New Roman" w:cs="Times New Roman"/>
          <w:color w:val="000000" w:themeColor="text1"/>
          <w:sz w:val="24"/>
          <w:szCs w:val="24"/>
        </w:rPr>
        <w:t xml:space="preserve"> Unfortunately, </w:t>
      </w:r>
      <w:r w:rsidR="001D1445" w:rsidRPr="00490DD1">
        <w:rPr>
          <w:rStyle w:val="sb8d990e2"/>
          <w:rFonts w:ascii="Times New Roman" w:hAnsi="Times New Roman" w:cs="Times New Roman"/>
          <w:color w:val="000000" w:themeColor="text1"/>
          <w:sz w:val="24"/>
          <w:szCs w:val="24"/>
        </w:rPr>
        <w:t>the situation became so tense that the ‘</w:t>
      </w:r>
      <w:r w:rsidR="001D1445" w:rsidRPr="00490DD1">
        <w:rPr>
          <w:rFonts w:ascii="Times New Roman" w:hAnsi="Times New Roman" w:cs="Times New Roman"/>
          <w:color w:val="000000" w:themeColor="text1"/>
          <w:sz w:val="24"/>
          <w:szCs w:val="24"/>
        </w:rPr>
        <w:t>Netherlands personnel who were present in the hospital reported their fear of being taken hostage and left the premises for that reason’</w:t>
      </w:r>
      <w:r w:rsidR="00615026">
        <w:rPr>
          <w:rFonts w:ascii="Times New Roman" w:hAnsi="Times New Roman" w:cs="Times New Roman"/>
          <w:color w:val="000000" w:themeColor="text1"/>
          <w:sz w:val="24"/>
          <w:szCs w:val="24"/>
        </w:rPr>
        <w:t>.</w:t>
      </w:r>
      <w:r w:rsidR="001D1445" w:rsidRPr="00490DD1">
        <w:rPr>
          <w:rStyle w:val="FootnoteReference"/>
          <w:rFonts w:ascii="Times New Roman" w:hAnsi="Times New Roman" w:cs="Times New Roman"/>
          <w:color w:val="000000" w:themeColor="text1"/>
          <w:sz w:val="24"/>
          <w:szCs w:val="24"/>
        </w:rPr>
        <w:footnoteReference w:id="103"/>
      </w:r>
      <w:r w:rsidR="000419B4" w:rsidRPr="00490DD1">
        <w:rPr>
          <w:rFonts w:ascii="Times New Roman" w:hAnsi="Times New Roman" w:cs="Times New Roman"/>
          <w:color w:val="000000" w:themeColor="text1"/>
          <w:sz w:val="24"/>
          <w:szCs w:val="24"/>
        </w:rPr>
        <w:t xml:space="preserve"> Despite all these positive steps undertaken by the Netherlands</w:t>
      </w:r>
      <w:r w:rsidR="00B63A72">
        <w:rPr>
          <w:rFonts w:ascii="Times New Roman" w:hAnsi="Times New Roman" w:cs="Times New Roman"/>
          <w:color w:val="000000" w:themeColor="text1"/>
          <w:sz w:val="24"/>
          <w:szCs w:val="24"/>
        </w:rPr>
        <w:t xml:space="preserve"> and so trying to comply with their obligations of means</w:t>
      </w:r>
      <w:r w:rsidR="000419B4" w:rsidRPr="00490DD1">
        <w:rPr>
          <w:rFonts w:ascii="Times New Roman" w:hAnsi="Times New Roman" w:cs="Times New Roman"/>
          <w:color w:val="000000" w:themeColor="text1"/>
          <w:sz w:val="24"/>
          <w:szCs w:val="24"/>
        </w:rPr>
        <w:t>, the Court asserted</w:t>
      </w:r>
      <w:r w:rsidR="00A70064" w:rsidRPr="00490DD1">
        <w:rPr>
          <w:rFonts w:ascii="Times New Roman" w:hAnsi="Times New Roman" w:cs="Times New Roman"/>
          <w:color w:val="000000" w:themeColor="text1"/>
          <w:sz w:val="24"/>
          <w:szCs w:val="24"/>
        </w:rPr>
        <w:t xml:space="preserve"> that ‘</w:t>
      </w:r>
      <w:r w:rsidR="00A70064" w:rsidRPr="00490DD1">
        <w:rPr>
          <w:rStyle w:val="sb8d990e2"/>
          <w:rFonts w:ascii="Times New Roman" w:hAnsi="Times New Roman" w:cs="Times New Roman"/>
          <w:color w:val="000000" w:themeColor="text1"/>
          <w:sz w:val="24"/>
          <w:szCs w:val="24"/>
        </w:rPr>
        <w:t>no attempt was made to carry out the autopsy under conditions befitting an investigation into the possible criminal responsibility of an agent of the State, and in that the resulting report was inadequate’</w:t>
      </w:r>
      <w:r w:rsidR="00615026">
        <w:rPr>
          <w:rStyle w:val="sb8d990e2"/>
          <w:rFonts w:ascii="Times New Roman" w:hAnsi="Times New Roman" w:cs="Times New Roman"/>
          <w:color w:val="000000" w:themeColor="text1"/>
          <w:sz w:val="24"/>
          <w:szCs w:val="24"/>
        </w:rPr>
        <w:t>.</w:t>
      </w:r>
      <w:r w:rsidR="00A70064" w:rsidRPr="00490DD1">
        <w:rPr>
          <w:rStyle w:val="FootnoteReference"/>
          <w:rFonts w:ascii="Times New Roman" w:hAnsi="Times New Roman" w:cs="Times New Roman"/>
          <w:color w:val="000000" w:themeColor="text1"/>
          <w:sz w:val="24"/>
          <w:szCs w:val="24"/>
        </w:rPr>
        <w:footnoteReference w:id="104"/>
      </w:r>
      <w:r w:rsidR="00A70064" w:rsidRPr="00490DD1">
        <w:rPr>
          <w:rStyle w:val="sb8d990e2"/>
          <w:rFonts w:ascii="Times New Roman" w:hAnsi="Times New Roman" w:cs="Times New Roman"/>
          <w:color w:val="000000" w:themeColor="text1"/>
          <w:sz w:val="24"/>
          <w:szCs w:val="24"/>
        </w:rPr>
        <w:t xml:space="preserve"> </w:t>
      </w:r>
      <w:r w:rsidR="000419B4" w:rsidRPr="00490DD1">
        <w:rPr>
          <w:rFonts w:ascii="Times New Roman" w:hAnsi="Times New Roman" w:cs="Times New Roman"/>
          <w:color w:val="000000" w:themeColor="text1"/>
          <w:sz w:val="24"/>
          <w:szCs w:val="24"/>
          <w:shd w:val="clear" w:color="auto" w:fill="FFFFFF"/>
        </w:rPr>
        <w:t xml:space="preserve">The Court showed no flexibility and </w:t>
      </w:r>
      <w:r w:rsidR="000419B4" w:rsidRPr="00490DD1">
        <w:rPr>
          <w:rFonts w:ascii="Times New Roman" w:hAnsi="Times New Roman" w:cs="Times New Roman"/>
          <w:color w:val="000000" w:themeColor="text1"/>
          <w:sz w:val="24"/>
          <w:szCs w:val="24"/>
          <w:shd w:val="clear" w:color="auto" w:fill="FFFFFF"/>
        </w:rPr>
        <w:lastRenderedPageBreak/>
        <w:t xml:space="preserve">understanding of the situation. </w:t>
      </w:r>
      <w:r w:rsidRPr="00490DD1">
        <w:rPr>
          <w:rFonts w:ascii="Times New Roman" w:hAnsi="Times New Roman" w:cs="Times New Roman"/>
          <w:color w:val="000000" w:themeColor="text1"/>
          <w:sz w:val="24"/>
          <w:szCs w:val="24"/>
        </w:rPr>
        <w:t>An additional el</w:t>
      </w:r>
      <w:r w:rsidR="00B96ACE">
        <w:rPr>
          <w:rFonts w:ascii="Times New Roman" w:hAnsi="Times New Roman" w:cs="Times New Roman"/>
          <w:color w:val="000000" w:themeColor="text1"/>
          <w:sz w:val="24"/>
          <w:szCs w:val="24"/>
        </w:rPr>
        <w:t>ement that needs to be assessed</w:t>
      </w:r>
      <w:r w:rsidRPr="00490DD1">
        <w:rPr>
          <w:rFonts w:ascii="Times New Roman" w:hAnsi="Times New Roman" w:cs="Times New Roman"/>
          <w:color w:val="000000" w:themeColor="text1"/>
          <w:sz w:val="24"/>
          <w:szCs w:val="24"/>
        </w:rPr>
        <w:t xml:space="preserve"> is that the autopsy report must be translated.</w:t>
      </w:r>
      <w:r w:rsidRPr="00490DD1">
        <w:rPr>
          <w:rStyle w:val="FootnoteReference"/>
          <w:rFonts w:ascii="Times New Roman" w:hAnsi="Times New Roman" w:cs="Times New Roman"/>
          <w:color w:val="000000" w:themeColor="text1"/>
          <w:sz w:val="24"/>
          <w:szCs w:val="24"/>
        </w:rPr>
        <w:footnoteReference w:id="105"/>
      </w:r>
      <w:r w:rsidRPr="00490DD1">
        <w:rPr>
          <w:rFonts w:ascii="Times New Roman" w:hAnsi="Times New Roman" w:cs="Times New Roman"/>
          <w:color w:val="000000" w:themeColor="text1"/>
          <w:sz w:val="24"/>
          <w:szCs w:val="24"/>
        </w:rPr>
        <w:t xml:space="preserve"> </w:t>
      </w:r>
      <w:r w:rsidR="006D59C9" w:rsidRPr="00490DD1">
        <w:rPr>
          <w:rFonts w:ascii="Times New Roman" w:hAnsi="Times New Roman" w:cs="Times New Roman"/>
          <w:color w:val="000000" w:themeColor="text1"/>
          <w:sz w:val="24"/>
          <w:szCs w:val="24"/>
        </w:rPr>
        <w:t>As aforementioned</w:t>
      </w:r>
      <w:r w:rsidR="008A5CDD" w:rsidRPr="00490DD1">
        <w:rPr>
          <w:rFonts w:ascii="Times New Roman" w:hAnsi="Times New Roman" w:cs="Times New Roman"/>
          <w:color w:val="000000" w:themeColor="text1"/>
          <w:sz w:val="24"/>
          <w:szCs w:val="24"/>
        </w:rPr>
        <w:t>,</w:t>
      </w:r>
      <w:r w:rsidR="00FF6CE1" w:rsidRPr="00490DD1">
        <w:rPr>
          <w:rFonts w:ascii="Times New Roman" w:hAnsi="Times New Roman" w:cs="Times New Roman"/>
          <w:color w:val="000000" w:themeColor="text1"/>
          <w:sz w:val="24"/>
          <w:szCs w:val="24"/>
        </w:rPr>
        <w:t xml:space="preserve"> translators and interpreters </w:t>
      </w:r>
      <w:r w:rsidR="006D59C9" w:rsidRPr="00490DD1">
        <w:rPr>
          <w:rFonts w:ascii="Times New Roman" w:hAnsi="Times New Roman" w:cs="Times New Roman"/>
          <w:color w:val="000000" w:themeColor="text1"/>
          <w:sz w:val="24"/>
          <w:szCs w:val="24"/>
        </w:rPr>
        <w:t>must be made available to the armed forces</w:t>
      </w:r>
      <w:r w:rsidR="00FF6CE1" w:rsidRPr="00490DD1">
        <w:rPr>
          <w:rFonts w:ascii="Times New Roman" w:hAnsi="Times New Roman" w:cs="Times New Roman"/>
          <w:color w:val="000000" w:themeColor="text1"/>
          <w:sz w:val="24"/>
          <w:szCs w:val="24"/>
        </w:rPr>
        <w:t>.</w:t>
      </w:r>
    </w:p>
    <w:p w14:paraId="5212FDFC" w14:textId="5BF5DE0D" w:rsidR="00D17493" w:rsidRPr="00490DD1" w:rsidRDefault="00D17493"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 xml:space="preserve">Overall, it is not an easy task for the armed forces to follow the principle of effective investigation in an extra-territorial context. </w:t>
      </w:r>
      <w:r w:rsidR="007F0274">
        <w:rPr>
          <w:rFonts w:ascii="Times New Roman" w:hAnsi="Times New Roman" w:cs="Times New Roman"/>
          <w:color w:val="000000" w:themeColor="text1"/>
          <w:sz w:val="24"/>
          <w:szCs w:val="24"/>
        </w:rPr>
        <w:t>The Court’s requirements are reasonable though i</w:t>
      </w:r>
      <w:r w:rsidRPr="00490DD1">
        <w:rPr>
          <w:rFonts w:ascii="Times New Roman" w:hAnsi="Times New Roman" w:cs="Times New Roman"/>
          <w:color w:val="000000" w:themeColor="text1"/>
          <w:sz w:val="24"/>
          <w:szCs w:val="24"/>
        </w:rPr>
        <w:t>n some instances</w:t>
      </w:r>
      <w:r w:rsidR="008A5CDD" w:rsidRPr="00490DD1">
        <w:rPr>
          <w:rFonts w:ascii="Times New Roman" w:hAnsi="Times New Roman" w:cs="Times New Roman"/>
          <w:color w:val="000000" w:themeColor="text1"/>
          <w:sz w:val="24"/>
          <w:szCs w:val="24"/>
        </w:rPr>
        <w:t>,</w:t>
      </w:r>
      <w:r w:rsidR="00EB45FD"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 xml:space="preserve">it is </w:t>
      </w:r>
      <w:r w:rsidR="00EB45FD" w:rsidRPr="00490DD1">
        <w:rPr>
          <w:rFonts w:ascii="Times New Roman" w:hAnsi="Times New Roman" w:cs="Times New Roman"/>
          <w:color w:val="000000" w:themeColor="text1"/>
          <w:sz w:val="24"/>
          <w:szCs w:val="24"/>
        </w:rPr>
        <w:t xml:space="preserve">a difficult, though not </w:t>
      </w:r>
      <w:r w:rsidR="00B63A72">
        <w:rPr>
          <w:rFonts w:ascii="Times New Roman" w:hAnsi="Times New Roman" w:cs="Times New Roman"/>
          <w:color w:val="000000" w:themeColor="text1"/>
          <w:sz w:val="24"/>
          <w:szCs w:val="24"/>
        </w:rPr>
        <w:t xml:space="preserve">an </w:t>
      </w:r>
      <w:r w:rsidR="00EB45FD" w:rsidRPr="00490DD1">
        <w:rPr>
          <w:rFonts w:ascii="Times New Roman" w:hAnsi="Times New Roman" w:cs="Times New Roman"/>
          <w:color w:val="000000" w:themeColor="text1"/>
          <w:sz w:val="24"/>
          <w:szCs w:val="24"/>
        </w:rPr>
        <w:t>impossible, mission. With increased manpower and better resources</w:t>
      </w:r>
      <w:r w:rsidR="008A5CDD" w:rsidRPr="00490DD1">
        <w:rPr>
          <w:rFonts w:ascii="Times New Roman" w:hAnsi="Times New Roman" w:cs="Times New Roman"/>
          <w:color w:val="000000" w:themeColor="text1"/>
          <w:sz w:val="24"/>
          <w:szCs w:val="24"/>
        </w:rPr>
        <w:t>,</w:t>
      </w:r>
      <w:r w:rsidR="00EB45FD" w:rsidRPr="00490DD1">
        <w:rPr>
          <w:rFonts w:ascii="Times New Roman" w:hAnsi="Times New Roman" w:cs="Times New Roman"/>
          <w:color w:val="000000" w:themeColor="text1"/>
          <w:sz w:val="24"/>
          <w:szCs w:val="24"/>
        </w:rPr>
        <w:t xml:space="preserve"> the armed forces </w:t>
      </w:r>
      <w:r w:rsidR="00FE093F" w:rsidRPr="00490DD1">
        <w:rPr>
          <w:rFonts w:ascii="Times New Roman" w:hAnsi="Times New Roman" w:cs="Times New Roman"/>
          <w:color w:val="000000" w:themeColor="text1"/>
          <w:sz w:val="24"/>
          <w:szCs w:val="24"/>
        </w:rPr>
        <w:t>would be in a better position</w:t>
      </w:r>
      <w:r w:rsidR="00EB45FD" w:rsidRPr="00490DD1">
        <w:rPr>
          <w:rFonts w:ascii="Times New Roman" w:hAnsi="Times New Roman" w:cs="Times New Roman"/>
          <w:color w:val="000000" w:themeColor="text1"/>
          <w:sz w:val="24"/>
          <w:szCs w:val="24"/>
        </w:rPr>
        <w:t xml:space="preserve"> </w:t>
      </w:r>
      <w:r w:rsidR="003174EE">
        <w:rPr>
          <w:rFonts w:ascii="Times New Roman" w:hAnsi="Times New Roman" w:cs="Times New Roman"/>
          <w:color w:val="000000" w:themeColor="text1"/>
          <w:sz w:val="24"/>
          <w:szCs w:val="24"/>
        </w:rPr>
        <w:t>though</w:t>
      </w:r>
      <w:r w:rsidRPr="00490DD1">
        <w:rPr>
          <w:rFonts w:ascii="Times New Roman" w:hAnsi="Times New Roman" w:cs="Times New Roman"/>
          <w:color w:val="000000" w:themeColor="text1"/>
          <w:sz w:val="24"/>
          <w:szCs w:val="24"/>
        </w:rPr>
        <w:t xml:space="preserve">. </w:t>
      </w:r>
      <w:r w:rsidR="00EB45FD" w:rsidRPr="00490DD1">
        <w:rPr>
          <w:rFonts w:ascii="Times New Roman" w:hAnsi="Times New Roman" w:cs="Times New Roman"/>
          <w:color w:val="000000" w:themeColor="text1"/>
          <w:sz w:val="24"/>
          <w:szCs w:val="24"/>
        </w:rPr>
        <w:t xml:space="preserve">The only real and in fact legal hurdle relates to carrying out autopsies when the </w:t>
      </w:r>
      <w:r w:rsidR="008F1456" w:rsidRPr="00490DD1">
        <w:rPr>
          <w:rFonts w:ascii="Times New Roman" w:hAnsi="Times New Roman" w:cs="Times New Roman"/>
          <w:color w:val="000000" w:themeColor="text1"/>
          <w:sz w:val="24"/>
          <w:szCs w:val="24"/>
        </w:rPr>
        <w:t xml:space="preserve">territorial </w:t>
      </w:r>
      <w:r w:rsidR="00EB45FD" w:rsidRPr="00490DD1">
        <w:rPr>
          <w:rFonts w:ascii="Times New Roman" w:hAnsi="Times New Roman" w:cs="Times New Roman"/>
          <w:color w:val="000000" w:themeColor="text1"/>
          <w:sz w:val="24"/>
          <w:szCs w:val="24"/>
        </w:rPr>
        <w:t>State has the right to take the body</w:t>
      </w:r>
      <w:r w:rsidR="007041D8" w:rsidRPr="00490DD1">
        <w:rPr>
          <w:rFonts w:ascii="Times New Roman" w:hAnsi="Times New Roman" w:cs="Times New Roman"/>
          <w:color w:val="000000" w:themeColor="text1"/>
          <w:sz w:val="24"/>
          <w:szCs w:val="24"/>
        </w:rPr>
        <w:t>,</w:t>
      </w:r>
      <w:r w:rsidR="00EB45FD" w:rsidRPr="00490DD1">
        <w:rPr>
          <w:rFonts w:ascii="Times New Roman" w:hAnsi="Times New Roman" w:cs="Times New Roman"/>
          <w:color w:val="000000" w:themeColor="text1"/>
          <w:sz w:val="24"/>
          <w:szCs w:val="24"/>
        </w:rPr>
        <w:t xml:space="preserve"> and thus the armed forces are faced with an impossible mission to comply with the law.</w:t>
      </w:r>
      <w:r w:rsidR="007F0274">
        <w:rPr>
          <w:rFonts w:ascii="Times New Roman" w:hAnsi="Times New Roman" w:cs="Times New Roman"/>
          <w:color w:val="000000" w:themeColor="text1"/>
          <w:sz w:val="24"/>
          <w:szCs w:val="24"/>
        </w:rPr>
        <w:t xml:space="preserve"> T</w:t>
      </w:r>
      <w:r w:rsidR="008F1456" w:rsidRPr="00490DD1">
        <w:rPr>
          <w:rFonts w:ascii="Times New Roman" w:hAnsi="Times New Roman" w:cs="Times New Roman"/>
          <w:color w:val="000000" w:themeColor="text1"/>
          <w:sz w:val="24"/>
          <w:szCs w:val="24"/>
        </w:rPr>
        <w:t xml:space="preserve">he Court has shown </w:t>
      </w:r>
      <w:r w:rsidR="007F0274">
        <w:rPr>
          <w:rFonts w:ascii="Times New Roman" w:hAnsi="Times New Roman" w:cs="Times New Roman"/>
          <w:color w:val="000000" w:themeColor="text1"/>
          <w:sz w:val="24"/>
          <w:szCs w:val="24"/>
        </w:rPr>
        <w:t xml:space="preserve">in this </w:t>
      </w:r>
      <w:proofErr w:type="gramStart"/>
      <w:r w:rsidR="007F0274">
        <w:rPr>
          <w:rFonts w:ascii="Times New Roman" w:hAnsi="Times New Roman" w:cs="Times New Roman"/>
          <w:color w:val="000000" w:themeColor="text1"/>
          <w:sz w:val="24"/>
          <w:szCs w:val="24"/>
        </w:rPr>
        <w:t>particular instance</w:t>
      </w:r>
      <w:proofErr w:type="gramEnd"/>
      <w:r w:rsidR="007F0274">
        <w:rPr>
          <w:rFonts w:ascii="Times New Roman" w:hAnsi="Times New Roman" w:cs="Times New Roman"/>
          <w:color w:val="000000" w:themeColor="text1"/>
          <w:sz w:val="24"/>
          <w:szCs w:val="24"/>
        </w:rPr>
        <w:t xml:space="preserve"> </w:t>
      </w:r>
      <w:r w:rsidR="008F1456" w:rsidRPr="00490DD1">
        <w:rPr>
          <w:rFonts w:ascii="Times New Roman" w:hAnsi="Times New Roman" w:cs="Times New Roman"/>
          <w:color w:val="000000" w:themeColor="text1"/>
          <w:sz w:val="24"/>
          <w:szCs w:val="24"/>
        </w:rPr>
        <w:t>very little flexibility.</w:t>
      </w:r>
      <w:r w:rsidR="001C0B51">
        <w:rPr>
          <w:rFonts w:ascii="Times New Roman" w:hAnsi="Times New Roman" w:cs="Times New Roman"/>
          <w:color w:val="000000" w:themeColor="text1"/>
          <w:sz w:val="24"/>
          <w:szCs w:val="24"/>
        </w:rPr>
        <w:t xml:space="preserve"> It is rather disconcerting </w:t>
      </w:r>
      <w:r w:rsidR="007F0274">
        <w:rPr>
          <w:rFonts w:ascii="Times New Roman" w:hAnsi="Times New Roman" w:cs="Times New Roman"/>
          <w:color w:val="000000" w:themeColor="text1"/>
          <w:sz w:val="24"/>
          <w:szCs w:val="24"/>
        </w:rPr>
        <w:t>because the Court has on numerous occasions repeated that the obligation to undertake an effective investigation is not one of results but means.</w:t>
      </w:r>
      <w:r w:rsidR="007F0274">
        <w:rPr>
          <w:rStyle w:val="FootnoteReference"/>
          <w:rFonts w:ascii="Times New Roman" w:hAnsi="Times New Roman" w:cs="Times New Roman"/>
          <w:color w:val="000000" w:themeColor="text1"/>
          <w:sz w:val="24"/>
          <w:szCs w:val="24"/>
        </w:rPr>
        <w:footnoteReference w:id="106"/>
      </w:r>
      <w:r w:rsidR="007F0274">
        <w:rPr>
          <w:rFonts w:ascii="Times New Roman" w:hAnsi="Times New Roman" w:cs="Times New Roman"/>
          <w:color w:val="000000" w:themeColor="text1"/>
          <w:sz w:val="24"/>
          <w:szCs w:val="24"/>
        </w:rPr>
        <w:t xml:space="preserve"> </w:t>
      </w:r>
      <w:r w:rsidR="008F1456" w:rsidRPr="00490DD1">
        <w:rPr>
          <w:rFonts w:ascii="Times New Roman" w:hAnsi="Times New Roman" w:cs="Times New Roman"/>
          <w:color w:val="000000" w:themeColor="text1"/>
          <w:sz w:val="24"/>
          <w:szCs w:val="24"/>
        </w:rPr>
        <w:t xml:space="preserve"> </w:t>
      </w:r>
    </w:p>
    <w:p w14:paraId="3DA69DD7" w14:textId="77777777" w:rsidR="00D17493" w:rsidRPr="00490DD1" w:rsidRDefault="00D17493" w:rsidP="008A5CDD">
      <w:pPr>
        <w:spacing w:after="0" w:line="360" w:lineRule="auto"/>
        <w:rPr>
          <w:rFonts w:ascii="Times New Roman" w:hAnsi="Times New Roman" w:cs="Times New Roman"/>
          <w:color w:val="000000" w:themeColor="text1"/>
          <w:sz w:val="24"/>
          <w:szCs w:val="24"/>
        </w:rPr>
      </w:pPr>
    </w:p>
    <w:p w14:paraId="3C020D29" w14:textId="063E6AA0" w:rsidR="00D17493" w:rsidRPr="008241E7" w:rsidRDefault="0001563E" w:rsidP="00670537">
      <w:pPr>
        <w:spacing w:after="0" w:line="360" w:lineRule="auto"/>
        <w:rPr>
          <w:rFonts w:ascii="Times New Roman" w:hAnsi="Times New Roman" w:cs="Times New Roman"/>
          <w:b/>
          <w:caps/>
          <w:color w:val="000000" w:themeColor="text1"/>
          <w:sz w:val="24"/>
          <w:szCs w:val="24"/>
        </w:rPr>
      </w:pPr>
      <w:bookmarkStart w:id="9" w:name="_Toc492309181"/>
      <w:r w:rsidRPr="008241E7">
        <w:rPr>
          <w:rFonts w:ascii="Times New Roman" w:hAnsi="Times New Roman" w:cs="Times New Roman"/>
          <w:b/>
          <w:caps/>
          <w:color w:val="000000" w:themeColor="text1"/>
          <w:sz w:val="24"/>
          <w:szCs w:val="24"/>
        </w:rPr>
        <w:t>4</w:t>
      </w:r>
      <w:r w:rsidR="008241E7" w:rsidRPr="008241E7">
        <w:rPr>
          <w:rFonts w:ascii="Times New Roman" w:hAnsi="Times New Roman" w:cs="Times New Roman"/>
          <w:b/>
          <w:caps/>
          <w:color w:val="000000" w:themeColor="text1"/>
          <w:sz w:val="24"/>
          <w:szCs w:val="24"/>
        </w:rPr>
        <w:t>.</w:t>
      </w:r>
      <w:r w:rsidR="00FE093F" w:rsidRPr="008241E7">
        <w:rPr>
          <w:rFonts w:ascii="Times New Roman" w:hAnsi="Times New Roman" w:cs="Times New Roman"/>
          <w:b/>
          <w:caps/>
          <w:color w:val="000000" w:themeColor="text1"/>
          <w:sz w:val="24"/>
          <w:szCs w:val="24"/>
        </w:rPr>
        <w:t xml:space="preserve"> Principles of Prompt and I</w:t>
      </w:r>
      <w:r w:rsidR="00D17493" w:rsidRPr="008241E7">
        <w:rPr>
          <w:rFonts w:ascii="Times New Roman" w:hAnsi="Times New Roman" w:cs="Times New Roman"/>
          <w:b/>
          <w:caps/>
          <w:color w:val="000000" w:themeColor="text1"/>
          <w:sz w:val="24"/>
          <w:szCs w:val="24"/>
        </w:rPr>
        <w:t xml:space="preserve">ndependent </w:t>
      </w:r>
      <w:r w:rsidR="00FE093F" w:rsidRPr="008241E7">
        <w:rPr>
          <w:rFonts w:ascii="Times New Roman" w:hAnsi="Times New Roman" w:cs="Times New Roman"/>
          <w:b/>
          <w:caps/>
          <w:color w:val="000000" w:themeColor="text1"/>
          <w:sz w:val="24"/>
          <w:szCs w:val="24"/>
        </w:rPr>
        <w:t>I</w:t>
      </w:r>
      <w:r w:rsidR="00D17493" w:rsidRPr="008241E7">
        <w:rPr>
          <w:rFonts w:ascii="Times New Roman" w:hAnsi="Times New Roman" w:cs="Times New Roman"/>
          <w:b/>
          <w:caps/>
          <w:color w:val="000000" w:themeColor="text1"/>
          <w:sz w:val="24"/>
          <w:szCs w:val="24"/>
        </w:rPr>
        <w:t>nvestigation</w:t>
      </w:r>
      <w:bookmarkEnd w:id="9"/>
    </w:p>
    <w:p w14:paraId="13524301" w14:textId="09B971DB" w:rsidR="00D17493" w:rsidRPr="00490DD1" w:rsidRDefault="00D17493" w:rsidP="00670537">
      <w:pPr>
        <w:spacing w:after="0" w:line="360" w:lineRule="auto"/>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 xml:space="preserve">Two additional interrelated </w:t>
      </w:r>
      <w:r w:rsidR="006D59C9" w:rsidRPr="00490DD1">
        <w:rPr>
          <w:rFonts w:ascii="Times New Roman" w:hAnsi="Times New Roman" w:cs="Times New Roman"/>
          <w:color w:val="000000" w:themeColor="text1"/>
          <w:sz w:val="24"/>
          <w:szCs w:val="24"/>
        </w:rPr>
        <w:t>principles</w:t>
      </w:r>
      <w:r w:rsidRPr="00490DD1">
        <w:rPr>
          <w:rFonts w:ascii="Times New Roman" w:hAnsi="Times New Roman" w:cs="Times New Roman"/>
          <w:color w:val="000000" w:themeColor="text1"/>
          <w:sz w:val="24"/>
          <w:szCs w:val="24"/>
        </w:rPr>
        <w:t xml:space="preserve"> are that the investigation be prompt and independent </w:t>
      </w:r>
      <w:proofErr w:type="gramStart"/>
      <w:r w:rsidRPr="00490DD1">
        <w:rPr>
          <w:rFonts w:ascii="Times New Roman" w:hAnsi="Times New Roman" w:cs="Times New Roman"/>
          <w:color w:val="000000" w:themeColor="text1"/>
          <w:sz w:val="24"/>
          <w:szCs w:val="24"/>
        </w:rPr>
        <w:t>so as to</w:t>
      </w:r>
      <w:proofErr w:type="gramEnd"/>
      <w:r w:rsidRPr="00490DD1">
        <w:rPr>
          <w:rFonts w:ascii="Times New Roman" w:hAnsi="Times New Roman" w:cs="Times New Roman"/>
          <w:color w:val="000000" w:themeColor="text1"/>
          <w:sz w:val="24"/>
          <w:szCs w:val="24"/>
        </w:rPr>
        <w:t xml:space="preserve"> ensure that the public maintains confidence in the State’s monopoly of the use of force.</w:t>
      </w:r>
    </w:p>
    <w:p w14:paraId="55E12D04" w14:textId="77777777" w:rsidR="00D17493" w:rsidRPr="00490DD1" w:rsidRDefault="00D17493" w:rsidP="00670537">
      <w:pPr>
        <w:spacing w:after="0" w:line="360" w:lineRule="auto"/>
        <w:rPr>
          <w:rFonts w:ascii="Times New Roman" w:hAnsi="Times New Roman" w:cs="Times New Roman"/>
          <w:color w:val="000000" w:themeColor="text1"/>
          <w:sz w:val="24"/>
          <w:szCs w:val="24"/>
        </w:rPr>
      </w:pPr>
    </w:p>
    <w:p w14:paraId="3A88E060" w14:textId="0F09DB3D" w:rsidR="00D17493" w:rsidRPr="008241E7" w:rsidRDefault="0001563E" w:rsidP="00670537">
      <w:pPr>
        <w:spacing w:after="0" w:line="360" w:lineRule="auto"/>
        <w:rPr>
          <w:rFonts w:ascii="Times New Roman" w:hAnsi="Times New Roman" w:cs="Times New Roman"/>
          <w:smallCaps/>
          <w:color w:val="000000" w:themeColor="text1"/>
          <w:sz w:val="24"/>
          <w:szCs w:val="24"/>
        </w:rPr>
      </w:pPr>
      <w:bookmarkStart w:id="10" w:name="_Toc492309182"/>
      <w:r w:rsidRPr="008241E7">
        <w:rPr>
          <w:rFonts w:ascii="Times New Roman" w:hAnsi="Times New Roman" w:cs="Times New Roman"/>
          <w:smallCaps/>
          <w:color w:val="000000" w:themeColor="text1"/>
          <w:sz w:val="24"/>
          <w:szCs w:val="24"/>
        </w:rPr>
        <w:t>4</w:t>
      </w:r>
      <w:r w:rsidR="006B7AB6" w:rsidRPr="008241E7">
        <w:rPr>
          <w:rFonts w:ascii="Times New Roman" w:hAnsi="Times New Roman" w:cs="Times New Roman"/>
          <w:smallCaps/>
          <w:color w:val="000000" w:themeColor="text1"/>
          <w:sz w:val="24"/>
          <w:szCs w:val="24"/>
        </w:rPr>
        <w:t>.1</w:t>
      </w:r>
      <w:r w:rsidR="008241E7" w:rsidRPr="008241E7">
        <w:rPr>
          <w:rFonts w:ascii="Times New Roman" w:hAnsi="Times New Roman" w:cs="Times New Roman"/>
          <w:smallCaps/>
          <w:color w:val="000000" w:themeColor="text1"/>
          <w:sz w:val="24"/>
          <w:szCs w:val="24"/>
        </w:rPr>
        <w:t>.</w:t>
      </w:r>
      <w:r w:rsidR="00FE093F" w:rsidRPr="008241E7">
        <w:rPr>
          <w:rFonts w:ascii="Times New Roman" w:hAnsi="Times New Roman" w:cs="Times New Roman"/>
          <w:smallCaps/>
          <w:color w:val="000000" w:themeColor="text1"/>
          <w:sz w:val="24"/>
          <w:szCs w:val="24"/>
        </w:rPr>
        <w:t xml:space="preserve"> Prompt I</w:t>
      </w:r>
      <w:r w:rsidR="00D17493" w:rsidRPr="008241E7">
        <w:rPr>
          <w:rFonts w:ascii="Times New Roman" w:hAnsi="Times New Roman" w:cs="Times New Roman"/>
          <w:smallCaps/>
          <w:color w:val="000000" w:themeColor="text1"/>
          <w:sz w:val="24"/>
          <w:szCs w:val="24"/>
        </w:rPr>
        <w:t>nvestigation</w:t>
      </w:r>
      <w:bookmarkEnd w:id="10"/>
    </w:p>
    <w:p w14:paraId="1EBC2D76" w14:textId="4BD1F2FB" w:rsidR="00D17493" w:rsidRDefault="00D17493" w:rsidP="00670537">
      <w:pPr>
        <w:spacing w:after="0" w:line="360" w:lineRule="auto"/>
        <w:rPr>
          <w:rStyle w:val="sb8d990e2"/>
          <w:rFonts w:ascii="Times New Roman" w:hAnsi="Times New Roman" w:cs="Times New Roman"/>
          <w:color w:val="000000" w:themeColor="text1"/>
          <w:sz w:val="24"/>
          <w:szCs w:val="24"/>
          <w:shd w:val="clear" w:color="auto" w:fill="FFFFFF"/>
        </w:rPr>
      </w:pPr>
      <w:r w:rsidRPr="00490DD1">
        <w:rPr>
          <w:rFonts w:ascii="Times New Roman" w:hAnsi="Times New Roman" w:cs="Times New Roman"/>
          <w:color w:val="000000" w:themeColor="text1"/>
          <w:sz w:val="24"/>
          <w:szCs w:val="24"/>
        </w:rPr>
        <w:t xml:space="preserve">As the Court </w:t>
      </w:r>
      <w:r w:rsidR="003A6B1F" w:rsidRPr="00490DD1">
        <w:rPr>
          <w:rFonts w:ascii="Times New Roman" w:hAnsi="Times New Roman" w:cs="Times New Roman"/>
          <w:color w:val="000000" w:themeColor="text1"/>
          <w:sz w:val="24"/>
          <w:szCs w:val="24"/>
        </w:rPr>
        <w:t>posited</w:t>
      </w:r>
      <w:r w:rsidR="008A5CD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w:t>
      </w:r>
      <w:r w:rsidRPr="00490DD1">
        <w:rPr>
          <w:rStyle w:val="sb8d990e2"/>
          <w:rFonts w:ascii="Times New Roman" w:hAnsi="Times New Roman" w:cs="Times New Roman"/>
          <w:color w:val="000000" w:themeColor="text1"/>
          <w:sz w:val="24"/>
          <w:szCs w:val="24"/>
          <w:shd w:val="clear" w:color="auto" w:fill="FFFFFF"/>
        </w:rPr>
        <w:t>‘[a] requirement of promptness and reasonable expedition is implicit’ in the context of investigations under Article 2 ECHR.</w:t>
      </w:r>
      <w:r w:rsidRPr="00490DD1">
        <w:rPr>
          <w:rStyle w:val="FootnoteReference"/>
          <w:rFonts w:ascii="Times New Roman" w:hAnsi="Times New Roman" w:cs="Times New Roman"/>
          <w:color w:val="000000" w:themeColor="text1"/>
          <w:sz w:val="24"/>
          <w:szCs w:val="24"/>
          <w:shd w:val="clear" w:color="auto" w:fill="FFFFFF"/>
        </w:rPr>
        <w:footnoteReference w:id="107"/>
      </w:r>
      <w:r w:rsidRPr="00490DD1">
        <w:rPr>
          <w:rStyle w:val="sb8d990e2"/>
          <w:rFonts w:ascii="Times New Roman" w:hAnsi="Times New Roman" w:cs="Times New Roman"/>
          <w:color w:val="000000" w:themeColor="text1"/>
          <w:sz w:val="24"/>
          <w:szCs w:val="24"/>
          <w:shd w:val="clear" w:color="auto" w:fill="FFFFFF"/>
        </w:rPr>
        <w:t xml:space="preserve"> This requirement stems from the need to </w:t>
      </w:r>
      <w:r w:rsidRPr="00490DD1">
        <w:rPr>
          <w:rFonts w:ascii="Times New Roman" w:hAnsi="Times New Roman" w:cs="Times New Roman"/>
          <w:color w:val="000000" w:themeColor="text1"/>
          <w:sz w:val="24"/>
          <w:szCs w:val="24"/>
        </w:rPr>
        <w:t>maintain public confidence</w:t>
      </w:r>
      <w:r w:rsidRPr="00490DD1">
        <w:rPr>
          <w:rStyle w:val="FootnoteReference"/>
          <w:rFonts w:ascii="Times New Roman" w:hAnsi="Times New Roman" w:cs="Times New Roman"/>
          <w:color w:val="000000" w:themeColor="text1"/>
          <w:sz w:val="24"/>
          <w:szCs w:val="24"/>
        </w:rPr>
        <w:footnoteReference w:id="108"/>
      </w:r>
      <w:r w:rsidRPr="00490DD1">
        <w:rPr>
          <w:rFonts w:ascii="Times New Roman" w:hAnsi="Times New Roman" w:cs="Times New Roman"/>
          <w:color w:val="000000" w:themeColor="text1"/>
          <w:sz w:val="24"/>
          <w:szCs w:val="24"/>
        </w:rPr>
        <w:t xml:space="preserve"> in adherence to the rule of law and prevent </w:t>
      </w:r>
      <w:r w:rsidRPr="00490DD1">
        <w:rPr>
          <w:rFonts w:ascii="Times New Roman" w:hAnsi="Times New Roman" w:cs="Times New Roman"/>
          <w:color w:val="000000" w:themeColor="text1"/>
          <w:sz w:val="24"/>
          <w:szCs w:val="24"/>
        </w:rPr>
        <w:lastRenderedPageBreak/>
        <w:t xml:space="preserve">the appearance of collusion </w:t>
      </w:r>
      <w:r w:rsidRPr="00490DD1">
        <w:rPr>
          <w:rStyle w:val="sb8d990e2"/>
          <w:rFonts w:ascii="Times New Roman" w:hAnsi="Times New Roman" w:cs="Times New Roman"/>
          <w:color w:val="000000" w:themeColor="text1"/>
          <w:sz w:val="24"/>
          <w:szCs w:val="24"/>
          <w:shd w:val="clear" w:color="auto" w:fill="FFFFFF"/>
        </w:rPr>
        <w:t>in</w:t>
      </w:r>
      <w:r w:rsidR="00764342" w:rsidRPr="00490DD1">
        <w:rPr>
          <w:rStyle w:val="sb8d990e2"/>
          <w:rFonts w:ascii="Times New Roman" w:hAnsi="Times New Roman" w:cs="Times New Roman"/>
          <w:color w:val="000000" w:themeColor="text1"/>
          <w:sz w:val="24"/>
          <w:szCs w:val="24"/>
          <w:shd w:val="clear" w:color="auto" w:fill="FFFFFF"/>
        </w:rPr>
        <w:t>,</w:t>
      </w:r>
      <w:r w:rsidRPr="00490DD1">
        <w:rPr>
          <w:rStyle w:val="sb8d990e2"/>
          <w:rFonts w:ascii="Times New Roman" w:hAnsi="Times New Roman" w:cs="Times New Roman"/>
          <w:color w:val="000000" w:themeColor="text1"/>
          <w:sz w:val="24"/>
          <w:szCs w:val="24"/>
          <w:shd w:val="clear" w:color="auto" w:fill="FFFFFF"/>
        </w:rPr>
        <w:t xml:space="preserve"> or tolerance of</w:t>
      </w:r>
      <w:r w:rsidR="00764342" w:rsidRPr="00490DD1">
        <w:rPr>
          <w:rStyle w:val="sb8d990e2"/>
          <w:rFonts w:ascii="Times New Roman" w:hAnsi="Times New Roman" w:cs="Times New Roman"/>
          <w:color w:val="000000" w:themeColor="text1"/>
          <w:sz w:val="24"/>
          <w:szCs w:val="24"/>
          <w:shd w:val="clear" w:color="auto" w:fill="FFFFFF"/>
        </w:rPr>
        <w:t>,</w:t>
      </w:r>
      <w:r w:rsidRPr="00490DD1">
        <w:rPr>
          <w:rStyle w:val="sb8d990e2"/>
          <w:rFonts w:ascii="Times New Roman" w:hAnsi="Times New Roman" w:cs="Times New Roman"/>
          <w:color w:val="000000" w:themeColor="text1"/>
          <w:sz w:val="24"/>
          <w:szCs w:val="24"/>
          <w:shd w:val="clear" w:color="auto" w:fill="FFFFFF"/>
        </w:rPr>
        <w:t xml:space="preserve"> unlawful acts.</w:t>
      </w:r>
      <w:r w:rsidRPr="00490DD1">
        <w:rPr>
          <w:rStyle w:val="FootnoteReference"/>
          <w:rFonts w:ascii="Times New Roman" w:hAnsi="Times New Roman" w:cs="Times New Roman"/>
          <w:color w:val="000000" w:themeColor="text1"/>
          <w:sz w:val="24"/>
          <w:szCs w:val="24"/>
          <w:shd w:val="clear" w:color="auto" w:fill="FFFFFF"/>
        </w:rPr>
        <w:footnoteReference w:id="109"/>
      </w:r>
      <w:r w:rsidRPr="00490DD1">
        <w:rPr>
          <w:rStyle w:val="sb8d990e2"/>
          <w:rFonts w:ascii="Times New Roman" w:hAnsi="Times New Roman" w:cs="Times New Roman"/>
          <w:color w:val="000000" w:themeColor="text1"/>
          <w:sz w:val="24"/>
          <w:szCs w:val="24"/>
          <w:shd w:val="clear" w:color="auto" w:fill="FFFFFF"/>
        </w:rPr>
        <w:t xml:space="preserve"> </w:t>
      </w:r>
      <w:r w:rsidR="00C042ED" w:rsidRPr="00490DD1">
        <w:rPr>
          <w:rStyle w:val="sb8d990e2"/>
          <w:rFonts w:ascii="Times New Roman" w:hAnsi="Times New Roman" w:cs="Times New Roman"/>
          <w:color w:val="000000" w:themeColor="text1"/>
          <w:sz w:val="24"/>
          <w:szCs w:val="24"/>
          <w:shd w:val="clear" w:color="auto" w:fill="FFFFFF"/>
        </w:rPr>
        <w:t xml:space="preserve">Also, gathering useful evidence becomes more difficult with the </w:t>
      </w:r>
      <w:r w:rsidR="000B4C69" w:rsidRPr="00490DD1">
        <w:rPr>
          <w:rStyle w:val="sb8d990e2"/>
          <w:rFonts w:ascii="Times New Roman" w:hAnsi="Times New Roman" w:cs="Times New Roman"/>
          <w:color w:val="000000" w:themeColor="text1"/>
          <w:sz w:val="24"/>
          <w:szCs w:val="24"/>
          <w:shd w:val="clear" w:color="auto" w:fill="FFFFFF"/>
        </w:rPr>
        <w:t>passage</w:t>
      </w:r>
      <w:r w:rsidR="00C042ED" w:rsidRPr="00490DD1">
        <w:rPr>
          <w:rStyle w:val="sb8d990e2"/>
          <w:rFonts w:ascii="Times New Roman" w:hAnsi="Times New Roman" w:cs="Times New Roman"/>
          <w:color w:val="000000" w:themeColor="text1"/>
          <w:sz w:val="24"/>
          <w:szCs w:val="24"/>
          <w:shd w:val="clear" w:color="auto" w:fill="FFFFFF"/>
        </w:rPr>
        <w:t xml:space="preserve"> of time</w:t>
      </w:r>
      <w:r w:rsidR="000B4C69" w:rsidRPr="00490DD1">
        <w:rPr>
          <w:rStyle w:val="FootnoteReference"/>
          <w:rFonts w:ascii="Times New Roman" w:hAnsi="Times New Roman" w:cs="Times New Roman"/>
          <w:color w:val="000000" w:themeColor="text1"/>
          <w:sz w:val="24"/>
          <w:szCs w:val="24"/>
          <w:shd w:val="clear" w:color="auto" w:fill="FFFFFF"/>
        </w:rPr>
        <w:footnoteReference w:id="110"/>
      </w:r>
      <w:r w:rsidR="00C042ED" w:rsidRPr="00490DD1">
        <w:rPr>
          <w:rStyle w:val="sb8d990e2"/>
          <w:rFonts w:ascii="Times New Roman" w:hAnsi="Times New Roman" w:cs="Times New Roman"/>
          <w:color w:val="000000" w:themeColor="text1"/>
          <w:sz w:val="24"/>
          <w:szCs w:val="24"/>
          <w:shd w:val="clear" w:color="auto" w:fill="FFFFFF"/>
        </w:rPr>
        <w:t xml:space="preserve"> </w:t>
      </w:r>
      <w:r w:rsidR="007F0274">
        <w:rPr>
          <w:rStyle w:val="sb8d990e2"/>
          <w:rFonts w:ascii="Times New Roman" w:hAnsi="Times New Roman" w:cs="Times New Roman"/>
          <w:color w:val="000000" w:themeColor="text1"/>
          <w:sz w:val="24"/>
          <w:szCs w:val="24"/>
          <w:shd w:val="clear" w:color="auto" w:fill="FFFFFF"/>
        </w:rPr>
        <w:t xml:space="preserve">and so the chances of the investigation to be completed are diminished. </w:t>
      </w:r>
      <w:r w:rsidRPr="00490DD1">
        <w:rPr>
          <w:rStyle w:val="sb8d990e2"/>
          <w:rFonts w:ascii="Times New Roman" w:hAnsi="Times New Roman" w:cs="Times New Roman"/>
          <w:color w:val="000000" w:themeColor="text1"/>
          <w:sz w:val="24"/>
          <w:szCs w:val="24"/>
          <w:shd w:val="clear" w:color="auto" w:fill="FFFFFF"/>
        </w:rPr>
        <w:t>In specific situations</w:t>
      </w:r>
      <w:r w:rsidR="008A5CDD" w:rsidRPr="00490DD1">
        <w:rPr>
          <w:rStyle w:val="sb8d990e2"/>
          <w:rFonts w:ascii="Times New Roman" w:hAnsi="Times New Roman" w:cs="Times New Roman"/>
          <w:color w:val="000000" w:themeColor="text1"/>
          <w:sz w:val="24"/>
          <w:szCs w:val="24"/>
          <w:shd w:val="clear" w:color="auto" w:fill="FFFFFF"/>
        </w:rPr>
        <w:t>,</w:t>
      </w:r>
      <w:r w:rsidRPr="00490DD1">
        <w:rPr>
          <w:rStyle w:val="sb8d990e2"/>
          <w:rFonts w:ascii="Times New Roman" w:hAnsi="Times New Roman" w:cs="Times New Roman"/>
          <w:color w:val="000000" w:themeColor="text1"/>
          <w:sz w:val="24"/>
          <w:szCs w:val="24"/>
          <w:shd w:val="clear" w:color="auto" w:fill="FFFFFF"/>
        </w:rPr>
        <w:t xml:space="preserve"> the Court has stressed that failure to comply with this requirement of promptness might ‘exacerbate still further the climate of impunity and insecurity in the region and thus create a vicious circle’</w:t>
      </w:r>
      <w:r w:rsidR="00615026">
        <w:rPr>
          <w:rStyle w:val="sb8d990e2"/>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111"/>
      </w:r>
      <w:r w:rsidRPr="00490DD1">
        <w:rPr>
          <w:rStyle w:val="sb8d990e2"/>
          <w:rFonts w:ascii="Times New Roman" w:hAnsi="Times New Roman" w:cs="Times New Roman"/>
          <w:color w:val="000000" w:themeColor="text1"/>
          <w:sz w:val="24"/>
          <w:szCs w:val="24"/>
          <w:shd w:val="clear" w:color="auto" w:fill="FFFFFF"/>
        </w:rPr>
        <w:t xml:space="preserve"> It is consequently in the interest of the </w:t>
      </w:r>
      <w:r w:rsidR="00473E94">
        <w:rPr>
          <w:rStyle w:val="sb8d990e2"/>
          <w:rFonts w:ascii="Times New Roman" w:hAnsi="Times New Roman" w:cs="Times New Roman"/>
          <w:color w:val="000000" w:themeColor="text1"/>
          <w:sz w:val="24"/>
          <w:szCs w:val="24"/>
          <w:shd w:val="clear" w:color="auto" w:fill="FFFFFF"/>
        </w:rPr>
        <w:t>armed forces</w:t>
      </w:r>
      <w:r w:rsidR="00473E94" w:rsidRPr="00490DD1">
        <w:rPr>
          <w:rStyle w:val="sb8d990e2"/>
          <w:rFonts w:ascii="Times New Roman" w:hAnsi="Times New Roman" w:cs="Times New Roman"/>
          <w:color w:val="000000" w:themeColor="text1"/>
          <w:sz w:val="24"/>
          <w:szCs w:val="24"/>
          <w:shd w:val="clear" w:color="auto" w:fill="FFFFFF"/>
        </w:rPr>
        <w:t xml:space="preserve"> </w:t>
      </w:r>
      <w:r w:rsidRPr="00490DD1">
        <w:rPr>
          <w:rStyle w:val="sb8d990e2"/>
          <w:rFonts w:ascii="Times New Roman" w:hAnsi="Times New Roman" w:cs="Times New Roman"/>
          <w:color w:val="000000" w:themeColor="text1"/>
          <w:sz w:val="24"/>
          <w:szCs w:val="24"/>
          <w:shd w:val="clear" w:color="auto" w:fill="FFFFFF"/>
        </w:rPr>
        <w:t>to act in accordance with this requirement.</w:t>
      </w:r>
    </w:p>
    <w:p w14:paraId="69207E53" w14:textId="6E16B7BA" w:rsidR="00345B89" w:rsidRDefault="00104665" w:rsidP="00F4675E">
      <w:pPr>
        <w:pStyle w:val="ListParagraph"/>
        <w:spacing w:after="0" w:line="360" w:lineRule="auto"/>
        <w:ind w:left="0" w:firstLine="720"/>
        <w:rPr>
          <w:rFonts w:ascii="Times New Roman" w:hAnsi="Times New Roman" w:cs="Times New Roman"/>
          <w:color w:val="000000" w:themeColor="text1"/>
          <w:sz w:val="24"/>
          <w:szCs w:val="24"/>
        </w:rPr>
      </w:pPr>
      <w:r w:rsidRPr="00490DD1">
        <w:rPr>
          <w:rStyle w:val="sb8d990e2"/>
          <w:rFonts w:ascii="Times New Roman" w:hAnsi="Times New Roman" w:cs="Times New Roman"/>
          <w:color w:val="000000" w:themeColor="text1"/>
          <w:sz w:val="24"/>
          <w:szCs w:val="24"/>
          <w:shd w:val="clear" w:color="auto" w:fill="FFFFFF"/>
        </w:rPr>
        <w:t>‘What constitutes prompt commencement depends on the context of the case’</w:t>
      </w:r>
      <w:r w:rsidR="007041D8" w:rsidRPr="00490DD1">
        <w:rPr>
          <w:rStyle w:val="sb8d990e2"/>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112"/>
      </w:r>
      <w:r w:rsidRPr="00490DD1">
        <w:rPr>
          <w:rStyle w:val="sb8d990e2"/>
          <w:rFonts w:ascii="Times New Roman" w:hAnsi="Times New Roman" w:cs="Times New Roman"/>
          <w:color w:val="000000" w:themeColor="text1"/>
          <w:sz w:val="24"/>
          <w:szCs w:val="24"/>
          <w:shd w:val="clear" w:color="auto" w:fill="FFFFFF"/>
        </w:rPr>
        <w:t xml:space="preserve"> but crucially</w:t>
      </w:r>
      <w:r w:rsidR="00D17493" w:rsidRPr="00490DD1">
        <w:rPr>
          <w:rStyle w:val="sb8d990e2"/>
          <w:rFonts w:ascii="Times New Roman" w:hAnsi="Times New Roman" w:cs="Times New Roman"/>
          <w:color w:val="000000" w:themeColor="text1"/>
          <w:sz w:val="24"/>
          <w:szCs w:val="24"/>
          <w:shd w:val="clear" w:color="auto" w:fill="FFFFFF"/>
        </w:rPr>
        <w:t xml:space="preserve"> </w:t>
      </w:r>
      <w:r w:rsidRPr="00490DD1">
        <w:rPr>
          <w:rStyle w:val="sb8d990e2"/>
          <w:rFonts w:ascii="Times New Roman" w:hAnsi="Times New Roman" w:cs="Times New Roman"/>
          <w:color w:val="000000" w:themeColor="text1"/>
          <w:sz w:val="24"/>
          <w:szCs w:val="24"/>
          <w:shd w:val="clear" w:color="auto" w:fill="FFFFFF"/>
        </w:rPr>
        <w:t xml:space="preserve">the principle </w:t>
      </w:r>
      <w:r w:rsidR="006D59C9" w:rsidRPr="00490DD1">
        <w:rPr>
          <w:rStyle w:val="sb8d990e2"/>
          <w:rFonts w:ascii="Times New Roman" w:hAnsi="Times New Roman" w:cs="Times New Roman"/>
          <w:color w:val="000000" w:themeColor="text1"/>
          <w:sz w:val="24"/>
          <w:szCs w:val="24"/>
          <w:shd w:val="clear" w:color="auto" w:fill="FFFFFF"/>
        </w:rPr>
        <w:t>relates</w:t>
      </w:r>
      <w:r w:rsidR="00D17493" w:rsidRPr="00490DD1">
        <w:rPr>
          <w:rStyle w:val="sb8d990e2"/>
          <w:rFonts w:ascii="Times New Roman" w:hAnsi="Times New Roman" w:cs="Times New Roman"/>
          <w:color w:val="000000" w:themeColor="text1"/>
          <w:sz w:val="24"/>
          <w:szCs w:val="24"/>
          <w:shd w:val="clear" w:color="auto" w:fill="FFFFFF"/>
        </w:rPr>
        <w:t xml:space="preserve"> to the threshold of the trigger of the obligation to investigate and the timing of the investigation</w:t>
      </w:r>
      <w:r w:rsidR="009C34AE">
        <w:rPr>
          <w:rStyle w:val="sb8d990e2"/>
          <w:rFonts w:ascii="Times New Roman" w:hAnsi="Times New Roman" w:cs="Times New Roman"/>
          <w:color w:val="000000" w:themeColor="text1"/>
          <w:sz w:val="24"/>
          <w:szCs w:val="24"/>
          <w:shd w:val="clear" w:color="auto" w:fill="FFFFFF"/>
        </w:rPr>
        <w:t xml:space="preserve"> which has been explained earlier on</w:t>
      </w:r>
      <w:r w:rsidR="003174EE">
        <w:rPr>
          <w:rStyle w:val="sb8d990e2"/>
          <w:rFonts w:ascii="Times New Roman" w:hAnsi="Times New Roman" w:cs="Times New Roman"/>
          <w:color w:val="000000" w:themeColor="text1"/>
          <w:sz w:val="24"/>
          <w:szCs w:val="24"/>
          <w:shd w:val="clear" w:color="auto" w:fill="FFFFFF"/>
        </w:rPr>
        <w:t>.</w:t>
      </w:r>
      <w:r w:rsidR="0001563E">
        <w:rPr>
          <w:rStyle w:val="sb8d990e2"/>
          <w:rFonts w:ascii="Times New Roman" w:hAnsi="Times New Roman" w:cs="Times New Roman"/>
          <w:color w:val="000000" w:themeColor="text1"/>
          <w:sz w:val="24"/>
          <w:szCs w:val="24"/>
          <w:shd w:val="clear" w:color="auto" w:fill="FFFFFF"/>
        </w:rPr>
        <w:t xml:space="preserve"> </w:t>
      </w:r>
      <w:r w:rsidR="004A3DFF">
        <w:rPr>
          <w:rFonts w:ascii="Times New Roman" w:hAnsi="Times New Roman" w:cs="Times New Roman"/>
          <w:color w:val="000000" w:themeColor="text1"/>
          <w:sz w:val="24"/>
          <w:szCs w:val="24"/>
        </w:rPr>
        <w:t>It is interesting to note that</w:t>
      </w:r>
      <w:r w:rsidR="003174EE">
        <w:rPr>
          <w:rStyle w:val="sb8d990e2"/>
          <w:rFonts w:ascii="Times New Roman" w:hAnsi="Times New Roman" w:cs="Times New Roman"/>
          <w:color w:val="000000" w:themeColor="text1"/>
          <w:sz w:val="24"/>
          <w:szCs w:val="24"/>
          <w:shd w:val="clear" w:color="auto" w:fill="FFFFFF"/>
        </w:rPr>
        <w:t xml:space="preserve"> </w:t>
      </w:r>
      <w:r w:rsidR="001413D5">
        <w:rPr>
          <w:rFonts w:ascii="Times New Roman" w:hAnsi="Times New Roman" w:cs="Times New Roman"/>
          <w:color w:val="000000" w:themeColor="text1"/>
          <w:sz w:val="24"/>
          <w:szCs w:val="24"/>
        </w:rPr>
        <w:t>c</w:t>
      </w:r>
      <w:r w:rsidR="0046615A">
        <w:rPr>
          <w:rFonts w:ascii="Times New Roman" w:hAnsi="Times New Roman" w:cs="Times New Roman"/>
          <w:color w:val="000000" w:themeColor="text1"/>
          <w:sz w:val="24"/>
          <w:szCs w:val="24"/>
        </w:rPr>
        <w:t xml:space="preserve">omplying with this requirement is not particularly challenging </w:t>
      </w:r>
      <w:r w:rsidR="001413D5">
        <w:rPr>
          <w:rFonts w:ascii="Times New Roman" w:hAnsi="Times New Roman" w:cs="Times New Roman"/>
          <w:color w:val="000000" w:themeColor="text1"/>
          <w:sz w:val="24"/>
          <w:szCs w:val="24"/>
        </w:rPr>
        <w:t>for States</w:t>
      </w:r>
      <w:r w:rsidR="00FA5277">
        <w:rPr>
          <w:rFonts w:ascii="Times New Roman" w:hAnsi="Times New Roman" w:cs="Times New Roman"/>
          <w:color w:val="000000" w:themeColor="text1"/>
          <w:sz w:val="24"/>
          <w:szCs w:val="24"/>
        </w:rPr>
        <w:t xml:space="preserve"> as it is standard procedure for </w:t>
      </w:r>
      <w:r w:rsidR="003E67ED">
        <w:rPr>
          <w:rFonts w:ascii="Times New Roman" w:hAnsi="Times New Roman" w:cs="Times New Roman"/>
          <w:color w:val="000000" w:themeColor="text1"/>
          <w:sz w:val="24"/>
          <w:szCs w:val="24"/>
        </w:rPr>
        <w:t>armed forces</w:t>
      </w:r>
      <w:r w:rsidR="00FA5277">
        <w:rPr>
          <w:rFonts w:ascii="Times New Roman" w:hAnsi="Times New Roman" w:cs="Times New Roman"/>
          <w:color w:val="000000" w:themeColor="text1"/>
          <w:sz w:val="24"/>
          <w:szCs w:val="24"/>
        </w:rPr>
        <w:t xml:space="preserve"> to complete reports after allegations of civilian casualty.</w:t>
      </w:r>
      <w:r w:rsidR="00FA5277">
        <w:rPr>
          <w:rStyle w:val="FootnoteReference"/>
          <w:rFonts w:ascii="Times New Roman" w:hAnsi="Times New Roman" w:cs="Times New Roman"/>
          <w:color w:val="000000" w:themeColor="text1"/>
          <w:sz w:val="24"/>
          <w:szCs w:val="24"/>
        </w:rPr>
        <w:footnoteReference w:id="113"/>
      </w:r>
      <w:r w:rsidR="001413D5">
        <w:rPr>
          <w:rFonts w:ascii="Times New Roman" w:hAnsi="Times New Roman" w:cs="Times New Roman"/>
          <w:color w:val="000000" w:themeColor="text1"/>
          <w:sz w:val="24"/>
          <w:szCs w:val="24"/>
        </w:rPr>
        <w:t xml:space="preserve"> </w:t>
      </w:r>
      <w:r w:rsidR="00FA5277">
        <w:rPr>
          <w:rFonts w:ascii="Times New Roman" w:hAnsi="Times New Roman" w:cs="Times New Roman"/>
          <w:color w:val="000000" w:themeColor="text1"/>
          <w:sz w:val="24"/>
          <w:szCs w:val="24"/>
        </w:rPr>
        <w:t>The requirement of promptness is likely to be fulfilled. For example,</w:t>
      </w:r>
      <w:r w:rsidR="0046615A">
        <w:rPr>
          <w:rFonts w:ascii="Times New Roman" w:hAnsi="Times New Roman" w:cs="Times New Roman"/>
          <w:color w:val="000000" w:themeColor="text1"/>
          <w:sz w:val="24"/>
          <w:szCs w:val="24"/>
        </w:rPr>
        <w:t xml:space="preserve"> th</w:t>
      </w:r>
      <w:r w:rsidR="002B6C2C">
        <w:rPr>
          <w:rFonts w:ascii="Times New Roman" w:hAnsi="Times New Roman" w:cs="Times New Roman"/>
          <w:color w:val="000000" w:themeColor="text1"/>
          <w:sz w:val="24"/>
          <w:szCs w:val="24"/>
        </w:rPr>
        <w:t>e UK’s procedure</w:t>
      </w:r>
      <w:r w:rsidR="008A76D5">
        <w:rPr>
          <w:rFonts w:ascii="Times New Roman" w:hAnsi="Times New Roman" w:cs="Times New Roman"/>
          <w:color w:val="000000" w:themeColor="text1"/>
          <w:sz w:val="24"/>
          <w:szCs w:val="24"/>
        </w:rPr>
        <w:t>,</w:t>
      </w:r>
      <w:r w:rsidR="002B6C2C">
        <w:rPr>
          <w:rFonts w:ascii="Times New Roman" w:hAnsi="Times New Roman" w:cs="Times New Roman"/>
          <w:color w:val="000000" w:themeColor="text1"/>
          <w:sz w:val="24"/>
          <w:szCs w:val="24"/>
        </w:rPr>
        <w:t xml:space="preserve"> as </w:t>
      </w:r>
      <w:r w:rsidR="0046615A">
        <w:rPr>
          <w:rFonts w:ascii="Times New Roman" w:hAnsi="Times New Roman" w:cs="Times New Roman"/>
          <w:color w:val="000000" w:themeColor="text1"/>
          <w:sz w:val="24"/>
          <w:szCs w:val="24"/>
        </w:rPr>
        <w:t>enshrined</w:t>
      </w:r>
      <w:r w:rsidR="002B6C2C">
        <w:rPr>
          <w:rFonts w:ascii="Times New Roman" w:hAnsi="Times New Roman" w:cs="Times New Roman"/>
          <w:color w:val="000000" w:themeColor="text1"/>
          <w:sz w:val="24"/>
          <w:szCs w:val="24"/>
        </w:rPr>
        <w:t xml:space="preserve"> in </w:t>
      </w:r>
      <w:r w:rsidR="00D17493" w:rsidRPr="00490DD1">
        <w:rPr>
          <w:rFonts w:ascii="Times New Roman" w:hAnsi="Times New Roman" w:cs="Times New Roman"/>
          <w:color w:val="000000" w:themeColor="text1"/>
          <w:sz w:val="24"/>
          <w:szCs w:val="24"/>
        </w:rPr>
        <w:t>the Shooting Incident Review Policy</w:t>
      </w:r>
      <w:r w:rsidR="008A76D5">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14"/>
      </w:r>
      <w:r w:rsidR="00D17493" w:rsidRPr="00490DD1">
        <w:rPr>
          <w:rFonts w:ascii="Times New Roman" w:hAnsi="Times New Roman" w:cs="Times New Roman"/>
          <w:color w:val="000000" w:themeColor="text1"/>
          <w:sz w:val="24"/>
          <w:szCs w:val="24"/>
        </w:rPr>
        <w:t xml:space="preserve"> </w:t>
      </w:r>
      <w:r w:rsidR="00FA5277">
        <w:rPr>
          <w:rFonts w:ascii="Times New Roman" w:hAnsi="Times New Roman" w:cs="Times New Roman"/>
          <w:color w:val="000000" w:themeColor="text1"/>
          <w:sz w:val="24"/>
          <w:szCs w:val="24"/>
        </w:rPr>
        <w:t>mandates that</w:t>
      </w:r>
      <w:r w:rsidR="00541288">
        <w:rPr>
          <w:rFonts w:ascii="Times New Roman" w:hAnsi="Times New Roman" w:cs="Times New Roman"/>
          <w:color w:val="000000" w:themeColor="text1"/>
          <w:sz w:val="24"/>
          <w:szCs w:val="24"/>
        </w:rPr>
        <w:t xml:space="preserve"> a report on the incident be completed promptly by those </w:t>
      </w:r>
      <w:r w:rsidR="00541288" w:rsidRPr="00541288">
        <w:rPr>
          <w:rFonts w:ascii="Times New Roman" w:hAnsi="Times New Roman" w:cs="Times New Roman"/>
          <w:color w:val="000000" w:themeColor="text1"/>
          <w:sz w:val="24"/>
          <w:szCs w:val="24"/>
        </w:rPr>
        <w:t xml:space="preserve">involved in the </w:t>
      </w:r>
      <w:r w:rsidR="00541288" w:rsidRPr="00541288">
        <w:rPr>
          <w:rFonts w:ascii="Times New Roman" w:hAnsi="Times New Roman" w:cs="Times New Roman"/>
          <w:color w:val="000000" w:themeColor="text1"/>
          <w:sz w:val="24"/>
          <w:szCs w:val="24"/>
        </w:rPr>
        <w:lastRenderedPageBreak/>
        <w:t>incident and</w:t>
      </w:r>
      <w:r w:rsidR="00FA5277">
        <w:rPr>
          <w:rFonts w:ascii="Times New Roman" w:hAnsi="Times New Roman" w:cs="Times New Roman"/>
          <w:color w:val="000000" w:themeColor="text1"/>
          <w:sz w:val="24"/>
          <w:szCs w:val="24"/>
        </w:rPr>
        <w:t xml:space="preserve"> that</w:t>
      </w:r>
      <w:r w:rsidR="00541288" w:rsidRPr="00541288">
        <w:rPr>
          <w:rFonts w:ascii="Times New Roman" w:hAnsi="Times New Roman" w:cs="Times New Roman"/>
          <w:color w:val="000000" w:themeColor="text1"/>
          <w:sz w:val="24"/>
          <w:szCs w:val="24"/>
        </w:rPr>
        <w:t xml:space="preserve"> thereafter a further report be written by an officer within 48 hours with a view to assisting the Commanding Officer in deciding on the next course of action.</w:t>
      </w:r>
      <w:r w:rsidR="004A3DFF">
        <w:rPr>
          <w:rFonts w:ascii="Times New Roman" w:hAnsi="Times New Roman" w:cs="Times New Roman"/>
          <w:color w:val="000000" w:themeColor="text1"/>
          <w:sz w:val="24"/>
          <w:szCs w:val="24"/>
        </w:rPr>
        <w:t xml:space="preserve"> </w:t>
      </w:r>
    </w:p>
    <w:p w14:paraId="2BF3743F" w14:textId="6353FDD3" w:rsidR="00345B89" w:rsidRPr="00490DD1" w:rsidDel="0001563E" w:rsidRDefault="00B63A72" w:rsidP="00345B89">
      <w:pPr>
        <w:pStyle w:val="ListParagraph"/>
        <w:spacing w:after="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3E67ED">
        <w:rPr>
          <w:rFonts w:ascii="Times New Roman" w:hAnsi="Times New Roman" w:cs="Times New Roman"/>
          <w:color w:val="000000" w:themeColor="text1"/>
          <w:sz w:val="24"/>
          <w:szCs w:val="24"/>
        </w:rPr>
        <w:t xml:space="preserve"> potential</w:t>
      </w:r>
      <w:r>
        <w:rPr>
          <w:rFonts w:ascii="Times New Roman" w:hAnsi="Times New Roman" w:cs="Times New Roman"/>
          <w:color w:val="000000" w:themeColor="text1"/>
          <w:sz w:val="24"/>
          <w:szCs w:val="24"/>
        </w:rPr>
        <w:t xml:space="preserve"> noteworthy</w:t>
      </w:r>
      <w:r w:rsidR="00FA5277">
        <w:rPr>
          <w:rFonts w:ascii="Times New Roman" w:hAnsi="Times New Roman" w:cs="Times New Roman"/>
          <w:color w:val="000000" w:themeColor="text1"/>
          <w:sz w:val="24"/>
          <w:szCs w:val="24"/>
        </w:rPr>
        <w:t xml:space="preserve"> problem is the quality of the </w:t>
      </w:r>
      <w:r w:rsidR="003E67ED">
        <w:rPr>
          <w:rFonts w:ascii="Times New Roman" w:hAnsi="Times New Roman" w:cs="Times New Roman"/>
          <w:color w:val="000000" w:themeColor="text1"/>
          <w:sz w:val="24"/>
          <w:szCs w:val="24"/>
        </w:rPr>
        <w:t xml:space="preserve">report </w:t>
      </w:r>
      <w:r w:rsidR="00FA5277">
        <w:rPr>
          <w:rFonts w:ascii="Times New Roman" w:hAnsi="Times New Roman" w:cs="Times New Roman"/>
          <w:color w:val="000000" w:themeColor="text1"/>
          <w:sz w:val="24"/>
          <w:szCs w:val="24"/>
        </w:rPr>
        <w:t>as the Court</w:t>
      </w:r>
      <w:r w:rsidR="00FA5277" w:rsidRPr="00490DD1">
        <w:rPr>
          <w:rFonts w:ascii="Times New Roman" w:hAnsi="Times New Roman" w:cs="Times New Roman"/>
          <w:color w:val="000000" w:themeColor="text1"/>
          <w:sz w:val="24"/>
          <w:szCs w:val="24"/>
        </w:rPr>
        <w:t xml:space="preserve"> </w:t>
      </w:r>
      <w:r w:rsidR="00AA0C69" w:rsidRPr="00490DD1">
        <w:rPr>
          <w:rFonts w:ascii="Times New Roman" w:hAnsi="Times New Roman" w:cs="Times New Roman"/>
          <w:color w:val="000000" w:themeColor="text1"/>
          <w:sz w:val="24"/>
          <w:szCs w:val="24"/>
        </w:rPr>
        <w:t>dismisses justifications</w:t>
      </w:r>
      <w:r w:rsidR="00AE49D9" w:rsidRPr="00490DD1">
        <w:rPr>
          <w:rFonts w:ascii="Times New Roman" w:hAnsi="Times New Roman" w:cs="Times New Roman"/>
          <w:color w:val="000000" w:themeColor="text1"/>
          <w:sz w:val="24"/>
          <w:szCs w:val="24"/>
        </w:rPr>
        <w:t>,</w:t>
      </w:r>
      <w:r w:rsidR="00AA0C69" w:rsidRPr="00490DD1">
        <w:rPr>
          <w:rFonts w:ascii="Times New Roman" w:hAnsi="Times New Roman" w:cs="Times New Roman"/>
          <w:color w:val="000000" w:themeColor="text1"/>
          <w:sz w:val="24"/>
          <w:szCs w:val="24"/>
        </w:rPr>
        <w:t xml:space="preserve"> such as reports being drafted in the heat of the moment an</w:t>
      </w:r>
      <w:r w:rsidR="00766709" w:rsidRPr="00490DD1">
        <w:rPr>
          <w:rFonts w:ascii="Times New Roman" w:hAnsi="Times New Roman" w:cs="Times New Roman"/>
          <w:color w:val="000000" w:themeColor="text1"/>
          <w:sz w:val="24"/>
          <w:szCs w:val="24"/>
        </w:rPr>
        <w:t>d i</w:t>
      </w:r>
      <w:r w:rsidR="00AA0C69" w:rsidRPr="00490DD1">
        <w:rPr>
          <w:rFonts w:ascii="Times New Roman" w:hAnsi="Times New Roman" w:cs="Times New Roman"/>
          <w:color w:val="000000" w:themeColor="text1"/>
          <w:sz w:val="24"/>
          <w:szCs w:val="24"/>
        </w:rPr>
        <w:t>n whic</w:t>
      </w:r>
      <w:r w:rsidR="00766709" w:rsidRPr="00490DD1">
        <w:rPr>
          <w:rFonts w:ascii="Times New Roman" w:hAnsi="Times New Roman" w:cs="Times New Roman"/>
          <w:color w:val="000000" w:themeColor="text1"/>
          <w:sz w:val="24"/>
          <w:szCs w:val="24"/>
        </w:rPr>
        <w:t>h t</w:t>
      </w:r>
      <w:r w:rsidR="00AA0C69" w:rsidRPr="00490DD1">
        <w:rPr>
          <w:rFonts w:ascii="Times New Roman" w:hAnsi="Times New Roman" w:cs="Times New Roman"/>
          <w:color w:val="000000" w:themeColor="text1"/>
          <w:sz w:val="24"/>
          <w:szCs w:val="24"/>
        </w:rPr>
        <w:t>he</w:t>
      </w:r>
      <w:r w:rsidR="0011529C" w:rsidRPr="00490DD1">
        <w:rPr>
          <w:rFonts w:ascii="Times New Roman" w:hAnsi="Times New Roman" w:cs="Times New Roman"/>
          <w:color w:val="000000" w:themeColor="text1"/>
          <w:sz w:val="24"/>
          <w:szCs w:val="24"/>
        </w:rPr>
        <w:t>re</w:t>
      </w:r>
      <w:r w:rsidR="00AA0C69" w:rsidRPr="00490DD1">
        <w:rPr>
          <w:rFonts w:ascii="Times New Roman" w:hAnsi="Times New Roman" w:cs="Times New Roman"/>
          <w:color w:val="000000" w:themeColor="text1"/>
          <w:sz w:val="24"/>
          <w:szCs w:val="24"/>
        </w:rPr>
        <w:t xml:space="preserve"> are so-called ‘innocent omissions’</w:t>
      </w:r>
      <w:r w:rsidR="00615026">
        <w:rPr>
          <w:rFonts w:ascii="Times New Roman" w:hAnsi="Times New Roman" w:cs="Times New Roman"/>
          <w:color w:val="000000" w:themeColor="text1"/>
          <w:sz w:val="24"/>
          <w:szCs w:val="24"/>
        </w:rPr>
        <w:t>.</w:t>
      </w:r>
      <w:r w:rsidR="00F4675E">
        <w:rPr>
          <w:rStyle w:val="FootnoteReference"/>
          <w:rFonts w:ascii="Times New Roman" w:hAnsi="Times New Roman" w:cs="Times New Roman"/>
          <w:color w:val="000000" w:themeColor="text1"/>
          <w:sz w:val="24"/>
          <w:szCs w:val="24"/>
        </w:rPr>
        <w:footnoteReference w:id="115"/>
      </w:r>
      <w:r w:rsidR="00550EDE">
        <w:rPr>
          <w:rFonts w:ascii="Times New Roman" w:hAnsi="Times New Roman" w:cs="Times New Roman"/>
          <w:color w:val="000000" w:themeColor="text1"/>
          <w:sz w:val="24"/>
          <w:szCs w:val="24"/>
        </w:rPr>
        <w:t xml:space="preserve"> Fulfilling the principle of promptness does not</w:t>
      </w:r>
      <w:r>
        <w:rPr>
          <w:rFonts w:ascii="Times New Roman" w:hAnsi="Times New Roman" w:cs="Times New Roman"/>
          <w:color w:val="000000" w:themeColor="text1"/>
          <w:sz w:val="24"/>
          <w:szCs w:val="24"/>
        </w:rPr>
        <w:t xml:space="preserve"> indeed</w:t>
      </w:r>
      <w:r w:rsidR="00550EDE">
        <w:rPr>
          <w:rFonts w:ascii="Times New Roman" w:hAnsi="Times New Roman" w:cs="Times New Roman"/>
          <w:color w:val="000000" w:themeColor="text1"/>
          <w:sz w:val="24"/>
          <w:szCs w:val="24"/>
        </w:rPr>
        <w:t xml:space="preserve"> </w:t>
      </w:r>
      <w:r w:rsidR="00B96ACE">
        <w:rPr>
          <w:rFonts w:ascii="Times New Roman" w:hAnsi="Times New Roman" w:cs="Times New Roman"/>
          <w:color w:val="000000" w:themeColor="text1"/>
          <w:sz w:val="24"/>
          <w:szCs w:val="24"/>
        </w:rPr>
        <w:t>displace</w:t>
      </w:r>
      <w:r w:rsidR="00550EDE">
        <w:rPr>
          <w:rFonts w:ascii="Times New Roman" w:hAnsi="Times New Roman" w:cs="Times New Roman"/>
          <w:color w:val="000000" w:themeColor="text1"/>
          <w:sz w:val="24"/>
          <w:szCs w:val="24"/>
        </w:rPr>
        <w:t xml:space="preserve"> the State’s obligation to carry out an </w:t>
      </w:r>
      <w:r w:rsidR="00550EDE" w:rsidRPr="00B96ACE">
        <w:rPr>
          <w:rFonts w:ascii="Times New Roman" w:hAnsi="Times New Roman" w:cs="Times New Roman"/>
          <w:i/>
          <w:color w:val="000000" w:themeColor="text1"/>
          <w:sz w:val="24"/>
          <w:szCs w:val="24"/>
        </w:rPr>
        <w:t>effective</w:t>
      </w:r>
      <w:r w:rsidR="00550EDE">
        <w:rPr>
          <w:rFonts w:ascii="Times New Roman" w:hAnsi="Times New Roman" w:cs="Times New Roman"/>
          <w:color w:val="000000" w:themeColor="text1"/>
          <w:sz w:val="24"/>
          <w:szCs w:val="24"/>
        </w:rPr>
        <w:t xml:space="preserve"> investigation.</w:t>
      </w:r>
    </w:p>
    <w:p w14:paraId="3E185326" w14:textId="6D62E36D" w:rsidR="00D17493" w:rsidRPr="00490DD1" w:rsidRDefault="00D17493" w:rsidP="00345B89">
      <w:pPr>
        <w:pStyle w:val="ListParagraph"/>
        <w:spacing w:after="0" w:line="360" w:lineRule="auto"/>
        <w:ind w:left="0" w:firstLine="720"/>
        <w:rPr>
          <w:rFonts w:ascii="Times New Roman" w:hAnsi="Times New Roman" w:cs="Times New Roman"/>
          <w:color w:val="000000" w:themeColor="text1"/>
          <w:sz w:val="24"/>
          <w:szCs w:val="24"/>
        </w:rPr>
      </w:pPr>
    </w:p>
    <w:p w14:paraId="463ABE68" w14:textId="082C6CC9" w:rsidR="00D17493" w:rsidRPr="008241E7" w:rsidRDefault="0001563E" w:rsidP="00670537">
      <w:pPr>
        <w:spacing w:after="0" w:line="360" w:lineRule="auto"/>
        <w:rPr>
          <w:rFonts w:ascii="Times New Roman" w:hAnsi="Times New Roman" w:cs="Times New Roman"/>
          <w:smallCaps/>
          <w:color w:val="000000" w:themeColor="text1"/>
          <w:sz w:val="24"/>
          <w:szCs w:val="24"/>
        </w:rPr>
      </w:pPr>
      <w:bookmarkStart w:id="11" w:name="_Toc492309183"/>
      <w:r w:rsidRPr="008241E7">
        <w:rPr>
          <w:rFonts w:ascii="Times New Roman" w:hAnsi="Times New Roman" w:cs="Times New Roman"/>
          <w:smallCaps/>
          <w:color w:val="000000" w:themeColor="text1"/>
          <w:sz w:val="24"/>
          <w:szCs w:val="24"/>
        </w:rPr>
        <w:t>4</w:t>
      </w:r>
      <w:r w:rsidR="006B7AB6" w:rsidRPr="008241E7">
        <w:rPr>
          <w:rFonts w:ascii="Times New Roman" w:hAnsi="Times New Roman" w:cs="Times New Roman"/>
          <w:smallCaps/>
          <w:color w:val="000000" w:themeColor="text1"/>
          <w:sz w:val="24"/>
          <w:szCs w:val="24"/>
        </w:rPr>
        <w:t>.2</w:t>
      </w:r>
      <w:r w:rsidR="008241E7">
        <w:rPr>
          <w:rFonts w:ascii="Times New Roman" w:hAnsi="Times New Roman" w:cs="Times New Roman"/>
          <w:smallCaps/>
          <w:color w:val="000000" w:themeColor="text1"/>
          <w:sz w:val="24"/>
          <w:szCs w:val="24"/>
        </w:rPr>
        <w:t>.</w:t>
      </w:r>
      <w:r w:rsidR="00E9188D" w:rsidRPr="008241E7">
        <w:rPr>
          <w:rFonts w:ascii="Times New Roman" w:hAnsi="Times New Roman" w:cs="Times New Roman"/>
          <w:smallCaps/>
          <w:color w:val="000000" w:themeColor="text1"/>
          <w:sz w:val="24"/>
          <w:szCs w:val="24"/>
        </w:rPr>
        <w:t xml:space="preserve"> </w:t>
      </w:r>
      <w:r w:rsidR="00D17493" w:rsidRPr="008241E7">
        <w:rPr>
          <w:rFonts w:ascii="Times New Roman" w:hAnsi="Times New Roman" w:cs="Times New Roman"/>
          <w:smallCaps/>
          <w:color w:val="000000" w:themeColor="text1"/>
          <w:sz w:val="24"/>
          <w:szCs w:val="24"/>
        </w:rPr>
        <w:t>Indepe</w:t>
      </w:r>
      <w:r w:rsidR="00FE093F" w:rsidRPr="008241E7">
        <w:rPr>
          <w:rFonts w:ascii="Times New Roman" w:hAnsi="Times New Roman" w:cs="Times New Roman"/>
          <w:smallCaps/>
          <w:color w:val="000000" w:themeColor="text1"/>
          <w:sz w:val="24"/>
          <w:szCs w:val="24"/>
        </w:rPr>
        <w:t>ndent I</w:t>
      </w:r>
      <w:r w:rsidR="00D17493" w:rsidRPr="008241E7">
        <w:rPr>
          <w:rFonts w:ascii="Times New Roman" w:hAnsi="Times New Roman" w:cs="Times New Roman"/>
          <w:smallCaps/>
          <w:color w:val="000000" w:themeColor="text1"/>
          <w:sz w:val="24"/>
          <w:szCs w:val="24"/>
        </w:rPr>
        <w:t>nvestigation</w:t>
      </w:r>
      <w:bookmarkEnd w:id="11"/>
    </w:p>
    <w:p w14:paraId="73189242" w14:textId="45A100A4" w:rsidR="00D17493" w:rsidRPr="00490DD1" w:rsidRDefault="00D17493" w:rsidP="00670537">
      <w:pPr>
        <w:spacing w:after="0" w:line="360" w:lineRule="auto"/>
        <w:rPr>
          <w:rStyle w:val="sb8d990e2"/>
          <w:rFonts w:ascii="Times New Roman" w:hAnsi="Times New Roman" w:cs="Times New Roman"/>
          <w:color w:val="000000" w:themeColor="text1"/>
          <w:sz w:val="24"/>
          <w:szCs w:val="24"/>
          <w:shd w:val="clear" w:color="auto" w:fill="FFFFFF"/>
        </w:rPr>
      </w:pPr>
      <w:r w:rsidRPr="00490DD1">
        <w:rPr>
          <w:rFonts w:ascii="Times New Roman" w:hAnsi="Times New Roman" w:cs="Times New Roman"/>
          <w:color w:val="000000" w:themeColor="text1"/>
          <w:sz w:val="24"/>
          <w:szCs w:val="24"/>
        </w:rPr>
        <w:t>An additional requirement is that those investigating the incident must be independent from those implicated in the events.</w:t>
      </w:r>
      <w:r w:rsidRPr="00490DD1">
        <w:rPr>
          <w:rStyle w:val="FootnoteReference"/>
          <w:rFonts w:ascii="Times New Roman" w:hAnsi="Times New Roman" w:cs="Times New Roman"/>
          <w:color w:val="000000" w:themeColor="text1"/>
          <w:sz w:val="24"/>
          <w:szCs w:val="24"/>
        </w:rPr>
        <w:footnoteReference w:id="116"/>
      </w:r>
      <w:r w:rsidRPr="00490DD1">
        <w:rPr>
          <w:rFonts w:ascii="Times New Roman" w:hAnsi="Times New Roman" w:cs="Times New Roman"/>
          <w:color w:val="000000" w:themeColor="text1"/>
          <w:sz w:val="24"/>
          <w:szCs w:val="24"/>
        </w:rPr>
        <w:t xml:space="preserve"> Much alike the justification for an investigation to be prompt, the requirement of independence is warranted by the need for public confidence</w:t>
      </w:r>
      <w:r w:rsidRPr="00490DD1">
        <w:rPr>
          <w:rStyle w:val="sb8d990e2"/>
          <w:rFonts w:ascii="Times New Roman" w:hAnsi="Times New Roman" w:cs="Times New Roman"/>
          <w:color w:val="000000" w:themeColor="text1"/>
          <w:sz w:val="24"/>
          <w:szCs w:val="24"/>
          <w:shd w:val="clear" w:color="auto" w:fill="FFFFFF"/>
        </w:rPr>
        <w:t>.</w:t>
      </w:r>
    </w:p>
    <w:p w14:paraId="10AFD0A9" w14:textId="496C421B" w:rsidR="00D17493" w:rsidRPr="00490DD1" w:rsidRDefault="003C48CE" w:rsidP="00670537">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D17493" w:rsidRPr="00490DD1">
        <w:rPr>
          <w:rFonts w:ascii="Times New Roman" w:hAnsi="Times New Roman" w:cs="Times New Roman"/>
          <w:color w:val="000000" w:themeColor="text1"/>
          <w:sz w:val="24"/>
          <w:szCs w:val="24"/>
        </w:rPr>
        <w:t>he Court has stressed that, irrespective of the form of the investigation, ‘the independence of the investigation implies not only the absence of a hierarchical or institutional connection, but also independence in practical terms’</w:t>
      </w:r>
      <w:r w:rsidR="00615026">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17"/>
      </w:r>
      <w:r w:rsidR="00D17493" w:rsidRPr="00490DD1">
        <w:rPr>
          <w:rFonts w:ascii="Times New Roman" w:hAnsi="Times New Roman" w:cs="Times New Roman"/>
          <w:color w:val="000000" w:themeColor="text1"/>
          <w:sz w:val="24"/>
          <w:szCs w:val="24"/>
        </w:rPr>
        <w:t xml:space="preserve"> an element that also applies in a military context.</w:t>
      </w:r>
      <w:r w:rsidR="00D17493" w:rsidRPr="00490DD1">
        <w:rPr>
          <w:rStyle w:val="FootnoteReference"/>
          <w:rFonts w:ascii="Times New Roman" w:hAnsi="Times New Roman" w:cs="Times New Roman"/>
          <w:color w:val="000000" w:themeColor="text1"/>
          <w:sz w:val="24"/>
          <w:szCs w:val="24"/>
        </w:rPr>
        <w:footnoteReference w:id="118"/>
      </w:r>
      <w:r w:rsidR="00D17493" w:rsidRPr="00490DD1">
        <w:rPr>
          <w:rFonts w:ascii="Times New Roman" w:hAnsi="Times New Roman" w:cs="Times New Roman"/>
          <w:color w:val="000000" w:themeColor="text1"/>
          <w:sz w:val="24"/>
          <w:szCs w:val="24"/>
        </w:rPr>
        <w:t xml:space="preserve"> </w:t>
      </w:r>
      <w:r w:rsidR="001F4824" w:rsidRPr="00490DD1">
        <w:rPr>
          <w:rFonts w:ascii="Times New Roman" w:hAnsi="Times New Roman" w:cs="Times New Roman"/>
          <w:color w:val="000000" w:themeColor="text1"/>
          <w:sz w:val="24"/>
          <w:szCs w:val="24"/>
        </w:rPr>
        <w:t>At first sight</w:t>
      </w:r>
      <w:r w:rsidR="00735773" w:rsidRPr="00490DD1">
        <w:rPr>
          <w:rFonts w:ascii="Times New Roman" w:hAnsi="Times New Roman" w:cs="Times New Roman"/>
          <w:color w:val="000000" w:themeColor="text1"/>
          <w:sz w:val="24"/>
          <w:szCs w:val="24"/>
        </w:rPr>
        <w:t>,</w:t>
      </w:r>
      <w:r w:rsidR="001F4824" w:rsidRPr="00490DD1">
        <w:rPr>
          <w:rFonts w:ascii="Times New Roman" w:hAnsi="Times New Roman" w:cs="Times New Roman"/>
          <w:color w:val="000000" w:themeColor="text1"/>
          <w:sz w:val="24"/>
          <w:szCs w:val="24"/>
        </w:rPr>
        <w:t xml:space="preserve"> this requirement appears to be difficult to comply with</w:t>
      </w:r>
      <w:r w:rsidR="00735773" w:rsidRPr="00490DD1">
        <w:rPr>
          <w:rFonts w:ascii="Times New Roman" w:hAnsi="Times New Roman" w:cs="Times New Roman"/>
          <w:color w:val="000000" w:themeColor="text1"/>
          <w:sz w:val="24"/>
          <w:szCs w:val="24"/>
        </w:rPr>
        <w:t>,</w:t>
      </w:r>
      <w:r w:rsidR="001F4824" w:rsidRPr="00490DD1">
        <w:rPr>
          <w:rFonts w:ascii="Times New Roman" w:hAnsi="Times New Roman" w:cs="Times New Roman"/>
          <w:color w:val="000000" w:themeColor="text1"/>
          <w:sz w:val="24"/>
          <w:szCs w:val="24"/>
        </w:rPr>
        <w:t xml:space="preserve"> bearing in mind that there are no other investigative authorities present on the territory apart from the armed forces themselves and the local police. </w:t>
      </w:r>
      <w:r w:rsidR="003B6D80" w:rsidRPr="00490DD1">
        <w:rPr>
          <w:rFonts w:ascii="Times New Roman" w:hAnsi="Times New Roman" w:cs="Times New Roman"/>
          <w:color w:val="000000" w:themeColor="text1"/>
          <w:sz w:val="24"/>
          <w:szCs w:val="24"/>
        </w:rPr>
        <w:t>In this context</w:t>
      </w:r>
      <w:r w:rsidR="00735773" w:rsidRPr="00490DD1">
        <w:rPr>
          <w:rFonts w:ascii="Times New Roman" w:hAnsi="Times New Roman" w:cs="Times New Roman"/>
          <w:color w:val="000000" w:themeColor="text1"/>
          <w:sz w:val="24"/>
          <w:szCs w:val="24"/>
        </w:rPr>
        <w:t>,</w:t>
      </w:r>
      <w:r w:rsidR="003B6D80" w:rsidRPr="00490DD1">
        <w:rPr>
          <w:rFonts w:ascii="Times New Roman" w:hAnsi="Times New Roman" w:cs="Times New Roman"/>
          <w:color w:val="000000" w:themeColor="text1"/>
          <w:sz w:val="24"/>
          <w:szCs w:val="24"/>
        </w:rPr>
        <w:t xml:space="preserve"> the armed forces play the dual role of law-violator and law-enforcer. </w:t>
      </w:r>
      <w:r w:rsidR="001F4824" w:rsidRPr="00490DD1">
        <w:rPr>
          <w:rFonts w:ascii="Times New Roman" w:hAnsi="Times New Roman" w:cs="Times New Roman"/>
          <w:color w:val="000000" w:themeColor="text1"/>
          <w:sz w:val="24"/>
          <w:szCs w:val="24"/>
        </w:rPr>
        <w:t xml:space="preserve">Yet, practice and case-law show that </w:t>
      </w:r>
      <w:r w:rsidR="00B96ACE">
        <w:rPr>
          <w:rFonts w:ascii="Times New Roman" w:hAnsi="Times New Roman" w:cs="Times New Roman"/>
          <w:color w:val="000000" w:themeColor="text1"/>
          <w:sz w:val="24"/>
          <w:szCs w:val="24"/>
        </w:rPr>
        <w:t>compliance</w:t>
      </w:r>
      <w:r w:rsidR="001F4824" w:rsidRPr="00490DD1">
        <w:rPr>
          <w:rFonts w:ascii="Times New Roman" w:hAnsi="Times New Roman" w:cs="Times New Roman"/>
          <w:color w:val="000000" w:themeColor="text1"/>
          <w:sz w:val="24"/>
          <w:szCs w:val="24"/>
        </w:rPr>
        <w:t xml:space="preserve"> is feasible.</w:t>
      </w:r>
    </w:p>
    <w:p w14:paraId="43E49F6A" w14:textId="5930E305" w:rsidR="001F4824" w:rsidRPr="00490DD1" w:rsidRDefault="00CE1670"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Institutional independence is understood as the ability of the investigating authorities to act without interference.</w:t>
      </w:r>
      <w:r w:rsidRPr="00490DD1">
        <w:rPr>
          <w:rStyle w:val="FootnoteReference"/>
          <w:rFonts w:ascii="Times New Roman" w:hAnsi="Times New Roman" w:cs="Times New Roman"/>
          <w:color w:val="000000" w:themeColor="text1"/>
          <w:sz w:val="24"/>
          <w:szCs w:val="24"/>
        </w:rPr>
        <w:footnoteReference w:id="119"/>
      </w:r>
      <w:r w:rsidRPr="00490DD1">
        <w:rPr>
          <w:rFonts w:ascii="Times New Roman" w:hAnsi="Times New Roman" w:cs="Times New Roman"/>
          <w:color w:val="000000" w:themeColor="text1"/>
          <w:sz w:val="24"/>
          <w:szCs w:val="24"/>
        </w:rPr>
        <w:t xml:space="preserve"> </w:t>
      </w:r>
      <w:r w:rsidR="00D17493" w:rsidRPr="00490DD1">
        <w:rPr>
          <w:rFonts w:ascii="Times New Roman" w:hAnsi="Times New Roman" w:cs="Times New Roman"/>
          <w:color w:val="000000" w:themeColor="text1"/>
          <w:sz w:val="24"/>
          <w:szCs w:val="24"/>
        </w:rPr>
        <w:t xml:space="preserve">The case of </w:t>
      </w:r>
      <w:r w:rsidR="00D17493" w:rsidRPr="00490DD1">
        <w:rPr>
          <w:rFonts w:ascii="Times New Roman" w:hAnsi="Times New Roman" w:cs="Times New Roman"/>
          <w:i/>
          <w:color w:val="000000" w:themeColor="text1"/>
          <w:sz w:val="24"/>
          <w:szCs w:val="24"/>
        </w:rPr>
        <w:t>Al-</w:t>
      </w:r>
      <w:proofErr w:type="spellStart"/>
      <w:r w:rsidR="00D17493" w:rsidRPr="00490DD1">
        <w:rPr>
          <w:rFonts w:ascii="Times New Roman" w:hAnsi="Times New Roman" w:cs="Times New Roman"/>
          <w:i/>
          <w:color w:val="000000" w:themeColor="text1"/>
          <w:sz w:val="24"/>
          <w:szCs w:val="24"/>
        </w:rPr>
        <w:t>Skeini</w:t>
      </w:r>
      <w:proofErr w:type="spellEnd"/>
      <w:r w:rsidR="00D17493" w:rsidRPr="00490DD1">
        <w:rPr>
          <w:rFonts w:ascii="Times New Roman" w:hAnsi="Times New Roman" w:cs="Times New Roman"/>
          <w:i/>
          <w:color w:val="000000" w:themeColor="text1"/>
          <w:sz w:val="24"/>
          <w:szCs w:val="24"/>
        </w:rPr>
        <w:t xml:space="preserve"> </w:t>
      </w:r>
      <w:r w:rsidR="00D17493" w:rsidRPr="00490DD1">
        <w:rPr>
          <w:rFonts w:ascii="Times New Roman" w:hAnsi="Times New Roman" w:cs="Times New Roman"/>
          <w:color w:val="000000" w:themeColor="text1"/>
          <w:sz w:val="24"/>
          <w:szCs w:val="24"/>
        </w:rPr>
        <w:t xml:space="preserve">is </w:t>
      </w:r>
      <w:r w:rsidR="00670537" w:rsidRPr="00490DD1">
        <w:rPr>
          <w:rFonts w:ascii="Times New Roman" w:hAnsi="Times New Roman" w:cs="Times New Roman"/>
          <w:color w:val="000000" w:themeColor="text1"/>
          <w:sz w:val="24"/>
          <w:szCs w:val="24"/>
        </w:rPr>
        <w:t>emblematic</w:t>
      </w:r>
      <w:r w:rsidR="00D17493" w:rsidRPr="00490DD1">
        <w:rPr>
          <w:rFonts w:ascii="Times New Roman" w:hAnsi="Times New Roman" w:cs="Times New Roman"/>
          <w:color w:val="000000" w:themeColor="text1"/>
          <w:sz w:val="24"/>
          <w:szCs w:val="24"/>
        </w:rPr>
        <w:t xml:space="preserve"> </w:t>
      </w:r>
      <w:r w:rsidR="00977898" w:rsidRPr="00490DD1">
        <w:rPr>
          <w:rFonts w:ascii="Times New Roman" w:hAnsi="Times New Roman" w:cs="Times New Roman"/>
          <w:color w:val="000000" w:themeColor="text1"/>
          <w:sz w:val="24"/>
          <w:szCs w:val="24"/>
        </w:rPr>
        <w:t xml:space="preserve">of the </w:t>
      </w:r>
      <w:r w:rsidR="00977898" w:rsidRPr="00490DD1">
        <w:rPr>
          <w:rFonts w:ascii="Times New Roman" w:hAnsi="Times New Roman" w:cs="Times New Roman"/>
          <w:color w:val="000000" w:themeColor="text1"/>
          <w:sz w:val="24"/>
          <w:szCs w:val="24"/>
        </w:rPr>
        <w:lastRenderedPageBreak/>
        <w:t xml:space="preserve">difficulties faced by </w:t>
      </w:r>
      <w:r w:rsidR="00D17493" w:rsidRPr="00490DD1">
        <w:rPr>
          <w:rFonts w:ascii="Times New Roman" w:hAnsi="Times New Roman" w:cs="Times New Roman"/>
          <w:color w:val="000000" w:themeColor="text1"/>
          <w:sz w:val="24"/>
          <w:szCs w:val="24"/>
        </w:rPr>
        <w:t>armed forces abroad.</w:t>
      </w:r>
      <w:r w:rsidR="00A96785" w:rsidRPr="00490DD1">
        <w:rPr>
          <w:rStyle w:val="FootnoteReference"/>
          <w:rFonts w:ascii="Times New Roman" w:hAnsi="Times New Roman" w:cs="Times New Roman"/>
          <w:color w:val="000000" w:themeColor="text1"/>
          <w:sz w:val="24"/>
          <w:szCs w:val="24"/>
        </w:rPr>
        <w:footnoteReference w:id="120"/>
      </w:r>
      <w:r w:rsidR="00D17493" w:rsidRPr="00490DD1">
        <w:rPr>
          <w:rFonts w:ascii="Times New Roman" w:hAnsi="Times New Roman" w:cs="Times New Roman"/>
          <w:color w:val="000000" w:themeColor="text1"/>
          <w:sz w:val="24"/>
          <w:szCs w:val="24"/>
        </w:rPr>
        <w:t xml:space="preserve"> Investigations undertaken by the Special Investigation Branch of the Royal Military Police</w:t>
      </w:r>
      <w:r w:rsidR="003C48CE">
        <w:rPr>
          <w:rFonts w:ascii="Times New Roman" w:hAnsi="Times New Roman" w:cs="Times New Roman"/>
          <w:color w:val="000000" w:themeColor="text1"/>
          <w:sz w:val="24"/>
          <w:szCs w:val="24"/>
        </w:rPr>
        <w:t xml:space="preserve"> of the UK</w:t>
      </w:r>
      <w:r w:rsidR="00D17493" w:rsidRPr="00490DD1">
        <w:rPr>
          <w:rFonts w:ascii="Times New Roman" w:hAnsi="Times New Roman" w:cs="Times New Roman"/>
          <w:color w:val="000000" w:themeColor="text1"/>
          <w:sz w:val="24"/>
          <w:szCs w:val="24"/>
        </w:rPr>
        <w:t xml:space="preserve"> were deemed to fall short of the required standards</w:t>
      </w:r>
      <w:r w:rsidR="00D17493" w:rsidRPr="00490DD1">
        <w:rPr>
          <w:rStyle w:val="FootnoteReference"/>
          <w:rFonts w:ascii="Times New Roman" w:hAnsi="Times New Roman" w:cs="Times New Roman"/>
          <w:color w:val="000000" w:themeColor="text1"/>
          <w:sz w:val="24"/>
          <w:szCs w:val="24"/>
        </w:rPr>
        <w:footnoteReference w:id="121"/>
      </w:r>
      <w:r w:rsidR="00D17493" w:rsidRPr="00490DD1">
        <w:rPr>
          <w:rFonts w:ascii="Times New Roman" w:hAnsi="Times New Roman" w:cs="Times New Roman"/>
          <w:color w:val="000000" w:themeColor="text1"/>
          <w:sz w:val="24"/>
          <w:szCs w:val="24"/>
        </w:rPr>
        <w:t xml:space="preserve"> namely because</w:t>
      </w:r>
      <w:r w:rsidR="00735773"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though the Royal Military Police has a separate chain of command, the investigations could be triggered either by the Commanding Officer of the units concerned or by the Special Investigation Branch </w:t>
      </w:r>
      <w:proofErr w:type="spellStart"/>
      <w:r w:rsidR="00D17493" w:rsidRPr="00490DD1">
        <w:rPr>
          <w:rFonts w:ascii="Times New Roman" w:hAnsi="Times New Roman" w:cs="Times New Roman"/>
          <w:i/>
          <w:color w:val="000000" w:themeColor="text1"/>
          <w:sz w:val="24"/>
          <w:szCs w:val="24"/>
        </w:rPr>
        <w:t>proprio</w:t>
      </w:r>
      <w:proofErr w:type="spellEnd"/>
      <w:r w:rsidR="00D17493" w:rsidRPr="00490DD1">
        <w:rPr>
          <w:rFonts w:ascii="Times New Roman" w:hAnsi="Times New Roman" w:cs="Times New Roman"/>
          <w:i/>
          <w:color w:val="000000" w:themeColor="text1"/>
          <w:sz w:val="24"/>
          <w:szCs w:val="24"/>
        </w:rPr>
        <w:t xml:space="preserve"> </w:t>
      </w:r>
      <w:proofErr w:type="spellStart"/>
      <w:r w:rsidR="00D17493" w:rsidRPr="00490DD1">
        <w:rPr>
          <w:rFonts w:ascii="Times New Roman" w:hAnsi="Times New Roman" w:cs="Times New Roman"/>
          <w:i/>
          <w:color w:val="000000" w:themeColor="text1"/>
          <w:sz w:val="24"/>
          <w:szCs w:val="24"/>
        </w:rPr>
        <w:t>motu</w:t>
      </w:r>
      <w:proofErr w:type="spellEnd"/>
      <w:r w:rsidR="00D17493" w:rsidRPr="00490DD1">
        <w:rPr>
          <w:rFonts w:ascii="Times New Roman" w:hAnsi="Times New Roman" w:cs="Times New Roman"/>
          <w:color w:val="000000" w:themeColor="text1"/>
          <w:sz w:val="24"/>
          <w:szCs w:val="24"/>
        </w:rPr>
        <w:t xml:space="preserve"> whenever it became aware of an incident. However</w:t>
      </w:r>
      <w:r w:rsidR="001664AD"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the Provost Marshal or the Commanding Officer of the unit involved could instruct the Special Investigation Branch to terminate the investigation, thereby interfering in the investigation process and calling into question the independence of the investigation.</w:t>
      </w:r>
      <w:r w:rsidR="00D17493" w:rsidRPr="00490DD1">
        <w:rPr>
          <w:rStyle w:val="FootnoteReference"/>
          <w:rFonts w:ascii="Times New Roman" w:hAnsi="Times New Roman" w:cs="Times New Roman"/>
          <w:color w:val="000000" w:themeColor="text1"/>
          <w:sz w:val="24"/>
          <w:szCs w:val="24"/>
        </w:rPr>
        <w:footnoteReference w:id="122"/>
      </w:r>
      <w:r w:rsidR="00D17493" w:rsidRPr="00490DD1">
        <w:rPr>
          <w:rFonts w:ascii="Times New Roman" w:hAnsi="Times New Roman" w:cs="Times New Roman"/>
          <w:color w:val="000000" w:themeColor="text1"/>
          <w:sz w:val="24"/>
          <w:szCs w:val="24"/>
        </w:rPr>
        <w:t xml:space="preserve"> The investigating authority must be and must be seen to be operationally independent o</w:t>
      </w:r>
      <w:r w:rsidR="007E0C7C" w:rsidRPr="00490DD1">
        <w:rPr>
          <w:rFonts w:ascii="Times New Roman" w:hAnsi="Times New Roman" w:cs="Times New Roman"/>
          <w:color w:val="000000" w:themeColor="text1"/>
          <w:sz w:val="24"/>
          <w:szCs w:val="24"/>
        </w:rPr>
        <w:t>f the military chain of command,</w:t>
      </w:r>
      <w:r w:rsidR="00D17493" w:rsidRPr="00490DD1">
        <w:rPr>
          <w:rStyle w:val="FootnoteReference"/>
          <w:rFonts w:ascii="Times New Roman" w:hAnsi="Times New Roman" w:cs="Times New Roman"/>
          <w:color w:val="000000" w:themeColor="text1"/>
          <w:sz w:val="24"/>
          <w:szCs w:val="24"/>
        </w:rPr>
        <w:footnoteReference w:id="123"/>
      </w:r>
      <w:r w:rsidR="007E0C7C" w:rsidRPr="00490DD1">
        <w:rPr>
          <w:rFonts w:ascii="Times New Roman" w:hAnsi="Times New Roman" w:cs="Times New Roman"/>
          <w:color w:val="000000" w:themeColor="text1"/>
          <w:sz w:val="24"/>
          <w:szCs w:val="24"/>
        </w:rPr>
        <w:t xml:space="preserve"> </w:t>
      </w:r>
      <w:r w:rsidR="001664AD" w:rsidRPr="00490DD1">
        <w:rPr>
          <w:rFonts w:ascii="Times New Roman" w:hAnsi="Times New Roman" w:cs="Times New Roman"/>
          <w:color w:val="000000" w:themeColor="text1"/>
          <w:sz w:val="24"/>
          <w:szCs w:val="24"/>
        </w:rPr>
        <w:t xml:space="preserve">and </w:t>
      </w:r>
      <w:r w:rsidR="007E0C7C" w:rsidRPr="00490DD1">
        <w:rPr>
          <w:rFonts w:ascii="Times New Roman" w:hAnsi="Times New Roman" w:cs="Times New Roman"/>
          <w:color w:val="000000" w:themeColor="text1"/>
          <w:sz w:val="24"/>
          <w:szCs w:val="24"/>
        </w:rPr>
        <w:t>it</w:t>
      </w:r>
      <w:r w:rsidRPr="00490DD1">
        <w:rPr>
          <w:rFonts w:ascii="Times New Roman" w:hAnsi="Times New Roman" w:cs="Times New Roman"/>
          <w:color w:val="000000" w:themeColor="text1"/>
          <w:sz w:val="24"/>
          <w:szCs w:val="24"/>
        </w:rPr>
        <w:t xml:space="preserve">s </w:t>
      </w:r>
      <w:r w:rsidR="007E0C7C" w:rsidRPr="00490DD1">
        <w:rPr>
          <w:rFonts w:ascii="Times New Roman" w:hAnsi="Times New Roman" w:cs="Times New Roman"/>
          <w:color w:val="000000" w:themeColor="text1"/>
          <w:sz w:val="24"/>
          <w:szCs w:val="24"/>
        </w:rPr>
        <w:t xml:space="preserve">members </w:t>
      </w:r>
      <w:r w:rsidRPr="00490DD1">
        <w:rPr>
          <w:rFonts w:ascii="Times New Roman" w:hAnsi="Times New Roman" w:cs="Times New Roman"/>
          <w:color w:val="000000" w:themeColor="text1"/>
          <w:sz w:val="24"/>
          <w:szCs w:val="24"/>
        </w:rPr>
        <w:t xml:space="preserve">must not come from the same unit or chain of command. </w:t>
      </w:r>
      <w:r w:rsidR="0011529C" w:rsidRPr="00490DD1">
        <w:rPr>
          <w:rFonts w:ascii="Times New Roman" w:hAnsi="Times New Roman" w:cs="Times New Roman"/>
          <w:color w:val="000000" w:themeColor="text1"/>
          <w:sz w:val="24"/>
          <w:szCs w:val="24"/>
        </w:rPr>
        <w:t>I</w:t>
      </w:r>
      <w:r w:rsidRPr="00490DD1">
        <w:rPr>
          <w:rFonts w:ascii="Times New Roman" w:hAnsi="Times New Roman" w:cs="Times New Roman"/>
          <w:color w:val="000000" w:themeColor="text1"/>
          <w:sz w:val="24"/>
          <w:szCs w:val="24"/>
        </w:rPr>
        <w:t xml:space="preserve">n </w:t>
      </w:r>
      <w:proofErr w:type="spellStart"/>
      <w:r w:rsidRPr="00490DD1">
        <w:rPr>
          <w:rFonts w:ascii="Times New Roman" w:hAnsi="Times New Roman" w:cs="Times New Roman"/>
          <w:i/>
          <w:color w:val="000000" w:themeColor="text1"/>
          <w:sz w:val="24"/>
          <w:szCs w:val="24"/>
        </w:rPr>
        <w:t>Jaloud</w:t>
      </w:r>
      <w:proofErr w:type="spellEnd"/>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the </w:t>
      </w:r>
      <w:r w:rsidR="0011529C" w:rsidRPr="00490DD1">
        <w:rPr>
          <w:rFonts w:ascii="Times New Roman" w:hAnsi="Times New Roman" w:cs="Times New Roman"/>
          <w:color w:val="000000" w:themeColor="text1"/>
          <w:sz w:val="24"/>
          <w:szCs w:val="24"/>
        </w:rPr>
        <w:t xml:space="preserve">Court stressed that the </w:t>
      </w:r>
      <w:r w:rsidRPr="00490DD1">
        <w:rPr>
          <w:rFonts w:ascii="Times New Roman" w:hAnsi="Times New Roman" w:cs="Times New Roman"/>
          <w:color w:val="000000" w:themeColor="text1"/>
          <w:sz w:val="24"/>
          <w:szCs w:val="24"/>
        </w:rPr>
        <w:t>independence an</w:t>
      </w:r>
      <w:r w:rsidR="00A367E6" w:rsidRPr="00490DD1">
        <w:rPr>
          <w:rFonts w:ascii="Times New Roman" w:hAnsi="Times New Roman" w:cs="Times New Roman"/>
          <w:color w:val="000000" w:themeColor="text1"/>
          <w:sz w:val="24"/>
          <w:szCs w:val="24"/>
        </w:rPr>
        <w:t xml:space="preserve">d </w:t>
      </w:r>
      <w:r w:rsidRPr="00490DD1">
        <w:rPr>
          <w:rFonts w:ascii="Times New Roman" w:hAnsi="Times New Roman" w:cs="Times New Roman"/>
          <w:color w:val="000000" w:themeColor="text1"/>
          <w:sz w:val="24"/>
          <w:szCs w:val="24"/>
        </w:rPr>
        <w:t>therefor</w:t>
      </w:r>
      <w:r w:rsidR="00A367E6" w:rsidRPr="00490DD1">
        <w:rPr>
          <w:rFonts w:ascii="Times New Roman" w:hAnsi="Times New Roman" w:cs="Times New Roman"/>
          <w:color w:val="000000" w:themeColor="text1"/>
          <w:sz w:val="24"/>
          <w:szCs w:val="24"/>
        </w:rPr>
        <w:t>e t</w:t>
      </w:r>
      <w:r w:rsidRPr="00490DD1">
        <w:rPr>
          <w:rFonts w:ascii="Times New Roman" w:hAnsi="Times New Roman" w:cs="Times New Roman"/>
          <w:color w:val="000000" w:themeColor="text1"/>
          <w:sz w:val="24"/>
          <w:szCs w:val="24"/>
        </w:rPr>
        <w:t>he effectiveness of an investigation might ‘be called into question if the investigators and the investigated maintain close relations with one another’</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24"/>
      </w:r>
      <w:r w:rsidRPr="00490DD1">
        <w:rPr>
          <w:rFonts w:ascii="Times New Roman" w:hAnsi="Times New Roman" w:cs="Times New Roman"/>
          <w:color w:val="000000" w:themeColor="text1"/>
          <w:sz w:val="24"/>
          <w:szCs w:val="24"/>
        </w:rPr>
        <w:t xml:space="preserve"> Yet, in this case</w:t>
      </w:r>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th</w:t>
      </w:r>
      <w:r w:rsidR="00D17493" w:rsidRPr="00490DD1">
        <w:rPr>
          <w:rFonts w:ascii="Times New Roman" w:hAnsi="Times New Roman" w:cs="Times New Roman"/>
          <w:color w:val="000000" w:themeColor="text1"/>
          <w:sz w:val="24"/>
          <w:szCs w:val="24"/>
        </w:rPr>
        <w:t xml:space="preserve">e Court found no evidence supporting the view that the two elements, </w:t>
      </w:r>
      <w:r w:rsidR="00493A06">
        <w:rPr>
          <w:rFonts w:ascii="Times New Roman" w:hAnsi="Times New Roman" w:cs="Times New Roman"/>
          <w:color w:val="000000" w:themeColor="text1"/>
          <w:sz w:val="24"/>
          <w:szCs w:val="24"/>
        </w:rPr>
        <w:t>that is</w:t>
      </w:r>
      <w:r w:rsidR="00A367E6"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the Royal Military Constabulary and the military personnel</w:t>
      </w:r>
      <w:r w:rsidR="00A367E6"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colluded ‘to the point of impairing the quality of [the] investigations’</w:t>
      </w:r>
      <w:r w:rsidR="00615026">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25"/>
      </w:r>
    </w:p>
    <w:p w14:paraId="34C46BF1" w14:textId="7E25CB45" w:rsidR="00EE382C" w:rsidRPr="00490DD1" w:rsidRDefault="001F4824"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Practical independence</w:t>
      </w:r>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on the other hand</w:t>
      </w:r>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relates to a physical dimension, the </w:t>
      </w:r>
      <w:proofErr w:type="gramStart"/>
      <w:r w:rsidRPr="00490DD1">
        <w:rPr>
          <w:rFonts w:ascii="Times New Roman" w:hAnsi="Times New Roman" w:cs="Times New Roman"/>
          <w:color w:val="000000" w:themeColor="text1"/>
          <w:sz w:val="24"/>
          <w:szCs w:val="24"/>
        </w:rPr>
        <w:t>close proximity</w:t>
      </w:r>
      <w:proofErr w:type="gramEnd"/>
      <w:r w:rsidRPr="00490DD1">
        <w:rPr>
          <w:rFonts w:ascii="Times New Roman" w:hAnsi="Times New Roman" w:cs="Times New Roman"/>
          <w:color w:val="000000" w:themeColor="text1"/>
          <w:sz w:val="24"/>
          <w:szCs w:val="24"/>
        </w:rPr>
        <w:t xml:space="preserve"> between the investigators and those implicated. Yet, as the Court explained in </w:t>
      </w:r>
      <w:proofErr w:type="spellStart"/>
      <w:r w:rsidRPr="00490DD1">
        <w:rPr>
          <w:rFonts w:ascii="Times New Roman" w:hAnsi="Times New Roman" w:cs="Times New Roman"/>
          <w:i/>
          <w:color w:val="000000" w:themeColor="text1"/>
          <w:sz w:val="24"/>
          <w:szCs w:val="24"/>
        </w:rPr>
        <w:t>Jaloud</w:t>
      </w:r>
      <w:proofErr w:type="spellEnd"/>
      <w:r w:rsidRPr="00490DD1">
        <w:rPr>
          <w:rFonts w:ascii="Times New Roman" w:hAnsi="Times New Roman" w:cs="Times New Roman"/>
          <w:color w:val="000000" w:themeColor="text1"/>
          <w:sz w:val="24"/>
          <w:szCs w:val="24"/>
        </w:rPr>
        <w:t>, the fa</w:t>
      </w:r>
      <w:r w:rsidR="00EE382C" w:rsidRPr="00490DD1">
        <w:rPr>
          <w:rFonts w:ascii="Times New Roman" w:hAnsi="Times New Roman" w:cs="Times New Roman"/>
          <w:color w:val="000000" w:themeColor="text1"/>
          <w:sz w:val="24"/>
          <w:szCs w:val="24"/>
        </w:rPr>
        <w:t>ct that they shared quarters or that the investigators were s</w:t>
      </w:r>
      <w:r w:rsidRPr="00490DD1">
        <w:rPr>
          <w:rFonts w:ascii="Times New Roman" w:hAnsi="Times New Roman" w:cs="Times New Roman"/>
          <w:color w:val="000000" w:themeColor="text1"/>
          <w:sz w:val="24"/>
          <w:szCs w:val="24"/>
        </w:rPr>
        <w:t xml:space="preserve">ubordinated to the investigated were not seen as running </w:t>
      </w:r>
      <w:proofErr w:type="spellStart"/>
      <w:r w:rsidRPr="00490DD1">
        <w:rPr>
          <w:rFonts w:ascii="Times New Roman" w:hAnsi="Times New Roman" w:cs="Times New Roman"/>
          <w:color w:val="000000" w:themeColor="text1"/>
          <w:sz w:val="24"/>
          <w:szCs w:val="24"/>
        </w:rPr>
        <w:t>foul</w:t>
      </w:r>
      <w:proofErr w:type="spellEnd"/>
      <w:r w:rsidRPr="00490DD1">
        <w:rPr>
          <w:rFonts w:ascii="Times New Roman" w:hAnsi="Times New Roman" w:cs="Times New Roman"/>
          <w:color w:val="000000" w:themeColor="text1"/>
          <w:sz w:val="24"/>
          <w:szCs w:val="24"/>
        </w:rPr>
        <w:t xml:space="preserve"> of the principle.</w:t>
      </w:r>
      <w:r w:rsidR="00EE382C" w:rsidRPr="00490DD1">
        <w:rPr>
          <w:rStyle w:val="FootnoteReference"/>
          <w:rFonts w:ascii="Times New Roman" w:hAnsi="Times New Roman" w:cs="Times New Roman"/>
          <w:color w:val="000000" w:themeColor="text1"/>
          <w:sz w:val="24"/>
          <w:szCs w:val="24"/>
        </w:rPr>
        <w:footnoteReference w:id="126"/>
      </w:r>
      <w:r w:rsidRPr="00490DD1">
        <w:rPr>
          <w:rFonts w:ascii="Times New Roman" w:hAnsi="Times New Roman" w:cs="Times New Roman"/>
          <w:color w:val="000000" w:themeColor="text1"/>
          <w:sz w:val="24"/>
          <w:szCs w:val="24"/>
        </w:rPr>
        <w:t xml:space="preserve"> The </w:t>
      </w:r>
      <w:r w:rsidRPr="00490DD1">
        <w:rPr>
          <w:rFonts w:ascii="Times New Roman" w:hAnsi="Times New Roman" w:cs="Times New Roman"/>
          <w:color w:val="000000" w:themeColor="text1"/>
          <w:sz w:val="24"/>
          <w:szCs w:val="24"/>
        </w:rPr>
        <w:lastRenderedPageBreak/>
        <w:t>reason for this was that there did not seem to be any nexus between the investigators and the individuals implicated in the incident.</w:t>
      </w:r>
      <w:r w:rsidRPr="00490DD1">
        <w:rPr>
          <w:rStyle w:val="FootnoteReference"/>
          <w:rFonts w:ascii="Times New Roman" w:hAnsi="Times New Roman" w:cs="Times New Roman"/>
          <w:color w:val="000000" w:themeColor="text1"/>
          <w:sz w:val="24"/>
          <w:szCs w:val="24"/>
        </w:rPr>
        <w:footnoteReference w:id="127"/>
      </w:r>
    </w:p>
    <w:p w14:paraId="6E6DCC7F" w14:textId="16E12FCF" w:rsidR="00D17493" w:rsidRPr="00490DD1" w:rsidRDefault="00D17493"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Whilst this judgment shows that the Court has some understanding of the difficulty of separating armed forces deployed abroad</w:t>
      </w:r>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it confirms the jurisprudence relating to the need to ensure that the investigation be independent in law and in practice. </w:t>
      </w:r>
      <w:r w:rsidR="00840DB9">
        <w:rPr>
          <w:rFonts w:ascii="Times New Roman" w:hAnsi="Times New Roman" w:cs="Times New Roman"/>
          <w:color w:val="000000" w:themeColor="text1"/>
          <w:sz w:val="24"/>
          <w:szCs w:val="24"/>
        </w:rPr>
        <w:t>C</w:t>
      </w:r>
      <w:r w:rsidRPr="00490DD1">
        <w:rPr>
          <w:rFonts w:ascii="Times New Roman" w:hAnsi="Times New Roman" w:cs="Times New Roman"/>
          <w:color w:val="000000" w:themeColor="text1"/>
          <w:sz w:val="24"/>
          <w:szCs w:val="24"/>
        </w:rPr>
        <w:t xml:space="preserve">ase-law </w:t>
      </w:r>
      <w:r w:rsidR="003A6B1F" w:rsidRPr="00490DD1">
        <w:rPr>
          <w:rFonts w:ascii="Times New Roman" w:hAnsi="Times New Roman" w:cs="Times New Roman"/>
          <w:color w:val="000000" w:themeColor="text1"/>
          <w:sz w:val="24"/>
          <w:szCs w:val="24"/>
        </w:rPr>
        <w:t>emphasises</w:t>
      </w:r>
      <w:r w:rsidRPr="00490DD1">
        <w:rPr>
          <w:rFonts w:ascii="Times New Roman" w:hAnsi="Times New Roman" w:cs="Times New Roman"/>
          <w:color w:val="000000" w:themeColor="text1"/>
          <w:sz w:val="24"/>
          <w:szCs w:val="24"/>
        </w:rPr>
        <w:t xml:space="preserve"> that the principle of independence is interrelated with the other principles</w:t>
      </w:r>
      <w:r w:rsidRPr="00490DD1">
        <w:rPr>
          <w:rStyle w:val="FootnoteReference"/>
          <w:rFonts w:ascii="Times New Roman" w:hAnsi="Times New Roman" w:cs="Times New Roman"/>
          <w:color w:val="000000" w:themeColor="text1"/>
          <w:sz w:val="24"/>
          <w:szCs w:val="24"/>
        </w:rPr>
        <w:footnoteReference w:id="128"/>
      </w:r>
      <w:r w:rsidRPr="00490DD1">
        <w:rPr>
          <w:rFonts w:ascii="Times New Roman" w:hAnsi="Times New Roman" w:cs="Times New Roman"/>
          <w:color w:val="000000" w:themeColor="text1"/>
          <w:sz w:val="24"/>
          <w:szCs w:val="24"/>
        </w:rPr>
        <w:t xml:space="preserve"> and tha</w:t>
      </w:r>
      <w:r w:rsidR="00A367E6" w:rsidRPr="00490DD1">
        <w:rPr>
          <w:rFonts w:ascii="Times New Roman" w:hAnsi="Times New Roman" w:cs="Times New Roman"/>
          <w:color w:val="000000" w:themeColor="text1"/>
          <w:sz w:val="24"/>
          <w:szCs w:val="24"/>
        </w:rPr>
        <w:t>t u</w:t>
      </w:r>
      <w:r w:rsidRPr="00490DD1">
        <w:rPr>
          <w:rFonts w:ascii="Times New Roman" w:hAnsi="Times New Roman" w:cs="Times New Roman"/>
          <w:color w:val="000000" w:themeColor="text1"/>
          <w:sz w:val="24"/>
          <w:szCs w:val="24"/>
        </w:rPr>
        <w:t>ltimatel</w:t>
      </w:r>
      <w:r w:rsidR="00A367E6" w:rsidRPr="00490DD1">
        <w:rPr>
          <w:rFonts w:ascii="Times New Roman" w:hAnsi="Times New Roman" w:cs="Times New Roman"/>
          <w:color w:val="000000" w:themeColor="text1"/>
          <w:sz w:val="24"/>
          <w:szCs w:val="24"/>
        </w:rPr>
        <w:t>y t</w:t>
      </w:r>
      <w:r w:rsidRPr="00490DD1">
        <w:rPr>
          <w:rFonts w:ascii="Times New Roman" w:hAnsi="Times New Roman" w:cs="Times New Roman"/>
          <w:color w:val="000000" w:themeColor="text1"/>
          <w:sz w:val="24"/>
          <w:szCs w:val="24"/>
        </w:rPr>
        <w:t>he Court ‘allows for independence to be contentious to a certain degre</w:t>
      </w:r>
      <w:r w:rsidR="00A367E6" w:rsidRPr="00490DD1">
        <w:rPr>
          <w:rFonts w:ascii="Times New Roman" w:hAnsi="Times New Roman" w:cs="Times New Roman"/>
          <w:color w:val="000000" w:themeColor="text1"/>
          <w:sz w:val="24"/>
          <w:szCs w:val="24"/>
        </w:rPr>
        <w:t>e</w:t>
      </w:r>
      <w:r w:rsidRPr="00490DD1">
        <w:rPr>
          <w:rFonts w:ascii="Times New Roman" w:hAnsi="Times New Roman" w:cs="Times New Roman"/>
          <w:color w:val="000000" w:themeColor="text1"/>
          <w:sz w:val="24"/>
          <w:szCs w:val="24"/>
        </w:rPr>
        <w:t xml:space="preserve"> insofar as it does not hinder effectiveness of the investigation’</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29"/>
      </w:r>
      <w:r w:rsidRPr="00490DD1">
        <w:rPr>
          <w:rFonts w:ascii="Times New Roman" w:hAnsi="Times New Roman" w:cs="Times New Roman"/>
          <w:color w:val="000000" w:themeColor="text1"/>
          <w:sz w:val="24"/>
          <w:szCs w:val="24"/>
        </w:rPr>
        <w:t xml:space="preserve"> This may elucidate the leeway given to the Dutch armed forces inasmuch</w:t>
      </w:r>
      <w:r w:rsidR="00481BDC"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as the lack of independence did not have any practical implications on the effectiveness of the investigation.</w:t>
      </w:r>
    </w:p>
    <w:p w14:paraId="054B1D13" w14:textId="6F36C554" w:rsidR="00D17493" w:rsidRPr="00490DD1" w:rsidRDefault="00D17493"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In conclusion</w:t>
      </w:r>
      <w:r w:rsidR="0046615A">
        <w:rPr>
          <w:rFonts w:ascii="Times New Roman" w:hAnsi="Times New Roman" w:cs="Times New Roman"/>
          <w:color w:val="000000" w:themeColor="text1"/>
          <w:sz w:val="24"/>
          <w:szCs w:val="24"/>
        </w:rPr>
        <w:t xml:space="preserve"> </w:t>
      </w:r>
      <w:r w:rsidR="003C48CE">
        <w:rPr>
          <w:rFonts w:ascii="Times New Roman" w:hAnsi="Times New Roman" w:cs="Times New Roman"/>
          <w:color w:val="000000" w:themeColor="text1"/>
          <w:sz w:val="24"/>
          <w:szCs w:val="24"/>
        </w:rPr>
        <w:t>the armed forces</w:t>
      </w:r>
      <w:r w:rsidR="00840DB9">
        <w:rPr>
          <w:rFonts w:ascii="Times New Roman" w:hAnsi="Times New Roman" w:cs="Times New Roman"/>
          <w:color w:val="000000" w:themeColor="text1"/>
          <w:sz w:val="24"/>
          <w:szCs w:val="24"/>
        </w:rPr>
        <w:t xml:space="preserve"> </w:t>
      </w:r>
      <w:proofErr w:type="gramStart"/>
      <w:r w:rsidR="0001563E">
        <w:rPr>
          <w:rFonts w:ascii="Times New Roman" w:hAnsi="Times New Roman" w:cs="Times New Roman"/>
          <w:color w:val="000000" w:themeColor="text1"/>
          <w:sz w:val="24"/>
          <w:szCs w:val="24"/>
        </w:rPr>
        <w:t>are able</w:t>
      </w:r>
      <w:r w:rsidR="00840DB9">
        <w:rPr>
          <w:rFonts w:ascii="Times New Roman" w:hAnsi="Times New Roman" w:cs="Times New Roman"/>
          <w:color w:val="000000" w:themeColor="text1"/>
          <w:sz w:val="24"/>
          <w:szCs w:val="24"/>
        </w:rPr>
        <w:t xml:space="preserve"> to</w:t>
      </w:r>
      <w:proofErr w:type="gramEnd"/>
      <w:r w:rsidRPr="00490DD1">
        <w:rPr>
          <w:rFonts w:ascii="Times New Roman" w:hAnsi="Times New Roman" w:cs="Times New Roman"/>
          <w:color w:val="000000" w:themeColor="text1"/>
          <w:sz w:val="24"/>
          <w:szCs w:val="24"/>
        </w:rPr>
        <w:t xml:space="preserve"> </w:t>
      </w:r>
      <w:r w:rsidR="0011529C" w:rsidRPr="00490DD1">
        <w:rPr>
          <w:rFonts w:ascii="Times New Roman" w:hAnsi="Times New Roman" w:cs="Times New Roman"/>
          <w:color w:val="000000" w:themeColor="text1"/>
          <w:sz w:val="24"/>
          <w:szCs w:val="24"/>
        </w:rPr>
        <w:t>abide</w:t>
      </w:r>
      <w:r w:rsidRPr="00490DD1">
        <w:rPr>
          <w:rFonts w:ascii="Times New Roman" w:hAnsi="Times New Roman" w:cs="Times New Roman"/>
          <w:color w:val="000000" w:themeColor="text1"/>
          <w:sz w:val="24"/>
          <w:szCs w:val="24"/>
        </w:rPr>
        <w:t xml:space="preserve"> </w:t>
      </w:r>
      <w:r w:rsidR="0011529C" w:rsidRPr="00490DD1">
        <w:rPr>
          <w:rFonts w:ascii="Times New Roman" w:hAnsi="Times New Roman" w:cs="Times New Roman"/>
          <w:color w:val="000000" w:themeColor="text1"/>
          <w:sz w:val="24"/>
          <w:szCs w:val="24"/>
        </w:rPr>
        <w:t>by</w:t>
      </w:r>
      <w:r w:rsidRPr="00490DD1">
        <w:rPr>
          <w:rFonts w:ascii="Times New Roman" w:hAnsi="Times New Roman" w:cs="Times New Roman"/>
          <w:color w:val="000000" w:themeColor="text1"/>
          <w:sz w:val="24"/>
          <w:szCs w:val="24"/>
        </w:rPr>
        <w:t xml:space="preserve"> the principles of promptness and independence. Here, it is not </w:t>
      </w:r>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mission impossible</w:t>
      </w:r>
      <w:r w:rsidR="001664AD" w:rsidRPr="00490DD1">
        <w:rPr>
          <w:rFonts w:ascii="Times New Roman" w:hAnsi="Times New Roman" w:cs="Times New Roman"/>
          <w:color w:val="000000" w:themeColor="text1"/>
          <w:sz w:val="24"/>
          <w:szCs w:val="24"/>
        </w:rPr>
        <w:t>’</w:t>
      </w:r>
      <w:r w:rsidR="005A3C02" w:rsidRPr="00490DD1">
        <w:rPr>
          <w:rFonts w:ascii="Times New Roman" w:hAnsi="Times New Roman" w:cs="Times New Roman"/>
          <w:color w:val="000000" w:themeColor="text1"/>
          <w:sz w:val="24"/>
          <w:szCs w:val="24"/>
        </w:rPr>
        <w:t xml:space="preserve"> at all</w:t>
      </w:r>
      <w:r w:rsidR="00481BDC" w:rsidRPr="00490DD1">
        <w:rPr>
          <w:rFonts w:ascii="Times New Roman" w:hAnsi="Times New Roman" w:cs="Times New Roman"/>
          <w:color w:val="000000" w:themeColor="text1"/>
          <w:sz w:val="24"/>
          <w:szCs w:val="24"/>
        </w:rPr>
        <w:t>,</w:t>
      </w:r>
      <w:r w:rsidR="0011529C" w:rsidRPr="00490DD1">
        <w:rPr>
          <w:rFonts w:ascii="Times New Roman" w:hAnsi="Times New Roman" w:cs="Times New Roman"/>
          <w:color w:val="000000" w:themeColor="text1"/>
          <w:sz w:val="24"/>
          <w:szCs w:val="24"/>
        </w:rPr>
        <w:t xml:space="preserve"> and the Court gives States some latitude. </w:t>
      </w:r>
      <w:r w:rsidRPr="00490DD1">
        <w:rPr>
          <w:rFonts w:ascii="Times New Roman" w:hAnsi="Times New Roman" w:cs="Times New Roman"/>
          <w:color w:val="000000" w:themeColor="text1"/>
          <w:sz w:val="24"/>
          <w:szCs w:val="24"/>
        </w:rPr>
        <w:t xml:space="preserve">Yet, there is a further requirement that needs to be </w:t>
      </w:r>
      <w:r w:rsidR="003A6B1F" w:rsidRPr="00490DD1">
        <w:rPr>
          <w:rFonts w:ascii="Times New Roman" w:hAnsi="Times New Roman" w:cs="Times New Roman"/>
          <w:color w:val="000000" w:themeColor="text1"/>
          <w:sz w:val="24"/>
          <w:szCs w:val="24"/>
        </w:rPr>
        <w:t>met</w:t>
      </w:r>
      <w:r w:rsidRPr="00490DD1">
        <w:rPr>
          <w:rFonts w:ascii="Times New Roman" w:hAnsi="Times New Roman" w:cs="Times New Roman"/>
          <w:color w:val="000000" w:themeColor="text1"/>
          <w:sz w:val="24"/>
          <w:szCs w:val="24"/>
        </w:rPr>
        <w:t>, that of public scrutiny in the investigation.</w:t>
      </w:r>
    </w:p>
    <w:p w14:paraId="2DA71BF9" w14:textId="77777777" w:rsidR="00D17493" w:rsidRPr="00490DD1" w:rsidRDefault="00D17493" w:rsidP="001664AD">
      <w:pPr>
        <w:spacing w:after="0" w:line="360" w:lineRule="auto"/>
        <w:rPr>
          <w:rFonts w:ascii="Times New Roman" w:hAnsi="Times New Roman" w:cs="Times New Roman"/>
          <w:color w:val="000000" w:themeColor="text1"/>
          <w:sz w:val="24"/>
          <w:szCs w:val="24"/>
        </w:rPr>
      </w:pPr>
    </w:p>
    <w:p w14:paraId="7EE8F087" w14:textId="2B560249" w:rsidR="00D17493" w:rsidRPr="008241E7" w:rsidRDefault="0001563E" w:rsidP="00670537">
      <w:pPr>
        <w:spacing w:after="0" w:line="360" w:lineRule="auto"/>
        <w:rPr>
          <w:rFonts w:ascii="Times New Roman" w:hAnsi="Times New Roman" w:cs="Times New Roman"/>
          <w:b/>
          <w:caps/>
          <w:color w:val="000000" w:themeColor="text1"/>
          <w:sz w:val="24"/>
          <w:szCs w:val="24"/>
        </w:rPr>
      </w:pPr>
      <w:bookmarkStart w:id="12" w:name="_Toc492309184"/>
      <w:r w:rsidRPr="008241E7">
        <w:rPr>
          <w:rFonts w:ascii="Times New Roman" w:hAnsi="Times New Roman" w:cs="Times New Roman"/>
          <w:b/>
          <w:caps/>
          <w:color w:val="000000" w:themeColor="text1"/>
          <w:sz w:val="24"/>
          <w:szCs w:val="24"/>
        </w:rPr>
        <w:t>5</w:t>
      </w:r>
      <w:r w:rsidR="008241E7" w:rsidRPr="008241E7">
        <w:rPr>
          <w:rFonts w:ascii="Times New Roman" w:hAnsi="Times New Roman" w:cs="Times New Roman"/>
          <w:b/>
          <w:caps/>
          <w:color w:val="000000" w:themeColor="text1"/>
          <w:sz w:val="24"/>
          <w:szCs w:val="24"/>
        </w:rPr>
        <w:t>.</w:t>
      </w:r>
      <w:r w:rsidR="006B7AB6" w:rsidRPr="008241E7">
        <w:rPr>
          <w:rFonts w:ascii="Times New Roman" w:hAnsi="Times New Roman" w:cs="Times New Roman"/>
          <w:b/>
          <w:caps/>
          <w:color w:val="000000" w:themeColor="text1"/>
          <w:sz w:val="24"/>
          <w:szCs w:val="24"/>
        </w:rPr>
        <w:t xml:space="preserve"> </w:t>
      </w:r>
      <w:r w:rsidR="00FE093F" w:rsidRPr="008241E7">
        <w:rPr>
          <w:rFonts w:ascii="Times New Roman" w:hAnsi="Times New Roman" w:cs="Times New Roman"/>
          <w:b/>
          <w:caps/>
          <w:color w:val="000000" w:themeColor="text1"/>
          <w:sz w:val="24"/>
          <w:szCs w:val="24"/>
        </w:rPr>
        <w:t>Principle of Public Scrutiny in the I</w:t>
      </w:r>
      <w:r w:rsidR="00D17493" w:rsidRPr="008241E7">
        <w:rPr>
          <w:rFonts w:ascii="Times New Roman" w:hAnsi="Times New Roman" w:cs="Times New Roman"/>
          <w:b/>
          <w:caps/>
          <w:color w:val="000000" w:themeColor="text1"/>
          <w:sz w:val="24"/>
          <w:szCs w:val="24"/>
        </w:rPr>
        <w:t>nvestigation</w:t>
      </w:r>
      <w:bookmarkEnd w:id="12"/>
    </w:p>
    <w:p w14:paraId="1053006B" w14:textId="751762F7" w:rsidR="00D17493" w:rsidRPr="00490DD1" w:rsidRDefault="00D17493" w:rsidP="00670537">
      <w:pPr>
        <w:spacing w:after="0" w:line="360" w:lineRule="auto"/>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As Chevalier-Watts explains, ‘the procedural obligations balance the requirements on a state and recognize its position in a liberal democracy whilst recognizing the rights of victims’ families and acknowledging the need to restore public confidence’</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30"/>
      </w:r>
      <w:r w:rsidRPr="00490DD1">
        <w:rPr>
          <w:rFonts w:ascii="Times New Roman" w:hAnsi="Times New Roman" w:cs="Times New Roman"/>
          <w:color w:val="000000" w:themeColor="text1"/>
          <w:sz w:val="24"/>
          <w:szCs w:val="24"/>
        </w:rPr>
        <w:t xml:space="preserve"> The twin aims are to allow for victim participation and challenge </w:t>
      </w:r>
      <w:r w:rsidR="00B96ACE">
        <w:rPr>
          <w:rFonts w:ascii="Times New Roman" w:hAnsi="Times New Roman" w:cs="Times New Roman"/>
          <w:color w:val="000000" w:themeColor="text1"/>
          <w:sz w:val="24"/>
          <w:szCs w:val="24"/>
        </w:rPr>
        <w:t xml:space="preserve">of </w:t>
      </w:r>
      <w:r w:rsidRPr="00490DD1">
        <w:rPr>
          <w:rFonts w:ascii="Times New Roman" w:hAnsi="Times New Roman" w:cs="Times New Roman"/>
          <w:color w:val="000000" w:themeColor="text1"/>
          <w:sz w:val="24"/>
          <w:szCs w:val="24"/>
        </w:rPr>
        <w:t>the outcome of the investigation</w:t>
      </w:r>
      <w:r w:rsidR="00FA4361"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as well as to ensure public scrutiny more gener</w:t>
      </w:r>
      <w:r w:rsidR="0011529C" w:rsidRPr="00490DD1">
        <w:rPr>
          <w:rFonts w:ascii="Times New Roman" w:hAnsi="Times New Roman" w:cs="Times New Roman"/>
          <w:color w:val="000000" w:themeColor="text1"/>
          <w:sz w:val="24"/>
          <w:szCs w:val="24"/>
        </w:rPr>
        <w:t>ally: ‘p</w:t>
      </w:r>
      <w:r w:rsidR="000E42A7" w:rsidRPr="00490DD1">
        <w:rPr>
          <w:rFonts w:ascii="Times New Roman" w:hAnsi="Times New Roman" w:cs="Times New Roman"/>
          <w:color w:val="000000" w:themeColor="text1"/>
          <w:sz w:val="24"/>
          <w:szCs w:val="24"/>
        </w:rPr>
        <w:t>ublic scrutiny provides a procedural safeguard’</w:t>
      </w:r>
      <w:r w:rsidR="00615026">
        <w:rPr>
          <w:rFonts w:ascii="Times New Roman" w:hAnsi="Times New Roman" w:cs="Times New Roman"/>
          <w:color w:val="000000" w:themeColor="text1"/>
          <w:sz w:val="24"/>
          <w:szCs w:val="24"/>
        </w:rPr>
        <w:t>.</w:t>
      </w:r>
      <w:r w:rsidR="000E42A7" w:rsidRPr="00490DD1">
        <w:rPr>
          <w:rStyle w:val="FootnoteReference"/>
          <w:rFonts w:ascii="Times New Roman" w:hAnsi="Times New Roman" w:cs="Times New Roman"/>
          <w:color w:val="000000" w:themeColor="text1"/>
          <w:sz w:val="24"/>
          <w:szCs w:val="24"/>
        </w:rPr>
        <w:footnoteReference w:id="131"/>
      </w:r>
    </w:p>
    <w:p w14:paraId="5B43B23B" w14:textId="217CD02C" w:rsidR="00D17493" w:rsidRPr="00490DD1" w:rsidRDefault="00D17493"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lastRenderedPageBreak/>
        <w:t xml:space="preserve">In </w:t>
      </w:r>
      <w:proofErr w:type="spellStart"/>
      <w:r w:rsidRPr="00490DD1">
        <w:rPr>
          <w:rFonts w:ascii="Times New Roman" w:hAnsi="Times New Roman" w:cs="Times New Roman"/>
          <w:i/>
          <w:color w:val="000000" w:themeColor="text1"/>
          <w:sz w:val="24"/>
          <w:szCs w:val="24"/>
        </w:rPr>
        <w:t>McKerr</w:t>
      </w:r>
      <w:proofErr w:type="spellEnd"/>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the Court noted the importance of public scrutiny, for ‘proper procedures for ensuring the accountability of agents of the State are indispensable in maintaining public confidence and meeting the legitimate concerns that might arise from the use of lethal force’</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32"/>
      </w:r>
      <w:r w:rsidRPr="00490DD1">
        <w:rPr>
          <w:rFonts w:ascii="Times New Roman" w:hAnsi="Times New Roman" w:cs="Times New Roman"/>
          <w:color w:val="000000" w:themeColor="text1"/>
          <w:sz w:val="24"/>
          <w:szCs w:val="24"/>
        </w:rPr>
        <w:t xml:space="preserve"> In the specific situation of the deployment of troops abroad</w:t>
      </w:r>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one could question who the ‘public’ in the expression ‘public confidence’ is. Is it the public at home or the public </w:t>
      </w:r>
      <w:r w:rsidR="00B96ACE">
        <w:rPr>
          <w:rFonts w:ascii="Times New Roman" w:hAnsi="Times New Roman" w:cs="Times New Roman"/>
          <w:color w:val="000000" w:themeColor="text1"/>
          <w:sz w:val="24"/>
          <w:szCs w:val="24"/>
        </w:rPr>
        <w:t>of</w:t>
      </w:r>
      <w:r w:rsidRPr="00490DD1">
        <w:rPr>
          <w:rFonts w:ascii="Times New Roman" w:hAnsi="Times New Roman" w:cs="Times New Roman"/>
          <w:color w:val="000000" w:themeColor="text1"/>
          <w:sz w:val="24"/>
          <w:szCs w:val="24"/>
        </w:rPr>
        <w:t xml:space="preserve"> the</w:t>
      </w:r>
      <w:r w:rsidR="0011529C" w:rsidRPr="00490DD1">
        <w:rPr>
          <w:rFonts w:ascii="Times New Roman" w:hAnsi="Times New Roman" w:cs="Times New Roman"/>
          <w:color w:val="000000" w:themeColor="text1"/>
          <w:sz w:val="24"/>
          <w:szCs w:val="24"/>
        </w:rPr>
        <w:t xml:space="preserve"> territorial</w:t>
      </w:r>
      <w:r w:rsidRPr="00490DD1">
        <w:rPr>
          <w:rFonts w:ascii="Times New Roman" w:hAnsi="Times New Roman" w:cs="Times New Roman"/>
          <w:color w:val="000000" w:themeColor="text1"/>
          <w:sz w:val="24"/>
          <w:szCs w:val="24"/>
        </w:rPr>
        <w:t xml:space="preserve"> State? Remarkably, the Court has never </w:t>
      </w:r>
      <w:proofErr w:type="gramStart"/>
      <w:r w:rsidRPr="00490DD1">
        <w:rPr>
          <w:rFonts w:ascii="Times New Roman" w:hAnsi="Times New Roman" w:cs="Times New Roman"/>
          <w:color w:val="000000" w:themeColor="text1"/>
          <w:sz w:val="24"/>
          <w:szCs w:val="24"/>
        </w:rPr>
        <w:t>entered into</w:t>
      </w:r>
      <w:proofErr w:type="gramEnd"/>
      <w:r w:rsidRPr="00490DD1">
        <w:rPr>
          <w:rFonts w:ascii="Times New Roman" w:hAnsi="Times New Roman" w:cs="Times New Roman"/>
          <w:color w:val="000000" w:themeColor="text1"/>
          <w:sz w:val="24"/>
          <w:szCs w:val="24"/>
        </w:rPr>
        <w:t xml:space="preserve"> such a debate. If the objective is to offer transparency in the sense of information about the process and </w:t>
      </w:r>
      <w:r w:rsidR="0011529C" w:rsidRPr="00490DD1">
        <w:rPr>
          <w:rFonts w:ascii="Times New Roman" w:hAnsi="Times New Roman" w:cs="Times New Roman"/>
          <w:color w:val="000000" w:themeColor="text1"/>
          <w:sz w:val="24"/>
          <w:szCs w:val="24"/>
        </w:rPr>
        <w:t>its</w:t>
      </w:r>
      <w:r w:rsidRPr="00490DD1">
        <w:rPr>
          <w:rFonts w:ascii="Times New Roman" w:hAnsi="Times New Roman" w:cs="Times New Roman"/>
          <w:color w:val="000000" w:themeColor="text1"/>
          <w:sz w:val="24"/>
          <w:szCs w:val="24"/>
        </w:rPr>
        <w:t xml:space="preserve"> integrity</w:t>
      </w:r>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then both the public </w:t>
      </w:r>
      <w:r w:rsidR="00840DB9">
        <w:rPr>
          <w:rFonts w:ascii="Times New Roman" w:hAnsi="Times New Roman" w:cs="Times New Roman"/>
          <w:color w:val="000000" w:themeColor="text1"/>
          <w:sz w:val="24"/>
          <w:szCs w:val="24"/>
        </w:rPr>
        <w:t xml:space="preserve">at home </w:t>
      </w:r>
      <w:r w:rsidRPr="00490DD1">
        <w:rPr>
          <w:rFonts w:ascii="Times New Roman" w:hAnsi="Times New Roman" w:cs="Times New Roman"/>
          <w:color w:val="000000" w:themeColor="text1"/>
          <w:sz w:val="24"/>
          <w:szCs w:val="24"/>
        </w:rPr>
        <w:t>and abroad are encompassed. As Schmitt explains, ‘transparency, particularly among an affected population, generally enhances counterinsurgency operations’</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33"/>
      </w:r>
      <w:r w:rsidRPr="00490DD1">
        <w:rPr>
          <w:rFonts w:ascii="Times New Roman" w:hAnsi="Times New Roman" w:cs="Times New Roman"/>
          <w:color w:val="000000" w:themeColor="text1"/>
          <w:sz w:val="24"/>
          <w:szCs w:val="24"/>
        </w:rPr>
        <w:t xml:space="preserve"> a point also made by the Court itself</w:t>
      </w:r>
      <w:r w:rsidR="0011529C" w:rsidRPr="00490DD1">
        <w:rPr>
          <w:rFonts w:ascii="Times New Roman" w:hAnsi="Times New Roman" w:cs="Times New Roman"/>
          <w:color w:val="000000" w:themeColor="text1"/>
          <w:sz w:val="24"/>
          <w:szCs w:val="24"/>
        </w:rPr>
        <w:t>, though in a domestic context.</w:t>
      </w:r>
      <w:r w:rsidRPr="00490DD1">
        <w:rPr>
          <w:rStyle w:val="FootnoteReference"/>
          <w:rFonts w:ascii="Times New Roman" w:hAnsi="Times New Roman" w:cs="Times New Roman"/>
          <w:color w:val="000000" w:themeColor="text1"/>
          <w:sz w:val="24"/>
          <w:szCs w:val="24"/>
          <w:shd w:val="clear" w:color="auto" w:fill="FFFFFF"/>
        </w:rPr>
        <w:footnoteReference w:id="134"/>
      </w:r>
      <w:r w:rsidRPr="00490DD1">
        <w:rPr>
          <w:rStyle w:val="sb8d990e2"/>
          <w:rFonts w:ascii="Times New Roman" w:hAnsi="Times New Roman" w:cs="Times New Roman"/>
          <w:color w:val="000000" w:themeColor="text1"/>
          <w:sz w:val="24"/>
          <w:szCs w:val="24"/>
          <w:shd w:val="clear" w:color="auto" w:fill="FFFFFF"/>
        </w:rPr>
        <w:t xml:space="preserve"> After all</w:t>
      </w:r>
      <w:r w:rsidR="001664AD" w:rsidRPr="00490DD1">
        <w:rPr>
          <w:rStyle w:val="sb8d990e2"/>
          <w:rFonts w:ascii="Times New Roman" w:hAnsi="Times New Roman" w:cs="Times New Roman"/>
          <w:color w:val="000000" w:themeColor="text1"/>
          <w:sz w:val="24"/>
          <w:szCs w:val="24"/>
          <w:shd w:val="clear" w:color="auto" w:fill="FFFFFF"/>
        </w:rPr>
        <w:t>,</w:t>
      </w:r>
      <w:r w:rsidRPr="00490DD1">
        <w:rPr>
          <w:rStyle w:val="sb8d990e2"/>
          <w:rFonts w:ascii="Times New Roman" w:hAnsi="Times New Roman" w:cs="Times New Roman"/>
          <w:color w:val="000000" w:themeColor="text1"/>
          <w:sz w:val="24"/>
          <w:szCs w:val="24"/>
          <w:shd w:val="clear" w:color="auto" w:fill="FFFFFF"/>
        </w:rPr>
        <w:t xml:space="preserve"> ‘</w:t>
      </w:r>
      <w:r w:rsidRPr="00490DD1">
        <w:rPr>
          <w:rFonts w:ascii="Times New Roman" w:hAnsi="Times New Roman" w:cs="Times New Roman"/>
          <w:color w:val="000000" w:themeColor="text1"/>
          <w:sz w:val="24"/>
          <w:szCs w:val="24"/>
        </w:rPr>
        <w:t>once people begin to doubt whether a war is being conducted in a humane way, their support is indeed likely to “erode or even reverse itself rapidly, no matter how worthy the political objective”’</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35"/>
      </w:r>
      <w:r w:rsidRPr="00490DD1">
        <w:rPr>
          <w:rFonts w:ascii="Times New Roman" w:hAnsi="Times New Roman" w:cs="Times New Roman"/>
          <w:color w:val="000000" w:themeColor="text1"/>
          <w:sz w:val="24"/>
          <w:szCs w:val="24"/>
        </w:rPr>
        <w:t xml:space="preserve"> However, if the objective is to offer accountability, defined as ‘the imposition and ultimately acceptance of legal responsibility </w:t>
      </w:r>
      <w:r w:rsidR="00615026">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w:t>
      </w:r>
      <w:r w:rsidR="00615026">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for military conduct’</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36"/>
      </w:r>
      <w:r w:rsidRPr="00490DD1">
        <w:rPr>
          <w:rFonts w:ascii="Times New Roman" w:hAnsi="Times New Roman" w:cs="Times New Roman"/>
          <w:color w:val="000000" w:themeColor="text1"/>
          <w:sz w:val="24"/>
          <w:szCs w:val="24"/>
        </w:rPr>
        <w:t xml:space="preserve"> then it is more likely that the public abroad is the object of interest and the focus is accordingly placed on (judicial) remedies.</w:t>
      </w:r>
    </w:p>
    <w:p w14:paraId="4F196576" w14:textId="0497E4E2" w:rsidR="00D17493" w:rsidRPr="00490DD1" w:rsidRDefault="00CB1C60"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Whilst it is accepted that ‘the degree of public scrutiny required may well vary from case to case</w:t>
      </w:r>
      <w:r w:rsidR="00FA4361" w:rsidRPr="00490DD1">
        <w:rPr>
          <w:rFonts w:ascii="Times New Roman" w:hAnsi="Times New Roman" w:cs="Times New Roman"/>
          <w:color w:val="000000" w:themeColor="text1"/>
          <w:sz w:val="24"/>
          <w:szCs w:val="24"/>
        </w:rPr>
        <w:t>’</w:t>
      </w:r>
      <w:r w:rsidR="00615026">
        <w:rPr>
          <w:rFonts w:ascii="Times New Roman" w:hAnsi="Times New Roman" w:cs="Times New Roman"/>
          <w:color w:val="000000" w:themeColor="text1"/>
          <w:sz w:val="24"/>
          <w:szCs w:val="24"/>
        </w:rPr>
        <w:t>,</w:t>
      </w:r>
      <w:r w:rsidR="00FA4361" w:rsidRPr="00490DD1">
        <w:rPr>
          <w:rFonts w:ascii="Times New Roman" w:hAnsi="Times New Roman" w:cs="Times New Roman"/>
          <w:color w:val="000000" w:themeColor="text1"/>
          <w:sz w:val="24"/>
          <w:szCs w:val="24"/>
        </w:rPr>
        <w:t xml:space="preserve"> i</w:t>
      </w:r>
      <w:r w:rsidRPr="00490DD1">
        <w:rPr>
          <w:rFonts w:ascii="Times New Roman" w:hAnsi="Times New Roman" w:cs="Times New Roman"/>
          <w:color w:val="000000" w:themeColor="text1"/>
          <w:sz w:val="24"/>
          <w:szCs w:val="24"/>
        </w:rPr>
        <w:t>n all cases</w:t>
      </w:r>
      <w:r w:rsidR="001664AD"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w:t>
      </w:r>
      <w:r w:rsidR="001664AD" w:rsidRPr="00490DD1">
        <w:rPr>
          <w:rFonts w:ascii="Times New Roman" w:hAnsi="Times New Roman" w:cs="Times New Roman"/>
          <w:color w:val="000000" w:themeColor="text1"/>
          <w:sz w:val="24"/>
          <w:szCs w:val="24"/>
        </w:rPr>
        <w:t xml:space="preserve">the </w:t>
      </w:r>
      <w:r w:rsidRPr="00490DD1">
        <w:rPr>
          <w:rFonts w:ascii="Times New Roman" w:hAnsi="Times New Roman" w:cs="Times New Roman"/>
          <w:color w:val="000000" w:themeColor="text1"/>
          <w:sz w:val="24"/>
          <w:szCs w:val="24"/>
        </w:rPr>
        <w:t>v</w:t>
      </w:r>
      <w:r w:rsidR="00D17493" w:rsidRPr="00490DD1">
        <w:rPr>
          <w:rFonts w:ascii="Times New Roman" w:hAnsi="Times New Roman" w:cs="Times New Roman"/>
          <w:color w:val="000000" w:themeColor="text1"/>
          <w:sz w:val="24"/>
          <w:szCs w:val="24"/>
        </w:rPr>
        <w:t>ictim or next-of-kin</w:t>
      </w:r>
      <w:r w:rsidRPr="00490DD1">
        <w:rPr>
          <w:rFonts w:ascii="Times New Roman" w:hAnsi="Times New Roman" w:cs="Times New Roman"/>
          <w:color w:val="000000" w:themeColor="text1"/>
          <w:sz w:val="24"/>
          <w:szCs w:val="24"/>
        </w:rPr>
        <w:t xml:space="preserve"> must be involved in the procedure</w:t>
      </w:r>
      <w:r w:rsidR="00E452F5" w:rsidRPr="00490DD1">
        <w:rPr>
          <w:rStyle w:val="FootnoteReference"/>
          <w:rFonts w:ascii="Times New Roman" w:hAnsi="Times New Roman" w:cs="Times New Roman"/>
          <w:color w:val="000000" w:themeColor="text1"/>
          <w:sz w:val="24"/>
          <w:szCs w:val="24"/>
        </w:rPr>
        <w:footnoteReference w:id="137"/>
      </w:r>
      <w:r w:rsidR="002F04B3" w:rsidRPr="00490DD1">
        <w:rPr>
          <w:rFonts w:ascii="Times New Roman" w:hAnsi="Times New Roman" w:cs="Times New Roman"/>
          <w:color w:val="000000" w:themeColor="text1"/>
          <w:sz w:val="24"/>
          <w:szCs w:val="24"/>
        </w:rPr>
        <w:t xml:space="preserve"> ‘to the extent necessary to safeguard his or her legitimate interests’</w:t>
      </w:r>
      <w:r w:rsidR="00615026">
        <w:rPr>
          <w:rFonts w:ascii="Times New Roman" w:hAnsi="Times New Roman" w:cs="Times New Roman"/>
          <w:color w:val="000000" w:themeColor="text1"/>
          <w:sz w:val="24"/>
          <w:szCs w:val="24"/>
        </w:rPr>
        <w:t>.</w:t>
      </w:r>
      <w:r w:rsidR="002F04B3" w:rsidRPr="00490DD1">
        <w:rPr>
          <w:rStyle w:val="FootnoteReference"/>
          <w:rFonts w:ascii="Times New Roman" w:hAnsi="Times New Roman" w:cs="Times New Roman"/>
          <w:color w:val="000000" w:themeColor="text1"/>
          <w:sz w:val="24"/>
          <w:szCs w:val="24"/>
        </w:rPr>
        <w:footnoteReference w:id="138"/>
      </w:r>
      <w:r w:rsidR="00E35934" w:rsidRPr="00490DD1">
        <w:rPr>
          <w:rFonts w:ascii="Times New Roman" w:hAnsi="Times New Roman" w:cs="Times New Roman"/>
          <w:color w:val="000000" w:themeColor="text1"/>
          <w:sz w:val="24"/>
          <w:szCs w:val="24"/>
        </w:rPr>
        <w:t xml:space="preserve"> </w:t>
      </w:r>
      <w:r w:rsidR="00E35934" w:rsidRPr="00490DD1">
        <w:rPr>
          <w:rFonts w:ascii="Times New Roman" w:hAnsi="Times New Roman" w:cs="Times New Roman"/>
          <w:color w:val="000000" w:themeColor="text1"/>
          <w:sz w:val="24"/>
          <w:szCs w:val="24"/>
        </w:rPr>
        <w:lastRenderedPageBreak/>
        <w:t>B</w:t>
      </w:r>
      <w:r w:rsidR="00D17493" w:rsidRPr="00490DD1">
        <w:rPr>
          <w:rFonts w:ascii="Times New Roman" w:hAnsi="Times New Roman" w:cs="Times New Roman"/>
          <w:color w:val="000000" w:themeColor="text1"/>
          <w:sz w:val="24"/>
          <w:szCs w:val="24"/>
        </w:rPr>
        <w:t xml:space="preserve">esides granting </w:t>
      </w:r>
      <w:r w:rsidR="00E35934" w:rsidRPr="00490DD1">
        <w:rPr>
          <w:rFonts w:ascii="Times New Roman" w:hAnsi="Times New Roman" w:cs="Times New Roman"/>
          <w:color w:val="000000" w:themeColor="text1"/>
          <w:sz w:val="24"/>
          <w:szCs w:val="24"/>
        </w:rPr>
        <w:t xml:space="preserve">victims or relatives </w:t>
      </w:r>
      <w:r w:rsidR="00D17493" w:rsidRPr="00490DD1">
        <w:rPr>
          <w:rFonts w:ascii="Times New Roman" w:hAnsi="Times New Roman" w:cs="Times New Roman"/>
          <w:color w:val="000000" w:themeColor="text1"/>
          <w:sz w:val="24"/>
          <w:szCs w:val="24"/>
        </w:rPr>
        <w:t>access</w:t>
      </w:r>
      <w:r w:rsidR="00E35934" w:rsidRPr="00490DD1">
        <w:rPr>
          <w:rFonts w:ascii="Times New Roman" w:hAnsi="Times New Roman" w:cs="Times New Roman"/>
          <w:color w:val="000000" w:themeColor="text1"/>
          <w:sz w:val="24"/>
          <w:szCs w:val="24"/>
        </w:rPr>
        <w:t xml:space="preserve"> to the procedure</w:t>
      </w:r>
      <w:r w:rsidR="001664AD" w:rsidRPr="00490DD1">
        <w:rPr>
          <w:rFonts w:ascii="Times New Roman" w:hAnsi="Times New Roman" w:cs="Times New Roman"/>
          <w:color w:val="000000" w:themeColor="text1"/>
          <w:sz w:val="24"/>
          <w:szCs w:val="24"/>
        </w:rPr>
        <w:t>,</w:t>
      </w:r>
      <w:r w:rsidR="00E35934" w:rsidRPr="00490DD1">
        <w:rPr>
          <w:rStyle w:val="FootnoteReference"/>
          <w:rFonts w:ascii="Times New Roman" w:hAnsi="Times New Roman" w:cs="Times New Roman"/>
          <w:color w:val="000000" w:themeColor="text1"/>
          <w:sz w:val="24"/>
          <w:szCs w:val="24"/>
        </w:rPr>
        <w:footnoteReference w:id="139"/>
      </w:r>
      <w:r w:rsidR="00D17493" w:rsidRPr="00490DD1">
        <w:rPr>
          <w:rFonts w:ascii="Times New Roman" w:hAnsi="Times New Roman" w:cs="Times New Roman"/>
          <w:color w:val="000000" w:themeColor="text1"/>
          <w:sz w:val="24"/>
          <w:szCs w:val="24"/>
        </w:rPr>
        <w:t xml:space="preserve"> </w:t>
      </w:r>
      <w:r w:rsidR="00E35934" w:rsidRPr="00490DD1">
        <w:rPr>
          <w:rFonts w:ascii="Times New Roman" w:hAnsi="Times New Roman" w:cs="Times New Roman"/>
          <w:color w:val="000000" w:themeColor="text1"/>
          <w:sz w:val="24"/>
          <w:szCs w:val="24"/>
        </w:rPr>
        <w:t xml:space="preserve">the Court endows them with </w:t>
      </w:r>
      <w:r w:rsidR="00D17493" w:rsidRPr="00490DD1">
        <w:rPr>
          <w:rFonts w:ascii="Times New Roman" w:hAnsi="Times New Roman" w:cs="Times New Roman"/>
          <w:color w:val="000000" w:themeColor="text1"/>
          <w:sz w:val="24"/>
          <w:szCs w:val="24"/>
        </w:rPr>
        <w:t>a right to information</w:t>
      </w:r>
      <w:r w:rsidR="00D17493" w:rsidRPr="00490DD1">
        <w:rPr>
          <w:rStyle w:val="FootnoteReference"/>
          <w:rFonts w:ascii="Times New Roman" w:hAnsi="Times New Roman" w:cs="Times New Roman"/>
          <w:color w:val="000000" w:themeColor="text1"/>
          <w:sz w:val="24"/>
          <w:szCs w:val="24"/>
        </w:rPr>
        <w:footnoteReference w:id="140"/>
      </w:r>
      <w:r w:rsidR="00D17493" w:rsidRPr="00490DD1">
        <w:rPr>
          <w:rFonts w:ascii="Times New Roman" w:hAnsi="Times New Roman" w:cs="Times New Roman"/>
          <w:color w:val="000000" w:themeColor="text1"/>
          <w:sz w:val="24"/>
          <w:szCs w:val="24"/>
        </w:rPr>
        <w:t xml:space="preserve"> </w:t>
      </w:r>
      <w:r w:rsidR="00B96ACE">
        <w:rPr>
          <w:rFonts w:ascii="Times New Roman" w:hAnsi="Times New Roman" w:cs="Times New Roman"/>
          <w:color w:val="000000" w:themeColor="text1"/>
          <w:sz w:val="24"/>
          <w:szCs w:val="24"/>
        </w:rPr>
        <w:t>(for example</w:t>
      </w:r>
      <w:r w:rsidR="00FA4361" w:rsidRPr="00490DD1">
        <w:rPr>
          <w:rFonts w:ascii="Times New Roman" w:hAnsi="Times New Roman" w:cs="Times New Roman"/>
          <w:color w:val="000000" w:themeColor="text1"/>
          <w:sz w:val="24"/>
          <w:szCs w:val="24"/>
        </w:rPr>
        <w:t>,</w:t>
      </w:r>
      <w:r w:rsidR="00E35934" w:rsidRPr="00490DD1">
        <w:rPr>
          <w:rFonts w:ascii="Times New Roman" w:hAnsi="Times New Roman" w:cs="Times New Roman"/>
          <w:color w:val="000000" w:themeColor="text1"/>
          <w:sz w:val="24"/>
          <w:szCs w:val="24"/>
        </w:rPr>
        <w:t xml:space="preserve"> the right to</w:t>
      </w:r>
      <w:r w:rsidR="002936F2" w:rsidRPr="00490DD1">
        <w:rPr>
          <w:rFonts w:ascii="Times New Roman" w:hAnsi="Times New Roman" w:cs="Times New Roman"/>
          <w:color w:val="000000" w:themeColor="text1"/>
          <w:sz w:val="24"/>
          <w:szCs w:val="24"/>
        </w:rPr>
        <w:t xml:space="preserve"> access the case file</w:t>
      </w:r>
      <w:r w:rsidR="002936F2" w:rsidRPr="00490DD1">
        <w:rPr>
          <w:rStyle w:val="FootnoteReference"/>
          <w:rFonts w:ascii="Times New Roman" w:hAnsi="Times New Roman" w:cs="Times New Roman"/>
          <w:color w:val="000000" w:themeColor="text1"/>
          <w:sz w:val="24"/>
          <w:szCs w:val="24"/>
        </w:rPr>
        <w:footnoteReference w:id="141"/>
      </w:r>
      <w:r w:rsidR="00E35934" w:rsidRPr="00490DD1">
        <w:rPr>
          <w:rFonts w:ascii="Times New Roman" w:hAnsi="Times New Roman" w:cs="Times New Roman"/>
          <w:color w:val="000000" w:themeColor="text1"/>
          <w:sz w:val="24"/>
          <w:szCs w:val="24"/>
        </w:rPr>
        <w:t>).</w:t>
      </w:r>
      <w:r w:rsidR="002936F2" w:rsidRPr="00490DD1">
        <w:rPr>
          <w:rFonts w:ascii="Times New Roman" w:hAnsi="Times New Roman" w:cs="Times New Roman"/>
          <w:color w:val="000000" w:themeColor="text1"/>
          <w:sz w:val="24"/>
          <w:szCs w:val="24"/>
        </w:rPr>
        <w:t xml:space="preserve"> As a result</w:t>
      </w:r>
      <w:r w:rsidR="001664AD" w:rsidRPr="00490DD1">
        <w:rPr>
          <w:rFonts w:ascii="Times New Roman" w:hAnsi="Times New Roman" w:cs="Times New Roman"/>
          <w:color w:val="000000" w:themeColor="text1"/>
          <w:sz w:val="24"/>
          <w:szCs w:val="24"/>
        </w:rPr>
        <w:t>,</w:t>
      </w:r>
      <w:r w:rsidR="002936F2" w:rsidRPr="00490DD1">
        <w:rPr>
          <w:rFonts w:ascii="Times New Roman" w:hAnsi="Times New Roman" w:cs="Times New Roman"/>
          <w:color w:val="000000" w:themeColor="text1"/>
          <w:sz w:val="24"/>
          <w:szCs w:val="24"/>
        </w:rPr>
        <w:t xml:space="preserve"> </w:t>
      </w:r>
      <w:r w:rsidR="00D17493" w:rsidRPr="00490DD1">
        <w:rPr>
          <w:rFonts w:ascii="Times New Roman" w:hAnsi="Times New Roman" w:cs="Times New Roman"/>
          <w:color w:val="000000" w:themeColor="text1"/>
          <w:sz w:val="24"/>
          <w:szCs w:val="24"/>
        </w:rPr>
        <w:t xml:space="preserve">individuals </w:t>
      </w:r>
      <w:r w:rsidR="00E35934" w:rsidRPr="00490DD1">
        <w:rPr>
          <w:rFonts w:ascii="Times New Roman" w:hAnsi="Times New Roman" w:cs="Times New Roman"/>
          <w:color w:val="000000" w:themeColor="text1"/>
          <w:sz w:val="24"/>
          <w:szCs w:val="24"/>
        </w:rPr>
        <w:t>have</w:t>
      </w:r>
      <w:r w:rsidR="00D17493" w:rsidRPr="00490DD1">
        <w:rPr>
          <w:rFonts w:ascii="Times New Roman" w:hAnsi="Times New Roman" w:cs="Times New Roman"/>
          <w:color w:val="000000" w:themeColor="text1"/>
          <w:sz w:val="24"/>
          <w:szCs w:val="24"/>
        </w:rPr>
        <w:t xml:space="preserve"> ‘some sort of right to active participation in the investigation’</w:t>
      </w:r>
      <w:r w:rsidR="00615026">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42"/>
      </w:r>
      <w:r w:rsidR="00D17493" w:rsidRPr="00490DD1">
        <w:rPr>
          <w:rFonts w:ascii="Times New Roman" w:hAnsi="Times New Roman" w:cs="Times New Roman"/>
          <w:color w:val="000000" w:themeColor="text1"/>
          <w:sz w:val="24"/>
          <w:szCs w:val="24"/>
        </w:rPr>
        <w:t xml:space="preserve"> To allow for the next-of kin</w:t>
      </w:r>
      <w:r w:rsidR="001664AD" w:rsidRPr="00490DD1">
        <w:rPr>
          <w:rFonts w:ascii="Times New Roman" w:hAnsi="Times New Roman" w:cs="Times New Roman"/>
          <w:color w:val="000000" w:themeColor="text1"/>
          <w:sz w:val="24"/>
          <w:szCs w:val="24"/>
        </w:rPr>
        <w:t>’s</w:t>
      </w:r>
      <w:r w:rsidR="00D17493" w:rsidRPr="00490DD1">
        <w:rPr>
          <w:rFonts w:ascii="Times New Roman" w:hAnsi="Times New Roman" w:cs="Times New Roman"/>
          <w:color w:val="000000" w:themeColor="text1"/>
          <w:sz w:val="24"/>
          <w:szCs w:val="24"/>
        </w:rPr>
        <w:t xml:space="preserve"> involvement, the victim must first be identified an</w:t>
      </w:r>
      <w:r w:rsidR="00481BDC" w:rsidRPr="00490DD1">
        <w:rPr>
          <w:rFonts w:ascii="Times New Roman" w:hAnsi="Times New Roman" w:cs="Times New Roman"/>
          <w:color w:val="000000" w:themeColor="text1"/>
          <w:sz w:val="24"/>
          <w:szCs w:val="24"/>
        </w:rPr>
        <w:t>d t</w:t>
      </w:r>
      <w:r w:rsidR="00D17493" w:rsidRPr="00490DD1">
        <w:rPr>
          <w:rFonts w:ascii="Times New Roman" w:hAnsi="Times New Roman" w:cs="Times New Roman"/>
          <w:color w:val="000000" w:themeColor="text1"/>
          <w:sz w:val="24"/>
          <w:szCs w:val="24"/>
        </w:rPr>
        <w:t>he</w:t>
      </w:r>
      <w:r w:rsidR="00481BDC" w:rsidRPr="00490DD1">
        <w:rPr>
          <w:rFonts w:ascii="Times New Roman" w:hAnsi="Times New Roman" w:cs="Times New Roman"/>
          <w:color w:val="000000" w:themeColor="text1"/>
          <w:sz w:val="24"/>
          <w:szCs w:val="24"/>
        </w:rPr>
        <w:t>n t</w:t>
      </w:r>
      <w:r w:rsidR="00D17493" w:rsidRPr="00490DD1">
        <w:rPr>
          <w:rFonts w:ascii="Times New Roman" w:hAnsi="Times New Roman" w:cs="Times New Roman"/>
          <w:color w:val="000000" w:themeColor="text1"/>
          <w:sz w:val="24"/>
          <w:szCs w:val="24"/>
        </w:rPr>
        <w:t xml:space="preserve">he next-of-kin informed of his/her death. In </w:t>
      </w:r>
      <w:r w:rsidR="0046615A">
        <w:rPr>
          <w:rFonts w:ascii="Times New Roman" w:hAnsi="Times New Roman" w:cs="Times New Roman"/>
          <w:color w:val="000000" w:themeColor="text1"/>
          <w:sz w:val="24"/>
          <w:szCs w:val="24"/>
        </w:rPr>
        <w:t>an extra-territorial context</w:t>
      </w:r>
      <w:r w:rsidR="001664AD"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this requirement </w:t>
      </w:r>
      <w:r w:rsidR="002936F2" w:rsidRPr="00490DD1">
        <w:rPr>
          <w:rFonts w:ascii="Times New Roman" w:hAnsi="Times New Roman" w:cs="Times New Roman"/>
          <w:color w:val="000000" w:themeColor="text1"/>
          <w:sz w:val="24"/>
          <w:szCs w:val="24"/>
        </w:rPr>
        <w:t>might be difficult</w:t>
      </w:r>
      <w:r w:rsidR="00D17493" w:rsidRPr="00490DD1">
        <w:rPr>
          <w:rFonts w:ascii="Times New Roman" w:hAnsi="Times New Roman" w:cs="Times New Roman"/>
          <w:color w:val="000000" w:themeColor="text1"/>
          <w:sz w:val="24"/>
          <w:szCs w:val="24"/>
        </w:rPr>
        <w:t xml:space="preserve"> to </w:t>
      </w:r>
      <w:r w:rsidR="003A6B1F" w:rsidRPr="00490DD1">
        <w:rPr>
          <w:rFonts w:ascii="Times New Roman" w:hAnsi="Times New Roman" w:cs="Times New Roman"/>
          <w:color w:val="000000" w:themeColor="text1"/>
          <w:sz w:val="24"/>
          <w:szCs w:val="24"/>
        </w:rPr>
        <w:t>satisfy</w:t>
      </w:r>
      <w:r w:rsidR="00AE49D9" w:rsidRPr="00490DD1">
        <w:rPr>
          <w:rFonts w:ascii="Times New Roman" w:hAnsi="Times New Roman" w:cs="Times New Roman"/>
          <w:color w:val="000000" w:themeColor="text1"/>
          <w:sz w:val="24"/>
          <w:szCs w:val="24"/>
        </w:rPr>
        <w:t>,</w:t>
      </w:r>
      <w:r w:rsidR="00752F4A" w:rsidRPr="00490DD1">
        <w:rPr>
          <w:rFonts w:ascii="Times New Roman" w:hAnsi="Times New Roman" w:cs="Times New Roman"/>
          <w:color w:val="000000" w:themeColor="text1"/>
          <w:sz w:val="24"/>
          <w:szCs w:val="24"/>
        </w:rPr>
        <w:t xml:space="preserve"> as </w:t>
      </w:r>
      <w:r w:rsidR="0046615A">
        <w:rPr>
          <w:rFonts w:ascii="Times New Roman" w:hAnsi="Times New Roman" w:cs="Times New Roman"/>
          <w:color w:val="000000" w:themeColor="text1"/>
          <w:sz w:val="24"/>
          <w:szCs w:val="24"/>
        </w:rPr>
        <w:t>armed forces</w:t>
      </w:r>
      <w:r w:rsidR="0046615A" w:rsidRPr="00490DD1">
        <w:rPr>
          <w:rFonts w:ascii="Times New Roman" w:hAnsi="Times New Roman" w:cs="Times New Roman"/>
          <w:color w:val="000000" w:themeColor="text1"/>
          <w:sz w:val="24"/>
          <w:szCs w:val="24"/>
        </w:rPr>
        <w:t xml:space="preserve"> </w:t>
      </w:r>
      <w:r w:rsidR="00752F4A" w:rsidRPr="00490DD1">
        <w:rPr>
          <w:rFonts w:ascii="Times New Roman" w:hAnsi="Times New Roman" w:cs="Times New Roman"/>
          <w:color w:val="000000" w:themeColor="text1"/>
          <w:sz w:val="24"/>
          <w:szCs w:val="24"/>
        </w:rPr>
        <w:t>might not know the local population well</w:t>
      </w:r>
      <w:r w:rsidR="00D17493" w:rsidRPr="00490DD1">
        <w:rPr>
          <w:rFonts w:ascii="Times New Roman" w:hAnsi="Times New Roman" w:cs="Times New Roman"/>
          <w:color w:val="000000" w:themeColor="text1"/>
          <w:sz w:val="24"/>
          <w:szCs w:val="24"/>
        </w:rPr>
        <w:t>. Often</w:t>
      </w:r>
      <w:r w:rsidR="001664AD"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it is the next-of-kin who will</w:t>
      </w:r>
      <w:r w:rsidR="001664AD"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later</w:t>
      </w:r>
      <w:r w:rsidR="001664AD"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approach</w:t>
      </w:r>
      <w:r w:rsidR="001664AD"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through a </w:t>
      </w:r>
      <w:r w:rsidR="00752F4A" w:rsidRPr="00490DD1">
        <w:rPr>
          <w:rFonts w:ascii="Times New Roman" w:hAnsi="Times New Roman" w:cs="Times New Roman"/>
          <w:color w:val="000000" w:themeColor="text1"/>
          <w:sz w:val="24"/>
          <w:szCs w:val="24"/>
        </w:rPr>
        <w:t>lawyer</w:t>
      </w:r>
      <w:r w:rsidR="001664AD" w:rsidRPr="00490DD1">
        <w:rPr>
          <w:rFonts w:ascii="Times New Roman" w:hAnsi="Times New Roman" w:cs="Times New Roman"/>
          <w:color w:val="000000" w:themeColor="text1"/>
          <w:sz w:val="24"/>
          <w:szCs w:val="24"/>
        </w:rPr>
        <w:t>,</w:t>
      </w:r>
      <w:r w:rsidR="00752F4A" w:rsidRPr="00490DD1">
        <w:rPr>
          <w:rFonts w:ascii="Times New Roman" w:hAnsi="Times New Roman" w:cs="Times New Roman"/>
          <w:color w:val="000000" w:themeColor="text1"/>
          <w:sz w:val="24"/>
          <w:szCs w:val="24"/>
        </w:rPr>
        <w:t xml:space="preserve"> the armed forces</w:t>
      </w:r>
      <w:r w:rsidR="0046615A">
        <w:rPr>
          <w:rFonts w:ascii="Times New Roman" w:hAnsi="Times New Roman" w:cs="Times New Roman"/>
          <w:color w:val="000000" w:themeColor="text1"/>
          <w:sz w:val="24"/>
          <w:szCs w:val="24"/>
        </w:rPr>
        <w:t xml:space="preserve"> and is then </w:t>
      </w:r>
      <w:r w:rsidR="00D17493" w:rsidRPr="00490DD1">
        <w:rPr>
          <w:rFonts w:ascii="Times New Roman" w:hAnsi="Times New Roman" w:cs="Times New Roman"/>
          <w:color w:val="000000" w:themeColor="text1"/>
          <w:sz w:val="24"/>
          <w:szCs w:val="24"/>
        </w:rPr>
        <w:t>included in other types of investigations</w:t>
      </w:r>
      <w:r w:rsidR="00FA4361"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such as judicial review</w:t>
      </w:r>
      <w:r w:rsidR="00FA4361"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rather </w:t>
      </w:r>
      <w:r w:rsidR="00345B89">
        <w:rPr>
          <w:rFonts w:ascii="Times New Roman" w:hAnsi="Times New Roman" w:cs="Times New Roman"/>
          <w:color w:val="000000" w:themeColor="text1"/>
          <w:sz w:val="24"/>
          <w:szCs w:val="24"/>
        </w:rPr>
        <w:t>than in earlier investigations</w:t>
      </w:r>
      <w:r w:rsidR="002F04B3" w:rsidRPr="00490DD1">
        <w:rPr>
          <w:rFonts w:ascii="Times New Roman" w:hAnsi="Times New Roman" w:cs="Times New Roman"/>
          <w:color w:val="000000" w:themeColor="text1"/>
          <w:sz w:val="24"/>
          <w:szCs w:val="24"/>
        </w:rPr>
        <w:t>. If that is the case</w:t>
      </w:r>
      <w:r w:rsidR="001664AD" w:rsidRPr="00490DD1">
        <w:rPr>
          <w:rFonts w:ascii="Times New Roman" w:hAnsi="Times New Roman" w:cs="Times New Roman"/>
          <w:color w:val="000000" w:themeColor="text1"/>
          <w:sz w:val="24"/>
          <w:szCs w:val="24"/>
        </w:rPr>
        <w:t>,</w:t>
      </w:r>
      <w:r w:rsidR="002F04B3" w:rsidRPr="00490DD1">
        <w:rPr>
          <w:rFonts w:ascii="Times New Roman" w:hAnsi="Times New Roman" w:cs="Times New Roman"/>
          <w:color w:val="000000" w:themeColor="text1"/>
          <w:sz w:val="24"/>
          <w:szCs w:val="24"/>
        </w:rPr>
        <w:t xml:space="preserve"> then there is no violation of Article 2 ECHR since the involvement of the next-of-kin has been ensured at a later stage.</w:t>
      </w:r>
    </w:p>
    <w:p w14:paraId="1C564C84" w14:textId="5E1E8570" w:rsidR="00D17493" w:rsidRPr="00490DD1" w:rsidRDefault="002F04B3" w:rsidP="00670537">
      <w:pPr>
        <w:spacing w:after="0" w:line="360" w:lineRule="auto"/>
        <w:ind w:firstLine="720"/>
        <w:rPr>
          <w:rStyle w:val="sb8d990e2"/>
          <w:rFonts w:ascii="Times New Roman" w:hAnsi="Times New Roman" w:cs="Times New Roman"/>
          <w:color w:val="000000" w:themeColor="text1"/>
          <w:sz w:val="24"/>
          <w:szCs w:val="24"/>
          <w:shd w:val="clear" w:color="auto" w:fill="FFFFFF"/>
        </w:rPr>
      </w:pPr>
      <w:r w:rsidRPr="00490DD1">
        <w:rPr>
          <w:rFonts w:ascii="Times New Roman" w:hAnsi="Times New Roman" w:cs="Times New Roman"/>
          <w:color w:val="000000" w:themeColor="text1"/>
          <w:sz w:val="24"/>
          <w:szCs w:val="24"/>
        </w:rPr>
        <w:t>The Court</w:t>
      </w:r>
      <w:r w:rsidR="00D17493" w:rsidRPr="00490DD1">
        <w:rPr>
          <w:rFonts w:ascii="Times New Roman" w:hAnsi="Times New Roman" w:cs="Times New Roman"/>
          <w:color w:val="000000" w:themeColor="text1"/>
          <w:sz w:val="24"/>
          <w:szCs w:val="24"/>
        </w:rPr>
        <w:t xml:space="preserve"> has also set limits </w:t>
      </w:r>
      <w:r w:rsidR="001664AD" w:rsidRPr="00490DD1">
        <w:rPr>
          <w:rFonts w:ascii="Times New Roman" w:hAnsi="Times New Roman" w:cs="Times New Roman"/>
          <w:color w:val="000000" w:themeColor="text1"/>
          <w:sz w:val="24"/>
          <w:szCs w:val="24"/>
        </w:rPr>
        <w:t>on</w:t>
      </w:r>
      <w:r w:rsidR="00D17493" w:rsidRPr="00490DD1">
        <w:rPr>
          <w:rFonts w:ascii="Times New Roman" w:hAnsi="Times New Roman" w:cs="Times New Roman"/>
          <w:color w:val="000000" w:themeColor="text1"/>
          <w:sz w:val="24"/>
          <w:szCs w:val="24"/>
        </w:rPr>
        <w:t xml:space="preserve"> the extent to which relatives can be involved and the concomitant duties of the authorities. This is particularly relevant in military operations with specific rules of engagement, classified materials, information on sources of intelligence, </w:t>
      </w:r>
      <w:r w:rsidR="00493A06">
        <w:rPr>
          <w:rFonts w:ascii="Times New Roman" w:hAnsi="Times New Roman" w:cs="Times New Roman"/>
          <w:color w:val="000000" w:themeColor="text1"/>
          <w:sz w:val="24"/>
          <w:szCs w:val="24"/>
        </w:rPr>
        <w:t>and so on</w:t>
      </w:r>
      <w:r w:rsidR="00493A06" w:rsidRPr="00490DD1">
        <w:rPr>
          <w:rFonts w:ascii="Times New Roman" w:hAnsi="Times New Roman" w:cs="Times New Roman"/>
          <w:color w:val="000000" w:themeColor="text1"/>
          <w:sz w:val="24"/>
          <w:szCs w:val="24"/>
        </w:rPr>
        <w:t xml:space="preserve"> </w:t>
      </w:r>
      <w:r w:rsidR="00D17493" w:rsidRPr="00490DD1">
        <w:rPr>
          <w:rFonts w:ascii="Times New Roman" w:hAnsi="Times New Roman" w:cs="Times New Roman"/>
          <w:color w:val="000000" w:themeColor="text1"/>
          <w:sz w:val="24"/>
          <w:szCs w:val="24"/>
        </w:rPr>
        <w:t>that may compromise national security.</w:t>
      </w:r>
      <w:r w:rsidR="00D17493" w:rsidRPr="00490DD1">
        <w:rPr>
          <w:rStyle w:val="FootnoteReference"/>
          <w:rFonts w:ascii="Times New Roman" w:hAnsi="Times New Roman" w:cs="Times New Roman"/>
          <w:color w:val="000000" w:themeColor="text1"/>
          <w:sz w:val="24"/>
          <w:szCs w:val="24"/>
        </w:rPr>
        <w:footnoteReference w:id="143"/>
      </w:r>
      <w:r w:rsidR="005362FC" w:rsidRPr="00490DD1">
        <w:rPr>
          <w:rFonts w:ascii="Times New Roman" w:hAnsi="Times New Roman" w:cs="Times New Roman"/>
          <w:color w:val="000000" w:themeColor="text1"/>
          <w:sz w:val="24"/>
          <w:szCs w:val="24"/>
        </w:rPr>
        <w:t xml:space="preserve"> T</w:t>
      </w:r>
      <w:r w:rsidR="005362FC" w:rsidRPr="00490DD1">
        <w:rPr>
          <w:rStyle w:val="sb8d990e2"/>
          <w:rFonts w:ascii="Times New Roman" w:hAnsi="Times New Roman" w:cs="Times New Roman"/>
          <w:color w:val="000000" w:themeColor="text1"/>
          <w:sz w:val="24"/>
          <w:szCs w:val="24"/>
          <w:shd w:val="clear" w:color="auto" w:fill="FFFFFF"/>
        </w:rPr>
        <w:t xml:space="preserve">he Court has shown some flexibility by accepting that the </w:t>
      </w:r>
      <w:r w:rsidR="005362FC" w:rsidRPr="00490DD1">
        <w:rPr>
          <w:rFonts w:ascii="Times New Roman" w:hAnsi="Times New Roman" w:cs="Times New Roman"/>
          <w:color w:val="000000" w:themeColor="text1"/>
          <w:sz w:val="24"/>
          <w:szCs w:val="24"/>
        </w:rPr>
        <w:t>d</w:t>
      </w:r>
      <w:r w:rsidR="00D17493" w:rsidRPr="00490DD1">
        <w:rPr>
          <w:rFonts w:ascii="Times New Roman" w:hAnsi="Times New Roman" w:cs="Times New Roman"/>
          <w:color w:val="000000" w:themeColor="text1"/>
          <w:sz w:val="24"/>
          <w:szCs w:val="24"/>
        </w:rPr>
        <w:t>isclosure or publication of materials that deal with ‘sens</w:t>
      </w:r>
      <w:r w:rsidR="00D17493" w:rsidRPr="00490DD1">
        <w:rPr>
          <w:rStyle w:val="sb8d990e2"/>
          <w:rFonts w:ascii="Times New Roman" w:hAnsi="Times New Roman" w:cs="Times New Roman"/>
          <w:color w:val="000000" w:themeColor="text1"/>
          <w:sz w:val="24"/>
          <w:szCs w:val="24"/>
          <w:shd w:val="clear" w:color="auto" w:fill="FFFFFF"/>
        </w:rPr>
        <w:t xml:space="preserve">itive issues with possible prejudicial effects to private individuals or other investigations </w:t>
      </w:r>
      <w:r w:rsidR="00615026">
        <w:rPr>
          <w:rStyle w:val="sb8d990e2"/>
          <w:rFonts w:ascii="Times New Roman" w:hAnsi="Times New Roman" w:cs="Times New Roman"/>
          <w:color w:val="000000" w:themeColor="text1"/>
          <w:sz w:val="24"/>
          <w:szCs w:val="24"/>
          <w:shd w:val="clear" w:color="auto" w:fill="FFFFFF"/>
        </w:rPr>
        <w:t>[</w:t>
      </w:r>
      <w:r w:rsidR="00D17493" w:rsidRPr="00490DD1">
        <w:rPr>
          <w:rStyle w:val="sb8d990e2"/>
          <w:rFonts w:ascii="Times New Roman" w:hAnsi="Times New Roman" w:cs="Times New Roman"/>
          <w:color w:val="000000" w:themeColor="text1"/>
          <w:sz w:val="24"/>
          <w:szCs w:val="24"/>
          <w:shd w:val="clear" w:color="auto" w:fill="FFFFFF"/>
        </w:rPr>
        <w:t>…</w:t>
      </w:r>
      <w:r w:rsidR="00615026">
        <w:rPr>
          <w:rStyle w:val="sb8d990e2"/>
          <w:rFonts w:ascii="Times New Roman" w:hAnsi="Times New Roman" w:cs="Times New Roman"/>
          <w:color w:val="000000" w:themeColor="text1"/>
          <w:sz w:val="24"/>
          <w:szCs w:val="24"/>
          <w:shd w:val="clear" w:color="auto" w:fill="FFFFFF"/>
        </w:rPr>
        <w:t>]</w:t>
      </w:r>
      <w:r w:rsidR="00D17493" w:rsidRPr="00490DD1">
        <w:rPr>
          <w:rStyle w:val="sb8d990e2"/>
          <w:rFonts w:ascii="Times New Roman" w:hAnsi="Times New Roman" w:cs="Times New Roman"/>
          <w:color w:val="000000" w:themeColor="text1"/>
          <w:sz w:val="24"/>
          <w:szCs w:val="24"/>
          <w:shd w:val="clear" w:color="auto" w:fill="FFFFFF"/>
        </w:rPr>
        <w:t xml:space="preserve"> cannot be regarded as an automatic requirement under Article 2’</w:t>
      </w:r>
      <w:r w:rsidR="00615026">
        <w:rPr>
          <w:rStyle w:val="sb8d990e2"/>
          <w:rFonts w:ascii="Times New Roman" w:hAnsi="Times New Roman" w:cs="Times New Roman"/>
          <w:color w:val="000000" w:themeColor="text1"/>
          <w:sz w:val="24"/>
          <w:szCs w:val="24"/>
          <w:shd w:val="clear" w:color="auto" w:fill="FFFFFF"/>
        </w:rPr>
        <w:t>.</w:t>
      </w:r>
      <w:r w:rsidR="00D17493" w:rsidRPr="00490DD1">
        <w:rPr>
          <w:rStyle w:val="FootnoteReference"/>
          <w:rFonts w:ascii="Times New Roman" w:hAnsi="Times New Roman" w:cs="Times New Roman"/>
          <w:color w:val="000000" w:themeColor="text1"/>
          <w:sz w:val="24"/>
          <w:szCs w:val="24"/>
          <w:shd w:val="clear" w:color="auto" w:fill="FFFFFF"/>
        </w:rPr>
        <w:footnoteReference w:id="144"/>
      </w:r>
      <w:r w:rsidR="00D17493" w:rsidRPr="00490DD1">
        <w:rPr>
          <w:rStyle w:val="sb8d990e2"/>
          <w:rFonts w:ascii="Times New Roman" w:hAnsi="Times New Roman" w:cs="Times New Roman"/>
          <w:color w:val="000000" w:themeColor="text1"/>
          <w:sz w:val="24"/>
          <w:szCs w:val="24"/>
          <w:shd w:val="clear" w:color="auto" w:fill="FFFFFF"/>
        </w:rPr>
        <w:t xml:space="preserve"> </w:t>
      </w:r>
      <w:r w:rsidR="005362FC" w:rsidRPr="00490DD1">
        <w:rPr>
          <w:rStyle w:val="sb8d990e2"/>
          <w:rFonts w:ascii="Times New Roman" w:hAnsi="Times New Roman" w:cs="Times New Roman"/>
          <w:color w:val="000000" w:themeColor="text1"/>
          <w:sz w:val="24"/>
          <w:szCs w:val="24"/>
          <w:shd w:val="clear" w:color="auto" w:fill="FFFFFF"/>
        </w:rPr>
        <w:t>However, as Park points out, the relevant case-law stems from counter-terrorism operations rather than regular armed forces operations</w:t>
      </w:r>
      <w:r w:rsidR="001664AD" w:rsidRPr="00490DD1">
        <w:rPr>
          <w:rStyle w:val="sb8d990e2"/>
          <w:rFonts w:ascii="Times New Roman" w:hAnsi="Times New Roman" w:cs="Times New Roman"/>
          <w:color w:val="000000" w:themeColor="text1"/>
          <w:sz w:val="24"/>
          <w:szCs w:val="24"/>
          <w:shd w:val="clear" w:color="auto" w:fill="FFFFFF"/>
        </w:rPr>
        <w:t>,</w:t>
      </w:r>
      <w:r w:rsidR="005362FC" w:rsidRPr="00490DD1">
        <w:rPr>
          <w:rStyle w:val="sb8d990e2"/>
          <w:rFonts w:ascii="Times New Roman" w:hAnsi="Times New Roman" w:cs="Times New Roman"/>
          <w:color w:val="000000" w:themeColor="text1"/>
          <w:sz w:val="24"/>
          <w:szCs w:val="24"/>
          <w:shd w:val="clear" w:color="auto" w:fill="FFFFFF"/>
        </w:rPr>
        <w:t xml:space="preserve"> and the Court might hav</w:t>
      </w:r>
      <w:r w:rsidR="00481BDC" w:rsidRPr="00490DD1">
        <w:rPr>
          <w:rStyle w:val="sb8d990e2"/>
          <w:rFonts w:ascii="Times New Roman" w:hAnsi="Times New Roman" w:cs="Times New Roman"/>
          <w:color w:val="000000" w:themeColor="text1"/>
          <w:sz w:val="24"/>
          <w:szCs w:val="24"/>
          <w:shd w:val="clear" w:color="auto" w:fill="FFFFFF"/>
        </w:rPr>
        <w:t>e</w:t>
      </w:r>
      <w:r w:rsidR="005362FC" w:rsidRPr="00490DD1">
        <w:rPr>
          <w:rStyle w:val="sb8d990e2"/>
          <w:rFonts w:ascii="Times New Roman" w:hAnsi="Times New Roman" w:cs="Times New Roman"/>
          <w:color w:val="000000" w:themeColor="text1"/>
          <w:sz w:val="24"/>
          <w:szCs w:val="24"/>
          <w:shd w:val="clear" w:color="auto" w:fill="FFFFFF"/>
        </w:rPr>
        <w:t xml:space="preserve"> thus</w:t>
      </w:r>
      <w:r w:rsidR="00481BDC" w:rsidRPr="00490DD1">
        <w:rPr>
          <w:rStyle w:val="sb8d990e2"/>
          <w:rFonts w:ascii="Times New Roman" w:hAnsi="Times New Roman" w:cs="Times New Roman"/>
          <w:color w:val="000000" w:themeColor="text1"/>
          <w:sz w:val="24"/>
          <w:szCs w:val="24"/>
          <w:shd w:val="clear" w:color="auto" w:fill="FFFFFF"/>
        </w:rPr>
        <w:t xml:space="preserve"> </w:t>
      </w:r>
      <w:r w:rsidR="005362FC" w:rsidRPr="00490DD1">
        <w:rPr>
          <w:rStyle w:val="sb8d990e2"/>
          <w:rFonts w:ascii="Times New Roman" w:hAnsi="Times New Roman" w:cs="Times New Roman"/>
          <w:color w:val="000000" w:themeColor="text1"/>
          <w:sz w:val="24"/>
          <w:szCs w:val="24"/>
          <w:shd w:val="clear" w:color="auto" w:fill="FFFFFF"/>
        </w:rPr>
        <w:t xml:space="preserve">only recognised the special implications of releasing information on </w:t>
      </w:r>
      <w:r w:rsidR="00752F4A" w:rsidRPr="00490DD1">
        <w:rPr>
          <w:rStyle w:val="sb8d990e2"/>
          <w:rFonts w:ascii="Times New Roman" w:hAnsi="Times New Roman" w:cs="Times New Roman"/>
          <w:color w:val="000000" w:themeColor="text1"/>
          <w:sz w:val="24"/>
          <w:szCs w:val="24"/>
          <w:shd w:val="clear" w:color="auto" w:fill="FFFFFF"/>
        </w:rPr>
        <w:t>future similar</w:t>
      </w:r>
      <w:r w:rsidR="005362FC" w:rsidRPr="00490DD1">
        <w:rPr>
          <w:rStyle w:val="sb8d990e2"/>
          <w:rFonts w:ascii="Times New Roman" w:hAnsi="Times New Roman" w:cs="Times New Roman"/>
          <w:color w:val="000000" w:themeColor="text1"/>
          <w:sz w:val="24"/>
          <w:szCs w:val="24"/>
          <w:shd w:val="clear" w:color="auto" w:fill="FFFFFF"/>
        </w:rPr>
        <w:t xml:space="preserve"> operations.</w:t>
      </w:r>
      <w:r w:rsidR="005362FC" w:rsidRPr="00490DD1">
        <w:rPr>
          <w:rStyle w:val="FootnoteReference"/>
          <w:rFonts w:ascii="Times New Roman" w:hAnsi="Times New Roman" w:cs="Times New Roman"/>
          <w:color w:val="000000" w:themeColor="text1"/>
          <w:sz w:val="24"/>
          <w:szCs w:val="24"/>
          <w:shd w:val="clear" w:color="auto" w:fill="FFFFFF"/>
        </w:rPr>
        <w:footnoteReference w:id="145"/>
      </w:r>
      <w:r w:rsidR="005362FC" w:rsidRPr="00490DD1">
        <w:rPr>
          <w:rStyle w:val="sb8d990e2"/>
          <w:rFonts w:ascii="Times New Roman" w:hAnsi="Times New Roman" w:cs="Times New Roman"/>
          <w:color w:val="000000" w:themeColor="text1"/>
          <w:sz w:val="24"/>
          <w:szCs w:val="24"/>
          <w:shd w:val="clear" w:color="auto" w:fill="FFFFFF"/>
        </w:rPr>
        <w:t xml:space="preserve"> Moreover</w:t>
      </w:r>
      <w:r w:rsidR="00DA16D7" w:rsidRPr="00490DD1">
        <w:rPr>
          <w:rStyle w:val="sb8d990e2"/>
          <w:rFonts w:ascii="Times New Roman" w:hAnsi="Times New Roman" w:cs="Times New Roman"/>
          <w:color w:val="000000" w:themeColor="text1"/>
          <w:sz w:val="24"/>
          <w:szCs w:val="24"/>
          <w:shd w:val="clear" w:color="auto" w:fill="FFFFFF"/>
        </w:rPr>
        <w:t xml:space="preserve">, the Court does not give the State </w:t>
      </w:r>
      <w:r w:rsidR="00752F4A" w:rsidRPr="00490DD1">
        <w:rPr>
          <w:rStyle w:val="sb8d990e2"/>
          <w:rFonts w:ascii="Times New Roman" w:hAnsi="Times New Roman" w:cs="Times New Roman"/>
          <w:i/>
          <w:color w:val="000000" w:themeColor="text1"/>
          <w:sz w:val="24"/>
          <w:szCs w:val="24"/>
          <w:shd w:val="clear" w:color="auto" w:fill="FFFFFF"/>
        </w:rPr>
        <w:t>carte blanche</w:t>
      </w:r>
      <w:r w:rsidR="00DA16D7" w:rsidRPr="00490DD1">
        <w:rPr>
          <w:rStyle w:val="sb8d990e2"/>
          <w:rFonts w:ascii="Times New Roman" w:hAnsi="Times New Roman" w:cs="Times New Roman"/>
          <w:color w:val="000000" w:themeColor="text1"/>
          <w:sz w:val="24"/>
          <w:szCs w:val="24"/>
          <w:shd w:val="clear" w:color="auto" w:fill="FFFFFF"/>
        </w:rPr>
        <w:t xml:space="preserve"> over which</w:t>
      </w:r>
      <w:r w:rsidR="00752F4A" w:rsidRPr="00490DD1">
        <w:rPr>
          <w:rStyle w:val="sb8d990e2"/>
          <w:rFonts w:ascii="Times New Roman" w:hAnsi="Times New Roman" w:cs="Times New Roman"/>
          <w:color w:val="000000" w:themeColor="text1"/>
          <w:sz w:val="24"/>
          <w:szCs w:val="24"/>
          <w:shd w:val="clear" w:color="auto" w:fill="FFFFFF"/>
        </w:rPr>
        <w:t xml:space="preserve"> </w:t>
      </w:r>
      <w:r w:rsidR="00752F4A" w:rsidRPr="00490DD1">
        <w:rPr>
          <w:rStyle w:val="sb8d990e2"/>
          <w:rFonts w:ascii="Times New Roman" w:hAnsi="Times New Roman" w:cs="Times New Roman"/>
          <w:color w:val="000000" w:themeColor="text1"/>
          <w:sz w:val="24"/>
          <w:szCs w:val="24"/>
          <w:shd w:val="clear" w:color="auto" w:fill="FFFFFF"/>
        </w:rPr>
        <w:lastRenderedPageBreak/>
        <w:t>information cannot be released: i</w:t>
      </w:r>
      <w:r w:rsidR="00DA16D7" w:rsidRPr="00490DD1">
        <w:rPr>
          <w:rStyle w:val="sb8d990e2"/>
          <w:rFonts w:ascii="Times New Roman" w:hAnsi="Times New Roman" w:cs="Times New Roman"/>
          <w:color w:val="000000" w:themeColor="text1"/>
          <w:sz w:val="24"/>
          <w:szCs w:val="24"/>
          <w:shd w:val="clear" w:color="auto" w:fill="FFFFFF"/>
        </w:rPr>
        <w:t>t does examine the type and content of the information that remains undisclosed to the relatives.</w:t>
      </w:r>
      <w:r w:rsidR="00DA16D7" w:rsidRPr="00490DD1">
        <w:rPr>
          <w:rStyle w:val="FootnoteReference"/>
          <w:rFonts w:ascii="Times New Roman" w:hAnsi="Times New Roman" w:cs="Times New Roman"/>
          <w:color w:val="000000" w:themeColor="text1"/>
          <w:sz w:val="24"/>
          <w:szCs w:val="24"/>
          <w:shd w:val="clear" w:color="auto" w:fill="FFFFFF"/>
        </w:rPr>
        <w:footnoteReference w:id="146"/>
      </w:r>
    </w:p>
    <w:p w14:paraId="35C225F7" w14:textId="08A060F4" w:rsidR="00D17493" w:rsidRPr="00490DD1" w:rsidRDefault="00840DB9" w:rsidP="00670537">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Additionally</w:t>
      </w:r>
      <w:r w:rsidR="00D17493" w:rsidRPr="00490DD1">
        <w:rPr>
          <w:rFonts w:ascii="Times New Roman" w:hAnsi="Times New Roman" w:cs="Times New Roman"/>
          <w:color w:val="000000" w:themeColor="text1"/>
          <w:sz w:val="24"/>
          <w:szCs w:val="24"/>
        </w:rPr>
        <w:t>, the outcome of the investigation must be promptly brought to the attention of the next-of-kin</w:t>
      </w:r>
      <w:r w:rsidR="00752F4A" w:rsidRPr="00490DD1">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47"/>
      </w:r>
      <w:r w:rsidR="00D17493" w:rsidRPr="00490DD1">
        <w:rPr>
          <w:rFonts w:ascii="Times New Roman" w:hAnsi="Times New Roman" w:cs="Times New Roman"/>
          <w:color w:val="000000" w:themeColor="text1"/>
          <w:sz w:val="24"/>
          <w:szCs w:val="24"/>
        </w:rPr>
        <w:t xml:space="preserve"> </w:t>
      </w:r>
      <w:r w:rsidR="00752F4A" w:rsidRPr="00490DD1">
        <w:rPr>
          <w:rFonts w:ascii="Times New Roman" w:hAnsi="Times New Roman" w:cs="Times New Roman"/>
          <w:color w:val="000000" w:themeColor="text1"/>
          <w:sz w:val="24"/>
          <w:szCs w:val="24"/>
        </w:rPr>
        <w:t>stating</w:t>
      </w:r>
      <w:r w:rsidR="00D17493" w:rsidRPr="00490DD1">
        <w:rPr>
          <w:rFonts w:ascii="Times New Roman" w:hAnsi="Times New Roman" w:cs="Times New Roman"/>
          <w:color w:val="000000" w:themeColor="text1"/>
          <w:sz w:val="24"/>
          <w:szCs w:val="24"/>
        </w:rPr>
        <w:t xml:space="preserve"> the reasons for the specific course of action adopted.</w:t>
      </w:r>
      <w:r w:rsidR="00D17493" w:rsidRPr="00490DD1">
        <w:rPr>
          <w:rStyle w:val="FootnoteReference"/>
          <w:rFonts w:ascii="Times New Roman" w:hAnsi="Times New Roman" w:cs="Times New Roman"/>
          <w:color w:val="000000" w:themeColor="text1"/>
          <w:sz w:val="24"/>
          <w:szCs w:val="24"/>
        </w:rPr>
        <w:footnoteReference w:id="148"/>
      </w:r>
      <w:r w:rsidR="00D17493" w:rsidRPr="00490DD1">
        <w:rPr>
          <w:rFonts w:ascii="Times New Roman" w:hAnsi="Times New Roman" w:cs="Times New Roman"/>
          <w:color w:val="000000" w:themeColor="text1"/>
          <w:sz w:val="24"/>
          <w:szCs w:val="24"/>
        </w:rPr>
        <w:t xml:space="preserve"> A certain level of detail is required; ‘[</w:t>
      </w:r>
      <w:proofErr w:type="spellStart"/>
      <w:r w:rsidR="00D17493" w:rsidRPr="00490DD1">
        <w:rPr>
          <w:rFonts w:ascii="Times New Roman" w:hAnsi="Times New Roman" w:cs="Times New Roman"/>
          <w:color w:val="000000" w:themeColor="text1"/>
          <w:sz w:val="24"/>
          <w:szCs w:val="24"/>
        </w:rPr>
        <w:t>i</w:t>
      </w:r>
      <w:proofErr w:type="spellEnd"/>
      <w:r w:rsidR="00D17493" w:rsidRPr="00490DD1">
        <w:rPr>
          <w:rFonts w:ascii="Times New Roman" w:hAnsi="Times New Roman" w:cs="Times New Roman"/>
          <w:color w:val="000000" w:themeColor="text1"/>
          <w:sz w:val="24"/>
          <w:szCs w:val="24"/>
        </w:rPr>
        <w:t>]t is not enough simply to state that there is insufficient evidence or to give general reasons’</w:t>
      </w:r>
      <w:r w:rsidR="00615026">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49"/>
      </w:r>
      <w:r w:rsidR="00752F4A" w:rsidRPr="00490DD1">
        <w:rPr>
          <w:rFonts w:ascii="Times New Roman" w:hAnsi="Times New Roman" w:cs="Times New Roman"/>
          <w:color w:val="000000" w:themeColor="text1"/>
          <w:sz w:val="24"/>
          <w:szCs w:val="24"/>
        </w:rPr>
        <w:t xml:space="preserve"> S</w:t>
      </w:r>
      <w:r w:rsidR="00D17493" w:rsidRPr="00490DD1">
        <w:rPr>
          <w:rFonts w:ascii="Times New Roman" w:hAnsi="Times New Roman" w:cs="Times New Roman"/>
          <w:color w:val="000000" w:themeColor="text1"/>
          <w:sz w:val="24"/>
          <w:szCs w:val="24"/>
        </w:rPr>
        <w:t>uch an outcome would deny the victim or his/her relative the ability and opportunity to challenge the decision not to prosecute an individual suspected of the crime,</w:t>
      </w:r>
      <w:r w:rsidR="00D17493" w:rsidRPr="00490DD1">
        <w:rPr>
          <w:rStyle w:val="FootnoteReference"/>
          <w:rFonts w:ascii="Times New Roman" w:hAnsi="Times New Roman" w:cs="Times New Roman"/>
          <w:color w:val="000000" w:themeColor="text1"/>
          <w:sz w:val="24"/>
          <w:szCs w:val="24"/>
        </w:rPr>
        <w:footnoteReference w:id="150"/>
      </w:r>
      <w:r w:rsidR="00D17493" w:rsidRPr="00490DD1">
        <w:rPr>
          <w:rFonts w:ascii="Times New Roman" w:hAnsi="Times New Roman" w:cs="Times New Roman"/>
          <w:color w:val="000000" w:themeColor="text1"/>
          <w:sz w:val="24"/>
          <w:szCs w:val="24"/>
        </w:rPr>
        <w:t xml:space="preserve"> and ultimately fail to ‘reassure[s] the public that the rule of law ha[s] been respected’</w:t>
      </w:r>
      <w:r w:rsidR="00615026">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51"/>
      </w:r>
      <w:r w:rsidR="00D17493" w:rsidRPr="00490DD1">
        <w:rPr>
          <w:rFonts w:ascii="Times New Roman" w:hAnsi="Times New Roman" w:cs="Times New Roman"/>
          <w:color w:val="000000" w:themeColor="text1"/>
          <w:sz w:val="24"/>
          <w:szCs w:val="24"/>
        </w:rPr>
        <w:t xml:space="preserve"> In the context of military operations abroad, the difficulty resides in informing the relatives of the outcome</w:t>
      </w:r>
      <w:r w:rsidR="00AE49D9"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as they might not be traceable</w:t>
      </w:r>
      <w:r w:rsidR="00B15042" w:rsidRPr="00490DD1">
        <w:rPr>
          <w:rFonts w:ascii="Times New Roman" w:hAnsi="Times New Roman" w:cs="Times New Roman"/>
          <w:color w:val="000000" w:themeColor="text1"/>
          <w:sz w:val="24"/>
          <w:szCs w:val="24"/>
        </w:rPr>
        <w:t xml:space="preserve"> </w:t>
      </w:r>
      <w:r w:rsidR="00D17493" w:rsidRPr="00490DD1">
        <w:rPr>
          <w:rFonts w:ascii="Times New Roman" w:hAnsi="Times New Roman" w:cs="Times New Roman"/>
          <w:color w:val="000000" w:themeColor="text1"/>
          <w:sz w:val="24"/>
          <w:szCs w:val="24"/>
        </w:rPr>
        <w:t>in enemy held territory</w:t>
      </w:r>
      <w:r w:rsidR="00AE49D9"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or communication with them might be</w:t>
      </w:r>
      <w:r w:rsidR="00843918"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for practical reasons</w:t>
      </w:r>
      <w:r w:rsidR="00843918"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impossible.</w:t>
      </w:r>
      <w:r w:rsidR="00D17493" w:rsidRPr="00490DD1">
        <w:rPr>
          <w:rStyle w:val="FootnoteReference"/>
          <w:rFonts w:ascii="Times New Roman" w:hAnsi="Times New Roman" w:cs="Times New Roman"/>
          <w:color w:val="000000" w:themeColor="text1"/>
          <w:sz w:val="24"/>
          <w:szCs w:val="24"/>
        </w:rPr>
        <w:footnoteReference w:id="152"/>
      </w:r>
      <w:r w:rsidR="00D17493" w:rsidRPr="00490DD1">
        <w:rPr>
          <w:rFonts w:ascii="Times New Roman" w:hAnsi="Times New Roman" w:cs="Times New Roman"/>
          <w:color w:val="000000" w:themeColor="text1"/>
          <w:sz w:val="24"/>
          <w:szCs w:val="24"/>
        </w:rPr>
        <w:t xml:space="preserve"> Moreover, the reasons for reaching such </w:t>
      </w:r>
      <w:r w:rsidR="00843918" w:rsidRPr="00490DD1">
        <w:rPr>
          <w:rFonts w:ascii="Times New Roman" w:hAnsi="Times New Roman" w:cs="Times New Roman"/>
          <w:color w:val="000000" w:themeColor="text1"/>
          <w:sz w:val="24"/>
          <w:szCs w:val="24"/>
        </w:rPr>
        <w:t xml:space="preserve">an </w:t>
      </w:r>
      <w:r w:rsidR="00D17493" w:rsidRPr="00490DD1">
        <w:rPr>
          <w:rFonts w:ascii="Times New Roman" w:hAnsi="Times New Roman" w:cs="Times New Roman"/>
          <w:color w:val="000000" w:themeColor="text1"/>
          <w:sz w:val="24"/>
          <w:szCs w:val="24"/>
        </w:rPr>
        <w:t xml:space="preserve">outcome might be that some information is confidential or has been provided by informers whose safety might be at stake. </w:t>
      </w:r>
      <w:proofErr w:type="gramStart"/>
      <w:r w:rsidR="00D17493" w:rsidRPr="00490DD1">
        <w:rPr>
          <w:rFonts w:ascii="Times New Roman" w:hAnsi="Times New Roman" w:cs="Times New Roman"/>
          <w:color w:val="000000" w:themeColor="text1"/>
          <w:sz w:val="24"/>
          <w:szCs w:val="24"/>
        </w:rPr>
        <w:t>That being said, the</w:t>
      </w:r>
      <w:proofErr w:type="gramEnd"/>
      <w:r w:rsidR="00D17493" w:rsidRPr="00490DD1">
        <w:rPr>
          <w:rFonts w:ascii="Times New Roman" w:hAnsi="Times New Roman" w:cs="Times New Roman"/>
          <w:color w:val="000000" w:themeColor="text1"/>
          <w:sz w:val="24"/>
          <w:szCs w:val="24"/>
        </w:rPr>
        <w:t xml:space="preserve"> State </w:t>
      </w:r>
      <w:r w:rsidR="00843918" w:rsidRPr="00490DD1">
        <w:rPr>
          <w:rFonts w:ascii="Times New Roman" w:hAnsi="Times New Roman" w:cs="Times New Roman"/>
          <w:color w:val="000000" w:themeColor="text1"/>
          <w:sz w:val="24"/>
          <w:szCs w:val="24"/>
        </w:rPr>
        <w:t xml:space="preserve">is </w:t>
      </w:r>
      <w:r w:rsidR="00D17493" w:rsidRPr="00490DD1">
        <w:rPr>
          <w:rFonts w:ascii="Times New Roman" w:hAnsi="Times New Roman" w:cs="Times New Roman"/>
          <w:color w:val="000000" w:themeColor="text1"/>
          <w:sz w:val="24"/>
          <w:szCs w:val="24"/>
        </w:rPr>
        <w:t xml:space="preserve">allowed to draw with care and skill a justification so as to both respect the rights of the victims and their next-of-kin </w:t>
      </w:r>
      <w:r w:rsidR="00B96ACE">
        <w:rPr>
          <w:rFonts w:ascii="Times New Roman" w:hAnsi="Times New Roman" w:cs="Times New Roman"/>
          <w:color w:val="000000" w:themeColor="text1"/>
          <w:sz w:val="24"/>
          <w:szCs w:val="24"/>
        </w:rPr>
        <w:t>and</w:t>
      </w:r>
      <w:r w:rsidR="00D17493" w:rsidRPr="00490DD1">
        <w:rPr>
          <w:rFonts w:ascii="Times New Roman" w:hAnsi="Times New Roman" w:cs="Times New Roman"/>
          <w:color w:val="000000" w:themeColor="text1"/>
          <w:sz w:val="24"/>
          <w:szCs w:val="24"/>
        </w:rPr>
        <w:t xml:space="preserve"> avoid undue prejudice to others.</w:t>
      </w:r>
    </w:p>
    <w:p w14:paraId="74374F8A" w14:textId="785F125A" w:rsidR="00D17493" w:rsidRPr="00490DD1" w:rsidRDefault="00D17493"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As a conclusion</w:t>
      </w:r>
      <w:r w:rsidR="00843918"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the principle of public scrutiny can be partially fulfilled by the armed forces</w:t>
      </w:r>
      <w:r w:rsidR="00840DB9">
        <w:rPr>
          <w:rFonts w:ascii="Times New Roman" w:hAnsi="Times New Roman" w:cs="Times New Roman"/>
          <w:color w:val="000000" w:themeColor="text1"/>
          <w:sz w:val="24"/>
          <w:szCs w:val="24"/>
        </w:rPr>
        <w:t xml:space="preserve"> abroad</w:t>
      </w:r>
      <w:r w:rsidRPr="00490DD1">
        <w:rPr>
          <w:rFonts w:ascii="Times New Roman" w:hAnsi="Times New Roman" w:cs="Times New Roman"/>
          <w:color w:val="000000" w:themeColor="text1"/>
          <w:sz w:val="24"/>
          <w:szCs w:val="24"/>
        </w:rPr>
        <w:t xml:space="preserve">. </w:t>
      </w:r>
      <w:r w:rsidR="00752F4A" w:rsidRPr="00490DD1">
        <w:rPr>
          <w:rFonts w:ascii="Times New Roman" w:hAnsi="Times New Roman" w:cs="Times New Roman"/>
          <w:color w:val="000000" w:themeColor="text1"/>
          <w:sz w:val="24"/>
          <w:szCs w:val="24"/>
        </w:rPr>
        <w:t>P</w:t>
      </w:r>
      <w:r w:rsidRPr="00490DD1">
        <w:rPr>
          <w:rFonts w:ascii="Times New Roman" w:hAnsi="Times New Roman" w:cs="Times New Roman"/>
          <w:color w:val="000000" w:themeColor="text1"/>
          <w:sz w:val="24"/>
          <w:szCs w:val="24"/>
        </w:rPr>
        <w:t xml:space="preserve">ractical impediments </w:t>
      </w:r>
      <w:r w:rsidR="00EA67E8" w:rsidRPr="00490DD1">
        <w:rPr>
          <w:rFonts w:ascii="Times New Roman" w:hAnsi="Times New Roman" w:cs="Times New Roman"/>
          <w:color w:val="000000" w:themeColor="text1"/>
          <w:sz w:val="24"/>
          <w:szCs w:val="24"/>
        </w:rPr>
        <w:t xml:space="preserve">that </w:t>
      </w:r>
      <w:r w:rsidRPr="00490DD1">
        <w:rPr>
          <w:rFonts w:ascii="Times New Roman" w:hAnsi="Times New Roman" w:cs="Times New Roman"/>
          <w:color w:val="000000" w:themeColor="text1"/>
          <w:sz w:val="24"/>
          <w:szCs w:val="24"/>
        </w:rPr>
        <w:t xml:space="preserve">are clearly visible in the initial stages of the investigations can </w:t>
      </w:r>
      <w:r w:rsidR="00752F4A" w:rsidRPr="00490DD1">
        <w:rPr>
          <w:rFonts w:ascii="Times New Roman" w:hAnsi="Times New Roman" w:cs="Times New Roman"/>
          <w:color w:val="000000" w:themeColor="text1"/>
          <w:sz w:val="24"/>
          <w:szCs w:val="24"/>
        </w:rPr>
        <w:t xml:space="preserve">however </w:t>
      </w:r>
      <w:r w:rsidRPr="00490DD1">
        <w:rPr>
          <w:rFonts w:ascii="Times New Roman" w:hAnsi="Times New Roman" w:cs="Times New Roman"/>
          <w:color w:val="000000" w:themeColor="text1"/>
          <w:sz w:val="24"/>
          <w:szCs w:val="24"/>
        </w:rPr>
        <w:t xml:space="preserve">be remedied </w:t>
      </w:r>
      <w:proofErr w:type="gramStart"/>
      <w:r w:rsidRPr="00490DD1">
        <w:rPr>
          <w:rFonts w:ascii="Times New Roman" w:hAnsi="Times New Roman" w:cs="Times New Roman"/>
          <w:color w:val="000000" w:themeColor="text1"/>
          <w:sz w:val="24"/>
          <w:szCs w:val="24"/>
        </w:rPr>
        <w:t>later on</w:t>
      </w:r>
      <w:proofErr w:type="gramEnd"/>
      <w:r w:rsidRPr="00490DD1">
        <w:rPr>
          <w:rFonts w:ascii="Times New Roman" w:hAnsi="Times New Roman" w:cs="Times New Roman"/>
          <w:color w:val="000000" w:themeColor="text1"/>
          <w:sz w:val="24"/>
          <w:szCs w:val="24"/>
        </w:rPr>
        <w:t xml:space="preserve"> using other, additional methods of investigation. </w:t>
      </w:r>
      <w:r w:rsidR="00752F4A" w:rsidRPr="00490DD1">
        <w:rPr>
          <w:rFonts w:ascii="Times New Roman" w:hAnsi="Times New Roman" w:cs="Times New Roman"/>
          <w:color w:val="000000" w:themeColor="text1"/>
          <w:sz w:val="24"/>
          <w:szCs w:val="24"/>
        </w:rPr>
        <w:t>The Court’s flexibility in that regard is welcome.</w:t>
      </w:r>
    </w:p>
    <w:p w14:paraId="08F36709" w14:textId="37D01B21" w:rsidR="00D17493" w:rsidRPr="00490DD1" w:rsidRDefault="00D17493"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lastRenderedPageBreak/>
        <w:t>The principles of effectiveness, promptness, independence and public scrutiny of investigations into alleged violations of Ar</w:t>
      </w:r>
      <w:r w:rsidR="007F5539" w:rsidRPr="00490DD1">
        <w:rPr>
          <w:rFonts w:ascii="Times New Roman" w:hAnsi="Times New Roman" w:cs="Times New Roman"/>
          <w:color w:val="000000" w:themeColor="text1"/>
          <w:sz w:val="24"/>
          <w:szCs w:val="24"/>
        </w:rPr>
        <w:t xml:space="preserve">ticle 2 ECHR appear to contain </w:t>
      </w:r>
      <w:r w:rsidR="00752F4A" w:rsidRPr="00490DD1">
        <w:rPr>
          <w:rFonts w:ascii="Times New Roman" w:hAnsi="Times New Roman" w:cs="Times New Roman"/>
          <w:color w:val="000000" w:themeColor="text1"/>
          <w:sz w:val="24"/>
          <w:szCs w:val="24"/>
        </w:rPr>
        <w:t>a</w:t>
      </w:r>
      <w:r w:rsidRPr="00490DD1">
        <w:rPr>
          <w:rFonts w:ascii="Times New Roman" w:hAnsi="Times New Roman" w:cs="Times New Roman"/>
          <w:color w:val="000000" w:themeColor="text1"/>
          <w:sz w:val="24"/>
          <w:szCs w:val="24"/>
        </w:rPr>
        <w:t xml:space="preserve"> </w:t>
      </w:r>
      <w:r w:rsidR="00BF5D31" w:rsidRPr="00490DD1">
        <w:rPr>
          <w:rFonts w:ascii="Times New Roman" w:hAnsi="Times New Roman" w:cs="Times New Roman"/>
          <w:color w:val="000000" w:themeColor="text1"/>
          <w:sz w:val="24"/>
          <w:szCs w:val="24"/>
        </w:rPr>
        <w:t>few</w:t>
      </w:r>
      <w:r w:rsidRPr="00490DD1">
        <w:rPr>
          <w:rFonts w:ascii="Times New Roman" w:hAnsi="Times New Roman" w:cs="Times New Roman"/>
          <w:color w:val="000000" w:themeColor="text1"/>
          <w:sz w:val="24"/>
          <w:szCs w:val="24"/>
        </w:rPr>
        <w:t xml:space="preserve"> elements with which it </w:t>
      </w:r>
      <w:r w:rsidR="00BF5D31" w:rsidRPr="00490DD1">
        <w:rPr>
          <w:rFonts w:ascii="Times New Roman" w:hAnsi="Times New Roman" w:cs="Times New Roman"/>
          <w:color w:val="000000" w:themeColor="text1"/>
          <w:sz w:val="24"/>
          <w:szCs w:val="24"/>
        </w:rPr>
        <w:t>might be</w:t>
      </w:r>
      <w:r w:rsidRPr="00490DD1">
        <w:rPr>
          <w:rFonts w:ascii="Times New Roman" w:hAnsi="Times New Roman" w:cs="Times New Roman"/>
          <w:color w:val="000000" w:themeColor="text1"/>
          <w:sz w:val="24"/>
          <w:szCs w:val="24"/>
        </w:rPr>
        <w:t xml:space="preserve"> difficult</w:t>
      </w:r>
      <w:r w:rsidR="00EA67E8" w:rsidRPr="00490DD1">
        <w:rPr>
          <w:rFonts w:ascii="Times New Roman" w:hAnsi="Times New Roman" w:cs="Times New Roman"/>
          <w:color w:val="000000" w:themeColor="text1"/>
          <w:sz w:val="24"/>
          <w:szCs w:val="24"/>
        </w:rPr>
        <w:t>, though not necessarily impossible,</w:t>
      </w:r>
      <w:r w:rsidRPr="00490DD1">
        <w:rPr>
          <w:rFonts w:ascii="Times New Roman" w:hAnsi="Times New Roman" w:cs="Times New Roman"/>
          <w:color w:val="000000" w:themeColor="text1"/>
          <w:sz w:val="24"/>
          <w:szCs w:val="24"/>
        </w:rPr>
        <w:t xml:space="preserve"> for armed forces deployed abroad to comply. </w:t>
      </w:r>
      <w:r w:rsidR="00752F4A" w:rsidRPr="00490DD1">
        <w:rPr>
          <w:rFonts w:ascii="Times New Roman" w:hAnsi="Times New Roman" w:cs="Times New Roman"/>
          <w:color w:val="000000" w:themeColor="text1"/>
          <w:sz w:val="24"/>
          <w:szCs w:val="24"/>
        </w:rPr>
        <w:t>For some,</w:t>
      </w:r>
      <w:r w:rsidR="003D5461" w:rsidRPr="00490DD1">
        <w:rPr>
          <w:rFonts w:ascii="Times New Roman" w:hAnsi="Times New Roman" w:cs="Times New Roman"/>
          <w:color w:val="000000" w:themeColor="text1"/>
          <w:sz w:val="24"/>
          <w:szCs w:val="24"/>
        </w:rPr>
        <w:t xml:space="preserve"> the Court appears to be unable or unwilling to </w:t>
      </w:r>
      <w:r w:rsidR="00BF5D31" w:rsidRPr="00490DD1">
        <w:rPr>
          <w:rFonts w:ascii="Times New Roman" w:hAnsi="Times New Roman" w:cs="Times New Roman"/>
          <w:color w:val="000000" w:themeColor="text1"/>
          <w:sz w:val="24"/>
          <w:szCs w:val="24"/>
        </w:rPr>
        <w:t>understand these difficulties</w:t>
      </w:r>
      <w:r w:rsidR="00B15042" w:rsidRPr="00490DD1">
        <w:rPr>
          <w:rFonts w:ascii="Times New Roman" w:hAnsi="Times New Roman" w:cs="Times New Roman"/>
          <w:color w:val="000000" w:themeColor="text1"/>
          <w:sz w:val="24"/>
          <w:szCs w:val="24"/>
        </w:rPr>
        <w:t>,</w:t>
      </w:r>
      <w:r w:rsidR="003D5461" w:rsidRPr="00490DD1">
        <w:rPr>
          <w:rFonts w:ascii="Times New Roman" w:hAnsi="Times New Roman" w:cs="Times New Roman"/>
          <w:color w:val="000000" w:themeColor="text1"/>
          <w:sz w:val="24"/>
          <w:szCs w:val="24"/>
        </w:rPr>
        <w:t xml:space="preserve"> and thus the question is whether it might be possible to instil further flexibility in the Court’s jurisprudence.</w:t>
      </w:r>
    </w:p>
    <w:p w14:paraId="7CC46828" w14:textId="77777777" w:rsidR="00D17493" w:rsidRPr="00490DD1" w:rsidRDefault="00D17493" w:rsidP="00843918">
      <w:pPr>
        <w:spacing w:after="0" w:line="360" w:lineRule="auto"/>
        <w:rPr>
          <w:rFonts w:ascii="Times New Roman" w:hAnsi="Times New Roman" w:cs="Times New Roman"/>
          <w:color w:val="000000" w:themeColor="text1"/>
          <w:sz w:val="24"/>
          <w:szCs w:val="24"/>
        </w:rPr>
      </w:pPr>
    </w:p>
    <w:p w14:paraId="51C98BBB" w14:textId="1DA264E4" w:rsidR="00D17493" w:rsidRPr="008241E7" w:rsidRDefault="0001563E" w:rsidP="00DC1103">
      <w:pPr>
        <w:spacing w:after="0" w:line="360" w:lineRule="auto"/>
        <w:rPr>
          <w:rFonts w:ascii="Times New Roman" w:hAnsi="Times New Roman" w:cs="Times New Roman"/>
          <w:b/>
          <w:caps/>
          <w:color w:val="000000" w:themeColor="text1"/>
          <w:sz w:val="24"/>
          <w:szCs w:val="24"/>
        </w:rPr>
      </w:pPr>
      <w:bookmarkStart w:id="13" w:name="_Toc436317353"/>
      <w:r w:rsidRPr="008241E7">
        <w:rPr>
          <w:rFonts w:ascii="Times New Roman" w:hAnsi="Times New Roman" w:cs="Times New Roman"/>
          <w:b/>
          <w:caps/>
          <w:color w:val="000000" w:themeColor="text1"/>
          <w:sz w:val="24"/>
          <w:szCs w:val="24"/>
        </w:rPr>
        <w:t>6</w:t>
      </w:r>
      <w:r w:rsidR="008241E7" w:rsidRPr="008241E7">
        <w:rPr>
          <w:rFonts w:ascii="Times New Roman" w:hAnsi="Times New Roman" w:cs="Times New Roman"/>
          <w:b/>
          <w:caps/>
          <w:color w:val="000000" w:themeColor="text1"/>
          <w:sz w:val="24"/>
          <w:szCs w:val="24"/>
        </w:rPr>
        <w:t>.</w:t>
      </w:r>
      <w:r w:rsidR="006B7AB6" w:rsidRPr="008241E7">
        <w:rPr>
          <w:rFonts w:ascii="Times New Roman" w:hAnsi="Times New Roman" w:cs="Times New Roman"/>
          <w:b/>
          <w:caps/>
          <w:color w:val="000000" w:themeColor="text1"/>
          <w:sz w:val="24"/>
          <w:szCs w:val="24"/>
        </w:rPr>
        <w:t xml:space="preserve"> </w:t>
      </w:r>
      <w:r w:rsidR="002C561D" w:rsidRPr="008241E7">
        <w:rPr>
          <w:rFonts w:ascii="Times New Roman" w:hAnsi="Times New Roman" w:cs="Times New Roman"/>
          <w:b/>
          <w:caps/>
          <w:color w:val="000000" w:themeColor="text1"/>
          <w:sz w:val="24"/>
          <w:szCs w:val="24"/>
        </w:rPr>
        <w:t>Instilling Further Flexibility in the Court’s Jurisprudence</w:t>
      </w:r>
    </w:p>
    <w:p w14:paraId="3C025FE6" w14:textId="1231E18E" w:rsidR="00D17493" w:rsidRPr="00490DD1" w:rsidRDefault="00D17493" w:rsidP="00DC1103">
      <w:pPr>
        <w:spacing w:after="0" w:line="360" w:lineRule="auto"/>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 xml:space="preserve">It must be reminded that the Court has crafted principles and elements thereof </w:t>
      </w:r>
      <w:r w:rsidR="00521A95" w:rsidRPr="00490DD1">
        <w:rPr>
          <w:rFonts w:ascii="Times New Roman" w:hAnsi="Times New Roman" w:cs="Times New Roman"/>
          <w:color w:val="000000" w:themeColor="text1"/>
          <w:sz w:val="24"/>
          <w:szCs w:val="24"/>
        </w:rPr>
        <w:t>based on</w:t>
      </w:r>
      <w:r w:rsidR="00BF5D31" w:rsidRPr="00490DD1">
        <w:rPr>
          <w:rFonts w:ascii="Times New Roman" w:hAnsi="Times New Roman" w:cs="Times New Roman"/>
          <w:color w:val="000000" w:themeColor="text1"/>
          <w:sz w:val="24"/>
          <w:szCs w:val="24"/>
        </w:rPr>
        <w:t xml:space="preserve"> situations either happening in a domestic setting and/or </w:t>
      </w:r>
      <w:r w:rsidRPr="00490DD1">
        <w:rPr>
          <w:rFonts w:ascii="Times New Roman" w:hAnsi="Times New Roman" w:cs="Times New Roman"/>
          <w:color w:val="000000" w:themeColor="text1"/>
          <w:sz w:val="24"/>
          <w:szCs w:val="24"/>
        </w:rPr>
        <w:t>in peacetime</w:t>
      </w:r>
      <w:r w:rsidR="00C911CA" w:rsidRPr="00490DD1">
        <w:rPr>
          <w:rFonts w:ascii="Times New Roman" w:hAnsi="Times New Roman" w:cs="Times New Roman"/>
          <w:color w:val="000000" w:themeColor="text1"/>
          <w:sz w:val="24"/>
          <w:szCs w:val="24"/>
        </w:rPr>
        <w:t xml:space="preserve"> and has applied them to military operations at home and abroad</w:t>
      </w:r>
      <w:r w:rsidR="003D5461" w:rsidRPr="00490DD1">
        <w:rPr>
          <w:rFonts w:ascii="Times New Roman" w:hAnsi="Times New Roman" w:cs="Times New Roman"/>
          <w:color w:val="000000" w:themeColor="text1"/>
          <w:sz w:val="24"/>
          <w:szCs w:val="24"/>
        </w:rPr>
        <w:t>. As a result, whil</w:t>
      </w:r>
      <w:r w:rsidR="002C561D" w:rsidRPr="00490DD1">
        <w:rPr>
          <w:rFonts w:ascii="Times New Roman" w:hAnsi="Times New Roman" w:cs="Times New Roman"/>
          <w:color w:val="000000" w:themeColor="text1"/>
          <w:sz w:val="24"/>
          <w:szCs w:val="24"/>
        </w:rPr>
        <w:t>e</w:t>
      </w:r>
      <w:r w:rsidR="003D5461" w:rsidRPr="00490DD1">
        <w:rPr>
          <w:rFonts w:ascii="Times New Roman" w:hAnsi="Times New Roman" w:cs="Times New Roman"/>
          <w:color w:val="000000" w:themeColor="text1"/>
          <w:sz w:val="24"/>
          <w:szCs w:val="24"/>
        </w:rPr>
        <w:t xml:space="preserve"> </w:t>
      </w:r>
      <w:r w:rsidRPr="00490DD1">
        <w:rPr>
          <w:rFonts w:ascii="Times New Roman" w:hAnsi="Times New Roman" w:cs="Times New Roman"/>
          <w:color w:val="000000" w:themeColor="text1"/>
          <w:sz w:val="24"/>
          <w:szCs w:val="24"/>
        </w:rPr>
        <w:t>they might be perfectly suitable in this limited context, they are, as illustrated above,</w:t>
      </w:r>
      <w:r w:rsidR="00BF5D31" w:rsidRPr="00490DD1">
        <w:rPr>
          <w:rFonts w:ascii="Times New Roman" w:hAnsi="Times New Roman" w:cs="Times New Roman"/>
          <w:color w:val="000000" w:themeColor="text1"/>
          <w:sz w:val="24"/>
          <w:szCs w:val="24"/>
        </w:rPr>
        <w:t xml:space="preserve"> sometimes</w:t>
      </w:r>
      <w:r w:rsidRPr="00490DD1">
        <w:rPr>
          <w:rFonts w:ascii="Times New Roman" w:hAnsi="Times New Roman" w:cs="Times New Roman"/>
          <w:color w:val="000000" w:themeColor="text1"/>
          <w:sz w:val="24"/>
          <w:szCs w:val="24"/>
        </w:rPr>
        <w:t xml:space="preserve"> too detailed and difficult to apply outside the national territory of a State. It is argued that the Court </w:t>
      </w:r>
      <w:r w:rsidR="00A70064" w:rsidRPr="00490DD1">
        <w:rPr>
          <w:rFonts w:ascii="Times New Roman" w:hAnsi="Times New Roman" w:cs="Times New Roman"/>
          <w:color w:val="000000" w:themeColor="text1"/>
          <w:sz w:val="24"/>
          <w:szCs w:val="24"/>
        </w:rPr>
        <w:t>should</w:t>
      </w:r>
      <w:r w:rsidRPr="00490DD1">
        <w:rPr>
          <w:rFonts w:ascii="Times New Roman" w:hAnsi="Times New Roman" w:cs="Times New Roman"/>
          <w:color w:val="000000" w:themeColor="text1"/>
          <w:sz w:val="24"/>
          <w:szCs w:val="24"/>
        </w:rPr>
        <w:t xml:space="preserve"> espouse a contextual approach when applying the</w:t>
      </w:r>
      <w:r w:rsidR="00521A95">
        <w:rPr>
          <w:rFonts w:ascii="Times New Roman" w:hAnsi="Times New Roman" w:cs="Times New Roman"/>
          <w:color w:val="000000" w:themeColor="text1"/>
          <w:sz w:val="24"/>
          <w:szCs w:val="24"/>
        </w:rPr>
        <w:t>se</w:t>
      </w:r>
      <w:r w:rsidRPr="00490DD1">
        <w:rPr>
          <w:rFonts w:ascii="Times New Roman" w:hAnsi="Times New Roman" w:cs="Times New Roman"/>
          <w:color w:val="000000" w:themeColor="text1"/>
          <w:sz w:val="24"/>
          <w:szCs w:val="24"/>
        </w:rPr>
        <w:t xml:space="preserve"> requirements. The point is not to criticise the principles and elements as such but to instil more flexibility in their application.</w:t>
      </w:r>
    </w:p>
    <w:p w14:paraId="63353BF6" w14:textId="6738F3D0" w:rsidR="0066795D" w:rsidRPr="00490DD1" w:rsidRDefault="0066795D"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To appreciate why the Court has crafted such elaborate elements within the principles</w:t>
      </w:r>
      <w:r w:rsidR="00843918"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it is worth recalling that the very aim of </w:t>
      </w:r>
      <w:r w:rsidR="009A7EEC" w:rsidRPr="00490DD1">
        <w:rPr>
          <w:rFonts w:ascii="Times New Roman" w:hAnsi="Times New Roman" w:cs="Times New Roman"/>
          <w:color w:val="000000" w:themeColor="text1"/>
          <w:sz w:val="24"/>
          <w:szCs w:val="24"/>
        </w:rPr>
        <w:t>its existence</w:t>
      </w:r>
      <w:r w:rsidRPr="00490DD1">
        <w:rPr>
          <w:rFonts w:ascii="Times New Roman" w:hAnsi="Times New Roman" w:cs="Times New Roman"/>
          <w:color w:val="000000" w:themeColor="text1"/>
          <w:sz w:val="24"/>
          <w:szCs w:val="24"/>
        </w:rPr>
        <w:t xml:space="preserve"> is to provide a supranational remedy to individuals whose rights have been violated and not remedied at national level. It would defeat the purpose of the Convention if States could avoid being sanctioned by simply claiming that running an investigation was too difficult. After all, ‘a duty to investigate is not a duty for its own sake; it is supposed to serve justice and enhance respect for law by punishing violators and providing victims with potential grounds for due compensation’</w:t>
      </w:r>
      <w:r w:rsidR="00615026">
        <w:rPr>
          <w:rFonts w:ascii="Times New Roman" w:hAnsi="Times New Roman" w:cs="Times New Roman"/>
          <w:color w:val="000000" w:themeColor="text1"/>
          <w:sz w:val="24"/>
          <w:szCs w:val="24"/>
        </w:rPr>
        <w:t>.</w:t>
      </w:r>
      <w:r w:rsidRPr="00CC3909">
        <w:rPr>
          <w:rStyle w:val="FootnoteReference"/>
          <w:rFonts w:ascii="Times New Roman" w:hAnsi="Times New Roman" w:cs="Times New Roman"/>
          <w:color w:val="000000" w:themeColor="text1"/>
          <w:sz w:val="24"/>
          <w:szCs w:val="24"/>
        </w:rPr>
        <w:footnoteReference w:id="153"/>
      </w:r>
      <w:r w:rsidR="00521A95" w:rsidRPr="00CC3909">
        <w:rPr>
          <w:rFonts w:ascii="Times New Roman" w:hAnsi="Times New Roman" w:cs="Times New Roman"/>
          <w:color w:val="000000" w:themeColor="text1"/>
          <w:sz w:val="24"/>
          <w:szCs w:val="24"/>
        </w:rPr>
        <w:t xml:space="preserve"> </w:t>
      </w:r>
    </w:p>
    <w:p w14:paraId="0C4A398B" w14:textId="51908451" w:rsidR="0066795D" w:rsidRPr="00490DD1" w:rsidRDefault="0066795D"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lastRenderedPageBreak/>
        <w:t>Indeed, besides safeguarding the substantive rights enunciated in the Convention</w:t>
      </w:r>
      <w:r w:rsidR="00B15042"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the Court has developed an approach towards securing such rights, thereby espousing a ‘practical and effective’ interpretation doctrine.</w:t>
      </w:r>
      <w:r w:rsidRPr="00490DD1">
        <w:rPr>
          <w:rStyle w:val="FootnoteReference"/>
          <w:rFonts w:ascii="Times New Roman" w:hAnsi="Times New Roman" w:cs="Times New Roman"/>
          <w:color w:val="000000" w:themeColor="text1"/>
          <w:sz w:val="24"/>
          <w:szCs w:val="24"/>
        </w:rPr>
        <w:footnoteReference w:id="154"/>
      </w:r>
      <w:r w:rsidRPr="00490DD1">
        <w:rPr>
          <w:rFonts w:ascii="Times New Roman" w:hAnsi="Times New Roman" w:cs="Times New Roman"/>
          <w:color w:val="000000" w:themeColor="text1"/>
          <w:sz w:val="24"/>
          <w:szCs w:val="24"/>
        </w:rPr>
        <w:t xml:space="preserve"> The right to life is one of these archetypal rights that has been so interpreted as to secure effective respect by not only ensuring that life is not taken arbitrarily but also that a mechanism be in place to ensure that</w:t>
      </w:r>
      <w:r w:rsidR="00843918"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if it does happen, the State is obliged to examine whether a violation has occurred. In </w:t>
      </w:r>
      <w:r w:rsidRPr="00490DD1">
        <w:rPr>
          <w:rFonts w:ascii="Times New Roman" w:hAnsi="Times New Roman" w:cs="Times New Roman"/>
          <w:i/>
          <w:color w:val="000000" w:themeColor="text1"/>
          <w:sz w:val="24"/>
          <w:szCs w:val="24"/>
        </w:rPr>
        <w:t>McCann</w:t>
      </w:r>
      <w:r w:rsidRPr="00490DD1">
        <w:rPr>
          <w:rFonts w:ascii="Times New Roman" w:hAnsi="Times New Roman" w:cs="Times New Roman"/>
          <w:color w:val="000000" w:themeColor="text1"/>
          <w:sz w:val="24"/>
          <w:szCs w:val="24"/>
        </w:rPr>
        <w:t xml:space="preserve"> where this doctrine was first used</w:t>
      </w:r>
      <w:r w:rsidR="00843918"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the Court highlighted that Article 2 ECHR had to be ‘</w:t>
      </w:r>
      <w:r w:rsidRPr="00490DD1">
        <w:rPr>
          <w:rFonts w:ascii="Times New Roman" w:hAnsi="Times New Roman" w:cs="Times New Roman"/>
          <w:color w:val="000000" w:themeColor="text1"/>
          <w:sz w:val="24"/>
          <w:szCs w:val="24"/>
          <w:shd w:val="clear" w:color="auto" w:fill="FFFFFF"/>
        </w:rPr>
        <w:t>read in conjunction with the State’s general duty under Article 1 (art. 2+1) of the Convention to “secure to everyone within their jurisdiction the rights and freedoms defined in [the] Convention</w:t>
      </w:r>
      <w:r w:rsidR="00D54B85" w:rsidRPr="00490DD1">
        <w:rPr>
          <w:rFonts w:ascii="Times New Roman" w:hAnsi="Times New Roman" w:cs="Times New Roman"/>
          <w:color w:val="000000" w:themeColor="text1"/>
          <w:sz w:val="24"/>
          <w:szCs w:val="24"/>
          <w:shd w:val="clear" w:color="auto" w:fill="FFFFFF"/>
        </w:rPr>
        <w:t>.</w:t>
      </w:r>
      <w:r w:rsidRPr="00490DD1">
        <w:rPr>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155"/>
      </w:r>
      <w:r w:rsidRPr="00490DD1">
        <w:rPr>
          <w:rFonts w:ascii="Times New Roman" w:hAnsi="Times New Roman" w:cs="Times New Roman"/>
          <w:color w:val="000000" w:themeColor="text1"/>
          <w:sz w:val="24"/>
          <w:szCs w:val="24"/>
          <w:shd w:val="clear" w:color="auto" w:fill="FFFFFF"/>
        </w:rPr>
        <w:t> </w:t>
      </w:r>
      <w:r w:rsidR="00CC3909">
        <w:rPr>
          <w:rFonts w:ascii="Times New Roman" w:hAnsi="Times New Roman" w:cs="Times New Roman"/>
          <w:color w:val="000000" w:themeColor="text1"/>
          <w:sz w:val="24"/>
          <w:szCs w:val="24"/>
        </w:rPr>
        <w:t>T</w:t>
      </w:r>
      <w:r w:rsidRPr="00490DD1">
        <w:rPr>
          <w:rFonts w:ascii="Times New Roman" w:hAnsi="Times New Roman" w:cs="Times New Roman"/>
          <w:color w:val="000000" w:themeColor="text1"/>
          <w:sz w:val="24"/>
          <w:szCs w:val="24"/>
        </w:rPr>
        <w:t>he Court ‘focuses upon the need for “practical and effective” observance of Convention rights’</w:t>
      </w:r>
      <w:r w:rsidRPr="00490DD1">
        <w:rPr>
          <w:rStyle w:val="FootnoteReference"/>
          <w:rFonts w:ascii="Times New Roman" w:hAnsi="Times New Roman" w:cs="Times New Roman"/>
          <w:color w:val="000000" w:themeColor="text1"/>
          <w:sz w:val="24"/>
          <w:szCs w:val="24"/>
        </w:rPr>
        <w:footnoteReference w:id="156"/>
      </w:r>
      <w:r w:rsidRPr="00490DD1">
        <w:rPr>
          <w:rFonts w:ascii="Times New Roman" w:hAnsi="Times New Roman" w:cs="Times New Roman"/>
          <w:color w:val="000000" w:themeColor="text1"/>
          <w:sz w:val="24"/>
          <w:szCs w:val="24"/>
        </w:rPr>
        <w:t xml:space="preserve"> and ha</w:t>
      </w:r>
      <w:r w:rsidR="00FA4361" w:rsidRPr="00490DD1">
        <w:rPr>
          <w:rFonts w:ascii="Times New Roman" w:hAnsi="Times New Roman" w:cs="Times New Roman"/>
          <w:color w:val="000000" w:themeColor="text1"/>
          <w:sz w:val="24"/>
          <w:szCs w:val="24"/>
        </w:rPr>
        <w:t>s t</w:t>
      </w:r>
      <w:r w:rsidRPr="00490DD1">
        <w:rPr>
          <w:rFonts w:ascii="Times New Roman" w:hAnsi="Times New Roman" w:cs="Times New Roman"/>
          <w:color w:val="000000" w:themeColor="text1"/>
          <w:sz w:val="24"/>
          <w:szCs w:val="24"/>
        </w:rPr>
        <w:t>herefor</w:t>
      </w:r>
      <w:r w:rsidR="00FA4361" w:rsidRPr="00490DD1">
        <w:rPr>
          <w:rFonts w:ascii="Times New Roman" w:hAnsi="Times New Roman" w:cs="Times New Roman"/>
          <w:color w:val="000000" w:themeColor="text1"/>
          <w:sz w:val="24"/>
          <w:szCs w:val="24"/>
        </w:rPr>
        <w:t>e o</w:t>
      </w:r>
      <w:r w:rsidRPr="00490DD1">
        <w:rPr>
          <w:rFonts w:ascii="Times New Roman" w:hAnsi="Times New Roman" w:cs="Times New Roman"/>
          <w:color w:val="000000" w:themeColor="text1"/>
          <w:sz w:val="24"/>
          <w:szCs w:val="24"/>
        </w:rPr>
        <w:t>bliged States to become active rather than passive</w:t>
      </w:r>
      <w:r w:rsidRPr="00490DD1">
        <w:rPr>
          <w:rStyle w:val="FootnoteReference"/>
          <w:rFonts w:ascii="Times New Roman" w:hAnsi="Times New Roman" w:cs="Times New Roman"/>
          <w:color w:val="000000" w:themeColor="text1"/>
          <w:sz w:val="24"/>
          <w:szCs w:val="24"/>
        </w:rPr>
        <w:footnoteReference w:id="157"/>
      </w:r>
      <w:r w:rsidRPr="00490DD1">
        <w:rPr>
          <w:rFonts w:ascii="Times New Roman" w:hAnsi="Times New Roman" w:cs="Times New Roman"/>
          <w:color w:val="000000" w:themeColor="text1"/>
          <w:sz w:val="24"/>
          <w:szCs w:val="24"/>
        </w:rPr>
        <w:t xml:space="preserve"> in their obligations.</w:t>
      </w:r>
    </w:p>
    <w:p w14:paraId="168E2F90" w14:textId="2E445264" w:rsidR="0066795D" w:rsidRPr="00490DD1" w:rsidRDefault="0066795D" w:rsidP="00670537">
      <w:pPr>
        <w:spacing w:after="0" w:line="360" w:lineRule="auto"/>
        <w:ind w:firstLine="720"/>
        <w:rPr>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Heightened protection of human rights and precision in the application of the principles i</w:t>
      </w:r>
      <w:r w:rsidR="00B15042" w:rsidRPr="00490DD1">
        <w:rPr>
          <w:rFonts w:ascii="Times New Roman" w:hAnsi="Times New Roman" w:cs="Times New Roman"/>
          <w:color w:val="000000" w:themeColor="text1"/>
          <w:sz w:val="24"/>
          <w:szCs w:val="24"/>
        </w:rPr>
        <w:t xml:space="preserve">s </w:t>
      </w:r>
      <w:r w:rsidRPr="00490DD1">
        <w:rPr>
          <w:rFonts w:ascii="Times New Roman" w:hAnsi="Times New Roman" w:cs="Times New Roman"/>
          <w:color w:val="000000" w:themeColor="text1"/>
          <w:sz w:val="24"/>
          <w:szCs w:val="24"/>
        </w:rPr>
        <w:t>no doub</w:t>
      </w:r>
      <w:r w:rsidR="00B15042" w:rsidRPr="00490DD1">
        <w:rPr>
          <w:rFonts w:ascii="Times New Roman" w:hAnsi="Times New Roman" w:cs="Times New Roman"/>
          <w:color w:val="000000" w:themeColor="text1"/>
          <w:sz w:val="24"/>
          <w:szCs w:val="24"/>
        </w:rPr>
        <w:t xml:space="preserve">t </w:t>
      </w:r>
      <w:r w:rsidRPr="00490DD1">
        <w:rPr>
          <w:rFonts w:ascii="Times New Roman" w:hAnsi="Times New Roman" w:cs="Times New Roman"/>
          <w:color w:val="000000" w:themeColor="text1"/>
          <w:sz w:val="24"/>
          <w:szCs w:val="24"/>
        </w:rPr>
        <w:t>welcome all the more</w:t>
      </w:r>
      <w:r w:rsidR="00AE49D9"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as ‘scrutiny from outside increases pressure to have military operations conducted properly in the first place’</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58"/>
      </w:r>
      <w:r w:rsidRPr="00490DD1">
        <w:rPr>
          <w:rFonts w:ascii="Times New Roman" w:hAnsi="Times New Roman" w:cs="Times New Roman"/>
          <w:color w:val="000000" w:themeColor="text1"/>
          <w:sz w:val="24"/>
          <w:szCs w:val="24"/>
        </w:rPr>
        <w:t xml:space="preserve"> As a matter of fact</w:t>
      </w:r>
      <w:r w:rsidR="00843918"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‘[s]</w:t>
      </w:r>
      <w:proofErr w:type="spellStart"/>
      <w:r w:rsidRPr="00490DD1">
        <w:rPr>
          <w:rFonts w:ascii="Times New Roman" w:hAnsi="Times New Roman" w:cs="Times New Roman"/>
          <w:color w:val="000000" w:themeColor="text1"/>
          <w:sz w:val="24"/>
          <w:szCs w:val="24"/>
        </w:rPr>
        <w:t>ome</w:t>
      </w:r>
      <w:proofErr w:type="spellEnd"/>
      <w:r w:rsidRPr="00490DD1">
        <w:rPr>
          <w:rFonts w:ascii="Times New Roman" w:hAnsi="Times New Roman" w:cs="Times New Roman"/>
          <w:color w:val="000000" w:themeColor="text1"/>
          <w:sz w:val="24"/>
          <w:szCs w:val="24"/>
        </w:rPr>
        <w:t xml:space="preserve"> military practitioners have agreed that the human rights framework, with some adjustment for the realities of military operations, is a valuable system of accountability’</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59"/>
      </w:r>
      <w:r w:rsidRPr="00490DD1">
        <w:rPr>
          <w:rFonts w:ascii="Times New Roman" w:hAnsi="Times New Roman" w:cs="Times New Roman"/>
          <w:color w:val="000000" w:themeColor="text1"/>
          <w:sz w:val="24"/>
          <w:szCs w:val="24"/>
        </w:rPr>
        <w:t xml:space="preserve"> Whilst the Court must be praised for having developed a ‘method for ensuring that human rights are not easily sacrificed on the altar of political expediency within Member States’</w:t>
      </w:r>
      <w:r w:rsidR="00615026">
        <w:rPr>
          <w:rFonts w:ascii="Times New Roman" w:hAnsi="Times New Roman" w:cs="Times New Roman"/>
          <w:color w:val="000000" w:themeColor="text1"/>
          <w:sz w:val="24"/>
          <w:szCs w:val="24"/>
        </w:rPr>
        <w:t>,</w:t>
      </w:r>
      <w:r w:rsidRPr="00490DD1">
        <w:rPr>
          <w:rStyle w:val="FootnoteReference"/>
          <w:rFonts w:ascii="Times New Roman" w:hAnsi="Times New Roman" w:cs="Times New Roman"/>
          <w:color w:val="000000" w:themeColor="text1"/>
          <w:sz w:val="24"/>
          <w:szCs w:val="24"/>
        </w:rPr>
        <w:footnoteReference w:id="160"/>
      </w:r>
      <w:r w:rsidRPr="00490DD1">
        <w:rPr>
          <w:rFonts w:ascii="Times New Roman" w:hAnsi="Times New Roman" w:cs="Times New Roman"/>
          <w:color w:val="000000" w:themeColor="text1"/>
          <w:sz w:val="24"/>
          <w:szCs w:val="24"/>
        </w:rPr>
        <w:t xml:space="preserve"> in this instance, it is not for political expediency that the </w:t>
      </w:r>
      <w:r w:rsidRPr="00490DD1">
        <w:rPr>
          <w:rFonts w:ascii="Times New Roman" w:hAnsi="Times New Roman" w:cs="Times New Roman"/>
          <w:color w:val="000000" w:themeColor="text1"/>
          <w:sz w:val="24"/>
          <w:szCs w:val="24"/>
        </w:rPr>
        <w:lastRenderedPageBreak/>
        <w:t>procedural rights under Article 2 ECHR are not complied with, rather it is the physical (and sometimes legal) inability of the armed forces to comply. To some extent</w:t>
      </w:r>
      <w:r w:rsidR="00843918" w:rsidRPr="00490DD1">
        <w:rPr>
          <w:rFonts w:ascii="Times New Roman" w:hAnsi="Times New Roman" w:cs="Times New Roman"/>
          <w:color w:val="000000" w:themeColor="text1"/>
          <w:sz w:val="24"/>
          <w:szCs w:val="24"/>
        </w:rPr>
        <w:t>,</w:t>
      </w:r>
      <w:r w:rsidRPr="00490DD1">
        <w:rPr>
          <w:rFonts w:ascii="Times New Roman" w:hAnsi="Times New Roman" w:cs="Times New Roman"/>
          <w:color w:val="000000" w:themeColor="text1"/>
          <w:sz w:val="24"/>
          <w:szCs w:val="24"/>
        </w:rPr>
        <w:t xml:space="preserve"> added resources and manpower can remedy some of the physical difficulties but not always. It is not about letting States off the hook but about understanding the real ‘impossibilities’ rather than ‘difficulties’ faced by the armed forces when deployed abroad.</w:t>
      </w:r>
      <w:r w:rsidR="00835F62">
        <w:rPr>
          <w:rFonts w:ascii="Times New Roman" w:hAnsi="Times New Roman" w:cs="Times New Roman"/>
          <w:color w:val="000000" w:themeColor="text1"/>
          <w:sz w:val="24"/>
          <w:szCs w:val="24"/>
        </w:rPr>
        <w:t xml:space="preserve"> </w:t>
      </w:r>
    </w:p>
    <w:p w14:paraId="133BC2F8" w14:textId="3A39DCCA" w:rsidR="00E404FA" w:rsidRPr="00490DD1" w:rsidRDefault="00D17493" w:rsidP="00670537">
      <w:pPr>
        <w:spacing w:after="0" w:line="360" w:lineRule="auto"/>
        <w:ind w:firstLine="720"/>
        <w:rPr>
          <w:rStyle w:val="sb8d990e2"/>
          <w:rFonts w:ascii="Times New Roman" w:hAnsi="Times New Roman" w:cs="Times New Roman"/>
          <w:color w:val="000000" w:themeColor="text1"/>
          <w:sz w:val="24"/>
          <w:szCs w:val="24"/>
        </w:rPr>
      </w:pPr>
      <w:r w:rsidRPr="00490DD1">
        <w:rPr>
          <w:rFonts w:ascii="Times New Roman" w:hAnsi="Times New Roman" w:cs="Times New Roman"/>
          <w:color w:val="000000" w:themeColor="text1"/>
          <w:sz w:val="24"/>
          <w:szCs w:val="24"/>
        </w:rPr>
        <w:t>The Court has underlined that it has</w:t>
      </w:r>
      <w:r w:rsidR="00E62D49" w:rsidRPr="00490DD1">
        <w:rPr>
          <w:rFonts w:ascii="Times New Roman" w:hAnsi="Times New Roman" w:cs="Times New Roman"/>
          <w:color w:val="000000" w:themeColor="text1"/>
          <w:sz w:val="24"/>
          <w:szCs w:val="24"/>
        </w:rPr>
        <w:t xml:space="preserve"> granted some leeway to States and is cognisant of </w:t>
      </w:r>
      <w:r w:rsidRPr="00490DD1">
        <w:rPr>
          <w:rFonts w:ascii="Times New Roman" w:hAnsi="Times New Roman" w:cs="Times New Roman"/>
          <w:color w:val="000000" w:themeColor="text1"/>
          <w:sz w:val="24"/>
          <w:szCs w:val="24"/>
        </w:rPr>
        <w:t>the inherent practical difficulties faced by the investigators performing their tasks.</w:t>
      </w:r>
      <w:r w:rsidRPr="00490DD1">
        <w:rPr>
          <w:rStyle w:val="FootnoteReference"/>
          <w:rFonts w:ascii="Times New Roman" w:hAnsi="Times New Roman" w:cs="Times New Roman"/>
          <w:color w:val="000000" w:themeColor="text1"/>
          <w:sz w:val="24"/>
          <w:szCs w:val="24"/>
        </w:rPr>
        <w:footnoteReference w:id="161"/>
      </w:r>
      <w:r w:rsidR="00CC34A2" w:rsidRPr="00490DD1">
        <w:rPr>
          <w:rFonts w:ascii="Times New Roman" w:hAnsi="Times New Roman" w:cs="Times New Roman"/>
          <w:color w:val="000000" w:themeColor="text1"/>
          <w:sz w:val="24"/>
          <w:szCs w:val="24"/>
        </w:rPr>
        <w:t xml:space="preserve"> </w:t>
      </w:r>
      <w:r w:rsidRPr="00490DD1">
        <w:rPr>
          <w:rStyle w:val="sb8d990e2"/>
          <w:rFonts w:ascii="Times New Roman" w:hAnsi="Times New Roman" w:cs="Times New Roman"/>
          <w:color w:val="000000" w:themeColor="text1"/>
          <w:sz w:val="24"/>
          <w:szCs w:val="24"/>
          <w:shd w:val="clear" w:color="auto" w:fill="FFFFFF"/>
        </w:rPr>
        <w:t xml:space="preserve">It thus seemingly allows for a contextual approach towards </w:t>
      </w:r>
      <w:r w:rsidR="009A7EEC" w:rsidRPr="00490DD1">
        <w:rPr>
          <w:rStyle w:val="sb8d990e2"/>
          <w:rFonts w:ascii="Times New Roman" w:hAnsi="Times New Roman" w:cs="Times New Roman"/>
          <w:color w:val="000000" w:themeColor="text1"/>
          <w:sz w:val="24"/>
          <w:szCs w:val="24"/>
          <w:shd w:val="clear" w:color="auto" w:fill="FFFFFF"/>
        </w:rPr>
        <w:t>compliance</w:t>
      </w:r>
      <w:r w:rsidRPr="00490DD1">
        <w:rPr>
          <w:rStyle w:val="sb8d990e2"/>
          <w:rFonts w:ascii="Times New Roman" w:hAnsi="Times New Roman" w:cs="Times New Roman"/>
          <w:color w:val="000000" w:themeColor="text1"/>
          <w:sz w:val="24"/>
          <w:szCs w:val="24"/>
          <w:shd w:val="clear" w:color="auto" w:fill="FFFFFF"/>
        </w:rPr>
        <w:t xml:space="preserve">. </w:t>
      </w:r>
      <w:r w:rsidR="00E404FA" w:rsidRPr="00490DD1">
        <w:rPr>
          <w:rFonts w:ascii="Times New Roman" w:hAnsi="Times New Roman" w:cs="Times New Roman"/>
          <w:color w:val="000000" w:themeColor="text1"/>
          <w:sz w:val="24"/>
          <w:szCs w:val="24"/>
        </w:rPr>
        <w:t xml:space="preserve">In </w:t>
      </w:r>
      <w:r w:rsidR="00E404FA" w:rsidRPr="00490DD1">
        <w:rPr>
          <w:rFonts w:ascii="Times New Roman" w:hAnsi="Times New Roman" w:cs="Times New Roman"/>
          <w:i/>
          <w:color w:val="000000" w:themeColor="text1"/>
          <w:sz w:val="24"/>
          <w:szCs w:val="24"/>
        </w:rPr>
        <w:t>Al-</w:t>
      </w:r>
      <w:proofErr w:type="spellStart"/>
      <w:r w:rsidR="00E404FA" w:rsidRPr="00490DD1">
        <w:rPr>
          <w:rFonts w:ascii="Times New Roman" w:hAnsi="Times New Roman" w:cs="Times New Roman"/>
          <w:i/>
          <w:color w:val="000000" w:themeColor="text1"/>
          <w:sz w:val="24"/>
          <w:szCs w:val="24"/>
        </w:rPr>
        <w:t>Skeini</w:t>
      </w:r>
      <w:proofErr w:type="spellEnd"/>
      <w:r w:rsidR="00843918" w:rsidRPr="00490DD1">
        <w:rPr>
          <w:rFonts w:ascii="Times New Roman" w:hAnsi="Times New Roman" w:cs="Times New Roman"/>
          <w:color w:val="000000" w:themeColor="text1"/>
          <w:sz w:val="24"/>
          <w:szCs w:val="24"/>
        </w:rPr>
        <w:t>,</w:t>
      </w:r>
      <w:r w:rsidR="00E404FA" w:rsidRPr="00490DD1">
        <w:rPr>
          <w:rFonts w:ascii="Times New Roman" w:hAnsi="Times New Roman" w:cs="Times New Roman"/>
          <w:color w:val="000000" w:themeColor="text1"/>
          <w:sz w:val="24"/>
          <w:szCs w:val="24"/>
        </w:rPr>
        <w:t xml:space="preserve"> the Court conceded that ‘in circumstances such as these the procedural duty under Article 2 must be applied realistically, to take account of specific problems faced by the investigators’</w:t>
      </w:r>
      <w:r w:rsidR="00615026">
        <w:rPr>
          <w:rFonts w:ascii="Times New Roman" w:hAnsi="Times New Roman" w:cs="Times New Roman"/>
          <w:color w:val="000000" w:themeColor="text1"/>
          <w:sz w:val="24"/>
          <w:szCs w:val="24"/>
        </w:rPr>
        <w:t>.</w:t>
      </w:r>
      <w:r w:rsidR="00E404FA" w:rsidRPr="00490DD1">
        <w:rPr>
          <w:rStyle w:val="FootnoteReference"/>
          <w:rFonts w:ascii="Times New Roman" w:hAnsi="Times New Roman" w:cs="Times New Roman"/>
          <w:color w:val="000000" w:themeColor="text1"/>
          <w:sz w:val="24"/>
          <w:szCs w:val="24"/>
        </w:rPr>
        <w:footnoteReference w:id="162"/>
      </w:r>
      <w:r w:rsidR="00E404FA" w:rsidRPr="00490DD1">
        <w:rPr>
          <w:rFonts w:ascii="Times New Roman" w:hAnsi="Times New Roman" w:cs="Times New Roman"/>
          <w:color w:val="000000" w:themeColor="text1"/>
          <w:sz w:val="24"/>
          <w:szCs w:val="24"/>
        </w:rPr>
        <w:t xml:space="preserve"> In particular, it noted that such circumstances might lead to investigators using less effective methods and to delays.</w:t>
      </w:r>
      <w:r w:rsidR="00E404FA" w:rsidRPr="00490DD1">
        <w:rPr>
          <w:rStyle w:val="FootnoteReference"/>
          <w:rFonts w:ascii="Times New Roman" w:hAnsi="Times New Roman" w:cs="Times New Roman"/>
          <w:color w:val="000000" w:themeColor="text1"/>
          <w:sz w:val="24"/>
          <w:szCs w:val="24"/>
        </w:rPr>
        <w:footnoteReference w:id="163"/>
      </w:r>
      <w:r w:rsidR="00E404FA" w:rsidRPr="00490DD1">
        <w:rPr>
          <w:rFonts w:ascii="Times New Roman" w:hAnsi="Times New Roman" w:cs="Times New Roman"/>
          <w:color w:val="000000" w:themeColor="text1"/>
          <w:sz w:val="24"/>
          <w:szCs w:val="24"/>
        </w:rPr>
        <w:t xml:space="preserve"> </w:t>
      </w:r>
      <w:r w:rsidR="009A7EEC" w:rsidRPr="00490DD1">
        <w:rPr>
          <w:rFonts w:ascii="Times New Roman" w:hAnsi="Times New Roman" w:cs="Times New Roman"/>
          <w:color w:val="000000" w:themeColor="text1"/>
          <w:sz w:val="24"/>
          <w:szCs w:val="24"/>
        </w:rPr>
        <w:t>T</w:t>
      </w:r>
      <w:r w:rsidR="00E404FA" w:rsidRPr="00490DD1">
        <w:rPr>
          <w:rStyle w:val="sb8d990e2"/>
          <w:rFonts w:ascii="Times New Roman" w:hAnsi="Times New Roman" w:cs="Times New Roman"/>
          <w:color w:val="000000" w:themeColor="text1"/>
          <w:sz w:val="24"/>
          <w:szCs w:val="24"/>
          <w:shd w:val="clear" w:color="auto" w:fill="FFFFFF"/>
        </w:rPr>
        <w:t>he Court goes to great length to formally acknowledge the difficult situation</w:t>
      </w:r>
      <w:r w:rsidR="009A7EEC" w:rsidRPr="00490DD1">
        <w:rPr>
          <w:rStyle w:val="sb8d990e2"/>
          <w:rFonts w:ascii="Times New Roman" w:hAnsi="Times New Roman" w:cs="Times New Roman"/>
          <w:color w:val="000000" w:themeColor="text1"/>
          <w:sz w:val="24"/>
          <w:szCs w:val="24"/>
          <w:shd w:val="clear" w:color="auto" w:fill="FFFFFF"/>
        </w:rPr>
        <w:t>, it</w:t>
      </w:r>
      <w:r w:rsidR="00E404FA" w:rsidRPr="00490DD1">
        <w:rPr>
          <w:rStyle w:val="sb8d990e2"/>
          <w:rFonts w:ascii="Times New Roman" w:hAnsi="Times New Roman" w:cs="Times New Roman"/>
          <w:color w:val="000000" w:themeColor="text1"/>
          <w:sz w:val="24"/>
          <w:szCs w:val="24"/>
          <w:shd w:val="clear" w:color="auto" w:fill="FFFFFF"/>
        </w:rPr>
        <w:t xml:space="preserve"> ‘</w:t>
      </w:r>
      <w:r w:rsidR="00E404FA" w:rsidRPr="00490DD1">
        <w:rPr>
          <w:rStyle w:val="sb8d990e2"/>
          <w:rFonts w:ascii="Times New Roman" w:hAnsi="Times New Roman" w:cs="Times New Roman"/>
          <w:color w:val="000000" w:themeColor="text1"/>
          <w:sz w:val="24"/>
          <w:szCs w:val="24"/>
        </w:rPr>
        <w:t>is prepared to make reasonable allowances for the relatively difficult conditions under which the Netherlands military and investigators had to work’</w:t>
      </w:r>
      <w:r w:rsidR="00615026">
        <w:rPr>
          <w:rStyle w:val="sb8d990e2"/>
          <w:rFonts w:ascii="Times New Roman" w:hAnsi="Times New Roman" w:cs="Times New Roman"/>
          <w:color w:val="000000" w:themeColor="text1"/>
          <w:sz w:val="24"/>
          <w:szCs w:val="24"/>
        </w:rPr>
        <w:t>.</w:t>
      </w:r>
      <w:r w:rsidR="00E404FA" w:rsidRPr="00490DD1">
        <w:rPr>
          <w:rStyle w:val="FootnoteReference"/>
          <w:rFonts w:ascii="Times New Roman" w:hAnsi="Times New Roman" w:cs="Times New Roman"/>
          <w:color w:val="000000" w:themeColor="text1"/>
          <w:sz w:val="24"/>
          <w:szCs w:val="24"/>
        </w:rPr>
        <w:footnoteReference w:id="164"/>
      </w:r>
      <w:r w:rsidR="00E404FA" w:rsidRPr="00490DD1">
        <w:rPr>
          <w:rStyle w:val="sb8d990e2"/>
          <w:rFonts w:ascii="Times New Roman" w:hAnsi="Times New Roman" w:cs="Times New Roman"/>
          <w:color w:val="000000" w:themeColor="text1"/>
          <w:sz w:val="24"/>
          <w:szCs w:val="24"/>
        </w:rPr>
        <w:t xml:space="preserve"> The Court specifically mentions the fact that the investigators are in a foreign country, they are not familiar with the language and culture of the country, the local population is hostile towards them, there is a shortage of local pathologists and facilities for autopsies, the danger inherent in any activity at that time, </w:t>
      </w:r>
      <w:r w:rsidR="00493A06">
        <w:rPr>
          <w:rStyle w:val="sb8d990e2"/>
          <w:rFonts w:ascii="Times New Roman" w:hAnsi="Times New Roman" w:cs="Times New Roman"/>
          <w:color w:val="000000" w:themeColor="text1"/>
          <w:sz w:val="24"/>
          <w:szCs w:val="24"/>
        </w:rPr>
        <w:t>and so on</w:t>
      </w:r>
      <w:r w:rsidR="00E404FA" w:rsidRPr="00490DD1">
        <w:rPr>
          <w:rStyle w:val="sb8d990e2"/>
          <w:rFonts w:ascii="Times New Roman" w:hAnsi="Times New Roman" w:cs="Times New Roman"/>
          <w:color w:val="000000" w:themeColor="text1"/>
          <w:sz w:val="24"/>
          <w:szCs w:val="24"/>
        </w:rPr>
        <w:t>.</w:t>
      </w:r>
      <w:r w:rsidR="00E404FA" w:rsidRPr="00490DD1">
        <w:rPr>
          <w:rStyle w:val="FootnoteReference"/>
          <w:rFonts w:ascii="Times New Roman" w:hAnsi="Times New Roman" w:cs="Times New Roman"/>
          <w:color w:val="000000" w:themeColor="text1"/>
          <w:sz w:val="24"/>
          <w:szCs w:val="24"/>
        </w:rPr>
        <w:footnoteReference w:id="165"/>
      </w:r>
    </w:p>
    <w:p w14:paraId="302A2BA4" w14:textId="717B8F2A" w:rsidR="00D17493" w:rsidRPr="00490DD1" w:rsidRDefault="00EA67E8" w:rsidP="00670537">
      <w:pPr>
        <w:spacing w:after="0" w:line="360" w:lineRule="auto"/>
        <w:ind w:firstLine="720"/>
        <w:rPr>
          <w:rFonts w:ascii="Times New Roman" w:hAnsi="Times New Roman" w:cs="Times New Roman"/>
          <w:color w:val="000000" w:themeColor="text1"/>
          <w:sz w:val="24"/>
          <w:szCs w:val="24"/>
        </w:rPr>
      </w:pPr>
      <w:r w:rsidRPr="00490DD1">
        <w:rPr>
          <w:rStyle w:val="sb8d990e2"/>
          <w:rFonts w:ascii="Times New Roman" w:hAnsi="Times New Roman" w:cs="Times New Roman"/>
          <w:color w:val="000000" w:themeColor="text1"/>
          <w:sz w:val="24"/>
          <w:szCs w:val="24"/>
          <w:shd w:val="clear" w:color="auto" w:fill="FFFFFF"/>
        </w:rPr>
        <w:t xml:space="preserve">However </w:t>
      </w:r>
      <w:r w:rsidRPr="00490DD1">
        <w:rPr>
          <w:rStyle w:val="sb8d990e2"/>
          <w:rFonts w:ascii="Times New Roman" w:hAnsi="Times New Roman" w:cs="Times New Roman"/>
          <w:i/>
          <w:color w:val="000000" w:themeColor="text1"/>
          <w:sz w:val="24"/>
          <w:szCs w:val="24"/>
          <w:shd w:val="clear" w:color="auto" w:fill="FFFFFF"/>
        </w:rPr>
        <w:t>Al-</w:t>
      </w:r>
      <w:proofErr w:type="spellStart"/>
      <w:r w:rsidRPr="00490DD1">
        <w:rPr>
          <w:rStyle w:val="sb8d990e2"/>
          <w:rFonts w:ascii="Times New Roman" w:hAnsi="Times New Roman" w:cs="Times New Roman"/>
          <w:i/>
          <w:color w:val="000000" w:themeColor="text1"/>
          <w:sz w:val="24"/>
          <w:szCs w:val="24"/>
          <w:shd w:val="clear" w:color="auto" w:fill="FFFFFF"/>
        </w:rPr>
        <w:t>Skeini</w:t>
      </w:r>
      <w:proofErr w:type="spellEnd"/>
      <w:r w:rsidRPr="00490DD1">
        <w:rPr>
          <w:rStyle w:val="sb8d990e2"/>
          <w:rFonts w:ascii="Times New Roman" w:hAnsi="Times New Roman" w:cs="Times New Roman"/>
          <w:i/>
          <w:color w:val="000000" w:themeColor="text1"/>
          <w:sz w:val="24"/>
          <w:szCs w:val="24"/>
          <w:shd w:val="clear" w:color="auto" w:fill="FFFFFF"/>
        </w:rPr>
        <w:t xml:space="preserve"> </w:t>
      </w:r>
      <w:r w:rsidRPr="00490DD1">
        <w:rPr>
          <w:rStyle w:val="sb8d990e2"/>
          <w:rFonts w:ascii="Times New Roman" w:hAnsi="Times New Roman" w:cs="Times New Roman"/>
          <w:color w:val="000000" w:themeColor="text1"/>
          <w:sz w:val="24"/>
          <w:szCs w:val="24"/>
          <w:shd w:val="clear" w:color="auto" w:fill="FFFFFF"/>
        </w:rPr>
        <w:t xml:space="preserve">and </w:t>
      </w:r>
      <w:proofErr w:type="spellStart"/>
      <w:r w:rsidRPr="00490DD1">
        <w:rPr>
          <w:rStyle w:val="sb8d990e2"/>
          <w:rFonts w:ascii="Times New Roman" w:hAnsi="Times New Roman" w:cs="Times New Roman"/>
          <w:i/>
          <w:color w:val="000000" w:themeColor="text1"/>
          <w:sz w:val="24"/>
          <w:szCs w:val="24"/>
          <w:shd w:val="clear" w:color="auto" w:fill="FFFFFF"/>
        </w:rPr>
        <w:t>Jaloud</w:t>
      </w:r>
      <w:proofErr w:type="spellEnd"/>
      <w:r w:rsidRPr="00490DD1">
        <w:rPr>
          <w:rStyle w:val="sb8d990e2"/>
          <w:rFonts w:ascii="Times New Roman" w:hAnsi="Times New Roman" w:cs="Times New Roman"/>
          <w:color w:val="000000" w:themeColor="text1"/>
          <w:sz w:val="24"/>
          <w:szCs w:val="24"/>
          <w:shd w:val="clear" w:color="auto" w:fill="FFFFFF"/>
        </w:rPr>
        <w:t xml:space="preserve"> </w:t>
      </w:r>
      <w:r w:rsidR="009A7EEC" w:rsidRPr="00490DD1">
        <w:rPr>
          <w:rStyle w:val="sb8d990e2"/>
          <w:rFonts w:ascii="Times New Roman" w:hAnsi="Times New Roman" w:cs="Times New Roman"/>
          <w:color w:val="000000" w:themeColor="text1"/>
          <w:sz w:val="24"/>
          <w:szCs w:val="24"/>
          <w:shd w:val="clear" w:color="auto" w:fill="FFFFFF"/>
        </w:rPr>
        <w:t>reveal</w:t>
      </w:r>
      <w:r w:rsidRPr="00490DD1">
        <w:rPr>
          <w:rStyle w:val="sb8d990e2"/>
          <w:rFonts w:ascii="Times New Roman" w:hAnsi="Times New Roman" w:cs="Times New Roman"/>
          <w:color w:val="000000" w:themeColor="text1"/>
          <w:sz w:val="24"/>
          <w:szCs w:val="24"/>
          <w:shd w:val="clear" w:color="auto" w:fill="FFFFFF"/>
        </w:rPr>
        <w:t xml:space="preserve"> that the Court is sometimes not prepared to </w:t>
      </w:r>
      <w:r w:rsidR="00E404FA" w:rsidRPr="00490DD1">
        <w:rPr>
          <w:rFonts w:ascii="Times New Roman" w:hAnsi="Times New Roman" w:cs="Times New Roman"/>
          <w:color w:val="000000" w:themeColor="text1"/>
          <w:sz w:val="24"/>
          <w:szCs w:val="24"/>
        </w:rPr>
        <w:t>acknowledg</w:t>
      </w:r>
      <w:r w:rsidR="00F9357A" w:rsidRPr="00490DD1">
        <w:rPr>
          <w:rFonts w:ascii="Times New Roman" w:hAnsi="Times New Roman" w:cs="Times New Roman"/>
          <w:color w:val="000000" w:themeColor="text1"/>
          <w:sz w:val="24"/>
          <w:szCs w:val="24"/>
        </w:rPr>
        <w:t>e</w:t>
      </w:r>
      <w:r w:rsidR="00D17493" w:rsidRPr="00490DD1">
        <w:rPr>
          <w:rFonts w:ascii="Times New Roman" w:hAnsi="Times New Roman" w:cs="Times New Roman"/>
          <w:color w:val="000000" w:themeColor="text1"/>
          <w:sz w:val="24"/>
          <w:szCs w:val="24"/>
        </w:rPr>
        <w:t xml:space="preserve"> in its </w:t>
      </w:r>
      <w:r w:rsidR="00D17493" w:rsidRPr="00490DD1">
        <w:rPr>
          <w:rFonts w:ascii="Times New Roman" w:hAnsi="Times New Roman" w:cs="Times New Roman"/>
          <w:i/>
          <w:color w:val="000000" w:themeColor="text1"/>
          <w:sz w:val="24"/>
          <w:szCs w:val="24"/>
        </w:rPr>
        <w:t>application</w:t>
      </w:r>
      <w:r w:rsidR="00D17493" w:rsidRPr="00490DD1">
        <w:rPr>
          <w:rFonts w:ascii="Times New Roman" w:hAnsi="Times New Roman" w:cs="Times New Roman"/>
          <w:color w:val="000000" w:themeColor="text1"/>
          <w:sz w:val="24"/>
          <w:szCs w:val="24"/>
        </w:rPr>
        <w:t xml:space="preserve"> of the la</w:t>
      </w:r>
      <w:r w:rsidR="00F9357A" w:rsidRPr="00490DD1">
        <w:rPr>
          <w:rFonts w:ascii="Times New Roman" w:hAnsi="Times New Roman" w:cs="Times New Roman"/>
          <w:color w:val="000000" w:themeColor="text1"/>
          <w:sz w:val="24"/>
          <w:szCs w:val="24"/>
        </w:rPr>
        <w:t>w</w:t>
      </w:r>
      <w:r w:rsidR="00D17493" w:rsidRPr="00490DD1">
        <w:rPr>
          <w:rFonts w:ascii="Times New Roman" w:hAnsi="Times New Roman" w:cs="Times New Roman"/>
          <w:color w:val="000000" w:themeColor="text1"/>
          <w:sz w:val="24"/>
          <w:szCs w:val="24"/>
        </w:rPr>
        <w:t xml:space="preserve"> the inherent constraints that impede a full and effective investigation.</w:t>
      </w:r>
      <w:r w:rsidR="00D17493" w:rsidRPr="00490DD1">
        <w:rPr>
          <w:rStyle w:val="FootnoteReference"/>
          <w:rFonts w:ascii="Times New Roman" w:hAnsi="Times New Roman" w:cs="Times New Roman"/>
          <w:color w:val="000000" w:themeColor="text1"/>
          <w:sz w:val="24"/>
          <w:szCs w:val="24"/>
        </w:rPr>
        <w:footnoteReference w:id="166"/>
      </w:r>
      <w:r w:rsidR="00D17493" w:rsidRPr="00490DD1">
        <w:rPr>
          <w:rFonts w:ascii="Times New Roman" w:hAnsi="Times New Roman" w:cs="Times New Roman"/>
          <w:color w:val="000000" w:themeColor="text1"/>
          <w:sz w:val="24"/>
          <w:szCs w:val="24"/>
        </w:rPr>
        <w:t xml:space="preserve"> In these cases</w:t>
      </w:r>
      <w:r w:rsidR="00843918"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‘the Court has simply applied the Convention </w:t>
      </w:r>
      <w:r w:rsidR="00615026">
        <w:rPr>
          <w:rFonts w:ascii="Times New Roman" w:hAnsi="Times New Roman" w:cs="Times New Roman"/>
          <w:color w:val="000000" w:themeColor="text1"/>
          <w:sz w:val="24"/>
          <w:szCs w:val="24"/>
        </w:rPr>
        <w:lastRenderedPageBreak/>
        <w:t>[</w:t>
      </w:r>
      <w:r w:rsidR="00D17493" w:rsidRPr="00490DD1">
        <w:rPr>
          <w:rFonts w:ascii="Times New Roman" w:hAnsi="Times New Roman" w:cs="Times New Roman"/>
          <w:color w:val="000000" w:themeColor="text1"/>
          <w:sz w:val="24"/>
          <w:szCs w:val="24"/>
        </w:rPr>
        <w:t>…</w:t>
      </w:r>
      <w:r w:rsidR="00615026">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as if the issue were no different from that arising in relation to a normal law enforcement operation’</w:t>
      </w:r>
      <w:r w:rsidR="00615026">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67"/>
      </w:r>
      <w:r w:rsidR="00D17493" w:rsidRPr="00490DD1">
        <w:rPr>
          <w:rFonts w:ascii="Times New Roman" w:hAnsi="Times New Roman" w:cs="Times New Roman"/>
          <w:color w:val="000000" w:themeColor="text1"/>
          <w:sz w:val="24"/>
          <w:szCs w:val="24"/>
        </w:rPr>
        <w:t xml:space="preserve"> In </w:t>
      </w:r>
      <w:proofErr w:type="spellStart"/>
      <w:r w:rsidR="00D17493" w:rsidRPr="00490DD1">
        <w:rPr>
          <w:rFonts w:ascii="Times New Roman" w:hAnsi="Times New Roman" w:cs="Times New Roman"/>
          <w:i/>
          <w:color w:val="000000" w:themeColor="text1"/>
          <w:sz w:val="24"/>
          <w:szCs w:val="24"/>
        </w:rPr>
        <w:t>Jaloud</w:t>
      </w:r>
      <w:proofErr w:type="spellEnd"/>
      <w:r w:rsidR="00843918" w:rsidRPr="00490DD1">
        <w:rPr>
          <w:rFonts w:ascii="Times New Roman" w:hAnsi="Times New Roman" w:cs="Times New Roman"/>
          <w:color w:val="000000" w:themeColor="text1"/>
          <w:sz w:val="24"/>
          <w:szCs w:val="24"/>
        </w:rPr>
        <w:t>,</w:t>
      </w:r>
      <w:r w:rsidR="00D17493" w:rsidRPr="00490DD1">
        <w:rPr>
          <w:rFonts w:ascii="Times New Roman" w:hAnsi="Times New Roman" w:cs="Times New Roman"/>
          <w:color w:val="000000" w:themeColor="text1"/>
          <w:sz w:val="24"/>
          <w:szCs w:val="24"/>
        </w:rPr>
        <w:t xml:space="preserve"> the Court seems to have ‘in fact applied the Convention in a relatively stringent and “undiluted” fashion’</w:t>
      </w:r>
      <w:r w:rsidR="00615026">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68"/>
      </w:r>
      <w:r w:rsidR="00D17493" w:rsidRPr="00490DD1">
        <w:rPr>
          <w:rFonts w:ascii="Times New Roman" w:hAnsi="Times New Roman" w:cs="Times New Roman"/>
          <w:color w:val="000000" w:themeColor="text1"/>
          <w:sz w:val="24"/>
          <w:szCs w:val="24"/>
        </w:rPr>
        <w:t xml:space="preserve"> a fact recognised in no uncertain terms by </w:t>
      </w:r>
      <w:r w:rsidR="00541288">
        <w:rPr>
          <w:rFonts w:ascii="Times New Roman" w:hAnsi="Times New Roman" w:cs="Times New Roman"/>
          <w:color w:val="000000" w:themeColor="text1"/>
          <w:sz w:val="24"/>
          <w:szCs w:val="24"/>
        </w:rPr>
        <w:t>a minority of</w:t>
      </w:r>
      <w:r w:rsidR="00615026">
        <w:rPr>
          <w:rFonts w:ascii="Times New Roman" w:hAnsi="Times New Roman" w:cs="Times New Roman"/>
          <w:color w:val="000000" w:themeColor="text1"/>
          <w:sz w:val="24"/>
          <w:szCs w:val="24"/>
        </w:rPr>
        <w:t xml:space="preserve"> </w:t>
      </w:r>
      <w:r w:rsidR="00D17493" w:rsidRPr="00490DD1">
        <w:rPr>
          <w:rFonts w:ascii="Times New Roman" w:hAnsi="Times New Roman" w:cs="Times New Roman"/>
          <w:color w:val="000000" w:themeColor="text1"/>
          <w:sz w:val="24"/>
          <w:szCs w:val="24"/>
        </w:rPr>
        <w:t xml:space="preserve">judges themselves (!) in the Joint Concurring Opinion: </w:t>
      </w:r>
    </w:p>
    <w:p w14:paraId="47B0D539" w14:textId="31CFB451" w:rsidR="00E9188D" w:rsidRPr="00490DD1" w:rsidRDefault="00D17493" w:rsidP="00AF2DCD">
      <w:pPr>
        <w:spacing w:after="0" w:line="360" w:lineRule="auto"/>
        <w:ind w:left="720"/>
        <w:rPr>
          <w:rFonts w:ascii="Times New Roman" w:hAnsi="Times New Roman" w:cs="Times New Roman"/>
          <w:color w:val="000000" w:themeColor="text1"/>
          <w:sz w:val="24"/>
          <w:szCs w:val="24"/>
          <w:shd w:val="clear" w:color="auto" w:fill="FFFFFF"/>
        </w:rPr>
      </w:pPr>
      <w:r w:rsidRPr="00490DD1">
        <w:rPr>
          <w:rFonts w:ascii="Times New Roman" w:hAnsi="Times New Roman" w:cs="Times New Roman"/>
          <w:color w:val="000000" w:themeColor="text1"/>
          <w:sz w:val="24"/>
          <w:szCs w:val="24"/>
          <w:shd w:val="clear" w:color="auto" w:fill="FFFFFF"/>
        </w:rPr>
        <w:t xml:space="preserve">[t]o </w:t>
      </w:r>
      <w:proofErr w:type="gramStart"/>
      <w:r w:rsidRPr="00490DD1">
        <w:rPr>
          <w:rFonts w:ascii="Times New Roman" w:hAnsi="Times New Roman" w:cs="Times New Roman"/>
          <w:color w:val="000000" w:themeColor="text1"/>
          <w:sz w:val="24"/>
          <w:szCs w:val="24"/>
          <w:shd w:val="clear" w:color="auto" w:fill="FFFFFF"/>
        </w:rPr>
        <w:t>conclude</w:t>
      </w:r>
      <w:proofErr w:type="gramEnd"/>
      <w:r w:rsidRPr="00490DD1">
        <w:rPr>
          <w:rFonts w:ascii="Times New Roman" w:hAnsi="Times New Roman" w:cs="Times New Roman"/>
          <w:color w:val="000000" w:themeColor="text1"/>
          <w:sz w:val="24"/>
          <w:szCs w:val="24"/>
          <w:shd w:val="clear" w:color="auto" w:fill="FFFFFF"/>
        </w:rPr>
        <w:t>, we consider that the Court has rightfully underlined that in a context such as the incident under scrutiny there may be obstacles to performing what may seem the most effective manner of investigation. However, this point of departure does not sit easily with all aspects of the subsequent painstaking analysis undertaken by the Court.</w:t>
      </w:r>
      <w:r w:rsidRPr="00490DD1">
        <w:rPr>
          <w:rStyle w:val="FootnoteReference"/>
          <w:rFonts w:ascii="Times New Roman" w:hAnsi="Times New Roman" w:cs="Times New Roman"/>
          <w:color w:val="000000" w:themeColor="text1"/>
          <w:sz w:val="24"/>
          <w:szCs w:val="24"/>
          <w:shd w:val="clear" w:color="auto" w:fill="FFFFFF"/>
        </w:rPr>
        <w:footnoteReference w:id="169"/>
      </w:r>
    </w:p>
    <w:p w14:paraId="7641FBFC" w14:textId="34C372BD" w:rsidR="00101316" w:rsidRDefault="0066795D" w:rsidP="00670537">
      <w:pPr>
        <w:spacing w:after="0" w:line="360" w:lineRule="auto"/>
        <w:rPr>
          <w:rFonts w:ascii="Times New Roman" w:hAnsi="Times New Roman" w:cs="Times New Roman"/>
          <w:color w:val="000000" w:themeColor="text1"/>
          <w:sz w:val="24"/>
          <w:szCs w:val="24"/>
          <w:shd w:val="clear" w:color="auto" w:fill="FFFFFF"/>
        </w:rPr>
      </w:pPr>
      <w:r w:rsidRPr="00490DD1">
        <w:rPr>
          <w:rFonts w:ascii="Times New Roman" w:hAnsi="Times New Roman" w:cs="Times New Roman"/>
          <w:color w:val="000000" w:themeColor="text1"/>
          <w:sz w:val="24"/>
          <w:szCs w:val="24"/>
          <w:shd w:val="clear" w:color="auto" w:fill="FFFFFF"/>
        </w:rPr>
        <w:t>After all,</w:t>
      </w:r>
      <w:r w:rsidR="00D17493" w:rsidRPr="00490DD1">
        <w:rPr>
          <w:rFonts w:ascii="Times New Roman" w:hAnsi="Times New Roman" w:cs="Times New Roman"/>
          <w:color w:val="000000" w:themeColor="text1"/>
          <w:sz w:val="24"/>
          <w:szCs w:val="24"/>
          <w:shd w:val="clear" w:color="auto" w:fill="FFFFFF"/>
        </w:rPr>
        <w:t xml:space="preserve"> the obligation of investigation is one of </w:t>
      </w:r>
      <w:r w:rsidR="00D17493" w:rsidRPr="00AA152A">
        <w:rPr>
          <w:rFonts w:ascii="Times New Roman" w:hAnsi="Times New Roman" w:cs="Times New Roman"/>
          <w:color w:val="000000" w:themeColor="text1"/>
          <w:sz w:val="24"/>
          <w:szCs w:val="24"/>
          <w:shd w:val="clear" w:color="auto" w:fill="FFFFFF"/>
        </w:rPr>
        <w:t>means and not results</w:t>
      </w:r>
      <w:r w:rsidR="00AF2DCD" w:rsidRPr="00490DD1">
        <w:rPr>
          <w:rFonts w:ascii="Times New Roman" w:hAnsi="Times New Roman" w:cs="Times New Roman"/>
          <w:color w:val="000000" w:themeColor="text1"/>
          <w:sz w:val="24"/>
          <w:szCs w:val="24"/>
          <w:shd w:val="clear" w:color="auto" w:fill="FFFFFF"/>
        </w:rPr>
        <w:t>,</w:t>
      </w:r>
      <w:r w:rsidR="00D17493" w:rsidRPr="00490DD1">
        <w:rPr>
          <w:rFonts w:ascii="Times New Roman" w:hAnsi="Times New Roman" w:cs="Times New Roman"/>
          <w:color w:val="000000" w:themeColor="text1"/>
          <w:sz w:val="24"/>
          <w:szCs w:val="24"/>
          <w:shd w:val="clear" w:color="auto" w:fill="FFFFFF"/>
        </w:rPr>
        <w:t xml:space="preserve"> and as </w:t>
      </w:r>
      <w:r w:rsidRPr="00490DD1">
        <w:rPr>
          <w:rFonts w:ascii="Times New Roman" w:hAnsi="Times New Roman" w:cs="Times New Roman"/>
          <w:color w:val="000000" w:themeColor="text1"/>
          <w:sz w:val="24"/>
          <w:szCs w:val="24"/>
          <w:shd w:val="clear" w:color="auto" w:fill="FFFFFF"/>
        </w:rPr>
        <w:t>the Court</w:t>
      </w:r>
      <w:r w:rsidR="00D17493" w:rsidRPr="00490DD1">
        <w:rPr>
          <w:rFonts w:ascii="Times New Roman" w:hAnsi="Times New Roman" w:cs="Times New Roman"/>
          <w:color w:val="000000" w:themeColor="text1"/>
          <w:sz w:val="24"/>
          <w:szCs w:val="24"/>
          <w:shd w:val="clear" w:color="auto" w:fill="FFFFFF"/>
        </w:rPr>
        <w:t xml:space="preserve"> said itself</w:t>
      </w:r>
      <w:r w:rsidR="00F9357A" w:rsidRPr="00490DD1">
        <w:rPr>
          <w:rFonts w:ascii="Times New Roman" w:hAnsi="Times New Roman" w:cs="Times New Roman"/>
          <w:color w:val="000000" w:themeColor="text1"/>
          <w:sz w:val="24"/>
          <w:szCs w:val="24"/>
          <w:shd w:val="clear" w:color="auto" w:fill="FFFFFF"/>
        </w:rPr>
        <w:t>,</w:t>
      </w:r>
      <w:r w:rsidR="00D17493" w:rsidRPr="00490DD1">
        <w:rPr>
          <w:rFonts w:ascii="Times New Roman" w:hAnsi="Times New Roman" w:cs="Times New Roman"/>
          <w:color w:val="000000" w:themeColor="text1"/>
          <w:sz w:val="24"/>
          <w:szCs w:val="24"/>
          <w:shd w:val="clear" w:color="auto" w:fill="FFFFFF"/>
        </w:rPr>
        <w:t xml:space="preserve"> ‘all </w:t>
      </w:r>
      <w:r w:rsidR="00D17493" w:rsidRPr="00490DD1">
        <w:rPr>
          <w:rFonts w:ascii="Times New Roman" w:hAnsi="Times New Roman" w:cs="Times New Roman"/>
          <w:i/>
          <w:color w:val="000000" w:themeColor="text1"/>
          <w:sz w:val="24"/>
          <w:szCs w:val="24"/>
          <w:shd w:val="clear" w:color="auto" w:fill="FFFFFF"/>
        </w:rPr>
        <w:t>reasonable</w:t>
      </w:r>
      <w:r w:rsidR="00D17493" w:rsidRPr="00490DD1">
        <w:rPr>
          <w:rFonts w:ascii="Times New Roman" w:hAnsi="Times New Roman" w:cs="Times New Roman"/>
          <w:color w:val="000000" w:themeColor="text1"/>
          <w:sz w:val="24"/>
          <w:szCs w:val="24"/>
          <w:shd w:val="clear" w:color="auto" w:fill="FFFFFF"/>
        </w:rPr>
        <w:t xml:space="preserve"> step</w:t>
      </w:r>
      <w:r w:rsidR="00AF2DCD" w:rsidRPr="00490DD1">
        <w:rPr>
          <w:rFonts w:ascii="Times New Roman" w:hAnsi="Times New Roman" w:cs="Times New Roman"/>
          <w:color w:val="000000" w:themeColor="text1"/>
          <w:sz w:val="24"/>
          <w:szCs w:val="24"/>
          <w:shd w:val="clear" w:color="auto" w:fill="FFFFFF"/>
        </w:rPr>
        <w:t xml:space="preserve"> [</w:t>
      </w:r>
      <w:r w:rsidR="00AF2DCD" w:rsidRPr="00754FD3">
        <w:rPr>
          <w:rFonts w:ascii="Times New Roman" w:hAnsi="Times New Roman" w:cs="Times New Roman"/>
          <w:i/>
          <w:color w:val="000000" w:themeColor="text1"/>
          <w:sz w:val="24"/>
          <w:szCs w:val="24"/>
          <w:shd w:val="clear" w:color="auto" w:fill="FFFFFF"/>
        </w:rPr>
        <w:t>sic</w:t>
      </w:r>
      <w:r w:rsidR="00AF2DCD" w:rsidRPr="00490DD1">
        <w:rPr>
          <w:rFonts w:ascii="Times New Roman" w:hAnsi="Times New Roman" w:cs="Times New Roman"/>
          <w:color w:val="000000" w:themeColor="text1"/>
          <w:sz w:val="24"/>
          <w:szCs w:val="24"/>
          <w:shd w:val="clear" w:color="auto" w:fill="FFFFFF"/>
        </w:rPr>
        <w:t>]</w:t>
      </w:r>
      <w:r w:rsidR="00D17493" w:rsidRPr="00490DD1">
        <w:rPr>
          <w:rFonts w:ascii="Times New Roman" w:hAnsi="Times New Roman" w:cs="Times New Roman"/>
          <w:color w:val="000000" w:themeColor="text1"/>
          <w:sz w:val="24"/>
          <w:szCs w:val="24"/>
          <w:shd w:val="clear" w:color="auto" w:fill="FFFFFF"/>
        </w:rPr>
        <w:t xml:space="preserve"> must be taken to ensure’</w:t>
      </w:r>
      <w:r w:rsidR="00D17493" w:rsidRPr="00490DD1">
        <w:rPr>
          <w:rStyle w:val="FootnoteReference"/>
          <w:rFonts w:ascii="Times New Roman" w:hAnsi="Times New Roman" w:cs="Times New Roman"/>
          <w:color w:val="000000" w:themeColor="text1"/>
          <w:sz w:val="24"/>
          <w:szCs w:val="24"/>
          <w:shd w:val="clear" w:color="auto" w:fill="FFFFFF"/>
        </w:rPr>
        <w:footnoteReference w:id="170"/>
      </w:r>
      <w:r w:rsidR="00D17493" w:rsidRPr="00490DD1">
        <w:rPr>
          <w:rFonts w:ascii="Times New Roman" w:hAnsi="Times New Roman" w:cs="Times New Roman"/>
          <w:color w:val="000000" w:themeColor="text1"/>
          <w:sz w:val="24"/>
          <w:szCs w:val="24"/>
          <w:shd w:val="clear" w:color="auto" w:fill="FFFFFF"/>
        </w:rPr>
        <w:t xml:space="preserve"> an effective investigation. </w:t>
      </w:r>
      <w:r w:rsidR="00FB744C">
        <w:rPr>
          <w:rFonts w:ascii="Times New Roman" w:hAnsi="Times New Roman" w:cs="Times New Roman"/>
          <w:color w:val="000000" w:themeColor="text1"/>
          <w:sz w:val="24"/>
          <w:szCs w:val="24"/>
          <w:shd w:val="clear" w:color="auto" w:fill="FFFFFF"/>
        </w:rPr>
        <w:t>Yet, it seems that even when States take all reasonable steps</w:t>
      </w:r>
      <w:r w:rsidR="003C48CE">
        <w:rPr>
          <w:rFonts w:ascii="Times New Roman" w:hAnsi="Times New Roman" w:cs="Times New Roman"/>
          <w:color w:val="000000" w:themeColor="text1"/>
          <w:sz w:val="24"/>
          <w:szCs w:val="24"/>
          <w:shd w:val="clear" w:color="auto" w:fill="FFFFFF"/>
        </w:rPr>
        <w:t xml:space="preserve"> and explore various avenues</w:t>
      </w:r>
      <w:r w:rsidR="00FB744C">
        <w:rPr>
          <w:rFonts w:ascii="Times New Roman" w:hAnsi="Times New Roman" w:cs="Times New Roman"/>
          <w:color w:val="000000" w:themeColor="text1"/>
          <w:sz w:val="24"/>
          <w:szCs w:val="24"/>
          <w:shd w:val="clear" w:color="auto" w:fill="FFFFFF"/>
        </w:rPr>
        <w:t xml:space="preserve">, such as in </w:t>
      </w:r>
      <w:proofErr w:type="spellStart"/>
      <w:r w:rsidR="00FB744C">
        <w:rPr>
          <w:rFonts w:ascii="Times New Roman" w:hAnsi="Times New Roman" w:cs="Times New Roman"/>
          <w:i/>
          <w:color w:val="000000" w:themeColor="text1"/>
          <w:sz w:val="24"/>
          <w:szCs w:val="24"/>
          <w:shd w:val="clear" w:color="auto" w:fill="FFFFFF"/>
        </w:rPr>
        <w:t>Jaloud</w:t>
      </w:r>
      <w:proofErr w:type="spellEnd"/>
      <w:r w:rsidR="00FB744C">
        <w:rPr>
          <w:rFonts w:ascii="Times New Roman" w:hAnsi="Times New Roman" w:cs="Times New Roman"/>
          <w:color w:val="000000" w:themeColor="text1"/>
          <w:sz w:val="24"/>
          <w:szCs w:val="24"/>
          <w:shd w:val="clear" w:color="auto" w:fill="FFFFFF"/>
        </w:rPr>
        <w:t xml:space="preserve">, they run </w:t>
      </w:r>
      <w:proofErr w:type="spellStart"/>
      <w:r w:rsidR="00FB744C">
        <w:rPr>
          <w:rFonts w:ascii="Times New Roman" w:hAnsi="Times New Roman" w:cs="Times New Roman"/>
          <w:color w:val="000000" w:themeColor="text1"/>
          <w:sz w:val="24"/>
          <w:szCs w:val="24"/>
          <w:shd w:val="clear" w:color="auto" w:fill="FFFFFF"/>
        </w:rPr>
        <w:t>foul</w:t>
      </w:r>
      <w:proofErr w:type="spellEnd"/>
      <w:r w:rsidR="00FB744C">
        <w:rPr>
          <w:rFonts w:ascii="Times New Roman" w:hAnsi="Times New Roman" w:cs="Times New Roman"/>
          <w:color w:val="000000" w:themeColor="text1"/>
          <w:sz w:val="24"/>
          <w:szCs w:val="24"/>
          <w:shd w:val="clear" w:color="auto" w:fill="FFFFFF"/>
        </w:rPr>
        <w:t xml:space="preserve"> of the requirements. </w:t>
      </w:r>
    </w:p>
    <w:p w14:paraId="2BEB6D02" w14:textId="4E890CB1" w:rsidR="003C48CE" w:rsidRPr="00490DD1" w:rsidRDefault="003C48CE" w:rsidP="003C48CE">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 xml:space="preserve">One way to instil flexibility in the application of the principles and elements is for the Court to </w:t>
      </w:r>
      <w:r w:rsidRPr="00490DD1">
        <w:rPr>
          <w:rFonts w:ascii="Times New Roman" w:hAnsi="Times New Roman" w:cs="Times New Roman"/>
          <w:color w:val="000000" w:themeColor="text1"/>
          <w:sz w:val="24"/>
          <w:szCs w:val="24"/>
          <w:shd w:val="clear" w:color="auto" w:fill="FFFFFF"/>
        </w:rPr>
        <w:t xml:space="preserve">follow </w:t>
      </w:r>
      <w:r>
        <w:rPr>
          <w:rFonts w:ascii="Times New Roman" w:hAnsi="Times New Roman" w:cs="Times New Roman"/>
          <w:color w:val="000000" w:themeColor="text1"/>
          <w:sz w:val="24"/>
          <w:szCs w:val="24"/>
          <w:shd w:val="clear" w:color="auto" w:fill="FFFFFF"/>
        </w:rPr>
        <w:t xml:space="preserve">its </w:t>
      </w:r>
      <w:r w:rsidRPr="00490DD1">
        <w:rPr>
          <w:rFonts w:ascii="Times New Roman" w:hAnsi="Times New Roman" w:cs="Times New Roman"/>
          <w:color w:val="000000" w:themeColor="text1"/>
          <w:sz w:val="24"/>
          <w:szCs w:val="24"/>
          <w:shd w:val="clear" w:color="auto" w:fill="FFFFFF"/>
        </w:rPr>
        <w:t xml:space="preserve">jurisprudence </w:t>
      </w:r>
      <w:r>
        <w:rPr>
          <w:rFonts w:ascii="Times New Roman" w:hAnsi="Times New Roman" w:cs="Times New Roman"/>
          <w:color w:val="000000" w:themeColor="text1"/>
          <w:sz w:val="24"/>
          <w:szCs w:val="24"/>
          <w:shd w:val="clear" w:color="auto" w:fill="FFFFFF"/>
        </w:rPr>
        <w:t xml:space="preserve">which it </w:t>
      </w:r>
      <w:r w:rsidR="002D1343">
        <w:rPr>
          <w:rFonts w:ascii="Times New Roman" w:hAnsi="Times New Roman" w:cs="Times New Roman"/>
          <w:color w:val="000000" w:themeColor="text1"/>
          <w:sz w:val="24"/>
          <w:szCs w:val="24"/>
          <w:shd w:val="clear" w:color="auto" w:fill="FFFFFF"/>
        </w:rPr>
        <w:t>spelled out in plain terms</w:t>
      </w:r>
      <w:r>
        <w:rPr>
          <w:rFonts w:ascii="Times New Roman" w:hAnsi="Times New Roman" w:cs="Times New Roman"/>
          <w:color w:val="000000" w:themeColor="text1"/>
          <w:sz w:val="24"/>
          <w:szCs w:val="24"/>
          <w:shd w:val="clear" w:color="auto" w:fill="FFFFFF"/>
        </w:rPr>
        <w:t xml:space="preserve"> in the </w:t>
      </w:r>
      <w:proofErr w:type="spellStart"/>
      <w:r w:rsidRPr="00101316">
        <w:rPr>
          <w:rFonts w:ascii="Times New Roman" w:hAnsi="Times New Roman" w:cs="Times New Roman"/>
          <w:i/>
          <w:color w:val="000000" w:themeColor="text1"/>
          <w:sz w:val="24"/>
          <w:szCs w:val="24"/>
        </w:rPr>
        <w:t>Tunç</w:t>
      </w:r>
      <w:proofErr w:type="spellEnd"/>
      <w:r w:rsidRPr="00101316">
        <w:rPr>
          <w:rFonts w:ascii="Times New Roman" w:hAnsi="Times New Roman" w:cs="Times New Roman"/>
          <w:i/>
          <w:color w:val="000000" w:themeColor="text1"/>
          <w:sz w:val="24"/>
          <w:szCs w:val="24"/>
        </w:rPr>
        <w:t xml:space="preserve"> and </w:t>
      </w:r>
      <w:proofErr w:type="spellStart"/>
      <w:r w:rsidRPr="00101316">
        <w:rPr>
          <w:rFonts w:ascii="Times New Roman" w:hAnsi="Times New Roman" w:cs="Times New Roman"/>
          <w:i/>
          <w:color w:val="000000" w:themeColor="text1"/>
          <w:sz w:val="24"/>
          <w:szCs w:val="24"/>
        </w:rPr>
        <w:t>Tunç</w:t>
      </w:r>
      <w:proofErr w:type="spellEnd"/>
      <w:r w:rsidRPr="00490DD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case in 2015 by ensuring that these principles ‘</w:t>
      </w:r>
      <w:r w:rsidRPr="00490DD1">
        <w:rPr>
          <w:rFonts w:ascii="Times New Roman" w:hAnsi="Times New Roman" w:cs="Times New Roman"/>
          <w:color w:val="000000" w:themeColor="text1"/>
          <w:sz w:val="24"/>
          <w:szCs w:val="24"/>
          <w:shd w:val="clear" w:color="auto" w:fill="FFFFFF"/>
        </w:rPr>
        <w:t>are criteria which, taken jointly, enable the degree of effectiveness of the investigation to be assessed’</w:t>
      </w:r>
      <w:r w:rsidR="00493A06">
        <w:rPr>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171"/>
      </w:r>
      <w:r>
        <w:rPr>
          <w:rFonts w:ascii="Times New Roman" w:hAnsi="Times New Roman" w:cs="Times New Roman"/>
          <w:color w:val="000000" w:themeColor="text1"/>
          <w:sz w:val="24"/>
          <w:szCs w:val="24"/>
          <w:shd w:val="clear" w:color="auto" w:fill="FFFFFF"/>
        </w:rPr>
        <w:t xml:space="preserve"> In the </w:t>
      </w:r>
      <w:proofErr w:type="spellStart"/>
      <w:r>
        <w:rPr>
          <w:rFonts w:ascii="Times New Roman" w:hAnsi="Times New Roman" w:cs="Times New Roman"/>
          <w:i/>
          <w:color w:val="000000" w:themeColor="text1"/>
          <w:sz w:val="24"/>
          <w:szCs w:val="24"/>
          <w:shd w:val="clear" w:color="auto" w:fill="FFFFFF"/>
        </w:rPr>
        <w:t>Jaloud</w:t>
      </w:r>
      <w:proofErr w:type="spellEnd"/>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and </w:t>
      </w:r>
      <w:r>
        <w:rPr>
          <w:rFonts w:ascii="Times New Roman" w:hAnsi="Times New Roman" w:cs="Times New Roman"/>
          <w:i/>
          <w:color w:val="000000" w:themeColor="text1"/>
          <w:sz w:val="24"/>
          <w:szCs w:val="24"/>
          <w:shd w:val="clear" w:color="auto" w:fill="FFFFFF"/>
        </w:rPr>
        <w:t xml:space="preserve">Al </w:t>
      </w:r>
      <w:proofErr w:type="spellStart"/>
      <w:r>
        <w:rPr>
          <w:rFonts w:ascii="Times New Roman" w:hAnsi="Times New Roman" w:cs="Times New Roman"/>
          <w:i/>
          <w:color w:val="000000" w:themeColor="text1"/>
          <w:sz w:val="24"/>
          <w:szCs w:val="24"/>
          <w:shd w:val="clear" w:color="auto" w:fill="FFFFFF"/>
        </w:rPr>
        <w:t>Skeini</w:t>
      </w:r>
      <w:proofErr w:type="spellEnd"/>
      <w:r>
        <w:rPr>
          <w:rFonts w:ascii="Times New Roman" w:hAnsi="Times New Roman" w:cs="Times New Roman"/>
          <w:i/>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cases the Court seemed </w:t>
      </w:r>
      <w:r>
        <w:rPr>
          <w:rFonts w:ascii="Times New Roman" w:hAnsi="Times New Roman" w:cs="Times New Roman"/>
          <w:color w:val="000000"/>
          <w:sz w:val="24"/>
          <w:szCs w:val="24"/>
          <w:shd w:val="clear" w:color="auto" w:fill="FFFFFF"/>
        </w:rPr>
        <w:t xml:space="preserve">sometimes too focused on specific, detailed elements and losing the overview of the purpose of Article 2 ECHR. </w:t>
      </w:r>
      <w:r w:rsidRPr="00490DD1">
        <w:rPr>
          <w:rFonts w:ascii="Times New Roman" w:hAnsi="Times New Roman" w:cs="Times New Roman"/>
          <w:color w:val="000000" w:themeColor="text1"/>
          <w:sz w:val="24"/>
          <w:szCs w:val="24"/>
        </w:rPr>
        <w:t xml:space="preserve">As the Judges in the Joint Concurring Opinion in </w:t>
      </w:r>
      <w:proofErr w:type="spellStart"/>
      <w:r w:rsidRPr="00490DD1">
        <w:rPr>
          <w:rFonts w:ascii="Times New Roman" w:hAnsi="Times New Roman" w:cs="Times New Roman"/>
          <w:i/>
          <w:color w:val="000000" w:themeColor="text1"/>
          <w:sz w:val="24"/>
          <w:szCs w:val="24"/>
        </w:rPr>
        <w:t>Jaloud</w:t>
      </w:r>
      <w:proofErr w:type="spellEnd"/>
      <w:r w:rsidRPr="00490DD1">
        <w:rPr>
          <w:rFonts w:ascii="Times New Roman" w:hAnsi="Times New Roman" w:cs="Times New Roman"/>
          <w:i/>
          <w:color w:val="000000" w:themeColor="text1"/>
          <w:sz w:val="24"/>
          <w:szCs w:val="24"/>
        </w:rPr>
        <w:t xml:space="preserve"> </w:t>
      </w:r>
      <w:r w:rsidRPr="00490DD1">
        <w:rPr>
          <w:rFonts w:ascii="Times New Roman" w:hAnsi="Times New Roman" w:cs="Times New Roman"/>
          <w:color w:val="000000" w:themeColor="text1"/>
          <w:sz w:val="24"/>
          <w:szCs w:val="24"/>
        </w:rPr>
        <w:t>ask: ‘</w:t>
      </w:r>
      <w:r w:rsidRPr="00490DD1">
        <w:rPr>
          <w:rFonts w:ascii="Times New Roman" w:hAnsi="Times New Roman" w:cs="Times New Roman"/>
          <w:color w:val="000000" w:themeColor="text1"/>
          <w:sz w:val="24"/>
          <w:szCs w:val="24"/>
          <w:shd w:val="clear" w:color="auto" w:fill="FFFFFF"/>
        </w:rPr>
        <w:t>Is it really within the competence of our Court to set the standards for investigations at this detailed level in unstable situations such as these which prevailed in Iraq?’</w:t>
      </w:r>
      <w:r w:rsidR="00493A06">
        <w:rPr>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172"/>
      </w:r>
      <w:r w:rsidRPr="00490DD1">
        <w:rPr>
          <w:rFonts w:ascii="Times New Roman" w:hAnsi="Times New Roman" w:cs="Times New Roman"/>
          <w:color w:val="000000" w:themeColor="text1"/>
          <w:sz w:val="24"/>
          <w:szCs w:val="24"/>
          <w:shd w:val="clear" w:color="auto" w:fill="FFFFFF"/>
        </w:rPr>
        <w:t xml:space="preserve"> If, as the Court maintains, the aim of the procedural </w:t>
      </w:r>
      <w:r w:rsidRPr="00490DD1">
        <w:rPr>
          <w:rFonts w:ascii="Times New Roman" w:hAnsi="Times New Roman" w:cs="Times New Roman"/>
          <w:color w:val="000000" w:themeColor="text1"/>
          <w:sz w:val="24"/>
          <w:szCs w:val="24"/>
          <w:shd w:val="clear" w:color="auto" w:fill="FFFFFF"/>
        </w:rPr>
        <w:lastRenderedPageBreak/>
        <w:t xml:space="preserve">aspect of Article 2 ECHR is to </w:t>
      </w:r>
      <w:r w:rsidRPr="00490DD1">
        <w:rPr>
          <w:rFonts w:ascii="Times New Roman" w:hAnsi="Times New Roman" w:cs="Times New Roman"/>
          <w:color w:val="000000" w:themeColor="text1"/>
          <w:sz w:val="24"/>
          <w:szCs w:val="24"/>
        </w:rPr>
        <w:t>secure effective respect for the right to life, then surely w</w:t>
      </w:r>
      <w:r w:rsidRPr="00490DD1">
        <w:rPr>
          <w:rFonts w:ascii="Times New Roman" w:hAnsi="Times New Roman" w:cs="Times New Roman"/>
          <w:color w:val="000000" w:themeColor="text1"/>
          <w:sz w:val="24"/>
          <w:szCs w:val="24"/>
          <w:shd w:val="clear" w:color="auto" w:fill="FFFFFF"/>
        </w:rPr>
        <w:t>hat matters most is that the investigation be effective overall and not that each principle/element be observed. It is thus submitted that the guiding principles of adequacy of the investigative measures, the promptness and independence of the investigation, as well the public scrutiny of the investigation,</w:t>
      </w:r>
      <w:r>
        <w:rPr>
          <w:rFonts w:ascii="Times New Roman" w:hAnsi="Times New Roman" w:cs="Times New Roman"/>
          <w:color w:val="000000" w:themeColor="text1"/>
          <w:sz w:val="24"/>
          <w:szCs w:val="24"/>
          <w:shd w:val="clear" w:color="auto" w:fill="FFFFFF"/>
        </w:rPr>
        <w:t xml:space="preserve"> must be </w:t>
      </w:r>
      <w:proofErr w:type="gramStart"/>
      <w:r>
        <w:rPr>
          <w:rFonts w:ascii="Times New Roman" w:hAnsi="Times New Roman" w:cs="Times New Roman"/>
          <w:color w:val="000000" w:themeColor="text1"/>
          <w:sz w:val="24"/>
          <w:szCs w:val="24"/>
          <w:shd w:val="clear" w:color="auto" w:fill="FFFFFF"/>
        </w:rPr>
        <w:t>taken as a whole</w:t>
      </w:r>
      <w:proofErr w:type="gramEnd"/>
      <w:r>
        <w:rPr>
          <w:rFonts w:ascii="Times New Roman" w:hAnsi="Times New Roman" w:cs="Times New Roman"/>
          <w:color w:val="000000" w:themeColor="text1"/>
          <w:sz w:val="24"/>
          <w:szCs w:val="24"/>
          <w:shd w:val="clear" w:color="auto" w:fill="FFFFFF"/>
        </w:rPr>
        <w:t xml:space="preserve">. In doing so, the Court would be able to offer some flexibility in its approach. </w:t>
      </w:r>
    </w:p>
    <w:p w14:paraId="069D13A4" w14:textId="3CDFE2F8" w:rsidR="00D17493" w:rsidRPr="00490DD1" w:rsidRDefault="00FB4451" w:rsidP="001413D5">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550EDE">
        <w:rPr>
          <w:rFonts w:ascii="Times New Roman" w:hAnsi="Times New Roman" w:cs="Times New Roman"/>
          <w:color w:val="000000" w:themeColor="text1"/>
          <w:sz w:val="24"/>
          <w:szCs w:val="24"/>
        </w:rPr>
        <w:t>ome principles</w:t>
      </w:r>
      <w:r w:rsidR="003C48CE">
        <w:rPr>
          <w:rFonts w:ascii="Times New Roman" w:hAnsi="Times New Roman" w:cs="Times New Roman"/>
          <w:color w:val="000000" w:themeColor="text1"/>
          <w:sz w:val="24"/>
          <w:szCs w:val="24"/>
        </w:rPr>
        <w:t>, such as that</w:t>
      </w:r>
      <w:r w:rsidR="00550EDE">
        <w:rPr>
          <w:rFonts w:ascii="Times New Roman" w:hAnsi="Times New Roman" w:cs="Times New Roman"/>
          <w:color w:val="000000" w:themeColor="text1"/>
          <w:sz w:val="24"/>
          <w:szCs w:val="24"/>
        </w:rPr>
        <w:t xml:space="preserve"> of p</w:t>
      </w:r>
      <w:r>
        <w:rPr>
          <w:rFonts w:ascii="Times New Roman" w:hAnsi="Times New Roman" w:cs="Times New Roman"/>
          <w:color w:val="000000" w:themeColor="text1"/>
          <w:sz w:val="24"/>
          <w:szCs w:val="24"/>
        </w:rPr>
        <w:t xml:space="preserve">romptness, </w:t>
      </w:r>
      <w:r w:rsidR="00550EDE">
        <w:rPr>
          <w:rFonts w:ascii="Times New Roman" w:hAnsi="Times New Roman" w:cs="Times New Roman"/>
          <w:color w:val="000000" w:themeColor="text1"/>
          <w:sz w:val="24"/>
          <w:szCs w:val="24"/>
        </w:rPr>
        <w:t>independence and public scrutiny</w:t>
      </w:r>
      <w:r w:rsidR="002D1343">
        <w:rPr>
          <w:rFonts w:ascii="Times New Roman" w:hAnsi="Times New Roman" w:cs="Times New Roman"/>
          <w:color w:val="000000" w:themeColor="text1"/>
          <w:sz w:val="24"/>
          <w:szCs w:val="24"/>
        </w:rPr>
        <w:t>,</w:t>
      </w:r>
      <w:r w:rsidR="00550E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are reasonable and can</w:t>
      </w:r>
      <w:r w:rsidR="003C48CE">
        <w:rPr>
          <w:rFonts w:ascii="Times New Roman" w:hAnsi="Times New Roman" w:cs="Times New Roman"/>
          <w:color w:val="000000" w:themeColor="text1"/>
          <w:sz w:val="24"/>
          <w:szCs w:val="24"/>
        </w:rPr>
        <w:t xml:space="preserve"> be fulfilled by armed forces operating abroad</w:t>
      </w:r>
      <w:r w:rsidR="00550EDE">
        <w:rPr>
          <w:rFonts w:ascii="Times New Roman" w:hAnsi="Times New Roman" w:cs="Times New Roman"/>
          <w:color w:val="000000" w:themeColor="text1"/>
          <w:sz w:val="24"/>
          <w:szCs w:val="24"/>
        </w:rPr>
        <w:t xml:space="preserve">. </w:t>
      </w:r>
      <w:r w:rsidR="00101316">
        <w:rPr>
          <w:rFonts w:ascii="Times New Roman" w:hAnsi="Times New Roman" w:cs="Times New Roman"/>
          <w:color w:val="000000" w:themeColor="text1"/>
          <w:sz w:val="24"/>
          <w:szCs w:val="24"/>
        </w:rPr>
        <w:t>However, where flexibility</w:t>
      </w:r>
      <w:r>
        <w:rPr>
          <w:rFonts w:ascii="Times New Roman" w:hAnsi="Times New Roman" w:cs="Times New Roman"/>
          <w:color w:val="000000" w:themeColor="text1"/>
          <w:sz w:val="24"/>
          <w:szCs w:val="24"/>
        </w:rPr>
        <w:t xml:space="preserve"> and situational awareness</w:t>
      </w:r>
      <w:r w:rsidR="00101316">
        <w:rPr>
          <w:rFonts w:ascii="Times New Roman" w:hAnsi="Times New Roman" w:cs="Times New Roman"/>
          <w:color w:val="000000" w:themeColor="text1"/>
          <w:sz w:val="24"/>
          <w:szCs w:val="24"/>
        </w:rPr>
        <w:t xml:space="preserve"> is sought is in relation to the elements</w:t>
      </w:r>
      <w:r w:rsidR="00550EDE">
        <w:rPr>
          <w:rFonts w:ascii="Times New Roman" w:hAnsi="Times New Roman" w:cs="Times New Roman"/>
          <w:color w:val="000000" w:themeColor="text1"/>
          <w:sz w:val="24"/>
          <w:szCs w:val="24"/>
        </w:rPr>
        <w:t xml:space="preserve"> of the principle of effectiven</w:t>
      </w:r>
      <w:r w:rsidR="00DC1103">
        <w:rPr>
          <w:rFonts w:ascii="Times New Roman" w:hAnsi="Times New Roman" w:cs="Times New Roman"/>
          <w:color w:val="000000" w:themeColor="text1"/>
          <w:sz w:val="24"/>
          <w:szCs w:val="24"/>
        </w:rPr>
        <w:t>e</w:t>
      </w:r>
      <w:r w:rsidR="00550EDE">
        <w:rPr>
          <w:rFonts w:ascii="Times New Roman" w:hAnsi="Times New Roman" w:cs="Times New Roman"/>
          <w:color w:val="000000" w:themeColor="text1"/>
          <w:sz w:val="24"/>
          <w:szCs w:val="24"/>
        </w:rPr>
        <w:t>ss</w:t>
      </w:r>
      <w:r w:rsidR="00101316">
        <w:rPr>
          <w:rFonts w:ascii="Times New Roman" w:hAnsi="Times New Roman" w:cs="Times New Roman"/>
          <w:color w:val="000000" w:themeColor="text1"/>
          <w:sz w:val="24"/>
          <w:szCs w:val="24"/>
        </w:rPr>
        <w:t xml:space="preserve">. </w:t>
      </w:r>
      <w:r w:rsidR="00AA152A">
        <w:rPr>
          <w:rFonts w:ascii="Times New Roman" w:hAnsi="Times New Roman" w:cs="Times New Roman"/>
          <w:color w:val="000000" w:themeColor="text1"/>
          <w:sz w:val="24"/>
          <w:szCs w:val="24"/>
        </w:rPr>
        <w:t>T</w:t>
      </w:r>
      <w:r w:rsidR="00D17493" w:rsidRPr="00490DD1">
        <w:rPr>
          <w:rFonts w:ascii="Times New Roman" w:hAnsi="Times New Roman" w:cs="Times New Roman"/>
          <w:color w:val="000000" w:themeColor="text1"/>
          <w:sz w:val="24"/>
          <w:szCs w:val="24"/>
        </w:rPr>
        <w:t>he Court needs to understand that investigation</w:t>
      </w:r>
      <w:r w:rsidR="00DD1E29" w:rsidRPr="00490DD1">
        <w:rPr>
          <w:rFonts w:ascii="Times New Roman" w:hAnsi="Times New Roman" w:cs="Times New Roman"/>
          <w:color w:val="000000" w:themeColor="text1"/>
          <w:sz w:val="24"/>
          <w:szCs w:val="24"/>
        </w:rPr>
        <w:t>s in an extra-territorial context</w:t>
      </w:r>
      <w:r w:rsidR="00D17493" w:rsidRPr="00490DD1">
        <w:rPr>
          <w:rFonts w:ascii="Times New Roman" w:hAnsi="Times New Roman" w:cs="Times New Roman"/>
          <w:color w:val="000000" w:themeColor="text1"/>
          <w:sz w:val="24"/>
          <w:szCs w:val="24"/>
        </w:rPr>
        <w:t xml:space="preserve"> </w:t>
      </w:r>
      <w:r w:rsidR="00DD1E29" w:rsidRPr="00490DD1">
        <w:rPr>
          <w:rFonts w:ascii="Times New Roman" w:hAnsi="Times New Roman" w:cs="Times New Roman"/>
          <w:color w:val="000000" w:themeColor="text1"/>
          <w:sz w:val="24"/>
          <w:szCs w:val="24"/>
        </w:rPr>
        <w:t>are</w:t>
      </w:r>
      <w:r w:rsidR="00D17493" w:rsidRPr="00490DD1">
        <w:rPr>
          <w:rFonts w:ascii="Times New Roman" w:hAnsi="Times New Roman" w:cs="Times New Roman"/>
          <w:color w:val="000000" w:themeColor="text1"/>
          <w:sz w:val="24"/>
          <w:szCs w:val="24"/>
        </w:rPr>
        <w:t xml:space="preserve"> carried out in a different environment where often </w:t>
      </w:r>
      <w:r w:rsidR="00FB744C">
        <w:rPr>
          <w:rFonts w:ascii="Times New Roman" w:hAnsi="Times New Roman" w:cs="Times New Roman"/>
          <w:color w:val="000000" w:themeColor="text1"/>
          <w:sz w:val="24"/>
          <w:szCs w:val="24"/>
        </w:rPr>
        <w:t>an established</w:t>
      </w:r>
      <w:r w:rsidR="00FB744C" w:rsidRPr="00490DD1">
        <w:rPr>
          <w:rFonts w:ascii="Times New Roman" w:hAnsi="Times New Roman" w:cs="Times New Roman"/>
          <w:color w:val="000000" w:themeColor="text1"/>
          <w:sz w:val="24"/>
          <w:szCs w:val="24"/>
        </w:rPr>
        <w:t xml:space="preserve"> </w:t>
      </w:r>
      <w:r w:rsidR="00D17493" w:rsidRPr="00490DD1">
        <w:rPr>
          <w:rFonts w:ascii="Times New Roman" w:hAnsi="Times New Roman" w:cs="Times New Roman"/>
          <w:color w:val="000000" w:themeColor="text1"/>
          <w:sz w:val="24"/>
          <w:szCs w:val="24"/>
        </w:rPr>
        <w:t>rule of law</w:t>
      </w:r>
      <w:r w:rsidR="00FB744C">
        <w:rPr>
          <w:rFonts w:ascii="Times New Roman" w:hAnsi="Times New Roman" w:cs="Times New Roman"/>
          <w:color w:val="000000" w:themeColor="text1"/>
          <w:sz w:val="24"/>
          <w:szCs w:val="24"/>
        </w:rPr>
        <w:t xml:space="preserve"> framework</w:t>
      </w:r>
      <w:r w:rsidR="00D17493" w:rsidRPr="00490DD1">
        <w:rPr>
          <w:rFonts w:ascii="Times New Roman" w:hAnsi="Times New Roman" w:cs="Times New Roman"/>
          <w:color w:val="000000" w:themeColor="text1"/>
          <w:sz w:val="24"/>
          <w:szCs w:val="24"/>
        </w:rPr>
        <w:t xml:space="preserve"> does not exist, the population is extremely hostile, enforcing the law or performing certain tasks might lead to further hostility and migh</w:t>
      </w:r>
      <w:r w:rsidR="000B1AC2" w:rsidRPr="00490DD1">
        <w:rPr>
          <w:rFonts w:ascii="Times New Roman" w:hAnsi="Times New Roman" w:cs="Times New Roman"/>
          <w:color w:val="000000" w:themeColor="text1"/>
          <w:sz w:val="24"/>
          <w:szCs w:val="24"/>
        </w:rPr>
        <w:t>t i</w:t>
      </w:r>
      <w:r w:rsidR="00D17493" w:rsidRPr="00490DD1">
        <w:rPr>
          <w:rFonts w:ascii="Times New Roman" w:hAnsi="Times New Roman" w:cs="Times New Roman"/>
          <w:color w:val="000000" w:themeColor="text1"/>
          <w:sz w:val="24"/>
          <w:szCs w:val="24"/>
        </w:rPr>
        <w:t>n fac</w:t>
      </w:r>
      <w:r w:rsidR="000B1AC2" w:rsidRPr="00490DD1">
        <w:rPr>
          <w:rFonts w:ascii="Times New Roman" w:hAnsi="Times New Roman" w:cs="Times New Roman"/>
          <w:color w:val="000000" w:themeColor="text1"/>
          <w:sz w:val="24"/>
          <w:szCs w:val="24"/>
        </w:rPr>
        <w:t>t j</w:t>
      </w:r>
      <w:r w:rsidR="00D17493" w:rsidRPr="00490DD1">
        <w:rPr>
          <w:rFonts w:ascii="Times New Roman" w:hAnsi="Times New Roman" w:cs="Times New Roman"/>
          <w:color w:val="000000" w:themeColor="text1"/>
          <w:sz w:val="24"/>
          <w:szCs w:val="24"/>
        </w:rPr>
        <w:t xml:space="preserve">eopardise the mission, </w:t>
      </w:r>
      <w:r w:rsidR="00FB744C">
        <w:rPr>
          <w:rFonts w:ascii="Times New Roman" w:hAnsi="Times New Roman" w:cs="Times New Roman"/>
          <w:color w:val="000000" w:themeColor="text1"/>
          <w:sz w:val="24"/>
          <w:szCs w:val="24"/>
        </w:rPr>
        <w:t>the nature and quantity of the resources available (</w:t>
      </w:r>
      <w:r w:rsidR="00493A06">
        <w:rPr>
          <w:rFonts w:ascii="Times New Roman" w:hAnsi="Times New Roman" w:cs="Times New Roman"/>
          <w:color w:val="000000" w:themeColor="text1"/>
          <w:sz w:val="24"/>
          <w:szCs w:val="24"/>
        </w:rPr>
        <w:t xml:space="preserve">for example, </w:t>
      </w:r>
      <w:r w:rsidR="00FB744C">
        <w:rPr>
          <w:rFonts w:ascii="Times New Roman" w:hAnsi="Times New Roman" w:cs="Times New Roman"/>
          <w:color w:val="000000" w:themeColor="text1"/>
          <w:sz w:val="24"/>
          <w:szCs w:val="24"/>
        </w:rPr>
        <w:t>human resources, logistics) is limited</w:t>
      </w:r>
      <w:r w:rsidR="00D17493" w:rsidRPr="00490DD1">
        <w:rPr>
          <w:rFonts w:ascii="Times New Roman" w:hAnsi="Times New Roman" w:cs="Times New Roman"/>
          <w:color w:val="000000" w:themeColor="text1"/>
          <w:sz w:val="24"/>
          <w:szCs w:val="24"/>
        </w:rPr>
        <w:t>,</w:t>
      </w:r>
      <w:r w:rsidR="00FB744C">
        <w:rPr>
          <w:rFonts w:ascii="Times New Roman" w:hAnsi="Times New Roman" w:cs="Times New Roman"/>
          <w:color w:val="000000" w:themeColor="text1"/>
          <w:sz w:val="24"/>
          <w:szCs w:val="24"/>
        </w:rPr>
        <w:t xml:space="preserve"> the armed forces must often work with foreign troops as part of a multinational operations</w:t>
      </w:r>
      <w:r w:rsidR="003C48CE">
        <w:rPr>
          <w:rFonts w:ascii="Times New Roman" w:hAnsi="Times New Roman" w:cs="Times New Roman"/>
          <w:color w:val="000000" w:themeColor="text1"/>
          <w:sz w:val="24"/>
          <w:szCs w:val="24"/>
        </w:rPr>
        <w:t xml:space="preserve"> which operate under specific legal rules</w:t>
      </w:r>
      <w:r w:rsidR="00FB744C">
        <w:rPr>
          <w:rFonts w:ascii="Times New Roman" w:hAnsi="Times New Roman" w:cs="Times New Roman"/>
          <w:color w:val="000000" w:themeColor="text1"/>
          <w:sz w:val="24"/>
          <w:szCs w:val="24"/>
        </w:rPr>
        <w:t xml:space="preserve">, </w:t>
      </w:r>
      <w:r w:rsidR="003C48CE">
        <w:rPr>
          <w:rFonts w:ascii="Times New Roman" w:hAnsi="Times New Roman" w:cs="Times New Roman"/>
          <w:color w:val="000000" w:themeColor="text1"/>
          <w:sz w:val="24"/>
          <w:szCs w:val="24"/>
        </w:rPr>
        <w:t xml:space="preserve">the host State has to comply with its own international legal obligations, </w:t>
      </w:r>
      <w:r w:rsidR="00493A06">
        <w:rPr>
          <w:rFonts w:ascii="Times New Roman" w:hAnsi="Times New Roman" w:cs="Times New Roman"/>
          <w:color w:val="000000" w:themeColor="text1"/>
          <w:sz w:val="24"/>
          <w:szCs w:val="24"/>
        </w:rPr>
        <w:t>and so on</w:t>
      </w:r>
      <w:r w:rsidR="00D17493" w:rsidRPr="00490DD1">
        <w:rPr>
          <w:rFonts w:ascii="Times New Roman" w:hAnsi="Times New Roman" w:cs="Times New Roman"/>
          <w:color w:val="000000" w:themeColor="text1"/>
          <w:sz w:val="24"/>
          <w:szCs w:val="24"/>
        </w:rPr>
        <w:t>.</w:t>
      </w:r>
      <w:r w:rsidR="00FB744C" w:rsidRPr="00490DD1">
        <w:rPr>
          <w:rStyle w:val="FootnoteReference"/>
          <w:rFonts w:ascii="Times New Roman" w:hAnsi="Times New Roman" w:cs="Times New Roman"/>
          <w:color w:val="000000" w:themeColor="text1"/>
          <w:sz w:val="24"/>
          <w:szCs w:val="24"/>
        </w:rPr>
        <w:footnoteReference w:id="173"/>
      </w:r>
      <w:r w:rsidR="00D17493" w:rsidRPr="00490DD1">
        <w:rPr>
          <w:rFonts w:ascii="Times New Roman" w:hAnsi="Times New Roman" w:cs="Times New Roman"/>
          <w:color w:val="000000" w:themeColor="text1"/>
          <w:sz w:val="24"/>
          <w:szCs w:val="24"/>
        </w:rPr>
        <w:t xml:space="preserve"> The Court must take these factors into account when examining </w:t>
      </w:r>
      <w:r w:rsidR="003C48CE">
        <w:rPr>
          <w:rFonts w:ascii="Times New Roman" w:hAnsi="Times New Roman" w:cs="Times New Roman"/>
          <w:color w:val="000000" w:themeColor="text1"/>
          <w:sz w:val="24"/>
          <w:szCs w:val="24"/>
        </w:rPr>
        <w:t>whether the armed forces have undertaken an effective investigation</w:t>
      </w:r>
      <w:r w:rsidR="00D17493" w:rsidRPr="00490DD1">
        <w:rPr>
          <w:rFonts w:ascii="Times New Roman" w:hAnsi="Times New Roman" w:cs="Times New Roman"/>
          <w:color w:val="000000" w:themeColor="text1"/>
          <w:sz w:val="24"/>
          <w:szCs w:val="24"/>
        </w:rPr>
        <w:t>. It i</w:t>
      </w:r>
      <w:r w:rsidR="000B1AC2" w:rsidRPr="00490DD1">
        <w:rPr>
          <w:rFonts w:ascii="Times New Roman" w:hAnsi="Times New Roman" w:cs="Times New Roman"/>
          <w:color w:val="000000" w:themeColor="text1"/>
          <w:sz w:val="24"/>
          <w:szCs w:val="24"/>
        </w:rPr>
        <w:t>s t</w:t>
      </w:r>
      <w:r w:rsidR="00D17493" w:rsidRPr="00490DD1">
        <w:rPr>
          <w:rFonts w:ascii="Times New Roman" w:hAnsi="Times New Roman" w:cs="Times New Roman"/>
          <w:color w:val="000000" w:themeColor="text1"/>
          <w:sz w:val="24"/>
          <w:szCs w:val="24"/>
        </w:rPr>
        <w:t>hu</w:t>
      </w:r>
      <w:r w:rsidR="000B1AC2" w:rsidRPr="00490DD1">
        <w:rPr>
          <w:rFonts w:ascii="Times New Roman" w:hAnsi="Times New Roman" w:cs="Times New Roman"/>
          <w:color w:val="000000" w:themeColor="text1"/>
          <w:sz w:val="24"/>
          <w:szCs w:val="24"/>
        </w:rPr>
        <w:t>s i</w:t>
      </w:r>
      <w:r w:rsidR="00D17493" w:rsidRPr="00490DD1">
        <w:rPr>
          <w:rFonts w:ascii="Times New Roman" w:hAnsi="Times New Roman" w:cs="Times New Roman"/>
          <w:color w:val="000000" w:themeColor="text1"/>
          <w:sz w:val="24"/>
          <w:szCs w:val="24"/>
        </w:rPr>
        <w:t>mperative that ‘the specificities of the obligation must be interpreted in context’</w:t>
      </w:r>
      <w:r w:rsidR="00493A06">
        <w:rPr>
          <w:rFonts w:ascii="Times New Roman" w:hAnsi="Times New Roman" w:cs="Times New Roman"/>
          <w:color w:val="000000" w:themeColor="text1"/>
          <w:sz w:val="24"/>
          <w:szCs w:val="24"/>
        </w:rPr>
        <w:t>.</w:t>
      </w:r>
      <w:r w:rsidR="00D17493" w:rsidRPr="00490DD1">
        <w:rPr>
          <w:rStyle w:val="FootnoteReference"/>
          <w:rFonts w:ascii="Times New Roman" w:hAnsi="Times New Roman" w:cs="Times New Roman"/>
          <w:color w:val="000000" w:themeColor="text1"/>
          <w:sz w:val="24"/>
          <w:szCs w:val="24"/>
        </w:rPr>
        <w:footnoteReference w:id="174"/>
      </w:r>
      <w:r w:rsidR="00AA152A" w:rsidRPr="00AA152A">
        <w:rPr>
          <w:rFonts w:ascii="Times New Roman" w:hAnsi="Times New Roman" w:cs="Times New Roman"/>
          <w:color w:val="000000" w:themeColor="text1"/>
          <w:sz w:val="24"/>
          <w:szCs w:val="24"/>
        </w:rPr>
        <w:t xml:space="preserve"> </w:t>
      </w:r>
    </w:p>
    <w:p w14:paraId="74827E2A" w14:textId="77777777" w:rsidR="004D7AA6" w:rsidRPr="00490DD1" w:rsidRDefault="004D7AA6" w:rsidP="004D7AA6">
      <w:pPr>
        <w:spacing w:after="0" w:line="360" w:lineRule="auto"/>
        <w:rPr>
          <w:rFonts w:ascii="Times New Roman" w:hAnsi="Times New Roman" w:cs="Times New Roman"/>
          <w:color w:val="000000" w:themeColor="text1"/>
          <w:sz w:val="24"/>
          <w:szCs w:val="24"/>
        </w:rPr>
      </w:pPr>
    </w:p>
    <w:p w14:paraId="53072A15" w14:textId="7A054568" w:rsidR="00D17493" w:rsidRPr="008241E7" w:rsidRDefault="0001563E" w:rsidP="00670537">
      <w:pPr>
        <w:spacing w:after="0" w:line="360" w:lineRule="auto"/>
        <w:rPr>
          <w:rFonts w:ascii="Times New Roman" w:hAnsi="Times New Roman" w:cs="Times New Roman"/>
          <w:b/>
          <w:caps/>
          <w:color w:val="000000" w:themeColor="text1"/>
          <w:sz w:val="24"/>
          <w:szCs w:val="24"/>
        </w:rPr>
      </w:pPr>
      <w:bookmarkStart w:id="14" w:name="_Toc492309189"/>
      <w:r w:rsidRPr="008241E7">
        <w:rPr>
          <w:rFonts w:ascii="Times New Roman" w:hAnsi="Times New Roman" w:cs="Times New Roman"/>
          <w:b/>
          <w:caps/>
          <w:color w:val="000000" w:themeColor="text1"/>
          <w:sz w:val="24"/>
          <w:szCs w:val="24"/>
        </w:rPr>
        <w:t>7</w:t>
      </w:r>
      <w:r w:rsidR="008241E7" w:rsidRPr="008241E7">
        <w:rPr>
          <w:rFonts w:ascii="Times New Roman" w:hAnsi="Times New Roman" w:cs="Times New Roman"/>
          <w:b/>
          <w:caps/>
          <w:color w:val="000000" w:themeColor="text1"/>
          <w:sz w:val="24"/>
          <w:szCs w:val="24"/>
        </w:rPr>
        <w:t>.</w:t>
      </w:r>
      <w:r w:rsidR="00E9188D" w:rsidRPr="008241E7">
        <w:rPr>
          <w:rFonts w:ascii="Times New Roman" w:hAnsi="Times New Roman" w:cs="Times New Roman"/>
          <w:b/>
          <w:caps/>
          <w:color w:val="000000" w:themeColor="text1"/>
          <w:sz w:val="24"/>
          <w:szCs w:val="24"/>
        </w:rPr>
        <w:t xml:space="preserve"> </w:t>
      </w:r>
      <w:r w:rsidR="00E129ED" w:rsidRPr="008241E7">
        <w:rPr>
          <w:rFonts w:ascii="Times New Roman" w:hAnsi="Times New Roman" w:cs="Times New Roman"/>
          <w:b/>
          <w:caps/>
          <w:color w:val="000000" w:themeColor="text1"/>
          <w:sz w:val="24"/>
          <w:szCs w:val="24"/>
        </w:rPr>
        <w:t>Conclusion</w:t>
      </w:r>
      <w:bookmarkEnd w:id="13"/>
      <w:bookmarkEnd w:id="14"/>
    </w:p>
    <w:p w14:paraId="593C78FC" w14:textId="43F3FE18" w:rsidR="003C48CE" w:rsidRDefault="00D17493" w:rsidP="00345B89">
      <w:pPr>
        <w:spacing w:after="0" w:line="360" w:lineRule="auto"/>
        <w:rPr>
          <w:rFonts w:ascii="Times New Roman" w:hAnsi="Times New Roman" w:cs="Times New Roman"/>
          <w:color w:val="000000" w:themeColor="text1"/>
          <w:sz w:val="24"/>
          <w:szCs w:val="24"/>
          <w:shd w:val="clear" w:color="auto" w:fill="FFFFFF"/>
        </w:rPr>
      </w:pPr>
      <w:r w:rsidRPr="00490DD1">
        <w:rPr>
          <w:rFonts w:ascii="Times New Roman" w:hAnsi="Times New Roman" w:cs="Times New Roman"/>
          <w:color w:val="000000" w:themeColor="text1"/>
          <w:sz w:val="24"/>
          <w:szCs w:val="24"/>
          <w:shd w:val="clear" w:color="auto" w:fill="FFFFFF"/>
        </w:rPr>
        <w:lastRenderedPageBreak/>
        <w:t>In earlier case-law, the Court stated that ‘[t]he armed forces of a country exist to protect the liberties valued by a democratic society, an</w:t>
      </w:r>
      <w:r w:rsidR="00252401" w:rsidRPr="00490DD1">
        <w:rPr>
          <w:rFonts w:ascii="Times New Roman" w:hAnsi="Times New Roman" w:cs="Times New Roman"/>
          <w:color w:val="000000" w:themeColor="text1"/>
          <w:sz w:val="24"/>
          <w:szCs w:val="24"/>
          <w:shd w:val="clear" w:color="auto" w:fill="FFFFFF"/>
        </w:rPr>
        <w:t>d so t</w:t>
      </w:r>
      <w:r w:rsidRPr="00490DD1">
        <w:rPr>
          <w:rFonts w:ascii="Times New Roman" w:hAnsi="Times New Roman" w:cs="Times New Roman"/>
          <w:color w:val="000000" w:themeColor="text1"/>
          <w:sz w:val="24"/>
          <w:szCs w:val="24"/>
          <w:shd w:val="clear" w:color="auto" w:fill="FFFFFF"/>
        </w:rPr>
        <w:t>he armed forces should not be allowed to march over, and cause substantial damage to such principles’</w:t>
      </w:r>
      <w:r w:rsidR="00493A06">
        <w:rPr>
          <w:rFonts w:ascii="Times New Roman" w:hAnsi="Times New Roman" w:cs="Times New Roman"/>
          <w:color w:val="000000" w:themeColor="text1"/>
          <w:sz w:val="24"/>
          <w:szCs w:val="24"/>
          <w:shd w:val="clear" w:color="auto" w:fill="FFFFFF"/>
        </w:rPr>
        <w:t>.</w:t>
      </w:r>
      <w:r w:rsidRPr="00490DD1">
        <w:rPr>
          <w:rStyle w:val="FootnoteReference"/>
          <w:rFonts w:ascii="Times New Roman" w:hAnsi="Times New Roman" w:cs="Times New Roman"/>
          <w:color w:val="000000" w:themeColor="text1"/>
          <w:sz w:val="24"/>
          <w:szCs w:val="24"/>
          <w:shd w:val="clear" w:color="auto" w:fill="FFFFFF"/>
        </w:rPr>
        <w:footnoteReference w:id="175"/>
      </w:r>
      <w:r w:rsidRPr="00490DD1">
        <w:rPr>
          <w:rFonts w:ascii="Times New Roman" w:hAnsi="Times New Roman" w:cs="Times New Roman"/>
          <w:color w:val="000000" w:themeColor="text1"/>
          <w:sz w:val="24"/>
          <w:szCs w:val="24"/>
          <w:shd w:val="clear" w:color="auto" w:fill="FFFFFF"/>
        </w:rPr>
        <w:t xml:space="preserve"> This article does not argue that the armed forces should be free of constraints when deployed in an extra-territorial context. </w:t>
      </w:r>
      <w:r w:rsidR="00C042ED" w:rsidRPr="00490DD1">
        <w:rPr>
          <w:rFonts w:ascii="Times New Roman" w:hAnsi="Times New Roman" w:cs="Times New Roman"/>
          <w:color w:val="000000" w:themeColor="text1"/>
          <w:sz w:val="24"/>
          <w:szCs w:val="24"/>
          <w:shd w:val="clear" w:color="auto" w:fill="FFFFFF"/>
        </w:rPr>
        <w:t>The role of the Court is ‘to challenge bad faith and a lack of political will, which poses an obstacle to adherence to Convention rights’</w:t>
      </w:r>
      <w:r w:rsidR="00493A06">
        <w:rPr>
          <w:rFonts w:ascii="Times New Roman" w:hAnsi="Times New Roman" w:cs="Times New Roman"/>
          <w:color w:val="000000" w:themeColor="text1"/>
          <w:sz w:val="24"/>
          <w:szCs w:val="24"/>
          <w:shd w:val="clear" w:color="auto" w:fill="FFFFFF"/>
        </w:rPr>
        <w:t>.</w:t>
      </w:r>
      <w:r w:rsidR="00C042ED" w:rsidRPr="00490DD1">
        <w:rPr>
          <w:rStyle w:val="FootnoteReference"/>
          <w:rFonts w:ascii="Times New Roman" w:hAnsi="Times New Roman" w:cs="Times New Roman"/>
          <w:color w:val="000000" w:themeColor="text1"/>
          <w:sz w:val="24"/>
          <w:szCs w:val="24"/>
          <w:shd w:val="clear" w:color="auto" w:fill="FFFFFF"/>
        </w:rPr>
        <w:footnoteReference w:id="176"/>
      </w:r>
      <w:r w:rsidR="003C48CE">
        <w:rPr>
          <w:rFonts w:ascii="Times New Roman" w:hAnsi="Times New Roman" w:cs="Times New Roman"/>
          <w:color w:val="000000" w:themeColor="text1"/>
          <w:sz w:val="24"/>
          <w:szCs w:val="24"/>
          <w:shd w:val="clear" w:color="auto" w:fill="FFFFFF"/>
        </w:rPr>
        <w:t xml:space="preserve"> </w:t>
      </w:r>
    </w:p>
    <w:p w14:paraId="16E22BB8" w14:textId="28EBF576" w:rsidR="00F4675E" w:rsidRDefault="003C48CE" w:rsidP="002D1343">
      <w:pPr>
        <w:spacing w:after="0" w:line="36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Undoubtedly the principles should remain valid in the Court’s assessment of State compliance with Article 2 ECHR. </w:t>
      </w:r>
      <w:r w:rsidR="00C042ED" w:rsidRPr="00490DD1">
        <w:rPr>
          <w:rFonts w:ascii="Times New Roman" w:hAnsi="Times New Roman" w:cs="Times New Roman"/>
          <w:color w:val="000000" w:themeColor="text1"/>
          <w:sz w:val="24"/>
          <w:szCs w:val="24"/>
          <w:shd w:val="clear" w:color="auto" w:fill="FFFFFF"/>
        </w:rPr>
        <w:t>Yet, i</w:t>
      </w:r>
      <w:r w:rsidR="00D17493" w:rsidRPr="00490DD1">
        <w:rPr>
          <w:rFonts w:ascii="Times New Roman" w:hAnsi="Times New Roman" w:cs="Times New Roman"/>
          <w:color w:val="000000" w:themeColor="text1"/>
          <w:sz w:val="24"/>
          <w:szCs w:val="24"/>
          <w:shd w:val="clear" w:color="auto" w:fill="FFFFFF"/>
        </w:rPr>
        <w:t xml:space="preserve">nvestigations must be carried out if practically feasible. Complying with each principle and each element within the principles is </w:t>
      </w:r>
      <w:r w:rsidR="00C042ED" w:rsidRPr="00490DD1">
        <w:rPr>
          <w:rFonts w:ascii="Times New Roman" w:hAnsi="Times New Roman" w:cs="Times New Roman"/>
          <w:color w:val="000000" w:themeColor="text1"/>
          <w:sz w:val="24"/>
          <w:szCs w:val="24"/>
          <w:shd w:val="clear" w:color="auto" w:fill="FFFFFF"/>
        </w:rPr>
        <w:t>sometimes</w:t>
      </w:r>
      <w:r w:rsidR="00BF5D31" w:rsidRPr="00490DD1">
        <w:rPr>
          <w:rFonts w:ascii="Times New Roman" w:hAnsi="Times New Roman" w:cs="Times New Roman"/>
          <w:color w:val="000000" w:themeColor="text1"/>
          <w:sz w:val="24"/>
          <w:szCs w:val="24"/>
          <w:shd w:val="clear" w:color="auto" w:fill="FFFFFF"/>
        </w:rPr>
        <w:t xml:space="preserve"> </w:t>
      </w:r>
      <w:r w:rsidR="00C92D48" w:rsidRPr="00490DD1">
        <w:rPr>
          <w:rFonts w:ascii="Times New Roman" w:hAnsi="Times New Roman" w:cs="Times New Roman"/>
          <w:color w:val="000000" w:themeColor="text1"/>
          <w:sz w:val="24"/>
          <w:szCs w:val="24"/>
          <w:shd w:val="clear" w:color="auto" w:fill="FFFFFF"/>
        </w:rPr>
        <w:t xml:space="preserve">difficult, though not </w:t>
      </w:r>
      <w:r w:rsidR="00C042ED" w:rsidRPr="00490DD1">
        <w:rPr>
          <w:rFonts w:ascii="Times New Roman" w:hAnsi="Times New Roman" w:cs="Times New Roman"/>
          <w:color w:val="000000" w:themeColor="text1"/>
          <w:sz w:val="24"/>
          <w:szCs w:val="24"/>
          <w:shd w:val="clear" w:color="auto" w:fill="FFFFFF"/>
        </w:rPr>
        <w:t xml:space="preserve">always </w:t>
      </w:r>
      <w:r w:rsidR="00AF2DCD" w:rsidRPr="00490DD1">
        <w:rPr>
          <w:rFonts w:ascii="Times New Roman" w:hAnsi="Times New Roman" w:cs="Times New Roman"/>
          <w:color w:val="000000" w:themeColor="text1"/>
          <w:sz w:val="24"/>
          <w:szCs w:val="24"/>
          <w:shd w:val="clear" w:color="auto" w:fill="FFFFFF"/>
        </w:rPr>
        <w:t>‘</w:t>
      </w:r>
      <w:r w:rsidR="00C92D48" w:rsidRPr="00490DD1">
        <w:rPr>
          <w:rFonts w:ascii="Times New Roman" w:hAnsi="Times New Roman" w:cs="Times New Roman"/>
          <w:color w:val="000000" w:themeColor="text1"/>
          <w:sz w:val="24"/>
          <w:szCs w:val="24"/>
          <w:shd w:val="clear" w:color="auto" w:fill="FFFFFF"/>
        </w:rPr>
        <w:t>mission impossible</w:t>
      </w:r>
      <w:r w:rsidR="00AF2DCD" w:rsidRPr="00490DD1">
        <w:rPr>
          <w:rFonts w:ascii="Times New Roman" w:hAnsi="Times New Roman" w:cs="Times New Roman"/>
          <w:color w:val="000000" w:themeColor="text1"/>
          <w:sz w:val="24"/>
          <w:szCs w:val="24"/>
          <w:shd w:val="clear" w:color="auto" w:fill="FFFFFF"/>
        </w:rPr>
        <w:t>’</w:t>
      </w:r>
      <w:r w:rsidR="00C92D48" w:rsidRPr="00490DD1">
        <w:rPr>
          <w:rFonts w:ascii="Times New Roman" w:hAnsi="Times New Roman" w:cs="Times New Roman"/>
          <w:color w:val="000000" w:themeColor="text1"/>
          <w:sz w:val="24"/>
          <w:szCs w:val="24"/>
          <w:shd w:val="clear" w:color="auto" w:fill="FFFFFF"/>
        </w:rPr>
        <w:t>, f</w:t>
      </w:r>
      <w:r w:rsidR="00D17493" w:rsidRPr="00490DD1">
        <w:rPr>
          <w:rFonts w:ascii="Times New Roman" w:hAnsi="Times New Roman" w:cs="Times New Roman"/>
          <w:color w:val="000000" w:themeColor="text1"/>
          <w:sz w:val="24"/>
          <w:szCs w:val="24"/>
          <w:shd w:val="clear" w:color="auto" w:fill="FFFFFF"/>
        </w:rPr>
        <w:t xml:space="preserve">or armed forces deployed abroad. </w:t>
      </w:r>
      <w:r w:rsidR="00B74E94">
        <w:rPr>
          <w:rFonts w:ascii="Times New Roman" w:hAnsi="Times New Roman" w:cs="Times New Roman"/>
          <w:color w:val="000000" w:themeColor="text1"/>
          <w:sz w:val="24"/>
          <w:szCs w:val="24"/>
        </w:rPr>
        <w:t xml:space="preserve">The Court has certainly demonstrated flexibility </w:t>
      </w:r>
      <w:proofErr w:type="gramStart"/>
      <w:r w:rsidR="00B74E94">
        <w:rPr>
          <w:rFonts w:ascii="Times New Roman" w:hAnsi="Times New Roman" w:cs="Times New Roman"/>
          <w:color w:val="000000" w:themeColor="text1"/>
          <w:sz w:val="24"/>
          <w:szCs w:val="24"/>
        </w:rPr>
        <w:t>with regard to</w:t>
      </w:r>
      <w:proofErr w:type="gramEnd"/>
      <w:r w:rsidR="00B74E94">
        <w:rPr>
          <w:rFonts w:ascii="Times New Roman" w:hAnsi="Times New Roman" w:cs="Times New Roman"/>
          <w:color w:val="000000" w:themeColor="text1"/>
          <w:sz w:val="24"/>
          <w:szCs w:val="24"/>
        </w:rPr>
        <w:t xml:space="preserve"> some principles such as that of promptness, independence and public scrutiny. Where however the Court </w:t>
      </w:r>
      <w:r w:rsidR="00A039C6">
        <w:rPr>
          <w:rFonts w:ascii="Times New Roman" w:hAnsi="Times New Roman" w:cs="Times New Roman"/>
          <w:color w:val="000000" w:themeColor="text1"/>
          <w:sz w:val="24"/>
          <w:szCs w:val="24"/>
        </w:rPr>
        <w:t>has</w:t>
      </w:r>
      <w:r w:rsidR="00B74E94">
        <w:rPr>
          <w:rFonts w:ascii="Times New Roman" w:hAnsi="Times New Roman" w:cs="Times New Roman"/>
          <w:color w:val="000000" w:themeColor="text1"/>
          <w:sz w:val="24"/>
          <w:szCs w:val="24"/>
        </w:rPr>
        <w:t xml:space="preserve"> been more intransigent and </w:t>
      </w:r>
      <w:r w:rsidR="00A039C6">
        <w:rPr>
          <w:rFonts w:ascii="Times New Roman" w:hAnsi="Times New Roman" w:cs="Times New Roman"/>
          <w:color w:val="000000" w:themeColor="text1"/>
          <w:sz w:val="24"/>
          <w:szCs w:val="24"/>
        </w:rPr>
        <w:t>shown</w:t>
      </w:r>
      <w:r w:rsidR="001B5850">
        <w:rPr>
          <w:rFonts w:ascii="Times New Roman" w:hAnsi="Times New Roman" w:cs="Times New Roman"/>
          <w:color w:val="000000" w:themeColor="text1"/>
          <w:sz w:val="24"/>
          <w:szCs w:val="24"/>
        </w:rPr>
        <w:t xml:space="preserve"> less </w:t>
      </w:r>
      <w:r w:rsidR="00B74E94">
        <w:rPr>
          <w:rFonts w:ascii="Times New Roman" w:hAnsi="Times New Roman" w:cs="Times New Roman"/>
          <w:color w:val="000000" w:themeColor="text1"/>
          <w:sz w:val="24"/>
          <w:szCs w:val="24"/>
        </w:rPr>
        <w:t xml:space="preserve">understanding for the situation on the ground relates to the principle of effectiveness. This might be explained by the fact that this principle </w:t>
      </w:r>
      <w:r w:rsidR="001B5850">
        <w:rPr>
          <w:rFonts w:ascii="Times New Roman" w:hAnsi="Times New Roman" w:cs="Times New Roman"/>
          <w:color w:val="000000" w:themeColor="text1"/>
          <w:sz w:val="24"/>
          <w:szCs w:val="24"/>
        </w:rPr>
        <w:t>is often</w:t>
      </w:r>
      <w:r w:rsidR="00B74E94">
        <w:rPr>
          <w:rFonts w:ascii="Times New Roman" w:hAnsi="Times New Roman" w:cs="Times New Roman"/>
          <w:color w:val="000000" w:themeColor="text1"/>
          <w:sz w:val="24"/>
          <w:szCs w:val="24"/>
        </w:rPr>
        <w:t xml:space="preserve"> viewed as the most fundamental</w:t>
      </w:r>
      <w:r w:rsidR="00520D83">
        <w:rPr>
          <w:rFonts w:ascii="Times New Roman" w:hAnsi="Times New Roman" w:cs="Times New Roman"/>
          <w:color w:val="000000" w:themeColor="text1"/>
          <w:sz w:val="24"/>
          <w:szCs w:val="24"/>
        </w:rPr>
        <w:t xml:space="preserve"> one</w:t>
      </w:r>
      <w:r w:rsidR="00B74E94">
        <w:rPr>
          <w:rFonts w:ascii="Times New Roman" w:hAnsi="Times New Roman" w:cs="Times New Roman"/>
          <w:color w:val="000000" w:themeColor="text1"/>
          <w:sz w:val="24"/>
          <w:szCs w:val="24"/>
        </w:rPr>
        <w:t xml:space="preserve">. </w:t>
      </w:r>
      <w:r w:rsidR="001B5850">
        <w:rPr>
          <w:rFonts w:ascii="Times New Roman" w:hAnsi="Times New Roman" w:cs="Times New Roman"/>
          <w:color w:val="000000" w:themeColor="text1"/>
          <w:sz w:val="24"/>
          <w:szCs w:val="24"/>
        </w:rPr>
        <w:t>To some extent,</w:t>
      </w:r>
      <w:r w:rsidR="00B74E94">
        <w:rPr>
          <w:rFonts w:ascii="Times New Roman" w:hAnsi="Times New Roman" w:cs="Times New Roman"/>
          <w:color w:val="000000" w:themeColor="text1"/>
          <w:sz w:val="24"/>
          <w:szCs w:val="24"/>
        </w:rPr>
        <w:t xml:space="preserve"> it can be consider</w:t>
      </w:r>
      <w:r w:rsidR="001B5850">
        <w:rPr>
          <w:rFonts w:ascii="Times New Roman" w:hAnsi="Times New Roman" w:cs="Times New Roman"/>
          <w:color w:val="000000" w:themeColor="text1"/>
          <w:sz w:val="24"/>
          <w:szCs w:val="24"/>
        </w:rPr>
        <w:t>ed as the overarching principle in as much as</w:t>
      </w:r>
      <w:r w:rsidR="00B74E94">
        <w:rPr>
          <w:rFonts w:ascii="Times New Roman" w:hAnsi="Times New Roman" w:cs="Times New Roman"/>
          <w:color w:val="000000" w:themeColor="text1"/>
          <w:sz w:val="24"/>
          <w:szCs w:val="24"/>
        </w:rPr>
        <w:t xml:space="preserve"> promptness, independence and public scrutiny </w:t>
      </w:r>
      <w:r w:rsidR="005A47D3">
        <w:rPr>
          <w:rFonts w:ascii="Times New Roman" w:hAnsi="Times New Roman" w:cs="Times New Roman"/>
          <w:color w:val="000000" w:themeColor="text1"/>
          <w:sz w:val="24"/>
          <w:szCs w:val="24"/>
        </w:rPr>
        <w:t>contribute to</w:t>
      </w:r>
      <w:r w:rsidR="001B5850">
        <w:rPr>
          <w:rFonts w:ascii="Times New Roman" w:hAnsi="Times New Roman" w:cs="Times New Roman"/>
          <w:color w:val="000000" w:themeColor="text1"/>
          <w:sz w:val="24"/>
          <w:szCs w:val="24"/>
        </w:rPr>
        <w:t xml:space="preserve"> </w:t>
      </w:r>
      <w:r w:rsidR="005A47D3">
        <w:rPr>
          <w:rFonts w:ascii="Times New Roman" w:hAnsi="Times New Roman" w:cs="Times New Roman"/>
          <w:color w:val="000000" w:themeColor="text1"/>
          <w:sz w:val="24"/>
          <w:szCs w:val="24"/>
        </w:rPr>
        <w:t xml:space="preserve">and ensure </w:t>
      </w:r>
      <w:r w:rsidR="001B5850">
        <w:rPr>
          <w:rFonts w:ascii="Times New Roman" w:hAnsi="Times New Roman" w:cs="Times New Roman"/>
          <w:color w:val="000000" w:themeColor="text1"/>
          <w:sz w:val="24"/>
          <w:szCs w:val="24"/>
        </w:rPr>
        <w:t>an effective</w:t>
      </w:r>
      <w:r w:rsidR="00B74E94">
        <w:rPr>
          <w:rFonts w:ascii="Times New Roman" w:hAnsi="Times New Roman" w:cs="Times New Roman"/>
          <w:color w:val="000000" w:themeColor="text1"/>
          <w:sz w:val="24"/>
          <w:szCs w:val="24"/>
        </w:rPr>
        <w:t xml:space="preserve"> investigation. Moreover, </w:t>
      </w:r>
      <w:r w:rsidR="00520D83">
        <w:rPr>
          <w:rFonts w:ascii="Times New Roman" w:hAnsi="Times New Roman" w:cs="Times New Roman"/>
          <w:color w:val="000000" w:themeColor="text1"/>
          <w:sz w:val="24"/>
          <w:szCs w:val="24"/>
        </w:rPr>
        <w:t>as ‘the essential purpose of such an investigation is […] in those cases involving State agents or bodies to ensure their accountability for deaths occurring under their responsibility’</w:t>
      </w:r>
      <w:r w:rsidR="00520D83">
        <w:rPr>
          <w:rStyle w:val="FootnoteReference"/>
          <w:rFonts w:ascii="Times New Roman" w:hAnsi="Times New Roman" w:cs="Times New Roman"/>
          <w:color w:val="000000" w:themeColor="text1"/>
          <w:sz w:val="24"/>
          <w:szCs w:val="24"/>
        </w:rPr>
        <w:footnoteReference w:id="177"/>
      </w:r>
      <w:r w:rsidR="00520D83">
        <w:rPr>
          <w:rFonts w:ascii="Times New Roman" w:hAnsi="Times New Roman" w:cs="Times New Roman"/>
          <w:color w:val="000000" w:themeColor="text1"/>
          <w:sz w:val="24"/>
          <w:szCs w:val="24"/>
        </w:rPr>
        <w:t xml:space="preserve"> </w:t>
      </w:r>
      <w:r w:rsidR="00B74E94">
        <w:rPr>
          <w:rFonts w:ascii="Times New Roman" w:hAnsi="Times New Roman" w:cs="Times New Roman"/>
          <w:color w:val="000000" w:themeColor="text1"/>
          <w:sz w:val="24"/>
          <w:szCs w:val="24"/>
        </w:rPr>
        <w:t xml:space="preserve">only an </w:t>
      </w:r>
      <w:r w:rsidR="00B74E94" w:rsidRPr="00520D83">
        <w:rPr>
          <w:rFonts w:ascii="Times New Roman" w:hAnsi="Times New Roman" w:cs="Times New Roman"/>
          <w:i/>
          <w:color w:val="000000" w:themeColor="text1"/>
          <w:sz w:val="24"/>
          <w:szCs w:val="24"/>
        </w:rPr>
        <w:t>effective</w:t>
      </w:r>
      <w:r w:rsidR="00B74E94">
        <w:rPr>
          <w:rFonts w:ascii="Times New Roman" w:hAnsi="Times New Roman" w:cs="Times New Roman"/>
          <w:color w:val="000000" w:themeColor="text1"/>
          <w:sz w:val="24"/>
          <w:szCs w:val="24"/>
        </w:rPr>
        <w:t xml:space="preserve"> investigation </w:t>
      </w:r>
      <w:r w:rsidR="005A47D3">
        <w:rPr>
          <w:rFonts w:ascii="Times New Roman" w:hAnsi="Times New Roman" w:cs="Times New Roman"/>
          <w:color w:val="000000" w:themeColor="text1"/>
          <w:sz w:val="24"/>
          <w:szCs w:val="24"/>
        </w:rPr>
        <w:t xml:space="preserve">can clarify the circumstances leading to the death of an individual </w:t>
      </w:r>
      <w:r w:rsidR="00520D83">
        <w:rPr>
          <w:rFonts w:ascii="Times New Roman" w:hAnsi="Times New Roman" w:cs="Times New Roman"/>
          <w:color w:val="000000" w:themeColor="text1"/>
          <w:sz w:val="24"/>
          <w:szCs w:val="24"/>
        </w:rPr>
        <w:t xml:space="preserve">(and thus determine whether the force used was lawful) </w:t>
      </w:r>
      <w:r w:rsidR="005A47D3">
        <w:rPr>
          <w:rFonts w:ascii="Times New Roman" w:hAnsi="Times New Roman" w:cs="Times New Roman"/>
          <w:color w:val="000000" w:themeColor="text1"/>
          <w:sz w:val="24"/>
          <w:szCs w:val="24"/>
        </w:rPr>
        <w:t>and</w:t>
      </w:r>
      <w:r w:rsidR="00407A89">
        <w:rPr>
          <w:rFonts w:ascii="Times New Roman" w:hAnsi="Times New Roman" w:cs="Times New Roman"/>
          <w:color w:val="000000" w:themeColor="text1"/>
          <w:sz w:val="24"/>
          <w:szCs w:val="24"/>
        </w:rPr>
        <w:t>, if appropriate,</w:t>
      </w:r>
      <w:r w:rsidR="005A47D3">
        <w:rPr>
          <w:rFonts w:ascii="Times New Roman" w:hAnsi="Times New Roman" w:cs="Times New Roman"/>
          <w:color w:val="000000" w:themeColor="text1"/>
          <w:sz w:val="24"/>
          <w:szCs w:val="24"/>
        </w:rPr>
        <w:t xml:space="preserve"> identify</w:t>
      </w:r>
      <w:r w:rsidR="00B74E94">
        <w:rPr>
          <w:rFonts w:ascii="Times New Roman" w:hAnsi="Times New Roman" w:cs="Times New Roman"/>
          <w:color w:val="000000" w:themeColor="text1"/>
          <w:sz w:val="24"/>
          <w:szCs w:val="24"/>
        </w:rPr>
        <w:t xml:space="preserve"> the </w:t>
      </w:r>
      <w:r w:rsidR="005A47D3">
        <w:rPr>
          <w:rFonts w:ascii="Times New Roman" w:hAnsi="Times New Roman" w:cs="Times New Roman"/>
          <w:color w:val="000000" w:themeColor="text1"/>
          <w:sz w:val="24"/>
          <w:szCs w:val="24"/>
        </w:rPr>
        <w:t xml:space="preserve">alleged </w:t>
      </w:r>
      <w:r w:rsidR="00B74E94">
        <w:rPr>
          <w:rFonts w:ascii="Times New Roman" w:hAnsi="Times New Roman" w:cs="Times New Roman"/>
          <w:color w:val="000000" w:themeColor="text1"/>
          <w:sz w:val="24"/>
          <w:szCs w:val="24"/>
        </w:rPr>
        <w:t>perpetrators.</w:t>
      </w:r>
      <w:r w:rsidR="005A47D3">
        <w:rPr>
          <w:rFonts w:ascii="Times New Roman" w:hAnsi="Times New Roman" w:cs="Times New Roman"/>
          <w:color w:val="000000" w:themeColor="text1"/>
          <w:sz w:val="24"/>
          <w:szCs w:val="24"/>
        </w:rPr>
        <w:t xml:space="preserve"> </w:t>
      </w:r>
      <w:r w:rsidR="00407A89">
        <w:rPr>
          <w:rFonts w:ascii="Times New Roman" w:hAnsi="Times New Roman" w:cs="Times New Roman"/>
          <w:color w:val="000000" w:themeColor="text1"/>
          <w:sz w:val="24"/>
          <w:szCs w:val="24"/>
        </w:rPr>
        <w:t>As a result</w:t>
      </w:r>
      <w:r w:rsidR="00615026">
        <w:rPr>
          <w:rFonts w:ascii="Times New Roman" w:hAnsi="Times New Roman" w:cs="Times New Roman"/>
          <w:color w:val="000000" w:themeColor="text1"/>
          <w:sz w:val="24"/>
          <w:szCs w:val="24"/>
        </w:rPr>
        <w:t>,</w:t>
      </w:r>
      <w:r w:rsidR="00407A89">
        <w:rPr>
          <w:rFonts w:ascii="Times New Roman" w:hAnsi="Times New Roman" w:cs="Times New Roman"/>
          <w:color w:val="000000" w:themeColor="text1"/>
          <w:sz w:val="24"/>
          <w:szCs w:val="24"/>
        </w:rPr>
        <w:t xml:space="preserve"> it seems that the Court has considered the fulfilment of some principles such as that of effectiveness and elements thereof (</w:t>
      </w:r>
      <w:r w:rsidR="00493A06">
        <w:rPr>
          <w:rFonts w:ascii="Times New Roman" w:hAnsi="Times New Roman" w:cs="Times New Roman"/>
          <w:color w:val="000000" w:themeColor="text1"/>
          <w:sz w:val="24"/>
          <w:szCs w:val="24"/>
        </w:rPr>
        <w:t xml:space="preserve">for </w:t>
      </w:r>
      <w:r w:rsidR="00493A06">
        <w:rPr>
          <w:rFonts w:ascii="Times New Roman" w:hAnsi="Times New Roman" w:cs="Times New Roman"/>
          <w:color w:val="000000" w:themeColor="text1"/>
          <w:sz w:val="24"/>
          <w:szCs w:val="24"/>
        </w:rPr>
        <w:lastRenderedPageBreak/>
        <w:t>example, an</w:t>
      </w:r>
      <w:r w:rsidR="00407A89">
        <w:rPr>
          <w:rFonts w:ascii="Times New Roman" w:hAnsi="Times New Roman" w:cs="Times New Roman"/>
          <w:color w:val="000000" w:themeColor="text1"/>
          <w:sz w:val="24"/>
          <w:szCs w:val="24"/>
        </w:rPr>
        <w:t xml:space="preserve"> adequate autopsy) more important than others and so shown less flexibility in their application</w:t>
      </w:r>
      <w:r w:rsidR="00A039C6">
        <w:rPr>
          <w:rFonts w:ascii="Times New Roman" w:hAnsi="Times New Roman" w:cs="Times New Roman"/>
          <w:color w:val="000000" w:themeColor="text1"/>
          <w:sz w:val="24"/>
          <w:szCs w:val="24"/>
        </w:rPr>
        <w:t xml:space="preserve"> in situations of (armed) violence in an extra-territorial context</w:t>
      </w:r>
      <w:r w:rsidR="00407A89">
        <w:rPr>
          <w:rFonts w:ascii="Times New Roman" w:hAnsi="Times New Roman" w:cs="Times New Roman"/>
          <w:color w:val="000000" w:themeColor="text1"/>
          <w:sz w:val="24"/>
          <w:szCs w:val="24"/>
        </w:rPr>
        <w:t>.</w:t>
      </w:r>
    </w:p>
    <w:p w14:paraId="66D79F7B" w14:textId="3DF8EFC7" w:rsidR="00C042ED" w:rsidRDefault="00B96ACE" w:rsidP="002D1343">
      <w:pPr>
        <w:spacing w:after="0" w:line="36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w:t>
      </w:r>
      <w:r w:rsidR="00621D1E">
        <w:rPr>
          <w:rFonts w:ascii="Times New Roman" w:hAnsi="Times New Roman" w:cs="Times New Roman"/>
          <w:color w:val="000000" w:themeColor="text1"/>
          <w:sz w:val="24"/>
          <w:szCs w:val="24"/>
          <w:shd w:val="clear" w:color="auto" w:fill="FFFFFF"/>
        </w:rPr>
        <w:t>p</w:t>
      </w:r>
      <w:r w:rsidR="00807343" w:rsidRPr="00490DD1">
        <w:rPr>
          <w:rFonts w:ascii="Times New Roman" w:hAnsi="Times New Roman" w:cs="Times New Roman"/>
          <w:color w:val="000000" w:themeColor="text1"/>
          <w:sz w:val="24"/>
          <w:szCs w:val="24"/>
          <w:shd w:val="clear" w:color="auto" w:fill="FFFFFF"/>
        </w:rPr>
        <w:t>otential</w:t>
      </w:r>
      <w:r w:rsidR="00D17493" w:rsidRPr="00490DD1">
        <w:rPr>
          <w:rFonts w:ascii="Times New Roman" w:hAnsi="Times New Roman" w:cs="Times New Roman"/>
          <w:color w:val="000000" w:themeColor="text1"/>
          <w:sz w:val="24"/>
          <w:szCs w:val="24"/>
          <w:shd w:val="clear" w:color="auto" w:fill="FFFFFF"/>
        </w:rPr>
        <w:t xml:space="preserve"> imposition of detailed requirements </w:t>
      </w:r>
      <w:r w:rsidR="00807343" w:rsidRPr="00490DD1">
        <w:rPr>
          <w:rFonts w:ascii="Times New Roman" w:hAnsi="Times New Roman" w:cs="Times New Roman"/>
          <w:color w:val="000000" w:themeColor="text1"/>
          <w:sz w:val="24"/>
          <w:szCs w:val="24"/>
          <w:shd w:val="clear" w:color="auto" w:fill="FFFFFF"/>
        </w:rPr>
        <w:t xml:space="preserve">to all military operations, including those abroad, </w:t>
      </w:r>
      <w:r w:rsidR="00D17493" w:rsidRPr="00490DD1">
        <w:rPr>
          <w:rFonts w:ascii="Times New Roman" w:hAnsi="Times New Roman" w:cs="Times New Roman"/>
          <w:color w:val="000000" w:themeColor="text1"/>
          <w:sz w:val="24"/>
          <w:szCs w:val="24"/>
          <w:shd w:val="clear" w:color="auto" w:fill="FFFFFF"/>
        </w:rPr>
        <w:t>and the Court’s lack of situational awareness</w:t>
      </w:r>
      <w:r w:rsidR="00C92D48" w:rsidRPr="00490DD1">
        <w:rPr>
          <w:rFonts w:ascii="Times New Roman" w:hAnsi="Times New Roman" w:cs="Times New Roman"/>
          <w:color w:val="000000" w:themeColor="text1"/>
          <w:sz w:val="24"/>
          <w:szCs w:val="24"/>
          <w:shd w:val="clear" w:color="auto" w:fill="FFFFFF"/>
        </w:rPr>
        <w:t xml:space="preserve"> when applying the law</w:t>
      </w:r>
      <w:r w:rsidR="00D17493" w:rsidRPr="00490DD1">
        <w:rPr>
          <w:rFonts w:ascii="Times New Roman" w:hAnsi="Times New Roman" w:cs="Times New Roman"/>
          <w:color w:val="000000" w:themeColor="text1"/>
          <w:sz w:val="24"/>
          <w:szCs w:val="24"/>
          <w:shd w:val="clear" w:color="auto" w:fill="FFFFFF"/>
        </w:rPr>
        <w:t xml:space="preserve"> has led States whose armed forces are involved abroad to beg the Court to interpret the law in such a way that it does not ‘place an impossible or disproportionate burden on a Contracting State’</w:t>
      </w:r>
      <w:r w:rsidR="00615026">
        <w:rPr>
          <w:rFonts w:ascii="Times New Roman" w:hAnsi="Times New Roman" w:cs="Times New Roman"/>
          <w:color w:val="000000" w:themeColor="text1"/>
          <w:sz w:val="24"/>
          <w:szCs w:val="24"/>
          <w:shd w:val="clear" w:color="auto" w:fill="FFFFFF"/>
        </w:rPr>
        <w:t>.</w:t>
      </w:r>
      <w:r w:rsidR="00D17493" w:rsidRPr="00490DD1">
        <w:rPr>
          <w:rStyle w:val="FootnoteReference"/>
          <w:rFonts w:ascii="Times New Roman" w:hAnsi="Times New Roman" w:cs="Times New Roman"/>
          <w:color w:val="000000" w:themeColor="text1"/>
          <w:sz w:val="24"/>
          <w:szCs w:val="24"/>
          <w:shd w:val="clear" w:color="auto" w:fill="FFFFFF"/>
        </w:rPr>
        <w:footnoteReference w:id="178"/>
      </w:r>
      <w:r w:rsidR="00D17493" w:rsidRPr="00490DD1">
        <w:rPr>
          <w:rFonts w:ascii="Times New Roman" w:hAnsi="Times New Roman" w:cs="Times New Roman"/>
          <w:color w:val="000000" w:themeColor="text1"/>
          <w:sz w:val="24"/>
          <w:szCs w:val="24"/>
          <w:shd w:val="clear" w:color="auto" w:fill="FFFFFF"/>
        </w:rPr>
        <w:t xml:space="preserve"> It is a remarkable pleading</w:t>
      </w:r>
      <w:r w:rsidR="00AF2DCD" w:rsidRPr="00490DD1">
        <w:rPr>
          <w:rFonts w:ascii="Times New Roman" w:hAnsi="Times New Roman" w:cs="Times New Roman"/>
          <w:color w:val="000000" w:themeColor="text1"/>
          <w:sz w:val="24"/>
          <w:szCs w:val="24"/>
          <w:shd w:val="clear" w:color="auto" w:fill="FFFFFF"/>
        </w:rPr>
        <w:t>,</w:t>
      </w:r>
      <w:r w:rsidR="00D17493" w:rsidRPr="00490DD1">
        <w:rPr>
          <w:rFonts w:ascii="Times New Roman" w:hAnsi="Times New Roman" w:cs="Times New Roman"/>
          <w:color w:val="000000" w:themeColor="text1"/>
          <w:sz w:val="24"/>
          <w:szCs w:val="24"/>
          <w:shd w:val="clear" w:color="auto" w:fill="FFFFFF"/>
        </w:rPr>
        <w:t xml:space="preserve"> bearing in mind that</w:t>
      </w:r>
      <w:r w:rsidR="00AF2DCD" w:rsidRPr="00490DD1">
        <w:rPr>
          <w:rFonts w:ascii="Times New Roman" w:hAnsi="Times New Roman" w:cs="Times New Roman"/>
          <w:color w:val="000000" w:themeColor="text1"/>
          <w:sz w:val="24"/>
          <w:szCs w:val="24"/>
          <w:shd w:val="clear" w:color="auto" w:fill="FFFFFF"/>
        </w:rPr>
        <w:t>,</w:t>
      </w:r>
      <w:r w:rsidR="00D17493" w:rsidRPr="00490DD1">
        <w:rPr>
          <w:rFonts w:ascii="Times New Roman" w:hAnsi="Times New Roman" w:cs="Times New Roman"/>
          <w:color w:val="000000" w:themeColor="text1"/>
          <w:sz w:val="24"/>
          <w:szCs w:val="24"/>
          <w:shd w:val="clear" w:color="auto" w:fill="FFFFFF"/>
        </w:rPr>
        <w:t xml:space="preserve"> in early cases on investigations under Article 2 ECHR</w:t>
      </w:r>
      <w:r w:rsidR="00AF2DCD" w:rsidRPr="00490DD1">
        <w:rPr>
          <w:rFonts w:ascii="Times New Roman" w:hAnsi="Times New Roman" w:cs="Times New Roman"/>
          <w:color w:val="000000" w:themeColor="text1"/>
          <w:sz w:val="24"/>
          <w:szCs w:val="24"/>
          <w:shd w:val="clear" w:color="auto" w:fill="FFFFFF"/>
        </w:rPr>
        <w:t>,</w:t>
      </w:r>
      <w:r w:rsidR="00D17493" w:rsidRPr="00490DD1">
        <w:rPr>
          <w:rFonts w:ascii="Times New Roman" w:hAnsi="Times New Roman" w:cs="Times New Roman"/>
          <w:color w:val="000000" w:themeColor="text1"/>
          <w:sz w:val="24"/>
          <w:szCs w:val="24"/>
          <w:shd w:val="clear" w:color="auto" w:fill="FFFFFF"/>
        </w:rPr>
        <w:t xml:space="preserve"> the Court had acknowledged </w:t>
      </w:r>
      <w:r w:rsidR="00D17493" w:rsidRPr="00490DD1">
        <w:rPr>
          <w:rFonts w:ascii="Times New Roman" w:hAnsi="Times New Roman" w:cs="Times New Roman"/>
          <w:color w:val="000000" w:themeColor="text1"/>
          <w:sz w:val="24"/>
          <w:szCs w:val="24"/>
        </w:rPr>
        <w:t>‘the</w:t>
      </w:r>
      <w:r w:rsidR="00D17493" w:rsidRPr="00490DD1">
        <w:rPr>
          <w:rFonts w:ascii="Times New Roman" w:hAnsi="Times New Roman" w:cs="Times New Roman"/>
          <w:color w:val="000000" w:themeColor="text1"/>
          <w:sz w:val="24"/>
          <w:szCs w:val="24"/>
          <w:shd w:val="clear" w:color="auto" w:fill="FFFFFF"/>
        </w:rPr>
        <w:t xml:space="preserve"> difficulties involved in policing modern societies and the choices which must be made in terms of priorities and resources’ and accordingly recognised that ‘positive obligations must be interpreted in a way which does not impose an impossible or disproportionate burden on the authorities’</w:t>
      </w:r>
      <w:r w:rsidR="00615026">
        <w:rPr>
          <w:rFonts w:ascii="Times New Roman" w:hAnsi="Times New Roman" w:cs="Times New Roman"/>
          <w:color w:val="000000" w:themeColor="text1"/>
          <w:sz w:val="24"/>
          <w:szCs w:val="24"/>
          <w:shd w:val="clear" w:color="auto" w:fill="FFFFFF"/>
        </w:rPr>
        <w:t>.</w:t>
      </w:r>
      <w:r w:rsidR="00D17493" w:rsidRPr="00490DD1">
        <w:rPr>
          <w:rStyle w:val="FootnoteReference"/>
          <w:rFonts w:ascii="Times New Roman" w:hAnsi="Times New Roman" w:cs="Times New Roman"/>
          <w:color w:val="000000" w:themeColor="text1"/>
          <w:sz w:val="24"/>
          <w:szCs w:val="24"/>
          <w:shd w:val="clear" w:color="auto" w:fill="FFFFFF"/>
        </w:rPr>
        <w:footnoteReference w:id="179"/>
      </w:r>
      <w:r w:rsidR="00D17493" w:rsidRPr="00490DD1">
        <w:rPr>
          <w:rFonts w:ascii="Times New Roman" w:hAnsi="Times New Roman" w:cs="Times New Roman"/>
          <w:color w:val="000000" w:themeColor="text1"/>
          <w:sz w:val="24"/>
          <w:szCs w:val="24"/>
          <w:shd w:val="clear" w:color="auto" w:fill="FFFFFF"/>
        </w:rPr>
        <w:t xml:space="preserve"> Similar comments </w:t>
      </w:r>
      <w:r w:rsidR="00977898" w:rsidRPr="00490DD1">
        <w:rPr>
          <w:rFonts w:ascii="Times New Roman" w:hAnsi="Times New Roman" w:cs="Times New Roman"/>
          <w:color w:val="000000" w:themeColor="text1"/>
          <w:sz w:val="24"/>
          <w:szCs w:val="24"/>
          <w:shd w:val="clear" w:color="auto" w:fill="FFFFFF"/>
        </w:rPr>
        <w:t>concerning</w:t>
      </w:r>
      <w:r w:rsidR="00D17493" w:rsidRPr="00490DD1">
        <w:rPr>
          <w:rFonts w:ascii="Times New Roman" w:hAnsi="Times New Roman" w:cs="Times New Roman"/>
          <w:color w:val="000000" w:themeColor="text1"/>
          <w:sz w:val="24"/>
          <w:szCs w:val="24"/>
          <w:shd w:val="clear" w:color="auto" w:fill="FFFFFF"/>
        </w:rPr>
        <w:t xml:space="preserve"> the deployment of armed forces in an extra-territorial context </w:t>
      </w:r>
      <w:r w:rsidR="00F9357A" w:rsidRPr="00490DD1">
        <w:rPr>
          <w:rFonts w:ascii="Times New Roman" w:hAnsi="Times New Roman" w:cs="Times New Roman"/>
          <w:color w:val="000000" w:themeColor="text1"/>
          <w:sz w:val="24"/>
          <w:szCs w:val="24"/>
          <w:shd w:val="clear" w:color="auto" w:fill="FFFFFF"/>
        </w:rPr>
        <w:t>have, h</w:t>
      </w:r>
      <w:r w:rsidR="00D17493" w:rsidRPr="00490DD1">
        <w:rPr>
          <w:rFonts w:ascii="Times New Roman" w:hAnsi="Times New Roman" w:cs="Times New Roman"/>
          <w:color w:val="000000" w:themeColor="text1"/>
          <w:sz w:val="24"/>
          <w:szCs w:val="24"/>
          <w:shd w:val="clear" w:color="auto" w:fill="FFFFFF"/>
        </w:rPr>
        <w:t>oweve</w:t>
      </w:r>
      <w:r w:rsidR="00F9357A" w:rsidRPr="00490DD1">
        <w:rPr>
          <w:rFonts w:ascii="Times New Roman" w:hAnsi="Times New Roman" w:cs="Times New Roman"/>
          <w:color w:val="000000" w:themeColor="text1"/>
          <w:sz w:val="24"/>
          <w:szCs w:val="24"/>
          <w:shd w:val="clear" w:color="auto" w:fill="FFFFFF"/>
        </w:rPr>
        <w:t>r, n</w:t>
      </w:r>
      <w:r w:rsidR="00D17493" w:rsidRPr="00490DD1">
        <w:rPr>
          <w:rFonts w:ascii="Times New Roman" w:hAnsi="Times New Roman" w:cs="Times New Roman"/>
          <w:color w:val="000000" w:themeColor="text1"/>
          <w:sz w:val="24"/>
          <w:szCs w:val="24"/>
          <w:shd w:val="clear" w:color="auto" w:fill="FFFFFF"/>
        </w:rPr>
        <w:t xml:space="preserve">ot hindered the Court in applying the law with </w:t>
      </w:r>
      <w:r w:rsidR="00B5766D" w:rsidRPr="00490DD1">
        <w:rPr>
          <w:rFonts w:ascii="Times New Roman" w:hAnsi="Times New Roman" w:cs="Times New Roman"/>
          <w:color w:val="000000" w:themeColor="text1"/>
          <w:sz w:val="24"/>
          <w:szCs w:val="24"/>
          <w:shd w:val="clear" w:color="auto" w:fill="FFFFFF"/>
        </w:rPr>
        <w:t xml:space="preserve">some </w:t>
      </w:r>
      <w:r w:rsidR="00D17493" w:rsidRPr="00490DD1">
        <w:rPr>
          <w:rFonts w:ascii="Times New Roman" w:hAnsi="Times New Roman" w:cs="Times New Roman"/>
          <w:color w:val="000000" w:themeColor="text1"/>
          <w:sz w:val="24"/>
          <w:szCs w:val="24"/>
          <w:shd w:val="clear" w:color="auto" w:fill="FFFFFF"/>
        </w:rPr>
        <w:t>disregard to the prevailing security situation and reality of armed conflict.</w:t>
      </w:r>
    </w:p>
    <w:p w14:paraId="760D49D1" w14:textId="4B233BEF" w:rsidR="003C48CE" w:rsidRPr="00490DD1" w:rsidRDefault="003C48CE" w:rsidP="003C48CE">
      <w:pPr>
        <w:spacing w:after="0" w:line="36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Whilst the author concedes that </w:t>
      </w:r>
      <w:r w:rsidR="009026D0">
        <w:rPr>
          <w:rFonts w:ascii="Times New Roman" w:hAnsi="Times New Roman" w:cs="Times New Roman"/>
          <w:color w:val="000000" w:themeColor="text1"/>
          <w:sz w:val="24"/>
          <w:szCs w:val="24"/>
        </w:rPr>
        <w:t>adopting a flexible, contextual approach</w:t>
      </w:r>
      <w:r>
        <w:rPr>
          <w:rFonts w:ascii="Times New Roman" w:hAnsi="Times New Roman" w:cs="Times New Roman"/>
          <w:color w:val="000000" w:themeColor="text1"/>
          <w:sz w:val="24"/>
          <w:szCs w:val="24"/>
        </w:rPr>
        <w:t xml:space="preserve"> would result in limiting the possibility to punish those responsible and provide adequate remedy to victims and thus seems to offer a ‘sliding scale’ of duties, it must be stressed that the obligation to investigate </w:t>
      </w:r>
      <w:proofErr w:type="gramStart"/>
      <w:r>
        <w:rPr>
          <w:rFonts w:ascii="Times New Roman" w:hAnsi="Times New Roman" w:cs="Times New Roman"/>
          <w:color w:val="000000" w:themeColor="text1"/>
          <w:sz w:val="24"/>
          <w:szCs w:val="24"/>
        </w:rPr>
        <w:t>still remains</w:t>
      </w:r>
      <w:proofErr w:type="gramEnd"/>
      <w:r>
        <w:rPr>
          <w:rFonts w:ascii="Times New Roman" w:hAnsi="Times New Roman" w:cs="Times New Roman"/>
          <w:color w:val="000000" w:themeColor="text1"/>
          <w:sz w:val="24"/>
          <w:szCs w:val="24"/>
        </w:rPr>
        <w:t>.</w:t>
      </w:r>
      <w:r w:rsidR="009026D0" w:rsidRPr="009026D0">
        <w:rPr>
          <w:rFonts w:ascii="Times New Roman" w:hAnsi="Times New Roman" w:cs="Times New Roman"/>
          <w:color w:val="000000" w:themeColor="text1"/>
          <w:sz w:val="24"/>
          <w:szCs w:val="24"/>
        </w:rPr>
        <w:t xml:space="preserve"> </w:t>
      </w:r>
      <w:r w:rsidR="009026D0">
        <w:rPr>
          <w:rFonts w:ascii="Times New Roman" w:hAnsi="Times New Roman" w:cs="Times New Roman"/>
          <w:color w:val="000000" w:themeColor="text1"/>
          <w:sz w:val="24"/>
          <w:szCs w:val="24"/>
        </w:rPr>
        <w:t>After all, States still need to prove that they fulfilled their ‘obligations of means’ by using all feasible means and methods to abide by the principles.</w:t>
      </w:r>
    </w:p>
    <w:p w14:paraId="08D9D3D7" w14:textId="77777777" w:rsidR="00AF2DCD" w:rsidRPr="00490DD1" w:rsidRDefault="00AF2DCD" w:rsidP="00AF2DCD">
      <w:pPr>
        <w:spacing w:after="0" w:line="360" w:lineRule="auto"/>
        <w:rPr>
          <w:rFonts w:ascii="Times New Roman" w:hAnsi="Times New Roman" w:cs="Times New Roman"/>
          <w:color w:val="000000" w:themeColor="text1"/>
          <w:sz w:val="24"/>
          <w:szCs w:val="24"/>
          <w:shd w:val="clear" w:color="auto" w:fill="FFFFFF"/>
        </w:rPr>
      </w:pPr>
    </w:p>
    <w:p w14:paraId="5F2C05ED" w14:textId="679E173C" w:rsidR="002936F2" w:rsidRPr="00490DD1" w:rsidRDefault="002936F2" w:rsidP="003C48CE">
      <w:pPr>
        <w:spacing w:after="0" w:line="360" w:lineRule="auto"/>
        <w:ind w:firstLine="720"/>
        <w:rPr>
          <w:rFonts w:ascii="Times New Roman" w:hAnsi="Times New Roman" w:cs="Times New Roman"/>
          <w:color w:val="000000" w:themeColor="text1"/>
          <w:sz w:val="24"/>
          <w:szCs w:val="24"/>
        </w:rPr>
      </w:pPr>
    </w:p>
    <w:sectPr w:rsidR="002936F2" w:rsidRPr="00490DD1" w:rsidSect="009D2EFA">
      <w:headerReference w:type="even" r:id="rId8"/>
      <w:headerReference w:type="default" r:id="rId9"/>
      <w:footerReference w:type="even" r:id="rId10"/>
      <w:footerReference w:type="default" r:id="rId11"/>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EE25" w14:textId="77777777" w:rsidR="00493A06" w:rsidRDefault="00493A06" w:rsidP="00D17493">
      <w:pPr>
        <w:spacing w:after="0" w:line="240" w:lineRule="auto"/>
      </w:pPr>
      <w:r>
        <w:separator/>
      </w:r>
    </w:p>
  </w:endnote>
  <w:endnote w:type="continuationSeparator" w:id="0">
    <w:p w14:paraId="1FBF2BC1" w14:textId="77777777" w:rsidR="00493A06" w:rsidRDefault="00493A06" w:rsidP="00D1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31497"/>
      <w:docPartObj>
        <w:docPartGallery w:val="Page Numbers (Bottom of Page)"/>
        <w:docPartUnique/>
      </w:docPartObj>
    </w:sdtPr>
    <w:sdtEndPr>
      <w:rPr>
        <w:noProof/>
      </w:rPr>
    </w:sdtEndPr>
    <w:sdtContent>
      <w:p w14:paraId="3EC17A72" w14:textId="0B25D85F" w:rsidR="00493A06" w:rsidRDefault="00493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021861" w14:textId="77777777" w:rsidR="00493A06" w:rsidRDefault="00493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794744"/>
      <w:docPartObj>
        <w:docPartGallery w:val="Page Numbers (Bottom of Page)"/>
        <w:docPartUnique/>
      </w:docPartObj>
    </w:sdtPr>
    <w:sdtEndPr>
      <w:rPr>
        <w:noProof/>
      </w:rPr>
    </w:sdtEndPr>
    <w:sdtContent>
      <w:p w14:paraId="5E13E0D3" w14:textId="3E292A69" w:rsidR="00493A06" w:rsidRDefault="00493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97467" w14:textId="77777777" w:rsidR="00493A06" w:rsidRDefault="00493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EE21" w14:textId="77777777" w:rsidR="00493A06" w:rsidRDefault="00493A06" w:rsidP="00D17493">
      <w:pPr>
        <w:spacing w:after="0" w:line="240" w:lineRule="auto"/>
      </w:pPr>
      <w:r>
        <w:separator/>
      </w:r>
    </w:p>
  </w:footnote>
  <w:footnote w:type="continuationSeparator" w:id="0">
    <w:p w14:paraId="1A53D659" w14:textId="77777777" w:rsidR="00493A06" w:rsidRDefault="00493A06" w:rsidP="00D17493">
      <w:pPr>
        <w:spacing w:after="0" w:line="240" w:lineRule="auto"/>
      </w:pPr>
      <w:r>
        <w:continuationSeparator/>
      </w:r>
    </w:p>
  </w:footnote>
  <w:footnote w:id="1">
    <w:p w14:paraId="4E43674B" w14:textId="21545D0F"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t>*</w:t>
      </w:r>
      <w:r w:rsidRPr="00A039C6">
        <w:rPr>
          <w:rFonts w:ascii="Times New Roman" w:hAnsi="Times New Roman" w:cs="Times New Roman"/>
        </w:rPr>
        <w:t xml:space="preserve"> </w:t>
      </w:r>
      <w:r w:rsidRPr="00A039C6">
        <w:rPr>
          <w:rFonts w:ascii="Times New Roman" w:hAnsi="Times New Roman" w:cs="Times New Roman"/>
          <w:color w:val="000000" w:themeColor="text1"/>
        </w:rPr>
        <w:t xml:space="preserve">Associate Professor in International Law, Head of the International Law and Human Rights Unit, Bristol Law School, University of the West of England (UK). </w:t>
      </w:r>
      <w:r w:rsidRPr="00A039C6">
        <w:rPr>
          <w:rStyle w:val="apple-converted-space"/>
          <w:rFonts w:ascii="Times New Roman" w:hAnsi="Times New Roman" w:cs="Times New Roman"/>
          <w:color w:val="000000" w:themeColor="text1"/>
        </w:rPr>
        <w:t xml:space="preserve">I would like to thank Brig (ret) Anthony </w:t>
      </w:r>
      <w:proofErr w:type="spellStart"/>
      <w:r w:rsidRPr="00A039C6">
        <w:rPr>
          <w:rStyle w:val="apple-converted-space"/>
          <w:rFonts w:ascii="Times New Roman" w:hAnsi="Times New Roman" w:cs="Times New Roman"/>
          <w:color w:val="000000" w:themeColor="text1"/>
        </w:rPr>
        <w:t>Paphiti</w:t>
      </w:r>
      <w:proofErr w:type="spellEnd"/>
      <w:r w:rsidRPr="00A039C6">
        <w:rPr>
          <w:rStyle w:val="apple-converted-space"/>
          <w:rFonts w:ascii="Times New Roman" w:hAnsi="Times New Roman" w:cs="Times New Roman"/>
          <w:color w:val="000000" w:themeColor="text1"/>
        </w:rPr>
        <w:t>, Professor and Col (ret) Charles Garraway, Dr Jane Rooney and the four reviewers</w:t>
      </w:r>
      <w:r w:rsidR="009A7027">
        <w:rPr>
          <w:rStyle w:val="apple-converted-space"/>
          <w:rFonts w:ascii="Times New Roman" w:hAnsi="Times New Roman" w:cs="Times New Roman"/>
          <w:color w:val="000000" w:themeColor="text1"/>
        </w:rPr>
        <w:t xml:space="preserve"> and the Editorial Board</w:t>
      </w:r>
      <w:r w:rsidRPr="00A039C6">
        <w:rPr>
          <w:rStyle w:val="apple-converted-space"/>
          <w:rFonts w:ascii="Times New Roman" w:hAnsi="Times New Roman" w:cs="Times New Roman"/>
          <w:color w:val="000000" w:themeColor="text1"/>
        </w:rPr>
        <w:t xml:space="preserve"> of the NQHR for their </w:t>
      </w:r>
      <w:r w:rsidR="009A7027">
        <w:rPr>
          <w:rStyle w:val="apple-converted-space"/>
          <w:rFonts w:ascii="Times New Roman" w:hAnsi="Times New Roman" w:cs="Times New Roman"/>
          <w:color w:val="000000" w:themeColor="text1"/>
        </w:rPr>
        <w:t>invaluable</w:t>
      </w:r>
      <w:r w:rsidRPr="00A039C6">
        <w:rPr>
          <w:rStyle w:val="apple-converted-space"/>
          <w:rFonts w:ascii="Times New Roman" w:hAnsi="Times New Roman" w:cs="Times New Roman"/>
          <w:color w:val="000000" w:themeColor="text1"/>
        </w:rPr>
        <w:t xml:space="preserve"> comments, and Christian Dadomo for proof-reading the article. This article is one of the outcomes of a British Academy and </w:t>
      </w:r>
      <w:proofErr w:type="spellStart"/>
      <w:r w:rsidRPr="00A039C6">
        <w:rPr>
          <w:rStyle w:val="apple-converted-space"/>
          <w:rFonts w:ascii="Times New Roman" w:hAnsi="Times New Roman" w:cs="Times New Roman"/>
          <w:color w:val="000000" w:themeColor="text1"/>
        </w:rPr>
        <w:t>Leverhulme</w:t>
      </w:r>
      <w:proofErr w:type="spellEnd"/>
      <w:r w:rsidRPr="00A039C6">
        <w:rPr>
          <w:rStyle w:val="apple-converted-space"/>
          <w:rFonts w:ascii="Times New Roman" w:hAnsi="Times New Roman" w:cs="Times New Roman"/>
          <w:color w:val="000000" w:themeColor="text1"/>
        </w:rPr>
        <w:t xml:space="preserve"> Trust-funded project ‘Clearing the Fog of Law: The Impact of International Human Rights Law on the British Armed Forces’</w:t>
      </w:r>
      <w:r w:rsidR="00615026" w:rsidRPr="00A039C6">
        <w:rPr>
          <w:rStyle w:val="apple-converted-space"/>
          <w:rFonts w:ascii="Times New Roman" w:hAnsi="Times New Roman" w:cs="Times New Roman"/>
          <w:color w:val="000000" w:themeColor="text1"/>
        </w:rPr>
        <w:t>.</w:t>
      </w:r>
    </w:p>
  </w:footnote>
  <w:footnote w:id="2">
    <w:p w14:paraId="751463D3" w14:textId="438600BE"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In this article, the term ‘military operations’ cover</w:t>
      </w:r>
      <w:r w:rsidR="009A7027">
        <w:rPr>
          <w:rFonts w:ascii="Times New Roman" w:hAnsi="Times New Roman" w:cs="Times New Roman"/>
          <w:color w:val="000000" w:themeColor="text1"/>
        </w:rPr>
        <w:t>s</w:t>
      </w:r>
      <w:r w:rsidRPr="00A039C6">
        <w:rPr>
          <w:rFonts w:ascii="Times New Roman" w:hAnsi="Times New Roman" w:cs="Times New Roman"/>
          <w:color w:val="000000" w:themeColor="text1"/>
        </w:rPr>
        <w:t xml:space="preserve"> operations in situations of armed conflict (whether international or non-international), occupation, as well as multinational military operations undertaken under the mandate of international organisations</w:t>
      </w:r>
      <w:r w:rsidR="009A7027">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w:t>
      </w:r>
    </w:p>
  </w:footnote>
  <w:footnote w:id="3">
    <w:p w14:paraId="2A4683F3" w14:textId="7F6779A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For a discussion on the concept and the extra-territorial applicability of the ECHR, see, e.g., M</w:t>
      </w:r>
      <w:r w:rsidR="00754FD3" w:rsidRPr="00A039C6">
        <w:rPr>
          <w:rFonts w:ascii="Times New Roman" w:hAnsi="Times New Roman" w:cs="Times New Roman"/>
          <w:color w:val="000000" w:themeColor="text1"/>
        </w:rPr>
        <w:t>arko</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Milanovi</w:t>
      </w:r>
      <w:r w:rsidR="009A7027">
        <w:rPr>
          <w:rFonts w:ascii="Times New Roman" w:hAnsi="Times New Roman" w:cs="Times New Roman"/>
          <w:color w:val="000000" w:themeColor="text1"/>
        </w:rPr>
        <w:t>ć</w:t>
      </w:r>
      <w:proofErr w:type="spellEnd"/>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 xml:space="preserve">Extraterritorial Application of Human Rights Treaties. Law, Principles and Policy </w:t>
      </w:r>
      <w:r w:rsidRPr="00A039C6">
        <w:rPr>
          <w:rFonts w:ascii="Times New Roman" w:hAnsi="Times New Roman" w:cs="Times New Roman"/>
          <w:color w:val="000000" w:themeColor="text1"/>
        </w:rPr>
        <w:t>(OUP 2013); K</w:t>
      </w:r>
      <w:r w:rsidR="00754FD3" w:rsidRPr="00A039C6">
        <w:rPr>
          <w:rFonts w:ascii="Times New Roman" w:hAnsi="Times New Roman" w:cs="Times New Roman"/>
          <w:color w:val="000000" w:themeColor="text1"/>
        </w:rPr>
        <w:t>aren</w:t>
      </w:r>
      <w:r w:rsidRPr="00A039C6">
        <w:rPr>
          <w:rFonts w:ascii="Times New Roman" w:hAnsi="Times New Roman" w:cs="Times New Roman"/>
          <w:color w:val="000000" w:themeColor="text1"/>
        </w:rPr>
        <w:t xml:space="preserve"> Da Costa, </w:t>
      </w:r>
      <w:r w:rsidRPr="00A039C6">
        <w:rPr>
          <w:rFonts w:ascii="Times New Roman" w:hAnsi="Times New Roman" w:cs="Times New Roman"/>
          <w:i/>
          <w:color w:val="000000" w:themeColor="text1"/>
        </w:rPr>
        <w:t xml:space="preserve">The Extraterritorial Application of Selected Human Rights Treaties </w:t>
      </w:r>
      <w:r w:rsidRPr="00A039C6">
        <w:rPr>
          <w:rFonts w:ascii="Times New Roman" w:hAnsi="Times New Roman" w:cs="Times New Roman"/>
          <w:color w:val="000000" w:themeColor="text1"/>
        </w:rPr>
        <w:t>(</w:t>
      </w:r>
      <w:proofErr w:type="spellStart"/>
      <w:r w:rsidRPr="00A039C6">
        <w:rPr>
          <w:rFonts w:ascii="Times New Roman" w:hAnsi="Times New Roman" w:cs="Times New Roman"/>
          <w:color w:val="000000" w:themeColor="text1"/>
        </w:rPr>
        <w:t>Martinus</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Nijhoff</w:t>
      </w:r>
      <w:proofErr w:type="spellEnd"/>
      <w:r w:rsidRPr="00A039C6">
        <w:rPr>
          <w:rFonts w:ascii="Times New Roman" w:hAnsi="Times New Roman" w:cs="Times New Roman"/>
          <w:color w:val="000000" w:themeColor="text1"/>
        </w:rPr>
        <w:t xml:space="preserve"> 2013)</w:t>
      </w:r>
    </w:p>
  </w:footnote>
  <w:footnote w:id="4">
    <w:p w14:paraId="7765A010" w14:textId="4AD361FF"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J</w:t>
      </w:r>
      <w:r w:rsidR="00754FD3" w:rsidRPr="00A039C6">
        <w:rPr>
          <w:rFonts w:ascii="Times New Roman" w:hAnsi="Times New Roman" w:cs="Times New Roman"/>
          <w:color w:val="000000" w:themeColor="text1"/>
        </w:rPr>
        <w:t>uliet</w:t>
      </w:r>
      <w:r w:rsidRPr="00A039C6">
        <w:rPr>
          <w:rFonts w:ascii="Times New Roman" w:hAnsi="Times New Roman" w:cs="Times New Roman"/>
          <w:color w:val="000000" w:themeColor="text1"/>
        </w:rPr>
        <w:t xml:space="preserve"> Chevalier-Watts, ‘Effective Investigations under Article 2 of the European Convention on Human Rights: Securing the Right to Life or an Onerous Burden on a State?’ (2010) 21 EJIL 701; H</w:t>
      </w:r>
      <w:r w:rsidR="00754FD3" w:rsidRPr="00A039C6">
        <w:rPr>
          <w:rFonts w:ascii="Times New Roman" w:hAnsi="Times New Roman" w:cs="Times New Roman"/>
          <w:color w:val="000000" w:themeColor="text1"/>
        </w:rPr>
        <w:t>annah</w:t>
      </w:r>
      <w:r w:rsidRPr="00A039C6">
        <w:rPr>
          <w:rFonts w:ascii="Times New Roman" w:hAnsi="Times New Roman" w:cs="Times New Roman"/>
          <w:color w:val="000000" w:themeColor="text1"/>
        </w:rPr>
        <w:t xml:space="preserve"> Russell, </w:t>
      </w:r>
      <w:r w:rsidRPr="00A039C6">
        <w:rPr>
          <w:rFonts w:ascii="Times New Roman" w:hAnsi="Times New Roman" w:cs="Times New Roman"/>
          <w:i/>
          <w:color w:val="000000" w:themeColor="text1"/>
        </w:rPr>
        <w:t xml:space="preserve">The Use of Force and Article 2 of the ECHR in Light of European Conflicts </w:t>
      </w:r>
      <w:r w:rsidRPr="00A039C6">
        <w:rPr>
          <w:rFonts w:ascii="Times New Roman" w:hAnsi="Times New Roman" w:cs="Times New Roman"/>
          <w:color w:val="000000" w:themeColor="text1"/>
        </w:rPr>
        <w:t xml:space="preserve">(Hart 2017) </w:t>
      </w:r>
      <w:proofErr w:type="spellStart"/>
      <w:r w:rsidRPr="00A039C6">
        <w:rPr>
          <w:rFonts w:ascii="Times New Roman" w:hAnsi="Times New Roman" w:cs="Times New Roman"/>
          <w:color w:val="000000" w:themeColor="text1"/>
        </w:rPr>
        <w:t>ch</w:t>
      </w:r>
      <w:proofErr w:type="spellEnd"/>
      <w:r w:rsidRPr="00A039C6">
        <w:rPr>
          <w:rFonts w:ascii="Times New Roman" w:hAnsi="Times New Roman" w:cs="Times New Roman"/>
          <w:color w:val="000000" w:themeColor="text1"/>
        </w:rPr>
        <w:t xml:space="preserve"> 7 (Duty to Investigate Suspicious Deaths) 121; S</w:t>
      </w:r>
      <w:r w:rsidR="00754FD3" w:rsidRPr="00A039C6">
        <w:rPr>
          <w:rFonts w:ascii="Times New Roman" w:hAnsi="Times New Roman" w:cs="Times New Roman"/>
          <w:color w:val="000000" w:themeColor="text1"/>
        </w:rPr>
        <w:t>ilvia</w:t>
      </w:r>
      <w:r w:rsidRPr="00A039C6">
        <w:rPr>
          <w:rFonts w:ascii="Times New Roman" w:hAnsi="Times New Roman" w:cs="Times New Roman"/>
          <w:color w:val="000000" w:themeColor="text1"/>
        </w:rPr>
        <w:t xml:space="preserve"> Borelli, ‘Domestic Investigation and Prosecution of Atrocities Committed during Military Operations: The Impact of Judgments of the European Court of Human Rights’ (2013) 46 Israel L Rev 369; E</w:t>
      </w:r>
      <w:r w:rsidR="00754FD3" w:rsidRPr="00A039C6">
        <w:rPr>
          <w:rFonts w:ascii="Times New Roman" w:hAnsi="Times New Roman" w:cs="Times New Roman"/>
          <w:color w:val="000000" w:themeColor="text1"/>
        </w:rPr>
        <w:t>va</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Biotti</w:t>
      </w:r>
      <w:proofErr w:type="spellEnd"/>
      <w:r w:rsidRPr="00A039C6">
        <w:rPr>
          <w:rFonts w:ascii="Times New Roman" w:hAnsi="Times New Roman" w:cs="Times New Roman"/>
          <w:color w:val="000000" w:themeColor="text1"/>
        </w:rPr>
        <w:t xml:space="preserve"> and J</w:t>
      </w:r>
      <w:r w:rsidR="00754FD3" w:rsidRPr="00A039C6">
        <w:rPr>
          <w:rFonts w:ascii="Times New Roman" w:hAnsi="Times New Roman" w:cs="Times New Roman"/>
          <w:color w:val="000000" w:themeColor="text1"/>
        </w:rPr>
        <w:t>ulie</w:t>
      </w:r>
      <w:r w:rsidRPr="00A039C6">
        <w:rPr>
          <w:rFonts w:ascii="Times New Roman" w:hAnsi="Times New Roman" w:cs="Times New Roman"/>
          <w:color w:val="000000" w:themeColor="text1"/>
        </w:rPr>
        <w:t xml:space="preserve"> De </w:t>
      </w:r>
      <w:proofErr w:type="spellStart"/>
      <w:r w:rsidRPr="00A039C6">
        <w:rPr>
          <w:rFonts w:ascii="Times New Roman" w:hAnsi="Times New Roman" w:cs="Times New Roman"/>
          <w:color w:val="000000" w:themeColor="text1"/>
        </w:rPr>
        <w:t>Cillia</w:t>
      </w:r>
      <w:proofErr w:type="spellEnd"/>
      <w:r w:rsidRPr="00A039C6">
        <w:rPr>
          <w:rFonts w:ascii="Times New Roman" w:hAnsi="Times New Roman" w:cs="Times New Roman"/>
          <w:color w:val="000000" w:themeColor="text1"/>
        </w:rPr>
        <w:t>, ‘</w:t>
      </w:r>
      <w:proofErr w:type="spellStart"/>
      <w:r w:rsidRPr="00A039C6">
        <w:rPr>
          <w:rFonts w:ascii="Times New Roman" w:hAnsi="Times New Roman" w:cs="Times New Roman"/>
          <w:color w:val="000000" w:themeColor="text1"/>
        </w:rPr>
        <w:t>L’obligation</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conventionnelle</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d’enquête</w:t>
      </w:r>
      <w:proofErr w:type="spellEnd"/>
      <w:r w:rsidRPr="00A039C6">
        <w:rPr>
          <w:rFonts w:ascii="Times New Roman" w:hAnsi="Times New Roman" w:cs="Times New Roman"/>
          <w:color w:val="000000" w:themeColor="text1"/>
        </w:rPr>
        <w:t xml:space="preserve"> sur les </w:t>
      </w:r>
      <w:proofErr w:type="spellStart"/>
      <w:r w:rsidRPr="00A039C6">
        <w:rPr>
          <w:rFonts w:ascii="Times New Roman" w:hAnsi="Times New Roman" w:cs="Times New Roman"/>
          <w:color w:val="000000" w:themeColor="text1"/>
        </w:rPr>
        <w:t>atteintes</w:t>
      </w:r>
      <w:proofErr w:type="spellEnd"/>
      <w:r w:rsidRPr="00A039C6">
        <w:rPr>
          <w:rFonts w:ascii="Times New Roman" w:hAnsi="Times New Roman" w:cs="Times New Roman"/>
          <w:color w:val="000000" w:themeColor="text1"/>
        </w:rPr>
        <w:t xml:space="preserve"> à la vie </w:t>
      </w:r>
      <w:proofErr w:type="spellStart"/>
      <w:r w:rsidRPr="00A039C6">
        <w:rPr>
          <w:rFonts w:ascii="Times New Roman" w:hAnsi="Times New Roman" w:cs="Times New Roman"/>
          <w:color w:val="000000" w:themeColor="text1"/>
        </w:rPr>
        <w:t>dans</w:t>
      </w:r>
      <w:proofErr w:type="spellEnd"/>
      <w:r w:rsidRPr="00A039C6">
        <w:rPr>
          <w:rFonts w:ascii="Times New Roman" w:hAnsi="Times New Roman" w:cs="Times New Roman"/>
          <w:color w:val="000000" w:themeColor="text1"/>
        </w:rPr>
        <w:t xml:space="preserve"> le </w:t>
      </w:r>
      <w:proofErr w:type="spellStart"/>
      <w:r w:rsidRPr="00A039C6">
        <w:rPr>
          <w:rFonts w:ascii="Times New Roman" w:hAnsi="Times New Roman" w:cs="Times New Roman"/>
          <w:color w:val="000000" w:themeColor="text1"/>
        </w:rPr>
        <w:t>contexte</w:t>
      </w:r>
      <w:proofErr w:type="spellEnd"/>
      <w:r w:rsidRPr="00A039C6">
        <w:rPr>
          <w:rFonts w:ascii="Times New Roman" w:hAnsi="Times New Roman" w:cs="Times New Roman"/>
          <w:color w:val="000000" w:themeColor="text1"/>
        </w:rPr>
        <w:t xml:space="preserve"> de </w:t>
      </w:r>
      <w:proofErr w:type="spellStart"/>
      <w:r w:rsidRPr="00A039C6">
        <w:rPr>
          <w:rFonts w:ascii="Times New Roman" w:hAnsi="Times New Roman" w:cs="Times New Roman"/>
          <w:color w:val="000000" w:themeColor="text1"/>
        </w:rPr>
        <w:t>conflits</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armés</w:t>
      </w:r>
      <w:proofErr w:type="spellEnd"/>
      <w:r w:rsidRPr="00A039C6">
        <w:rPr>
          <w:rFonts w:ascii="Times New Roman" w:hAnsi="Times New Roman" w:cs="Times New Roman"/>
          <w:color w:val="000000" w:themeColor="text1"/>
        </w:rPr>
        <w:t xml:space="preserve">’ (2014) Revue des Droits de </w:t>
      </w:r>
      <w:proofErr w:type="spellStart"/>
      <w:r w:rsidRPr="00A039C6">
        <w:rPr>
          <w:rFonts w:ascii="Times New Roman" w:hAnsi="Times New Roman" w:cs="Times New Roman"/>
          <w:color w:val="000000" w:themeColor="text1"/>
        </w:rPr>
        <w:t>l’Homme</w:t>
      </w:r>
      <w:proofErr w:type="spellEnd"/>
      <w:r w:rsidRPr="00A039C6">
        <w:rPr>
          <w:rFonts w:ascii="Times New Roman" w:hAnsi="Times New Roman" w:cs="Times New Roman"/>
          <w:color w:val="000000" w:themeColor="text1"/>
        </w:rPr>
        <w:t>, &lt;</w:t>
      </w:r>
      <w:r w:rsidRPr="00A039C6">
        <w:rPr>
          <w:rStyle w:val="Hyperlink"/>
          <w:rFonts w:ascii="Times New Roman" w:hAnsi="Times New Roman" w:cs="Times New Roman"/>
          <w:color w:val="000000" w:themeColor="text1"/>
          <w:u w:val="none"/>
        </w:rPr>
        <w:t>https://revdh.revues.org/1029&gt; accessed 10 July 2018;</w:t>
      </w:r>
      <w:r w:rsidRPr="00A039C6">
        <w:rPr>
          <w:rFonts w:ascii="Times New Roman" w:hAnsi="Times New Roman" w:cs="Times New Roman"/>
          <w:color w:val="000000" w:themeColor="text1"/>
        </w:rPr>
        <w:t xml:space="preserve"> and the </w:t>
      </w:r>
      <w:r w:rsidR="009A7027">
        <w:rPr>
          <w:rFonts w:ascii="Times New Roman" w:hAnsi="Times New Roman" w:cs="Times New Roman"/>
          <w:color w:val="000000" w:themeColor="text1"/>
        </w:rPr>
        <w:t>more</w:t>
      </w:r>
      <w:r w:rsidRPr="00A039C6">
        <w:rPr>
          <w:rFonts w:ascii="Times New Roman" w:hAnsi="Times New Roman" w:cs="Times New Roman"/>
          <w:color w:val="000000" w:themeColor="text1"/>
        </w:rPr>
        <w:t xml:space="preserve"> recent I</w:t>
      </w:r>
      <w:r w:rsidR="00754FD3" w:rsidRPr="00A039C6">
        <w:rPr>
          <w:rFonts w:ascii="Times New Roman" w:hAnsi="Times New Roman" w:cs="Times New Roman"/>
          <w:color w:val="000000" w:themeColor="text1"/>
        </w:rPr>
        <w:t>an</w:t>
      </w:r>
      <w:r w:rsidRPr="00A039C6">
        <w:rPr>
          <w:rFonts w:ascii="Times New Roman" w:hAnsi="Times New Roman" w:cs="Times New Roman"/>
          <w:color w:val="000000" w:themeColor="text1"/>
        </w:rPr>
        <w:t xml:space="preserve"> Park, </w:t>
      </w:r>
      <w:r w:rsidRPr="00A039C6">
        <w:rPr>
          <w:rFonts w:ascii="Times New Roman" w:hAnsi="Times New Roman" w:cs="Times New Roman"/>
          <w:i/>
          <w:color w:val="000000" w:themeColor="text1"/>
        </w:rPr>
        <w:t>The Right to Life in Armed Conflict</w:t>
      </w:r>
      <w:r w:rsidRPr="00A039C6">
        <w:rPr>
          <w:rFonts w:ascii="Times New Roman" w:hAnsi="Times New Roman" w:cs="Times New Roman"/>
          <w:color w:val="000000" w:themeColor="text1"/>
        </w:rPr>
        <w:t xml:space="preserve"> (OUP 2018) </w:t>
      </w:r>
      <w:proofErr w:type="spellStart"/>
      <w:r w:rsidRPr="00A039C6">
        <w:rPr>
          <w:rFonts w:ascii="Times New Roman" w:hAnsi="Times New Roman" w:cs="Times New Roman"/>
          <w:color w:val="000000" w:themeColor="text1"/>
        </w:rPr>
        <w:t>ch</w:t>
      </w:r>
      <w:proofErr w:type="spellEnd"/>
      <w:r w:rsidRPr="00A039C6">
        <w:rPr>
          <w:rFonts w:ascii="Times New Roman" w:hAnsi="Times New Roman" w:cs="Times New Roman"/>
          <w:color w:val="000000" w:themeColor="text1"/>
        </w:rPr>
        <w:t xml:space="preserve"> 2 48</w:t>
      </w:r>
    </w:p>
  </w:footnote>
  <w:footnote w:id="5">
    <w:p w14:paraId="6BD1B4BE" w14:textId="3CABE97F"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w:t>
      </w:r>
      <w:r w:rsidR="00754FD3" w:rsidRPr="00A039C6">
        <w:rPr>
          <w:rFonts w:ascii="Times New Roman" w:hAnsi="Times New Roman" w:cs="Times New Roman"/>
          <w:color w:val="000000" w:themeColor="text1"/>
        </w:rPr>
        <w:t>ilvia</w:t>
      </w:r>
      <w:r w:rsidRPr="00A039C6">
        <w:rPr>
          <w:rFonts w:ascii="Times New Roman" w:hAnsi="Times New Roman" w:cs="Times New Roman"/>
          <w:color w:val="000000" w:themeColor="text1"/>
        </w:rPr>
        <w:t xml:space="preserve"> Borelli, ‘</w:t>
      </w:r>
      <w:proofErr w:type="spellStart"/>
      <w:r w:rsidRPr="00A039C6">
        <w:rPr>
          <w:rFonts w:ascii="Times New Roman" w:hAnsi="Times New Roman" w:cs="Times New Roman"/>
          <w:i/>
          <w:color w:val="000000" w:themeColor="text1"/>
        </w:rPr>
        <w:t>Jaloud</w:t>
      </w:r>
      <w:proofErr w:type="spellEnd"/>
      <w:r w:rsidRPr="00A039C6">
        <w:rPr>
          <w:rFonts w:ascii="Times New Roman" w:hAnsi="Times New Roman" w:cs="Times New Roman"/>
          <w:i/>
          <w:color w:val="000000" w:themeColor="text1"/>
        </w:rPr>
        <w:t xml:space="preserve"> v Netherlands and Hassan v United Kingdom:</w:t>
      </w:r>
      <w:r w:rsidRPr="00A039C6">
        <w:rPr>
          <w:rFonts w:ascii="Times New Roman" w:hAnsi="Times New Roman" w:cs="Times New Roman"/>
          <w:color w:val="000000" w:themeColor="text1"/>
        </w:rPr>
        <w:t xml:space="preserve"> Time for a Principled Approach in the Application of the ECHR to Military Action Abroad’ (2015) 26 QIL, Zoom-in 25</w:t>
      </w:r>
      <w:r w:rsidR="009A7027">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Section 4.10 in Park (n 3) 142 (in relation to the UK only)</w:t>
      </w:r>
    </w:p>
  </w:footnote>
  <w:footnote w:id="6">
    <w:p w14:paraId="11AFE1E6" w14:textId="2AC71CEB" w:rsidR="00493A06" w:rsidRPr="00A039C6" w:rsidRDefault="00493A06" w:rsidP="009A703F">
      <w:pPr>
        <w:pStyle w:val="FootnoteText"/>
        <w:widowControl w:val="0"/>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McCann and Others v UK</w:t>
      </w:r>
      <w:r w:rsidRPr="00A039C6">
        <w:rPr>
          <w:rFonts w:ascii="Times New Roman" w:hAnsi="Times New Roman" w:cs="Times New Roman"/>
          <w:color w:val="000000" w:themeColor="text1"/>
        </w:rPr>
        <w:t xml:space="preserve"> </w:t>
      </w:r>
      <w:r w:rsidR="006525C2" w:rsidRPr="00A039C6">
        <w:rPr>
          <w:rFonts w:ascii="Times New Roman" w:hAnsi="Times New Roman" w:cs="Times New Roman"/>
          <w:color w:val="000000" w:themeColor="text1"/>
        </w:rPr>
        <w:t>App no 18984/91 (ECtHR, 27 September 1995)</w:t>
      </w:r>
      <w:r w:rsidRPr="00A039C6">
        <w:rPr>
          <w:rFonts w:ascii="Times New Roman" w:hAnsi="Times New Roman" w:cs="Times New Roman"/>
          <w:color w:val="000000" w:themeColor="text1"/>
        </w:rPr>
        <w:t xml:space="preserve"> para 161; </w:t>
      </w:r>
      <w:proofErr w:type="spellStart"/>
      <w:r w:rsidRPr="00A039C6">
        <w:rPr>
          <w:rFonts w:ascii="Times New Roman" w:hAnsi="Times New Roman" w:cs="Times New Roman"/>
          <w:i/>
          <w:color w:val="000000" w:themeColor="text1"/>
        </w:rPr>
        <w:t>McKerr</w:t>
      </w:r>
      <w:proofErr w:type="spellEnd"/>
      <w:r w:rsidRPr="00A039C6">
        <w:rPr>
          <w:rFonts w:ascii="Times New Roman" w:hAnsi="Times New Roman" w:cs="Times New Roman"/>
          <w:i/>
          <w:color w:val="000000" w:themeColor="text1"/>
        </w:rPr>
        <w:t xml:space="preserve"> v UK</w:t>
      </w:r>
      <w:r w:rsidR="00DB4BB7" w:rsidRPr="00A039C6">
        <w:rPr>
          <w:rFonts w:ascii="Times New Roman" w:hAnsi="Times New Roman" w:cs="Times New Roman"/>
          <w:i/>
          <w:color w:val="000000" w:themeColor="text1"/>
        </w:rPr>
        <w:t xml:space="preserve"> </w:t>
      </w:r>
      <w:r w:rsidR="00DB4BB7" w:rsidRPr="00A039C6">
        <w:rPr>
          <w:rFonts w:ascii="Times New Roman" w:hAnsi="Times New Roman" w:cs="Times New Roman"/>
          <w:color w:val="000000" w:themeColor="text1"/>
        </w:rPr>
        <w:t xml:space="preserve">App no </w:t>
      </w:r>
      <w:r w:rsidR="00DB4BB7" w:rsidRPr="00A039C6">
        <w:rPr>
          <w:rFonts w:ascii="Times New Roman" w:hAnsi="Times New Roman" w:cs="Times New Roman"/>
        </w:rPr>
        <w:t>28883/95 (ECtHR, 4 May 2001)</w:t>
      </w:r>
      <w:r w:rsidRPr="00A039C6">
        <w:rPr>
          <w:rFonts w:ascii="Times New Roman" w:hAnsi="Times New Roman" w:cs="Times New Roman"/>
          <w:color w:val="000000" w:themeColor="text1"/>
        </w:rPr>
        <w:t xml:space="preserve"> para 111. On the general obligation to investigate, see also European Parliament, Resolution 2014/2567(RSP), 25 February 2014, para C; Parliamentary Assembly of the Council of Europe, Resolution 2021(2015), 23 April 2015, paras 6.4 and 8.4</w:t>
      </w:r>
    </w:p>
  </w:footnote>
  <w:footnote w:id="7">
    <w:p w14:paraId="2379ED1E" w14:textId="10A6DDC0"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McCann</w:t>
      </w:r>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5) para 161. See also </w:t>
      </w:r>
      <w:proofErr w:type="spellStart"/>
      <w:r w:rsidR="00DB4BB7" w:rsidRPr="00A039C6">
        <w:rPr>
          <w:rFonts w:ascii="Times New Roman" w:hAnsi="Times New Roman" w:cs="Times New Roman"/>
          <w:i/>
          <w:color w:val="000000" w:themeColor="text1"/>
        </w:rPr>
        <w:t>Ergi</w:t>
      </w:r>
      <w:proofErr w:type="spellEnd"/>
      <w:r w:rsidR="00DB4BB7" w:rsidRPr="00A039C6">
        <w:rPr>
          <w:rFonts w:ascii="Times New Roman" w:hAnsi="Times New Roman" w:cs="Times New Roman"/>
          <w:i/>
          <w:color w:val="000000" w:themeColor="text1"/>
        </w:rPr>
        <w:t xml:space="preserve"> v Turkey </w:t>
      </w:r>
      <w:r w:rsidR="00DB4BB7" w:rsidRPr="00A039C6">
        <w:rPr>
          <w:rFonts w:ascii="Times New Roman" w:hAnsi="Times New Roman" w:cs="Times New Roman"/>
          <w:color w:val="000000" w:themeColor="text1"/>
        </w:rPr>
        <w:t xml:space="preserve">App no </w:t>
      </w:r>
      <w:r w:rsidR="00DB4BB7" w:rsidRPr="00A039C6">
        <w:rPr>
          <w:rFonts w:ascii="Times New Roman" w:hAnsi="Times New Roman" w:cs="Times New Roman"/>
        </w:rPr>
        <w:t xml:space="preserve">66/1997/850/1057 (ECtHR, </w:t>
      </w:r>
      <w:r w:rsidR="00DB4BB7" w:rsidRPr="00A039C6">
        <w:rPr>
          <w:rFonts w:ascii="Times New Roman" w:hAnsi="Times New Roman" w:cs="Times New Roman"/>
          <w:color w:val="000000" w:themeColor="text1"/>
        </w:rPr>
        <w:t>28 July 1998)</w:t>
      </w:r>
      <w:r w:rsidRPr="00A039C6">
        <w:rPr>
          <w:rFonts w:ascii="Times New Roman" w:hAnsi="Times New Roman" w:cs="Times New Roman"/>
          <w:color w:val="000000" w:themeColor="text1"/>
        </w:rPr>
        <w:t xml:space="preserve"> para 82; </w:t>
      </w:r>
      <w:r w:rsidRPr="00A039C6">
        <w:rPr>
          <w:rFonts w:ascii="Times New Roman" w:hAnsi="Times New Roman" w:cs="Times New Roman"/>
          <w:i/>
          <w:color w:val="000000" w:themeColor="text1"/>
        </w:rPr>
        <w:t xml:space="preserve">Kaya v Turkey </w:t>
      </w:r>
      <w:r w:rsidR="00DB4BB7" w:rsidRPr="00A039C6">
        <w:rPr>
          <w:rFonts w:ascii="Times New Roman" w:hAnsi="Times New Roman" w:cs="Times New Roman"/>
          <w:color w:val="000000" w:themeColor="text1"/>
        </w:rPr>
        <w:t xml:space="preserve">App no </w:t>
      </w:r>
      <w:r w:rsidR="00DB4BB7" w:rsidRPr="00A039C6">
        <w:rPr>
          <w:rFonts w:ascii="Times New Roman" w:hAnsi="Times New Roman" w:cs="Times New Roman"/>
        </w:rPr>
        <w:t>22729/93 (ECtHR, 19 February 1998)</w:t>
      </w:r>
      <w:r w:rsidRPr="00A039C6">
        <w:rPr>
          <w:rFonts w:ascii="Times New Roman" w:hAnsi="Times New Roman" w:cs="Times New Roman"/>
          <w:color w:val="000000" w:themeColor="text1"/>
        </w:rPr>
        <w:t xml:space="preserve"> para</w:t>
      </w:r>
      <w:r w:rsidR="009A7027">
        <w:rPr>
          <w:rFonts w:ascii="Times New Roman" w:hAnsi="Times New Roman" w:cs="Times New Roman"/>
          <w:color w:val="000000" w:themeColor="text1"/>
        </w:rPr>
        <w:t>s 78</w:t>
      </w:r>
      <w:r w:rsidRPr="00A039C6">
        <w:rPr>
          <w:rFonts w:ascii="Times New Roman" w:hAnsi="Times New Roman" w:cs="Times New Roman"/>
          <w:color w:val="000000" w:themeColor="text1"/>
        </w:rPr>
        <w:t xml:space="preserve"> and 86; </w:t>
      </w:r>
      <w:proofErr w:type="spellStart"/>
      <w:r w:rsidRPr="00A039C6">
        <w:rPr>
          <w:rStyle w:val="s6b621b36"/>
          <w:rFonts w:ascii="Times New Roman" w:hAnsi="Times New Roman" w:cs="Times New Roman"/>
          <w:i/>
          <w:iCs/>
          <w:color w:val="000000" w:themeColor="text1"/>
          <w:shd w:val="clear" w:color="auto" w:fill="FFFFFF"/>
        </w:rPr>
        <w:t>Güleç</w:t>
      </w:r>
      <w:proofErr w:type="spellEnd"/>
      <w:r w:rsidRPr="00A039C6">
        <w:rPr>
          <w:rStyle w:val="s6b621b36"/>
          <w:rFonts w:ascii="Times New Roman" w:hAnsi="Times New Roman" w:cs="Times New Roman"/>
          <w:i/>
          <w:iCs/>
          <w:color w:val="000000" w:themeColor="text1"/>
          <w:shd w:val="clear" w:color="auto" w:fill="FFFFFF"/>
        </w:rPr>
        <w:t xml:space="preserve"> v Turkey</w:t>
      </w:r>
      <w:r w:rsidRPr="00A039C6">
        <w:rPr>
          <w:rStyle w:val="sb8d990e2"/>
          <w:rFonts w:ascii="Times New Roman" w:hAnsi="Times New Roman" w:cs="Times New Roman"/>
          <w:color w:val="000000" w:themeColor="text1"/>
          <w:shd w:val="clear" w:color="auto" w:fill="FFFFFF"/>
        </w:rPr>
        <w:t xml:space="preserve"> </w:t>
      </w:r>
      <w:r w:rsidR="00DB4BB7" w:rsidRPr="00A039C6">
        <w:rPr>
          <w:rStyle w:val="sb8d990e2"/>
          <w:rFonts w:ascii="Times New Roman" w:hAnsi="Times New Roman" w:cs="Times New Roman"/>
          <w:color w:val="000000" w:themeColor="text1"/>
          <w:shd w:val="clear" w:color="auto" w:fill="FFFFFF"/>
        </w:rPr>
        <w:t xml:space="preserve">App </w:t>
      </w:r>
      <w:r w:rsidR="00A039C6" w:rsidRPr="00A039C6">
        <w:rPr>
          <w:rStyle w:val="sb8d990e2"/>
          <w:rFonts w:ascii="Times New Roman" w:hAnsi="Times New Roman" w:cs="Times New Roman"/>
          <w:color w:val="000000" w:themeColor="text1"/>
          <w:shd w:val="clear" w:color="auto" w:fill="FFFFFF"/>
        </w:rPr>
        <w:t>n</w:t>
      </w:r>
      <w:r w:rsidR="00DB4BB7" w:rsidRPr="00A039C6">
        <w:rPr>
          <w:rStyle w:val="sb8d990e2"/>
          <w:rFonts w:ascii="Times New Roman" w:hAnsi="Times New Roman" w:cs="Times New Roman"/>
          <w:color w:val="000000" w:themeColor="text1"/>
          <w:shd w:val="clear" w:color="auto" w:fill="FFFFFF"/>
        </w:rPr>
        <w:t xml:space="preserve">o </w:t>
      </w:r>
      <w:r w:rsidR="00DB4BB7" w:rsidRPr="00A039C6">
        <w:rPr>
          <w:rStyle w:val="sb8d990e2"/>
          <w:rFonts w:ascii="Times New Roman" w:hAnsi="Times New Roman" w:cs="Times New Roman"/>
          <w:shd w:val="clear" w:color="auto" w:fill="FFFFFF"/>
        </w:rPr>
        <w:t>21593/93 (ECtHR, 27 July 1998)</w:t>
      </w:r>
      <w:r w:rsidRPr="00A039C6">
        <w:rPr>
          <w:rStyle w:val="sb8d990e2"/>
          <w:rFonts w:ascii="Times New Roman" w:hAnsi="Times New Roman" w:cs="Times New Roman"/>
          <w:color w:val="000000" w:themeColor="text1"/>
          <w:shd w:val="clear" w:color="auto" w:fill="FFFFFF"/>
        </w:rPr>
        <w:t xml:space="preserve"> para 81</w:t>
      </w:r>
    </w:p>
  </w:footnote>
  <w:footnote w:id="8">
    <w:p w14:paraId="178A67D0" w14:textId="6C95C0C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McCann</w:t>
      </w:r>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5) para 161. See E</w:t>
      </w:r>
      <w:r w:rsidR="00754FD3" w:rsidRPr="00A039C6">
        <w:rPr>
          <w:rFonts w:ascii="Times New Roman" w:hAnsi="Times New Roman" w:cs="Times New Roman"/>
          <w:color w:val="000000" w:themeColor="text1"/>
        </w:rPr>
        <w:t>va</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Brems</w:t>
      </w:r>
      <w:proofErr w:type="spellEnd"/>
      <w:r w:rsidRPr="00A039C6">
        <w:rPr>
          <w:rFonts w:ascii="Times New Roman" w:hAnsi="Times New Roman" w:cs="Times New Roman"/>
          <w:color w:val="000000" w:themeColor="text1"/>
        </w:rPr>
        <w:t>, ‘Procedural Protection. An Examination of Procedural Safeguards Read into the Substantive Convention Rights’ in E</w:t>
      </w:r>
      <w:r w:rsidR="00754FD3" w:rsidRPr="00A039C6">
        <w:rPr>
          <w:rFonts w:ascii="Times New Roman" w:hAnsi="Times New Roman" w:cs="Times New Roman"/>
          <w:color w:val="000000" w:themeColor="text1"/>
        </w:rPr>
        <w:t>va</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Brems</w:t>
      </w:r>
      <w:proofErr w:type="spellEnd"/>
      <w:r w:rsidRPr="00A039C6">
        <w:rPr>
          <w:rFonts w:ascii="Times New Roman" w:hAnsi="Times New Roman" w:cs="Times New Roman"/>
          <w:color w:val="000000" w:themeColor="text1"/>
        </w:rPr>
        <w:t xml:space="preserve"> and </w:t>
      </w:r>
      <w:proofErr w:type="spellStart"/>
      <w:r w:rsidRPr="00A039C6">
        <w:rPr>
          <w:rFonts w:ascii="Times New Roman" w:hAnsi="Times New Roman" w:cs="Times New Roman"/>
          <w:color w:val="000000" w:themeColor="text1"/>
        </w:rPr>
        <w:t>J</w:t>
      </w:r>
      <w:r w:rsidR="00754FD3" w:rsidRPr="00A039C6">
        <w:rPr>
          <w:rFonts w:ascii="Times New Roman" w:hAnsi="Times New Roman" w:cs="Times New Roman"/>
          <w:color w:val="000000" w:themeColor="text1"/>
        </w:rPr>
        <w:t>anneke</w:t>
      </w:r>
      <w:proofErr w:type="spellEnd"/>
      <w:r w:rsidR="00754FD3"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Gerards</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eds</w:t>
      </w:r>
      <w:proofErr w:type="spellEnd"/>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 xml:space="preserve">Shaping Rights in the ECHR: The Role of the European Court of Human Rights in Determining the Scope of Human Rights </w:t>
      </w:r>
      <w:r w:rsidRPr="00A039C6">
        <w:rPr>
          <w:rFonts w:ascii="Times New Roman" w:hAnsi="Times New Roman" w:cs="Times New Roman"/>
          <w:color w:val="000000" w:themeColor="text1"/>
        </w:rPr>
        <w:t>(CUP 2014) 137, 142</w:t>
      </w:r>
    </w:p>
  </w:footnote>
  <w:footnote w:id="9">
    <w:p w14:paraId="33BD5278" w14:textId="2DE57A8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Suleymanova</w:t>
      </w:r>
      <w:proofErr w:type="spellEnd"/>
      <w:r w:rsidRPr="00A039C6">
        <w:rPr>
          <w:rFonts w:ascii="Times New Roman" w:hAnsi="Times New Roman" w:cs="Times New Roman"/>
          <w:i/>
          <w:color w:val="000000" w:themeColor="text1"/>
        </w:rPr>
        <w:t xml:space="preserve"> v Russia</w:t>
      </w:r>
      <w:r w:rsidRPr="00A039C6">
        <w:rPr>
          <w:rFonts w:ascii="Times New Roman" w:hAnsi="Times New Roman" w:cs="Times New Roman"/>
          <w:color w:val="000000" w:themeColor="text1"/>
        </w:rPr>
        <w:t xml:space="preserve"> App no 9191/06 (ECtHR</w:t>
      </w:r>
      <w:r w:rsidR="00DB4BB7"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12 May 2010) para 77</w:t>
      </w:r>
    </w:p>
  </w:footnote>
  <w:footnote w:id="10">
    <w:p w14:paraId="7487B5DB" w14:textId="5BD24E41" w:rsidR="00493A06" w:rsidRPr="00A039C6" w:rsidRDefault="00493A06" w:rsidP="009A703F">
      <w:pPr>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Acar</w:t>
      </w:r>
      <w:proofErr w:type="spellEnd"/>
      <w:r w:rsidRPr="00A039C6">
        <w:rPr>
          <w:rFonts w:ascii="Times New Roman" w:hAnsi="Times New Roman" w:cs="Times New Roman"/>
          <w:i/>
          <w:color w:val="000000" w:themeColor="text1"/>
        </w:rPr>
        <w:t xml:space="preserve"> v Turkey </w:t>
      </w:r>
      <w:r w:rsidR="00DB4BB7" w:rsidRPr="00A039C6">
        <w:rPr>
          <w:rFonts w:ascii="Times New Roman" w:hAnsi="Times New Roman" w:cs="Times New Roman"/>
          <w:color w:val="000000" w:themeColor="text1"/>
        </w:rPr>
        <w:t xml:space="preserve">App no </w:t>
      </w:r>
      <w:r w:rsidR="00DB4BB7" w:rsidRPr="00A039C6">
        <w:rPr>
          <w:rFonts w:ascii="Times New Roman" w:hAnsi="Times New Roman" w:cs="Times New Roman"/>
        </w:rPr>
        <w:t>26307/95</w:t>
      </w:r>
      <w:r w:rsidRPr="00A039C6">
        <w:rPr>
          <w:rFonts w:ascii="Times New Roman" w:hAnsi="Times New Roman" w:cs="Times New Roman"/>
          <w:color w:val="000000" w:themeColor="text1"/>
        </w:rPr>
        <w:t xml:space="preserve"> </w:t>
      </w:r>
      <w:r w:rsidR="00DB4BB7" w:rsidRPr="00A039C6">
        <w:rPr>
          <w:rFonts w:ascii="Times New Roman" w:hAnsi="Times New Roman" w:cs="Times New Roman"/>
          <w:color w:val="000000" w:themeColor="text1"/>
        </w:rPr>
        <w:t xml:space="preserve">(ECtHR, 8 April 2004) </w:t>
      </w:r>
      <w:r w:rsidRPr="00A039C6">
        <w:rPr>
          <w:rFonts w:ascii="Times New Roman" w:hAnsi="Times New Roman" w:cs="Times New Roman"/>
          <w:color w:val="000000" w:themeColor="text1"/>
        </w:rPr>
        <w:t xml:space="preserve">para 221. See also </w:t>
      </w:r>
      <w:proofErr w:type="spellStart"/>
      <w:r w:rsidRPr="00A039C6">
        <w:rPr>
          <w:rFonts w:ascii="Times New Roman" w:hAnsi="Times New Roman" w:cs="Times New Roman"/>
          <w:color w:val="000000" w:themeColor="text1"/>
        </w:rPr>
        <w:t>Brems</w:t>
      </w:r>
      <w:proofErr w:type="spellEnd"/>
      <w:r w:rsidRPr="00A039C6">
        <w:rPr>
          <w:rFonts w:ascii="Times New Roman" w:hAnsi="Times New Roman" w:cs="Times New Roman"/>
          <w:color w:val="000000" w:themeColor="text1"/>
        </w:rPr>
        <w:t xml:space="preserve"> (n 7) 142 and 149</w:t>
      </w:r>
    </w:p>
  </w:footnote>
  <w:footnote w:id="11">
    <w:p w14:paraId="15589610" w14:textId="7ABDF7C3"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A summary of the principles can be found in </w:t>
      </w:r>
      <w:proofErr w:type="spellStart"/>
      <w:r w:rsidRPr="00A039C6">
        <w:rPr>
          <w:rFonts w:ascii="Times New Roman" w:hAnsi="Times New Roman" w:cs="Times New Roman"/>
          <w:i/>
          <w:color w:val="000000" w:themeColor="text1"/>
        </w:rPr>
        <w:t>Tagayeva</w:t>
      </w:r>
      <w:proofErr w:type="spellEnd"/>
      <w:r w:rsidRPr="00A039C6">
        <w:rPr>
          <w:rFonts w:ascii="Times New Roman" w:hAnsi="Times New Roman" w:cs="Times New Roman"/>
          <w:i/>
          <w:color w:val="000000" w:themeColor="text1"/>
        </w:rPr>
        <w:t xml:space="preserve"> and Others v Russia</w:t>
      </w:r>
      <w:r w:rsidRPr="00A039C6">
        <w:rPr>
          <w:rFonts w:ascii="Times New Roman" w:hAnsi="Times New Roman" w:cs="Times New Roman"/>
          <w:color w:val="000000" w:themeColor="text1"/>
        </w:rPr>
        <w:t xml:space="preserve"> App no 26562/07 (ECtHR</w:t>
      </w:r>
      <w:r w:rsidR="00DB4BB7"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18 September 2017) para 496</w:t>
      </w:r>
    </w:p>
  </w:footnote>
  <w:footnote w:id="12">
    <w:p w14:paraId="27112445" w14:textId="7882449B"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i/>
          <w:color w:val="000000" w:themeColor="text1"/>
        </w:rPr>
        <w:t xml:space="preserve"> v Turkey</w:t>
      </w:r>
      <w:r w:rsidRPr="00A039C6">
        <w:rPr>
          <w:rFonts w:ascii="Times New Roman" w:hAnsi="Times New Roman" w:cs="Times New Roman"/>
          <w:color w:val="000000" w:themeColor="text1"/>
        </w:rPr>
        <w:t xml:space="preserve"> App no 24014/05 (ECtHR</w:t>
      </w:r>
      <w:r w:rsidR="00DB4BB7"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14 April 2015) para 225; </w:t>
      </w:r>
      <w:proofErr w:type="spellStart"/>
      <w:r w:rsidRPr="00A039C6">
        <w:rPr>
          <w:rFonts w:ascii="Times New Roman" w:hAnsi="Times New Roman" w:cs="Times New Roman"/>
          <w:i/>
          <w:color w:val="000000" w:themeColor="text1"/>
        </w:rPr>
        <w:t>Lovyginy</w:t>
      </w:r>
      <w:proofErr w:type="spellEnd"/>
      <w:r w:rsidRPr="00A039C6">
        <w:rPr>
          <w:rFonts w:ascii="Times New Roman" w:hAnsi="Times New Roman" w:cs="Times New Roman"/>
          <w:i/>
          <w:color w:val="000000" w:themeColor="text1"/>
        </w:rPr>
        <w:t xml:space="preserve"> v Ukraine </w:t>
      </w:r>
      <w:r w:rsidRPr="00A039C6">
        <w:rPr>
          <w:rFonts w:ascii="Times New Roman" w:hAnsi="Times New Roman" w:cs="Times New Roman"/>
          <w:color w:val="000000" w:themeColor="text1"/>
        </w:rPr>
        <w:t>App no 22323/08 (ECtHR</w:t>
      </w:r>
      <w:r w:rsidR="00DB4BB7"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23 June 2016) para 103; </w:t>
      </w:r>
      <w:proofErr w:type="spellStart"/>
      <w:r w:rsidRPr="00A039C6">
        <w:rPr>
          <w:rFonts w:ascii="Times New Roman" w:hAnsi="Times New Roman" w:cs="Times New Roman"/>
          <w:i/>
          <w:color w:val="000000" w:themeColor="text1"/>
        </w:rPr>
        <w:t>Síním</w:t>
      </w:r>
      <w:proofErr w:type="spellEnd"/>
      <w:r w:rsidRPr="00A039C6">
        <w:rPr>
          <w:rFonts w:ascii="Times New Roman" w:hAnsi="Times New Roman" w:cs="Times New Roman"/>
          <w:i/>
          <w:color w:val="000000" w:themeColor="text1"/>
        </w:rPr>
        <w:t xml:space="preserve"> v Turkey </w:t>
      </w:r>
      <w:r w:rsidR="00721C3D" w:rsidRPr="00A039C6">
        <w:rPr>
          <w:rFonts w:ascii="Times New Roman" w:hAnsi="Times New Roman" w:cs="Times New Roman"/>
          <w:color w:val="000000" w:themeColor="text1"/>
        </w:rPr>
        <w:t>App n</w:t>
      </w:r>
      <w:r w:rsidRPr="00A039C6">
        <w:rPr>
          <w:rFonts w:ascii="Times New Roman" w:hAnsi="Times New Roman" w:cs="Times New Roman"/>
          <w:color w:val="000000" w:themeColor="text1"/>
        </w:rPr>
        <w:t>o 9441/10 (ECtHR</w:t>
      </w:r>
      <w:r w:rsidR="00DB4BB7"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6 June 2017) para 65</w:t>
      </w:r>
    </w:p>
  </w:footnote>
  <w:footnote w:id="13">
    <w:p w14:paraId="7DAD48ED" w14:textId="4053B421"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i/>
          <w:color w:val="000000" w:themeColor="text1"/>
        </w:rPr>
        <w:t xml:space="preserve"> v Russia</w:t>
      </w:r>
      <w:r w:rsidRPr="00A039C6">
        <w:rPr>
          <w:rFonts w:ascii="Times New Roman" w:hAnsi="Times New Roman" w:cs="Times New Roman"/>
          <w:color w:val="000000" w:themeColor="text1"/>
        </w:rPr>
        <w:t xml:space="preserve"> </w:t>
      </w:r>
      <w:r w:rsidR="00DB4BB7" w:rsidRPr="00A039C6">
        <w:rPr>
          <w:rFonts w:ascii="Times New Roman" w:hAnsi="Times New Roman" w:cs="Times New Roman"/>
          <w:color w:val="000000" w:themeColor="text1"/>
        </w:rPr>
        <w:t xml:space="preserve">App no </w:t>
      </w:r>
      <w:r w:rsidR="00DB4BB7" w:rsidRPr="00A039C6">
        <w:rPr>
          <w:rFonts w:ascii="Times New Roman" w:hAnsi="Times New Roman" w:cs="Times New Roman"/>
        </w:rPr>
        <w:t>57950/00 (ECtHR, 24 February 2005)</w:t>
      </w:r>
      <w:r w:rsidRPr="00A039C6">
        <w:rPr>
          <w:rFonts w:ascii="Times New Roman" w:hAnsi="Times New Roman" w:cs="Times New Roman"/>
          <w:color w:val="000000" w:themeColor="text1"/>
        </w:rPr>
        <w:t xml:space="preserve"> para 212;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i/>
          <w:color w:val="000000" w:themeColor="text1"/>
        </w:rPr>
        <w:t xml:space="preserve">, </w:t>
      </w:r>
      <w:proofErr w:type="spellStart"/>
      <w:r w:rsidRPr="00A039C6">
        <w:rPr>
          <w:rFonts w:ascii="Times New Roman" w:hAnsi="Times New Roman" w:cs="Times New Roman"/>
          <w:i/>
          <w:color w:val="000000" w:themeColor="text1"/>
        </w:rPr>
        <w:t>Yusupova</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Bazayeva</w:t>
      </w:r>
      <w:proofErr w:type="spellEnd"/>
      <w:r w:rsidRPr="00A039C6">
        <w:rPr>
          <w:rFonts w:ascii="Times New Roman" w:hAnsi="Times New Roman" w:cs="Times New Roman"/>
          <w:i/>
          <w:color w:val="000000" w:themeColor="text1"/>
        </w:rPr>
        <w:t xml:space="preserve"> v Russia</w:t>
      </w:r>
      <w:r w:rsidRPr="00A039C6">
        <w:rPr>
          <w:rFonts w:ascii="Times New Roman" w:hAnsi="Times New Roman" w:cs="Times New Roman"/>
          <w:color w:val="000000" w:themeColor="text1"/>
        </w:rPr>
        <w:t xml:space="preserve"> </w:t>
      </w:r>
      <w:r w:rsidR="00A039C6" w:rsidRPr="00A039C6">
        <w:rPr>
          <w:rFonts w:ascii="Times New Roman" w:hAnsi="Times New Roman" w:cs="Times New Roman"/>
          <w:color w:val="000000" w:themeColor="text1"/>
        </w:rPr>
        <w:t xml:space="preserve">App </w:t>
      </w:r>
      <w:proofErr w:type="spellStart"/>
      <w:r w:rsidR="00A039C6" w:rsidRPr="00A039C6">
        <w:rPr>
          <w:rFonts w:ascii="Times New Roman" w:hAnsi="Times New Roman" w:cs="Times New Roman"/>
          <w:color w:val="000000" w:themeColor="text1"/>
        </w:rPr>
        <w:t>n</w:t>
      </w:r>
      <w:r w:rsidR="00DB4BB7" w:rsidRPr="00A039C6">
        <w:rPr>
          <w:rFonts w:ascii="Times New Roman" w:hAnsi="Times New Roman" w:cs="Times New Roman"/>
          <w:color w:val="000000" w:themeColor="text1"/>
        </w:rPr>
        <w:t>os</w:t>
      </w:r>
      <w:proofErr w:type="spellEnd"/>
      <w:r w:rsidR="00DB4BB7" w:rsidRPr="00A039C6">
        <w:rPr>
          <w:rFonts w:ascii="Times New Roman" w:hAnsi="Times New Roman" w:cs="Times New Roman"/>
          <w:color w:val="000000" w:themeColor="text1"/>
        </w:rPr>
        <w:t xml:space="preserve"> </w:t>
      </w:r>
      <w:r w:rsidR="00DB4BB7" w:rsidRPr="00A039C6">
        <w:rPr>
          <w:rFonts w:ascii="Times New Roman" w:hAnsi="Times New Roman" w:cs="Times New Roman"/>
        </w:rPr>
        <w:t xml:space="preserve">57947/00, 57948/00 and 57949/00 (ECtHR, 24 February 2005) </w:t>
      </w:r>
      <w:r w:rsidRPr="00A039C6">
        <w:rPr>
          <w:rFonts w:ascii="Times New Roman" w:hAnsi="Times New Roman" w:cs="Times New Roman"/>
          <w:color w:val="000000" w:themeColor="text1"/>
        </w:rPr>
        <w:t>para 211;</w:t>
      </w:r>
      <w:r w:rsidRPr="00A039C6">
        <w:rPr>
          <w:rFonts w:ascii="Times New Roman" w:hAnsi="Times New Roman" w:cs="Times New Roman"/>
          <w:i/>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i/>
          <w:color w:val="000000" w:themeColor="text1"/>
        </w:rPr>
        <w:t xml:space="preserve"> v Russia </w:t>
      </w:r>
      <w:r w:rsidR="00DB4BB7" w:rsidRPr="00A039C6">
        <w:rPr>
          <w:rFonts w:ascii="Times New Roman" w:hAnsi="Times New Roman" w:cs="Times New Roman"/>
          <w:color w:val="000000" w:themeColor="text1"/>
        </w:rPr>
        <w:t xml:space="preserve">App </w:t>
      </w:r>
      <w:proofErr w:type="spellStart"/>
      <w:r w:rsidR="00DB4BB7" w:rsidRPr="00A039C6">
        <w:rPr>
          <w:rFonts w:ascii="Times New Roman" w:hAnsi="Times New Roman" w:cs="Times New Roman"/>
          <w:color w:val="000000" w:themeColor="text1"/>
        </w:rPr>
        <w:t>nos</w:t>
      </w:r>
      <w:proofErr w:type="spellEnd"/>
      <w:r w:rsidR="00DB4BB7" w:rsidRPr="00A039C6">
        <w:rPr>
          <w:rFonts w:ascii="Times New Roman" w:hAnsi="Times New Roman" w:cs="Times New Roman"/>
          <w:color w:val="000000" w:themeColor="text1"/>
        </w:rPr>
        <w:t xml:space="preserve"> </w:t>
      </w:r>
      <w:r w:rsidR="00DB4BB7" w:rsidRPr="00A039C6">
        <w:rPr>
          <w:rFonts w:ascii="Times New Roman" w:hAnsi="Times New Roman" w:cs="Times New Roman"/>
        </w:rPr>
        <w:t>57942/00 and 57945/00 (ECtHR, 24 February 2005)</w:t>
      </w:r>
      <w:r w:rsidRPr="00A039C6">
        <w:rPr>
          <w:rFonts w:ascii="Times New Roman" w:hAnsi="Times New Roman" w:cs="Times New Roman"/>
          <w:color w:val="000000" w:themeColor="text1"/>
        </w:rPr>
        <w:t xml:space="preserve"> para 144; </w:t>
      </w:r>
      <w:proofErr w:type="spellStart"/>
      <w:r w:rsidRPr="00A039C6">
        <w:rPr>
          <w:rFonts w:ascii="Times New Roman" w:hAnsi="Times New Roman" w:cs="Times New Roman"/>
          <w:i/>
          <w:color w:val="000000" w:themeColor="text1"/>
        </w:rPr>
        <w:t>Oğur</w:t>
      </w:r>
      <w:proofErr w:type="spellEnd"/>
      <w:r w:rsidRPr="00A039C6">
        <w:rPr>
          <w:rFonts w:ascii="Times New Roman" w:hAnsi="Times New Roman" w:cs="Times New Roman"/>
          <w:i/>
          <w:color w:val="000000" w:themeColor="text1"/>
        </w:rPr>
        <w:t xml:space="preserve"> v Turkey</w:t>
      </w:r>
      <w:r w:rsidRPr="00A039C6">
        <w:rPr>
          <w:rFonts w:ascii="Times New Roman" w:hAnsi="Times New Roman" w:cs="Times New Roman"/>
          <w:color w:val="000000" w:themeColor="text1"/>
        </w:rPr>
        <w:t xml:space="preserve"> </w:t>
      </w:r>
      <w:r w:rsidR="00DB4BB7" w:rsidRPr="00A039C6">
        <w:rPr>
          <w:rFonts w:ascii="Times New Roman" w:hAnsi="Times New Roman" w:cs="Times New Roman"/>
          <w:color w:val="000000" w:themeColor="text1"/>
        </w:rPr>
        <w:t>App no 21594/93 (ECtHR 20 May 1999)</w:t>
      </w:r>
      <w:r w:rsidRPr="00A039C6">
        <w:rPr>
          <w:rFonts w:ascii="Times New Roman" w:hAnsi="Times New Roman" w:cs="Times New Roman"/>
          <w:color w:val="000000" w:themeColor="text1"/>
        </w:rPr>
        <w:t xml:space="preserve"> para 88; </w:t>
      </w:r>
      <w:proofErr w:type="spellStart"/>
      <w:r w:rsidRPr="00A039C6">
        <w:rPr>
          <w:rFonts w:ascii="Times New Roman" w:hAnsi="Times New Roman" w:cs="Times New Roman"/>
          <w:i/>
          <w:color w:val="000000" w:themeColor="text1"/>
        </w:rPr>
        <w:t>Khamzayev</w:t>
      </w:r>
      <w:proofErr w:type="spellEnd"/>
      <w:r w:rsidRPr="00A039C6">
        <w:rPr>
          <w:rFonts w:ascii="Times New Roman" w:hAnsi="Times New Roman" w:cs="Times New Roman"/>
          <w:i/>
          <w:color w:val="000000" w:themeColor="text1"/>
        </w:rPr>
        <w:t xml:space="preserve"> and Others v Russia</w:t>
      </w:r>
      <w:r w:rsidR="00A039C6" w:rsidRPr="00A039C6">
        <w:rPr>
          <w:rFonts w:ascii="Times New Roman" w:hAnsi="Times New Roman" w:cs="Times New Roman"/>
          <w:i/>
          <w:color w:val="000000" w:themeColor="text1"/>
        </w:rPr>
        <w:t xml:space="preserve"> </w:t>
      </w:r>
      <w:r w:rsidR="00A039C6" w:rsidRPr="00A039C6">
        <w:rPr>
          <w:rFonts w:ascii="Times New Roman" w:hAnsi="Times New Roman" w:cs="Times New Roman"/>
          <w:color w:val="000000" w:themeColor="text1"/>
        </w:rPr>
        <w:t>App no 1503/02 (ECtHR, 3 May 2011)</w:t>
      </w:r>
      <w:r w:rsidRPr="00A039C6">
        <w:rPr>
          <w:rFonts w:ascii="Times New Roman" w:hAnsi="Times New Roman" w:cs="Times New Roman"/>
          <w:color w:val="000000" w:themeColor="text1"/>
        </w:rPr>
        <w:t xml:space="preserve"> para 193</w:t>
      </w:r>
    </w:p>
  </w:footnote>
  <w:footnote w:id="14">
    <w:p w14:paraId="7BD3B67D" w14:textId="7B5F30E2" w:rsidR="00493A06" w:rsidRPr="00A039C6" w:rsidRDefault="00493A06" w:rsidP="009A703F">
      <w:pPr>
        <w:pStyle w:val="FootnoteText"/>
        <w:widowControl w:val="0"/>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i/>
          <w:color w:val="000000" w:themeColor="text1"/>
        </w:rPr>
        <w:t xml:space="preserve"> and Others v UK</w:t>
      </w:r>
      <w:r w:rsidRPr="00A039C6">
        <w:rPr>
          <w:rFonts w:ascii="Times New Roman" w:hAnsi="Times New Roman" w:cs="Times New Roman"/>
          <w:color w:val="000000" w:themeColor="text1"/>
        </w:rPr>
        <w:t> </w:t>
      </w:r>
      <w:r w:rsidR="00DB4BB7" w:rsidRPr="00A039C6">
        <w:rPr>
          <w:rFonts w:ascii="Times New Roman" w:hAnsi="Times New Roman" w:cs="Times New Roman"/>
          <w:color w:val="000000" w:themeColor="text1"/>
        </w:rPr>
        <w:t xml:space="preserve">App no </w:t>
      </w:r>
      <w:r w:rsidR="00DB4BB7" w:rsidRPr="00A039C6">
        <w:rPr>
          <w:rFonts w:ascii="Times New Roman" w:hAnsi="Times New Roman" w:cs="Times New Roman"/>
        </w:rPr>
        <w:t>55721/077</w:t>
      </w:r>
      <w:r w:rsidR="00DB4BB7" w:rsidRPr="00A039C6">
        <w:rPr>
          <w:rFonts w:ascii="Times New Roman" w:hAnsi="Times New Roman" w:cs="Times New Roman"/>
          <w:color w:val="000000" w:themeColor="text1"/>
        </w:rPr>
        <w:t xml:space="preserve"> (ECtHR, 7 July 2011) </w:t>
      </w:r>
      <w:r w:rsidRPr="00A039C6">
        <w:rPr>
          <w:rFonts w:ascii="Times New Roman" w:hAnsi="Times New Roman" w:cs="Times New Roman"/>
          <w:color w:val="000000" w:themeColor="text1"/>
        </w:rPr>
        <w:t xml:space="preserve">para 166; </w:t>
      </w:r>
      <w:proofErr w:type="spellStart"/>
      <w:r w:rsidRPr="00A039C6">
        <w:rPr>
          <w:rFonts w:ascii="Times New Roman" w:hAnsi="Times New Roman" w:cs="Times New Roman"/>
          <w:i/>
          <w:color w:val="000000" w:themeColor="text1"/>
        </w:rPr>
        <w:t>Jaloud</w:t>
      </w:r>
      <w:proofErr w:type="spellEnd"/>
      <w:r w:rsidRPr="00A039C6">
        <w:rPr>
          <w:rFonts w:ascii="Times New Roman" w:hAnsi="Times New Roman" w:cs="Times New Roman"/>
          <w:i/>
          <w:color w:val="000000" w:themeColor="text1"/>
        </w:rPr>
        <w:t xml:space="preserve"> v the Netherlands</w:t>
      </w:r>
      <w:r w:rsidR="00DB4BB7" w:rsidRPr="00A039C6">
        <w:rPr>
          <w:rFonts w:ascii="Times New Roman" w:hAnsi="Times New Roman" w:cs="Times New Roman"/>
          <w:color w:val="000000" w:themeColor="text1"/>
        </w:rPr>
        <w:t xml:space="preserve"> App no </w:t>
      </w:r>
      <w:r w:rsidR="00DB4BB7" w:rsidRPr="00A039C6">
        <w:rPr>
          <w:rFonts w:ascii="Times New Roman" w:hAnsi="Times New Roman" w:cs="Times New Roman"/>
        </w:rPr>
        <w:t xml:space="preserve">47708/08 (ECtHR, 20 November 2014) </w:t>
      </w:r>
      <w:r w:rsidRPr="00A039C6">
        <w:rPr>
          <w:rFonts w:ascii="Times New Roman" w:hAnsi="Times New Roman" w:cs="Times New Roman"/>
          <w:color w:val="000000" w:themeColor="text1"/>
        </w:rPr>
        <w:t xml:space="preserve">para 200. See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212;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i/>
          <w:color w:val="000000" w:themeColor="text1"/>
        </w:rPr>
        <w:t xml:space="preserve"> et al</w:t>
      </w:r>
      <w:r w:rsidRPr="00A039C6">
        <w:rPr>
          <w:rFonts w:ascii="Times New Roman" w:hAnsi="Times New Roman" w:cs="Times New Roman"/>
          <w:color w:val="000000" w:themeColor="text1"/>
        </w:rPr>
        <w:t xml:space="preserve"> (n 12) para 211;</w:t>
      </w:r>
      <w:r w:rsidRPr="00A039C6">
        <w:rPr>
          <w:rFonts w:ascii="Times New Roman" w:hAnsi="Times New Roman" w:cs="Times New Roman"/>
          <w:i/>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144; </w:t>
      </w:r>
      <w:r w:rsidRPr="00A039C6">
        <w:rPr>
          <w:rFonts w:ascii="Times New Roman" w:hAnsi="Times New Roman" w:cs="Times New Roman"/>
          <w:i/>
          <w:color w:val="000000" w:themeColor="text1"/>
        </w:rPr>
        <w:t>Jordan v UK</w:t>
      </w:r>
      <w:r w:rsidR="00DB4BB7" w:rsidRPr="00A039C6">
        <w:rPr>
          <w:rFonts w:ascii="Times New Roman" w:hAnsi="Times New Roman" w:cs="Times New Roman"/>
          <w:color w:val="000000" w:themeColor="text1"/>
        </w:rPr>
        <w:t xml:space="preserve"> App no </w:t>
      </w:r>
      <w:r w:rsidR="00DB4BB7" w:rsidRPr="00A039C6">
        <w:rPr>
          <w:rFonts w:ascii="Times New Roman" w:hAnsi="Times New Roman" w:cs="Times New Roman"/>
        </w:rPr>
        <w:t>24746/94 (ECtHR</w:t>
      </w:r>
      <w:r w:rsidR="009A7027">
        <w:rPr>
          <w:rFonts w:ascii="Times New Roman" w:hAnsi="Times New Roman" w:cs="Times New Roman"/>
        </w:rPr>
        <w:t>,</w:t>
      </w:r>
      <w:r w:rsidR="00DB4BB7" w:rsidRPr="00A039C6">
        <w:rPr>
          <w:rFonts w:ascii="Times New Roman" w:hAnsi="Times New Roman" w:cs="Times New Roman"/>
        </w:rPr>
        <w:t xml:space="preserve"> 4 May 2001) </w:t>
      </w:r>
      <w:r w:rsidRPr="00A039C6">
        <w:rPr>
          <w:rFonts w:ascii="Times New Roman" w:hAnsi="Times New Roman" w:cs="Times New Roman"/>
          <w:color w:val="000000" w:themeColor="text1"/>
        </w:rPr>
        <w:t>para 128;</w:t>
      </w:r>
      <w:r w:rsidRPr="00A039C6">
        <w:rPr>
          <w:rFonts w:ascii="Times New Roman" w:hAnsi="Times New Roman" w:cs="Times New Roman"/>
          <w:i/>
          <w:color w:val="000000" w:themeColor="text1"/>
        </w:rPr>
        <w:t xml:space="preserve"> </w:t>
      </w:r>
      <w:proofErr w:type="spellStart"/>
      <w:r w:rsidRPr="00A039C6">
        <w:rPr>
          <w:rFonts w:ascii="Times New Roman" w:hAnsi="Times New Roman" w:cs="Times New Roman"/>
          <w:i/>
          <w:color w:val="000000" w:themeColor="text1"/>
        </w:rPr>
        <w:t>Estamirov</w:t>
      </w:r>
      <w:proofErr w:type="spellEnd"/>
      <w:r w:rsidRPr="00A039C6">
        <w:rPr>
          <w:rFonts w:ascii="Times New Roman" w:hAnsi="Times New Roman" w:cs="Times New Roman"/>
          <w:i/>
          <w:color w:val="000000" w:themeColor="text1"/>
        </w:rPr>
        <w:t xml:space="preserve"> and Others v Russia</w:t>
      </w:r>
      <w:r w:rsidR="00A039C6" w:rsidRPr="00A039C6">
        <w:rPr>
          <w:rFonts w:ascii="Times New Roman" w:hAnsi="Times New Roman" w:cs="Times New Roman"/>
          <w:color w:val="000000" w:themeColor="text1"/>
        </w:rPr>
        <w:t xml:space="preserve"> App no 60272/00 (ECtHR, 12 January 2007) </w:t>
      </w:r>
      <w:r w:rsidRPr="00A039C6">
        <w:rPr>
          <w:rFonts w:ascii="Times New Roman" w:hAnsi="Times New Roman" w:cs="Times New Roman"/>
          <w:color w:val="000000" w:themeColor="text1"/>
        </w:rPr>
        <w:t>para 86</w:t>
      </w:r>
    </w:p>
  </w:footnote>
  <w:footnote w:id="15">
    <w:p w14:paraId="7919CF67" w14:textId="7F6245C8" w:rsidR="00493A06" w:rsidRPr="00A039C6" w:rsidRDefault="00493A06" w:rsidP="009A703F">
      <w:pPr>
        <w:pStyle w:val="FootnoteText"/>
        <w:widowControl w:val="0"/>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w:t>
      </w:r>
      <w:r w:rsidR="009A7027">
        <w:rPr>
          <w:rFonts w:ascii="Times New Roman" w:hAnsi="Times New Roman" w:cs="Times New Roman"/>
          <w:color w:val="000000" w:themeColor="text1"/>
        </w:rPr>
        <w:t>for example</w:t>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13) para 167. In a range of cases starting in 2015 with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 xml:space="preserve">(n 11) </w:t>
      </w:r>
      <w:r w:rsidR="009A7027">
        <w:rPr>
          <w:rFonts w:ascii="Times New Roman" w:hAnsi="Times New Roman" w:cs="Times New Roman"/>
          <w:color w:val="000000" w:themeColor="text1"/>
        </w:rPr>
        <w:t xml:space="preserve">para </w:t>
      </w:r>
      <w:r w:rsidRPr="00A039C6">
        <w:rPr>
          <w:rFonts w:ascii="Times New Roman" w:hAnsi="Times New Roman" w:cs="Times New Roman"/>
          <w:color w:val="000000" w:themeColor="text1"/>
        </w:rPr>
        <w:t>225 the Court has split this principle into two separate ones: promptness and independence.</w:t>
      </w:r>
    </w:p>
  </w:footnote>
  <w:footnote w:id="16">
    <w:p w14:paraId="6E36A670" w14:textId="5B5A02C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Acar</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 xml:space="preserve">(n 9) para 225;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167</w:t>
      </w:r>
    </w:p>
  </w:footnote>
  <w:footnote w:id="17">
    <w:p w14:paraId="52ADAC2D" w14:textId="4E47E206"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w:t>
      </w:r>
      <w:proofErr w:type="spellStart"/>
      <w:r w:rsidRPr="00A039C6">
        <w:rPr>
          <w:rFonts w:ascii="Times New Roman" w:hAnsi="Times New Roman" w:cs="Times New Roman"/>
          <w:i/>
        </w:rPr>
        <w:t>Sarbyanova-Pashaliyaska</w:t>
      </w:r>
      <w:proofErr w:type="spellEnd"/>
      <w:r w:rsidRPr="00A039C6">
        <w:rPr>
          <w:rFonts w:ascii="Times New Roman" w:hAnsi="Times New Roman" w:cs="Times New Roman"/>
          <w:i/>
        </w:rPr>
        <w:t xml:space="preserve"> and </w:t>
      </w:r>
      <w:proofErr w:type="spellStart"/>
      <w:r w:rsidRPr="00A039C6">
        <w:rPr>
          <w:rFonts w:ascii="Times New Roman" w:hAnsi="Times New Roman" w:cs="Times New Roman"/>
          <w:i/>
        </w:rPr>
        <w:t>Pashaliyska</w:t>
      </w:r>
      <w:proofErr w:type="spellEnd"/>
      <w:r w:rsidRPr="00A039C6">
        <w:rPr>
          <w:rFonts w:ascii="Times New Roman" w:hAnsi="Times New Roman" w:cs="Times New Roman"/>
          <w:i/>
        </w:rPr>
        <w:t xml:space="preserve"> v Bulgaria</w:t>
      </w:r>
      <w:r w:rsidRPr="00A039C6">
        <w:rPr>
          <w:rFonts w:ascii="Times New Roman" w:hAnsi="Times New Roman" w:cs="Times New Roman"/>
        </w:rPr>
        <w:t xml:space="preserve"> App no 3524/14 (ECtHR</w:t>
      </w:r>
      <w:r w:rsidR="00DB4BB7" w:rsidRPr="00A039C6">
        <w:rPr>
          <w:rFonts w:ascii="Times New Roman" w:hAnsi="Times New Roman" w:cs="Times New Roman"/>
        </w:rPr>
        <w:t>,</w:t>
      </w:r>
      <w:r w:rsidRPr="00A039C6">
        <w:rPr>
          <w:rFonts w:ascii="Times New Roman" w:hAnsi="Times New Roman" w:cs="Times New Roman"/>
        </w:rPr>
        <w:t xml:space="preserve"> 12 January 2017) para 37; </w:t>
      </w:r>
      <w:proofErr w:type="spellStart"/>
      <w:r w:rsidR="00CC3FEC">
        <w:rPr>
          <w:rFonts w:ascii="Times New Roman" w:hAnsi="Times New Roman" w:cs="Times New Roman"/>
          <w:i/>
        </w:rPr>
        <w:t>Mazepa</w:t>
      </w:r>
      <w:proofErr w:type="spellEnd"/>
      <w:r w:rsidR="00CC3FEC">
        <w:rPr>
          <w:rFonts w:ascii="Times New Roman" w:hAnsi="Times New Roman" w:cs="Times New Roman"/>
          <w:i/>
        </w:rPr>
        <w:t xml:space="preserve"> and O</w:t>
      </w:r>
      <w:r w:rsidRPr="00A039C6">
        <w:rPr>
          <w:rFonts w:ascii="Times New Roman" w:hAnsi="Times New Roman" w:cs="Times New Roman"/>
          <w:i/>
        </w:rPr>
        <w:t xml:space="preserve">thers v Russia </w:t>
      </w:r>
      <w:r w:rsidRPr="00A039C6">
        <w:rPr>
          <w:rFonts w:ascii="Times New Roman" w:hAnsi="Times New Roman" w:cs="Times New Roman"/>
        </w:rPr>
        <w:t>App no 15086/07 (ECtHR</w:t>
      </w:r>
      <w:r w:rsidR="00DB4BB7" w:rsidRPr="00A039C6">
        <w:rPr>
          <w:rFonts w:ascii="Times New Roman" w:hAnsi="Times New Roman" w:cs="Times New Roman"/>
        </w:rPr>
        <w:t>,</w:t>
      </w:r>
      <w:r w:rsidRPr="00A039C6">
        <w:rPr>
          <w:rFonts w:ascii="Times New Roman" w:hAnsi="Times New Roman" w:cs="Times New Roman"/>
        </w:rPr>
        <w:t xml:space="preserve"> 17 July 2018) para 70</w:t>
      </w:r>
    </w:p>
  </w:footnote>
  <w:footnote w:id="18">
    <w:p w14:paraId="6BB30FFD" w14:textId="21C52D3F"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color w:val="000000" w:themeColor="text1"/>
        </w:rPr>
        <w:t xml:space="preserve"> (n 11) para 225. See also </w:t>
      </w:r>
      <w:proofErr w:type="spellStart"/>
      <w:r w:rsidRPr="00A039C6">
        <w:rPr>
          <w:rFonts w:ascii="Times New Roman" w:hAnsi="Times New Roman" w:cs="Times New Roman"/>
          <w:i/>
          <w:color w:val="000000" w:themeColor="text1"/>
        </w:rPr>
        <w:t>Lovyginy</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 xml:space="preserve">(n 11) para 103; </w:t>
      </w:r>
      <w:proofErr w:type="spellStart"/>
      <w:r w:rsidRPr="00A039C6">
        <w:rPr>
          <w:rFonts w:ascii="Times New Roman" w:hAnsi="Times New Roman" w:cs="Times New Roman"/>
          <w:i/>
        </w:rPr>
        <w:t>Sarbyanova-Pashaliyaska</w:t>
      </w:r>
      <w:proofErr w:type="spellEnd"/>
      <w:r w:rsidRPr="00A039C6">
        <w:rPr>
          <w:rFonts w:ascii="Times New Roman" w:hAnsi="Times New Roman" w:cs="Times New Roman"/>
          <w:i/>
        </w:rPr>
        <w:t xml:space="preserve"> and </w:t>
      </w:r>
      <w:proofErr w:type="spellStart"/>
      <w:r w:rsidRPr="00A039C6">
        <w:rPr>
          <w:rFonts w:ascii="Times New Roman" w:hAnsi="Times New Roman" w:cs="Times New Roman"/>
          <w:i/>
        </w:rPr>
        <w:t>Pashaliyska</w:t>
      </w:r>
      <w:proofErr w:type="spellEnd"/>
      <w:r w:rsidRPr="00A039C6">
        <w:rPr>
          <w:rFonts w:ascii="Times New Roman" w:hAnsi="Times New Roman" w:cs="Times New Roman"/>
          <w:i/>
        </w:rPr>
        <w:t xml:space="preserve"> </w:t>
      </w:r>
      <w:r w:rsidRPr="00A039C6">
        <w:rPr>
          <w:rFonts w:ascii="Times New Roman" w:hAnsi="Times New Roman" w:cs="Times New Roman"/>
          <w:color w:val="000000" w:themeColor="text1"/>
        </w:rPr>
        <w:t xml:space="preserve">(n 16) </w:t>
      </w:r>
      <w:r w:rsidRPr="00A039C6">
        <w:rPr>
          <w:rFonts w:ascii="Times New Roman" w:hAnsi="Times New Roman" w:cs="Times New Roman"/>
        </w:rPr>
        <w:t xml:space="preserve">para 37; </w:t>
      </w:r>
      <w:proofErr w:type="spellStart"/>
      <w:r w:rsidRPr="00A039C6">
        <w:rPr>
          <w:rFonts w:ascii="Times New Roman" w:hAnsi="Times New Roman" w:cs="Times New Roman"/>
          <w:i/>
          <w:color w:val="000000" w:themeColor="text1"/>
        </w:rPr>
        <w:t>Síním</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 xml:space="preserve">(n 11) para 65; </w:t>
      </w:r>
      <w:proofErr w:type="spellStart"/>
      <w:r w:rsidRPr="00A039C6">
        <w:rPr>
          <w:rFonts w:ascii="Times New Roman" w:hAnsi="Times New Roman" w:cs="Times New Roman"/>
          <w:i/>
        </w:rPr>
        <w:t>Mazepa</w:t>
      </w:r>
      <w:proofErr w:type="spellEnd"/>
      <w:r w:rsidRPr="00A039C6">
        <w:rPr>
          <w:rFonts w:ascii="Times New Roman" w:hAnsi="Times New Roman" w:cs="Times New Roman"/>
          <w:i/>
        </w:rPr>
        <w:t xml:space="preserve"> and </w:t>
      </w:r>
      <w:r w:rsidR="00CC3FEC">
        <w:rPr>
          <w:rFonts w:ascii="Times New Roman" w:hAnsi="Times New Roman" w:cs="Times New Roman"/>
          <w:i/>
        </w:rPr>
        <w:t>O</w:t>
      </w:r>
      <w:r w:rsidRPr="00A039C6">
        <w:rPr>
          <w:rFonts w:ascii="Times New Roman" w:hAnsi="Times New Roman" w:cs="Times New Roman"/>
          <w:i/>
        </w:rPr>
        <w:t xml:space="preserve">thers </w:t>
      </w:r>
      <w:r w:rsidRPr="00A039C6">
        <w:rPr>
          <w:rFonts w:ascii="Times New Roman" w:hAnsi="Times New Roman" w:cs="Times New Roman"/>
          <w:color w:val="000000" w:themeColor="text1"/>
        </w:rPr>
        <w:t xml:space="preserve">(n 16) </w:t>
      </w:r>
      <w:r w:rsidRPr="00A039C6">
        <w:rPr>
          <w:rFonts w:ascii="Times New Roman" w:hAnsi="Times New Roman" w:cs="Times New Roman"/>
        </w:rPr>
        <w:t>para 70</w:t>
      </w:r>
    </w:p>
  </w:footnote>
  <w:footnote w:id="19">
    <w:p w14:paraId="1A84996D" w14:textId="2EF5C6EA"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Ergi</w:t>
      </w:r>
      <w:proofErr w:type="spellEnd"/>
      <w:r w:rsidRPr="00A039C6">
        <w:rPr>
          <w:rFonts w:ascii="Times New Roman" w:hAnsi="Times New Roman" w:cs="Times New Roman"/>
          <w:color w:val="000000" w:themeColor="text1"/>
          <w:lang w:val="fr-FR"/>
        </w:rPr>
        <w:t xml:space="preserve"> (n 6) para </w:t>
      </w:r>
      <w:proofErr w:type="gramStart"/>
      <w:r w:rsidRPr="00A039C6">
        <w:rPr>
          <w:rFonts w:ascii="Times New Roman" w:hAnsi="Times New Roman" w:cs="Times New Roman"/>
          <w:color w:val="000000" w:themeColor="text1"/>
          <w:lang w:val="fr-FR"/>
        </w:rPr>
        <w:t>85;</w:t>
      </w:r>
      <w:proofErr w:type="gramEnd"/>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Kaya</w:t>
      </w:r>
      <w:r w:rsidRPr="00A039C6">
        <w:rPr>
          <w:rFonts w:ascii="Times New Roman" w:hAnsi="Times New Roman" w:cs="Times New Roman"/>
          <w:color w:val="000000" w:themeColor="text1"/>
          <w:lang w:val="fr-FR"/>
        </w:rPr>
        <w:t xml:space="preserve"> (n 6) para 91</w:t>
      </w:r>
    </w:p>
  </w:footnote>
  <w:footnote w:id="20">
    <w:p w14:paraId="6BFEBC9B" w14:textId="72F94BD3" w:rsidR="00493A06" w:rsidRPr="00A039C6" w:rsidRDefault="00493A06" w:rsidP="009A703F">
      <w:pPr>
        <w:pStyle w:val="FootnoteText"/>
        <w:widowControl w:val="0"/>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bookmarkStart w:id="2" w:name="_Hlk518844624"/>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bookmarkEnd w:id="2"/>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164 as reiterated in</w:t>
      </w:r>
      <w:r w:rsidRPr="00A039C6">
        <w:rPr>
          <w:rFonts w:ascii="Times New Roman" w:hAnsi="Times New Roman" w:cs="Times New Roman"/>
          <w:i/>
          <w:color w:val="000000" w:themeColor="text1"/>
        </w:rPr>
        <w:t xml:space="preserve"> </w:t>
      </w:r>
      <w:bookmarkStart w:id="3" w:name="_Hlk518844707"/>
      <w:proofErr w:type="spellStart"/>
      <w:r w:rsidRPr="00A039C6">
        <w:rPr>
          <w:rFonts w:ascii="Times New Roman" w:hAnsi="Times New Roman" w:cs="Times New Roman"/>
          <w:i/>
          <w:color w:val="000000" w:themeColor="text1"/>
        </w:rPr>
        <w:t>Jaloud</w:t>
      </w:r>
      <w:bookmarkEnd w:id="3"/>
      <w:proofErr w:type="spellEnd"/>
      <w:r w:rsidRPr="00A039C6">
        <w:rPr>
          <w:rFonts w:ascii="Times New Roman" w:hAnsi="Times New Roman" w:cs="Times New Roman"/>
          <w:color w:val="000000" w:themeColor="text1"/>
        </w:rPr>
        <w:t xml:space="preserve"> (n 13) para 186. See also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180</w:t>
      </w:r>
    </w:p>
  </w:footnote>
  <w:footnote w:id="21">
    <w:p w14:paraId="28488572" w14:textId="284E26D1"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See M</w:t>
      </w:r>
      <w:r w:rsidR="00754FD3" w:rsidRPr="00A039C6">
        <w:rPr>
          <w:rFonts w:ascii="Times New Roman" w:hAnsi="Times New Roman" w:cs="Times New Roman"/>
        </w:rPr>
        <w:t>arko</w:t>
      </w:r>
      <w:r w:rsidRPr="00A039C6">
        <w:rPr>
          <w:rFonts w:ascii="Times New Roman" w:hAnsi="Times New Roman" w:cs="Times New Roman"/>
        </w:rPr>
        <w:t xml:space="preserve"> </w:t>
      </w:r>
      <w:proofErr w:type="spellStart"/>
      <w:r w:rsidRPr="00A039C6">
        <w:rPr>
          <w:rFonts w:ascii="Times New Roman" w:hAnsi="Times New Roman" w:cs="Times New Roman"/>
        </w:rPr>
        <w:t>Milanović</w:t>
      </w:r>
      <w:proofErr w:type="spellEnd"/>
      <w:r w:rsidRPr="00A039C6">
        <w:rPr>
          <w:rFonts w:ascii="Times New Roman" w:hAnsi="Times New Roman" w:cs="Times New Roman"/>
        </w:rPr>
        <w:t>, ‘Al-</w:t>
      </w:r>
      <w:proofErr w:type="spellStart"/>
      <w:r w:rsidRPr="00A039C6">
        <w:rPr>
          <w:rFonts w:ascii="Times New Roman" w:hAnsi="Times New Roman" w:cs="Times New Roman"/>
        </w:rPr>
        <w:t>Skeini</w:t>
      </w:r>
      <w:proofErr w:type="spellEnd"/>
      <w:r w:rsidRPr="00A039C6">
        <w:rPr>
          <w:rFonts w:ascii="Times New Roman" w:hAnsi="Times New Roman" w:cs="Times New Roman"/>
        </w:rPr>
        <w:t xml:space="preserve"> and Al-Jedda in Strasbourg’ (2012) 23 EJIL 131; </w:t>
      </w:r>
      <w:proofErr w:type="spellStart"/>
      <w:r w:rsidRPr="00A039C6">
        <w:rPr>
          <w:rFonts w:ascii="Times New Roman" w:hAnsi="Times New Roman" w:cs="Times New Roman"/>
        </w:rPr>
        <w:t>A</w:t>
      </w:r>
      <w:r w:rsidR="00754FD3" w:rsidRPr="00A039C6">
        <w:rPr>
          <w:rFonts w:ascii="Times New Roman" w:hAnsi="Times New Roman" w:cs="Times New Roman"/>
        </w:rPr>
        <w:t>urel</w:t>
      </w:r>
      <w:proofErr w:type="spellEnd"/>
      <w:r w:rsidRPr="00A039C6">
        <w:rPr>
          <w:rFonts w:ascii="Times New Roman" w:hAnsi="Times New Roman" w:cs="Times New Roman"/>
        </w:rPr>
        <w:t xml:space="preserve"> Sari, ‘Untangling Extra-Territorial Jurisdiction from International Responsibility in </w:t>
      </w:r>
      <w:proofErr w:type="spellStart"/>
      <w:r w:rsidRPr="00A039C6">
        <w:rPr>
          <w:rFonts w:ascii="Times New Roman" w:hAnsi="Times New Roman" w:cs="Times New Roman"/>
          <w:i/>
        </w:rPr>
        <w:t>Jaloud</w:t>
      </w:r>
      <w:proofErr w:type="spellEnd"/>
      <w:r w:rsidRPr="00A039C6">
        <w:rPr>
          <w:rFonts w:ascii="Times New Roman" w:hAnsi="Times New Roman" w:cs="Times New Roman"/>
          <w:i/>
        </w:rPr>
        <w:t xml:space="preserve"> v. Netherlands</w:t>
      </w:r>
      <w:r w:rsidRPr="00A039C6">
        <w:rPr>
          <w:rFonts w:ascii="Times New Roman" w:hAnsi="Times New Roman" w:cs="Times New Roman"/>
        </w:rPr>
        <w:t>: Old Problem, New Solutions?’ (2014) 53 Military Law and the Law of War Review 287</w:t>
      </w:r>
    </w:p>
  </w:footnote>
  <w:footnote w:id="22">
    <w:p w14:paraId="5DBB84DA" w14:textId="2B202D1C"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For example, judgments in English courts, written evidence submitted to Parliament by either the government or individuals with relevant expertise, and official reports. Informal discussions with military legal advisers have also assisted the author in gaining a better understanding of the situation. The sources of professional expertise on the practicalities of investigations abroad must be handled with caution, as they reflect a certain perception of the law and its application</w:t>
      </w:r>
    </w:p>
  </w:footnote>
  <w:footnote w:id="23">
    <w:p w14:paraId="794D6675" w14:textId="1EECC7B1"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M</w:t>
      </w:r>
      <w:r w:rsidR="006525C2" w:rsidRPr="00A039C6">
        <w:rPr>
          <w:rFonts w:ascii="Times New Roman" w:hAnsi="Times New Roman" w:cs="Times New Roman"/>
          <w:color w:val="000000" w:themeColor="text1"/>
        </w:rPr>
        <w:t>ichael</w:t>
      </w:r>
      <w:r w:rsidRPr="00A039C6">
        <w:rPr>
          <w:rFonts w:ascii="Times New Roman" w:hAnsi="Times New Roman" w:cs="Times New Roman"/>
          <w:color w:val="000000" w:themeColor="text1"/>
        </w:rPr>
        <w:t xml:space="preserve"> Schmitt, ‘Investigating Violations of International Law in Armed Conflict’ (2011) 2 Harvard National Security Journal 31, 77</w:t>
      </w:r>
    </w:p>
  </w:footnote>
  <w:footnote w:id="24">
    <w:p w14:paraId="606AB669" w14:textId="5EA1C6F2"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See, for example, in </w:t>
      </w:r>
      <w:r w:rsidRPr="00A039C6">
        <w:rPr>
          <w:rFonts w:ascii="Times New Roman" w:hAnsi="Times New Roman" w:cs="Times New Roman"/>
          <w:i/>
        </w:rPr>
        <w:t>Al-</w:t>
      </w:r>
      <w:proofErr w:type="spellStart"/>
      <w:r w:rsidRPr="00A039C6">
        <w:rPr>
          <w:rFonts w:ascii="Times New Roman" w:hAnsi="Times New Roman" w:cs="Times New Roman"/>
          <w:i/>
        </w:rPr>
        <w:t>Skeini</w:t>
      </w:r>
      <w:proofErr w:type="spellEnd"/>
      <w:r w:rsidR="009A7027">
        <w:rPr>
          <w:rFonts w:ascii="Times New Roman" w:hAnsi="Times New Roman" w:cs="Times New Roman"/>
          <w:i/>
        </w:rPr>
        <w:t xml:space="preserve"> </w:t>
      </w:r>
      <w:r w:rsidR="009A7027" w:rsidRPr="00A039C6">
        <w:rPr>
          <w:rFonts w:ascii="Times New Roman" w:hAnsi="Times New Roman" w:cs="Times New Roman"/>
          <w:i/>
          <w:color w:val="000000" w:themeColor="text1"/>
        </w:rPr>
        <w:t>and Others</w:t>
      </w:r>
      <w:r w:rsidRPr="00A039C6">
        <w:rPr>
          <w:rFonts w:ascii="Times New Roman" w:hAnsi="Times New Roman" w:cs="Times New Roman"/>
          <w:i/>
        </w:rPr>
        <w:t xml:space="preserve"> </w:t>
      </w:r>
      <w:r w:rsidRPr="00A039C6">
        <w:rPr>
          <w:rFonts w:ascii="Times New Roman" w:hAnsi="Times New Roman" w:cs="Times New Roman"/>
        </w:rPr>
        <w:t>(n 13) paras 25-27 for a description of the changes to the policy undertaken by the armed forces to comply with its obligations. See also the changes mentioned in Army, The Aitken Report: An Investigation into Cases of Deliberate Abuse and Unlawful Killing in Iraq in 2003 and 2004, 25 January 2008, paras 31-32 and Annex A as well as discussion in Borelli (n 3) 390-391</w:t>
      </w:r>
    </w:p>
  </w:footnote>
  <w:footnote w:id="25">
    <w:p w14:paraId="5749F752" w14:textId="0F19547E"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w:t>
      </w:r>
      <w:r w:rsidRPr="00A039C6">
        <w:rPr>
          <w:rFonts w:ascii="Times New Roman" w:hAnsi="Times New Roman" w:cs="Times New Roman"/>
          <w:i/>
        </w:rPr>
        <w:t>Legality of the Threat or Use of Nuclear Weapons</w:t>
      </w:r>
      <w:r w:rsidR="007E3B0C">
        <w:rPr>
          <w:rFonts w:ascii="Times New Roman" w:hAnsi="Times New Roman" w:cs="Times New Roman"/>
        </w:rPr>
        <w:t xml:space="preserve"> (Advisory Opinion)</w:t>
      </w:r>
      <w:r w:rsidRPr="00A039C6">
        <w:rPr>
          <w:rFonts w:ascii="Times New Roman" w:hAnsi="Times New Roman" w:cs="Times New Roman"/>
        </w:rPr>
        <w:t xml:space="preserve"> [1996] ICJ Rep 266, para 25; </w:t>
      </w:r>
      <w:r w:rsidRPr="00A039C6">
        <w:rPr>
          <w:rStyle w:val="Emphasis"/>
          <w:rFonts w:ascii="Times New Roman" w:hAnsi="Times New Roman" w:cs="Times New Roman"/>
          <w:b w:val="0"/>
          <w:spacing w:val="0"/>
          <w:shd w:val="clear" w:color="auto" w:fill="FFFFFF"/>
        </w:rPr>
        <w:t>Legal Consequences of the Construction of a Wall in the Occupied Palestinian Territory</w:t>
      </w:r>
      <w:r w:rsidR="007E3B0C">
        <w:rPr>
          <w:rFonts w:ascii="Times New Roman" w:hAnsi="Times New Roman" w:cs="Times New Roman"/>
          <w:shd w:val="clear" w:color="auto" w:fill="FFFFFF"/>
        </w:rPr>
        <w:t xml:space="preserve"> (</w:t>
      </w:r>
      <w:r w:rsidRPr="00A039C6">
        <w:rPr>
          <w:rFonts w:ascii="Times New Roman" w:hAnsi="Times New Roman" w:cs="Times New Roman"/>
          <w:shd w:val="clear" w:color="auto" w:fill="FFFFFF"/>
        </w:rPr>
        <w:t>Advisory Opinion</w:t>
      </w:r>
      <w:r w:rsidR="007E3B0C">
        <w:rPr>
          <w:rFonts w:ascii="Times New Roman" w:hAnsi="Times New Roman" w:cs="Times New Roman"/>
          <w:shd w:val="clear" w:color="auto" w:fill="FFFFFF"/>
        </w:rPr>
        <w:t>)</w:t>
      </w:r>
      <w:r w:rsidRPr="00A039C6">
        <w:rPr>
          <w:rFonts w:ascii="Times New Roman" w:hAnsi="Times New Roman" w:cs="Times New Roman"/>
          <w:shd w:val="clear" w:color="auto" w:fill="FFFFFF"/>
        </w:rPr>
        <w:t xml:space="preserve"> [2004] ICJ Rep 136, paras 101-106; </w:t>
      </w:r>
      <w:r w:rsidRPr="00A039C6">
        <w:rPr>
          <w:rStyle w:val="Emphasis"/>
          <w:rFonts w:ascii="Times New Roman" w:hAnsi="Times New Roman" w:cs="Times New Roman"/>
          <w:b w:val="0"/>
          <w:spacing w:val="0"/>
          <w:shd w:val="clear" w:color="auto" w:fill="FFFFFF"/>
        </w:rPr>
        <w:t>Armed Activities on the Territory of the Congo (Democratic Republic of the Congo</w:t>
      </w:r>
      <w:r w:rsidRPr="00A039C6">
        <w:rPr>
          <w:rStyle w:val="apple-converted-space"/>
          <w:rFonts w:ascii="Times New Roman" w:hAnsi="Times New Roman" w:cs="Times New Roman"/>
          <w:iCs/>
          <w:shd w:val="clear" w:color="auto" w:fill="FFFFFF"/>
        </w:rPr>
        <w:t> </w:t>
      </w:r>
      <w:r w:rsidRPr="00A039C6">
        <w:rPr>
          <w:rStyle w:val="Emphasis"/>
          <w:rFonts w:ascii="Times New Roman" w:hAnsi="Times New Roman" w:cs="Times New Roman"/>
          <w:b w:val="0"/>
          <w:spacing w:val="0"/>
          <w:shd w:val="clear" w:color="auto" w:fill="FFFFFF"/>
        </w:rPr>
        <w:t>v</w:t>
      </w:r>
      <w:r w:rsidRPr="00A039C6">
        <w:rPr>
          <w:rStyle w:val="apple-converted-space"/>
          <w:rFonts w:ascii="Times New Roman" w:hAnsi="Times New Roman" w:cs="Times New Roman"/>
          <w:shd w:val="clear" w:color="auto" w:fill="FFFFFF"/>
        </w:rPr>
        <w:t> </w:t>
      </w:r>
      <w:r w:rsidRPr="00A039C6">
        <w:rPr>
          <w:rStyle w:val="Emphasis"/>
          <w:rFonts w:ascii="Times New Roman" w:hAnsi="Times New Roman" w:cs="Times New Roman"/>
          <w:b w:val="0"/>
          <w:spacing w:val="0"/>
          <w:shd w:val="clear" w:color="auto" w:fill="FFFFFF"/>
        </w:rPr>
        <w:t>Uganda</w:t>
      </w:r>
      <w:r w:rsidRPr="00A039C6">
        <w:rPr>
          <w:rFonts w:ascii="Times New Roman" w:hAnsi="Times New Roman" w:cs="Times New Roman"/>
          <w:shd w:val="clear" w:color="auto" w:fill="FFFFFF"/>
        </w:rPr>
        <w:t>) [2005] ICJ Rep 168,</w:t>
      </w:r>
      <w:r w:rsidRPr="00A039C6">
        <w:rPr>
          <w:rStyle w:val="apple-converted-space"/>
          <w:rFonts w:ascii="Times New Roman" w:hAnsi="Times New Roman" w:cs="Times New Roman"/>
          <w:shd w:val="clear" w:color="auto" w:fill="FFFFFF"/>
        </w:rPr>
        <w:t> para 261</w:t>
      </w:r>
    </w:p>
  </w:footnote>
  <w:footnote w:id="26">
    <w:p w14:paraId="54CB6921" w14:textId="699EC89A"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J</w:t>
      </w:r>
      <w:r w:rsidR="006525C2" w:rsidRPr="00A039C6">
        <w:rPr>
          <w:rFonts w:ascii="Times New Roman" w:hAnsi="Times New Roman" w:cs="Times New Roman"/>
        </w:rPr>
        <w:t>ann</w:t>
      </w:r>
      <w:r w:rsidRPr="00A039C6">
        <w:rPr>
          <w:rFonts w:ascii="Times New Roman" w:hAnsi="Times New Roman" w:cs="Times New Roman"/>
        </w:rPr>
        <w:t xml:space="preserve"> Kleffner, ‘Human Rights and International Humanitarian Law: General Issues’ in T</w:t>
      </w:r>
      <w:r w:rsidR="006525C2" w:rsidRPr="00A039C6">
        <w:rPr>
          <w:rFonts w:ascii="Times New Roman" w:hAnsi="Times New Roman" w:cs="Times New Roman"/>
        </w:rPr>
        <w:t xml:space="preserve">erry </w:t>
      </w:r>
      <w:r w:rsidRPr="00A039C6">
        <w:rPr>
          <w:rFonts w:ascii="Times New Roman" w:hAnsi="Times New Roman" w:cs="Times New Roman"/>
        </w:rPr>
        <w:t>D Gill and D</w:t>
      </w:r>
      <w:r w:rsidR="006525C2" w:rsidRPr="00A039C6">
        <w:rPr>
          <w:rFonts w:ascii="Times New Roman" w:hAnsi="Times New Roman" w:cs="Times New Roman"/>
        </w:rPr>
        <w:t>ieter</w:t>
      </w:r>
      <w:r w:rsidRPr="00A039C6">
        <w:rPr>
          <w:rFonts w:ascii="Times New Roman" w:hAnsi="Times New Roman" w:cs="Times New Roman"/>
        </w:rPr>
        <w:t xml:space="preserve"> Fleck (</w:t>
      </w:r>
      <w:proofErr w:type="spellStart"/>
      <w:r w:rsidRPr="00A039C6">
        <w:rPr>
          <w:rFonts w:ascii="Times New Roman" w:hAnsi="Times New Roman" w:cs="Times New Roman"/>
        </w:rPr>
        <w:t>eds</w:t>
      </w:r>
      <w:proofErr w:type="spellEnd"/>
      <w:r w:rsidRPr="00A039C6">
        <w:rPr>
          <w:rFonts w:ascii="Times New Roman" w:hAnsi="Times New Roman" w:cs="Times New Roman"/>
        </w:rPr>
        <w:t xml:space="preserve">), </w:t>
      </w:r>
      <w:r w:rsidRPr="00A039C6">
        <w:rPr>
          <w:rFonts w:ascii="Times New Roman" w:hAnsi="Times New Roman" w:cs="Times New Roman"/>
          <w:i/>
        </w:rPr>
        <w:t xml:space="preserve">The Handbook of the International Law of Military Operations </w:t>
      </w:r>
      <w:r w:rsidRPr="00A039C6">
        <w:rPr>
          <w:rFonts w:ascii="Times New Roman" w:hAnsi="Times New Roman" w:cs="Times New Roman"/>
        </w:rPr>
        <w:t>(OUP 2010) 51, 72</w:t>
      </w:r>
    </w:p>
  </w:footnote>
  <w:footnote w:id="27">
    <w:p w14:paraId="2EE89CB8" w14:textId="34C66C46"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For investigations u</w:t>
      </w:r>
      <w:r w:rsidR="006525C2" w:rsidRPr="00A039C6">
        <w:rPr>
          <w:rFonts w:ascii="Times New Roman" w:hAnsi="Times New Roman" w:cs="Times New Roman"/>
        </w:rPr>
        <w:t>nd</w:t>
      </w:r>
      <w:r w:rsidR="007E3B0C">
        <w:rPr>
          <w:rFonts w:ascii="Times New Roman" w:hAnsi="Times New Roman" w:cs="Times New Roman"/>
        </w:rPr>
        <w:t>er IHL, see Schmitt (n 22) and</w:t>
      </w:r>
      <w:r w:rsidR="00721C3D" w:rsidRPr="00A039C6">
        <w:rPr>
          <w:rFonts w:ascii="Times New Roman" w:hAnsi="Times New Roman" w:cs="Times New Roman"/>
        </w:rPr>
        <w:t xml:space="preserve"> </w:t>
      </w:r>
      <w:proofErr w:type="spellStart"/>
      <w:r w:rsidR="00721C3D" w:rsidRPr="00A039C6">
        <w:rPr>
          <w:rFonts w:ascii="Times New Roman" w:hAnsi="Times New Roman" w:cs="Times New Roman"/>
        </w:rPr>
        <w:t>Sylv</w:t>
      </w:r>
      <w:r w:rsidR="006525C2" w:rsidRPr="00A039C6">
        <w:rPr>
          <w:rFonts w:ascii="Times New Roman" w:hAnsi="Times New Roman" w:cs="Times New Roman"/>
        </w:rPr>
        <w:t>aine</w:t>
      </w:r>
      <w:proofErr w:type="spellEnd"/>
      <w:r w:rsidRPr="00A039C6">
        <w:rPr>
          <w:rFonts w:ascii="Times New Roman" w:hAnsi="Times New Roman" w:cs="Times New Roman"/>
        </w:rPr>
        <w:t xml:space="preserve"> Wong, ‘Investigating Civilian Casualties in Armed Conflict: Comparing US. Military Investigations with Alternatives under International Humanitarian Law and Human Rights Law’ (2015) 64 Naval Law Review 111</w:t>
      </w:r>
    </w:p>
  </w:footnote>
  <w:footnote w:id="28">
    <w:p w14:paraId="0F512F15" w14:textId="230C1E84"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See discussion in R</w:t>
      </w:r>
      <w:r w:rsidR="006525C2" w:rsidRPr="00A039C6">
        <w:rPr>
          <w:rFonts w:ascii="Times New Roman" w:hAnsi="Times New Roman" w:cs="Times New Roman"/>
        </w:rPr>
        <w:t>yan</w:t>
      </w:r>
      <w:r w:rsidRPr="00A039C6">
        <w:rPr>
          <w:rFonts w:ascii="Times New Roman" w:hAnsi="Times New Roman" w:cs="Times New Roman"/>
        </w:rPr>
        <w:t xml:space="preserve"> </w:t>
      </w:r>
      <w:proofErr w:type="spellStart"/>
      <w:r w:rsidRPr="00A039C6">
        <w:rPr>
          <w:rFonts w:ascii="Times New Roman" w:hAnsi="Times New Roman" w:cs="Times New Roman"/>
        </w:rPr>
        <w:t>Santicola</w:t>
      </w:r>
      <w:proofErr w:type="spellEnd"/>
      <w:r w:rsidRPr="00A039C6">
        <w:rPr>
          <w:rFonts w:ascii="Times New Roman" w:hAnsi="Times New Roman" w:cs="Times New Roman"/>
        </w:rPr>
        <w:t xml:space="preserve"> and H</w:t>
      </w:r>
      <w:r w:rsidR="006525C2" w:rsidRPr="00A039C6">
        <w:rPr>
          <w:rFonts w:ascii="Times New Roman" w:hAnsi="Times New Roman" w:cs="Times New Roman"/>
        </w:rPr>
        <w:t>ila</w:t>
      </w:r>
      <w:r w:rsidRPr="00A039C6">
        <w:rPr>
          <w:rFonts w:ascii="Times New Roman" w:hAnsi="Times New Roman" w:cs="Times New Roman"/>
        </w:rPr>
        <w:t xml:space="preserve"> </w:t>
      </w:r>
      <w:proofErr w:type="spellStart"/>
      <w:r w:rsidRPr="00A039C6">
        <w:rPr>
          <w:rFonts w:ascii="Times New Roman" w:hAnsi="Times New Roman" w:cs="Times New Roman"/>
        </w:rPr>
        <w:t>Wesa</w:t>
      </w:r>
      <w:proofErr w:type="spellEnd"/>
      <w:r w:rsidRPr="00A039C6">
        <w:rPr>
          <w:rFonts w:ascii="Times New Roman" w:hAnsi="Times New Roman" w:cs="Times New Roman"/>
        </w:rPr>
        <w:t>, ‘Extra-territorial Use of Force Civilian Casualties and the Duty to Investigate’ (2018) 49 Col Hum R L Rev 183, 192-202</w:t>
      </w:r>
    </w:p>
  </w:footnote>
  <w:footnote w:id="29">
    <w:p w14:paraId="6A79D256" w14:textId="746238E2" w:rsidR="00493A06" w:rsidRPr="00A039C6" w:rsidRDefault="00493A06" w:rsidP="009A703F">
      <w:pPr>
        <w:pStyle w:val="FootnoteText"/>
        <w:widowControl w:val="0"/>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w:t>
      </w:r>
      <w:r w:rsidR="007E3B0C">
        <w:rPr>
          <w:rFonts w:ascii="Times New Roman" w:hAnsi="Times New Roman" w:cs="Times New Roman"/>
        </w:rPr>
        <w:t>UNCHR ‘</w:t>
      </w:r>
      <w:r w:rsidRPr="00A039C6">
        <w:rPr>
          <w:rFonts w:ascii="Times New Roman" w:hAnsi="Times New Roman" w:cs="Times New Roman"/>
        </w:rPr>
        <w:t>Report of the United Nations Special Rapporteur on Extrajudicial, Summary or Arbitrary Executions</w:t>
      </w:r>
      <w:r w:rsidR="007E3B0C">
        <w:rPr>
          <w:rFonts w:ascii="Times New Roman" w:hAnsi="Times New Roman" w:cs="Times New Roman"/>
        </w:rPr>
        <w:t>’ (2015)</w:t>
      </w:r>
      <w:r w:rsidRPr="00A039C6">
        <w:rPr>
          <w:rFonts w:ascii="Times New Roman" w:hAnsi="Times New Roman" w:cs="Times New Roman"/>
        </w:rPr>
        <w:t xml:space="preserve"> UN Doc A/70/304, para 28</w:t>
      </w:r>
    </w:p>
  </w:footnote>
  <w:footnote w:id="30">
    <w:p w14:paraId="1D08CC52" w14:textId="77777777" w:rsidR="00B96ACE" w:rsidRPr="00A039C6" w:rsidRDefault="00B96ACE" w:rsidP="00B96ACE">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w:t>
      </w:r>
      <w:r w:rsidRPr="00A039C6">
        <w:rPr>
          <w:rFonts w:ascii="Times New Roman" w:hAnsi="Times New Roman" w:cs="Times New Roman"/>
          <w:i/>
        </w:rPr>
        <w:t>Hassan v UK</w:t>
      </w:r>
      <w:r w:rsidRPr="00A039C6">
        <w:rPr>
          <w:rFonts w:ascii="Times New Roman" w:hAnsi="Times New Roman" w:cs="Times New Roman"/>
        </w:rPr>
        <w:t xml:space="preserve"> App no 29750/09 (ECtHR 16 September 2014)</w:t>
      </w:r>
    </w:p>
  </w:footnote>
  <w:footnote w:id="31">
    <w:p w14:paraId="1002C8A4" w14:textId="2B6F407C"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w:t>
      </w:r>
      <w:r w:rsidR="00B96ACE">
        <w:rPr>
          <w:rFonts w:ascii="Times New Roman" w:hAnsi="Times New Roman" w:cs="Times New Roman"/>
          <w:color w:val="000000" w:themeColor="text1"/>
        </w:rPr>
        <w:t>for example</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Çakici</w:t>
      </w:r>
      <w:proofErr w:type="spellEnd"/>
      <w:r w:rsidRPr="00A039C6">
        <w:rPr>
          <w:rFonts w:ascii="Times New Roman" w:hAnsi="Times New Roman" w:cs="Times New Roman"/>
          <w:i/>
          <w:color w:val="000000" w:themeColor="text1"/>
        </w:rPr>
        <w:t xml:space="preserve"> v Turkey</w:t>
      </w:r>
      <w:r w:rsidRPr="00A039C6">
        <w:rPr>
          <w:rFonts w:ascii="Times New Roman" w:hAnsi="Times New Roman" w:cs="Times New Roman"/>
          <w:color w:val="000000" w:themeColor="text1"/>
        </w:rPr>
        <w:t xml:space="preserve"> </w:t>
      </w:r>
      <w:r w:rsidR="00721C3D" w:rsidRPr="00A039C6">
        <w:rPr>
          <w:rFonts w:ascii="Times New Roman" w:hAnsi="Times New Roman" w:cs="Times New Roman"/>
          <w:color w:val="000000" w:themeColor="text1"/>
        </w:rPr>
        <w:t xml:space="preserve">App no </w:t>
      </w:r>
      <w:r w:rsidR="00721C3D" w:rsidRPr="00A039C6">
        <w:rPr>
          <w:rFonts w:ascii="Times New Roman" w:hAnsi="Times New Roman" w:cs="Times New Roman"/>
        </w:rPr>
        <w:t xml:space="preserve">23657/94 (ECtHR, 8 July 1999) </w:t>
      </w:r>
      <w:r w:rsidRPr="00A039C6">
        <w:rPr>
          <w:rFonts w:ascii="Times New Roman" w:hAnsi="Times New Roman" w:cs="Times New Roman"/>
          <w:color w:val="000000" w:themeColor="text1"/>
        </w:rPr>
        <w:t xml:space="preserve">paras 80, 87 and 106; </w:t>
      </w:r>
      <w:proofErr w:type="spellStart"/>
      <w:r w:rsidRPr="00A039C6">
        <w:rPr>
          <w:rFonts w:ascii="Times New Roman" w:hAnsi="Times New Roman" w:cs="Times New Roman"/>
          <w:i/>
          <w:color w:val="000000" w:themeColor="text1"/>
          <w:lang w:val="fr-FR"/>
        </w:rPr>
        <w:t>Tanrikulu</w:t>
      </w:r>
      <w:proofErr w:type="spellEnd"/>
      <w:r w:rsidRPr="00A039C6">
        <w:rPr>
          <w:rFonts w:ascii="Times New Roman" w:hAnsi="Times New Roman" w:cs="Times New Roman"/>
          <w:i/>
          <w:color w:val="000000" w:themeColor="text1"/>
          <w:lang w:val="fr-FR"/>
        </w:rPr>
        <w:t xml:space="preserve"> v </w:t>
      </w:r>
      <w:proofErr w:type="spellStart"/>
      <w:r w:rsidRPr="00A039C6">
        <w:rPr>
          <w:rFonts w:ascii="Times New Roman" w:hAnsi="Times New Roman" w:cs="Times New Roman"/>
          <w:i/>
          <w:color w:val="000000" w:themeColor="text1"/>
          <w:lang w:val="fr-FR"/>
        </w:rPr>
        <w:t>Turkey</w:t>
      </w:r>
      <w:proofErr w:type="spellEnd"/>
      <w:r w:rsidRPr="00A039C6">
        <w:rPr>
          <w:rFonts w:ascii="Times New Roman" w:hAnsi="Times New Roman" w:cs="Times New Roman"/>
          <w:color w:val="000000" w:themeColor="text1"/>
          <w:lang w:val="fr-FR"/>
        </w:rPr>
        <w:t xml:space="preserve"> </w:t>
      </w:r>
      <w:r w:rsidR="00721C3D" w:rsidRPr="00A039C6">
        <w:rPr>
          <w:rFonts w:ascii="Times New Roman" w:hAnsi="Times New Roman" w:cs="Times New Roman"/>
          <w:color w:val="000000" w:themeColor="text1"/>
          <w:lang w:val="fr-FR"/>
        </w:rPr>
        <w:t xml:space="preserve">App no </w:t>
      </w:r>
      <w:r w:rsidR="00721C3D" w:rsidRPr="00A039C6">
        <w:rPr>
          <w:rFonts w:ascii="Times New Roman" w:hAnsi="Times New Roman" w:cs="Times New Roman"/>
        </w:rPr>
        <w:t>23763/94 (ECtHR, 8 July 1999)</w:t>
      </w:r>
      <w:r w:rsidRPr="00A039C6">
        <w:rPr>
          <w:rFonts w:ascii="Times New Roman" w:hAnsi="Times New Roman" w:cs="Times New Roman"/>
          <w:color w:val="000000" w:themeColor="text1"/>
          <w:lang w:val="fr-FR"/>
        </w:rPr>
        <w:t xml:space="preserve"> </w:t>
      </w:r>
      <w:r w:rsidRPr="00A039C6">
        <w:rPr>
          <w:rFonts w:ascii="Times New Roman" w:hAnsi="Times New Roman" w:cs="Times New Roman"/>
          <w:color w:val="000000" w:themeColor="text1"/>
        </w:rPr>
        <w:t>para 109</w:t>
      </w:r>
    </w:p>
  </w:footnote>
  <w:footnote w:id="32">
    <w:p w14:paraId="55D7FC9D" w14:textId="07D085E1"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rPr>
        <w:t>Akkum</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and Others</w:t>
      </w:r>
      <w:r w:rsidRPr="00A039C6">
        <w:rPr>
          <w:rFonts w:ascii="Times New Roman" w:hAnsi="Times New Roman" w:cs="Times New Roman"/>
          <w:i/>
          <w:color w:val="000000" w:themeColor="text1"/>
        </w:rPr>
        <w:t xml:space="preserve"> v Turkey</w:t>
      </w:r>
      <w:r w:rsidRPr="00A039C6">
        <w:rPr>
          <w:rFonts w:ascii="Times New Roman" w:hAnsi="Times New Roman" w:cs="Times New Roman"/>
          <w:color w:val="000000" w:themeColor="text1"/>
        </w:rPr>
        <w:t xml:space="preserve"> </w:t>
      </w:r>
      <w:r w:rsidR="00A039C6" w:rsidRPr="00A039C6">
        <w:rPr>
          <w:rFonts w:ascii="Times New Roman" w:hAnsi="Times New Roman" w:cs="Times New Roman"/>
          <w:color w:val="000000" w:themeColor="text1"/>
        </w:rPr>
        <w:t>App no 21894/93 (ECtHR, 24 March 2005)</w:t>
      </w:r>
      <w:r w:rsidRPr="00A039C6">
        <w:rPr>
          <w:rFonts w:ascii="Times New Roman" w:hAnsi="Times New Roman" w:cs="Times New Roman"/>
          <w:color w:val="000000" w:themeColor="text1"/>
        </w:rPr>
        <w:t xml:space="preserve"> </w:t>
      </w:r>
      <w:r w:rsidRPr="00A039C6">
        <w:rPr>
          <w:rFonts w:ascii="Times New Roman" w:hAnsi="Times New Roman" w:cs="Times New Roman"/>
          <w:color w:val="000000" w:themeColor="text1"/>
          <w:lang w:val="fr-FR"/>
        </w:rPr>
        <w:t>para 211</w:t>
      </w:r>
    </w:p>
  </w:footnote>
  <w:footnote w:id="33">
    <w:p w14:paraId="3BA68B93" w14:textId="7C2C1CD2"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Russell (n 3) 121; Park (n 3) 49</w:t>
      </w:r>
    </w:p>
  </w:footnote>
  <w:footnote w:id="34">
    <w:p w14:paraId="7F4560EA" w14:textId="17BC26D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176; </w:t>
      </w:r>
      <w:proofErr w:type="spellStart"/>
      <w:r w:rsidRPr="00A039C6">
        <w:rPr>
          <w:rFonts w:ascii="Times New Roman" w:hAnsi="Times New Roman" w:cs="Times New Roman"/>
          <w:i/>
          <w:color w:val="000000" w:themeColor="text1"/>
        </w:rPr>
        <w:t>Damayev</w:t>
      </w:r>
      <w:proofErr w:type="spellEnd"/>
      <w:r w:rsidRPr="00A039C6">
        <w:rPr>
          <w:rFonts w:ascii="Times New Roman" w:hAnsi="Times New Roman" w:cs="Times New Roman"/>
          <w:i/>
          <w:color w:val="000000" w:themeColor="text1"/>
        </w:rPr>
        <w:t xml:space="preserve"> v Russia</w:t>
      </w:r>
      <w:r w:rsidRPr="00A039C6">
        <w:rPr>
          <w:rFonts w:ascii="Times New Roman" w:hAnsi="Times New Roman" w:cs="Times New Roman"/>
          <w:color w:val="000000" w:themeColor="text1"/>
        </w:rPr>
        <w:t xml:space="preserve"> App no 36150/04 (ECtHR</w:t>
      </w:r>
      <w:r w:rsidR="00721C3D"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29 May 2012) para 60; </w:t>
      </w:r>
      <w:proofErr w:type="spellStart"/>
      <w:r w:rsidRPr="00A039C6">
        <w:rPr>
          <w:rFonts w:ascii="Times New Roman" w:hAnsi="Times New Roman" w:cs="Times New Roman"/>
          <w:i/>
          <w:color w:val="000000" w:themeColor="text1"/>
        </w:rPr>
        <w:t>Ergi</w:t>
      </w:r>
      <w:proofErr w:type="spellEnd"/>
      <w:r w:rsidRPr="00A039C6">
        <w:rPr>
          <w:rFonts w:ascii="Times New Roman" w:hAnsi="Times New Roman" w:cs="Times New Roman"/>
          <w:color w:val="000000" w:themeColor="text1"/>
        </w:rPr>
        <w:t xml:space="preserve"> (n 6) para 79. </w:t>
      </w:r>
    </w:p>
  </w:footnote>
  <w:footnote w:id="35">
    <w:p w14:paraId="23A3DB09" w14:textId="646F41CF"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In relation to human rights law more generally, see </w:t>
      </w:r>
      <w:proofErr w:type="spellStart"/>
      <w:r w:rsidRPr="00A039C6">
        <w:rPr>
          <w:rFonts w:ascii="Times New Roman" w:hAnsi="Times New Roman" w:cs="Times New Roman"/>
        </w:rPr>
        <w:t>Santicola</w:t>
      </w:r>
      <w:proofErr w:type="spellEnd"/>
      <w:r w:rsidRPr="00A039C6">
        <w:rPr>
          <w:rFonts w:ascii="Times New Roman" w:hAnsi="Times New Roman" w:cs="Times New Roman"/>
        </w:rPr>
        <w:t xml:space="preserve"> and </w:t>
      </w:r>
      <w:proofErr w:type="spellStart"/>
      <w:r w:rsidRPr="00A039C6">
        <w:rPr>
          <w:rFonts w:ascii="Times New Roman" w:hAnsi="Times New Roman" w:cs="Times New Roman"/>
        </w:rPr>
        <w:t>Wesa</w:t>
      </w:r>
      <w:proofErr w:type="spellEnd"/>
      <w:r w:rsidRPr="00A039C6">
        <w:rPr>
          <w:rFonts w:ascii="Times New Roman" w:hAnsi="Times New Roman" w:cs="Times New Roman"/>
        </w:rPr>
        <w:t xml:space="preserve"> (n 27) 207-208 </w:t>
      </w:r>
    </w:p>
  </w:footnote>
  <w:footnote w:id="36">
    <w:p w14:paraId="60169CA5" w14:textId="663DD1A6"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w:t>
      </w:r>
      <w:r w:rsidR="009A7027">
        <w:rPr>
          <w:rFonts w:ascii="Times New Roman" w:hAnsi="Times New Roman" w:cs="Times New Roman"/>
          <w:color w:val="000000" w:themeColor="text1"/>
        </w:rPr>
        <w:t>for example</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176;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i/>
          <w:color w:val="000000" w:themeColor="text1"/>
        </w:rPr>
        <w:t xml:space="preserve"> et al</w:t>
      </w:r>
      <w:r w:rsidRPr="00A039C6">
        <w:rPr>
          <w:rFonts w:ascii="Times New Roman" w:hAnsi="Times New Roman" w:cs="Times New Roman"/>
          <w:color w:val="000000" w:themeColor="text1"/>
        </w:rPr>
        <w:t xml:space="preserve"> (n 12) para 199</w:t>
      </w:r>
    </w:p>
  </w:footnote>
  <w:footnote w:id="37">
    <w:p w14:paraId="5E843E81" w14:textId="649D4862" w:rsidR="00493A06" w:rsidRPr="00B96ACE" w:rsidRDefault="00493A06" w:rsidP="00B96ACE">
      <w:pPr>
        <w:pStyle w:val="FootnoteText"/>
        <w:widowControl w:val="0"/>
        <w:spacing w:after="0" w:line="240" w:lineRule="auto"/>
        <w:rPr>
          <w:rFonts w:ascii="Times New Roman" w:hAnsi="Times New Roman" w:cs="Times New Roman"/>
          <w:color w:val="000000" w:themeColor="text1"/>
          <w:lang w:val="fr-FR"/>
        </w:rPr>
      </w:pPr>
      <w:r w:rsidRPr="00B96ACE">
        <w:rPr>
          <w:rStyle w:val="FootnoteReference"/>
          <w:rFonts w:ascii="Times New Roman" w:hAnsi="Times New Roman" w:cs="Times New Roman"/>
          <w:color w:val="000000" w:themeColor="text1"/>
        </w:rPr>
        <w:footnoteRef/>
      </w:r>
      <w:r w:rsidRPr="00B96ACE">
        <w:rPr>
          <w:rFonts w:ascii="Times New Roman" w:hAnsi="Times New Roman" w:cs="Times New Roman"/>
          <w:color w:val="000000" w:themeColor="text1"/>
          <w:lang w:val="fr-FR"/>
        </w:rPr>
        <w:t xml:space="preserve"> </w:t>
      </w:r>
      <w:proofErr w:type="spellStart"/>
      <w:r w:rsidRPr="00B96ACE">
        <w:rPr>
          <w:rFonts w:ascii="Times New Roman" w:hAnsi="Times New Roman" w:cs="Times New Roman"/>
          <w:i/>
          <w:color w:val="000000" w:themeColor="text1"/>
          <w:lang w:val="fr-FR"/>
        </w:rPr>
        <w:t>Varnava</w:t>
      </w:r>
      <w:proofErr w:type="spellEnd"/>
      <w:r w:rsidRPr="00B96ACE">
        <w:rPr>
          <w:rFonts w:ascii="Times New Roman" w:hAnsi="Times New Roman" w:cs="Times New Roman"/>
          <w:i/>
          <w:color w:val="000000" w:themeColor="text1"/>
          <w:lang w:val="fr-FR"/>
        </w:rPr>
        <w:t xml:space="preserve"> </w:t>
      </w:r>
      <w:r w:rsidR="009A7027" w:rsidRPr="00B96ACE">
        <w:rPr>
          <w:rFonts w:ascii="Times New Roman" w:hAnsi="Times New Roman" w:cs="Times New Roman"/>
          <w:i/>
          <w:color w:val="000000" w:themeColor="text1"/>
        </w:rPr>
        <w:t xml:space="preserve">and Others </w:t>
      </w:r>
      <w:r w:rsidRPr="00B96ACE">
        <w:rPr>
          <w:rFonts w:ascii="Times New Roman" w:hAnsi="Times New Roman" w:cs="Times New Roman"/>
          <w:i/>
          <w:color w:val="000000" w:themeColor="text1"/>
          <w:lang w:val="fr-FR"/>
        </w:rPr>
        <w:t xml:space="preserve">v </w:t>
      </w:r>
      <w:proofErr w:type="spellStart"/>
      <w:r w:rsidRPr="00B96ACE">
        <w:rPr>
          <w:rFonts w:ascii="Times New Roman" w:hAnsi="Times New Roman" w:cs="Times New Roman"/>
          <w:i/>
          <w:color w:val="000000" w:themeColor="text1"/>
          <w:lang w:val="fr-FR"/>
        </w:rPr>
        <w:t>Turkey</w:t>
      </w:r>
      <w:proofErr w:type="spellEnd"/>
      <w:r w:rsidRPr="00B96ACE">
        <w:rPr>
          <w:rFonts w:ascii="Times New Roman" w:hAnsi="Times New Roman" w:cs="Times New Roman"/>
          <w:color w:val="000000" w:themeColor="text1"/>
          <w:lang w:val="fr-FR"/>
        </w:rPr>
        <w:t xml:space="preserve"> </w:t>
      </w:r>
      <w:r w:rsidR="00B96ACE" w:rsidRPr="00B96ACE">
        <w:rPr>
          <w:rFonts w:ascii="Times New Roman" w:hAnsi="Times New Roman" w:cs="Times New Roman"/>
          <w:color w:val="000000" w:themeColor="text1"/>
          <w:lang w:val="fr-FR"/>
        </w:rPr>
        <w:t xml:space="preserve">App </w:t>
      </w:r>
      <w:r w:rsidR="00B96ACE">
        <w:rPr>
          <w:rFonts w:ascii="Times New Roman" w:hAnsi="Times New Roman" w:cs="Times New Roman"/>
          <w:color w:val="000000" w:themeColor="text1"/>
          <w:lang w:val="fr-FR"/>
        </w:rPr>
        <w:t xml:space="preserve">Nos 16064/90, 16065/90, 16066/90, 16068/90, 16069/90, </w:t>
      </w:r>
      <w:r w:rsidR="00B96ACE" w:rsidRPr="00B96ACE">
        <w:rPr>
          <w:rFonts w:ascii="Times New Roman" w:hAnsi="Times New Roman" w:cs="Times New Roman"/>
          <w:iCs/>
          <w:shd w:val="clear" w:color="auto" w:fill="FFFFFF"/>
        </w:rPr>
        <w:t>16070/90</w:t>
      </w:r>
      <w:r w:rsidR="00B96ACE" w:rsidRPr="00B96ACE">
        <w:rPr>
          <w:rFonts w:ascii="Times New Roman" w:hAnsi="Times New Roman" w:cs="Times New Roman"/>
          <w:iCs/>
          <w:color w:val="000000"/>
          <w:shd w:val="clear" w:color="auto" w:fill="FFFFFF"/>
        </w:rPr>
        <w:t>, </w:t>
      </w:r>
      <w:r w:rsidR="00B96ACE" w:rsidRPr="00B96ACE">
        <w:rPr>
          <w:rFonts w:ascii="Times New Roman" w:hAnsi="Times New Roman" w:cs="Times New Roman"/>
          <w:iCs/>
          <w:shd w:val="clear" w:color="auto" w:fill="FFFFFF"/>
        </w:rPr>
        <w:t>16071/90</w:t>
      </w:r>
      <w:r w:rsidR="00B96ACE" w:rsidRPr="00B96ACE">
        <w:rPr>
          <w:rFonts w:ascii="Times New Roman" w:hAnsi="Times New Roman" w:cs="Times New Roman"/>
          <w:iCs/>
          <w:color w:val="000000"/>
          <w:shd w:val="clear" w:color="auto" w:fill="FFFFFF"/>
        </w:rPr>
        <w:t>, </w:t>
      </w:r>
      <w:r w:rsidR="00B96ACE" w:rsidRPr="00B96ACE">
        <w:rPr>
          <w:rFonts w:ascii="Times New Roman" w:hAnsi="Times New Roman" w:cs="Times New Roman"/>
          <w:iCs/>
          <w:shd w:val="clear" w:color="auto" w:fill="FFFFFF"/>
        </w:rPr>
        <w:t>16072/90</w:t>
      </w:r>
      <w:r w:rsidR="00B96ACE" w:rsidRPr="00B96ACE">
        <w:rPr>
          <w:rFonts w:ascii="Times New Roman" w:hAnsi="Times New Roman" w:cs="Times New Roman"/>
          <w:iCs/>
          <w:color w:val="000000"/>
          <w:shd w:val="clear" w:color="auto" w:fill="FFFFFF"/>
        </w:rPr>
        <w:t> and </w:t>
      </w:r>
      <w:r w:rsidR="00B96ACE" w:rsidRPr="00B96ACE">
        <w:rPr>
          <w:rFonts w:ascii="Times New Roman" w:hAnsi="Times New Roman" w:cs="Times New Roman"/>
          <w:iCs/>
          <w:shd w:val="clear" w:color="auto" w:fill="FFFFFF"/>
        </w:rPr>
        <w:t>16073/90</w:t>
      </w:r>
      <w:r w:rsidR="00B96ACE">
        <w:rPr>
          <w:rFonts w:ascii="Times New Roman" w:hAnsi="Times New Roman" w:cs="Times New Roman"/>
          <w:color w:val="000000" w:themeColor="text1"/>
          <w:lang w:val="fr-FR"/>
        </w:rPr>
        <w:t xml:space="preserve"> (</w:t>
      </w:r>
      <w:proofErr w:type="spellStart"/>
      <w:r w:rsidR="00B96ACE">
        <w:rPr>
          <w:rFonts w:ascii="Times New Roman" w:hAnsi="Times New Roman" w:cs="Times New Roman"/>
          <w:color w:val="000000" w:themeColor="text1"/>
          <w:lang w:val="fr-FR"/>
        </w:rPr>
        <w:t>ECtHR</w:t>
      </w:r>
      <w:proofErr w:type="spellEnd"/>
      <w:r w:rsidR="00B96ACE">
        <w:rPr>
          <w:rFonts w:ascii="Times New Roman" w:hAnsi="Times New Roman" w:cs="Times New Roman"/>
          <w:color w:val="000000" w:themeColor="text1"/>
          <w:lang w:val="fr-FR"/>
        </w:rPr>
        <w:t xml:space="preserve">, 18 </w:t>
      </w:r>
      <w:proofErr w:type="spellStart"/>
      <w:r w:rsidR="00B96ACE">
        <w:rPr>
          <w:rFonts w:ascii="Times New Roman" w:hAnsi="Times New Roman" w:cs="Times New Roman"/>
          <w:color w:val="000000" w:themeColor="text1"/>
          <w:lang w:val="fr-FR"/>
        </w:rPr>
        <w:t>September</w:t>
      </w:r>
      <w:proofErr w:type="spellEnd"/>
      <w:r w:rsidR="00B96ACE">
        <w:rPr>
          <w:rFonts w:ascii="Times New Roman" w:hAnsi="Times New Roman" w:cs="Times New Roman"/>
          <w:color w:val="000000" w:themeColor="text1"/>
          <w:lang w:val="fr-FR"/>
        </w:rPr>
        <w:t xml:space="preserve"> 2009)</w:t>
      </w:r>
      <w:r w:rsidRPr="00B96ACE">
        <w:rPr>
          <w:rFonts w:ascii="Times New Roman" w:hAnsi="Times New Roman" w:cs="Times New Roman"/>
          <w:color w:val="000000" w:themeColor="text1"/>
          <w:lang w:val="fr-FR"/>
        </w:rPr>
        <w:t xml:space="preserve"> para 185</w:t>
      </w:r>
    </w:p>
  </w:footnote>
  <w:footnote w:id="38">
    <w:p w14:paraId="125ECF88" w14:textId="77777777" w:rsidR="00493A06" w:rsidRPr="00A039C6" w:rsidRDefault="00493A06" w:rsidP="009A703F">
      <w:pPr>
        <w:pStyle w:val="FootnoteText"/>
        <w:spacing w:after="0" w:line="240" w:lineRule="auto"/>
        <w:rPr>
          <w:rFonts w:ascii="Times New Roman" w:hAnsi="Times New Roman" w:cs="Times New Roman"/>
          <w:i/>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176</w:t>
      </w:r>
    </w:p>
  </w:footnote>
  <w:footnote w:id="39">
    <w:p w14:paraId="5A4C40C3" w14:textId="77777777"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44. In military parlance, ‘</w:t>
      </w:r>
      <w:proofErr w:type="gramStart"/>
      <w:r w:rsidRPr="00A039C6">
        <w:rPr>
          <w:rFonts w:ascii="Times New Roman" w:hAnsi="Times New Roman" w:cs="Times New Roman"/>
          <w:color w:val="000000" w:themeColor="text1"/>
        </w:rPr>
        <w:t>means’</w:t>
      </w:r>
      <w:proofErr w:type="gramEnd"/>
      <w:r w:rsidRPr="00A039C6">
        <w:rPr>
          <w:rFonts w:ascii="Times New Roman" w:hAnsi="Times New Roman" w:cs="Times New Roman"/>
          <w:color w:val="000000" w:themeColor="text1"/>
        </w:rPr>
        <w:t xml:space="preserve"> refer to weapons and ‘methods’ to the way an operation is designed and executed.</w:t>
      </w:r>
    </w:p>
  </w:footnote>
  <w:footnote w:id="40">
    <w:p w14:paraId="3A5D670F" w14:textId="282A40CC"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Yet, the issue is that the lawfulness of the attack (especially its proportionality) is determined according to Article 2 ECHR rather than IHL. See C</w:t>
      </w:r>
      <w:r w:rsidR="006525C2" w:rsidRPr="00A039C6">
        <w:rPr>
          <w:rFonts w:ascii="Times New Roman" w:hAnsi="Times New Roman" w:cs="Times New Roman"/>
          <w:color w:val="000000" w:themeColor="text1"/>
        </w:rPr>
        <w:t>laire</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Landais</w:t>
      </w:r>
      <w:proofErr w:type="spellEnd"/>
      <w:r w:rsidRPr="00A039C6">
        <w:rPr>
          <w:rFonts w:ascii="Times New Roman" w:hAnsi="Times New Roman" w:cs="Times New Roman"/>
          <w:color w:val="000000" w:themeColor="text1"/>
        </w:rPr>
        <w:t xml:space="preserve"> and </w:t>
      </w:r>
      <w:proofErr w:type="spellStart"/>
      <w:r w:rsidRPr="00A039C6">
        <w:rPr>
          <w:rFonts w:ascii="Times New Roman" w:hAnsi="Times New Roman" w:cs="Times New Roman"/>
          <w:color w:val="000000" w:themeColor="text1"/>
        </w:rPr>
        <w:t>L</w:t>
      </w:r>
      <w:r w:rsidR="006525C2" w:rsidRPr="00A039C6">
        <w:rPr>
          <w:rFonts w:ascii="Times New Roman" w:hAnsi="Times New Roman" w:cs="Times New Roman"/>
          <w:color w:val="000000" w:themeColor="text1"/>
        </w:rPr>
        <w:t>éa</w:t>
      </w:r>
      <w:proofErr w:type="spellEnd"/>
      <w:r w:rsidRPr="00A039C6">
        <w:rPr>
          <w:rFonts w:ascii="Times New Roman" w:hAnsi="Times New Roman" w:cs="Times New Roman"/>
          <w:color w:val="000000" w:themeColor="text1"/>
        </w:rPr>
        <w:t xml:space="preserve"> Bass, ‘Reconciling the Rules of International Humanitarian Law with the Rules of European Human Rights Law’ (2015) 97 IRRC 1295, 1300; J</w:t>
      </w:r>
      <w:r w:rsidR="006525C2" w:rsidRPr="00A039C6">
        <w:rPr>
          <w:rFonts w:ascii="Times New Roman" w:hAnsi="Times New Roman" w:cs="Times New Roman"/>
          <w:color w:val="000000" w:themeColor="text1"/>
        </w:rPr>
        <w:t xml:space="preserve">ordan </w:t>
      </w:r>
      <w:r w:rsidRPr="00A039C6">
        <w:rPr>
          <w:rFonts w:ascii="Times New Roman" w:hAnsi="Times New Roman" w:cs="Times New Roman"/>
          <w:color w:val="000000" w:themeColor="text1"/>
        </w:rPr>
        <w:t xml:space="preserve">FR </w:t>
      </w:r>
      <w:proofErr w:type="spellStart"/>
      <w:r w:rsidRPr="00A039C6">
        <w:rPr>
          <w:rFonts w:ascii="Times New Roman" w:hAnsi="Times New Roman" w:cs="Times New Roman"/>
          <w:color w:val="000000" w:themeColor="text1"/>
        </w:rPr>
        <w:t>Boddens</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Hosang</w:t>
      </w:r>
      <w:proofErr w:type="spellEnd"/>
      <w:r w:rsidRPr="00A039C6">
        <w:rPr>
          <w:rFonts w:ascii="Times New Roman" w:hAnsi="Times New Roman" w:cs="Times New Roman"/>
          <w:color w:val="000000" w:themeColor="text1"/>
        </w:rPr>
        <w:t xml:space="preserve">, ‘The Effects of Paradigm Shifts on the Rules on the Use of Force in Military Operations’ (2017) 64 NILR 353-373. See also </w:t>
      </w:r>
      <w:r w:rsidRPr="00A039C6">
        <w:rPr>
          <w:rFonts w:ascii="Times New Roman" w:hAnsi="Times New Roman" w:cs="Times New Roman"/>
          <w:i/>
          <w:color w:val="000000" w:themeColor="text1"/>
        </w:rPr>
        <w:t>Amicus Curiae</w:t>
      </w:r>
      <w:r w:rsidRPr="00A039C6">
        <w:rPr>
          <w:rFonts w:ascii="Times New Roman" w:hAnsi="Times New Roman" w:cs="Times New Roman"/>
          <w:color w:val="000000" w:themeColor="text1"/>
        </w:rPr>
        <w:t xml:space="preserve"> Brief Submitted by Professor Françoise Hampson and Professor Noam </w:t>
      </w:r>
      <w:proofErr w:type="spellStart"/>
      <w:r w:rsidRPr="00A039C6">
        <w:rPr>
          <w:rFonts w:ascii="Times New Roman" w:hAnsi="Times New Roman" w:cs="Times New Roman"/>
          <w:color w:val="000000" w:themeColor="text1"/>
        </w:rPr>
        <w:t>Lubell</w:t>
      </w:r>
      <w:proofErr w:type="spellEnd"/>
      <w:r w:rsidRPr="00A039C6">
        <w:rPr>
          <w:rFonts w:ascii="Times New Roman" w:hAnsi="Times New Roman" w:cs="Times New Roman"/>
          <w:color w:val="000000" w:themeColor="text1"/>
        </w:rPr>
        <w:t xml:space="preserve"> of the Human Rights Centre, University of Essex, </w:t>
      </w:r>
      <w:r w:rsidRPr="00A039C6">
        <w:rPr>
          <w:rFonts w:ascii="Times New Roman" w:hAnsi="Times New Roman" w:cs="Times New Roman"/>
          <w:i/>
          <w:color w:val="000000" w:themeColor="text1"/>
        </w:rPr>
        <w:t>Georgia v Russia (II)</w:t>
      </w:r>
      <w:r w:rsidRPr="00A039C6">
        <w:rPr>
          <w:rFonts w:ascii="Times New Roman" w:hAnsi="Times New Roman" w:cs="Times New Roman"/>
          <w:color w:val="000000" w:themeColor="text1"/>
        </w:rPr>
        <w:t xml:space="preserve"> App no 38263/08 (ECtHR</w:t>
      </w:r>
      <w:r w:rsidR="00721C3D"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13 December 2011) para 27</w:t>
      </w:r>
    </w:p>
  </w:footnote>
  <w:footnote w:id="41">
    <w:p w14:paraId="20B3A126" w14:textId="5C45AE2B"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Y</w:t>
      </w:r>
      <w:r w:rsidRPr="00A039C6">
        <w:rPr>
          <w:rStyle w:val="s6b621b36"/>
          <w:rFonts w:ascii="Times New Roman" w:hAnsi="Times New Roman" w:cs="Times New Roman"/>
          <w:i/>
          <w:iCs/>
          <w:color w:val="000000" w:themeColor="text1"/>
          <w:shd w:val="clear" w:color="auto" w:fill="FFFFFF"/>
        </w:rPr>
        <w:t>aşa</w:t>
      </w:r>
      <w:proofErr w:type="spellEnd"/>
      <w:r w:rsidRPr="00A039C6">
        <w:rPr>
          <w:rStyle w:val="s6b621b36"/>
          <w:rFonts w:ascii="Times New Roman" w:hAnsi="Times New Roman" w:cs="Times New Roman"/>
          <w:i/>
          <w:iCs/>
          <w:color w:val="000000" w:themeColor="text1"/>
          <w:shd w:val="clear" w:color="auto" w:fill="FFFFFF"/>
        </w:rPr>
        <w:t xml:space="preserve"> v Turkey</w:t>
      </w:r>
      <w:r w:rsidRPr="00A039C6">
        <w:rPr>
          <w:rStyle w:val="sb8d990e2"/>
          <w:rFonts w:ascii="Times New Roman" w:hAnsi="Times New Roman" w:cs="Times New Roman"/>
          <w:color w:val="000000" w:themeColor="text1"/>
          <w:shd w:val="clear" w:color="auto" w:fill="FFFFFF"/>
        </w:rPr>
        <w:t xml:space="preserve"> </w:t>
      </w:r>
      <w:r w:rsidR="00721C3D" w:rsidRPr="00A039C6">
        <w:rPr>
          <w:rStyle w:val="sb8d990e2"/>
          <w:rFonts w:ascii="Times New Roman" w:hAnsi="Times New Roman" w:cs="Times New Roman"/>
          <w:color w:val="000000" w:themeColor="text1"/>
          <w:shd w:val="clear" w:color="auto" w:fill="FFFFFF"/>
        </w:rPr>
        <w:t xml:space="preserve">App no </w:t>
      </w:r>
      <w:r w:rsidR="00721C3D" w:rsidRPr="00A039C6">
        <w:rPr>
          <w:rStyle w:val="sb8d990e2"/>
          <w:rFonts w:ascii="Times New Roman" w:hAnsi="Times New Roman" w:cs="Times New Roman"/>
          <w:shd w:val="clear" w:color="auto" w:fill="FFFFFF"/>
        </w:rPr>
        <w:t>63/1997/847/1054 (ECtHR, 2 September 1998)</w:t>
      </w:r>
      <w:r w:rsidRPr="00A039C6">
        <w:rPr>
          <w:rStyle w:val="sb8d990e2"/>
          <w:rFonts w:ascii="Times New Roman" w:hAnsi="Times New Roman" w:cs="Times New Roman"/>
          <w:color w:val="000000" w:themeColor="text1"/>
          <w:shd w:val="clear" w:color="auto" w:fill="FFFFFF"/>
        </w:rPr>
        <w:t xml:space="preserve"> </w:t>
      </w:r>
      <w:r w:rsidRPr="00A039C6">
        <w:rPr>
          <w:rFonts w:ascii="Times New Roman" w:hAnsi="Times New Roman" w:cs="Times New Roman"/>
          <w:color w:val="000000" w:themeColor="text1"/>
        </w:rPr>
        <w:t>para 100</w:t>
      </w:r>
    </w:p>
  </w:footnote>
  <w:footnote w:id="42">
    <w:p w14:paraId="1447B55E" w14:textId="77777777"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A Dutch military legal adviser recounted an airstrike that had, according to the pilot’s screen and recording, not led to any civilian casualties. Later, external sources revealed that a civilian had been killed in the strike. In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Saadoon</w:t>
      </w:r>
      <w:proofErr w:type="spellEnd"/>
      <w:r w:rsidRPr="00A039C6">
        <w:rPr>
          <w:rFonts w:ascii="Times New Roman" w:hAnsi="Times New Roman" w:cs="Times New Roman"/>
          <w:color w:val="000000" w:themeColor="text1"/>
        </w:rPr>
        <w:t xml:space="preserve">, the British troops were unaware of the death of </w:t>
      </w:r>
      <w:proofErr w:type="spellStart"/>
      <w:r w:rsidRPr="00A039C6">
        <w:rPr>
          <w:rFonts w:ascii="Times New Roman" w:hAnsi="Times New Roman" w:cs="Times New Roman"/>
          <w:color w:val="000000" w:themeColor="text1"/>
        </w:rPr>
        <w:t>Husam</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Salih</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Owaid</w:t>
      </w:r>
      <w:proofErr w:type="spellEnd"/>
      <w:r w:rsidRPr="00A039C6">
        <w:rPr>
          <w:rFonts w:ascii="Times New Roman" w:hAnsi="Times New Roman" w:cs="Times New Roman"/>
          <w:color w:val="000000" w:themeColor="text1"/>
        </w:rPr>
        <w:t xml:space="preserve"> during a protest at the Al </w:t>
      </w:r>
      <w:proofErr w:type="spellStart"/>
      <w:r w:rsidRPr="00A039C6">
        <w:rPr>
          <w:rFonts w:ascii="Times New Roman" w:hAnsi="Times New Roman" w:cs="Times New Roman"/>
          <w:color w:val="000000" w:themeColor="text1"/>
        </w:rPr>
        <w:t>Tannumah</w:t>
      </w:r>
      <w:proofErr w:type="spellEnd"/>
      <w:r w:rsidRPr="00A039C6">
        <w:rPr>
          <w:rFonts w:ascii="Times New Roman" w:hAnsi="Times New Roman" w:cs="Times New Roman"/>
          <w:color w:val="000000" w:themeColor="text1"/>
        </w:rPr>
        <w:t xml:space="preserve"> police station until almost a year later when they received a letter of claim sent by Public Interest Lawyers.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Saadoon</w:t>
      </w:r>
      <w:proofErr w:type="spellEnd"/>
      <w:r w:rsidRPr="00A039C6">
        <w:rPr>
          <w:rFonts w:ascii="Times New Roman" w:hAnsi="Times New Roman" w:cs="Times New Roman"/>
          <w:i/>
          <w:color w:val="000000" w:themeColor="text1"/>
        </w:rPr>
        <w:t xml:space="preserve"> &amp; Others v Secretary of State for Defence, </w:t>
      </w:r>
      <w:r w:rsidRPr="00A039C6">
        <w:rPr>
          <w:rFonts w:ascii="Times New Roman" w:hAnsi="Times New Roman" w:cs="Times New Roman"/>
          <w:color w:val="000000" w:themeColor="text1"/>
        </w:rPr>
        <w:t>High Court, [2016] EWHC 773 (Admin), 7 April 2016, para 63</w:t>
      </w:r>
    </w:p>
  </w:footnote>
  <w:footnote w:id="43">
    <w:p w14:paraId="1E058B13" w14:textId="7BB1623C"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also </w:t>
      </w:r>
      <w:proofErr w:type="spellStart"/>
      <w:r w:rsidRPr="00A039C6">
        <w:rPr>
          <w:rFonts w:ascii="Times New Roman" w:hAnsi="Times New Roman" w:cs="Times New Roman"/>
          <w:i/>
          <w:color w:val="000000" w:themeColor="text1"/>
        </w:rPr>
        <w:t>Brecknell</w:t>
      </w:r>
      <w:proofErr w:type="spellEnd"/>
      <w:r w:rsidRPr="00A039C6">
        <w:rPr>
          <w:rFonts w:ascii="Times New Roman" w:hAnsi="Times New Roman" w:cs="Times New Roman"/>
          <w:i/>
          <w:color w:val="000000" w:themeColor="text1"/>
        </w:rPr>
        <w:t xml:space="preserve"> v </w:t>
      </w:r>
      <w:r w:rsidR="00721C3D" w:rsidRPr="00A039C6">
        <w:rPr>
          <w:rFonts w:ascii="Times New Roman" w:hAnsi="Times New Roman" w:cs="Times New Roman"/>
          <w:i/>
          <w:color w:val="000000" w:themeColor="text1"/>
        </w:rPr>
        <w:t xml:space="preserve">UK </w:t>
      </w:r>
      <w:r w:rsidR="00721C3D" w:rsidRPr="00A039C6">
        <w:rPr>
          <w:rFonts w:ascii="Times New Roman" w:hAnsi="Times New Roman" w:cs="Times New Roman"/>
          <w:color w:val="000000" w:themeColor="text1"/>
        </w:rPr>
        <w:t xml:space="preserve">App no </w:t>
      </w:r>
      <w:r w:rsidR="00721C3D" w:rsidRPr="00A039C6">
        <w:rPr>
          <w:rFonts w:ascii="Times New Roman" w:hAnsi="Times New Roman" w:cs="Times New Roman"/>
        </w:rPr>
        <w:t>32457/04 (ECtHR, 27 November 2007)</w:t>
      </w:r>
      <w:r w:rsidRPr="00A039C6">
        <w:rPr>
          <w:rFonts w:ascii="Times New Roman" w:hAnsi="Times New Roman" w:cs="Times New Roman"/>
          <w:color w:val="000000" w:themeColor="text1"/>
        </w:rPr>
        <w:t xml:space="preserve"> para 71</w:t>
      </w:r>
    </w:p>
  </w:footnote>
  <w:footnote w:id="44">
    <w:p w14:paraId="55B52D05" w14:textId="74A8FAB2"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Y</w:t>
      </w:r>
      <w:r w:rsidRPr="00A039C6">
        <w:rPr>
          <w:rStyle w:val="s6b621b36"/>
          <w:rFonts w:ascii="Times New Roman" w:hAnsi="Times New Roman" w:cs="Times New Roman"/>
          <w:i/>
          <w:iCs/>
          <w:color w:val="000000" w:themeColor="text1"/>
          <w:shd w:val="clear" w:color="auto" w:fill="FFFFFF"/>
        </w:rPr>
        <w:t>aşa</w:t>
      </w:r>
      <w:proofErr w:type="spellEnd"/>
      <w:r w:rsidRPr="00A039C6">
        <w:rPr>
          <w:rStyle w:val="s6b621b36"/>
          <w:rFonts w:ascii="Times New Roman" w:hAnsi="Times New Roman" w:cs="Times New Roman"/>
          <w:iCs/>
          <w:color w:val="000000" w:themeColor="text1"/>
          <w:shd w:val="clear" w:color="auto" w:fill="FFFFFF"/>
        </w:rPr>
        <w:t xml:space="preserve"> (n 32)</w:t>
      </w:r>
      <w:r w:rsidRPr="00A039C6">
        <w:rPr>
          <w:rFonts w:ascii="Times New Roman" w:hAnsi="Times New Roman" w:cs="Times New Roman"/>
          <w:color w:val="000000" w:themeColor="text1"/>
        </w:rPr>
        <w:t xml:space="preserve"> para 100</w:t>
      </w:r>
    </w:p>
  </w:footnote>
  <w:footnote w:id="45">
    <w:p w14:paraId="228CFFD8" w14:textId="6483BAE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100; </w:t>
      </w:r>
      <w:proofErr w:type="spellStart"/>
      <w:r w:rsidRPr="00A039C6">
        <w:rPr>
          <w:rFonts w:ascii="Times New Roman" w:hAnsi="Times New Roman" w:cs="Times New Roman"/>
          <w:i/>
          <w:color w:val="000000" w:themeColor="text1"/>
        </w:rPr>
        <w:t>Ergi</w:t>
      </w:r>
      <w:proofErr w:type="spellEnd"/>
      <w:r w:rsidRPr="00A039C6">
        <w:rPr>
          <w:rFonts w:ascii="Times New Roman" w:hAnsi="Times New Roman" w:cs="Times New Roman"/>
          <w:color w:val="000000" w:themeColor="text1"/>
        </w:rPr>
        <w:t xml:space="preserve"> (n 6) para 82</w:t>
      </w:r>
    </w:p>
  </w:footnote>
  <w:footnote w:id="46">
    <w:p w14:paraId="2965E78A" w14:textId="6D160722"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color w:val="000000" w:themeColor="text1"/>
          <w:lang w:val="fr-FR"/>
        </w:rPr>
        <w:t xml:space="preserve"> (n 12) para </w:t>
      </w:r>
      <w:proofErr w:type="gramStart"/>
      <w:r w:rsidRPr="00A039C6">
        <w:rPr>
          <w:rFonts w:ascii="Times New Roman" w:hAnsi="Times New Roman" w:cs="Times New Roman"/>
          <w:color w:val="000000" w:themeColor="text1"/>
          <w:lang w:val="fr-FR"/>
        </w:rPr>
        <w:t>210;</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i/>
          <w:color w:val="000000" w:themeColor="text1"/>
          <w:lang w:val="fr-FR"/>
        </w:rPr>
        <w:t xml:space="preserve"> et al</w:t>
      </w:r>
      <w:r w:rsidRPr="00A039C6">
        <w:rPr>
          <w:rFonts w:ascii="Times New Roman" w:hAnsi="Times New Roman" w:cs="Times New Roman"/>
          <w:color w:val="000000" w:themeColor="text1"/>
          <w:lang w:val="fr-FR"/>
        </w:rPr>
        <w:t xml:space="preserve"> (n 12) para 209</w:t>
      </w:r>
      <w:r w:rsidRPr="00A039C6">
        <w:rPr>
          <w:rFonts w:ascii="Times New Roman" w:hAnsi="Times New Roman" w:cs="Times New Roman"/>
          <w:i/>
          <w:color w:val="000000" w:themeColor="text1"/>
          <w:lang w:val="fr-FR"/>
        </w:rPr>
        <w:t>;</w:t>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Estamirov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and Others</w:t>
      </w:r>
      <w:r w:rsidRPr="00A039C6">
        <w:rPr>
          <w:rFonts w:ascii="Times New Roman" w:hAnsi="Times New Roman" w:cs="Times New Roman"/>
          <w:color w:val="000000" w:themeColor="text1"/>
          <w:lang w:val="fr-FR"/>
        </w:rPr>
        <w:t xml:space="preserve"> (n 13) para 85; </w:t>
      </w:r>
      <w:proofErr w:type="spellStart"/>
      <w:r w:rsidRPr="00A039C6">
        <w:rPr>
          <w:rFonts w:ascii="Times New Roman" w:hAnsi="Times New Roman" w:cs="Times New Roman"/>
          <w:i/>
          <w:color w:val="000000" w:themeColor="text1"/>
          <w:lang w:val="fr-FR"/>
        </w:rPr>
        <w:t>Khamzayev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12) para 202</w:t>
      </w:r>
    </w:p>
  </w:footnote>
  <w:footnote w:id="47">
    <w:p w14:paraId="45705C91" w14:textId="1451844F"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w:t>
      </w:r>
      <w:r w:rsidR="00B96ACE">
        <w:rPr>
          <w:rFonts w:ascii="Times New Roman" w:hAnsi="Times New Roman" w:cs="Times New Roman"/>
          <w:color w:val="000000" w:themeColor="text1"/>
        </w:rPr>
        <w:t>for example,</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Damayev</w:t>
      </w:r>
      <w:proofErr w:type="spellEnd"/>
      <w:r w:rsidRPr="00A039C6">
        <w:rPr>
          <w:rFonts w:ascii="Times New Roman" w:hAnsi="Times New Roman" w:cs="Times New Roman"/>
          <w:color w:val="000000" w:themeColor="text1"/>
        </w:rPr>
        <w:t xml:space="preserve"> (n </w:t>
      </w:r>
      <w:r w:rsidR="00CC3FEC">
        <w:rPr>
          <w:rFonts w:ascii="Times New Roman" w:hAnsi="Times New Roman" w:cs="Times New Roman"/>
          <w:color w:val="000000" w:themeColor="text1"/>
        </w:rPr>
        <w:t>33</w:t>
      </w:r>
      <w:r w:rsidRPr="00A039C6">
        <w:rPr>
          <w:rFonts w:ascii="Times New Roman" w:hAnsi="Times New Roman" w:cs="Times New Roman"/>
          <w:color w:val="000000" w:themeColor="text1"/>
        </w:rPr>
        <w:t>) para 85</w:t>
      </w:r>
    </w:p>
  </w:footnote>
  <w:footnote w:id="48">
    <w:p w14:paraId="029C12CD" w14:textId="510BFCC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Saadoon</w:t>
      </w:r>
      <w:proofErr w:type="spellEnd"/>
      <w:r w:rsidRPr="00A039C6">
        <w:rPr>
          <w:rFonts w:ascii="Times New Roman" w:hAnsi="Times New Roman" w:cs="Times New Roman"/>
          <w:i/>
          <w:color w:val="000000" w:themeColor="text1"/>
        </w:rPr>
        <w:t xml:space="preserve"> and Others</w:t>
      </w:r>
      <w:r w:rsidRPr="00A039C6">
        <w:rPr>
          <w:rFonts w:ascii="Times New Roman" w:hAnsi="Times New Roman" w:cs="Times New Roman"/>
          <w:color w:val="000000" w:themeColor="text1"/>
        </w:rPr>
        <w:t xml:space="preserve"> (n 41) para 8 (emphasis added)</w:t>
      </w:r>
    </w:p>
  </w:footnote>
  <w:footnote w:id="49">
    <w:p w14:paraId="22A100D9" w14:textId="406B2AF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Erdoğan</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i/>
          <w:color w:val="000000" w:themeColor="text1"/>
        </w:rPr>
        <w:t>v Turkey</w:t>
      </w:r>
      <w:r w:rsidRPr="00A039C6">
        <w:rPr>
          <w:rFonts w:ascii="Times New Roman" w:hAnsi="Times New Roman" w:cs="Times New Roman"/>
          <w:color w:val="000000" w:themeColor="text1"/>
        </w:rPr>
        <w:t xml:space="preserve"> App no 19807/92 (ECtHR</w:t>
      </w:r>
      <w:r w:rsidR="00721C3D"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13 September 2006) para 88</w:t>
      </w:r>
    </w:p>
  </w:footnote>
  <w:footnote w:id="50">
    <w:p w14:paraId="15AA37F0" w14:textId="753CC154"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McKerr</w:t>
      </w:r>
      <w:proofErr w:type="spellEnd"/>
      <w:r w:rsidRPr="00A039C6">
        <w:rPr>
          <w:rFonts w:ascii="Times New Roman" w:hAnsi="Times New Roman" w:cs="Times New Roman"/>
          <w:color w:val="000000" w:themeColor="text1"/>
          <w:lang w:val="fr-FR"/>
        </w:rPr>
        <w:t xml:space="preserve"> (n 5) para </w:t>
      </w:r>
      <w:proofErr w:type="gramStart"/>
      <w:r w:rsidRPr="00A039C6">
        <w:rPr>
          <w:rFonts w:ascii="Times New Roman" w:hAnsi="Times New Roman" w:cs="Times New Roman"/>
          <w:color w:val="000000" w:themeColor="text1"/>
          <w:lang w:val="fr-FR"/>
        </w:rPr>
        <w:t>144;</w:t>
      </w:r>
      <w:proofErr w:type="gramEnd"/>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Jordan</w:t>
      </w:r>
      <w:r w:rsidRPr="00A039C6">
        <w:rPr>
          <w:rFonts w:ascii="Times New Roman" w:hAnsi="Times New Roman" w:cs="Times New Roman"/>
          <w:color w:val="000000" w:themeColor="text1"/>
          <w:lang w:val="fr-FR"/>
        </w:rPr>
        <w:t xml:space="preserve"> (n 13) para 127</w:t>
      </w:r>
    </w:p>
  </w:footnote>
  <w:footnote w:id="51">
    <w:p w14:paraId="3E30A105" w14:textId="786B48F5" w:rsidR="00493A06" w:rsidRPr="00A039C6" w:rsidRDefault="00493A06" w:rsidP="009A703F">
      <w:pPr>
        <w:pStyle w:val="FootnoteText"/>
        <w:widowControl w:val="0"/>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Al-</w:t>
      </w:r>
      <w:proofErr w:type="spellStart"/>
      <w:r w:rsidRPr="00A039C6">
        <w:rPr>
          <w:rFonts w:ascii="Times New Roman" w:hAnsi="Times New Roman" w:cs="Times New Roman"/>
          <w:i/>
          <w:color w:val="000000" w:themeColor="text1"/>
          <w:lang w:val="fr-FR"/>
        </w:rPr>
        <w:t>Skeini</w:t>
      </w:r>
      <w:proofErr w:type="spellEnd"/>
      <w:r w:rsidRPr="00A039C6">
        <w:rPr>
          <w:rFonts w:ascii="Times New Roman" w:hAnsi="Times New Roman" w:cs="Times New Roman"/>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 xml:space="preserve">(n 13) para 166. </w:t>
      </w:r>
      <w:proofErr w:type="spellStart"/>
      <w:r w:rsidRPr="00A039C6">
        <w:rPr>
          <w:rFonts w:ascii="Times New Roman" w:hAnsi="Times New Roman" w:cs="Times New Roman"/>
          <w:color w:val="000000" w:themeColor="text1"/>
          <w:lang w:val="fr-FR"/>
        </w:rPr>
        <w:t>See</w:t>
      </w:r>
      <w:proofErr w:type="spell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color w:val="000000" w:themeColor="text1"/>
          <w:lang w:val="fr-FR"/>
        </w:rPr>
        <w:t>also</w:t>
      </w:r>
      <w:proofErr w:type="spell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color w:val="000000" w:themeColor="text1"/>
          <w:lang w:val="fr-FR"/>
        </w:rPr>
        <w:t xml:space="preserve"> (n 12) para </w:t>
      </w:r>
      <w:proofErr w:type="gramStart"/>
      <w:r w:rsidRPr="00A039C6">
        <w:rPr>
          <w:rFonts w:ascii="Times New Roman" w:hAnsi="Times New Roman" w:cs="Times New Roman"/>
          <w:color w:val="000000" w:themeColor="text1"/>
          <w:lang w:val="fr-FR"/>
        </w:rPr>
        <w:t>21;</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i/>
          <w:color w:val="000000" w:themeColor="text1"/>
          <w:lang w:val="fr-FR"/>
        </w:rPr>
        <w:t xml:space="preserve"> et al</w:t>
      </w:r>
      <w:r w:rsidRPr="00A039C6">
        <w:rPr>
          <w:rFonts w:ascii="Times New Roman" w:hAnsi="Times New Roman" w:cs="Times New Roman"/>
          <w:color w:val="000000" w:themeColor="text1"/>
          <w:lang w:val="fr-FR"/>
        </w:rPr>
        <w:t xml:space="preserve"> (n 12) para 211; </w:t>
      </w:r>
      <w:r w:rsidRPr="00A039C6">
        <w:rPr>
          <w:rFonts w:ascii="Times New Roman" w:hAnsi="Times New Roman" w:cs="Times New Roman"/>
          <w:i/>
          <w:color w:val="000000" w:themeColor="text1"/>
          <w:lang w:val="fr-FR"/>
        </w:rPr>
        <w:t xml:space="preserve">Salman v </w:t>
      </w:r>
      <w:proofErr w:type="spellStart"/>
      <w:r w:rsidRPr="00A039C6">
        <w:rPr>
          <w:rFonts w:ascii="Times New Roman" w:hAnsi="Times New Roman" w:cs="Times New Roman"/>
          <w:i/>
          <w:color w:val="000000" w:themeColor="text1"/>
          <w:lang w:val="fr-FR"/>
        </w:rPr>
        <w:t>Turkey</w:t>
      </w:r>
      <w:proofErr w:type="spellEnd"/>
      <w:r w:rsidRPr="00A039C6">
        <w:rPr>
          <w:rFonts w:ascii="Times New Roman" w:hAnsi="Times New Roman" w:cs="Times New Roman"/>
          <w:color w:val="000000" w:themeColor="text1"/>
          <w:lang w:val="fr-FR"/>
        </w:rPr>
        <w:t xml:space="preserve"> </w:t>
      </w:r>
      <w:r w:rsidR="00721C3D" w:rsidRPr="00A039C6">
        <w:rPr>
          <w:rFonts w:ascii="Times New Roman" w:hAnsi="Times New Roman" w:cs="Times New Roman"/>
          <w:color w:val="000000" w:themeColor="text1"/>
          <w:lang w:val="fr-FR"/>
        </w:rPr>
        <w:t xml:space="preserve">App no </w:t>
      </w:r>
      <w:r w:rsidR="00721C3D" w:rsidRPr="00A039C6">
        <w:rPr>
          <w:rFonts w:ascii="Times New Roman" w:hAnsi="Times New Roman" w:cs="Times New Roman"/>
        </w:rPr>
        <w:t>21986/83 (ECtHR, 27 June 2000)</w:t>
      </w:r>
      <w:r w:rsidRPr="00A039C6">
        <w:rPr>
          <w:rFonts w:ascii="Times New Roman" w:hAnsi="Times New Roman" w:cs="Times New Roman"/>
          <w:color w:val="000000" w:themeColor="text1"/>
          <w:lang w:val="fr-FR"/>
        </w:rPr>
        <w:t xml:space="preserve"> para 106; </w:t>
      </w:r>
      <w:proofErr w:type="spellStart"/>
      <w:r w:rsidRPr="00A039C6">
        <w:rPr>
          <w:rFonts w:ascii="Times New Roman" w:hAnsi="Times New Roman" w:cs="Times New Roman"/>
          <w:i/>
          <w:color w:val="000000" w:themeColor="text1"/>
          <w:lang w:val="fr-FR"/>
        </w:rPr>
        <w:t>Estamirov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i/>
          <w:color w:val="000000" w:themeColor="text1"/>
          <w:lang w:val="fr-FR"/>
        </w:rPr>
        <w:t>l</w:t>
      </w:r>
      <w:r w:rsidRPr="00A039C6">
        <w:rPr>
          <w:rFonts w:ascii="Times New Roman" w:hAnsi="Times New Roman" w:cs="Times New Roman"/>
          <w:color w:val="000000" w:themeColor="text1"/>
          <w:lang w:val="fr-FR"/>
        </w:rPr>
        <w:t xml:space="preserve"> (n 13) para 86; </w:t>
      </w:r>
      <w:proofErr w:type="spellStart"/>
      <w:r w:rsidRPr="00A039C6">
        <w:rPr>
          <w:rFonts w:ascii="Times New Roman" w:hAnsi="Times New Roman" w:cs="Times New Roman"/>
          <w:i/>
          <w:color w:val="000000" w:themeColor="text1"/>
          <w:lang w:val="fr-FR"/>
        </w:rPr>
        <w:t>Khamzayev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12) para 194</w:t>
      </w:r>
    </w:p>
  </w:footnote>
  <w:footnote w:id="52">
    <w:p w14:paraId="6A9E0472" w14:textId="7377FC93"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color w:val="000000" w:themeColor="text1"/>
          <w:lang w:val="fr-FR"/>
        </w:rPr>
        <w:t xml:space="preserve"> (n 12) para </w:t>
      </w:r>
      <w:proofErr w:type="gramStart"/>
      <w:r w:rsidRPr="00A039C6">
        <w:rPr>
          <w:rFonts w:ascii="Times New Roman" w:hAnsi="Times New Roman" w:cs="Times New Roman"/>
          <w:color w:val="000000" w:themeColor="text1"/>
          <w:lang w:val="fr-FR"/>
        </w:rPr>
        <w:t>212;</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i/>
          <w:color w:val="000000" w:themeColor="text1"/>
          <w:lang w:val="fr-FR"/>
        </w:rPr>
        <w:t xml:space="preserve"> et al</w:t>
      </w:r>
      <w:r w:rsidRPr="00A039C6">
        <w:rPr>
          <w:rFonts w:ascii="Times New Roman" w:hAnsi="Times New Roman" w:cs="Times New Roman"/>
          <w:color w:val="000000" w:themeColor="text1"/>
          <w:lang w:val="fr-FR"/>
        </w:rPr>
        <w:t xml:space="preserve"> (n 12) para 211;</w:t>
      </w:r>
      <w:r w:rsidRPr="00A039C6">
        <w:rPr>
          <w:rFonts w:ascii="Times New Roman" w:hAnsi="Times New Roman" w:cs="Times New Roman"/>
          <w:i/>
          <w:color w:val="000000" w:themeColor="text1"/>
          <w:lang w:val="fr-FR"/>
        </w:rPr>
        <w:t xml:space="preserve"> </w:t>
      </w:r>
      <w:proofErr w:type="spellStart"/>
      <w:r w:rsidRPr="00A039C6">
        <w:rPr>
          <w:rStyle w:val="s6b621b36"/>
          <w:rFonts w:ascii="Times New Roman" w:hAnsi="Times New Roman" w:cs="Times New Roman"/>
          <w:i/>
          <w:iCs/>
          <w:color w:val="000000" w:themeColor="text1"/>
          <w:shd w:val="clear" w:color="auto" w:fill="FFFFFF"/>
          <w:lang w:val="fr-FR"/>
        </w:rPr>
        <w:t>Avşar</w:t>
      </w:r>
      <w:proofErr w:type="spellEnd"/>
      <w:r w:rsidRPr="00A039C6">
        <w:rPr>
          <w:rStyle w:val="s6b621b36"/>
          <w:rFonts w:ascii="Times New Roman" w:hAnsi="Times New Roman" w:cs="Times New Roman"/>
          <w:i/>
          <w:iCs/>
          <w:color w:val="000000" w:themeColor="text1"/>
          <w:shd w:val="clear" w:color="auto" w:fill="FFFFFF"/>
          <w:lang w:val="fr-FR"/>
        </w:rPr>
        <w:t xml:space="preserve"> v </w:t>
      </w:r>
      <w:proofErr w:type="spellStart"/>
      <w:r w:rsidRPr="00A039C6">
        <w:rPr>
          <w:rStyle w:val="s6b621b36"/>
          <w:rFonts w:ascii="Times New Roman" w:hAnsi="Times New Roman" w:cs="Times New Roman"/>
          <w:i/>
          <w:iCs/>
          <w:color w:val="000000" w:themeColor="text1"/>
          <w:shd w:val="clear" w:color="auto" w:fill="FFFFFF"/>
          <w:lang w:val="fr-FR"/>
        </w:rPr>
        <w:t>Turkey</w:t>
      </w:r>
      <w:proofErr w:type="spellEnd"/>
      <w:r w:rsidRPr="00A039C6">
        <w:rPr>
          <w:rStyle w:val="sb8d990e2"/>
          <w:rFonts w:ascii="Times New Roman" w:hAnsi="Times New Roman" w:cs="Times New Roman"/>
          <w:color w:val="000000" w:themeColor="text1"/>
          <w:shd w:val="clear" w:color="auto" w:fill="FFFFFF"/>
          <w:lang w:val="fr-FR"/>
        </w:rPr>
        <w:t xml:space="preserve"> </w:t>
      </w:r>
      <w:r w:rsidR="00721C3D" w:rsidRPr="00A039C6">
        <w:rPr>
          <w:rStyle w:val="sb8d990e2"/>
          <w:rFonts w:ascii="Times New Roman" w:hAnsi="Times New Roman" w:cs="Times New Roman"/>
          <w:color w:val="000000" w:themeColor="text1"/>
          <w:shd w:val="clear" w:color="auto" w:fill="FFFFFF"/>
          <w:lang w:val="fr-FR"/>
        </w:rPr>
        <w:t xml:space="preserve">App no </w:t>
      </w:r>
      <w:r w:rsidR="00721C3D" w:rsidRPr="00A039C6">
        <w:rPr>
          <w:rFonts w:ascii="Times New Roman" w:hAnsi="Times New Roman" w:cs="Times New Roman"/>
        </w:rPr>
        <w:t>21986/83</w:t>
      </w:r>
      <w:r w:rsidRPr="00A039C6">
        <w:rPr>
          <w:rStyle w:val="sb8d990e2"/>
          <w:rFonts w:ascii="Times New Roman" w:hAnsi="Times New Roman" w:cs="Times New Roman"/>
          <w:color w:val="000000" w:themeColor="text1"/>
          <w:shd w:val="clear" w:color="auto" w:fill="FFFFFF"/>
          <w:lang w:val="fr-FR"/>
        </w:rPr>
        <w:t xml:space="preserve"> </w:t>
      </w:r>
      <w:r w:rsidR="00721C3D" w:rsidRPr="00A039C6">
        <w:rPr>
          <w:rStyle w:val="sb8d990e2"/>
          <w:rFonts w:ascii="Times New Roman" w:hAnsi="Times New Roman" w:cs="Times New Roman"/>
          <w:color w:val="000000" w:themeColor="text1"/>
          <w:shd w:val="clear" w:color="auto" w:fill="FFFFFF"/>
          <w:lang w:val="fr-FR"/>
        </w:rPr>
        <w:t>(</w:t>
      </w:r>
      <w:proofErr w:type="spellStart"/>
      <w:r w:rsidR="00721C3D" w:rsidRPr="00A039C6">
        <w:rPr>
          <w:rStyle w:val="sb8d990e2"/>
          <w:rFonts w:ascii="Times New Roman" w:hAnsi="Times New Roman" w:cs="Times New Roman"/>
          <w:color w:val="000000" w:themeColor="text1"/>
          <w:shd w:val="clear" w:color="auto" w:fill="FFFFFF"/>
          <w:lang w:val="fr-FR"/>
        </w:rPr>
        <w:t>ECtHR</w:t>
      </w:r>
      <w:proofErr w:type="spellEnd"/>
      <w:r w:rsidR="00B96ACE">
        <w:rPr>
          <w:rStyle w:val="sb8d990e2"/>
          <w:rFonts w:ascii="Times New Roman" w:hAnsi="Times New Roman" w:cs="Times New Roman"/>
          <w:color w:val="000000" w:themeColor="text1"/>
          <w:shd w:val="clear" w:color="auto" w:fill="FFFFFF"/>
          <w:lang w:val="fr-FR"/>
        </w:rPr>
        <w:t>,</w:t>
      </w:r>
      <w:r w:rsidR="00721C3D" w:rsidRPr="00A039C6">
        <w:rPr>
          <w:rStyle w:val="sb8d990e2"/>
          <w:rFonts w:ascii="Times New Roman" w:hAnsi="Times New Roman" w:cs="Times New Roman"/>
          <w:color w:val="000000" w:themeColor="text1"/>
          <w:shd w:val="clear" w:color="auto" w:fill="FFFFFF"/>
          <w:lang w:val="fr-FR"/>
        </w:rPr>
        <w:t xml:space="preserve"> 10 July 2001) </w:t>
      </w:r>
      <w:r w:rsidRPr="00A039C6">
        <w:rPr>
          <w:rStyle w:val="sb8d990e2"/>
          <w:rFonts w:ascii="Times New Roman" w:hAnsi="Times New Roman" w:cs="Times New Roman"/>
          <w:color w:val="000000" w:themeColor="text1"/>
          <w:shd w:val="clear" w:color="auto" w:fill="FFFFFF"/>
          <w:lang w:val="fr-FR"/>
        </w:rPr>
        <w:t xml:space="preserve">para 394; </w:t>
      </w:r>
      <w:proofErr w:type="spellStart"/>
      <w:r w:rsidRPr="00A039C6">
        <w:rPr>
          <w:rFonts w:ascii="Times New Roman" w:hAnsi="Times New Roman" w:cs="Times New Roman"/>
          <w:i/>
          <w:color w:val="000000" w:themeColor="text1"/>
          <w:lang w:val="fr-FR"/>
        </w:rPr>
        <w:t>Khamzayev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12) para 194</w:t>
      </w:r>
    </w:p>
  </w:footnote>
  <w:footnote w:id="53">
    <w:p w14:paraId="4B1D7C21" w14:textId="51EBF17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13) para 166. See also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i/>
          <w:color w:val="000000" w:themeColor="text1"/>
        </w:rPr>
        <w:t xml:space="preserve"> et al</w:t>
      </w:r>
      <w:r w:rsidRPr="00A039C6">
        <w:rPr>
          <w:rFonts w:ascii="Times New Roman" w:hAnsi="Times New Roman" w:cs="Times New Roman"/>
          <w:color w:val="000000" w:themeColor="text1"/>
        </w:rPr>
        <w:t xml:space="preserve"> (n 12) para 211; </w:t>
      </w:r>
      <w:proofErr w:type="spellStart"/>
      <w:r w:rsidRPr="00A039C6">
        <w:rPr>
          <w:rFonts w:ascii="Times New Roman" w:hAnsi="Times New Roman" w:cs="Times New Roman"/>
          <w:i/>
          <w:color w:val="000000" w:themeColor="text1"/>
        </w:rPr>
        <w:t>Estamirov</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86</w:t>
      </w:r>
    </w:p>
  </w:footnote>
  <w:footnote w:id="54">
    <w:p w14:paraId="47C67DB2" w14:textId="737C1E71"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Brig (ret) </w:t>
      </w:r>
      <w:proofErr w:type="spellStart"/>
      <w:r w:rsidRPr="00A039C6">
        <w:rPr>
          <w:rFonts w:ascii="Times New Roman" w:hAnsi="Times New Roman" w:cs="Times New Roman"/>
        </w:rPr>
        <w:t>Paphiti</w:t>
      </w:r>
      <w:proofErr w:type="spellEnd"/>
      <w:r w:rsidRPr="00A039C6">
        <w:rPr>
          <w:rFonts w:ascii="Times New Roman" w:hAnsi="Times New Roman" w:cs="Times New Roman"/>
        </w:rPr>
        <w:t xml:space="preserve"> served in the UK armed forces for over 25 years. He is </w:t>
      </w:r>
      <w:r w:rsidRPr="00A039C6">
        <w:rPr>
          <w:rFonts w:ascii="Times New Roman" w:hAnsi="Times New Roman" w:cs="Times New Roman"/>
          <w:shd w:val="clear" w:color="auto" w:fill="FFFFFF"/>
        </w:rPr>
        <w:t>one of the founding fathers of the Army Prosecuting Authority</w:t>
      </w:r>
      <w:r w:rsidRPr="00A039C6">
        <w:rPr>
          <w:rFonts w:ascii="Times New Roman" w:hAnsi="Times New Roman" w:cs="Times New Roman"/>
        </w:rPr>
        <w:t xml:space="preserve"> and </w:t>
      </w:r>
      <w:r w:rsidRPr="00A039C6">
        <w:rPr>
          <w:rFonts w:ascii="Times New Roman" w:hAnsi="Times New Roman" w:cs="Times New Roman"/>
          <w:shd w:val="clear" w:color="auto" w:fill="FFFFFF"/>
        </w:rPr>
        <w:t>was key in the development of the concept for the Army Legal Services Operational Law Branch that provides legal expertise to commanders. </w:t>
      </w:r>
    </w:p>
  </w:footnote>
  <w:footnote w:id="55">
    <w:p w14:paraId="452FDB59" w14:textId="6F9831A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bookmarkStart w:id="6" w:name="_Hlk518831528"/>
      <w:r w:rsidRPr="00A039C6">
        <w:rPr>
          <w:rFonts w:ascii="Times New Roman" w:hAnsi="Times New Roman" w:cs="Times New Roman"/>
          <w:color w:val="000000" w:themeColor="text1"/>
        </w:rPr>
        <w:t>UK Parliament, ‘Written Evidence from Brigadier (</w:t>
      </w:r>
      <w:proofErr w:type="spellStart"/>
      <w:r w:rsidRPr="00A039C6">
        <w:rPr>
          <w:rFonts w:ascii="Times New Roman" w:hAnsi="Times New Roman" w:cs="Times New Roman"/>
          <w:color w:val="000000" w:themeColor="text1"/>
        </w:rPr>
        <w:t>Rtd</w:t>
      </w:r>
      <w:proofErr w:type="spellEnd"/>
      <w:r w:rsidRPr="00A039C6">
        <w:rPr>
          <w:rFonts w:ascii="Times New Roman" w:hAnsi="Times New Roman" w:cs="Times New Roman"/>
          <w:color w:val="000000" w:themeColor="text1"/>
        </w:rPr>
        <w:t xml:space="preserve">) Anthony </w:t>
      </w:r>
      <w:proofErr w:type="spellStart"/>
      <w:r w:rsidRPr="00A039C6">
        <w:rPr>
          <w:rFonts w:ascii="Times New Roman" w:hAnsi="Times New Roman" w:cs="Times New Roman"/>
          <w:color w:val="000000" w:themeColor="text1"/>
        </w:rPr>
        <w:t>Paphiti</w:t>
      </w:r>
      <w:proofErr w:type="spellEnd"/>
      <w:r w:rsidRPr="00A039C6">
        <w:rPr>
          <w:rFonts w:ascii="Times New Roman" w:hAnsi="Times New Roman" w:cs="Times New Roman"/>
          <w:color w:val="000000" w:themeColor="text1"/>
        </w:rPr>
        <w:t>, UK Armed Forces Personnel and the Legal Framework for Future Operations, Session 2013-14’ (UK Parliament, 7 January 2014) &lt;</w:t>
      </w:r>
      <w:r w:rsidRPr="00A039C6">
        <w:rPr>
          <w:rStyle w:val="Hyperlink"/>
          <w:rFonts w:ascii="Times New Roman" w:hAnsi="Times New Roman" w:cs="Times New Roman"/>
          <w:color w:val="000000" w:themeColor="text1"/>
          <w:u w:val="none"/>
        </w:rPr>
        <w:t xml:space="preserve">http://www.publications.parliament.uk/pa/cm201314/cmselect/cmdfence/writev/futureops/law06.htm&gt; accessed </w:t>
      </w:r>
      <w:bookmarkEnd w:id="6"/>
      <w:r w:rsidRPr="00A039C6">
        <w:rPr>
          <w:rStyle w:val="Hyperlink"/>
          <w:rFonts w:ascii="Times New Roman" w:hAnsi="Times New Roman" w:cs="Times New Roman"/>
          <w:color w:val="000000" w:themeColor="text1"/>
          <w:u w:val="none"/>
        </w:rPr>
        <w:t>2 December 2018</w:t>
      </w:r>
    </w:p>
  </w:footnote>
  <w:footnote w:id="56">
    <w:p w14:paraId="57FECB9C" w14:textId="2E53DAA1"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Khamzayev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12) para 198</w:t>
      </w:r>
    </w:p>
  </w:footnote>
  <w:footnote w:id="57">
    <w:p w14:paraId="032DB1C3" w14:textId="642F2BA3"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Cangöz</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i/>
          <w:color w:val="000000" w:themeColor="text1"/>
        </w:rPr>
        <w:t>v Turkey</w:t>
      </w:r>
      <w:r w:rsidR="00721C3D" w:rsidRPr="00A039C6">
        <w:rPr>
          <w:rFonts w:ascii="Times New Roman" w:hAnsi="Times New Roman" w:cs="Times New Roman"/>
          <w:color w:val="000000" w:themeColor="text1"/>
        </w:rPr>
        <w:t xml:space="preserve"> App n</w:t>
      </w:r>
      <w:r w:rsidRPr="00A039C6">
        <w:rPr>
          <w:rFonts w:ascii="Times New Roman" w:hAnsi="Times New Roman" w:cs="Times New Roman"/>
          <w:color w:val="000000" w:themeColor="text1"/>
        </w:rPr>
        <w:t>o 7469/06 (ECtHR</w:t>
      </w:r>
      <w:r w:rsidR="00721C3D"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26 April 2016) para 125</w:t>
      </w:r>
    </w:p>
  </w:footnote>
  <w:footnote w:id="58">
    <w:p w14:paraId="531CD14C" w14:textId="292103C8"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Paphiti</w:t>
      </w:r>
      <w:proofErr w:type="spellEnd"/>
      <w:r w:rsidRPr="00A039C6">
        <w:rPr>
          <w:rFonts w:ascii="Times New Roman" w:hAnsi="Times New Roman" w:cs="Times New Roman"/>
          <w:color w:val="000000" w:themeColor="text1"/>
        </w:rPr>
        <w:t xml:space="preserve"> (n 54)</w:t>
      </w:r>
    </w:p>
  </w:footnote>
  <w:footnote w:id="59">
    <w:p w14:paraId="3AC954EA" w14:textId="4033F022"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Jaloud</w:t>
      </w:r>
      <w:proofErr w:type="spellEnd"/>
      <w:r w:rsidRPr="00A039C6">
        <w:rPr>
          <w:rFonts w:ascii="Times New Roman" w:hAnsi="Times New Roman" w:cs="Times New Roman"/>
          <w:color w:val="000000" w:themeColor="text1"/>
        </w:rPr>
        <w:t xml:space="preserve"> (n 13) Joint Concurring Opinion of Judges </w:t>
      </w:r>
      <w:proofErr w:type="spellStart"/>
      <w:r w:rsidRPr="00A039C6">
        <w:rPr>
          <w:rFonts w:ascii="Times New Roman" w:hAnsi="Times New Roman" w:cs="Times New Roman"/>
          <w:color w:val="000000" w:themeColor="text1"/>
        </w:rPr>
        <w:t>Casadevall</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Berro-Lefevre</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Šikuta</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Hirvelä</w:t>
      </w:r>
      <w:proofErr w:type="spellEnd"/>
      <w:r w:rsidRPr="00A039C6">
        <w:rPr>
          <w:rFonts w:ascii="Times New Roman" w:hAnsi="Times New Roman" w:cs="Times New Roman"/>
          <w:color w:val="000000" w:themeColor="text1"/>
        </w:rPr>
        <w:t xml:space="preserve">, López Guerra, </w:t>
      </w:r>
      <w:proofErr w:type="spellStart"/>
      <w:r w:rsidRPr="00A039C6">
        <w:rPr>
          <w:rFonts w:ascii="Times New Roman" w:hAnsi="Times New Roman" w:cs="Times New Roman"/>
          <w:color w:val="000000" w:themeColor="text1"/>
        </w:rPr>
        <w:t>Sajä</w:t>
      </w:r>
      <w:proofErr w:type="spellEnd"/>
      <w:r w:rsidRPr="00A039C6">
        <w:rPr>
          <w:rFonts w:ascii="Times New Roman" w:hAnsi="Times New Roman" w:cs="Times New Roman"/>
          <w:color w:val="000000" w:themeColor="text1"/>
        </w:rPr>
        <w:t xml:space="preserve"> and Silvis, para 7</w:t>
      </w:r>
    </w:p>
  </w:footnote>
  <w:footnote w:id="60">
    <w:p w14:paraId="7F78CC44" w14:textId="18A6C41B"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226</w:t>
      </w:r>
    </w:p>
  </w:footnote>
  <w:footnote w:id="61">
    <w:p w14:paraId="29E9C7A4" w14:textId="2EB2283F"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208</w:t>
      </w:r>
    </w:p>
  </w:footnote>
  <w:footnote w:id="62">
    <w:p w14:paraId="5E04BD05" w14:textId="603F54B1"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207</w:t>
      </w:r>
    </w:p>
  </w:footnote>
  <w:footnote w:id="63">
    <w:p w14:paraId="54674448" w14:textId="5589683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208</w:t>
      </w:r>
    </w:p>
  </w:footnote>
  <w:footnote w:id="64">
    <w:p w14:paraId="546985B1" w14:textId="6319B9F0"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7 (Concurring Opinion)</w:t>
      </w:r>
    </w:p>
  </w:footnote>
  <w:footnote w:id="65">
    <w:p w14:paraId="4CE4E0F7" w14:textId="7E8FC448"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Aktas</w:t>
      </w:r>
      <w:proofErr w:type="spellEnd"/>
      <w:r w:rsidRPr="00A039C6">
        <w:rPr>
          <w:rFonts w:ascii="Times New Roman" w:hAnsi="Times New Roman" w:cs="Times New Roman"/>
          <w:i/>
          <w:color w:val="000000" w:themeColor="text1"/>
          <w:lang w:val="fr-FR"/>
        </w:rPr>
        <w:t xml:space="preserve"> v </w:t>
      </w:r>
      <w:proofErr w:type="spellStart"/>
      <w:r w:rsidRPr="00A039C6">
        <w:rPr>
          <w:rFonts w:ascii="Times New Roman" w:hAnsi="Times New Roman" w:cs="Times New Roman"/>
          <w:i/>
          <w:color w:val="000000" w:themeColor="text1"/>
          <w:lang w:val="fr-FR"/>
        </w:rPr>
        <w:t>Turkey</w:t>
      </w:r>
      <w:proofErr w:type="spellEnd"/>
      <w:r w:rsidRPr="00A039C6">
        <w:rPr>
          <w:rFonts w:ascii="Times New Roman" w:hAnsi="Times New Roman" w:cs="Times New Roman"/>
          <w:color w:val="000000" w:themeColor="text1"/>
          <w:lang w:val="fr-FR"/>
        </w:rPr>
        <w:t xml:space="preserve"> </w:t>
      </w:r>
      <w:r w:rsidR="00721C3D" w:rsidRPr="00A039C6">
        <w:rPr>
          <w:rFonts w:ascii="Times New Roman" w:hAnsi="Times New Roman" w:cs="Times New Roman"/>
          <w:color w:val="000000" w:themeColor="text1"/>
          <w:lang w:val="fr-FR"/>
        </w:rPr>
        <w:t xml:space="preserve">App no </w:t>
      </w:r>
      <w:r w:rsidR="00721C3D" w:rsidRPr="00A039C6">
        <w:rPr>
          <w:rFonts w:ascii="Times New Roman" w:hAnsi="Times New Roman" w:cs="Times New Roman"/>
        </w:rPr>
        <w:t>24351/94 (ECtHR, 24 April 2003)</w:t>
      </w:r>
      <w:r w:rsidRPr="00A039C6">
        <w:rPr>
          <w:rFonts w:ascii="Times New Roman" w:hAnsi="Times New Roman" w:cs="Times New Roman"/>
          <w:color w:val="000000" w:themeColor="text1"/>
          <w:lang w:val="fr-FR"/>
        </w:rPr>
        <w:t xml:space="preserve"> para 306</w:t>
      </w:r>
    </w:p>
  </w:footnote>
  <w:footnote w:id="66">
    <w:p w14:paraId="039731BC" w14:textId="61349B12"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00B96ACE">
        <w:rPr>
          <w:rFonts w:ascii="Times New Roman" w:hAnsi="Times New Roman" w:cs="Times New Roman"/>
          <w:color w:val="000000" w:themeColor="text1"/>
          <w:lang w:val="fr-FR"/>
        </w:rPr>
        <w:t xml:space="preserve"> </w:t>
      </w:r>
      <w:proofErr w:type="spellStart"/>
      <w:r w:rsidR="00B96ACE">
        <w:rPr>
          <w:rFonts w:ascii="Times New Roman" w:hAnsi="Times New Roman" w:cs="Times New Roman"/>
          <w:color w:val="000000" w:themeColor="text1"/>
          <w:lang w:val="fr-FR"/>
        </w:rPr>
        <w:t>See</w:t>
      </w:r>
      <w:proofErr w:type="spellEnd"/>
      <w:r w:rsidR="00B96ACE">
        <w:rPr>
          <w:rFonts w:ascii="Times New Roman" w:hAnsi="Times New Roman" w:cs="Times New Roman"/>
          <w:color w:val="000000" w:themeColor="text1"/>
          <w:lang w:val="fr-FR"/>
        </w:rPr>
        <w:t xml:space="preserve">, for </w:t>
      </w:r>
      <w:proofErr w:type="spellStart"/>
      <w:r w:rsidR="00B96ACE">
        <w:rPr>
          <w:rFonts w:ascii="Times New Roman" w:hAnsi="Times New Roman" w:cs="Times New Roman"/>
          <w:color w:val="000000" w:themeColor="text1"/>
          <w:lang w:val="fr-FR"/>
        </w:rPr>
        <w:t>example</w:t>
      </w:r>
      <w:proofErr w:type="spell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Cangöz</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i/>
          <w:color w:val="000000" w:themeColor="text1"/>
          <w:lang w:val="fr-FR"/>
        </w:rPr>
        <w:t>l</w:t>
      </w:r>
      <w:r w:rsidRPr="00A039C6">
        <w:rPr>
          <w:rFonts w:ascii="Times New Roman" w:hAnsi="Times New Roman" w:cs="Times New Roman"/>
          <w:color w:val="000000" w:themeColor="text1"/>
          <w:lang w:val="fr-FR"/>
        </w:rPr>
        <w:t xml:space="preserve"> (n 56) para 127</w:t>
      </w:r>
    </w:p>
  </w:footnote>
  <w:footnote w:id="67">
    <w:p w14:paraId="5A5BB025" w14:textId="68113512"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McKerr</w:t>
      </w:r>
      <w:proofErr w:type="spellEnd"/>
      <w:r w:rsidRPr="00A039C6">
        <w:rPr>
          <w:rFonts w:ascii="Times New Roman" w:hAnsi="Times New Roman" w:cs="Times New Roman"/>
          <w:color w:val="000000" w:themeColor="text1"/>
          <w:lang w:val="fr-FR"/>
        </w:rPr>
        <w:t xml:space="preserve"> (n 5) para </w:t>
      </w:r>
      <w:proofErr w:type="gramStart"/>
      <w:r w:rsidRPr="00A039C6">
        <w:rPr>
          <w:rFonts w:ascii="Times New Roman" w:hAnsi="Times New Roman" w:cs="Times New Roman"/>
          <w:color w:val="000000" w:themeColor="text1"/>
          <w:lang w:val="fr-FR"/>
        </w:rPr>
        <w:t>144;</w:t>
      </w:r>
      <w:proofErr w:type="gramEnd"/>
      <w:r w:rsidRPr="00A039C6">
        <w:rPr>
          <w:rFonts w:ascii="Times New Roman" w:hAnsi="Times New Roman" w:cs="Times New Roman"/>
          <w:i/>
          <w:color w:val="000000" w:themeColor="text1"/>
          <w:lang w:val="fr-FR"/>
        </w:rPr>
        <w:t xml:space="preserve"> Jordan</w:t>
      </w:r>
      <w:r w:rsidRPr="00A039C6">
        <w:rPr>
          <w:rFonts w:ascii="Times New Roman" w:hAnsi="Times New Roman" w:cs="Times New Roman"/>
          <w:color w:val="000000" w:themeColor="text1"/>
          <w:lang w:val="fr-FR"/>
        </w:rPr>
        <w:t xml:space="preserve"> (n 13) para 127</w:t>
      </w:r>
    </w:p>
  </w:footnote>
  <w:footnote w:id="68">
    <w:p w14:paraId="0A8153C9" w14:textId="66894DB4"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Cangöz</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56) paras 127-133</w:t>
      </w:r>
    </w:p>
  </w:footnote>
  <w:footnote w:id="69">
    <w:p w14:paraId="1E77FF6B" w14:textId="729AE35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Schmitt (n 22) 54</w:t>
      </w:r>
    </w:p>
  </w:footnote>
  <w:footnote w:id="70">
    <w:p w14:paraId="7C8E6497" w14:textId="276576A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160; </w:t>
      </w:r>
      <w:proofErr w:type="spellStart"/>
      <w:r w:rsidRPr="00A039C6">
        <w:rPr>
          <w:rFonts w:ascii="Times New Roman" w:hAnsi="Times New Roman" w:cs="Times New Roman"/>
          <w:i/>
          <w:color w:val="000000" w:themeColor="text1"/>
        </w:rPr>
        <w:t>Musayev</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i/>
          <w:color w:val="000000" w:themeColor="text1"/>
        </w:rPr>
        <w:t xml:space="preserve">v Russia </w:t>
      </w:r>
      <w:r w:rsidR="009A7027">
        <w:rPr>
          <w:rFonts w:ascii="Times New Roman" w:hAnsi="Times New Roman" w:cs="Times New Roman"/>
          <w:color w:val="000000" w:themeColor="text1"/>
        </w:rPr>
        <w:t xml:space="preserve">App </w:t>
      </w:r>
      <w:proofErr w:type="spellStart"/>
      <w:r w:rsidR="009A7027">
        <w:rPr>
          <w:rFonts w:ascii="Times New Roman" w:hAnsi="Times New Roman" w:cs="Times New Roman"/>
          <w:color w:val="000000" w:themeColor="text1"/>
        </w:rPr>
        <w:t>nos</w:t>
      </w:r>
      <w:proofErr w:type="spellEnd"/>
      <w:r w:rsidR="009A7027">
        <w:rPr>
          <w:rFonts w:ascii="Times New Roman" w:hAnsi="Times New Roman" w:cs="Times New Roman"/>
          <w:color w:val="000000" w:themeColor="text1"/>
        </w:rPr>
        <w:t xml:space="preserve"> </w:t>
      </w:r>
      <w:r w:rsidR="00A039C6" w:rsidRPr="00A039C6">
        <w:rPr>
          <w:rFonts w:ascii="Times New Roman" w:hAnsi="Times New Roman" w:cs="Times New Roman"/>
          <w:iCs/>
          <w:shd w:val="clear" w:color="auto" w:fill="FFFFFF"/>
        </w:rPr>
        <w:t>57941/00</w:t>
      </w:r>
      <w:r w:rsidR="00A039C6" w:rsidRPr="00A039C6">
        <w:rPr>
          <w:rFonts w:ascii="Times New Roman" w:hAnsi="Times New Roman" w:cs="Times New Roman"/>
          <w:iCs/>
          <w:color w:val="000000"/>
          <w:shd w:val="clear" w:color="auto" w:fill="FFFFFF"/>
        </w:rPr>
        <w:t>, </w:t>
      </w:r>
      <w:r w:rsidR="00A039C6" w:rsidRPr="00A039C6">
        <w:rPr>
          <w:rFonts w:ascii="Times New Roman" w:hAnsi="Times New Roman" w:cs="Times New Roman"/>
          <w:iCs/>
          <w:shd w:val="clear" w:color="auto" w:fill="FFFFFF"/>
        </w:rPr>
        <w:t>58699/00</w:t>
      </w:r>
      <w:r w:rsidR="00A039C6" w:rsidRPr="00A039C6">
        <w:rPr>
          <w:rFonts w:ascii="Times New Roman" w:hAnsi="Times New Roman" w:cs="Times New Roman"/>
          <w:iCs/>
          <w:color w:val="000000"/>
          <w:shd w:val="clear" w:color="auto" w:fill="FFFFFF"/>
        </w:rPr>
        <w:t> and </w:t>
      </w:r>
      <w:r w:rsidR="00A039C6" w:rsidRPr="00A039C6">
        <w:rPr>
          <w:rFonts w:ascii="Times New Roman" w:hAnsi="Times New Roman" w:cs="Times New Roman"/>
          <w:iCs/>
          <w:shd w:val="clear" w:color="auto" w:fill="FFFFFF"/>
        </w:rPr>
        <w:t>60403/00</w:t>
      </w:r>
      <w:r w:rsidRPr="00A039C6">
        <w:rPr>
          <w:rFonts w:ascii="Times New Roman" w:hAnsi="Times New Roman" w:cs="Times New Roman"/>
          <w:color w:val="000000" w:themeColor="text1"/>
        </w:rPr>
        <w:t xml:space="preserve"> </w:t>
      </w:r>
      <w:r w:rsidR="00A039C6" w:rsidRPr="00A039C6">
        <w:rPr>
          <w:rFonts w:ascii="Times New Roman" w:hAnsi="Times New Roman" w:cs="Times New Roman"/>
          <w:color w:val="000000" w:themeColor="text1"/>
        </w:rPr>
        <w:t xml:space="preserve">(ECtHR, 31 March 2008) </w:t>
      </w:r>
      <w:r w:rsidRPr="00A039C6">
        <w:rPr>
          <w:rFonts w:ascii="Times New Roman" w:hAnsi="Times New Roman" w:cs="Times New Roman"/>
          <w:color w:val="000000" w:themeColor="text1"/>
        </w:rPr>
        <w:t>para 162</w:t>
      </w:r>
    </w:p>
  </w:footnote>
  <w:footnote w:id="71">
    <w:p w14:paraId="7DB5E1F3" w14:textId="5C21691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160; </w:t>
      </w:r>
      <w:proofErr w:type="spellStart"/>
      <w:r w:rsidRPr="00A039C6">
        <w:rPr>
          <w:rFonts w:ascii="Times New Roman" w:hAnsi="Times New Roman" w:cs="Times New Roman"/>
          <w:i/>
          <w:color w:val="000000" w:themeColor="text1"/>
        </w:rPr>
        <w:t>Önen</w:t>
      </w:r>
      <w:proofErr w:type="spellEnd"/>
      <w:r w:rsidRPr="00A039C6">
        <w:rPr>
          <w:rFonts w:ascii="Times New Roman" w:hAnsi="Times New Roman" w:cs="Times New Roman"/>
          <w:i/>
          <w:color w:val="000000" w:themeColor="text1"/>
        </w:rPr>
        <w:t xml:space="preserve"> v Turkey</w:t>
      </w:r>
      <w:r w:rsidRPr="00A039C6">
        <w:rPr>
          <w:rFonts w:ascii="Times New Roman" w:hAnsi="Times New Roman" w:cs="Times New Roman"/>
          <w:color w:val="000000" w:themeColor="text1"/>
        </w:rPr>
        <w:t xml:space="preserve"> App no 22876/93 (ECtHR</w:t>
      </w:r>
      <w:r w:rsidR="00721C3D"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14 May 2002) para 88</w:t>
      </w:r>
    </w:p>
  </w:footnote>
  <w:footnote w:id="72">
    <w:p w14:paraId="6F88269C" w14:textId="17078C8A"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Musayev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69)</w:t>
      </w:r>
      <w:r w:rsidRPr="00A039C6">
        <w:rPr>
          <w:rFonts w:ascii="Times New Roman" w:hAnsi="Times New Roman" w:cs="Times New Roman"/>
          <w:i/>
          <w:color w:val="000000" w:themeColor="text1"/>
          <w:lang w:val="fr-FR"/>
        </w:rPr>
        <w:t xml:space="preserve"> </w:t>
      </w:r>
      <w:r w:rsidRPr="00A039C6">
        <w:rPr>
          <w:rFonts w:ascii="Times New Roman" w:hAnsi="Times New Roman" w:cs="Times New Roman"/>
          <w:color w:val="000000" w:themeColor="text1"/>
          <w:lang w:val="fr-FR"/>
        </w:rPr>
        <w:t>para 162</w:t>
      </w:r>
    </w:p>
  </w:footnote>
  <w:footnote w:id="73">
    <w:p w14:paraId="45AA1319" w14:textId="2B85733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Schmitt (n 22</w:t>
      </w:r>
      <w:r w:rsidR="006525C2" w:rsidRPr="00A039C6">
        <w:rPr>
          <w:rFonts w:ascii="Times New Roman" w:hAnsi="Times New Roman" w:cs="Times New Roman"/>
          <w:color w:val="000000" w:themeColor="text1"/>
        </w:rPr>
        <w:t xml:space="preserve">) 54. See, for example, </w:t>
      </w:r>
      <w:r w:rsidRPr="00A039C6">
        <w:rPr>
          <w:rFonts w:ascii="Times New Roman" w:hAnsi="Times New Roman" w:cs="Times New Roman"/>
          <w:color w:val="000000" w:themeColor="text1"/>
        </w:rPr>
        <w:t xml:space="preserve">the situation of the first and second applicants in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i/>
          <w:color w:val="000000" w:themeColor="text1"/>
        </w:rPr>
        <w:t xml:space="preserve"> et al</w:t>
      </w:r>
      <w:r w:rsidRPr="00A039C6">
        <w:rPr>
          <w:rFonts w:ascii="Times New Roman" w:hAnsi="Times New Roman" w:cs="Times New Roman"/>
          <w:color w:val="000000" w:themeColor="text1"/>
        </w:rPr>
        <w:t xml:space="preserve"> (n 12) para 224</w:t>
      </w:r>
    </w:p>
  </w:footnote>
  <w:footnote w:id="74">
    <w:p w14:paraId="28AB8E9C" w14:textId="3C9A0C20"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Amicus Curiae</w:t>
      </w:r>
      <w:r w:rsidRPr="00A039C6">
        <w:rPr>
          <w:rFonts w:ascii="Times New Roman" w:hAnsi="Times New Roman" w:cs="Times New Roman"/>
          <w:color w:val="000000" w:themeColor="text1"/>
        </w:rPr>
        <w:t xml:space="preserve"> Brief (n 40) para 10</w:t>
      </w:r>
    </w:p>
  </w:footnote>
  <w:footnote w:id="75">
    <w:p w14:paraId="588AB90F" w14:textId="5E7257E6"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i/>
          <w:color w:val="000000" w:themeColor="text1"/>
          <w:lang w:val="fr-FR"/>
        </w:rPr>
        <w:t xml:space="preserve"> et al</w:t>
      </w:r>
      <w:r w:rsidRPr="00A039C6">
        <w:rPr>
          <w:rFonts w:ascii="Times New Roman" w:hAnsi="Times New Roman" w:cs="Times New Roman"/>
          <w:color w:val="000000" w:themeColor="text1"/>
          <w:lang w:val="fr-FR"/>
        </w:rPr>
        <w:t xml:space="preserve"> (n 12) para 224</w:t>
      </w:r>
    </w:p>
  </w:footnote>
  <w:footnote w:id="76">
    <w:p w14:paraId="5CEA4BBD" w14:textId="08748C06"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Army (n 23) para 13</w:t>
      </w:r>
    </w:p>
  </w:footnote>
  <w:footnote w:id="77">
    <w:p w14:paraId="236882F4" w14:textId="2365D4D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Park (n 3) 153</w:t>
      </w:r>
    </w:p>
  </w:footnote>
  <w:footnote w:id="78">
    <w:p w14:paraId="7B7496B1" w14:textId="1702471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w:t>
      </w:r>
      <w:proofErr w:type="spellStart"/>
      <w:r w:rsidRPr="00A039C6">
        <w:rPr>
          <w:rFonts w:ascii="Times New Roman" w:hAnsi="Times New Roman" w:cs="Times New Roman"/>
          <w:color w:val="000000" w:themeColor="text1"/>
        </w:rPr>
        <w:t>Paphiti</w:t>
      </w:r>
      <w:proofErr w:type="spellEnd"/>
      <w:r w:rsidRPr="00A039C6">
        <w:rPr>
          <w:rFonts w:ascii="Times New Roman" w:hAnsi="Times New Roman" w:cs="Times New Roman"/>
          <w:color w:val="000000" w:themeColor="text1"/>
        </w:rPr>
        <w:t xml:space="preserve"> (n 54); Schmitt (n 22) 84</w:t>
      </w:r>
    </w:p>
  </w:footnote>
  <w:footnote w:id="79">
    <w:p w14:paraId="42C5EC27" w14:textId="618B6B0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for example Army (n 22) para 13</w:t>
      </w:r>
    </w:p>
  </w:footnote>
  <w:footnote w:id="80">
    <w:p w14:paraId="7D609155" w14:textId="56D2E3AF"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Jordan</w:t>
      </w:r>
      <w:r w:rsidRPr="00A039C6">
        <w:rPr>
          <w:rFonts w:ascii="Times New Roman" w:hAnsi="Times New Roman" w:cs="Times New Roman"/>
          <w:color w:val="000000" w:themeColor="text1"/>
          <w:lang w:val="fr-FR"/>
        </w:rPr>
        <w:t xml:space="preserve"> (n 13) para 118</w:t>
      </w:r>
    </w:p>
  </w:footnote>
  <w:footnote w:id="81">
    <w:p w14:paraId="5759509D" w14:textId="40498DC1"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Al-</w:t>
      </w:r>
      <w:proofErr w:type="spellStart"/>
      <w:r w:rsidRPr="00A039C6">
        <w:rPr>
          <w:rFonts w:ascii="Times New Roman" w:hAnsi="Times New Roman" w:cs="Times New Roman"/>
          <w:i/>
          <w:color w:val="000000" w:themeColor="text1"/>
          <w:lang w:val="fr-FR"/>
        </w:rPr>
        <w:t>Skeini</w:t>
      </w:r>
      <w:proofErr w:type="spellEnd"/>
      <w:r w:rsidRPr="00A039C6">
        <w:rPr>
          <w:rFonts w:ascii="Times New Roman" w:hAnsi="Times New Roman" w:cs="Times New Roman"/>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13) para 170</w:t>
      </w:r>
    </w:p>
  </w:footnote>
  <w:footnote w:id="82">
    <w:p w14:paraId="3E0164B7" w14:textId="60D00D43"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30</w:t>
      </w:r>
    </w:p>
  </w:footnote>
  <w:footnote w:id="83">
    <w:p w14:paraId="5681A46F" w14:textId="0587CEA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Jordan</w:t>
      </w:r>
      <w:r w:rsidRPr="00A039C6">
        <w:rPr>
          <w:rFonts w:ascii="Times New Roman" w:hAnsi="Times New Roman" w:cs="Times New Roman"/>
          <w:color w:val="000000" w:themeColor="text1"/>
        </w:rPr>
        <w:t xml:space="preserve"> (n 13) para 107; </w:t>
      </w:r>
      <w:bookmarkStart w:id="7" w:name="_Hlk531510100"/>
      <w:proofErr w:type="spellStart"/>
      <w:r w:rsidRPr="00A039C6">
        <w:rPr>
          <w:rFonts w:ascii="Times New Roman" w:hAnsi="Times New Roman" w:cs="Times New Roman"/>
          <w:i/>
          <w:color w:val="000000" w:themeColor="text1"/>
        </w:rPr>
        <w:t>Ateş</w:t>
      </w:r>
      <w:proofErr w:type="spellEnd"/>
      <w:r w:rsidRPr="00A039C6">
        <w:rPr>
          <w:rFonts w:ascii="Times New Roman" w:hAnsi="Times New Roman" w:cs="Times New Roman"/>
          <w:i/>
          <w:color w:val="000000" w:themeColor="text1"/>
        </w:rPr>
        <w:t xml:space="preserve"> </w:t>
      </w:r>
      <w:bookmarkEnd w:id="7"/>
      <w:r w:rsidRPr="00A039C6">
        <w:rPr>
          <w:rFonts w:ascii="Times New Roman" w:hAnsi="Times New Roman" w:cs="Times New Roman"/>
          <w:i/>
          <w:color w:val="000000" w:themeColor="text1"/>
        </w:rPr>
        <w:t>v Turkey</w:t>
      </w:r>
      <w:r w:rsidR="00A039C6" w:rsidRPr="00A039C6">
        <w:rPr>
          <w:rFonts w:ascii="Times New Roman" w:hAnsi="Times New Roman" w:cs="Times New Roman"/>
          <w:color w:val="000000" w:themeColor="text1"/>
        </w:rPr>
        <w:t xml:space="preserve"> App no 30949/96 (ECtHR, </w:t>
      </w:r>
      <w:r w:rsidRPr="00A039C6">
        <w:rPr>
          <w:rFonts w:ascii="Times New Roman" w:hAnsi="Times New Roman" w:cs="Times New Roman"/>
          <w:color w:val="000000" w:themeColor="text1"/>
        </w:rPr>
        <w:t xml:space="preserve">31 </w:t>
      </w:r>
      <w:r w:rsidR="00A039C6" w:rsidRPr="00A039C6">
        <w:rPr>
          <w:rFonts w:ascii="Times New Roman" w:hAnsi="Times New Roman" w:cs="Times New Roman"/>
          <w:color w:val="000000" w:themeColor="text1"/>
        </w:rPr>
        <w:t>July 2005)</w:t>
      </w:r>
      <w:r w:rsidRPr="00A039C6">
        <w:rPr>
          <w:rFonts w:ascii="Times New Roman" w:hAnsi="Times New Roman" w:cs="Times New Roman"/>
          <w:color w:val="000000" w:themeColor="text1"/>
        </w:rPr>
        <w:t xml:space="preserve"> paras 96 and 108</w:t>
      </w:r>
    </w:p>
  </w:footnote>
  <w:footnote w:id="84">
    <w:p w14:paraId="468E1C00" w14:textId="2FA3514F"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Önen</w:t>
      </w:r>
      <w:proofErr w:type="spellEnd"/>
      <w:r w:rsidRPr="00A039C6">
        <w:rPr>
          <w:rFonts w:ascii="Times New Roman" w:hAnsi="Times New Roman" w:cs="Times New Roman"/>
          <w:color w:val="000000" w:themeColor="text1"/>
        </w:rPr>
        <w:t xml:space="preserve"> (n 70) para 88;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146; </w:t>
      </w:r>
      <w:r w:rsidRPr="00A039C6">
        <w:rPr>
          <w:rFonts w:ascii="Times New Roman" w:hAnsi="Times New Roman" w:cs="Times New Roman"/>
          <w:i/>
          <w:color w:val="000000" w:themeColor="text1"/>
        </w:rPr>
        <w:t>Kaya</w:t>
      </w:r>
      <w:r w:rsidRPr="00A039C6">
        <w:rPr>
          <w:rFonts w:ascii="Times New Roman" w:hAnsi="Times New Roman" w:cs="Times New Roman"/>
          <w:color w:val="000000" w:themeColor="text1"/>
        </w:rPr>
        <w:t xml:space="preserve"> (n 6) para 89 where no ballistic tests were carried out although spent cartridges had been found on site. See also </w:t>
      </w:r>
      <w:proofErr w:type="spellStart"/>
      <w:r w:rsidRPr="00A039C6">
        <w:rPr>
          <w:rFonts w:ascii="Times New Roman" w:hAnsi="Times New Roman" w:cs="Times New Roman"/>
          <w:i/>
          <w:color w:val="000000" w:themeColor="text1"/>
        </w:rPr>
        <w:t>Akkum</w:t>
      </w:r>
      <w:proofErr w:type="spellEnd"/>
      <w:r w:rsidR="009A7027" w:rsidRPr="009A7027">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and Others</w:t>
      </w:r>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(n 31) para 219</w:t>
      </w:r>
    </w:p>
  </w:footnote>
  <w:footnote w:id="85">
    <w:p w14:paraId="54D5187F" w14:textId="12941BCF"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00B96ACE">
        <w:rPr>
          <w:rFonts w:ascii="Times New Roman" w:hAnsi="Times New Roman" w:cs="Times New Roman"/>
          <w:color w:val="000000" w:themeColor="text1"/>
        </w:rPr>
        <w:t xml:space="preserve"> See, for example</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Estamirov</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91</w:t>
      </w:r>
    </w:p>
  </w:footnote>
  <w:footnote w:id="86">
    <w:p w14:paraId="0E199A94" w14:textId="289E661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Schmitt (n 22) 54</w:t>
      </w:r>
    </w:p>
  </w:footnote>
  <w:footnote w:id="87">
    <w:p w14:paraId="074BDC76" w14:textId="4DD81C88"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Park (n 3) 153</w:t>
      </w:r>
    </w:p>
  </w:footnote>
  <w:footnote w:id="88">
    <w:p w14:paraId="0455534B" w14:textId="4B006B4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00B96ACE">
        <w:rPr>
          <w:rFonts w:ascii="Times New Roman" w:hAnsi="Times New Roman" w:cs="Times New Roman"/>
          <w:color w:val="000000" w:themeColor="text1"/>
        </w:rPr>
        <w:t xml:space="preserve"> See, for example</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Estamirov</w:t>
      </w:r>
      <w:proofErr w:type="spellEnd"/>
      <w:r w:rsidRPr="00A039C6">
        <w:rPr>
          <w:rFonts w:ascii="Times New Roman" w:hAnsi="Times New Roman" w:cs="Times New Roman"/>
          <w:i/>
          <w:color w:val="000000" w:themeColor="text1"/>
        </w:rPr>
        <w:t xml:space="preserve"> </w:t>
      </w:r>
      <w:r w:rsidR="00B96ACE"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91</w:t>
      </w:r>
    </w:p>
  </w:footnote>
  <w:footnote w:id="89">
    <w:p w14:paraId="58690F1B" w14:textId="42C8FBE6"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007E3B0C">
        <w:rPr>
          <w:rFonts w:ascii="Times New Roman" w:hAnsi="Times New Roman" w:cs="Times New Roman"/>
          <w:color w:val="000000" w:themeColor="text1"/>
        </w:rPr>
        <w:t>UNCHR ‘</w:t>
      </w:r>
      <w:r w:rsidRPr="00A039C6">
        <w:rPr>
          <w:rFonts w:ascii="Times New Roman" w:hAnsi="Times New Roman" w:cs="Times New Roman"/>
          <w:color w:val="000000" w:themeColor="text1"/>
        </w:rPr>
        <w:t>Report of the United Nations Special Rapporteur on Extrajudicial, S</w:t>
      </w:r>
      <w:r w:rsidR="007E3B0C">
        <w:rPr>
          <w:rFonts w:ascii="Times New Roman" w:hAnsi="Times New Roman" w:cs="Times New Roman"/>
          <w:color w:val="000000" w:themeColor="text1"/>
        </w:rPr>
        <w:t xml:space="preserve">ummary or Arbitrary Executions’ (2006) </w:t>
      </w:r>
      <w:r w:rsidRPr="00A039C6">
        <w:rPr>
          <w:rFonts w:ascii="Times New Roman" w:hAnsi="Times New Roman" w:cs="Times New Roman"/>
          <w:color w:val="000000" w:themeColor="text1"/>
        </w:rPr>
        <w:t>UN Doc E/CN.4/2006/53, para 36</w:t>
      </w:r>
    </w:p>
  </w:footnote>
  <w:footnote w:id="90">
    <w:p w14:paraId="3B044FC7" w14:textId="3076F4E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00B96ACE">
        <w:rPr>
          <w:rFonts w:ascii="Times New Roman" w:hAnsi="Times New Roman" w:cs="Times New Roman"/>
          <w:color w:val="000000" w:themeColor="text1"/>
        </w:rPr>
        <w:t xml:space="preserve"> See, for example</w:t>
      </w:r>
      <w:r w:rsidRPr="00A039C6">
        <w:rPr>
          <w:rFonts w:ascii="Times New Roman" w:hAnsi="Times New Roman" w:cs="Times New Roman"/>
          <w:color w:val="000000" w:themeColor="text1"/>
        </w:rPr>
        <w:t xml:space="preserve">, Army (n 22) para 13 and </w:t>
      </w:r>
      <w:bookmarkStart w:id="8" w:name="_Hlk518831844"/>
      <w:r w:rsidRPr="00A039C6">
        <w:rPr>
          <w:rFonts w:ascii="Times New Roman" w:hAnsi="Times New Roman" w:cs="Times New Roman"/>
          <w:color w:val="000000" w:themeColor="text1"/>
        </w:rPr>
        <w:t>UK Parliament, ‘</w:t>
      </w:r>
      <w:r w:rsidRPr="00A039C6">
        <w:rPr>
          <w:rStyle w:val="Hyperlink"/>
          <w:rFonts w:ascii="Times New Roman" w:hAnsi="Times New Roman" w:cs="Times New Roman"/>
          <w:color w:val="000000" w:themeColor="text1"/>
          <w:u w:val="none"/>
        </w:rPr>
        <w:t>Written Evidence from the Ministry of Defence to House of Commons Select Committee Defence, Operations in Afghanistan 2010-2012’ (UK Parliament, 30 September 2010 &lt;https://publications.parliament.uk/pa/cm201012/cmselect/cmdfence/554/554.pdf&gt; accessed 2 December 2018, para 19.6</w:t>
      </w:r>
      <w:bookmarkEnd w:id="8"/>
    </w:p>
  </w:footnote>
  <w:footnote w:id="91">
    <w:p w14:paraId="517554C0" w14:textId="2899AF9D"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Al-</w:t>
      </w:r>
      <w:proofErr w:type="spellStart"/>
      <w:r w:rsidRPr="00A039C6">
        <w:rPr>
          <w:rFonts w:ascii="Times New Roman" w:hAnsi="Times New Roman" w:cs="Times New Roman"/>
          <w:i/>
          <w:color w:val="000000" w:themeColor="text1"/>
          <w:lang w:val="fr-FR"/>
        </w:rPr>
        <w:t>Skeini</w:t>
      </w:r>
      <w:proofErr w:type="spellEnd"/>
      <w:r w:rsidRPr="00A039C6">
        <w:rPr>
          <w:rFonts w:ascii="Times New Roman" w:hAnsi="Times New Roman" w:cs="Times New Roman"/>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 xml:space="preserve">(n 13) para </w:t>
      </w:r>
      <w:proofErr w:type="gramStart"/>
      <w:r w:rsidRPr="00A039C6">
        <w:rPr>
          <w:rFonts w:ascii="Times New Roman" w:hAnsi="Times New Roman" w:cs="Times New Roman"/>
          <w:color w:val="000000" w:themeColor="text1"/>
          <w:lang w:val="fr-FR"/>
        </w:rPr>
        <w:t>30;</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color w:val="000000" w:themeColor="text1"/>
          <w:lang w:val="fr-FR"/>
        </w:rPr>
        <w:t>Paphiti</w:t>
      </w:r>
      <w:proofErr w:type="spellEnd"/>
      <w:r w:rsidRPr="00A039C6">
        <w:rPr>
          <w:rFonts w:ascii="Times New Roman" w:hAnsi="Times New Roman" w:cs="Times New Roman"/>
          <w:color w:val="000000" w:themeColor="text1"/>
          <w:lang w:val="fr-FR"/>
        </w:rPr>
        <w:t xml:space="preserve"> (n 54)</w:t>
      </w:r>
    </w:p>
  </w:footnote>
  <w:footnote w:id="92">
    <w:p w14:paraId="735B8723" w14:textId="0DB03D7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163. See also </w:t>
      </w:r>
      <w:r w:rsidRPr="00A039C6">
        <w:rPr>
          <w:rFonts w:ascii="Times New Roman" w:hAnsi="Times New Roman" w:cs="Times New Roman"/>
          <w:i/>
          <w:color w:val="000000" w:themeColor="text1"/>
        </w:rPr>
        <w:t>Salman</w:t>
      </w:r>
      <w:r w:rsidRPr="00A039C6">
        <w:rPr>
          <w:rFonts w:ascii="Times New Roman" w:hAnsi="Times New Roman" w:cs="Times New Roman"/>
          <w:color w:val="000000" w:themeColor="text1"/>
        </w:rPr>
        <w:t xml:space="preserve"> (n 50) paras 106-107</w:t>
      </w:r>
    </w:p>
  </w:footnote>
  <w:footnote w:id="93">
    <w:p w14:paraId="76E0B908" w14:textId="5E9DBA6C"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Tanrikulu</w:t>
      </w:r>
      <w:proofErr w:type="spellEnd"/>
      <w:r w:rsidRPr="00A039C6">
        <w:rPr>
          <w:rFonts w:ascii="Times New Roman" w:hAnsi="Times New Roman" w:cs="Times New Roman"/>
          <w:i/>
          <w:color w:val="000000" w:themeColor="text1"/>
          <w:lang w:val="fr-FR"/>
        </w:rPr>
        <w:t xml:space="preserve"> </w:t>
      </w:r>
      <w:r w:rsidRPr="00A039C6">
        <w:rPr>
          <w:rFonts w:ascii="Times New Roman" w:hAnsi="Times New Roman" w:cs="Times New Roman"/>
          <w:color w:val="000000" w:themeColor="text1"/>
          <w:lang w:val="fr-FR"/>
        </w:rPr>
        <w:t>(n 30) para 106</w:t>
      </w:r>
    </w:p>
  </w:footnote>
  <w:footnote w:id="94">
    <w:p w14:paraId="2627578D" w14:textId="112803CA"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Salman</w:t>
      </w:r>
      <w:r w:rsidRPr="00A039C6">
        <w:rPr>
          <w:rFonts w:ascii="Times New Roman" w:hAnsi="Times New Roman" w:cs="Times New Roman"/>
          <w:color w:val="000000" w:themeColor="text1"/>
          <w:lang w:val="fr-FR"/>
        </w:rPr>
        <w:t xml:space="preserve"> (n 50) para 106</w:t>
      </w:r>
    </w:p>
  </w:footnote>
  <w:footnote w:id="95">
    <w:p w14:paraId="4E568893" w14:textId="02C5F0E6"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Ateş</w:t>
      </w:r>
      <w:proofErr w:type="spellEnd"/>
      <w:r w:rsidRPr="00A039C6">
        <w:rPr>
          <w:rFonts w:ascii="Times New Roman" w:hAnsi="Times New Roman" w:cs="Times New Roman"/>
          <w:color w:val="000000" w:themeColor="text1"/>
          <w:lang w:val="fr-FR"/>
        </w:rPr>
        <w:t xml:space="preserve"> (n 82) para </w:t>
      </w:r>
      <w:proofErr w:type="gramStart"/>
      <w:r w:rsidRPr="00A039C6">
        <w:rPr>
          <w:rFonts w:ascii="Times New Roman" w:hAnsi="Times New Roman" w:cs="Times New Roman"/>
          <w:color w:val="000000" w:themeColor="text1"/>
          <w:lang w:val="fr-FR"/>
        </w:rPr>
        <w:t>109;</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Akkum</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31) para 196</w:t>
      </w:r>
    </w:p>
  </w:footnote>
  <w:footnote w:id="96">
    <w:p w14:paraId="68C24CC3" w14:textId="1D71579C"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Ateş</w:t>
      </w:r>
      <w:proofErr w:type="spellEnd"/>
      <w:r w:rsidRPr="00A039C6">
        <w:rPr>
          <w:rFonts w:ascii="Times New Roman" w:hAnsi="Times New Roman" w:cs="Times New Roman"/>
          <w:color w:val="000000" w:themeColor="text1"/>
          <w:lang w:val="fr-FR"/>
        </w:rPr>
        <w:t xml:space="preserve"> (n 82) para 109</w:t>
      </w:r>
    </w:p>
  </w:footnote>
  <w:footnote w:id="97">
    <w:p w14:paraId="0107BB1F" w14:textId="07E504E4"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Salman</w:t>
      </w:r>
      <w:r w:rsidRPr="00A039C6">
        <w:rPr>
          <w:rFonts w:ascii="Times New Roman" w:hAnsi="Times New Roman" w:cs="Times New Roman"/>
          <w:color w:val="000000" w:themeColor="text1"/>
          <w:lang w:val="fr-FR"/>
        </w:rPr>
        <w:t xml:space="preserve"> (n 50) para 106</w:t>
      </w:r>
    </w:p>
  </w:footnote>
  <w:footnote w:id="98">
    <w:p w14:paraId="20A2456B" w14:textId="666F8FF0"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Cangöz</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56) paras 133-134</w:t>
      </w:r>
    </w:p>
  </w:footnote>
  <w:footnote w:id="99">
    <w:p w14:paraId="2E914FFC" w14:textId="1C56E1D7"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discussion in Russell (n 3) 136-137</w:t>
      </w:r>
    </w:p>
  </w:footnote>
  <w:footnote w:id="100">
    <w:p w14:paraId="0C4DD359" w14:textId="5CD58070"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Akkum</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and Others</w:t>
      </w:r>
      <w:r w:rsidRPr="00A039C6">
        <w:rPr>
          <w:rFonts w:ascii="Times New Roman" w:hAnsi="Times New Roman" w:cs="Times New Roman"/>
          <w:color w:val="000000" w:themeColor="text1"/>
          <w:lang w:val="fr-FR"/>
        </w:rPr>
        <w:t xml:space="preserve"> (n 31) paras 196 and 218. </w:t>
      </w:r>
      <w:r w:rsidRPr="00A039C6">
        <w:rPr>
          <w:rFonts w:ascii="Times New Roman" w:hAnsi="Times New Roman" w:cs="Times New Roman"/>
          <w:color w:val="000000" w:themeColor="text1"/>
        </w:rPr>
        <w:t>Yet, the autopsy might not be of high evidential value if the State authorities have accepted the case of the death (Park (n 3) 153)</w:t>
      </w:r>
    </w:p>
  </w:footnote>
  <w:footnote w:id="101">
    <w:p w14:paraId="7F68CA11" w14:textId="2AF2DF92"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Noted by the Court in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30</w:t>
      </w:r>
    </w:p>
  </w:footnote>
  <w:footnote w:id="102">
    <w:p w14:paraId="3E70C2F7" w14:textId="65939E86"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Jaloud</w:t>
      </w:r>
      <w:proofErr w:type="spellEnd"/>
      <w:r w:rsidRPr="00A039C6">
        <w:rPr>
          <w:rFonts w:ascii="Times New Roman" w:hAnsi="Times New Roman" w:cs="Times New Roman"/>
          <w:color w:val="000000" w:themeColor="text1"/>
          <w:lang w:val="fr-FR"/>
        </w:rPr>
        <w:t xml:space="preserve"> (n 13) para 6 (</w:t>
      </w:r>
      <w:proofErr w:type="spellStart"/>
      <w:r w:rsidRPr="00A039C6">
        <w:rPr>
          <w:rFonts w:ascii="Times New Roman" w:hAnsi="Times New Roman" w:cs="Times New Roman"/>
          <w:color w:val="000000" w:themeColor="text1"/>
          <w:lang w:val="fr-FR"/>
        </w:rPr>
        <w:t>Concurring</w:t>
      </w:r>
      <w:proofErr w:type="spellEnd"/>
      <w:r w:rsidRPr="00A039C6">
        <w:rPr>
          <w:rFonts w:ascii="Times New Roman" w:hAnsi="Times New Roman" w:cs="Times New Roman"/>
          <w:color w:val="000000" w:themeColor="text1"/>
          <w:lang w:val="fr-FR"/>
        </w:rPr>
        <w:t xml:space="preserve"> Opinion)</w:t>
      </w:r>
    </w:p>
  </w:footnote>
  <w:footnote w:id="103">
    <w:p w14:paraId="2633FCB2" w14:textId="2CA1234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6 (Concurring Opinion)</w:t>
      </w:r>
    </w:p>
  </w:footnote>
  <w:footnote w:id="104">
    <w:p w14:paraId="7CC368CE" w14:textId="5BF7431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227</w:t>
      </w:r>
    </w:p>
  </w:footnote>
  <w:footnote w:id="105">
    <w:p w14:paraId="759D27F6" w14:textId="0E4ADFDB"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170</w:t>
      </w:r>
    </w:p>
  </w:footnote>
  <w:footnote w:id="106">
    <w:p w14:paraId="5647D6D4" w14:textId="4056F678"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See for example </w:t>
      </w:r>
      <w:proofErr w:type="spellStart"/>
      <w:r w:rsidRPr="00A039C6">
        <w:rPr>
          <w:rFonts w:ascii="Times New Roman" w:hAnsi="Times New Roman" w:cs="Times New Roman"/>
          <w:i/>
        </w:rPr>
        <w:t>Jaloud</w:t>
      </w:r>
      <w:proofErr w:type="spellEnd"/>
      <w:r w:rsidRPr="00A039C6">
        <w:rPr>
          <w:rFonts w:ascii="Times New Roman" w:hAnsi="Times New Roman" w:cs="Times New Roman"/>
          <w:i/>
        </w:rPr>
        <w:t xml:space="preserve"> </w:t>
      </w:r>
      <w:r w:rsidRPr="00A039C6">
        <w:rPr>
          <w:rFonts w:ascii="Times New Roman" w:hAnsi="Times New Roman" w:cs="Times New Roman"/>
        </w:rPr>
        <w:t xml:space="preserve">(n 13) para 186; </w:t>
      </w:r>
      <w:proofErr w:type="spellStart"/>
      <w:r w:rsidRPr="00A039C6">
        <w:rPr>
          <w:rFonts w:ascii="Times New Roman" w:hAnsi="Times New Roman" w:cs="Times New Roman"/>
          <w:i/>
          <w:color w:val="000000" w:themeColor="text1"/>
        </w:rPr>
        <w:t>Acar</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(n 9) para 223</w:t>
      </w:r>
    </w:p>
  </w:footnote>
  <w:footnote w:id="107">
    <w:p w14:paraId="5A311B4D" w14:textId="13CA93E3"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212; </w:t>
      </w:r>
      <w:proofErr w:type="spellStart"/>
      <w:r w:rsidRPr="00A039C6">
        <w:rPr>
          <w:rStyle w:val="s6b621b36"/>
          <w:rFonts w:ascii="Times New Roman" w:hAnsi="Times New Roman" w:cs="Times New Roman"/>
          <w:i/>
          <w:iCs/>
          <w:color w:val="000000" w:themeColor="text1"/>
          <w:shd w:val="clear" w:color="auto" w:fill="FFFFFF"/>
        </w:rPr>
        <w:t>Mahmut</w:t>
      </w:r>
      <w:proofErr w:type="spellEnd"/>
      <w:r w:rsidRPr="00A039C6">
        <w:rPr>
          <w:rStyle w:val="s6b621b36"/>
          <w:rFonts w:ascii="Times New Roman" w:hAnsi="Times New Roman" w:cs="Times New Roman"/>
          <w:i/>
          <w:iCs/>
          <w:color w:val="000000" w:themeColor="text1"/>
          <w:shd w:val="clear" w:color="auto" w:fill="FFFFFF"/>
        </w:rPr>
        <w:t xml:space="preserve"> Kaya v Turkey</w:t>
      </w:r>
      <w:r w:rsidRPr="00A039C6">
        <w:rPr>
          <w:rFonts w:ascii="Times New Roman" w:hAnsi="Times New Roman" w:cs="Times New Roman"/>
          <w:color w:val="000000" w:themeColor="text1"/>
        </w:rPr>
        <w:t xml:space="preserve"> App no 21986/93 (ECtHR</w:t>
      </w:r>
      <w:r w:rsidR="00721C3D"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28 March 2000) </w:t>
      </w:r>
      <w:r w:rsidRPr="00A039C6">
        <w:rPr>
          <w:rStyle w:val="sb8d990e2"/>
          <w:rFonts w:ascii="Times New Roman" w:hAnsi="Times New Roman" w:cs="Times New Roman"/>
          <w:color w:val="000000" w:themeColor="text1"/>
          <w:shd w:val="clear" w:color="auto" w:fill="FFFFFF"/>
        </w:rPr>
        <w:t xml:space="preserve">paras 106-107; </w:t>
      </w:r>
      <w:proofErr w:type="spellStart"/>
      <w:r w:rsidRPr="00A039C6">
        <w:rPr>
          <w:rFonts w:ascii="Times New Roman" w:hAnsi="Times New Roman" w:cs="Times New Roman"/>
          <w:i/>
          <w:color w:val="000000" w:themeColor="text1"/>
        </w:rPr>
        <w:t>Estamirov</w:t>
      </w:r>
      <w:proofErr w:type="spellEnd"/>
      <w:r w:rsidRPr="00A039C6">
        <w:rPr>
          <w:rFonts w:ascii="Times New Roman" w:hAnsi="Times New Roman" w:cs="Times New Roman"/>
          <w:i/>
          <w:color w:val="000000" w:themeColor="text1"/>
        </w:rPr>
        <w:t xml:space="preserve"> </w:t>
      </w:r>
      <w:r w:rsidR="00B96ACE"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13) para 87; </w:t>
      </w:r>
      <w:proofErr w:type="spellStart"/>
      <w:r w:rsidRPr="00A039C6">
        <w:rPr>
          <w:rFonts w:ascii="Times New Roman" w:hAnsi="Times New Roman" w:cs="Times New Roman"/>
          <w:i/>
          <w:color w:val="000000" w:themeColor="text1"/>
        </w:rPr>
        <w:t>Khamzayev</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12) para 195</w:t>
      </w:r>
    </w:p>
  </w:footnote>
  <w:footnote w:id="108">
    <w:p w14:paraId="28F149D1" w14:textId="1EEEBD96"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213;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i/>
          <w:color w:val="000000" w:themeColor="text1"/>
        </w:rPr>
        <w:t xml:space="preserve"> et al</w:t>
      </w:r>
      <w:r w:rsidRPr="00A039C6">
        <w:rPr>
          <w:rFonts w:ascii="Times New Roman" w:hAnsi="Times New Roman" w:cs="Times New Roman"/>
          <w:color w:val="000000" w:themeColor="text1"/>
        </w:rPr>
        <w:t xml:space="preserve"> (n 12) para 212;</w:t>
      </w:r>
      <w:r w:rsidRPr="00A039C6">
        <w:rPr>
          <w:rFonts w:ascii="Times New Roman" w:hAnsi="Times New Roman" w:cs="Times New Roman"/>
          <w:i/>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144</w:t>
      </w:r>
    </w:p>
  </w:footnote>
  <w:footnote w:id="109">
    <w:p w14:paraId="4BA99F88" w14:textId="6527BAD3"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213;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144; </w:t>
      </w:r>
      <w:proofErr w:type="spellStart"/>
      <w:r w:rsidRPr="00A039C6">
        <w:rPr>
          <w:rFonts w:ascii="Times New Roman" w:hAnsi="Times New Roman" w:cs="Times New Roman"/>
          <w:i/>
          <w:color w:val="000000" w:themeColor="text1"/>
        </w:rPr>
        <w:t>McKerr</w:t>
      </w:r>
      <w:proofErr w:type="spellEnd"/>
      <w:r w:rsidRPr="00A039C6">
        <w:rPr>
          <w:rFonts w:ascii="Times New Roman" w:hAnsi="Times New Roman" w:cs="Times New Roman"/>
          <w:color w:val="000000" w:themeColor="text1"/>
        </w:rPr>
        <w:t xml:space="preserve"> (n 5) paras</w:t>
      </w:r>
      <w:r w:rsidRPr="00A039C6">
        <w:rPr>
          <w:rStyle w:val="sb8d990e2"/>
          <w:rFonts w:ascii="Times New Roman" w:hAnsi="Times New Roman" w:cs="Times New Roman"/>
          <w:color w:val="000000" w:themeColor="text1"/>
          <w:shd w:val="clear" w:color="auto" w:fill="FFFFFF"/>
        </w:rPr>
        <w:t xml:space="preserve"> 111 and 114; </w:t>
      </w:r>
      <w:proofErr w:type="spellStart"/>
      <w:r w:rsidRPr="00A039C6">
        <w:rPr>
          <w:rFonts w:ascii="Times New Roman" w:hAnsi="Times New Roman" w:cs="Times New Roman"/>
          <w:i/>
          <w:color w:val="000000" w:themeColor="text1"/>
        </w:rPr>
        <w:t>Khamzayev</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12) para 195</w:t>
      </w:r>
    </w:p>
  </w:footnote>
  <w:footnote w:id="110">
    <w:p w14:paraId="073E0BB2" w14:textId="5FD4D67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Zubayrayev</w:t>
      </w:r>
      <w:proofErr w:type="spellEnd"/>
      <w:r w:rsidRPr="00A039C6">
        <w:rPr>
          <w:rFonts w:ascii="Times New Roman" w:hAnsi="Times New Roman" w:cs="Times New Roman"/>
          <w:i/>
          <w:color w:val="000000" w:themeColor="text1"/>
        </w:rPr>
        <w:t xml:space="preserve"> v Russia</w:t>
      </w:r>
      <w:r w:rsidRPr="00A039C6">
        <w:rPr>
          <w:rFonts w:ascii="Times New Roman" w:hAnsi="Times New Roman" w:cs="Times New Roman"/>
          <w:color w:val="000000" w:themeColor="text1"/>
        </w:rPr>
        <w:t xml:space="preserve"> App no 67797/01 (ECtHR</w:t>
      </w:r>
      <w:r w:rsidR="00721C3D" w:rsidRPr="00A039C6">
        <w:rPr>
          <w:rFonts w:ascii="Times New Roman" w:hAnsi="Times New Roman" w:cs="Times New Roman"/>
          <w:color w:val="000000" w:themeColor="text1"/>
        </w:rPr>
        <w:t>,</w:t>
      </w:r>
      <w:r w:rsidRPr="00A039C6">
        <w:rPr>
          <w:rFonts w:ascii="Times New Roman" w:hAnsi="Times New Roman" w:cs="Times New Roman"/>
          <w:color w:val="000000" w:themeColor="text1"/>
        </w:rPr>
        <w:t xml:space="preserve"> 10 January 2008) para 98</w:t>
      </w:r>
    </w:p>
  </w:footnote>
  <w:footnote w:id="111">
    <w:p w14:paraId="4559FE9F" w14:textId="3E08E50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Y</w:t>
      </w:r>
      <w:r w:rsidRPr="00A039C6">
        <w:rPr>
          <w:rStyle w:val="s6b621b36"/>
          <w:rFonts w:ascii="Times New Roman" w:hAnsi="Times New Roman" w:cs="Times New Roman"/>
          <w:i/>
          <w:iCs/>
          <w:color w:val="000000" w:themeColor="text1"/>
          <w:shd w:val="clear" w:color="auto" w:fill="FFFFFF"/>
        </w:rPr>
        <w:t>aşa</w:t>
      </w:r>
      <w:proofErr w:type="spellEnd"/>
      <w:r w:rsidRPr="00A039C6">
        <w:rPr>
          <w:rStyle w:val="s6b621b36"/>
          <w:rFonts w:ascii="Times New Roman" w:hAnsi="Times New Roman" w:cs="Times New Roman"/>
          <w:i/>
          <w:iCs/>
          <w:color w:val="000000" w:themeColor="text1"/>
          <w:shd w:val="clear" w:color="auto" w:fill="FFFFFF"/>
        </w:rPr>
        <w:t xml:space="preserve"> </w:t>
      </w:r>
      <w:r w:rsidRPr="00A039C6">
        <w:rPr>
          <w:rStyle w:val="s6b621b36"/>
          <w:rFonts w:ascii="Times New Roman" w:hAnsi="Times New Roman" w:cs="Times New Roman"/>
          <w:iCs/>
          <w:color w:val="000000" w:themeColor="text1"/>
          <w:shd w:val="clear" w:color="auto" w:fill="FFFFFF"/>
        </w:rPr>
        <w:t>(n 32)</w:t>
      </w:r>
      <w:r w:rsidRPr="00A039C6">
        <w:rPr>
          <w:rStyle w:val="sb8d990e2"/>
          <w:rFonts w:ascii="Times New Roman" w:hAnsi="Times New Roman" w:cs="Times New Roman"/>
          <w:color w:val="000000" w:themeColor="text1"/>
          <w:shd w:val="clear" w:color="auto" w:fill="FFFFFF"/>
        </w:rPr>
        <w:t xml:space="preserve"> para 104</w:t>
      </w:r>
      <w:r w:rsidRPr="00A039C6">
        <w:rPr>
          <w:rFonts w:ascii="Times New Roman" w:hAnsi="Times New Roman" w:cs="Times New Roman"/>
          <w:color w:val="000000" w:themeColor="text1"/>
        </w:rPr>
        <w:t xml:space="preserve"> </w:t>
      </w:r>
    </w:p>
  </w:footnote>
  <w:footnote w:id="112">
    <w:p w14:paraId="0E157D75" w14:textId="268E118E"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Russell (n 3) 127</w:t>
      </w:r>
    </w:p>
  </w:footnote>
  <w:footnote w:id="113">
    <w:p w14:paraId="5078F12F" w14:textId="3181BFD3"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For example, in Afghanistan, there were two investigations, one carried out by the State and another by ISAF. The aim of ISAF investigations was ‘to record [civilian casualty] allegations and learn the lessons to improve [Tactics Techniques and Procedures] in the future’. </w:t>
      </w:r>
      <w:r w:rsidRPr="00A039C6">
        <w:rPr>
          <w:rStyle w:val="Hyperlink"/>
          <w:rFonts w:ascii="Times New Roman" w:hAnsi="Times New Roman" w:cs="Times New Roman"/>
          <w:color w:val="auto"/>
          <w:u w:val="none"/>
        </w:rPr>
        <w:t>MoD (n 89) para 19.5</w:t>
      </w:r>
    </w:p>
  </w:footnote>
  <w:footnote w:id="114">
    <w:p w14:paraId="6AC943EF" w14:textId="118D05D2"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color w:val="000000" w:themeColor="text1"/>
          <w:shd w:val="clear" w:color="auto" w:fill="FFFFFF"/>
        </w:rPr>
        <w:t xml:space="preserve">Official </w:t>
      </w:r>
      <w:r w:rsidRPr="00A039C6">
        <w:rPr>
          <w:rFonts w:ascii="Times New Roman" w:hAnsi="Times New Roman" w:cs="Times New Roman"/>
          <w:color w:val="000000" w:themeColor="text1"/>
        </w:rPr>
        <w:t xml:space="preserve">information on the procedure is sparse and thus recourse must be had to various sources. Whenever possible the most up-to-date information was used bearing in mind that such guidelines change often. Documents used include </w:t>
      </w:r>
      <w:r w:rsidRPr="00A039C6">
        <w:rPr>
          <w:rFonts w:ascii="Times New Roman" w:hAnsi="Times New Roman" w:cs="Times New Roman"/>
          <w:color w:val="000000" w:themeColor="text1"/>
          <w:shd w:val="clear" w:color="auto" w:fill="FFFFFF"/>
        </w:rPr>
        <w:t xml:space="preserve">Park (n 3) 142-148; </w:t>
      </w:r>
      <w:proofErr w:type="spellStart"/>
      <w:r w:rsidRPr="00A039C6">
        <w:rPr>
          <w:rFonts w:ascii="Times New Roman" w:hAnsi="Times New Roman" w:cs="Times New Roman"/>
          <w:color w:val="000000" w:themeColor="text1"/>
        </w:rPr>
        <w:t>Paphiti</w:t>
      </w:r>
      <w:proofErr w:type="spellEnd"/>
      <w:r w:rsidRPr="00A039C6">
        <w:rPr>
          <w:rFonts w:ascii="Times New Roman" w:hAnsi="Times New Roman" w:cs="Times New Roman"/>
          <w:color w:val="000000" w:themeColor="text1"/>
        </w:rPr>
        <w:t xml:space="preserve"> (n 54), Permanent Joint Headquarters (UK), OP TELIC: Policy for the Reporting, Recording, Review and Investigation of Shooting Incidents, D/PJHQ/1/1610/1/1, 8 November 2004; </w:t>
      </w:r>
      <w:r w:rsidRPr="00A039C6">
        <w:rPr>
          <w:rStyle w:val="Hyperlink"/>
          <w:rFonts w:ascii="Times New Roman" w:hAnsi="Times New Roman" w:cs="Times New Roman"/>
          <w:color w:val="000000" w:themeColor="text1"/>
          <w:u w:val="none"/>
        </w:rPr>
        <w:t>MoD (</w:t>
      </w:r>
      <w:r w:rsidRPr="00A039C6">
        <w:rPr>
          <w:rFonts w:ascii="Times New Roman" w:hAnsi="Times New Roman" w:cs="Times New Roman"/>
          <w:color w:val="000000" w:themeColor="text1"/>
        </w:rPr>
        <w:t>n 89)</w:t>
      </w:r>
      <w:r w:rsidRPr="00A039C6">
        <w:rPr>
          <w:rStyle w:val="Hyperlink"/>
          <w:rFonts w:ascii="Times New Roman" w:hAnsi="Times New Roman" w:cs="Times New Roman"/>
          <w:color w:val="000000" w:themeColor="text1"/>
          <w:u w:val="none"/>
        </w:rPr>
        <w:t xml:space="preserve"> and repeated in UK Parliament, ‘Written Evidence from the Ministry of Defence to House of Commons Defence Committee, UK Armed Forces Personnel and the Legal Framework for Future Operations, Twelfth Report of Session 2013-24’ (UK Parliament, November 2013) &lt;</w:t>
      </w:r>
      <w:r w:rsidRPr="00A039C6">
        <w:rPr>
          <w:rFonts w:ascii="Times New Roman" w:hAnsi="Times New Roman" w:cs="Times New Roman"/>
          <w:color w:val="000000" w:themeColor="text1"/>
        </w:rPr>
        <w:t>https://publications.parliament.uk/pa/cm201314/cmselect/cmdfence/931/931.pdf&gt;</w:t>
      </w:r>
      <w:r w:rsidRPr="00A039C6">
        <w:rPr>
          <w:rStyle w:val="Hyperlink"/>
          <w:rFonts w:ascii="Times New Roman" w:hAnsi="Times New Roman" w:cs="Times New Roman"/>
          <w:color w:val="000000" w:themeColor="text1"/>
          <w:u w:val="none"/>
        </w:rPr>
        <w:t xml:space="preserve"> 2 December 2018.</w:t>
      </w:r>
    </w:p>
  </w:footnote>
  <w:footnote w:id="115">
    <w:p w14:paraId="15BB3665" w14:textId="620BF8EF"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w:t>
      </w:r>
      <w:proofErr w:type="spellStart"/>
      <w:r w:rsidRPr="00A039C6">
        <w:rPr>
          <w:rFonts w:ascii="Times New Roman" w:hAnsi="Times New Roman" w:cs="Times New Roman"/>
          <w:i/>
          <w:color w:val="000000" w:themeColor="text1"/>
          <w:lang w:val="fr-FR"/>
        </w:rPr>
        <w:t>Akkum</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31) paras 195 and 202</w:t>
      </w:r>
    </w:p>
  </w:footnote>
  <w:footnote w:id="116">
    <w:p w14:paraId="27C9305A" w14:textId="3675ACA8"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color w:val="000000" w:themeColor="text1"/>
          <w:lang w:val="fr-FR"/>
        </w:rPr>
        <w:t xml:space="preserve"> (n 12) para </w:t>
      </w:r>
      <w:proofErr w:type="gramStart"/>
      <w:r w:rsidRPr="00A039C6">
        <w:rPr>
          <w:rFonts w:ascii="Times New Roman" w:hAnsi="Times New Roman" w:cs="Times New Roman"/>
          <w:color w:val="000000" w:themeColor="text1"/>
          <w:lang w:val="fr-FR"/>
        </w:rPr>
        <w:t>211;</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i/>
          <w:color w:val="000000" w:themeColor="text1"/>
          <w:lang w:val="fr-FR"/>
        </w:rPr>
        <w:t xml:space="preserve"> et al</w:t>
      </w:r>
      <w:r w:rsidRPr="00A039C6">
        <w:rPr>
          <w:rFonts w:ascii="Times New Roman" w:hAnsi="Times New Roman" w:cs="Times New Roman"/>
          <w:color w:val="000000" w:themeColor="text1"/>
          <w:lang w:val="fr-FR"/>
        </w:rPr>
        <w:t xml:space="preserve"> (n 12) para 210;</w:t>
      </w:r>
      <w:r w:rsidRPr="00A039C6">
        <w:rPr>
          <w:rFonts w:ascii="Times New Roman" w:hAnsi="Times New Roman" w:cs="Times New Roman"/>
          <w:i/>
          <w:color w:val="000000" w:themeColor="text1"/>
          <w:lang w:val="fr-FR"/>
        </w:rPr>
        <w:t xml:space="preserve"> </w:t>
      </w:r>
      <w:proofErr w:type="spellStart"/>
      <w:r w:rsidRPr="00A039C6">
        <w:rPr>
          <w:rStyle w:val="s6b621b36"/>
          <w:rFonts w:ascii="Times New Roman" w:hAnsi="Times New Roman" w:cs="Times New Roman"/>
          <w:i/>
          <w:iCs/>
          <w:color w:val="000000" w:themeColor="text1"/>
          <w:shd w:val="clear" w:color="auto" w:fill="FFFFFF"/>
          <w:lang w:val="fr-FR"/>
        </w:rPr>
        <w:t>Güleç</w:t>
      </w:r>
      <w:proofErr w:type="spellEnd"/>
      <w:r w:rsidRPr="00A039C6">
        <w:rPr>
          <w:rStyle w:val="s6b621b36"/>
          <w:rFonts w:ascii="Times New Roman" w:hAnsi="Times New Roman" w:cs="Times New Roman"/>
          <w:iCs/>
          <w:color w:val="000000" w:themeColor="text1"/>
          <w:shd w:val="clear" w:color="auto" w:fill="FFFFFF"/>
          <w:lang w:val="fr-FR"/>
        </w:rPr>
        <w:t xml:space="preserve"> (n 6)</w:t>
      </w:r>
      <w:r w:rsidRPr="00A039C6">
        <w:rPr>
          <w:rStyle w:val="sb8d990e2"/>
          <w:rFonts w:ascii="Times New Roman" w:hAnsi="Times New Roman" w:cs="Times New Roman"/>
          <w:color w:val="000000" w:themeColor="text1"/>
          <w:shd w:val="clear" w:color="auto" w:fill="FFFFFF"/>
          <w:lang w:val="fr-FR"/>
        </w:rPr>
        <w:t xml:space="preserve"> paras 81-82. </w:t>
      </w:r>
      <w:r w:rsidRPr="00A039C6">
        <w:rPr>
          <w:rStyle w:val="sb8d990e2"/>
          <w:rFonts w:ascii="Times New Roman" w:hAnsi="Times New Roman" w:cs="Times New Roman"/>
          <w:color w:val="000000" w:themeColor="text1"/>
          <w:shd w:val="clear" w:color="auto" w:fill="FFFFFF"/>
        </w:rPr>
        <w:t xml:space="preserve">See also </w:t>
      </w:r>
      <w:proofErr w:type="spellStart"/>
      <w:r w:rsidRPr="00A039C6">
        <w:rPr>
          <w:rFonts w:ascii="Times New Roman" w:hAnsi="Times New Roman" w:cs="Times New Roman"/>
          <w:i/>
          <w:color w:val="000000" w:themeColor="text1"/>
        </w:rPr>
        <w:t>Cangöz</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56) para 126 (in which case the soldiers carried out the initial and critical phases of the investigation)</w:t>
      </w:r>
    </w:p>
  </w:footnote>
  <w:footnote w:id="117">
    <w:p w14:paraId="6C50B706" w14:textId="38D55CD8"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i/>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color w:val="000000" w:themeColor="text1"/>
          <w:lang w:val="fr-FR"/>
        </w:rPr>
        <w:t xml:space="preserve"> (n 12) para </w:t>
      </w:r>
      <w:proofErr w:type="gramStart"/>
      <w:r w:rsidRPr="00A039C6">
        <w:rPr>
          <w:rFonts w:ascii="Times New Roman" w:hAnsi="Times New Roman" w:cs="Times New Roman"/>
          <w:color w:val="000000" w:themeColor="text1"/>
          <w:lang w:val="fr-FR"/>
        </w:rPr>
        <w:t>211;</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i/>
          <w:color w:val="000000" w:themeColor="text1"/>
          <w:lang w:val="fr-FR"/>
        </w:rPr>
        <w:t xml:space="preserve"> et al</w:t>
      </w:r>
      <w:r w:rsidRPr="00A039C6">
        <w:rPr>
          <w:rFonts w:ascii="Times New Roman" w:hAnsi="Times New Roman" w:cs="Times New Roman"/>
          <w:color w:val="000000" w:themeColor="text1"/>
          <w:lang w:val="fr-FR"/>
        </w:rPr>
        <w:t xml:space="preserve"> (n 12) para 210</w:t>
      </w:r>
      <w:r w:rsidRPr="00A039C6">
        <w:rPr>
          <w:rFonts w:ascii="Times New Roman" w:hAnsi="Times New Roman" w:cs="Times New Roman"/>
          <w:i/>
          <w:color w:val="000000" w:themeColor="text1"/>
          <w:lang w:val="fr-FR"/>
        </w:rPr>
        <w:t>;</w:t>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Ergi</w:t>
      </w:r>
      <w:proofErr w:type="spellEnd"/>
      <w:r w:rsidRPr="00A039C6">
        <w:rPr>
          <w:rFonts w:ascii="Times New Roman" w:hAnsi="Times New Roman" w:cs="Times New Roman"/>
          <w:color w:val="000000" w:themeColor="text1"/>
          <w:lang w:val="fr-FR"/>
        </w:rPr>
        <w:t xml:space="preserve"> (n 3) paras 83-84; </w:t>
      </w:r>
      <w:proofErr w:type="spellStart"/>
      <w:r w:rsidRPr="00A039C6">
        <w:rPr>
          <w:rFonts w:ascii="Times New Roman" w:hAnsi="Times New Roman" w:cs="Times New Roman"/>
          <w:i/>
          <w:color w:val="000000" w:themeColor="text1"/>
          <w:lang w:val="fr-FR"/>
        </w:rPr>
        <w:t>McKerr</w:t>
      </w:r>
      <w:proofErr w:type="spellEnd"/>
      <w:r w:rsidRPr="00A039C6">
        <w:rPr>
          <w:rFonts w:ascii="Times New Roman" w:hAnsi="Times New Roman" w:cs="Times New Roman"/>
          <w:color w:val="000000" w:themeColor="text1"/>
          <w:lang w:val="fr-FR"/>
        </w:rPr>
        <w:t xml:space="preserve"> (n 5) para 128</w:t>
      </w:r>
    </w:p>
  </w:footnote>
  <w:footnote w:id="118">
    <w:p w14:paraId="6F8A4236" w14:textId="4277AD18"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13) para 169;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paras 210-211</w:t>
      </w:r>
    </w:p>
  </w:footnote>
  <w:footnote w:id="119">
    <w:p w14:paraId="261AF426" w14:textId="3677E38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Park (n 3) 56</w:t>
      </w:r>
    </w:p>
  </w:footnote>
  <w:footnote w:id="120">
    <w:p w14:paraId="43C171D6" w14:textId="08273086"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See </w:t>
      </w:r>
      <w:r w:rsidRPr="00A039C6">
        <w:rPr>
          <w:rFonts w:ascii="Times New Roman" w:hAnsi="Times New Roman" w:cs="Times New Roman"/>
          <w:color w:val="000000" w:themeColor="text1"/>
          <w:shd w:val="clear" w:color="auto" w:fill="FFFFFF"/>
        </w:rPr>
        <w:t>Park (n 3) 55-56</w:t>
      </w:r>
    </w:p>
  </w:footnote>
  <w:footnote w:id="121">
    <w:p w14:paraId="73152A3F" w14:textId="04384F62"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171</w:t>
      </w:r>
    </w:p>
  </w:footnote>
  <w:footnote w:id="122">
    <w:p w14:paraId="0E02A7EE" w14:textId="7F4A1806"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For a description of the investigation procedure into Iraqi civilian deaths at the time, see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paras 28-29</w:t>
      </w:r>
    </w:p>
  </w:footnote>
  <w:footnote w:id="123">
    <w:p w14:paraId="16F0FE73" w14:textId="359FCCF5"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proofErr w:type="gramStart"/>
      <w:r w:rsidRPr="00A039C6">
        <w:rPr>
          <w:rFonts w:ascii="Times New Roman" w:hAnsi="Times New Roman" w:cs="Times New Roman"/>
          <w:color w:val="000000" w:themeColor="text1"/>
          <w:lang w:val="fr-FR"/>
        </w:rPr>
        <w:t>ibid</w:t>
      </w:r>
      <w:proofErr w:type="spellEnd"/>
      <w:proofErr w:type="gramEnd"/>
      <w:r w:rsidRPr="00A039C6">
        <w:rPr>
          <w:rFonts w:ascii="Times New Roman" w:hAnsi="Times New Roman" w:cs="Times New Roman"/>
          <w:color w:val="000000" w:themeColor="text1"/>
          <w:lang w:val="fr-FR"/>
        </w:rPr>
        <w:t xml:space="preserve"> para 169</w:t>
      </w:r>
    </w:p>
  </w:footnote>
  <w:footnote w:id="124">
    <w:p w14:paraId="365E42F7" w14:textId="363128E9"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Jaloud</w:t>
      </w:r>
      <w:proofErr w:type="spellEnd"/>
      <w:r w:rsidRPr="00A039C6">
        <w:rPr>
          <w:rFonts w:ascii="Times New Roman" w:hAnsi="Times New Roman" w:cs="Times New Roman"/>
          <w:color w:val="000000" w:themeColor="text1"/>
          <w:lang w:val="fr-FR"/>
        </w:rPr>
        <w:t xml:space="preserve"> (n 13) para 188</w:t>
      </w:r>
    </w:p>
  </w:footnote>
  <w:footnote w:id="125">
    <w:p w14:paraId="593BD89E" w14:textId="42DABB9B"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189</w:t>
      </w:r>
    </w:p>
  </w:footnote>
  <w:footnote w:id="126">
    <w:p w14:paraId="67F20BE6" w14:textId="5C5BFD3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190</w:t>
      </w:r>
    </w:p>
  </w:footnote>
  <w:footnote w:id="127">
    <w:p w14:paraId="4BBF62FA" w14:textId="214A74C1"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Park (n 3) 56</w:t>
      </w:r>
    </w:p>
  </w:footnote>
  <w:footnote w:id="128">
    <w:p w14:paraId="0844E44B" w14:textId="05B1F220"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(n 11) para 225</w:t>
      </w:r>
    </w:p>
  </w:footnote>
  <w:footnote w:id="129">
    <w:p w14:paraId="55F6D20F" w14:textId="6F32FDA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J</w:t>
      </w:r>
      <w:r w:rsidR="006525C2" w:rsidRPr="00A039C6">
        <w:rPr>
          <w:rFonts w:ascii="Times New Roman" w:hAnsi="Times New Roman" w:cs="Times New Roman"/>
          <w:color w:val="000000" w:themeColor="text1"/>
        </w:rPr>
        <w:t>aka</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Kukavica</w:t>
      </w:r>
      <w:proofErr w:type="spellEnd"/>
      <w:r w:rsidRPr="00A039C6">
        <w:rPr>
          <w:rFonts w:ascii="Times New Roman" w:hAnsi="Times New Roman" w:cs="Times New Roman"/>
          <w:color w:val="000000" w:themeColor="text1"/>
        </w:rPr>
        <w:t xml:space="preserve"> and V</w:t>
      </w:r>
      <w:r w:rsidR="006525C2" w:rsidRPr="00A039C6">
        <w:rPr>
          <w:rFonts w:ascii="Times New Roman" w:hAnsi="Times New Roman" w:cs="Times New Roman"/>
          <w:color w:val="000000" w:themeColor="text1"/>
        </w:rPr>
        <w:t>eronika</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Fikfak</w:t>
      </w:r>
      <w:proofErr w:type="spellEnd"/>
      <w:r w:rsidRPr="00A039C6">
        <w:rPr>
          <w:rFonts w:ascii="Times New Roman" w:hAnsi="Times New Roman" w:cs="Times New Roman"/>
          <w:color w:val="000000" w:themeColor="text1"/>
        </w:rPr>
        <w:t>, ‘Strasbourg’s U-Turn on Independence as Part of an Effective Investigation under Article 2’ [2015] CLJ 415, 417</w:t>
      </w:r>
    </w:p>
  </w:footnote>
  <w:footnote w:id="130">
    <w:p w14:paraId="78E567DB" w14:textId="3A3D88D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Chevalier-Watts (n 3) 715</w:t>
      </w:r>
    </w:p>
  </w:footnote>
  <w:footnote w:id="131">
    <w:p w14:paraId="5FA013AF" w14:textId="6E2B7A3C"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Russell (n 3) 151</w:t>
      </w:r>
    </w:p>
  </w:footnote>
  <w:footnote w:id="132">
    <w:p w14:paraId="13CE37AB" w14:textId="1976A07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McKerr</w:t>
      </w:r>
      <w:proofErr w:type="spellEnd"/>
      <w:r w:rsidRPr="00A039C6">
        <w:rPr>
          <w:rFonts w:ascii="Times New Roman" w:hAnsi="Times New Roman" w:cs="Times New Roman"/>
          <w:color w:val="000000" w:themeColor="text1"/>
        </w:rPr>
        <w:t xml:space="preserve"> (n 5) para 160; see </w:t>
      </w:r>
      <w:r w:rsidRPr="00A039C6">
        <w:rPr>
          <w:rFonts w:ascii="Times New Roman" w:hAnsi="Times New Roman" w:cs="Times New Roman"/>
          <w:i/>
          <w:color w:val="000000" w:themeColor="text1"/>
        </w:rPr>
        <w:t>Jordan</w:t>
      </w:r>
      <w:r w:rsidRPr="00A039C6">
        <w:rPr>
          <w:rFonts w:ascii="Times New Roman" w:hAnsi="Times New Roman" w:cs="Times New Roman"/>
          <w:color w:val="000000" w:themeColor="text1"/>
        </w:rPr>
        <w:t xml:space="preserve"> (n 13) para 108</w:t>
      </w:r>
    </w:p>
  </w:footnote>
  <w:footnote w:id="133">
    <w:p w14:paraId="693A5F61" w14:textId="136D4CF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Schmitt (n 22) 78; see also Office of the High Commissioner for Human Rights, Special Rapporteur Calls on the Government and the International Community to Make Renewed Efforts to Prevent Unlawful Killings, Press Release, 15 May 2008</w:t>
      </w:r>
    </w:p>
  </w:footnote>
  <w:footnote w:id="134">
    <w:p w14:paraId="7F69F848" w14:textId="12AF0781"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McKerr</w:t>
      </w:r>
      <w:proofErr w:type="spellEnd"/>
      <w:r w:rsidRPr="00A039C6">
        <w:rPr>
          <w:rFonts w:ascii="Times New Roman" w:hAnsi="Times New Roman" w:cs="Times New Roman"/>
          <w:color w:val="000000" w:themeColor="text1"/>
        </w:rPr>
        <w:t xml:space="preserve"> (n 5) para 160</w:t>
      </w:r>
    </w:p>
  </w:footnote>
  <w:footnote w:id="135">
    <w:p w14:paraId="1F66DF83" w14:textId="3F61C0A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M</w:t>
      </w:r>
      <w:r w:rsidR="006525C2" w:rsidRPr="00A039C6">
        <w:rPr>
          <w:rFonts w:ascii="Times New Roman" w:hAnsi="Times New Roman" w:cs="Times New Roman"/>
          <w:color w:val="000000" w:themeColor="text1"/>
        </w:rPr>
        <w:t>ichal</w:t>
      </w:r>
      <w:r w:rsidRPr="00A039C6">
        <w:rPr>
          <w:rFonts w:ascii="Times New Roman" w:hAnsi="Times New Roman" w:cs="Times New Roman"/>
          <w:color w:val="000000" w:themeColor="text1"/>
        </w:rPr>
        <w:t xml:space="preserve"> Drabik, ‘A Duty to Investigate Incidents Involving Collateral Damage and the United States Military’s Practice’ (2013) 22 Minnesota Journal of International Law Online 15, 30</w:t>
      </w:r>
    </w:p>
  </w:footnote>
  <w:footnote w:id="136">
    <w:p w14:paraId="48997A15" w14:textId="6E9E6803"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Wong (n 26) 114</w:t>
      </w:r>
    </w:p>
  </w:footnote>
  <w:footnote w:id="137">
    <w:p w14:paraId="42ED5B22" w14:textId="481FCB22"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214;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i/>
          <w:color w:val="000000" w:themeColor="text1"/>
        </w:rPr>
        <w:t xml:space="preserve"> et al</w:t>
      </w:r>
      <w:r w:rsidRPr="00A039C6">
        <w:rPr>
          <w:rFonts w:ascii="Times New Roman" w:hAnsi="Times New Roman" w:cs="Times New Roman"/>
          <w:color w:val="000000" w:themeColor="text1"/>
        </w:rPr>
        <w:t xml:space="preserve"> (n 12) para 213;</w:t>
      </w:r>
      <w:r w:rsidRPr="00A039C6">
        <w:rPr>
          <w:rFonts w:ascii="Times New Roman" w:hAnsi="Times New Roman" w:cs="Times New Roman"/>
          <w:i/>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 144</w:t>
      </w:r>
    </w:p>
  </w:footnote>
  <w:footnote w:id="138">
    <w:p w14:paraId="26CE0996" w14:textId="0FA20076"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color w:val="000000" w:themeColor="text1"/>
          <w:lang w:val="fr-FR"/>
        </w:rPr>
        <w:t xml:space="preserve"> (n 12) para </w:t>
      </w:r>
      <w:proofErr w:type="gramStart"/>
      <w:r w:rsidRPr="00A039C6">
        <w:rPr>
          <w:rFonts w:ascii="Times New Roman" w:hAnsi="Times New Roman" w:cs="Times New Roman"/>
          <w:color w:val="000000" w:themeColor="text1"/>
          <w:lang w:val="fr-FR"/>
        </w:rPr>
        <w:t>214;</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McKerr</w:t>
      </w:r>
      <w:proofErr w:type="spellEnd"/>
      <w:r w:rsidRPr="00A039C6">
        <w:rPr>
          <w:rFonts w:ascii="Times New Roman" w:hAnsi="Times New Roman" w:cs="Times New Roman"/>
          <w:color w:val="000000" w:themeColor="text1"/>
          <w:lang w:val="fr-FR"/>
        </w:rPr>
        <w:t xml:space="preserve"> (n 5) para 115; </w:t>
      </w:r>
      <w:r w:rsidRPr="00A039C6">
        <w:rPr>
          <w:rFonts w:ascii="Times New Roman" w:hAnsi="Times New Roman" w:cs="Times New Roman"/>
          <w:i/>
          <w:color w:val="000000" w:themeColor="text1"/>
          <w:lang w:val="fr-FR"/>
        </w:rPr>
        <w:t>Jordan</w:t>
      </w:r>
      <w:r w:rsidRPr="00A039C6">
        <w:rPr>
          <w:rFonts w:ascii="Times New Roman" w:hAnsi="Times New Roman" w:cs="Times New Roman"/>
          <w:color w:val="000000" w:themeColor="text1"/>
          <w:lang w:val="fr-FR"/>
        </w:rPr>
        <w:t xml:space="preserve"> (n 13) para 109; </w:t>
      </w:r>
      <w:proofErr w:type="spellStart"/>
      <w:r w:rsidRPr="00A039C6">
        <w:rPr>
          <w:rFonts w:ascii="Times New Roman" w:hAnsi="Times New Roman" w:cs="Times New Roman"/>
          <w:i/>
          <w:color w:val="000000" w:themeColor="text1"/>
          <w:lang w:val="fr-FR"/>
        </w:rPr>
        <w:t>Cangöz</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and Others</w:t>
      </w:r>
      <w:r w:rsidRPr="00A039C6">
        <w:rPr>
          <w:rFonts w:ascii="Times New Roman" w:hAnsi="Times New Roman" w:cs="Times New Roman"/>
          <w:color w:val="000000" w:themeColor="text1"/>
          <w:lang w:val="fr-FR"/>
        </w:rPr>
        <w:t xml:space="preserve"> (n 56) para 144; </w:t>
      </w:r>
      <w:proofErr w:type="spellStart"/>
      <w:r w:rsidRPr="00A039C6">
        <w:rPr>
          <w:rFonts w:ascii="Times New Roman" w:hAnsi="Times New Roman" w:cs="Times New Roman"/>
          <w:i/>
          <w:color w:val="000000" w:themeColor="text1"/>
          <w:lang w:val="fr-FR"/>
        </w:rPr>
        <w:t>Khamzayev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12) para 196</w:t>
      </w:r>
    </w:p>
  </w:footnote>
  <w:footnote w:id="139">
    <w:p w14:paraId="55721411" w14:textId="0B5A3EC3"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Bati</w:t>
      </w:r>
      <w:proofErr w:type="spellEnd"/>
      <w:r w:rsidRPr="00A039C6">
        <w:rPr>
          <w:rFonts w:ascii="Times New Roman" w:hAnsi="Times New Roman" w:cs="Times New Roman"/>
          <w:i/>
          <w:color w:val="000000" w:themeColor="text1"/>
        </w:rPr>
        <w:t xml:space="preserve"> and Others v Turkey</w:t>
      </w:r>
      <w:r w:rsidRPr="00A039C6">
        <w:rPr>
          <w:rFonts w:ascii="Times New Roman" w:hAnsi="Times New Roman" w:cs="Times New Roman"/>
          <w:color w:val="000000" w:themeColor="text1"/>
        </w:rPr>
        <w:t xml:space="preserve"> </w:t>
      </w:r>
      <w:r w:rsidR="00721C3D" w:rsidRPr="00A039C6">
        <w:rPr>
          <w:rFonts w:ascii="Times New Roman" w:hAnsi="Times New Roman" w:cs="Times New Roman"/>
          <w:color w:val="000000" w:themeColor="text1"/>
        </w:rPr>
        <w:t xml:space="preserve">App no </w:t>
      </w:r>
      <w:r w:rsidR="00721C3D" w:rsidRPr="00A039C6">
        <w:rPr>
          <w:rFonts w:ascii="Times New Roman" w:hAnsi="Times New Roman" w:cs="Times New Roman"/>
        </w:rPr>
        <w:t>33097/96 and 57834/00 (ECtHR, 3 June 2004)</w:t>
      </w:r>
      <w:r w:rsidRPr="00A039C6">
        <w:rPr>
          <w:rFonts w:ascii="Times New Roman" w:hAnsi="Times New Roman" w:cs="Times New Roman"/>
          <w:color w:val="000000" w:themeColor="text1"/>
        </w:rPr>
        <w:t xml:space="preserve"> para 137</w:t>
      </w:r>
    </w:p>
  </w:footnote>
  <w:footnote w:id="140">
    <w:p w14:paraId="41E7A044" w14:textId="3309D124"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Oğur</w:t>
      </w:r>
      <w:proofErr w:type="spellEnd"/>
      <w:r w:rsidRPr="00A039C6">
        <w:rPr>
          <w:rFonts w:ascii="Times New Roman" w:hAnsi="Times New Roman" w:cs="Times New Roman"/>
          <w:color w:val="000000" w:themeColor="text1"/>
          <w:lang w:val="fr-FR"/>
        </w:rPr>
        <w:t xml:space="preserve"> (n 12) para </w:t>
      </w:r>
      <w:proofErr w:type="gramStart"/>
      <w:r w:rsidRPr="00A039C6">
        <w:rPr>
          <w:rFonts w:ascii="Times New Roman" w:hAnsi="Times New Roman" w:cs="Times New Roman"/>
          <w:color w:val="000000" w:themeColor="text1"/>
          <w:lang w:val="fr-FR"/>
        </w:rPr>
        <w:t>92;</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Estamirov</w:t>
      </w:r>
      <w:proofErr w:type="spellEnd"/>
      <w:r w:rsidRPr="00A039C6">
        <w:rPr>
          <w:rFonts w:ascii="Times New Roman" w:hAnsi="Times New Roman" w:cs="Times New Roman"/>
          <w:i/>
          <w:color w:val="000000" w:themeColor="text1"/>
          <w:lang w:val="fr-FR"/>
        </w:rPr>
        <w:t xml:space="preserve"> </w:t>
      </w:r>
      <w:r w:rsidR="00B96ACE"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13) para 92</w:t>
      </w:r>
    </w:p>
  </w:footnote>
  <w:footnote w:id="141">
    <w:p w14:paraId="6DFC3807" w14:textId="4CB569D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Khashiyev</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Akayeva</w:t>
      </w:r>
      <w:proofErr w:type="spellEnd"/>
      <w:r w:rsidRPr="00A039C6">
        <w:rPr>
          <w:rFonts w:ascii="Times New Roman" w:hAnsi="Times New Roman" w:cs="Times New Roman"/>
          <w:color w:val="000000" w:themeColor="text1"/>
        </w:rPr>
        <w:t xml:space="preserve"> (n 12) paras 148 and 150; </w:t>
      </w:r>
      <w:proofErr w:type="spellStart"/>
      <w:r w:rsidRPr="00A039C6">
        <w:rPr>
          <w:rFonts w:ascii="Times New Roman" w:hAnsi="Times New Roman" w:cs="Times New Roman"/>
          <w:i/>
          <w:color w:val="000000" w:themeColor="text1"/>
        </w:rPr>
        <w:t>Khamzayev</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12) para 203</w:t>
      </w:r>
    </w:p>
  </w:footnote>
  <w:footnote w:id="142">
    <w:p w14:paraId="7FFE50E3" w14:textId="306D067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F</w:t>
      </w:r>
      <w:r w:rsidR="006525C2" w:rsidRPr="00A039C6">
        <w:rPr>
          <w:rFonts w:ascii="Times New Roman" w:hAnsi="Times New Roman" w:cs="Times New Roman"/>
          <w:color w:val="000000" w:themeColor="text1"/>
        </w:rPr>
        <w:t>iona</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Leverick</w:t>
      </w:r>
      <w:proofErr w:type="spellEnd"/>
      <w:r w:rsidRPr="00A039C6">
        <w:rPr>
          <w:rFonts w:ascii="Times New Roman" w:hAnsi="Times New Roman" w:cs="Times New Roman"/>
          <w:color w:val="000000" w:themeColor="text1"/>
        </w:rPr>
        <w:t>, ‘What Has the ECHR Done for Victims? A United Kingdom Perspective’ (2004) 11 IRV 177, 185. See also Borelli (n 3) 374</w:t>
      </w:r>
    </w:p>
  </w:footnote>
  <w:footnote w:id="143">
    <w:p w14:paraId="6395CCA1" w14:textId="727A66A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Drabik (n 139)</w:t>
      </w:r>
    </w:p>
  </w:footnote>
  <w:footnote w:id="144">
    <w:p w14:paraId="04D81941" w14:textId="705D12C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Jordan</w:t>
      </w:r>
      <w:r w:rsidRPr="00A039C6">
        <w:rPr>
          <w:rFonts w:ascii="Times New Roman" w:hAnsi="Times New Roman" w:cs="Times New Roman"/>
          <w:color w:val="000000" w:themeColor="text1"/>
        </w:rPr>
        <w:t xml:space="preserve"> (n 13) para 121; </w:t>
      </w:r>
      <w:proofErr w:type="spellStart"/>
      <w:r w:rsidRPr="00A039C6">
        <w:rPr>
          <w:rFonts w:ascii="Times New Roman" w:hAnsi="Times New Roman" w:cs="Times New Roman"/>
          <w:i/>
          <w:color w:val="000000" w:themeColor="text1"/>
        </w:rPr>
        <w:t>McKerr</w:t>
      </w:r>
      <w:proofErr w:type="spellEnd"/>
      <w:r w:rsidRPr="00A039C6">
        <w:rPr>
          <w:rFonts w:ascii="Times New Roman" w:hAnsi="Times New Roman" w:cs="Times New Roman"/>
          <w:color w:val="000000" w:themeColor="text1"/>
        </w:rPr>
        <w:t xml:space="preserve"> (n 5) para 129</w:t>
      </w:r>
    </w:p>
  </w:footnote>
  <w:footnote w:id="145">
    <w:p w14:paraId="7710DE1F" w14:textId="0CE253D1"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Park (n 3) 53</w:t>
      </w:r>
    </w:p>
  </w:footnote>
  <w:footnote w:id="146">
    <w:p w14:paraId="714D8124" w14:textId="5254E0D6"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Cangöz</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00B96ACE">
        <w:rPr>
          <w:rFonts w:ascii="Times New Roman" w:hAnsi="Times New Roman" w:cs="Times New Roman"/>
          <w:color w:val="000000" w:themeColor="text1"/>
          <w:lang w:val="fr-FR"/>
        </w:rPr>
        <w:t>(n 56) paras 123 and</w:t>
      </w:r>
      <w:r w:rsidRPr="00A039C6">
        <w:rPr>
          <w:rFonts w:ascii="Times New Roman" w:hAnsi="Times New Roman" w:cs="Times New Roman"/>
          <w:color w:val="000000" w:themeColor="text1"/>
          <w:lang w:val="fr-FR"/>
        </w:rPr>
        <w:t xml:space="preserve"> 145-146</w:t>
      </w:r>
    </w:p>
  </w:footnote>
  <w:footnote w:id="147">
    <w:p w14:paraId="45603A90" w14:textId="5E142EA1"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w:t>
      </w:r>
      <w:r w:rsidRPr="00CC3FEC">
        <w:rPr>
          <w:rFonts w:ascii="Times New Roman" w:hAnsi="Times New Roman" w:cs="Times New Roman"/>
          <w:i/>
          <w:color w:val="000000" w:themeColor="text1"/>
        </w:rPr>
        <w:t>Finucane v UK</w:t>
      </w:r>
      <w:r w:rsidRPr="00CC3FEC">
        <w:rPr>
          <w:rFonts w:ascii="Times New Roman" w:hAnsi="Times New Roman" w:cs="Times New Roman"/>
          <w:color w:val="000000" w:themeColor="text1"/>
        </w:rPr>
        <w:t xml:space="preserve"> </w:t>
      </w:r>
      <w:r w:rsidR="00CC3FEC" w:rsidRPr="00CC3FEC">
        <w:rPr>
          <w:rFonts w:ascii="Times New Roman" w:hAnsi="Times New Roman" w:cs="Times New Roman"/>
          <w:color w:val="000000" w:themeColor="text1"/>
        </w:rPr>
        <w:t xml:space="preserve">App no </w:t>
      </w:r>
      <w:r w:rsidR="00CC3FEC" w:rsidRPr="00CC3FEC">
        <w:rPr>
          <w:rFonts w:ascii="Times New Roman" w:hAnsi="Times New Roman" w:cs="Times New Roman"/>
        </w:rPr>
        <w:t>29178/95 (ECtHR, 1 July 2003)</w:t>
      </w:r>
      <w:r w:rsidRPr="00CC3FEC">
        <w:rPr>
          <w:rFonts w:ascii="Times New Roman" w:hAnsi="Times New Roman" w:cs="Times New Roman"/>
          <w:color w:val="000000" w:themeColor="text1"/>
        </w:rPr>
        <w:t xml:space="preserve"> para 83.</w:t>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Damayev</w:t>
      </w:r>
      <w:proofErr w:type="spellEnd"/>
      <w:r w:rsidRPr="00A039C6">
        <w:rPr>
          <w:rFonts w:ascii="Times New Roman" w:hAnsi="Times New Roman" w:cs="Times New Roman"/>
          <w:color w:val="000000" w:themeColor="text1"/>
        </w:rPr>
        <w:t xml:space="preserve"> (n </w:t>
      </w:r>
      <w:r w:rsidR="00CC3FEC">
        <w:rPr>
          <w:rFonts w:ascii="Times New Roman" w:hAnsi="Times New Roman" w:cs="Times New Roman"/>
          <w:color w:val="000000" w:themeColor="text1"/>
        </w:rPr>
        <w:t>33</w:t>
      </w:r>
      <w:r w:rsidRPr="00A039C6">
        <w:rPr>
          <w:rFonts w:ascii="Times New Roman" w:hAnsi="Times New Roman" w:cs="Times New Roman"/>
          <w:color w:val="000000" w:themeColor="text1"/>
        </w:rPr>
        <w:t xml:space="preserve">) para 87. See also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222 in which the Court explained that a list of names without further details sent to a regional administration does not satisfy this requirement as the victims cannot be appropriately informed.</w:t>
      </w:r>
    </w:p>
  </w:footnote>
  <w:footnote w:id="148">
    <w:p w14:paraId="17B38327" w14:textId="7CCA4C11"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Jordan</w:t>
      </w:r>
      <w:r w:rsidRPr="00A039C6">
        <w:rPr>
          <w:rFonts w:ascii="Times New Roman" w:hAnsi="Times New Roman" w:cs="Times New Roman"/>
          <w:color w:val="000000" w:themeColor="text1"/>
          <w:lang w:val="fr-FR"/>
        </w:rPr>
        <w:t xml:space="preserve"> (n 13) para </w:t>
      </w:r>
      <w:proofErr w:type="gramStart"/>
      <w:r w:rsidRPr="00A039C6">
        <w:rPr>
          <w:rFonts w:ascii="Times New Roman" w:hAnsi="Times New Roman" w:cs="Times New Roman"/>
          <w:color w:val="000000" w:themeColor="text1"/>
          <w:lang w:val="fr-FR"/>
        </w:rPr>
        <w:t>124;</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Finucane</w:t>
      </w:r>
      <w:proofErr w:type="spellEnd"/>
      <w:r w:rsidRPr="00A039C6">
        <w:rPr>
          <w:rFonts w:ascii="Times New Roman" w:hAnsi="Times New Roman" w:cs="Times New Roman"/>
          <w:color w:val="000000" w:themeColor="text1"/>
          <w:lang w:val="fr-FR"/>
        </w:rPr>
        <w:t xml:space="preserve"> (n 146) para 83</w:t>
      </w:r>
    </w:p>
  </w:footnote>
  <w:footnote w:id="149">
    <w:p w14:paraId="5CBB24AA" w14:textId="640A18E9"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00B96ACE">
        <w:rPr>
          <w:rFonts w:ascii="Times New Roman" w:hAnsi="Times New Roman" w:cs="Times New Roman"/>
          <w:color w:val="000000" w:themeColor="text1"/>
          <w:lang w:val="fr-FR"/>
        </w:rPr>
        <w:t xml:space="preserve"> </w:t>
      </w:r>
      <w:proofErr w:type="spellStart"/>
      <w:r w:rsidR="00B96ACE">
        <w:rPr>
          <w:rFonts w:ascii="Times New Roman" w:hAnsi="Times New Roman" w:cs="Times New Roman"/>
          <w:color w:val="000000" w:themeColor="text1"/>
          <w:lang w:val="fr-FR"/>
        </w:rPr>
        <w:t>Leverick</w:t>
      </w:r>
      <w:proofErr w:type="spellEnd"/>
      <w:r w:rsidR="00B96ACE">
        <w:rPr>
          <w:rFonts w:ascii="Times New Roman" w:hAnsi="Times New Roman" w:cs="Times New Roman"/>
          <w:color w:val="000000" w:themeColor="text1"/>
          <w:lang w:val="fr-FR"/>
        </w:rPr>
        <w:t xml:space="preserve"> (n 14</w:t>
      </w:r>
      <w:r w:rsidRPr="00A039C6">
        <w:rPr>
          <w:rFonts w:ascii="Times New Roman" w:hAnsi="Times New Roman" w:cs="Times New Roman"/>
          <w:color w:val="000000" w:themeColor="text1"/>
          <w:lang w:val="fr-FR"/>
        </w:rPr>
        <w:t>1) 188</w:t>
      </w:r>
    </w:p>
  </w:footnote>
  <w:footnote w:id="150">
    <w:p w14:paraId="127A8220" w14:textId="1DF30A62"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00721C3D"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color w:val="000000" w:themeColor="text1"/>
          <w:lang w:val="fr-FR"/>
        </w:rPr>
        <w:t>See</w:t>
      </w:r>
      <w:proofErr w:type="spellEnd"/>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Jordan</w:t>
      </w:r>
      <w:r w:rsidRPr="00A039C6">
        <w:rPr>
          <w:rFonts w:ascii="Times New Roman" w:hAnsi="Times New Roman" w:cs="Times New Roman"/>
          <w:color w:val="000000" w:themeColor="text1"/>
          <w:lang w:val="fr-FR"/>
        </w:rPr>
        <w:t xml:space="preserve"> (n 13) para </w:t>
      </w:r>
      <w:proofErr w:type="gramStart"/>
      <w:r w:rsidRPr="00A039C6">
        <w:rPr>
          <w:rFonts w:ascii="Times New Roman" w:hAnsi="Times New Roman" w:cs="Times New Roman"/>
          <w:color w:val="000000" w:themeColor="text1"/>
          <w:lang w:val="fr-FR"/>
        </w:rPr>
        <w:t>123;</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Finucane</w:t>
      </w:r>
      <w:proofErr w:type="spellEnd"/>
      <w:r w:rsidRPr="00A039C6">
        <w:rPr>
          <w:rFonts w:ascii="Times New Roman" w:hAnsi="Times New Roman" w:cs="Times New Roman"/>
          <w:color w:val="000000" w:themeColor="text1"/>
          <w:lang w:val="fr-FR"/>
        </w:rPr>
        <w:t xml:space="preserve"> (n 146) para 82; </w:t>
      </w:r>
      <w:proofErr w:type="spellStart"/>
      <w:r w:rsidRPr="00A039C6">
        <w:rPr>
          <w:rFonts w:ascii="Times New Roman" w:hAnsi="Times New Roman" w:cs="Times New Roman"/>
          <w:i/>
          <w:color w:val="000000" w:themeColor="text1"/>
          <w:lang w:val="fr-FR"/>
        </w:rPr>
        <w:t>Isayeva</w:t>
      </w:r>
      <w:proofErr w:type="spellEnd"/>
      <w:r w:rsidRPr="00A039C6">
        <w:rPr>
          <w:rFonts w:ascii="Times New Roman" w:hAnsi="Times New Roman" w:cs="Times New Roman"/>
          <w:color w:val="000000" w:themeColor="text1"/>
          <w:lang w:val="fr-FR"/>
        </w:rPr>
        <w:t xml:space="preserve"> (n 12) para 222; </w:t>
      </w:r>
      <w:proofErr w:type="spellStart"/>
      <w:r w:rsidRPr="00A039C6">
        <w:rPr>
          <w:rFonts w:ascii="Times New Roman" w:hAnsi="Times New Roman" w:cs="Times New Roman"/>
          <w:i/>
          <w:color w:val="000000" w:themeColor="text1"/>
          <w:lang w:val="fr-FR"/>
        </w:rPr>
        <w:t>Khamzayev</w:t>
      </w:r>
      <w:proofErr w:type="spellEnd"/>
      <w:r w:rsidRPr="00A039C6">
        <w:rPr>
          <w:rFonts w:ascii="Times New Roman" w:hAnsi="Times New Roman" w:cs="Times New Roman"/>
          <w:i/>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 xml:space="preserve">(n 12) paras 205-206; </w:t>
      </w:r>
      <w:proofErr w:type="spellStart"/>
      <w:r w:rsidRPr="00A039C6">
        <w:rPr>
          <w:rFonts w:ascii="Times New Roman" w:hAnsi="Times New Roman" w:cs="Times New Roman"/>
          <w:i/>
          <w:color w:val="000000" w:themeColor="text1"/>
          <w:lang w:val="fr-FR"/>
        </w:rPr>
        <w:t>Damayev</w:t>
      </w:r>
      <w:proofErr w:type="spellEnd"/>
      <w:r w:rsidRPr="00A039C6">
        <w:rPr>
          <w:rFonts w:ascii="Times New Roman" w:hAnsi="Times New Roman" w:cs="Times New Roman"/>
          <w:color w:val="000000" w:themeColor="text1"/>
          <w:lang w:val="fr-FR"/>
        </w:rPr>
        <w:t xml:space="preserve"> (n </w:t>
      </w:r>
      <w:r w:rsidR="00CC3FEC">
        <w:rPr>
          <w:rFonts w:ascii="Times New Roman" w:hAnsi="Times New Roman" w:cs="Times New Roman"/>
          <w:color w:val="000000" w:themeColor="text1"/>
          <w:lang w:val="fr-FR"/>
        </w:rPr>
        <w:t>33</w:t>
      </w:r>
      <w:r w:rsidRPr="00A039C6">
        <w:rPr>
          <w:rFonts w:ascii="Times New Roman" w:hAnsi="Times New Roman" w:cs="Times New Roman"/>
          <w:color w:val="000000" w:themeColor="text1"/>
          <w:lang w:val="fr-FR"/>
        </w:rPr>
        <w:t>) paras 87-88 and 90</w:t>
      </w:r>
    </w:p>
  </w:footnote>
  <w:footnote w:id="151">
    <w:p w14:paraId="00DEBC7A" w14:textId="5E2C81CF"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Jordan</w:t>
      </w:r>
      <w:r w:rsidRPr="00A039C6">
        <w:rPr>
          <w:rFonts w:ascii="Times New Roman" w:hAnsi="Times New Roman" w:cs="Times New Roman"/>
          <w:color w:val="000000" w:themeColor="text1"/>
          <w:lang w:val="fr-FR"/>
        </w:rPr>
        <w:t xml:space="preserve"> (n 13) para </w:t>
      </w:r>
      <w:proofErr w:type="gramStart"/>
      <w:r w:rsidRPr="00A039C6">
        <w:rPr>
          <w:rFonts w:ascii="Times New Roman" w:hAnsi="Times New Roman" w:cs="Times New Roman"/>
          <w:color w:val="000000" w:themeColor="text1"/>
          <w:lang w:val="fr-FR"/>
        </w:rPr>
        <w:t>124;</w:t>
      </w:r>
      <w:proofErr w:type="gramEnd"/>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Finucane</w:t>
      </w:r>
      <w:proofErr w:type="spellEnd"/>
      <w:r w:rsidRPr="00A039C6">
        <w:rPr>
          <w:rFonts w:ascii="Times New Roman" w:hAnsi="Times New Roman" w:cs="Times New Roman"/>
          <w:color w:val="000000" w:themeColor="text1"/>
          <w:lang w:val="fr-FR"/>
        </w:rPr>
        <w:t xml:space="preserve"> (n 146) para 83</w:t>
      </w:r>
    </w:p>
  </w:footnote>
  <w:footnote w:id="152">
    <w:p w14:paraId="7222B15E" w14:textId="77D5136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Schmitt (n 22) 84</w:t>
      </w:r>
    </w:p>
  </w:footnote>
  <w:footnote w:id="153">
    <w:p w14:paraId="67C36547" w14:textId="44560732"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Drabik (n 139) 33</w:t>
      </w:r>
    </w:p>
  </w:footnote>
  <w:footnote w:id="154">
    <w:p w14:paraId="4E1136F3" w14:textId="0E4143E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J</w:t>
      </w:r>
      <w:r w:rsidR="006525C2" w:rsidRPr="00A039C6">
        <w:rPr>
          <w:rFonts w:ascii="Times New Roman" w:hAnsi="Times New Roman" w:cs="Times New Roman"/>
          <w:color w:val="000000" w:themeColor="text1"/>
        </w:rPr>
        <w:t>ean-</w:t>
      </w:r>
      <w:r w:rsidRPr="00A039C6">
        <w:rPr>
          <w:rFonts w:ascii="Times New Roman" w:hAnsi="Times New Roman" w:cs="Times New Roman"/>
          <w:color w:val="000000" w:themeColor="text1"/>
        </w:rPr>
        <w:t>P</w:t>
      </w:r>
      <w:r w:rsidR="006525C2" w:rsidRPr="00A039C6">
        <w:rPr>
          <w:rFonts w:ascii="Times New Roman" w:hAnsi="Times New Roman" w:cs="Times New Roman"/>
          <w:color w:val="000000" w:themeColor="text1"/>
        </w:rPr>
        <w:t>aul</w:t>
      </w:r>
      <w:r w:rsidRPr="00A039C6">
        <w:rPr>
          <w:rFonts w:ascii="Times New Roman" w:hAnsi="Times New Roman" w:cs="Times New Roman"/>
          <w:color w:val="000000" w:themeColor="text1"/>
        </w:rPr>
        <w:t xml:space="preserve"> Costa, ‘On the Legitimacy of the European Court of Human Rights’ Judgments’ (2011) 7 </w:t>
      </w:r>
      <w:proofErr w:type="spellStart"/>
      <w:r w:rsidRPr="00A039C6">
        <w:rPr>
          <w:rFonts w:ascii="Times New Roman" w:hAnsi="Times New Roman" w:cs="Times New Roman"/>
          <w:color w:val="000000" w:themeColor="text1"/>
        </w:rPr>
        <w:t>EuConst</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173, 177</w:t>
      </w:r>
    </w:p>
  </w:footnote>
  <w:footnote w:id="155">
    <w:p w14:paraId="0575E02C" w14:textId="0E54480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McCann</w:t>
      </w:r>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5) para 161. See under different formulations </w:t>
      </w:r>
      <w:proofErr w:type="spellStart"/>
      <w:r w:rsidRPr="00A039C6">
        <w:rPr>
          <w:rFonts w:ascii="Times New Roman" w:hAnsi="Times New Roman" w:cs="Times New Roman"/>
          <w:i/>
          <w:color w:val="000000" w:themeColor="text1"/>
        </w:rPr>
        <w:t>Akkum</w:t>
      </w:r>
      <w:proofErr w:type="spellEnd"/>
      <w:r w:rsidRPr="00A039C6">
        <w:rPr>
          <w:rFonts w:ascii="Times New Roman" w:hAnsi="Times New Roman" w:cs="Times New Roman"/>
          <w:i/>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31) para 249; </w:t>
      </w:r>
      <w:r w:rsidRPr="00A039C6">
        <w:rPr>
          <w:rFonts w:ascii="Times New Roman" w:hAnsi="Times New Roman" w:cs="Times New Roman"/>
          <w:i/>
          <w:color w:val="000000" w:themeColor="text1"/>
        </w:rPr>
        <w:t>Kaya</w:t>
      </w:r>
      <w:r w:rsidRPr="00A039C6">
        <w:rPr>
          <w:rFonts w:ascii="Times New Roman" w:hAnsi="Times New Roman" w:cs="Times New Roman"/>
          <w:color w:val="000000" w:themeColor="text1"/>
        </w:rPr>
        <w:t xml:space="preserve"> (n 6) para 105; </w:t>
      </w:r>
      <w:proofErr w:type="spellStart"/>
      <w:r w:rsidRPr="00A039C6">
        <w:rPr>
          <w:rFonts w:ascii="Times New Roman" w:hAnsi="Times New Roman" w:cs="Times New Roman"/>
          <w:i/>
          <w:color w:val="000000" w:themeColor="text1"/>
        </w:rPr>
        <w:t>Ergi</w:t>
      </w:r>
      <w:proofErr w:type="spellEnd"/>
      <w:r w:rsidRPr="00A039C6">
        <w:rPr>
          <w:rFonts w:ascii="Times New Roman" w:hAnsi="Times New Roman" w:cs="Times New Roman"/>
          <w:color w:val="000000" w:themeColor="text1"/>
        </w:rPr>
        <w:t xml:space="preserve"> (n 6) para 82; </w:t>
      </w:r>
      <w:proofErr w:type="spellStart"/>
      <w:r w:rsidRPr="00A039C6">
        <w:rPr>
          <w:rFonts w:ascii="Times New Roman" w:hAnsi="Times New Roman" w:cs="Times New Roman"/>
          <w:i/>
          <w:color w:val="000000" w:themeColor="text1"/>
        </w:rPr>
        <w:t>Damayev</w:t>
      </w:r>
      <w:proofErr w:type="spellEnd"/>
      <w:r w:rsidRPr="00A039C6">
        <w:rPr>
          <w:rFonts w:ascii="Times New Roman" w:hAnsi="Times New Roman" w:cs="Times New Roman"/>
          <w:color w:val="000000" w:themeColor="text1"/>
        </w:rPr>
        <w:t xml:space="preserve"> (n 3</w:t>
      </w:r>
      <w:r w:rsidR="00CC3FEC">
        <w:rPr>
          <w:rFonts w:ascii="Times New Roman" w:hAnsi="Times New Roman" w:cs="Times New Roman"/>
          <w:color w:val="000000" w:themeColor="text1"/>
        </w:rPr>
        <w:t>3</w:t>
      </w:r>
      <w:r w:rsidRPr="00A039C6">
        <w:rPr>
          <w:rFonts w:ascii="Times New Roman" w:hAnsi="Times New Roman" w:cs="Times New Roman"/>
          <w:color w:val="000000" w:themeColor="text1"/>
        </w:rPr>
        <w:t>) para 78; See also Park (n 3) 48</w:t>
      </w:r>
    </w:p>
  </w:footnote>
  <w:footnote w:id="156">
    <w:p w14:paraId="1625ADF0" w14:textId="32DE4DA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A</w:t>
      </w:r>
      <w:r w:rsidR="006525C2" w:rsidRPr="00A039C6">
        <w:rPr>
          <w:rFonts w:ascii="Times New Roman" w:hAnsi="Times New Roman" w:cs="Times New Roman"/>
          <w:color w:val="000000" w:themeColor="text1"/>
        </w:rPr>
        <w:t>listair</w:t>
      </w:r>
      <w:r w:rsidRPr="00A039C6">
        <w:rPr>
          <w:rFonts w:ascii="Times New Roman" w:hAnsi="Times New Roman" w:cs="Times New Roman"/>
          <w:color w:val="000000" w:themeColor="text1"/>
        </w:rPr>
        <w:t xml:space="preserve"> Mowbray, ‘The Creativity of the European Court of Human Rights’ (2005) 5 HRLR 57, 77</w:t>
      </w:r>
    </w:p>
  </w:footnote>
  <w:footnote w:id="157">
    <w:p w14:paraId="3E8E7B46" w14:textId="127BC09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78</w:t>
      </w:r>
    </w:p>
  </w:footnote>
  <w:footnote w:id="158">
    <w:p w14:paraId="7B1BF0E9" w14:textId="335EEC98"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Drabik (n 139) 32</w:t>
      </w:r>
    </w:p>
  </w:footnote>
  <w:footnote w:id="159">
    <w:p w14:paraId="76FB5E14" w14:textId="0902D14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Wong (n 26) 121</w:t>
      </w:r>
    </w:p>
  </w:footnote>
  <w:footnote w:id="160">
    <w:p w14:paraId="79F61B98" w14:textId="26CA2368"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O</w:t>
      </w:r>
      <w:r w:rsidR="006525C2" w:rsidRPr="00A039C6">
        <w:rPr>
          <w:rFonts w:ascii="Times New Roman" w:hAnsi="Times New Roman" w:cs="Times New Roman"/>
          <w:color w:val="000000" w:themeColor="text1"/>
        </w:rPr>
        <w:t>nder</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Bakircioglu</w:t>
      </w:r>
      <w:proofErr w:type="spellEnd"/>
      <w:r w:rsidRPr="00A039C6">
        <w:rPr>
          <w:rFonts w:ascii="Times New Roman" w:hAnsi="Times New Roman" w:cs="Times New Roman"/>
          <w:color w:val="000000" w:themeColor="text1"/>
        </w:rPr>
        <w:t xml:space="preserve"> and B</w:t>
      </w:r>
      <w:r w:rsidR="006525C2" w:rsidRPr="00A039C6">
        <w:rPr>
          <w:rFonts w:ascii="Times New Roman" w:hAnsi="Times New Roman" w:cs="Times New Roman"/>
          <w:color w:val="000000" w:themeColor="text1"/>
        </w:rPr>
        <w:t>rice</w:t>
      </w:r>
      <w:r w:rsidRPr="00A039C6">
        <w:rPr>
          <w:rFonts w:ascii="Times New Roman" w:hAnsi="Times New Roman" w:cs="Times New Roman"/>
          <w:color w:val="000000" w:themeColor="text1"/>
        </w:rPr>
        <w:t xml:space="preserve"> Dickson, ‘The European Convention in Conflicted Societies: The Experience of Northern Ireland and Turkey’ (2017) 66 ICLQ 263, 266</w:t>
      </w:r>
    </w:p>
  </w:footnote>
  <w:footnote w:id="161">
    <w:p w14:paraId="37FB4DC6" w14:textId="58888B93" w:rsidR="00493A06" w:rsidRPr="00A039C6" w:rsidRDefault="00493A06" w:rsidP="009A703F">
      <w:pPr>
        <w:pStyle w:val="FootnoteText"/>
        <w:widowControl w:val="0"/>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13) para 165 as reiterated in </w:t>
      </w:r>
      <w:proofErr w:type="spellStart"/>
      <w:r w:rsidRPr="00A039C6">
        <w:rPr>
          <w:rFonts w:ascii="Times New Roman" w:hAnsi="Times New Roman" w:cs="Times New Roman"/>
          <w:i/>
          <w:color w:val="000000" w:themeColor="text1"/>
        </w:rPr>
        <w:t>Jaloud</w:t>
      </w:r>
      <w:proofErr w:type="spellEnd"/>
      <w:r w:rsidRPr="00A039C6">
        <w:rPr>
          <w:rFonts w:ascii="Times New Roman" w:hAnsi="Times New Roman" w:cs="Times New Roman"/>
          <w:color w:val="000000" w:themeColor="text1"/>
        </w:rPr>
        <w:t xml:space="preserve"> (n 13) para 186. See also </w:t>
      </w:r>
      <w:proofErr w:type="spellStart"/>
      <w:r w:rsidRPr="00A039C6">
        <w:rPr>
          <w:rFonts w:ascii="Times New Roman" w:hAnsi="Times New Roman" w:cs="Times New Roman"/>
          <w:i/>
          <w:color w:val="000000" w:themeColor="text1"/>
        </w:rPr>
        <w:t>Jaloud</w:t>
      </w:r>
      <w:proofErr w:type="spellEnd"/>
      <w:r w:rsidRPr="00A039C6">
        <w:rPr>
          <w:rFonts w:ascii="Times New Roman" w:hAnsi="Times New Roman" w:cs="Times New Roman"/>
          <w:color w:val="000000" w:themeColor="text1"/>
        </w:rPr>
        <w:t xml:space="preserve"> (n 13) para 226</w:t>
      </w:r>
    </w:p>
  </w:footnote>
  <w:footnote w:id="162">
    <w:p w14:paraId="76B36401" w14:textId="1862FEB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168</w:t>
      </w:r>
    </w:p>
  </w:footnote>
  <w:footnote w:id="163">
    <w:p w14:paraId="5B10783E" w14:textId="105DB6BB" w:rsidR="00493A06" w:rsidRPr="00A039C6" w:rsidRDefault="00493A06" w:rsidP="009A703F">
      <w:pPr>
        <w:pStyle w:val="FootnoteText"/>
        <w:widowControl w:val="0"/>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paras 164-165 as reiterated in </w:t>
      </w:r>
      <w:proofErr w:type="spellStart"/>
      <w:r w:rsidRPr="00A039C6">
        <w:rPr>
          <w:rFonts w:ascii="Times New Roman" w:hAnsi="Times New Roman" w:cs="Times New Roman"/>
          <w:i/>
          <w:color w:val="000000" w:themeColor="text1"/>
        </w:rPr>
        <w:t>Jaloud</w:t>
      </w:r>
      <w:proofErr w:type="spellEnd"/>
      <w:r w:rsidRPr="00A039C6">
        <w:rPr>
          <w:rFonts w:ascii="Times New Roman" w:hAnsi="Times New Roman" w:cs="Times New Roman"/>
          <w:color w:val="000000" w:themeColor="text1"/>
        </w:rPr>
        <w:t xml:space="preserve"> (n 13) para 186</w:t>
      </w:r>
    </w:p>
  </w:footnote>
  <w:footnote w:id="164">
    <w:p w14:paraId="21E1C25C" w14:textId="5896F12A"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Jaloud</w:t>
      </w:r>
      <w:proofErr w:type="spellEnd"/>
      <w:r w:rsidRPr="00A039C6">
        <w:rPr>
          <w:rFonts w:ascii="Times New Roman" w:hAnsi="Times New Roman" w:cs="Times New Roman"/>
          <w:color w:val="000000" w:themeColor="text1"/>
        </w:rPr>
        <w:t xml:space="preserve"> (n 13) para 226</w:t>
      </w:r>
    </w:p>
  </w:footnote>
  <w:footnote w:id="165">
    <w:p w14:paraId="6CEA031C" w14:textId="095F67BD"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para 226 and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(n 13) para 168</w:t>
      </w:r>
    </w:p>
  </w:footnote>
  <w:footnote w:id="166">
    <w:p w14:paraId="42CE99A4" w14:textId="0FAAB5C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S</w:t>
      </w:r>
      <w:r w:rsidR="00B96ACE">
        <w:rPr>
          <w:rFonts w:ascii="Times New Roman" w:hAnsi="Times New Roman" w:cs="Times New Roman"/>
          <w:color w:val="000000" w:themeColor="text1"/>
        </w:rPr>
        <w:t xml:space="preserve">ee </w:t>
      </w:r>
      <w:proofErr w:type="spellStart"/>
      <w:r w:rsidR="00B96ACE">
        <w:rPr>
          <w:rFonts w:ascii="Times New Roman" w:hAnsi="Times New Roman" w:cs="Times New Roman"/>
          <w:color w:val="000000" w:themeColor="text1"/>
        </w:rPr>
        <w:t>Biotti</w:t>
      </w:r>
      <w:proofErr w:type="spellEnd"/>
      <w:r w:rsidR="00B96ACE">
        <w:rPr>
          <w:rFonts w:ascii="Times New Roman" w:hAnsi="Times New Roman" w:cs="Times New Roman"/>
          <w:color w:val="000000" w:themeColor="text1"/>
        </w:rPr>
        <w:t xml:space="preserve"> and De </w:t>
      </w:r>
      <w:proofErr w:type="spellStart"/>
      <w:r w:rsidR="00B96ACE">
        <w:rPr>
          <w:rFonts w:ascii="Times New Roman" w:hAnsi="Times New Roman" w:cs="Times New Roman"/>
          <w:color w:val="000000" w:themeColor="text1"/>
        </w:rPr>
        <w:t>Cillia</w:t>
      </w:r>
      <w:proofErr w:type="spellEnd"/>
      <w:r w:rsidR="00B96ACE">
        <w:rPr>
          <w:rFonts w:ascii="Times New Roman" w:hAnsi="Times New Roman" w:cs="Times New Roman"/>
          <w:color w:val="000000" w:themeColor="text1"/>
        </w:rPr>
        <w:t xml:space="preserve"> (n 3) 6;</w:t>
      </w:r>
      <w:r w:rsidRPr="00A039C6">
        <w:rPr>
          <w:rFonts w:ascii="Times New Roman" w:hAnsi="Times New Roman" w:cs="Times New Roman"/>
          <w:color w:val="000000" w:themeColor="text1"/>
        </w:rPr>
        <w:t xml:space="preserve"> Park (n 3) 153; Chevalier-Watts illustrates this well too, using cases involving Russia (Chevalier-Watts (n 3) 598)</w:t>
      </w:r>
    </w:p>
  </w:footnote>
  <w:footnote w:id="167">
    <w:p w14:paraId="0AE8F276" w14:textId="7EAA06C5"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In relation to the Chechen cases, </w:t>
      </w:r>
      <w:r w:rsidR="00B96ACE">
        <w:rPr>
          <w:rFonts w:ascii="Times New Roman" w:hAnsi="Times New Roman" w:cs="Times New Roman"/>
          <w:color w:val="000000" w:themeColor="text1"/>
        </w:rPr>
        <w:t xml:space="preserve">see </w:t>
      </w:r>
      <w:r w:rsidRPr="00A039C6">
        <w:rPr>
          <w:rFonts w:ascii="Times New Roman" w:hAnsi="Times New Roman" w:cs="Times New Roman"/>
          <w:color w:val="000000" w:themeColor="text1"/>
        </w:rPr>
        <w:t>Borelli (n 4) 29</w:t>
      </w:r>
    </w:p>
  </w:footnote>
  <w:footnote w:id="168">
    <w:p w14:paraId="25AA5017" w14:textId="09289D6C"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ibid 32</w:t>
      </w:r>
    </w:p>
  </w:footnote>
  <w:footnote w:id="169">
    <w:p w14:paraId="11CF572D" w14:textId="2FA710BC"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Jaloud</w:t>
      </w:r>
      <w:proofErr w:type="spellEnd"/>
      <w:r w:rsidRPr="00A039C6">
        <w:rPr>
          <w:rFonts w:ascii="Times New Roman" w:hAnsi="Times New Roman" w:cs="Times New Roman"/>
          <w:color w:val="000000" w:themeColor="text1"/>
        </w:rPr>
        <w:t xml:space="preserve"> (n 13) para 8</w:t>
      </w:r>
    </w:p>
  </w:footnote>
  <w:footnote w:id="170">
    <w:p w14:paraId="434BE9A9" w14:textId="2C1B6F44"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Al-</w:t>
      </w:r>
      <w:proofErr w:type="spellStart"/>
      <w:r w:rsidRPr="00A039C6">
        <w:rPr>
          <w:rFonts w:ascii="Times New Roman" w:hAnsi="Times New Roman" w:cs="Times New Roman"/>
          <w:i/>
          <w:color w:val="000000" w:themeColor="text1"/>
        </w:rPr>
        <w:t>Skeini</w:t>
      </w:r>
      <w:proofErr w:type="spellEnd"/>
      <w:r w:rsidRPr="00A039C6">
        <w:rPr>
          <w:rFonts w:ascii="Times New Roman" w:hAnsi="Times New Roman" w:cs="Times New Roman"/>
          <w:color w:val="000000" w:themeColor="text1"/>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rPr>
        <w:t xml:space="preserve">(n 13) para 67 (emphasis added). See also </w:t>
      </w:r>
      <w:proofErr w:type="spellStart"/>
      <w:r w:rsidRPr="00A039C6">
        <w:rPr>
          <w:rFonts w:ascii="Times New Roman" w:hAnsi="Times New Roman" w:cs="Times New Roman"/>
          <w:i/>
          <w:color w:val="000000" w:themeColor="text1"/>
        </w:rPr>
        <w:t>Isayeva</w:t>
      </w:r>
      <w:proofErr w:type="spellEnd"/>
      <w:r w:rsidRPr="00A039C6">
        <w:rPr>
          <w:rFonts w:ascii="Times New Roman" w:hAnsi="Times New Roman" w:cs="Times New Roman"/>
          <w:color w:val="000000" w:themeColor="text1"/>
        </w:rPr>
        <w:t xml:space="preserve"> (n 12) para 212</w:t>
      </w:r>
    </w:p>
  </w:footnote>
  <w:footnote w:id="171">
    <w:p w14:paraId="6064478F" w14:textId="0C850340"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i/>
          <w:color w:val="000000" w:themeColor="text1"/>
        </w:rPr>
        <w:t xml:space="preserve"> and </w:t>
      </w:r>
      <w:proofErr w:type="spellStart"/>
      <w:r w:rsidRPr="00A039C6">
        <w:rPr>
          <w:rFonts w:ascii="Times New Roman" w:hAnsi="Times New Roman" w:cs="Times New Roman"/>
          <w:i/>
          <w:color w:val="000000" w:themeColor="text1"/>
        </w:rPr>
        <w:t>Tunç</w:t>
      </w:r>
      <w:proofErr w:type="spellEnd"/>
      <w:r w:rsidRPr="00A039C6">
        <w:rPr>
          <w:rFonts w:ascii="Times New Roman" w:hAnsi="Times New Roman" w:cs="Times New Roman"/>
          <w:color w:val="000000" w:themeColor="text1"/>
        </w:rPr>
        <w:t xml:space="preserve"> (n 11) para 225. See also </w:t>
      </w:r>
      <w:proofErr w:type="spellStart"/>
      <w:r w:rsidRPr="00A039C6">
        <w:rPr>
          <w:rFonts w:ascii="Times New Roman" w:hAnsi="Times New Roman" w:cs="Times New Roman"/>
          <w:i/>
          <w:color w:val="000000" w:themeColor="text1"/>
        </w:rPr>
        <w:t>Lovyginy</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 xml:space="preserve">(n 11) para 103; </w:t>
      </w:r>
      <w:proofErr w:type="spellStart"/>
      <w:r w:rsidRPr="00A039C6">
        <w:rPr>
          <w:rFonts w:ascii="Times New Roman" w:hAnsi="Times New Roman" w:cs="Times New Roman"/>
          <w:i/>
        </w:rPr>
        <w:t>Sarbyanova-Pashaliyaska</w:t>
      </w:r>
      <w:proofErr w:type="spellEnd"/>
      <w:r w:rsidRPr="00A039C6">
        <w:rPr>
          <w:rFonts w:ascii="Times New Roman" w:hAnsi="Times New Roman" w:cs="Times New Roman"/>
          <w:i/>
        </w:rPr>
        <w:t xml:space="preserve"> and </w:t>
      </w:r>
      <w:proofErr w:type="spellStart"/>
      <w:r w:rsidRPr="00A039C6">
        <w:rPr>
          <w:rFonts w:ascii="Times New Roman" w:hAnsi="Times New Roman" w:cs="Times New Roman"/>
          <w:i/>
        </w:rPr>
        <w:t>Pashaliyska</w:t>
      </w:r>
      <w:proofErr w:type="spellEnd"/>
      <w:r w:rsidRPr="00A039C6">
        <w:rPr>
          <w:rFonts w:ascii="Times New Roman" w:hAnsi="Times New Roman" w:cs="Times New Roman"/>
          <w:i/>
        </w:rPr>
        <w:t xml:space="preserve"> </w:t>
      </w:r>
      <w:r w:rsidRPr="00A039C6">
        <w:rPr>
          <w:rFonts w:ascii="Times New Roman" w:hAnsi="Times New Roman" w:cs="Times New Roman"/>
          <w:color w:val="000000" w:themeColor="text1"/>
        </w:rPr>
        <w:t xml:space="preserve">(n 16) </w:t>
      </w:r>
      <w:r w:rsidRPr="00A039C6">
        <w:rPr>
          <w:rFonts w:ascii="Times New Roman" w:hAnsi="Times New Roman" w:cs="Times New Roman"/>
        </w:rPr>
        <w:t xml:space="preserve">para 37; </w:t>
      </w:r>
      <w:proofErr w:type="spellStart"/>
      <w:r w:rsidRPr="00A039C6">
        <w:rPr>
          <w:rFonts w:ascii="Times New Roman" w:hAnsi="Times New Roman" w:cs="Times New Roman"/>
          <w:i/>
          <w:color w:val="000000" w:themeColor="text1"/>
        </w:rPr>
        <w:t>Síním</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 xml:space="preserve">(n 11) para 65; </w:t>
      </w:r>
      <w:proofErr w:type="spellStart"/>
      <w:r w:rsidR="00CC3FEC">
        <w:rPr>
          <w:rFonts w:ascii="Times New Roman" w:hAnsi="Times New Roman" w:cs="Times New Roman"/>
          <w:i/>
        </w:rPr>
        <w:t>Mazepa</w:t>
      </w:r>
      <w:proofErr w:type="spellEnd"/>
      <w:r w:rsidR="00CC3FEC">
        <w:rPr>
          <w:rFonts w:ascii="Times New Roman" w:hAnsi="Times New Roman" w:cs="Times New Roman"/>
          <w:i/>
        </w:rPr>
        <w:t xml:space="preserve"> and O</w:t>
      </w:r>
      <w:r w:rsidRPr="00A039C6">
        <w:rPr>
          <w:rFonts w:ascii="Times New Roman" w:hAnsi="Times New Roman" w:cs="Times New Roman"/>
          <w:i/>
        </w:rPr>
        <w:t xml:space="preserve">thers </w:t>
      </w:r>
      <w:r w:rsidRPr="00A039C6">
        <w:rPr>
          <w:rFonts w:ascii="Times New Roman" w:hAnsi="Times New Roman" w:cs="Times New Roman"/>
          <w:color w:val="000000" w:themeColor="text1"/>
        </w:rPr>
        <w:t xml:space="preserve">(n 16) </w:t>
      </w:r>
      <w:r w:rsidRPr="00A039C6">
        <w:rPr>
          <w:rFonts w:ascii="Times New Roman" w:hAnsi="Times New Roman" w:cs="Times New Roman"/>
        </w:rPr>
        <w:t>para 70</w:t>
      </w:r>
    </w:p>
  </w:footnote>
  <w:footnote w:id="172">
    <w:p w14:paraId="01C1A532" w14:textId="77777777"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Jaloud</w:t>
      </w:r>
      <w:proofErr w:type="spellEnd"/>
      <w:r w:rsidRPr="00A039C6">
        <w:rPr>
          <w:rFonts w:ascii="Times New Roman" w:hAnsi="Times New Roman" w:cs="Times New Roman"/>
          <w:color w:val="000000" w:themeColor="text1"/>
          <w:lang w:val="fr-FR"/>
        </w:rPr>
        <w:t xml:space="preserve"> (n 13) para 7</w:t>
      </w:r>
    </w:p>
  </w:footnote>
  <w:footnote w:id="173">
    <w:p w14:paraId="26D64560" w14:textId="31CA77FC"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N</w:t>
      </w:r>
      <w:r w:rsidR="006525C2" w:rsidRPr="00A039C6">
        <w:rPr>
          <w:rFonts w:ascii="Times New Roman" w:hAnsi="Times New Roman" w:cs="Times New Roman"/>
          <w:color w:val="000000" w:themeColor="text1"/>
        </w:rPr>
        <w:t>oëlle</w:t>
      </w:r>
      <w:proofErr w:type="spellEnd"/>
      <w:r w:rsidRPr="00A039C6">
        <w:rPr>
          <w:rFonts w:ascii="Times New Roman" w:hAnsi="Times New Roman" w:cs="Times New Roman"/>
          <w:color w:val="000000" w:themeColor="text1"/>
        </w:rPr>
        <w:t xml:space="preserve"> </w:t>
      </w:r>
      <w:proofErr w:type="spellStart"/>
      <w:r w:rsidRPr="00A039C6">
        <w:rPr>
          <w:rFonts w:ascii="Times New Roman" w:hAnsi="Times New Roman" w:cs="Times New Roman"/>
          <w:color w:val="000000" w:themeColor="text1"/>
        </w:rPr>
        <w:t>Quénivet</w:t>
      </w:r>
      <w:proofErr w:type="spellEnd"/>
      <w:r w:rsidRPr="00A039C6">
        <w:rPr>
          <w:rFonts w:ascii="Times New Roman" w:hAnsi="Times New Roman" w:cs="Times New Roman"/>
          <w:color w:val="000000" w:themeColor="text1"/>
        </w:rPr>
        <w:t xml:space="preserve"> and </w:t>
      </w:r>
      <w:proofErr w:type="spellStart"/>
      <w:r w:rsidRPr="00A039C6">
        <w:rPr>
          <w:rFonts w:ascii="Times New Roman" w:hAnsi="Times New Roman" w:cs="Times New Roman"/>
          <w:color w:val="000000" w:themeColor="text1"/>
        </w:rPr>
        <w:t>A</w:t>
      </w:r>
      <w:r w:rsidR="006525C2" w:rsidRPr="00A039C6">
        <w:rPr>
          <w:rFonts w:ascii="Times New Roman" w:hAnsi="Times New Roman" w:cs="Times New Roman"/>
          <w:color w:val="000000" w:themeColor="text1"/>
        </w:rPr>
        <w:t>urel</w:t>
      </w:r>
      <w:proofErr w:type="spellEnd"/>
      <w:r w:rsidRPr="00A039C6">
        <w:rPr>
          <w:rFonts w:ascii="Times New Roman" w:hAnsi="Times New Roman" w:cs="Times New Roman"/>
          <w:color w:val="000000" w:themeColor="text1"/>
        </w:rPr>
        <w:t xml:space="preserve"> Sari, </w:t>
      </w:r>
      <w:r w:rsidRPr="00A039C6">
        <w:rPr>
          <w:rFonts w:ascii="Times New Roman" w:hAnsi="Times New Roman" w:cs="Times New Roman"/>
          <w:i/>
          <w:color w:val="000000" w:themeColor="text1"/>
        </w:rPr>
        <w:t>Human Rights and Military Operations: Confronting the Challenges. Workshop Report</w:t>
      </w:r>
      <w:r w:rsidRPr="00A039C6">
        <w:rPr>
          <w:rFonts w:ascii="Times New Roman" w:hAnsi="Times New Roman" w:cs="Times New Roman"/>
          <w:color w:val="000000" w:themeColor="text1"/>
        </w:rPr>
        <w:t>, Occasional Paper No 2, University of Exeter Strategy and Security Institute, July 2015, available at &lt;https://nanopdf.com/download/human-rights-and-military-operations-confronting-the-challenges-workshop-report_pdf &gt;</w:t>
      </w:r>
      <w:r w:rsidRPr="00A039C6">
        <w:rPr>
          <w:rStyle w:val="Hyperlink"/>
          <w:rFonts w:ascii="Times New Roman" w:hAnsi="Times New Roman" w:cs="Times New Roman"/>
          <w:color w:val="000000" w:themeColor="text1"/>
          <w:u w:val="none"/>
        </w:rPr>
        <w:t xml:space="preserve"> (last accessed 2 December 2018),</w:t>
      </w:r>
      <w:r w:rsidRPr="00A039C6">
        <w:rPr>
          <w:rFonts w:ascii="Times New Roman" w:hAnsi="Times New Roman" w:cs="Times New Roman"/>
          <w:color w:val="000000" w:themeColor="text1"/>
        </w:rPr>
        <w:t xml:space="preserve"> 7-8</w:t>
      </w:r>
    </w:p>
  </w:footnote>
  <w:footnote w:id="174">
    <w:p w14:paraId="217BFC24" w14:textId="6279B350"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Amicus Curiae</w:t>
      </w:r>
      <w:r w:rsidRPr="00A039C6">
        <w:rPr>
          <w:rFonts w:ascii="Times New Roman" w:hAnsi="Times New Roman" w:cs="Times New Roman"/>
          <w:color w:val="000000" w:themeColor="text1"/>
        </w:rPr>
        <w:t xml:space="preserve"> Brief (n 40) para 40</w:t>
      </w:r>
    </w:p>
  </w:footnote>
  <w:footnote w:id="175">
    <w:p w14:paraId="30F4519E" w14:textId="476B4339" w:rsidR="00493A06" w:rsidRPr="00A039C6" w:rsidRDefault="00493A06" w:rsidP="009A703F">
      <w:pPr>
        <w:pStyle w:val="FootnoteText"/>
        <w:spacing w:after="0" w:line="240" w:lineRule="auto"/>
        <w:rPr>
          <w:rFonts w:ascii="Times New Roman" w:hAnsi="Times New Roman" w:cs="Times New Roman"/>
          <w:color w:val="000000" w:themeColor="text1"/>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rPr>
        <w:t xml:space="preserve"> </w:t>
      </w:r>
      <w:r w:rsidRPr="00A039C6">
        <w:rPr>
          <w:rFonts w:ascii="Times New Roman" w:hAnsi="Times New Roman" w:cs="Times New Roman"/>
          <w:i/>
          <w:color w:val="000000" w:themeColor="text1"/>
        </w:rPr>
        <w:t xml:space="preserve">Smith and Grady v UK </w:t>
      </w:r>
      <w:r w:rsidR="00721C3D" w:rsidRPr="00A039C6">
        <w:rPr>
          <w:rFonts w:ascii="Times New Roman" w:hAnsi="Times New Roman" w:cs="Times New Roman"/>
          <w:color w:val="000000" w:themeColor="text1"/>
        </w:rPr>
        <w:t xml:space="preserve">App </w:t>
      </w:r>
      <w:proofErr w:type="spellStart"/>
      <w:r w:rsidR="00721C3D" w:rsidRPr="00A039C6">
        <w:rPr>
          <w:rFonts w:ascii="Times New Roman" w:hAnsi="Times New Roman" w:cs="Times New Roman"/>
          <w:color w:val="000000" w:themeColor="text1"/>
        </w:rPr>
        <w:t>nos</w:t>
      </w:r>
      <w:proofErr w:type="spellEnd"/>
      <w:r w:rsidR="00721C3D" w:rsidRPr="00A039C6">
        <w:rPr>
          <w:rFonts w:ascii="Times New Roman" w:hAnsi="Times New Roman" w:cs="Times New Roman"/>
          <w:color w:val="000000" w:themeColor="text1"/>
        </w:rPr>
        <w:t xml:space="preserve"> </w:t>
      </w:r>
      <w:r w:rsidR="00721C3D" w:rsidRPr="00A039C6">
        <w:rPr>
          <w:rFonts w:ascii="Times New Roman" w:hAnsi="Times New Roman" w:cs="Times New Roman"/>
        </w:rPr>
        <w:t>33985/96 and 33986/96 (ECtHR, 27 September 1999)</w:t>
      </w:r>
      <w:r w:rsidRPr="00A039C6">
        <w:rPr>
          <w:rFonts w:ascii="Times New Roman" w:hAnsi="Times New Roman" w:cs="Times New Roman"/>
          <w:color w:val="000000" w:themeColor="text1"/>
        </w:rPr>
        <w:t xml:space="preserve"> para 83</w:t>
      </w:r>
    </w:p>
  </w:footnote>
  <w:footnote w:id="176">
    <w:p w14:paraId="522AB257" w14:textId="4DB723BD"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Russell (n 3) 132</w:t>
      </w:r>
    </w:p>
  </w:footnote>
  <w:footnote w:id="177">
    <w:p w14:paraId="2777ED17" w14:textId="063752C4" w:rsidR="00493A06" w:rsidRPr="00A039C6" w:rsidRDefault="00493A06" w:rsidP="009A703F">
      <w:pPr>
        <w:pStyle w:val="FootnoteText"/>
        <w:spacing w:after="0" w:line="240" w:lineRule="auto"/>
        <w:rPr>
          <w:rFonts w:ascii="Times New Roman" w:hAnsi="Times New Roman" w:cs="Times New Roman"/>
        </w:rPr>
      </w:pPr>
      <w:r w:rsidRPr="00A039C6">
        <w:rPr>
          <w:rStyle w:val="FootnoteReference"/>
          <w:rFonts w:ascii="Times New Roman" w:hAnsi="Times New Roman" w:cs="Times New Roman"/>
        </w:rPr>
        <w:footnoteRef/>
      </w:r>
      <w:r w:rsidRPr="00A039C6">
        <w:rPr>
          <w:rFonts w:ascii="Times New Roman" w:hAnsi="Times New Roman" w:cs="Times New Roman"/>
        </w:rPr>
        <w:t xml:space="preserve"> </w:t>
      </w:r>
      <w:r w:rsidRPr="00A039C6">
        <w:rPr>
          <w:rFonts w:ascii="Times New Roman" w:hAnsi="Times New Roman" w:cs="Times New Roman"/>
          <w:i/>
          <w:color w:val="000000" w:themeColor="text1"/>
          <w:lang w:val="fr-FR"/>
        </w:rPr>
        <w:t>Al-</w:t>
      </w:r>
      <w:proofErr w:type="spellStart"/>
      <w:r w:rsidRPr="00A039C6">
        <w:rPr>
          <w:rFonts w:ascii="Times New Roman" w:hAnsi="Times New Roman" w:cs="Times New Roman"/>
          <w:i/>
          <w:color w:val="000000" w:themeColor="text1"/>
          <w:lang w:val="fr-FR"/>
        </w:rPr>
        <w:t>Skeini</w:t>
      </w:r>
      <w:proofErr w:type="spellEnd"/>
      <w:r w:rsidRPr="00A039C6">
        <w:rPr>
          <w:rFonts w:ascii="Times New Roman" w:hAnsi="Times New Roman" w:cs="Times New Roman"/>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 xml:space="preserve">(n 13) para 163, </w:t>
      </w:r>
      <w:proofErr w:type="spellStart"/>
      <w:r w:rsidRPr="00A039C6">
        <w:rPr>
          <w:rFonts w:ascii="Times New Roman" w:hAnsi="Times New Roman" w:cs="Times New Roman"/>
          <w:i/>
        </w:rPr>
        <w:t>Varnava</w:t>
      </w:r>
      <w:proofErr w:type="spellEnd"/>
      <w:r w:rsidR="009A7027">
        <w:rPr>
          <w:rFonts w:ascii="Times New Roman" w:hAnsi="Times New Roman" w:cs="Times New Roman"/>
          <w:i/>
        </w:rPr>
        <w:t xml:space="preserve"> </w:t>
      </w:r>
      <w:r w:rsidR="009A7027" w:rsidRPr="00A039C6">
        <w:rPr>
          <w:rFonts w:ascii="Times New Roman" w:hAnsi="Times New Roman" w:cs="Times New Roman"/>
          <w:i/>
          <w:color w:val="000000" w:themeColor="text1"/>
        </w:rPr>
        <w:t>and Others</w:t>
      </w:r>
      <w:r w:rsidRPr="00A039C6">
        <w:rPr>
          <w:rFonts w:ascii="Times New Roman" w:hAnsi="Times New Roman" w:cs="Times New Roman"/>
          <w:i/>
        </w:rPr>
        <w:t xml:space="preserve"> </w:t>
      </w:r>
      <w:r w:rsidRPr="00A039C6">
        <w:rPr>
          <w:rFonts w:ascii="Times New Roman" w:hAnsi="Times New Roman" w:cs="Times New Roman"/>
        </w:rPr>
        <w:t xml:space="preserve">(n 37) para </w:t>
      </w:r>
      <w:proofErr w:type="gramStart"/>
      <w:r w:rsidRPr="00A039C6">
        <w:rPr>
          <w:rFonts w:ascii="Times New Roman" w:hAnsi="Times New Roman" w:cs="Times New Roman"/>
        </w:rPr>
        <w:t>191;</w:t>
      </w:r>
      <w:proofErr w:type="gramEnd"/>
      <w:r w:rsidRPr="00A039C6">
        <w:rPr>
          <w:rFonts w:ascii="Times New Roman" w:hAnsi="Times New Roman" w:cs="Times New Roman"/>
        </w:rPr>
        <w:t xml:space="preserve"> </w:t>
      </w:r>
      <w:proofErr w:type="spellStart"/>
      <w:r w:rsidRPr="00A039C6">
        <w:rPr>
          <w:rFonts w:ascii="Times New Roman" w:hAnsi="Times New Roman" w:cs="Times New Roman"/>
          <w:i/>
          <w:color w:val="000000" w:themeColor="text1"/>
        </w:rPr>
        <w:t>Acar</w:t>
      </w:r>
      <w:proofErr w:type="spellEnd"/>
      <w:r w:rsidRPr="00A039C6">
        <w:rPr>
          <w:rFonts w:ascii="Times New Roman" w:hAnsi="Times New Roman" w:cs="Times New Roman"/>
          <w:i/>
          <w:color w:val="000000" w:themeColor="text1"/>
        </w:rPr>
        <w:t xml:space="preserve"> </w:t>
      </w:r>
      <w:r w:rsidRPr="00A039C6">
        <w:rPr>
          <w:rFonts w:ascii="Times New Roman" w:hAnsi="Times New Roman" w:cs="Times New Roman"/>
          <w:color w:val="000000" w:themeColor="text1"/>
        </w:rPr>
        <w:t>(n 9) para 121</w:t>
      </w:r>
    </w:p>
  </w:footnote>
  <w:footnote w:id="178">
    <w:p w14:paraId="6CF1F681" w14:textId="0D23E117"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r w:rsidRPr="00A039C6">
        <w:rPr>
          <w:rFonts w:ascii="Times New Roman" w:hAnsi="Times New Roman" w:cs="Times New Roman"/>
          <w:i/>
          <w:color w:val="000000" w:themeColor="text1"/>
          <w:lang w:val="fr-FR"/>
        </w:rPr>
        <w:t>Al-</w:t>
      </w:r>
      <w:proofErr w:type="spellStart"/>
      <w:r w:rsidRPr="00A039C6">
        <w:rPr>
          <w:rFonts w:ascii="Times New Roman" w:hAnsi="Times New Roman" w:cs="Times New Roman"/>
          <w:i/>
          <w:color w:val="000000" w:themeColor="text1"/>
          <w:lang w:val="fr-FR"/>
        </w:rPr>
        <w:t>Skeini</w:t>
      </w:r>
      <w:proofErr w:type="spellEnd"/>
      <w:r w:rsidRPr="00A039C6">
        <w:rPr>
          <w:rFonts w:ascii="Times New Roman" w:hAnsi="Times New Roman" w:cs="Times New Roman"/>
          <w:color w:val="000000" w:themeColor="text1"/>
          <w:lang w:val="fr-FR"/>
        </w:rPr>
        <w:t xml:space="preserve"> </w:t>
      </w:r>
      <w:r w:rsidR="009A7027" w:rsidRPr="00A039C6">
        <w:rPr>
          <w:rFonts w:ascii="Times New Roman" w:hAnsi="Times New Roman" w:cs="Times New Roman"/>
          <w:i/>
          <w:color w:val="000000" w:themeColor="text1"/>
        </w:rPr>
        <w:t xml:space="preserve">and Others </w:t>
      </w:r>
      <w:r w:rsidRPr="00A039C6">
        <w:rPr>
          <w:rFonts w:ascii="Times New Roman" w:hAnsi="Times New Roman" w:cs="Times New Roman"/>
          <w:color w:val="000000" w:themeColor="text1"/>
          <w:lang w:val="fr-FR"/>
        </w:rPr>
        <w:t>(n 13) para 152</w:t>
      </w:r>
    </w:p>
  </w:footnote>
  <w:footnote w:id="179">
    <w:p w14:paraId="198A9BFE" w14:textId="2E40237A" w:rsidR="00493A06" w:rsidRPr="00A039C6" w:rsidRDefault="00493A06" w:rsidP="009A703F">
      <w:pPr>
        <w:pStyle w:val="FootnoteText"/>
        <w:spacing w:after="0" w:line="240" w:lineRule="auto"/>
        <w:rPr>
          <w:rFonts w:ascii="Times New Roman" w:hAnsi="Times New Roman" w:cs="Times New Roman"/>
          <w:color w:val="000000" w:themeColor="text1"/>
          <w:lang w:val="fr-FR"/>
        </w:rPr>
      </w:pPr>
      <w:r w:rsidRPr="00A039C6">
        <w:rPr>
          <w:rStyle w:val="FootnoteReference"/>
          <w:rFonts w:ascii="Times New Roman" w:hAnsi="Times New Roman" w:cs="Times New Roman"/>
          <w:color w:val="000000" w:themeColor="text1"/>
        </w:rPr>
        <w:footnoteRef/>
      </w:r>
      <w:r w:rsidRPr="00A039C6">
        <w:rPr>
          <w:rFonts w:ascii="Times New Roman" w:hAnsi="Times New Roman" w:cs="Times New Roman"/>
          <w:color w:val="000000" w:themeColor="text1"/>
          <w:lang w:val="fr-FR"/>
        </w:rPr>
        <w:t xml:space="preserve"> </w:t>
      </w:r>
      <w:proofErr w:type="spellStart"/>
      <w:r w:rsidRPr="00A039C6">
        <w:rPr>
          <w:rFonts w:ascii="Times New Roman" w:hAnsi="Times New Roman" w:cs="Times New Roman"/>
          <w:i/>
          <w:color w:val="000000" w:themeColor="text1"/>
          <w:lang w:val="fr-FR"/>
        </w:rPr>
        <w:t>Brecknell</w:t>
      </w:r>
      <w:proofErr w:type="spellEnd"/>
      <w:r w:rsidRPr="00A039C6">
        <w:rPr>
          <w:rFonts w:ascii="Times New Roman" w:hAnsi="Times New Roman" w:cs="Times New Roman"/>
          <w:color w:val="000000" w:themeColor="text1"/>
          <w:lang w:val="fr-FR"/>
        </w:rPr>
        <w:t xml:space="preserve"> (n 42) para 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1E69" w14:textId="24BBC772" w:rsidR="00493A06" w:rsidRDefault="00493A06" w:rsidP="00A039C6">
    <w:pPr>
      <w:pStyle w:val="Header"/>
      <w:jc w:val="left"/>
    </w:pPr>
    <w:proofErr w:type="spellStart"/>
    <w:r>
      <w:t>No</w:t>
    </w:r>
    <w:r>
      <w:rPr>
        <w:rFonts w:cstheme="minorHAnsi"/>
      </w:rPr>
      <w:t>ë</w:t>
    </w:r>
    <w:r>
      <w:t>lle</w:t>
    </w:r>
    <w:proofErr w:type="spellEnd"/>
    <w:r>
      <w:t xml:space="preserve"> </w:t>
    </w:r>
    <w:proofErr w:type="spellStart"/>
    <w:r>
      <w:t>Qu</w:t>
    </w:r>
    <w:r>
      <w:rPr>
        <w:rFonts w:cstheme="minorHAnsi"/>
      </w:rPr>
      <w:t>é</w:t>
    </w:r>
    <w:r>
      <w:t>nivet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5DB5" w14:textId="76C5ADC7" w:rsidR="00493A06" w:rsidRDefault="00493A06" w:rsidP="00754FD3">
    <w:pPr>
      <w:pStyle w:val="Header"/>
      <w:jc w:val="right"/>
    </w:pPr>
    <w:r>
      <w:t>Obligation to Investigate under Article 2 ECHR</w:t>
    </w:r>
  </w:p>
  <w:p w14:paraId="41366BB4" w14:textId="77777777" w:rsidR="00493A06" w:rsidRDefault="0049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B99"/>
    <w:multiLevelType w:val="hybridMultilevel"/>
    <w:tmpl w:val="6CB624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D0902"/>
    <w:multiLevelType w:val="hybridMultilevel"/>
    <w:tmpl w:val="6D780218"/>
    <w:lvl w:ilvl="0" w:tplc="30A69EE6">
      <w:start w:val="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66A7A"/>
    <w:multiLevelType w:val="hybridMultilevel"/>
    <w:tmpl w:val="E068A816"/>
    <w:lvl w:ilvl="0" w:tplc="161EFA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D5DCC"/>
    <w:multiLevelType w:val="hybridMultilevel"/>
    <w:tmpl w:val="99561F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56469"/>
    <w:multiLevelType w:val="hybridMultilevel"/>
    <w:tmpl w:val="EC66B1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A07AFB"/>
    <w:multiLevelType w:val="hybridMultilevel"/>
    <w:tmpl w:val="8CC028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B254CB"/>
    <w:multiLevelType w:val="hybridMultilevel"/>
    <w:tmpl w:val="32880990"/>
    <w:lvl w:ilvl="0" w:tplc="01E04A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3E4E8F"/>
    <w:multiLevelType w:val="multilevel"/>
    <w:tmpl w:val="AB323636"/>
    <w:lvl w:ilvl="0">
      <w:start w:val="1"/>
      <w:numFmt w:val="decimal"/>
      <w:isLgl/>
      <w:lvlText w:val="%1"/>
      <w:lvlJc w:val="left"/>
      <w:pPr>
        <w:tabs>
          <w:tab w:val="num" w:pos="0"/>
        </w:tabs>
        <w:ind w:left="0" w:hanging="680"/>
      </w:pPr>
      <w:rPr>
        <w:rFonts w:ascii="Garamond" w:hAnsi="Garamond" w:hint="default"/>
        <w:b w:val="0"/>
        <w:strike w:val="0"/>
        <w:color w:val="auto"/>
        <w:sz w:val="22"/>
        <w:szCs w:val="22"/>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C501965"/>
    <w:multiLevelType w:val="multilevel"/>
    <w:tmpl w:val="AB323636"/>
    <w:lvl w:ilvl="0">
      <w:start w:val="1"/>
      <w:numFmt w:val="decimal"/>
      <w:isLgl/>
      <w:lvlText w:val="%1"/>
      <w:lvlJc w:val="left"/>
      <w:pPr>
        <w:tabs>
          <w:tab w:val="num" w:pos="0"/>
        </w:tabs>
        <w:ind w:left="0" w:hanging="680"/>
      </w:pPr>
      <w:rPr>
        <w:rFonts w:ascii="Garamond" w:hAnsi="Garamond" w:hint="default"/>
        <w:b w:val="0"/>
        <w:strike w:val="0"/>
        <w:color w:val="auto"/>
        <w:sz w:val="22"/>
        <w:szCs w:val="22"/>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A751BB"/>
    <w:multiLevelType w:val="hybridMultilevel"/>
    <w:tmpl w:val="CB38C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7"/>
  </w:num>
  <w:num w:numId="5">
    <w:abstractNumId w:val="4"/>
  </w:num>
  <w:num w:numId="6">
    <w:abstractNumId w:val="5"/>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93"/>
    <w:rsid w:val="00011855"/>
    <w:rsid w:val="0001496B"/>
    <w:rsid w:val="0001563E"/>
    <w:rsid w:val="000236CD"/>
    <w:rsid w:val="00025562"/>
    <w:rsid w:val="0003434C"/>
    <w:rsid w:val="000419B4"/>
    <w:rsid w:val="0004500A"/>
    <w:rsid w:val="0006008D"/>
    <w:rsid w:val="00061456"/>
    <w:rsid w:val="00067447"/>
    <w:rsid w:val="0007242A"/>
    <w:rsid w:val="00090EE9"/>
    <w:rsid w:val="00097DB3"/>
    <w:rsid w:val="000A1460"/>
    <w:rsid w:val="000A4417"/>
    <w:rsid w:val="000B1AC2"/>
    <w:rsid w:val="000B2439"/>
    <w:rsid w:val="000B4ADF"/>
    <w:rsid w:val="000B4C69"/>
    <w:rsid w:val="000B5362"/>
    <w:rsid w:val="000B6269"/>
    <w:rsid w:val="000B74C7"/>
    <w:rsid w:val="000E42A7"/>
    <w:rsid w:val="000E5464"/>
    <w:rsid w:val="00101316"/>
    <w:rsid w:val="00101590"/>
    <w:rsid w:val="00104665"/>
    <w:rsid w:val="0011235F"/>
    <w:rsid w:val="0011529C"/>
    <w:rsid w:val="001221E1"/>
    <w:rsid w:val="001319DC"/>
    <w:rsid w:val="00133CCB"/>
    <w:rsid w:val="00133E92"/>
    <w:rsid w:val="001413D5"/>
    <w:rsid w:val="00151047"/>
    <w:rsid w:val="0015476E"/>
    <w:rsid w:val="00154E4F"/>
    <w:rsid w:val="00163403"/>
    <w:rsid w:val="001664AD"/>
    <w:rsid w:val="00175A9B"/>
    <w:rsid w:val="0018464D"/>
    <w:rsid w:val="00187F6C"/>
    <w:rsid w:val="001911AF"/>
    <w:rsid w:val="001A79DB"/>
    <w:rsid w:val="001B5850"/>
    <w:rsid w:val="001C0B51"/>
    <w:rsid w:val="001C72BE"/>
    <w:rsid w:val="001D1445"/>
    <w:rsid w:val="001F2DAF"/>
    <w:rsid w:val="001F4824"/>
    <w:rsid w:val="002068F7"/>
    <w:rsid w:val="00226CFF"/>
    <w:rsid w:val="002333B8"/>
    <w:rsid w:val="00234617"/>
    <w:rsid w:val="00240E6A"/>
    <w:rsid w:val="00245734"/>
    <w:rsid w:val="002507D6"/>
    <w:rsid w:val="00252401"/>
    <w:rsid w:val="00254C36"/>
    <w:rsid w:val="002626DB"/>
    <w:rsid w:val="0026700A"/>
    <w:rsid w:val="002767E9"/>
    <w:rsid w:val="00293557"/>
    <w:rsid w:val="002936F2"/>
    <w:rsid w:val="0029701D"/>
    <w:rsid w:val="002B6C2C"/>
    <w:rsid w:val="002C561D"/>
    <w:rsid w:val="002D1343"/>
    <w:rsid w:val="002D5EE6"/>
    <w:rsid w:val="002E62C7"/>
    <w:rsid w:val="002F04B3"/>
    <w:rsid w:val="002F4E92"/>
    <w:rsid w:val="00302B9D"/>
    <w:rsid w:val="00303AE3"/>
    <w:rsid w:val="00303BEB"/>
    <w:rsid w:val="00304BC4"/>
    <w:rsid w:val="00306E54"/>
    <w:rsid w:val="00312BCF"/>
    <w:rsid w:val="00316A45"/>
    <w:rsid w:val="003174EE"/>
    <w:rsid w:val="00320D07"/>
    <w:rsid w:val="003235AB"/>
    <w:rsid w:val="0034259D"/>
    <w:rsid w:val="00345B89"/>
    <w:rsid w:val="00346A91"/>
    <w:rsid w:val="0035021D"/>
    <w:rsid w:val="00352E3F"/>
    <w:rsid w:val="00364543"/>
    <w:rsid w:val="0036723F"/>
    <w:rsid w:val="00367FC6"/>
    <w:rsid w:val="00376D93"/>
    <w:rsid w:val="00377C5D"/>
    <w:rsid w:val="00384E1D"/>
    <w:rsid w:val="0038637A"/>
    <w:rsid w:val="003A6B1F"/>
    <w:rsid w:val="003B49C6"/>
    <w:rsid w:val="003B6D80"/>
    <w:rsid w:val="003C2518"/>
    <w:rsid w:val="003C48CE"/>
    <w:rsid w:val="003C6614"/>
    <w:rsid w:val="003D06A7"/>
    <w:rsid w:val="003D3D85"/>
    <w:rsid w:val="003D5461"/>
    <w:rsid w:val="003E67ED"/>
    <w:rsid w:val="003F0489"/>
    <w:rsid w:val="003F55C1"/>
    <w:rsid w:val="003F5BA6"/>
    <w:rsid w:val="003F66AE"/>
    <w:rsid w:val="004070B4"/>
    <w:rsid w:val="00407A89"/>
    <w:rsid w:val="0041170B"/>
    <w:rsid w:val="004179B2"/>
    <w:rsid w:val="00423165"/>
    <w:rsid w:val="004457B2"/>
    <w:rsid w:val="004542AE"/>
    <w:rsid w:val="00457563"/>
    <w:rsid w:val="00460C85"/>
    <w:rsid w:val="0046615A"/>
    <w:rsid w:val="004671AF"/>
    <w:rsid w:val="00473E94"/>
    <w:rsid w:val="00475D69"/>
    <w:rsid w:val="00481BDC"/>
    <w:rsid w:val="0049015C"/>
    <w:rsid w:val="00490DD1"/>
    <w:rsid w:val="00493A06"/>
    <w:rsid w:val="004A3682"/>
    <w:rsid w:val="004A3DFF"/>
    <w:rsid w:val="004B6F7F"/>
    <w:rsid w:val="004B7C30"/>
    <w:rsid w:val="004C59B7"/>
    <w:rsid w:val="004D09EF"/>
    <w:rsid w:val="004D1761"/>
    <w:rsid w:val="004D4EC8"/>
    <w:rsid w:val="004D5987"/>
    <w:rsid w:val="004D79CA"/>
    <w:rsid w:val="004D7AA6"/>
    <w:rsid w:val="004D7E5F"/>
    <w:rsid w:val="004E60B8"/>
    <w:rsid w:val="004F61FF"/>
    <w:rsid w:val="005011C5"/>
    <w:rsid w:val="00504C89"/>
    <w:rsid w:val="005058CB"/>
    <w:rsid w:val="00512DD9"/>
    <w:rsid w:val="00515154"/>
    <w:rsid w:val="00520D83"/>
    <w:rsid w:val="00521A95"/>
    <w:rsid w:val="005338C2"/>
    <w:rsid w:val="00533E04"/>
    <w:rsid w:val="0053501F"/>
    <w:rsid w:val="005362FC"/>
    <w:rsid w:val="00541288"/>
    <w:rsid w:val="00550EDE"/>
    <w:rsid w:val="00556A95"/>
    <w:rsid w:val="005614BC"/>
    <w:rsid w:val="00567F97"/>
    <w:rsid w:val="005824E2"/>
    <w:rsid w:val="00582FA3"/>
    <w:rsid w:val="00586D3D"/>
    <w:rsid w:val="00591D96"/>
    <w:rsid w:val="00592F6E"/>
    <w:rsid w:val="00596F84"/>
    <w:rsid w:val="00597810"/>
    <w:rsid w:val="005A37AB"/>
    <w:rsid w:val="005A3C02"/>
    <w:rsid w:val="005A47D3"/>
    <w:rsid w:val="005B0306"/>
    <w:rsid w:val="005B376B"/>
    <w:rsid w:val="005B4CE8"/>
    <w:rsid w:val="005B547E"/>
    <w:rsid w:val="005B6EF8"/>
    <w:rsid w:val="005B7099"/>
    <w:rsid w:val="005C052F"/>
    <w:rsid w:val="005F2077"/>
    <w:rsid w:val="005F4ECA"/>
    <w:rsid w:val="00606C88"/>
    <w:rsid w:val="00610843"/>
    <w:rsid w:val="00614120"/>
    <w:rsid w:val="00615026"/>
    <w:rsid w:val="00621D1E"/>
    <w:rsid w:val="006429B3"/>
    <w:rsid w:val="006511A0"/>
    <w:rsid w:val="00651D63"/>
    <w:rsid w:val="006525C2"/>
    <w:rsid w:val="00654669"/>
    <w:rsid w:val="0066795D"/>
    <w:rsid w:val="00670537"/>
    <w:rsid w:val="00673E67"/>
    <w:rsid w:val="006775AE"/>
    <w:rsid w:val="00683645"/>
    <w:rsid w:val="00692873"/>
    <w:rsid w:val="006A1306"/>
    <w:rsid w:val="006A6DED"/>
    <w:rsid w:val="006A76B7"/>
    <w:rsid w:val="006B06BC"/>
    <w:rsid w:val="006B5205"/>
    <w:rsid w:val="006B7AB6"/>
    <w:rsid w:val="006C3351"/>
    <w:rsid w:val="006D0A2D"/>
    <w:rsid w:val="006D59C9"/>
    <w:rsid w:val="006E1D33"/>
    <w:rsid w:val="006E2D26"/>
    <w:rsid w:val="006E38FE"/>
    <w:rsid w:val="006F1CC2"/>
    <w:rsid w:val="006F5DA7"/>
    <w:rsid w:val="00702FFF"/>
    <w:rsid w:val="007041D8"/>
    <w:rsid w:val="0072191D"/>
    <w:rsid w:val="00721C3D"/>
    <w:rsid w:val="007271E7"/>
    <w:rsid w:val="00735773"/>
    <w:rsid w:val="00737DED"/>
    <w:rsid w:val="00740CA3"/>
    <w:rsid w:val="00751109"/>
    <w:rsid w:val="00752F4A"/>
    <w:rsid w:val="00754FD3"/>
    <w:rsid w:val="00755A7D"/>
    <w:rsid w:val="00757AAB"/>
    <w:rsid w:val="00764342"/>
    <w:rsid w:val="00766709"/>
    <w:rsid w:val="007755F1"/>
    <w:rsid w:val="00776BA3"/>
    <w:rsid w:val="007816E5"/>
    <w:rsid w:val="007A30E5"/>
    <w:rsid w:val="007B7A26"/>
    <w:rsid w:val="007C1BEA"/>
    <w:rsid w:val="007C311F"/>
    <w:rsid w:val="007D03DA"/>
    <w:rsid w:val="007D2F0A"/>
    <w:rsid w:val="007E0C7C"/>
    <w:rsid w:val="007E3B0C"/>
    <w:rsid w:val="007F0274"/>
    <w:rsid w:val="007F5539"/>
    <w:rsid w:val="007F64B7"/>
    <w:rsid w:val="0080051D"/>
    <w:rsid w:val="00807343"/>
    <w:rsid w:val="00810465"/>
    <w:rsid w:val="008123EF"/>
    <w:rsid w:val="00823116"/>
    <w:rsid w:val="0082396D"/>
    <w:rsid w:val="008241E7"/>
    <w:rsid w:val="008328D5"/>
    <w:rsid w:val="00834A91"/>
    <w:rsid w:val="00835F62"/>
    <w:rsid w:val="00840DB9"/>
    <w:rsid w:val="00840FDE"/>
    <w:rsid w:val="008414C5"/>
    <w:rsid w:val="00843918"/>
    <w:rsid w:val="008453F0"/>
    <w:rsid w:val="00845EEB"/>
    <w:rsid w:val="00850647"/>
    <w:rsid w:val="0085138A"/>
    <w:rsid w:val="00860BDA"/>
    <w:rsid w:val="00861049"/>
    <w:rsid w:val="00861CAD"/>
    <w:rsid w:val="00862E1C"/>
    <w:rsid w:val="008754FB"/>
    <w:rsid w:val="00875AFB"/>
    <w:rsid w:val="008773E4"/>
    <w:rsid w:val="008778B7"/>
    <w:rsid w:val="008955BB"/>
    <w:rsid w:val="008969FF"/>
    <w:rsid w:val="00897227"/>
    <w:rsid w:val="008A3ADB"/>
    <w:rsid w:val="008A5CDD"/>
    <w:rsid w:val="008A76D5"/>
    <w:rsid w:val="008B2408"/>
    <w:rsid w:val="008E1F85"/>
    <w:rsid w:val="008E5B9F"/>
    <w:rsid w:val="008F1456"/>
    <w:rsid w:val="008F17DF"/>
    <w:rsid w:val="008F2EE8"/>
    <w:rsid w:val="008F59B8"/>
    <w:rsid w:val="008F7A4E"/>
    <w:rsid w:val="009026D0"/>
    <w:rsid w:val="00910211"/>
    <w:rsid w:val="0092240A"/>
    <w:rsid w:val="009262CD"/>
    <w:rsid w:val="0093073D"/>
    <w:rsid w:val="00942434"/>
    <w:rsid w:val="00942E14"/>
    <w:rsid w:val="009538AA"/>
    <w:rsid w:val="00957B89"/>
    <w:rsid w:val="009629A2"/>
    <w:rsid w:val="00975BB0"/>
    <w:rsid w:val="00976E51"/>
    <w:rsid w:val="00977898"/>
    <w:rsid w:val="00984254"/>
    <w:rsid w:val="009853E7"/>
    <w:rsid w:val="00985B63"/>
    <w:rsid w:val="0099456B"/>
    <w:rsid w:val="009A4EFA"/>
    <w:rsid w:val="009A7027"/>
    <w:rsid w:val="009A703F"/>
    <w:rsid w:val="009A7EEC"/>
    <w:rsid w:val="009C34AE"/>
    <w:rsid w:val="009D2EFA"/>
    <w:rsid w:val="009F3B7B"/>
    <w:rsid w:val="00A0001F"/>
    <w:rsid w:val="00A02E0E"/>
    <w:rsid w:val="00A039C6"/>
    <w:rsid w:val="00A053BD"/>
    <w:rsid w:val="00A201D8"/>
    <w:rsid w:val="00A21B68"/>
    <w:rsid w:val="00A2248E"/>
    <w:rsid w:val="00A269D7"/>
    <w:rsid w:val="00A272C0"/>
    <w:rsid w:val="00A301F3"/>
    <w:rsid w:val="00A3617D"/>
    <w:rsid w:val="00A367E6"/>
    <w:rsid w:val="00A36856"/>
    <w:rsid w:val="00A3743B"/>
    <w:rsid w:val="00A4702F"/>
    <w:rsid w:val="00A47FEB"/>
    <w:rsid w:val="00A51868"/>
    <w:rsid w:val="00A70064"/>
    <w:rsid w:val="00A82ED0"/>
    <w:rsid w:val="00A9673D"/>
    <w:rsid w:val="00A96785"/>
    <w:rsid w:val="00AA02BF"/>
    <w:rsid w:val="00AA0C69"/>
    <w:rsid w:val="00AA152A"/>
    <w:rsid w:val="00AA3929"/>
    <w:rsid w:val="00AA3F20"/>
    <w:rsid w:val="00AA6669"/>
    <w:rsid w:val="00AC5245"/>
    <w:rsid w:val="00AD399B"/>
    <w:rsid w:val="00AD5368"/>
    <w:rsid w:val="00AE49D9"/>
    <w:rsid w:val="00AE5E2D"/>
    <w:rsid w:val="00AF2DCD"/>
    <w:rsid w:val="00AF5B80"/>
    <w:rsid w:val="00B123EC"/>
    <w:rsid w:val="00B15042"/>
    <w:rsid w:val="00B319A9"/>
    <w:rsid w:val="00B377E4"/>
    <w:rsid w:val="00B52130"/>
    <w:rsid w:val="00B5345E"/>
    <w:rsid w:val="00B545B8"/>
    <w:rsid w:val="00B571CB"/>
    <w:rsid w:val="00B5766D"/>
    <w:rsid w:val="00B62006"/>
    <w:rsid w:val="00B63A72"/>
    <w:rsid w:val="00B6710B"/>
    <w:rsid w:val="00B71FBE"/>
    <w:rsid w:val="00B73405"/>
    <w:rsid w:val="00B73D67"/>
    <w:rsid w:val="00B73F53"/>
    <w:rsid w:val="00B74C2B"/>
    <w:rsid w:val="00B74E94"/>
    <w:rsid w:val="00B96ACE"/>
    <w:rsid w:val="00BA0C8B"/>
    <w:rsid w:val="00BA1517"/>
    <w:rsid w:val="00BA60FC"/>
    <w:rsid w:val="00BB4B8D"/>
    <w:rsid w:val="00BD3D57"/>
    <w:rsid w:val="00BD7FF0"/>
    <w:rsid w:val="00BE0B0C"/>
    <w:rsid w:val="00BF5D31"/>
    <w:rsid w:val="00C042ED"/>
    <w:rsid w:val="00C11465"/>
    <w:rsid w:val="00C17FCF"/>
    <w:rsid w:val="00C22928"/>
    <w:rsid w:val="00C309BB"/>
    <w:rsid w:val="00C337D0"/>
    <w:rsid w:val="00C345DD"/>
    <w:rsid w:val="00C400F3"/>
    <w:rsid w:val="00C4430E"/>
    <w:rsid w:val="00C80158"/>
    <w:rsid w:val="00C8213B"/>
    <w:rsid w:val="00C911CA"/>
    <w:rsid w:val="00C926FD"/>
    <w:rsid w:val="00C92D48"/>
    <w:rsid w:val="00CA3497"/>
    <w:rsid w:val="00CA54D3"/>
    <w:rsid w:val="00CB1C60"/>
    <w:rsid w:val="00CB4F7B"/>
    <w:rsid w:val="00CB53E9"/>
    <w:rsid w:val="00CB7F04"/>
    <w:rsid w:val="00CC07A7"/>
    <w:rsid w:val="00CC34A2"/>
    <w:rsid w:val="00CC3909"/>
    <w:rsid w:val="00CC3FEC"/>
    <w:rsid w:val="00CD0787"/>
    <w:rsid w:val="00CD2E57"/>
    <w:rsid w:val="00CD5685"/>
    <w:rsid w:val="00CE1670"/>
    <w:rsid w:val="00CE528F"/>
    <w:rsid w:val="00CE7FA3"/>
    <w:rsid w:val="00CF4D23"/>
    <w:rsid w:val="00D17493"/>
    <w:rsid w:val="00D242E9"/>
    <w:rsid w:val="00D343D8"/>
    <w:rsid w:val="00D34671"/>
    <w:rsid w:val="00D34A89"/>
    <w:rsid w:val="00D54B85"/>
    <w:rsid w:val="00D5729B"/>
    <w:rsid w:val="00D64F9F"/>
    <w:rsid w:val="00D97E86"/>
    <w:rsid w:val="00DA164C"/>
    <w:rsid w:val="00DA16D7"/>
    <w:rsid w:val="00DA1CE4"/>
    <w:rsid w:val="00DB4BB7"/>
    <w:rsid w:val="00DC1103"/>
    <w:rsid w:val="00DC171A"/>
    <w:rsid w:val="00DC388A"/>
    <w:rsid w:val="00DC4518"/>
    <w:rsid w:val="00DD1E29"/>
    <w:rsid w:val="00DD38CC"/>
    <w:rsid w:val="00DE0C96"/>
    <w:rsid w:val="00E07B4C"/>
    <w:rsid w:val="00E11C09"/>
    <w:rsid w:val="00E129ED"/>
    <w:rsid w:val="00E17C9D"/>
    <w:rsid w:val="00E351A0"/>
    <w:rsid w:val="00E35934"/>
    <w:rsid w:val="00E404FA"/>
    <w:rsid w:val="00E4411C"/>
    <w:rsid w:val="00E452F5"/>
    <w:rsid w:val="00E55BB8"/>
    <w:rsid w:val="00E62D49"/>
    <w:rsid w:val="00E663D5"/>
    <w:rsid w:val="00E90D14"/>
    <w:rsid w:val="00E9188D"/>
    <w:rsid w:val="00E924AC"/>
    <w:rsid w:val="00E92971"/>
    <w:rsid w:val="00EA41FC"/>
    <w:rsid w:val="00EA4D9F"/>
    <w:rsid w:val="00EA67E8"/>
    <w:rsid w:val="00EA7A7D"/>
    <w:rsid w:val="00EB42FF"/>
    <w:rsid w:val="00EB45FD"/>
    <w:rsid w:val="00EB5F62"/>
    <w:rsid w:val="00EC2E74"/>
    <w:rsid w:val="00ED2E3A"/>
    <w:rsid w:val="00ED6555"/>
    <w:rsid w:val="00EE382C"/>
    <w:rsid w:val="00EE4B47"/>
    <w:rsid w:val="00F02CAE"/>
    <w:rsid w:val="00F23060"/>
    <w:rsid w:val="00F4569B"/>
    <w:rsid w:val="00F4675E"/>
    <w:rsid w:val="00F65E21"/>
    <w:rsid w:val="00F70712"/>
    <w:rsid w:val="00F91FC7"/>
    <w:rsid w:val="00F9357A"/>
    <w:rsid w:val="00F94647"/>
    <w:rsid w:val="00F968AD"/>
    <w:rsid w:val="00FA03F4"/>
    <w:rsid w:val="00FA4361"/>
    <w:rsid w:val="00FA4FA6"/>
    <w:rsid w:val="00FA5277"/>
    <w:rsid w:val="00FA7372"/>
    <w:rsid w:val="00FB0E5C"/>
    <w:rsid w:val="00FB0FB2"/>
    <w:rsid w:val="00FB22F4"/>
    <w:rsid w:val="00FB4451"/>
    <w:rsid w:val="00FB744C"/>
    <w:rsid w:val="00FB755F"/>
    <w:rsid w:val="00FC410D"/>
    <w:rsid w:val="00FC7B6D"/>
    <w:rsid w:val="00FD3785"/>
    <w:rsid w:val="00FD3A3C"/>
    <w:rsid w:val="00FE093F"/>
    <w:rsid w:val="00FF53D1"/>
    <w:rsid w:val="00FF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E7932"/>
  <w15:docId w15:val="{6EEC74AC-EBEA-43F1-9E9F-21675C51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493"/>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D1749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7493"/>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749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749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749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D1749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D1749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D1749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D1749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493"/>
    <w:rPr>
      <w:rFonts w:eastAsiaTheme="minorEastAsia"/>
      <w:smallCaps/>
      <w:spacing w:val="5"/>
      <w:sz w:val="32"/>
      <w:szCs w:val="32"/>
    </w:rPr>
  </w:style>
  <w:style w:type="character" w:customStyle="1" w:styleId="Heading2Char">
    <w:name w:val="Heading 2 Char"/>
    <w:basedOn w:val="DefaultParagraphFont"/>
    <w:link w:val="Heading2"/>
    <w:uiPriority w:val="9"/>
    <w:rsid w:val="00D17493"/>
    <w:rPr>
      <w:rFonts w:eastAsiaTheme="minorEastAsia"/>
      <w:smallCaps/>
      <w:spacing w:val="5"/>
      <w:sz w:val="28"/>
      <w:szCs w:val="28"/>
    </w:rPr>
  </w:style>
  <w:style w:type="character" w:customStyle="1" w:styleId="Heading3Char">
    <w:name w:val="Heading 3 Char"/>
    <w:basedOn w:val="DefaultParagraphFont"/>
    <w:link w:val="Heading3"/>
    <w:uiPriority w:val="9"/>
    <w:rsid w:val="00D17493"/>
    <w:rPr>
      <w:rFonts w:eastAsiaTheme="minorEastAsia"/>
      <w:smallCaps/>
      <w:spacing w:val="5"/>
      <w:sz w:val="24"/>
      <w:szCs w:val="24"/>
    </w:rPr>
  </w:style>
  <w:style w:type="character" w:customStyle="1" w:styleId="Heading4Char">
    <w:name w:val="Heading 4 Char"/>
    <w:basedOn w:val="DefaultParagraphFont"/>
    <w:link w:val="Heading4"/>
    <w:uiPriority w:val="9"/>
    <w:semiHidden/>
    <w:rsid w:val="00D17493"/>
    <w:rPr>
      <w:rFonts w:eastAsiaTheme="minorEastAsia"/>
      <w:smallCaps/>
      <w:spacing w:val="10"/>
    </w:rPr>
  </w:style>
  <w:style w:type="character" w:customStyle="1" w:styleId="Heading5Char">
    <w:name w:val="Heading 5 Char"/>
    <w:basedOn w:val="DefaultParagraphFont"/>
    <w:link w:val="Heading5"/>
    <w:uiPriority w:val="9"/>
    <w:semiHidden/>
    <w:rsid w:val="00D17493"/>
    <w:rPr>
      <w:rFonts w:eastAsiaTheme="minorEastAsia"/>
      <w:smallCaps/>
      <w:color w:val="C45911" w:themeColor="accent2" w:themeShade="BF"/>
      <w:spacing w:val="10"/>
      <w:szCs w:val="26"/>
    </w:rPr>
  </w:style>
  <w:style w:type="character" w:customStyle="1" w:styleId="Heading6Char">
    <w:name w:val="Heading 6 Char"/>
    <w:basedOn w:val="DefaultParagraphFont"/>
    <w:link w:val="Heading6"/>
    <w:uiPriority w:val="9"/>
    <w:semiHidden/>
    <w:rsid w:val="00D17493"/>
    <w:rPr>
      <w:rFonts w:eastAsiaTheme="minorEastAsia"/>
      <w:smallCaps/>
      <w:color w:val="ED7D31" w:themeColor="accent2"/>
      <w:spacing w:val="5"/>
      <w:szCs w:val="20"/>
    </w:rPr>
  </w:style>
  <w:style w:type="character" w:customStyle="1" w:styleId="Heading7Char">
    <w:name w:val="Heading 7 Char"/>
    <w:basedOn w:val="DefaultParagraphFont"/>
    <w:link w:val="Heading7"/>
    <w:uiPriority w:val="9"/>
    <w:semiHidden/>
    <w:rsid w:val="00D17493"/>
    <w:rPr>
      <w:rFonts w:eastAsiaTheme="minorEastAsia"/>
      <w:b/>
      <w:smallCaps/>
      <w:color w:val="ED7D31" w:themeColor="accent2"/>
      <w:spacing w:val="10"/>
      <w:sz w:val="20"/>
      <w:szCs w:val="20"/>
    </w:rPr>
  </w:style>
  <w:style w:type="character" w:customStyle="1" w:styleId="Heading8Char">
    <w:name w:val="Heading 8 Char"/>
    <w:basedOn w:val="DefaultParagraphFont"/>
    <w:link w:val="Heading8"/>
    <w:uiPriority w:val="9"/>
    <w:semiHidden/>
    <w:rsid w:val="00D17493"/>
    <w:rPr>
      <w:rFonts w:eastAsiaTheme="minorEastAsia"/>
      <w:b/>
      <w:i/>
      <w:smallCaps/>
      <w:color w:val="C45911" w:themeColor="accent2" w:themeShade="BF"/>
      <w:sz w:val="20"/>
      <w:szCs w:val="20"/>
    </w:rPr>
  </w:style>
  <w:style w:type="character" w:customStyle="1" w:styleId="Heading9Char">
    <w:name w:val="Heading 9 Char"/>
    <w:basedOn w:val="DefaultParagraphFont"/>
    <w:link w:val="Heading9"/>
    <w:uiPriority w:val="9"/>
    <w:semiHidden/>
    <w:rsid w:val="00D17493"/>
    <w:rPr>
      <w:rFonts w:eastAsiaTheme="minorEastAsia"/>
      <w:b/>
      <w:i/>
      <w:smallCaps/>
      <w:color w:val="823B0B" w:themeColor="accent2" w:themeShade="7F"/>
      <w:sz w:val="20"/>
      <w:szCs w:val="20"/>
    </w:rPr>
  </w:style>
  <w:style w:type="paragraph" w:styleId="FootnoteText">
    <w:name w:val="footnote text"/>
    <w:aliases w:val="fn,footnote text Char,Footnotes Char,Footnote ak Char,Footnotes,Footnote ak,FA,Fu—note,FA Fu—notentext,Fu—note standard,Fu—notentext Char,FA Fu—notentext Char,FA Char,Fu—note standard Char,text in footnotes,Fu—notentext Char1,Fu€no"/>
    <w:basedOn w:val="Normal"/>
    <w:link w:val="FootnoteTextChar"/>
    <w:uiPriority w:val="99"/>
    <w:rsid w:val="00D17493"/>
  </w:style>
  <w:style w:type="character" w:customStyle="1" w:styleId="FootnoteTextChar">
    <w:name w:val="Footnote Text Char"/>
    <w:aliases w:val="fn Char,footnote text Char Char,Footnotes Char Char,Footnote ak Char Char,Footnotes Char1,Footnote ak Char1,FA Char1,Fu—note Char,FA Fu—notentext Char1,Fu—note standard Char1,Fu—notentext Char Char,FA Fu—notentext Char Char,Fu€no Char"/>
    <w:basedOn w:val="DefaultParagraphFont"/>
    <w:link w:val="FootnoteText"/>
    <w:uiPriority w:val="99"/>
    <w:rsid w:val="00D17493"/>
    <w:rPr>
      <w:rFonts w:eastAsiaTheme="minorEastAsia"/>
      <w:sz w:val="20"/>
      <w:szCs w:val="20"/>
    </w:rPr>
  </w:style>
  <w:style w:type="character" w:styleId="FootnoteReference">
    <w:name w:val="footnote reference"/>
    <w:aliases w:val="Ref,de nota al pie,BVI fnr, BVI fnr,+ 12 pt,FZ,Appel note de bas de page,a Footnote Reference"/>
    <w:basedOn w:val="DefaultParagraphFont"/>
    <w:uiPriority w:val="99"/>
    <w:rsid w:val="00D17493"/>
    <w:rPr>
      <w:vertAlign w:val="superscript"/>
    </w:rPr>
  </w:style>
  <w:style w:type="paragraph" w:styleId="CommentText">
    <w:name w:val="annotation text"/>
    <w:basedOn w:val="Normal"/>
    <w:link w:val="CommentTextChar"/>
    <w:uiPriority w:val="99"/>
    <w:rsid w:val="00D17493"/>
  </w:style>
  <w:style w:type="character" w:customStyle="1" w:styleId="CommentTextChar">
    <w:name w:val="Comment Text Char"/>
    <w:basedOn w:val="DefaultParagraphFont"/>
    <w:link w:val="CommentText"/>
    <w:uiPriority w:val="99"/>
    <w:rsid w:val="00D17493"/>
    <w:rPr>
      <w:rFonts w:eastAsiaTheme="minorEastAsia"/>
      <w:sz w:val="20"/>
      <w:szCs w:val="20"/>
    </w:rPr>
  </w:style>
  <w:style w:type="character" w:styleId="Hyperlink">
    <w:name w:val="Hyperlink"/>
    <w:basedOn w:val="DefaultParagraphFont"/>
    <w:uiPriority w:val="99"/>
    <w:rsid w:val="00D17493"/>
    <w:rPr>
      <w:color w:val="1507CB"/>
      <w:u w:val="single"/>
    </w:rPr>
  </w:style>
  <w:style w:type="character" w:customStyle="1" w:styleId="apple-converted-space">
    <w:name w:val="apple-converted-space"/>
    <w:basedOn w:val="DefaultParagraphFont"/>
    <w:rsid w:val="00D17493"/>
  </w:style>
  <w:style w:type="character" w:customStyle="1" w:styleId="sb8d990e2">
    <w:name w:val="sb8d990e2"/>
    <w:basedOn w:val="DefaultParagraphFont"/>
    <w:rsid w:val="00D17493"/>
  </w:style>
  <w:style w:type="character" w:customStyle="1" w:styleId="s6b621b36">
    <w:name w:val="s6b621b36"/>
    <w:basedOn w:val="DefaultParagraphFont"/>
    <w:rsid w:val="00D17493"/>
  </w:style>
  <w:style w:type="paragraph" w:styleId="Title">
    <w:name w:val="Title"/>
    <w:basedOn w:val="Normal"/>
    <w:next w:val="Normal"/>
    <w:link w:val="TitleChar"/>
    <w:uiPriority w:val="10"/>
    <w:qFormat/>
    <w:rsid w:val="00D1749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7493"/>
    <w:rPr>
      <w:rFonts w:eastAsiaTheme="minorEastAsia"/>
      <w:smallCaps/>
      <w:sz w:val="48"/>
      <w:szCs w:val="48"/>
    </w:rPr>
  </w:style>
  <w:style w:type="paragraph" w:styleId="Caption">
    <w:name w:val="caption"/>
    <w:basedOn w:val="Normal"/>
    <w:next w:val="Normal"/>
    <w:uiPriority w:val="35"/>
    <w:semiHidden/>
    <w:unhideWhenUsed/>
    <w:qFormat/>
    <w:rsid w:val="00D17493"/>
    <w:rPr>
      <w:b/>
      <w:bCs/>
      <w:caps/>
      <w:sz w:val="16"/>
      <w:szCs w:val="18"/>
    </w:rPr>
  </w:style>
  <w:style w:type="paragraph" w:styleId="Subtitle">
    <w:name w:val="Subtitle"/>
    <w:basedOn w:val="Normal"/>
    <w:next w:val="Normal"/>
    <w:link w:val="SubtitleChar"/>
    <w:uiPriority w:val="11"/>
    <w:qFormat/>
    <w:rsid w:val="00D1749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7493"/>
    <w:rPr>
      <w:rFonts w:asciiTheme="majorHAnsi" w:eastAsiaTheme="majorEastAsia" w:hAnsiTheme="majorHAnsi" w:cstheme="majorBidi"/>
      <w:sz w:val="20"/>
    </w:rPr>
  </w:style>
  <w:style w:type="character" w:styleId="Strong">
    <w:name w:val="Strong"/>
    <w:uiPriority w:val="22"/>
    <w:qFormat/>
    <w:rsid w:val="00D17493"/>
    <w:rPr>
      <w:b/>
      <w:color w:val="ED7D31" w:themeColor="accent2"/>
    </w:rPr>
  </w:style>
  <w:style w:type="character" w:styleId="Emphasis">
    <w:name w:val="Emphasis"/>
    <w:uiPriority w:val="20"/>
    <w:qFormat/>
    <w:rsid w:val="00D17493"/>
    <w:rPr>
      <w:b/>
      <w:i/>
      <w:spacing w:val="10"/>
    </w:rPr>
  </w:style>
  <w:style w:type="paragraph" w:styleId="NoSpacing">
    <w:name w:val="No Spacing"/>
    <w:basedOn w:val="Normal"/>
    <w:link w:val="NoSpacingChar"/>
    <w:uiPriority w:val="1"/>
    <w:qFormat/>
    <w:rsid w:val="00D17493"/>
    <w:pPr>
      <w:spacing w:after="0" w:line="240" w:lineRule="auto"/>
    </w:pPr>
  </w:style>
  <w:style w:type="character" w:customStyle="1" w:styleId="NoSpacingChar">
    <w:name w:val="No Spacing Char"/>
    <w:basedOn w:val="DefaultParagraphFont"/>
    <w:link w:val="NoSpacing"/>
    <w:uiPriority w:val="1"/>
    <w:rsid w:val="00D17493"/>
    <w:rPr>
      <w:rFonts w:eastAsiaTheme="minorEastAsia"/>
      <w:sz w:val="20"/>
      <w:szCs w:val="20"/>
    </w:rPr>
  </w:style>
  <w:style w:type="paragraph" w:styleId="ListParagraph">
    <w:name w:val="List Paragraph"/>
    <w:basedOn w:val="Normal"/>
    <w:link w:val="ListParagraphChar"/>
    <w:uiPriority w:val="34"/>
    <w:qFormat/>
    <w:rsid w:val="00D17493"/>
    <w:pPr>
      <w:ind w:left="720"/>
      <w:contextualSpacing/>
    </w:pPr>
  </w:style>
  <w:style w:type="paragraph" w:styleId="Quote">
    <w:name w:val="Quote"/>
    <w:basedOn w:val="Normal"/>
    <w:next w:val="Normal"/>
    <w:link w:val="QuoteChar"/>
    <w:uiPriority w:val="29"/>
    <w:qFormat/>
    <w:rsid w:val="00D17493"/>
    <w:rPr>
      <w:i/>
    </w:rPr>
  </w:style>
  <w:style w:type="character" w:customStyle="1" w:styleId="QuoteChar">
    <w:name w:val="Quote Char"/>
    <w:basedOn w:val="DefaultParagraphFont"/>
    <w:link w:val="Quote"/>
    <w:uiPriority w:val="29"/>
    <w:rsid w:val="00D17493"/>
    <w:rPr>
      <w:rFonts w:eastAsiaTheme="minorEastAsia"/>
      <w:i/>
      <w:sz w:val="20"/>
      <w:szCs w:val="20"/>
    </w:rPr>
  </w:style>
  <w:style w:type="paragraph" w:styleId="IntenseQuote">
    <w:name w:val="Intense Quote"/>
    <w:basedOn w:val="Normal"/>
    <w:next w:val="Normal"/>
    <w:link w:val="IntenseQuoteChar"/>
    <w:uiPriority w:val="30"/>
    <w:qFormat/>
    <w:rsid w:val="00D1749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7493"/>
    <w:rPr>
      <w:rFonts w:eastAsiaTheme="minorEastAsia"/>
      <w:b/>
      <w:i/>
      <w:color w:val="FFFFFF" w:themeColor="background1"/>
      <w:sz w:val="20"/>
      <w:szCs w:val="20"/>
      <w:shd w:val="clear" w:color="auto" w:fill="ED7D31" w:themeFill="accent2"/>
    </w:rPr>
  </w:style>
  <w:style w:type="character" w:styleId="SubtleEmphasis">
    <w:name w:val="Subtle Emphasis"/>
    <w:uiPriority w:val="19"/>
    <w:qFormat/>
    <w:rsid w:val="00D17493"/>
    <w:rPr>
      <w:i/>
    </w:rPr>
  </w:style>
  <w:style w:type="character" w:styleId="IntenseEmphasis">
    <w:name w:val="Intense Emphasis"/>
    <w:uiPriority w:val="21"/>
    <w:qFormat/>
    <w:rsid w:val="00D17493"/>
    <w:rPr>
      <w:b/>
      <w:i/>
      <w:color w:val="ED7D31" w:themeColor="accent2"/>
      <w:spacing w:val="10"/>
    </w:rPr>
  </w:style>
  <w:style w:type="character" w:styleId="SubtleReference">
    <w:name w:val="Subtle Reference"/>
    <w:uiPriority w:val="31"/>
    <w:qFormat/>
    <w:rsid w:val="00D17493"/>
    <w:rPr>
      <w:b/>
    </w:rPr>
  </w:style>
  <w:style w:type="character" w:styleId="IntenseReference">
    <w:name w:val="Intense Reference"/>
    <w:uiPriority w:val="32"/>
    <w:qFormat/>
    <w:rsid w:val="00D17493"/>
    <w:rPr>
      <w:b/>
      <w:bCs/>
      <w:smallCaps/>
      <w:spacing w:val="5"/>
      <w:sz w:val="22"/>
      <w:szCs w:val="22"/>
      <w:u w:val="single"/>
    </w:rPr>
  </w:style>
  <w:style w:type="character" w:styleId="BookTitle">
    <w:name w:val="Book Title"/>
    <w:uiPriority w:val="33"/>
    <w:qFormat/>
    <w:rsid w:val="00D17493"/>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D17493"/>
    <w:pPr>
      <w:outlineLvl w:val="9"/>
    </w:pPr>
    <w:rPr>
      <w:lang w:bidi="en-US"/>
    </w:rPr>
  </w:style>
  <w:style w:type="paragraph" w:styleId="TOC1">
    <w:name w:val="toc 1"/>
    <w:basedOn w:val="Normal"/>
    <w:next w:val="Normal"/>
    <w:autoRedefine/>
    <w:uiPriority w:val="39"/>
    <w:unhideWhenUsed/>
    <w:rsid w:val="00D17493"/>
    <w:pPr>
      <w:spacing w:after="100"/>
    </w:pPr>
  </w:style>
  <w:style w:type="paragraph" w:styleId="BalloonText">
    <w:name w:val="Balloon Text"/>
    <w:basedOn w:val="Normal"/>
    <w:link w:val="BalloonTextChar"/>
    <w:uiPriority w:val="99"/>
    <w:semiHidden/>
    <w:unhideWhenUsed/>
    <w:rsid w:val="00D17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493"/>
    <w:rPr>
      <w:rFonts w:ascii="Tahoma" w:eastAsiaTheme="minorEastAsia" w:hAnsi="Tahoma" w:cs="Tahoma"/>
      <w:sz w:val="16"/>
      <w:szCs w:val="16"/>
    </w:rPr>
  </w:style>
  <w:style w:type="character" w:customStyle="1" w:styleId="Hyperlink1">
    <w:name w:val="Hyperlink1"/>
    <w:basedOn w:val="DefaultParagraphFont"/>
    <w:rsid w:val="00D17493"/>
  </w:style>
  <w:style w:type="paragraph" w:styleId="TOC2">
    <w:name w:val="toc 2"/>
    <w:basedOn w:val="Normal"/>
    <w:next w:val="Normal"/>
    <w:autoRedefine/>
    <w:uiPriority w:val="39"/>
    <w:unhideWhenUsed/>
    <w:rsid w:val="00D17493"/>
    <w:pPr>
      <w:spacing w:after="100"/>
      <w:ind w:left="200"/>
    </w:pPr>
  </w:style>
  <w:style w:type="character" w:styleId="CommentReference">
    <w:name w:val="annotation reference"/>
    <w:basedOn w:val="DefaultParagraphFont"/>
    <w:uiPriority w:val="99"/>
    <w:semiHidden/>
    <w:unhideWhenUsed/>
    <w:rsid w:val="00D17493"/>
    <w:rPr>
      <w:sz w:val="16"/>
      <w:szCs w:val="16"/>
    </w:rPr>
  </w:style>
  <w:style w:type="paragraph" w:styleId="CommentSubject">
    <w:name w:val="annotation subject"/>
    <w:basedOn w:val="CommentText"/>
    <w:next w:val="CommentText"/>
    <w:link w:val="CommentSubjectChar"/>
    <w:uiPriority w:val="99"/>
    <w:semiHidden/>
    <w:unhideWhenUsed/>
    <w:rsid w:val="00D17493"/>
    <w:pPr>
      <w:spacing w:line="240" w:lineRule="auto"/>
    </w:pPr>
    <w:rPr>
      <w:b/>
      <w:bCs/>
    </w:rPr>
  </w:style>
  <w:style w:type="character" w:customStyle="1" w:styleId="CommentSubjectChar">
    <w:name w:val="Comment Subject Char"/>
    <w:basedOn w:val="CommentTextChar"/>
    <w:link w:val="CommentSubject"/>
    <w:uiPriority w:val="99"/>
    <w:semiHidden/>
    <w:rsid w:val="00D17493"/>
    <w:rPr>
      <w:rFonts w:eastAsiaTheme="minorEastAsia"/>
      <w:b/>
      <w:bCs/>
      <w:sz w:val="20"/>
      <w:szCs w:val="20"/>
    </w:rPr>
  </w:style>
  <w:style w:type="character" w:customStyle="1" w:styleId="ListParagraphChar">
    <w:name w:val="List Paragraph Char"/>
    <w:basedOn w:val="DefaultParagraphFont"/>
    <w:link w:val="ListParagraph"/>
    <w:uiPriority w:val="34"/>
    <w:rsid w:val="00D17493"/>
    <w:rPr>
      <w:rFonts w:eastAsiaTheme="minorEastAsia"/>
      <w:sz w:val="20"/>
      <w:szCs w:val="20"/>
    </w:rPr>
  </w:style>
  <w:style w:type="character" w:customStyle="1" w:styleId="sf8bfa2bc">
    <w:name w:val="sf8bfa2bc"/>
    <w:basedOn w:val="DefaultParagraphFont"/>
    <w:rsid w:val="00D17493"/>
  </w:style>
  <w:style w:type="paragraph" w:customStyle="1" w:styleId="s30eec3f8">
    <w:name w:val="s30eec3f8"/>
    <w:basedOn w:val="Normal"/>
    <w:rsid w:val="00D1749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wordhighlighted">
    <w:name w:val="wordhighlighted"/>
    <w:basedOn w:val="DefaultParagraphFont"/>
    <w:rsid w:val="00D17493"/>
  </w:style>
  <w:style w:type="paragraph" w:styleId="TOC3">
    <w:name w:val="toc 3"/>
    <w:basedOn w:val="Normal"/>
    <w:next w:val="Normal"/>
    <w:autoRedefine/>
    <w:uiPriority w:val="39"/>
    <w:unhideWhenUsed/>
    <w:rsid w:val="00D17493"/>
    <w:pPr>
      <w:spacing w:after="100"/>
      <w:ind w:left="400"/>
    </w:pPr>
  </w:style>
  <w:style w:type="paragraph" w:styleId="Header">
    <w:name w:val="header"/>
    <w:basedOn w:val="Normal"/>
    <w:link w:val="HeaderChar"/>
    <w:uiPriority w:val="99"/>
    <w:unhideWhenUsed/>
    <w:rsid w:val="00D17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493"/>
    <w:rPr>
      <w:rFonts w:eastAsiaTheme="minorEastAsia"/>
      <w:sz w:val="20"/>
      <w:szCs w:val="20"/>
    </w:rPr>
  </w:style>
  <w:style w:type="paragraph" w:styleId="Footer">
    <w:name w:val="footer"/>
    <w:basedOn w:val="Normal"/>
    <w:link w:val="FooterChar"/>
    <w:uiPriority w:val="99"/>
    <w:unhideWhenUsed/>
    <w:rsid w:val="00D17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493"/>
    <w:rPr>
      <w:rFonts w:eastAsiaTheme="minorEastAsia"/>
      <w:sz w:val="20"/>
      <w:szCs w:val="20"/>
    </w:rPr>
  </w:style>
  <w:style w:type="character" w:customStyle="1" w:styleId="UnresolvedMention1">
    <w:name w:val="Unresolved Mention1"/>
    <w:basedOn w:val="DefaultParagraphFont"/>
    <w:uiPriority w:val="99"/>
    <w:semiHidden/>
    <w:unhideWhenUsed/>
    <w:rsid w:val="00B73F53"/>
    <w:rPr>
      <w:color w:val="605E5C"/>
      <w:shd w:val="clear" w:color="auto" w:fill="E1DFDD"/>
    </w:rPr>
  </w:style>
  <w:style w:type="paragraph" w:styleId="Revision">
    <w:name w:val="Revision"/>
    <w:hidden/>
    <w:uiPriority w:val="99"/>
    <w:semiHidden/>
    <w:rsid w:val="00226CFF"/>
    <w:pPr>
      <w:spacing w:after="0" w:line="240" w:lineRule="auto"/>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622898">
      <w:bodyDiv w:val="1"/>
      <w:marLeft w:val="0"/>
      <w:marRight w:val="0"/>
      <w:marTop w:val="0"/>
      <w:marBottom w:val="0"/>
      <w:divBdr>
        <w:top w:val="none" w:sz="0" w:space="0" w:color="auto"/>
        <w:left w:val="none" w:sz="0" w:space="0" w:color="auto"/>
        <w:bottom w:val="none" w:sz="0" w:space="0" w:color="auto"/>
        <w:right w:val="none" w:sz="0" w:space="0" w:color="auto"/>
      </w:divBdr>
      <w:divsChild>
        <w:div w:id="202520616">
          <w:marLeft w:val="0"/>
          <w:marRight w:val="0"/>
          <w:marTop w:val="0"/>
          <w:marBottom w:val="0"/>
          <w:divBdr>
            <w:top w:val="none" w:sz="0" w:space="0" w:color="auto"/>
            <w:left w:val="none" w:sz="0" w:space="0" w:color="auto"/>
            <w:bottom w:val="none" w:sz="0" w:space="0" w:color="auto"/>
            <w:right w:val="none" w:sz="0" w:space="0" w:color="auto"/>
          </w:divBdr>
        </w:div>
      </w:divsChild>
    </w:div>
    <w:div w:id="1793749845">
      <w:bodyDiv w:val="1"/>
      <w:marLeft w:val="0"/>
      <w:marRight w:val="0"/>
      <w:marTop w:val="0"/>
      <w:marBottom w:val="0"/>
      <w:divBdr>
        <w:top w:val="none" w:sz="0" w:space="0" w:color="auto"/>
        <w:left w:val="none" w:sz="0" w:space="0" w:color="auto"/>
        <w:bottom w:val="none" w:sz="0" w:space="0" w:color="auto"/>
        <w:right w:val="none" w:sz="0" w:space="0" w:color="auto"/>
      </w:divBdr>
      <w:divsChild>
        <w:div w:id="473909332">
          <w:marLeft w:val="0"/>
          <w:marRight w:val="0"/>
          <w:marTop w:val="0"/>
          <w:marBottom w:val="0"/>
          <w:divBdr>
            <w:top w:val="none" w:sz="0" w:space="0" w:color="auto"/>
            <w:left w:val="none" w:sz="0" w:space="0" w:color="auto"/>
            <w:bottom w:val="none" w:sz="0" w:space="0" w:color="auto"/>
            <w:right w:val="none" w:sz="0" w:space="0" w:color="auto"/>
          </w:divBdr>
        </w:div>
      </w:divsChild>
    </w:div>
    <w:div w:id="19274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DC86-0E85-493F-9AD9-54771365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7396</Words>
  <Characters>42162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NNRQ</dc:creator>
  <cp:lastModifiedBy>NNRQ</cp:lastModifiedBy>
  <cp:revision>4</cp:revision>
  <cp:lastPrinted>2018-12-20T11:35:00Z</cp:lastPrinted>
  <dcterms:created xsi:type="dcterms:W3CDTF">2018-12-20T11:35:00Z</dcterms:created>
  <dcterms:modified xsi:type="dcterms:W3CDTF">2018-12-20T14:13:00Z</dcterms:modified>
</cp:coreProperties>
</file>