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973A9" w14:textId="28462239" w:rsidR="001A3109" w:rsidRDefault="008D02DB" w:rsidP="00537D64">
      <w:pPr>
        <w:pStyle w:val="Title"/>
      </w:pPr>
      <w:r>
        <w:rPr>
          <w:color w:val="1F497D"/>
        </w:rPr>
        <w:t>Li</w:t>
      </w:r>
      <w:r w:rsidR="00E13035">
        <w:rPr>
          <w:color w:val="1F497D"/>
        </w:rPr>
        <w:t>mited</w:t>
      </w:r>
      <w:r>
        <w:rPr>
          <w:color w:val="1F497D"/>
        </w:rPr>
        <w:t xml:space="preserve"> evidence for servitization in UK Publishing: an empirical analysis</w:t>
      </w:r>
    </w:p>
    <w:p w14:paraId="0FE291FE" w14:textId="77777777" w:rsidR="00CB190A" w:rsidRDefault="00CB190A" w:rsidP="00537D64">
      <w:pPr>
        <w:rPr>
          <w:rStyle w:val="Strong"/>
        </w:rPr>
      </w:pPr>
    </w:p>
    <w:p w14:paraId="6A76DE5A" w14:textId="6D9F35DF" w:rsidR="00277F63" w:rsidRDefault="001902F1" w:rsidP="00537D64">
      <w:pPr>
        <w:rPr>
          <w:rStyle w:val="Strong"/>
          <w:vertAlign w:val="superscript"/>
        </w:rPr>
      </w:pPr>
      <w:r w:rsidRPr="00D10BBD">
        <w:rPr>
          <w:rStyle w:val="Strong"/>
        </w:rPr>
        <w:t>Alexander A. Kharlamov</w:t>
      </w:r>
      <w:r>
        <w:rPr>
          <w:rStyle w:val="Strong"/>
        </w:rPr>
        <w:t xml:space="preserve">, </w:t>
      </w:r>
      <w:r w:rsidRPr="00D10BBD">
        <w:rPr>
          <w:rStyle w:val="Strong"/>
        </w:rPr>
        <w:t>Glenn Parry</w:t>
      </w:r>
      <w:r w:rsidR="00CB190A">
        <w:rPr>
          <w:rStyle w:val="Strong"/>
          <w:vertAlign w:val="superscript"/>
        </w:rPr>
        <w:t>*</w:t>
      </w:r>
    </w:p>
    <w:p w14:paraId="2D609B3B" w14:textId="77777777" w:rsidR="00CB190A" w:rsidRPr="00CB190A" w:rsidRDefault="00CB190A" w:rsidP="00CB190A">
      <w:pPr>
        <w:spacing w:after="0"/>
      </w:pPr>
      <w:r w:rsidRPr="00CB190A">
        <w:t>Faculty of Business &amp; Law</w:t>
      </w:r>
    </w:p>
    <w:p w14:paraId="70294DF9" w14:textId="77777777" w:rsidR="00CB190A" w:rsidRPr="00CB190A" w:rsidRDefault="00CB190A" w:rsidP="00CB190A">
      <w:pPr>
        <w:spacing w:after="0"/>
      </w:pPr>
      <w:r w:rsidRPr="00CB190A">
        <w:t>UWE Frenchay Campus</w:t>
      </w:r>
    </w:p>
    <w:p w14:paraId="746CA872" w14:textId="77777777" w:rsidR="00CB190A" w:rsidRPr="00CB190A" w:rsidRDefault="00CB190A" w:rsidP="00CB190A">
      <w:pPr>
        <w:spacing w:after="0"/>
      </w:pPr>
      <w:r w:rsidRPr="00CB190A">
        <w:t>Coldharbour Lane</w:t>
      </w:r>
    </w:p>
    <w:p w14:paraId="6CB7A1FD" w14:textId="4185161E" w:rsidR="00CB190A" w:rsidRPr="00CB190A" w:rsidRDefault="00CB190A" w:rsidP="00CB190A">
      <w:pPr>
        <w:spacing w:after="0"/>
      </w:pPr>
      <w:r w:rsidRPr="00CB190A">
        <w:t>Bristol, BS16 1QY</w:t>
      </w:r>
    </w:p>
    <w:p w14:paraId="251E841F" w14:textId="596DAE89" w:rsidR="001902F1" w:rsidRPr="00CB190A" w:rsidRDefault="00CB190A" w:rsidP="00CB190A">
      <w:pPr>
        <w:spacing w:after="0"/>
      </w:pPr>
      <w:r w:rsidRPr="00CB190A">
        <w:t>Email: glenn.parry@uwe.ac.uk</w:t>
      </w:r>
    </w:p>
    <w:p w14:paraId="30D43225" w14:textId="09EA178A" w:rsidR="00CB190A" w:rsidRDefault="00CB190A" w:rsidP="00CB190A">
      <w:pPr>
        <w:spacing w:after="0"/>
      </w:pPr>
      <w:r w:rsidRPr="00CB190A">
        <w:t>Email: Alex.Kharlamov@uwe.ac.uk</w:t>
      </w:r>
    </w:p>
    <w:p w14:paraId="0B3ED40B" w14:textId="3D058876" w:rsidR="00CB190A" w:rsidRPr="00CB190A" w:rsidRDefault="00CB190A" w:rsidP="00CB190A">
      <w:pPr>
        <w:spacing w:after="0"/>
      </w:pPr>
      <w:r>
        <w:t>*Corresponding author</w:t>
      </w:r>
    </w:p>
    <w:p w14:paraId="236ADCAA" w14:textId="77777777" w:rsidR="00CB190A" w:rsidRDefault="00CB190A" w:rsidP="00537D64">
      <w:pPr>
        <w:rPr>
          <w:rStyle w:val="Strong"/>
        </w:rPr>
      </w:pPr>
    </w:p>
    <w:p w14:paraId="6D3D193B" w14:textId="68CD34AE" w:rsidR="00537D64" w:rsidRPr="0083035E" w:rsidRDefault="0083035E" w:rsidP="00537D64">
      <w:pPr>
        <w:rPr>
          <w:rStyle w:val="Strong"/>
        </w:rPr>
      </w:pPr>
      <w:r w:rsidRPr="0083035E">
        <w:rPr>
          <w:rStyle w:val="Strong"/>
        </w:rPr>
        <w:t>Abstract</w:t>
      </w:r>
    </w:p>
    <w:p w14:paraId="5BFDD3E8" w14:textId="0FD01D32" w:rsidR="00FD08C9" w:rsidRDefault="0083035E" w:rsidP="0083035E">
      <w:r w:rsidRPr="00D10BBD">
        <w:t>Servitization is a strategic transition of firms towards the creation of additional value through services.</w:t>
      </w:r>
      <w:r w:rsidR="00541FD9">
        <w:t xml:space="preserve"> In this study</w:t>
      </w:r>
      <w:r w:rsidRPr="00D10BBD">
        <w:t xml:space="preserve"> we adopt a data-driven approach</w:t>
      </w:r>
      <w:r w:rsidR="008D02DB">
        <w:t xml:space="preserve"> and</w:t>
      </w:r>
      <w:r w:rsidRPr="00D10BBD">
        <w:t xml:space="preserve"> assume that company activity descriptions are representative of their activity and partly reflect the adopted strategy. We hypothesise that if there is a trend of traditional publishing </w:t>
      </w:r>
      <w:r w:rsidR="00541FD9">
        <w:t>firms adopting</w:t>
      </w:r>
      <w:r w:rsidRPr="00D10BBD">
        <w:t xml:space="preserve"> </w:t>
      </w:r>
      <w:r w:rsidR="00541FD9" w:rsidRPr="00D10BBD">
        <w:t>servitization strategies</w:t>
      </w:r>
      <w:r w:rsidRPr="00D10BBD">
        <w:t xml:space="preserve">, </w:t>
      </w:r>
      <w:r w:rsidR="00541FD9">
        <w:t>this</w:t>
      </w:r>
      <w:r w:rsidRPr="00D10BBD">
        <w:t xml:space="preserve"> should emerge from textual analysis of company descriptors. Relying on data-driven analysis of publicly available company information for </w:t>
      </w:r>
      <w:r w:rsidR="005E0280">
        <w:t>UK and Ireland</w:t>
      </w:r>
      <w:r w:rsidR="00764476">
        <w:t>,</w:t>
      </w:r>
      <w:r w:rsidRPr="00D10BBD">
        <w:t xml:space="preserve"> we find no significant </w:t>
      </w:r>
      <w:r w:rsidR="008D02DB">
        <w:t xml:space="preserve">evidence of strategic diversity as a </w:t>
      </w:r>
      <w:r w:rsidRPr="00D10BBD">
        <w:t xml:space="preserve">single group emerges from diverse clustering methods. Our results show </w:t>
      </w:r>
      <w:r w:rsidR="008D02DB" w:rsidRPr="00D10BBD">
        <w:t>either that</w:t>
      </w:r>
      <w:r w:rsidRPr="00D10BBD">
        <w:t xml:space="preserve"> the publicly available dataset is not representative of the publishing strategy in industry or that there is no real evidence of servitization in the publishing sector. Implications for theory and for industry are discussed.</w:t>
      </w:r>
    </w:p>
    <w:p w14:paraId="33B765A4" w14:textId="77777777" w:rsidR="00277F63" w:rsidRDefault="00277F63"/>
    <w:p w14:paraId="11D333B8" w14:textId="2991D9FE" w:rsidR="00E26250" w:rsidRDefault="00277F63">
      <w:r w:rsidRPr="00277F63">
        <w:rPr>
          <w:b/>
        </w:rPr>
        <w:t>Keywords</w:t>
      </w:r>
      <w:r>
        <w:rPr>
          <w:b/>
        </w:rPr>
        <w:t xml:space="preserve">: </w:t>
      </w:r>
      <w:r w:rsidRPr="00277F63">
        <w:t>Servitization,</w:t>
      </w:r>
      <w:r w:rsidR="000D0730">
        <w:t xml:space="preserve"> </w:t>
      </w:r>
      <w:r w:rsidRPr="00277F63">
        <w:t>publishing</w:t>
      </w:r>
      <w:r w:rsidR="00CB190A">
        <w:t>,</w:t>
      </w:r>
      <w:r w:rsidRPr="00277F63">
        <w:t xml:space="preserve"> </w:t>
      </w:r>
      <w:r w:rsidR="00CB190A">
        <w:t>m</w:t>
      </w:r>
      <w:r w:rsidRPr="00277F63">
        <w:t xml:space="preserve">anufacturing, service, servitization, product-service systems, value added, </w:t>
      </w:r>
      <w:r>
        <w:t>unsupervise</w:t>
      </w:r>
      <w:r w:rsidR="00666E68">
        <w:t>d</w:t>
      </w:r>
    </w:p>
    <w:p w14:paraId="2F975E90" w14:textId="134DA230" w:rsidR="00E26250" w:rsidRDefault="00CB190A" w:rsidP="00CB190A">
      <w:r w:rsidRPr="00CB190A">
        <w:rPr>
          <w:b/>
        </w:rPr>
        <w:t>Reference to this paper should be made as follows</w:t>
      </w:r>
      <w:r>
        <w:t>:</w:t>
      </w:r>
      <w:r w:rsidRPr="00CB190A">
        <w:t xml:space="preserve"> </w:t>
      </w:r>
      <w:r w:rsidRPr="00CB190A">
        <w:rPr>
          <w:i/>
        </w:rPr>
        <w:t xml:space="preserve">At </w:t>
      </w:r>
      <w:r>
        <w:rPr>
          <w:i/>
        </w:rPr>
        <w:t>p</w:t>
      </w:r>
      <w:r w:rsidRPr="00CB190A">
        <w:rPr>
          <w:i/>
        </w:rPr>
        <w:t xml:space="preserve">ress - </w:t>
      </w:r>
      <w:r w:rsidR="002A65AB">
        <w:t>Kharlamov</w:t>
      </w:r>
      <w:bookmarkStart w:id="0" w:name="_GoBack"/>
      <w:bookmarkEnd w:id="0"/>
      <w:r>
        <w:t>, A.A. and Parry, G.C., (2019) ‘</w:t>
      </w:r>
      <w:r w:rsidRPr="00CB190A">
        <w:t>Limited evidence for servitization in UK Publishing: an empirical analysis</w:t>
      </w:r>
      <w:r>
        <w:t xml:space="preserve">’, Int. J. Business Environment, Vol. x, No. x, pp.x–x. </w:t>
      </w:r>
    </w:p>
    <w:p w14:paraId="32D23EEC" w14:textId="77777777" w:rsidR="00A94D61" w:rsidRDefault="00E26250" w:rsidP="00A94D61">
      <w:pPr>
        <w:rPr>
          <w:sz w:val="22"/>
          <w:szCs w:val="22"/>
        </w:rPr>
      </w:pPr>
      <w:r w:rsidRPr="00291BD9">
        <w:rPr>
          <w:b/>
        </w:rPr>
        <w:t>Acknowledgement</w:t>
      </w:r>
      <w:r>
        <w:rPr>
          <w:b/>
        </w:rPr>
        <w:t>:</w:t>
      </w:r>
      <w:r w:rsidR="00A94D61">
        <w:rPr>
          <w:b/>
        </w:rPr>
        <w:t xml:space="preserve"> </w:t>
      </w:r>
      <w:r w:rsidR="00A94D61">
        <w:t xml:space="preserve">The authors gratefully acknowledge the funding contribution of the Engineering and Physical Sciences Research Council (UK) to the Control and Trust as Moderating Mechanisms in addressing Vulnerability for the Design of Business and Economic Models (ConTriVE) project, grant reference EP/N028422/1; Dynamic, Real time, On-demand Personalisation for Scaling (DROPS) grant reference EP/R033374/1;  and to </w:t>
      </w:r>
      <w:r w:rsidR="00A94D61" w:rsidRPr="00E26539">
        <w:t xml:space="preserve">Designing the Future: Resilient Trans-Disciplinary Design Engineers (TREND) </w:t>
      </w:r>
      <w:r w:rsidR="00A94D61">
        <w:t xml:space="preserve">grant reference EP/R013179/1, which have contributed substantially to the research conducted and the writing of this paper. </w:t>
      </w:r>
    </w:p>
    <w:p w14:paraId="1DC30FCF" w14:textId="56035F63" w:rsidR="00FD08C9" w:rsidRPr="00E26539" w:rsidRDefault="00FD08C9">
      <w:pPr>
        <w:rPr>
          <w:b/>
        </w:rPr>
      </w:pPr>
      <w:r w:rsidRPr="00E26539">
        <w:rPr>
          <w:b/>
        </w:rPr>
        <w:br w:type="page"/>
      </w:r>
    </w:p>
    <w:p w14:paraId="16C2532A" w14:textId="77777777" w:rsidR="00E26250" w:rsidRPr="00277F63" w:rsidRDefault="00E26250">
      <w:pPr>
        <w:rPr>
          <w:b/>
        </w:rPr>
      </w:pPr>
    </w:p>
    <w:p w14:paraId="5F4239C3" w14:textId="77777777" w:rsidR="00540AB1" w:rsidRDefault="00540AB1" w:rsidP="00540AB1">
      <w:pPr>
        <w:pStyle w:val="Heading1"/>
      </w:pPr>
      <w:r>
        <w:t>Introduction</w:t>
      </w:r>
    </w:p>
    <w:p w14:paraId="0AAEC536" w14:textId="5745E46F" w:rsidR="00540AB1" w:rsidRDefault="00540AB1" w:rsidP="00E26539">
      <w:r>
        <w:t>Competing purely on costs, quality and technology is becoming more difficult to sustain (Mathieu, 2001</w:t>
      </w:r>
      <w:r w:rsidR="005650E6">
        <w:t>; Vendrell-Herrero et al., 2017</w:t>
      </w:r>
      <w:r>
        <w:t xml:space="preserve">). </w:t>
      </w:r>
      <w:r w:rsidR="00541FD9">
        <w:t>A number of m</w:t>
      </w:r>
      <w:r>
        <w:t xml:space="preserve">anufacturing firms are </w:t>
      </w:r>
      <w:r w:rsidR="00541FD9">
        <w:t>adopting strategies</w:t>
      </w:r>
      <w:r>
        <w:t xml:space="preserve"> to create additional value from existing core business by offering services (</w:t>
      </w:r>
      <w:r w:rsidR="004A3762">
        <w:t xml:space="preserve">Wise and Baumgartner, </w:t>
      </w:r>
      <w:r w:rsidR="004A3762" w:rsidRPr="00180A6A">
        <w:t>1999</w:t>
      </w:r>
      <w:r w:rsidR="004A3762">
        <w:t xml:space="preserve">; </w:t>
      </w:r>
      <w:r>
        <w:t>Neely, 2008</w:t>
      </w:r>
      <w:r w:rsidR="00ED6D63">
        <w:t>;</w:t>
      </w:r>
      <w:r w:rsidR="00D73052">
        <w:t xml:space="preserve"> Rebetino et al. 2018</w:t>
      </w:r>
      <w:r w:rsidR="005650E6">
        <w:t xml:space="preserve">; Kohtamaki et al., </w:t>
      </w:r>
      <w:r w:rsidR="005650E6" w:rsidRPr="005650E6">
        <w:t>2018</w:t>
      </w:r>
      <w:r>
        <w:t>).</w:t>
      </w:r>
      <w:r w:rsidRPr="00540AB1">
        <w:t xml:space="preserve"> </w:t>
      </w:r>
      <w:r>
        <w:t xml:space="preserve">Named ‘servitization’, the move is a phenomenologically observed strategic transition by firms seeking to create additional value through services, usually as additional </w:t>
      </w:r>
      <w:r w:rsidR="00541FD9">
        <w:t>o</w:t>
      </w:r>
      <w:r>
        <w:t xml:space="preserve">ffers </w:t>
      </w:r>
      <w:r w:rsidR="00541FD9">
        <w:t xml:space="preserve">that complement </w:t>
      </w:r>
      <w:r>
        <w:t>core-products</w:t>
      </w:r>
      <w:r w:rsidRPr="009C194B">
        <w:t xml:space="preserve"> </w:t>
      </w:r>
      <w:r>
        <w:t>(Vandermerwe and Rada, 1988</w:t>
      </w:r>
      <w:r w:rsidR="005650E6">
        <w:t>; Lightfoot, et al.,</w:t>
      </w:r>
      <w:r w:rsidR="005650E6" w:rsidRPr="005650E6">
        <w:t xml:space="preserve"> 2013</w:t>
      </w:r>
      <w:r w:rsidR="00ED6D63">
        <w:t>; Peillon et al., 2015</w:t>
      </w:r>
      <w:r>
        <w:t xml:space="preserve">). </w:t>
      </w:r>
    </w:p>
    <w:p w14:paraId="6DD05426" w14:textId="134ACB91" w:rsidR="002B78CF" w:rsidRDefault="00541FD9" w:rsidP="00540AB1">
      <w:r>
        <w:t>T</w:t>
      </w:r>
      <w:r w:rsidR="00540AB1">
        <w:t xml:space="preserve">here is a </w:t>
      </w:r>
      <w:r>
        <w:t>c</w:t>
      </w:r>
      <w:r w:rsidR="00540AB1">
        <w:t xml:space="preserve">omplex relationship between the integration of </w:t>
      </w:r>
      <w:r>
        <w:t>a</w:t>
      </w:r>
      <w:r w:rsidR="00540AB1">
        <w:t xml:space="preserve"> firm’s core-products and </w:t>
      </w:r>
      <w:r>
        <w:t xml:space="preserve">their </w:t>
      </w:r>
      <w:r w:rsidR="00540AB1">
        <w:t xml:space="preserve">customer-oriented services, and </w:t>
      </w:r>
      <w:r>
        <w:t xml:space="preserve">understanding is still developing on </w:t>
      </w:r>
      <w:r w:rsidR="00540AB1">
        <w:t xml:space="preserve">how they generate additional value </w:t>
      </w:r>
      <w:r>
        <w:t xml:space="preserve">together </w:t>
      </w:r>
      <w:r w:rsidR="00540AB1">
        <w:t>(Vandermerwe and Rada, 1988</w:t>
      </w:r>
      <w:r w:rsidR="004A3762">
        <w:t xml:space="preserve">; </w:t>
      </w:r>
      <w:r w:rsidR="004A3762" w:rsidRPr="00180A6A">
        <w:t>Visnjic and Van Looy</w:t>
      </w:r>
      <w:r w:rsidR="004A3762">
        <w:t xml:space="preserve">, </w:t>
      </w:r>
      <w:r w:rsidR="004A3762" w:rsidRPr="00180A6A">
        <w:t>2013</w:t>
      </w:r>
      <w:r w:rsidR="00ED6D63">
        <w:t>;</w:t>
      </w:r>
      <w:r w:rsidR="00D73052">
        <w:t xml:space="preserve"> Rebetino et al. 2018</w:t>
      </w:r>
      <w:r w:rsidR="00ED6D63">
        <w:t>;</w:t>
      </w:r>
      <w:r w:rsidR="00D73052">
        <w:t xml:space="preserve"> </w:t>
      </w:r>
      <w:r w:rsidR="00ED6D63">
        <w:t xml:space="preserve">Bustinza et al., 2018; </w:t>
      </w:r>
      <w:r w:rsidR="00D73052">
        <w:t>Leoni 2019</w:t>
      </w:r>
      <w:r w:rsidR="00540AB1">
        <w:t>).</w:t>
      </w:r>
      <w:r w:rsidR="00540AB1" w:rsidRPr="00540AB1">
        <w:t xml:space="preserve"> </w:t>
      </w:r>
      <w:r>
        <w:t>In truth, c</w:t>
      </w:r>
      <w:r w:rsidR="00540AB1">
        <w:t xml:space="preserve">onsumers are not interested in products or services, but rather the service that a resource renders and the </w:t>
      </w:r>
      <w:r>
        <w:t xml:space="preserve">related </w:t>
      </w:r>
      <w:r w:rsidR="00540AB1">
        <w:t>experience they gain</w:t>
      </w:r>
      <w:r>
        <w:t xml:space="preserve"> from interaction</w:t>
      </w:r>
      <w:r w:rsidR="00540AB1">
        <w:t xml:space="preserve"> (Vargo and Lusch, 2004).</w:t>
      </w:r>
    </w:p>
    <w:p w14:paraId="6C392419" w14:textId="0FA6D6DE" w:rsidR="004C490C" w:rsidRDefault="00540AB1" w:rsidP="001F5FDF">
      <w:r>
        <w:t xml:space="preserve">Servitization </w:t>
      </w:r>
      <w:r w:rsidR="00541FD9">
        <w:t>occurs in numerous</w:t>
      </w:r>
      <w:r>
        <w:t xml:space="preserve"> industries</w:t>
      </w:r>
      <w:r w:rsidR="001F5FDF">
        <w:t xml:space="preserve"> and this paper focus</w:t>
      </w:r>
      <w:r w:rsidR="00541FD9">
        <w:t>es</w:t>
      </w:r>
      <w:r w:rsidR="001F5FDF">
        <w:t xml:space="preserve"> </w:t>
      </w:r>
      <w:r w:rsidR="00541FD9">
        <w:t>o</w:t>
      </w:r>
      <w:r w:rsidR="001F5FDF">
        <w:t xml:space="preserve">n book publishing. </w:t>
      </w:r>
      <w:r w:rsidR="00541FD9">
        <w:t xml:space="preserve">The publishing market sector retains pure manufacture in the form of physical printed product, and has firms offering a broad spectrum of digital and service offers both business-to-business and business to consumer. </w:t>
      </w:r>
      <w:r w:rsidR="001F5FDF">
        <w:t>Publishers have been studied previously (</w:t>
      </w:r>
      <w:r w:rsidR="001F5FDF" w:rsidRPr="00180A6A">
        <w:t xml:space="preserve">Tian </w:t>
      </w:r>
      <w:r w:rsidR="001F5FDF" w:rsidRPr="00180A6A">
        <w:rPr>
          <w:i/>
        </w:rPr>
        <w:t xml:space="preserve">et al., </w:t>
      </w:r>
      <w:r w:rsidR="001F5FDF" w:rsidRPr="00180A6A">
        <w:t>2008</w:t>
      </w:r>
      <w:r w:rsidR="001F5FDF">
        <w:t xml:space="preserve">; </w:t>
      </w:r>
      <w:r w:rsidR="001F5FDF" w:rsidRPr="00180A6A">
        <w:t xml:space="preserve">Tian and Martin, 2011; Viljakainen </w:t>
      </w:r>
      <w:r w:rsidR="001F5FDF">
        <w:rPr>
          <w:i/>
        </w:rPr>
        <w:t xml:space="preserve">et al., </w:t>
      </w:r>
      <w:r w:rsidR="001F5FDF" w:rsidRPr="00180A6A">
        <w:t>2013</w:t>
      </w:r>
      <w:r w:rsidR="001F5FDF">
        <w:t xml:space="preserve">; </w:t>
      </w:r>
      <w:r w:rsidR="001F5FDF" w:rsidRPr="00180A6A">
        <w:t>Øiestad and Bugge, 2014</w:t>
      </w:r>
      <w:r w:rsidR="001F5FDF">
        <w:t xml:space="preserve">; Viljakainen and Toivonen, </w:t>
      </w:r>
      <w:r w:rsidR="001F5FDF" w:rsidRPr="00180A6A">
        <w:t>2014</w:t>
      </w:r>
      <w:r w:rsidR="001F5FDF">
        <w:t>;</w:t>
      </w:r>
      <w:r w:rsidR="001F5FDF" w:rsidRPr="00180A6A">
        <w:t xml:space="preserve"> </w:t>
      </w:r>
      <w:r w:rsidR="001F5FDF">
        <w:t xml:space="preserve">Vendrell-Herrero et al., 2017). </w:t>
      </w:r>
    </w:p>
    <w:p w14:paraId="672ABB4E" w14:textId="77777777" w:rsidR="00BB19F2" w:rsidRDefault="001F5FDF" w:rsidP="004C490C">
      <w:r>
        <w:t>Specifically, this study builds on the work o</w:t>
      </w:r>
      <w:r w:rsidRPr="00E10F5F">
        <w:t>f Kharlamov and Parry (2019) wh</w:t>
      </w:r>
      <w:r>
        <w:t xml:space="preserve">o used textual analysis of company descriptors linked to financial data to examine the structure of the book publishing market in the UK. </w:t>
      </w:r>
      <w:r w:rsidR="004C490C">
        <w:t xml:space="preserve">Kharlamov and Parry (2019) employ a positivist approach to the research </w:t>
      </w:r>
      <w:r w:rsidR="00C63221">
        <w:t>of servitization. The method employed</w:t>
      </w:r>
      <w:r w:rsidR="004C490C">
        <w:t xml:space="preserve"> supervised </w:t>
      </w:r>
      <w:r w:rsidR="00C63221">
        <w:t xml:space="preserve">analysis of </w:t>
      </w:r>
      <w:r w:rsidR="00281FA3">
        <w:t>textual descriptors of companies</w:t>
      </w:r>
      <w:r w:rsidR="00C63221">
        <w:t xml:space="preserve">, where </w:t>
      </w:r>
      <w:r w:rsidR="003D1732">
        <w:t xml:space="preserve">researchers label </w:t>
      </w:r>
      <w:r w:rsidR="00C63221">
        <w:t xml:space="preserve">the input data used for analysis. </w:t>
      </w:r>
      <w:r w:rsidR="00281FA3">
        <w:t>B</w:t>
      </w:r>
      <w:r w:rsidR="004C490C">
        <w:t xml:space="preserve">ased on the </w:t>
      </w:r>
      <w:r w:rsidR="00281FA3">
        <w:t xml:space="preserve">analysis </w:t>
      </w:r>
      <w:r w:rsidR="004C490C">
        <w:t>UK publishers</w:t>
      </w:r>
      <w:r w:rsidR="00281FA3">
        <w:t xml:space="preserve"> were classified</w:t>
      </w:r>
      <w:r w:rsidR="004C490C">
        <w:t xml:space="preserve"> as “pure publishers” (P), “digitised publishers” (D), “servitized publishers” (S) and, “digitised and servitized publishers” (DS), extending Neely’s (2008) classification. </w:t>
      </w:r>
    </w:p>
    <w:p w14:paraId="6D6092A6" w14:textId="671370BB" w:rsidR="00540AB1" w:rsidRDefault="00BB19F2" w:rsidP="001B4D02">
      <w:r>
        <w:t>In this study we</w:t>
      </w:r>
      <w:r w:rsidR="004C490C">
        <w:t xml:space="preserve"> re</w:t>
      </w:r>
      <w:r w:rsidR="004C490C" w:rsidRPr="00E10F5F">
        <w:t xml:space="preserve">peat the </w:t>
      </w:r>
      <w:r w:rsidRPr="00E10F5F">
        <w:t xml:space="preserve">Kharlamov and Parry (2019) </w:t>
      </w:r>
      <w:r w:rsidR="004C490C" w:rsidRPr="00E10F5F">
        <w:t>study</w:t>
      </w:r>
      <w:r w:rsidR="004C490C">
        <w:t xml:space="preserve"> </w:t>
      </w:r>
      <w:r w:rsidR="00281FA3">
        <w:t>on UK publish</w:t>
      </w:r>
      <w:r>
        <w:t>ers</w:t>
      </w:r>
      <w:r w:rsidR="00281FA3">
        <w:t xml:space="preserve"> </w:t>
      </w:r>
      <w:r w:rsidR="004C490C">
        <w:t>us</w:t>
      </w:r>
      <w:r>
        <w:t>ing</w:t>
      </w:r>
      <w:r w:rsidR="004C490C">
        <w:t xml:space="preserve"> a different</w:t>
      </w:r>
      <w:r w:rsidR="00281FA3">
        <w:t>,</w:t>
      </w:r>
      <w:r w:rsidR="004C490C">
        <w:t xml:space="preserve"> </w:t>
      </w:r>
      <w:r w:rsidR="00281FA3">
        <w:t xml:space="preserve">unsupervised </w:t>
      </w:r>
      <w:r w:rsidR="004C490C">
        <w:t>methodology.</w:t>
      </w:r>
      <w:r w:rsidR="00281FA3">
        <w:t xml:space="preserve"> No labelled input data </w:t>
      </w:r>
      <w:r w:rsidR="00F0558E">
        <w:t xml:space="preserve">are </w:t>
      </w:r>
      <w:r w:rsidR="00281FA3">
        <w:t xml:space="preserve">used, but rather word pairings and similarities </w:t>
      </w:r>
      <w:r w:rsidR="001B4D02">
        <w:t>a</w:t>
      </w:r>
      <w:r w:rsidR="00281FA3">
        <w:t>re sought from the data</w:t>
      </w:r>
      <w:r w:rsidR="00B81DCA">
        <w:t xml:space="preserve">. </w:t>
      </w:r>
      <w:r w:rsidR="00B81DCA" w:rsidRPr="00B81DCA">
        <w:t>We hypothesise that if there is a trend of transitioning from traditional publishing strategies towards servitization, more than one group should emerge from textual analysis of company descriptors.</w:t>
      </w:r>
      <w:r w:rsidR="00281FA3">
        <w:t xml:space="preserve"> </w:t>
      </w:r>
      <w:r w:rsidR="003D1732">
        <w:t>The results presented here show that in</w:t>
      </w:r>
      <w:r w:rsidR="00281FA3">
        <w:t xml:space="preserve"> taking this approach no group emerges from the data. </w:t>
      </w:r>
      <w:r w:rsidR="003D1732">
        <w:t>We propose three ways to interpret our r</w:t>
      </w:r>
      <w:r w:rsidR="00281FA3">
        <w:t>esult</w:t>
      </w:r>
      <w:r w:rsidR="003D1732">
        <w:t>. (1)O</w:t>
      </w:r>
      <w:r w:rsidR="00281FA3">
        <w:t xml:space="preserve">ur research methodology </w:t>
      </w:r>
      <w:r w:rsidR="003D1732">
        <w:t xml:space="preserve">may be </w:t>
      </w:r>
      <w:r w:rsidR="00281FA3">
        <w:t xml:space="preserve">flawed </w:t>
      </w:r>
      <w:r w:rsidR="003D1732">
        <w:t xml:space="preserve">such that we are </w:t>
      </w:r>
      <w:r w:rsidR="00281FA3">
        <w:t>unable to clearly identify firms from their descriptions</w:t>
      </w:r>
      <w:r w:rsidR="003D1732">
        <w:t>. (2)</w:t>
      </w:r>
      <w:r w:rsidR="00281FA3">
        <w:t xml:space="preserve"> </w:t>
      </w:r>
      <w:r w:rsidR="003D1732">
        <w:t xml:space="preserve">The </w:t>
      </w:r>
      <w:r w:rsidR="00281FA3">
        <w:t>publically available dataset</w:t>
      </w:r>
      <w:r w:rsidR="00654D74">
        <w:t xml:space="preserve"> (the same set as used in Kharlamov &amp; Parry, 2019)</w:t>
      </w:r>
      <w:r w:rsidR="00281FA3">
        <w:t xml:space="preserve"> is not representative of the publishing industry</w:t>
      </w:r>
      <w:r w:rsidR="003D1732">
        <w:t>. (3)</w:t>
      </w:r>
      <w:r w:rsidR="00281FA3">
        <w:t xml:space="preserve"> </w:t>
      </w:r>
      <w:r w:rsidR="003D1732">
        <w:t>T</w:t>
      </w:r>
      <w:r w:rsidR="00281FA3">
        <w:t>he evidence for servitization in the publishing industry is not as strong as positivist analysis suggests.</w:t>
      </w:r>
    </w:p>
    <w:p w14:paraId="2CE6D90D" w14:textId="77777777" w:rsidR="001F5FDF" w:rsidRDefault="00BB19F2" w:rsidP="001F5FDF">
      <w:r>
        <w:t>This paper proceed</w:t>
      </w:r>
      <w:r w:rsidR="003D1732">
        <w:t>s</w:t>
      </w:r>
      <w:r>
        <w:t xml:space="preserve"> as follows. First, a literature review explains product, service, servitization, </w:t>
      </w:r>
      <w:r w:rsidR="003D1732">
        <w:t xml:space="preserve">and </w:t>
      </w:r>
      <w:r>
        <w:t>digitalisation. Examples are provided of positivist empirical studies, including our previous work. Different methodologies and their potential impacts on findings are also reviewed. The research methodology explains the unsupervised approached used in this study. Results of the research are then presented and discussed in light of the literature. The paper ends with conclusion and future work.</w:t>
      </w:r>
    </w:p>
    <w:p w14:paraId="2F218D2F" w14:textId="77777777" w:rsidR="00540AB1" w:rsidRDefault="00540AB1" w:rsidP="00540AB1">
      <w:pPr>
        <w:pStyle w:val="Heading1"/>
      </w:pPr>
      <w:r>
        <w:t>Literature</w:t>
      </w:r>
    </w:p>
    <w:p w14:paraId="35320629" w14:textId="19C7F671" w:rsidR="002C3CB7" w:rsidRDefault="002C3CB7" w:rsidP="002C3CB7">
      <w:r w:rsidRPr="00180A6A">
        <w:t xml:space="preserve">Servitization is </w:t>
      </w:r>
      <w:r w:rsidR="003D1732">
        <w:t xml:space="preserve">the name given to </w:t>
      </w:r>
      <w:r w:rsidR="00774F3A">
        <w:t>a</w:t>
      </w:r>
      <w:r w:rsidR="003D1732" w:rsidRPr="00180A6A">
        <w:t xml:space="preserve"> </w:t>
      </w:r>
      <w:r w:rsidRPr="00180A6A">
        <w:t>strategic transition a firm adopts to create additional value through services (Vandermerwe and Rada, 1988</w:t>
      </w:r>
      <w:r>
        <w:t>; Kowalkowski et al., 2017a</w:t>
      </w:r>
      <w:r w:rsidRPr="00180A6A">
        <w:t xml:space="preserve">). </w:t>
      </w:r>
      <w:r w:rsidR="0045722B">
        <w:t>M</w:t>
      </w:r>
      <w:r w:rsidRPr="00180A6A">
        <w:t xml:space="preserve">anufacturing firms </w:t>
      </w:r>
      <w:r w:rsidR="0045722B" w:rsidRPr="00180A6A">
        <w:t>(Neely, 2008</w:t>
      </w:r>
      <w:r w:rsidR="0045722B">
        <w:t>; Kowalkowski et al., 2017b</w:t>
      </w:r>
      <w:r w:rsidR="0045722B" w:rsidRPr="00180A6A">
        <w:t>)</w:t>
      </w:r>
      <w:r w:rsidR="0045722B">
        <w:t xml:space="preserve"> and service businesses (</w:t>
      </w:r>
      <w:r w:rsidR="0045722B" w:rsidRPr="00180A6A">
        <w:t>Myrthianos</w:t>
      </w:r>
      <w:r w:rsidR="0045722B">
        <w:t xml:space="preserve"> et al</w:t>
      </w:r>
      <w:r w:rsidR="0045722B" w:rsidRPr="00180A6A">
        <w:t>,</w:t>
      </w:r>
      <w:r w:rsidR="0045722B">
        <w:t xml:space="preserve"> 2014;</w:t>
      </w:r>
      <w:r w:rsidR="008B4B90">
        <w:t xml:space="preserve"> Parry et al., 2018; Ketelhöhn and Argüello, 2018</w:t>
      </w:r>
      <w:r w:rsidR="0045722B">
        <w:t xml:space="preserve">) </w:t>
      </w:r>
      <w:r w:rsidR="008B4B90">
        <w:t xml:space="preserve">seek to growth through diversification of their business models, </w:t>
      </w:r>
      <w:r w:rsidR="003D1732">
        <w:t xml:space="preserve">creating new </w:t>
      </w:r>
      <w:r w:rsidRPr="00180A6A">
        <w:t>service</w:t>
      </w:r>
      <w:r w:rsidR="003D1732">
        <w:t xml:space="preserve"> offerings</w:t>
      </w:r>
      <w:r w:rsidR="008B4B90">
        <w:t xml:space="preserve"> in order to gain additional revenues</w:t>
      </w:r>
      <w:r>
        <w:t>. The servitization literature is progressing</w:t>
      </w:r>
      <w:r w:rsidRPr="00180A6A">
        <w:t xml:space="preserve"> understanding of the complex relationship between the integration of the firm’s core-products and customer-oriented services</w:t>
      </w:r>
      <w:r>
        <w:t xml:space="preserve"> (e.g., Kohtamäki et al., 2013)</w:t>
      </w:r>
      <w:r w:rsidRPr="00180A6A">
        <w:t xml:space="preserve">, and how together they </w:t>
      </w:r>
      <w:r w:rsidR="003D1732">
        <w:t>can create</w:t>
      </w:r>
      <w:r w:rsidR="003D1732" w:rsidRPr="00180A6A">
        <w:t xml:space="preserve"> </w:t>
      </w:r>
      <w:r w:rsidRPr="00180A6A">
        <w:t>additional value</w:t>
      </w:r>
      <w:r w:rsidR="003D1732">
        <w:t xml:space="preserve"> for the firm</w:t>
      </w:r>
      <w:r w:rsidRPr="00180A6A">
        <w:t xml:space="preserve"> (Vandermerwe and Rada, 1988</w:t>
      </w:r>
      <w:r>
        <w:t xml:space="preserve">; </w:t>
      </w:r>
      <w:r w:rsidR="004A3762">
        <w:t xml:space="preserve">Parry et al., 2012; </w:t>
      </w:r>
      <w:r>
        <w:t>Brax and Visintin, 2017</w:t>
      </w:r>
      <w:r w:rsidRPr="00180A6A">
        <w:t>). Servitization offers a</w:t>
      </w:r>
      <w:r w:rsidR="00CC034B">
        <w:t xml:space="preserve">n alternative strategy </w:t>
      </w:r>
      <w:r w:rsidRPr="00180A6A">
        <w:t xml:space="preserve">for competition encompassing </w:t>
      </w:r>
      <w:r w:rsidR="00CC034B">
        <w:t>offers of a</w:t>
      </w:r>
      <w:r w:rsidRPr="00180A6A">
        <w:t xml:space="preserve"> combination of goods and services </w:t>
      </w:r>
      <w:r w:rsidR="00CC034B">
        <w:t>to meet a broader swathe of customer value requirement</w:t>
      </w:r>
      <w:r w:rsidR="00774F3A">
        <w:t xml:space="preserve"> </w:t>
      </w:r>
      <w:r>
        <w:t>(Baines et al., 201</w:t>
      </w:r>
      <w:r w:rsidR="00C50D10">
        <w:t>6</w:t>
      </w:r>
      <w:r>
        <w:t>)</w:t>
      </w:r>
      <w:r w:rsidR="00CC034B">
        <w:t xml:space="preserve">. </w:t>
      </w:r>
      <w:r w:rsidR="00774F3A">
        <w:t>To add services firms need to develop new</w:t>
      </w:r>
      <w:r w:rsidR="00CC034B">
        <w:t xml:space="preserve"> </w:t>
      </w:r>
      <w:r w:rsidRPr="00180A6A">
        <w:t>capabilitie</w:t>
      </w:r>
      <w:r w:rsidR="00774F3A">
        <w:t xml:space="preserve">s, though services in turn provide benefits including locking out competitors and retaining customers, helping to </w:t>
      </w:r>
      <w:r w:rsidRPr="00180A6A">
        <w:t>influence product sales through customer</w:t>
      </w:r>
      <w:r w:rsidR="00774F3A">
        <w:t xml:space="preserve"> contact </w:t>
      </w:r>
      <w:r w:rsidRPr="00180A6A">
        <w:t xml:space="preserve">and </w:t>
      </w:r>
      <w:r w:rsidR="00774F3A">
        <w:t xml:space="preserve">potentially </w:t>
      </w:r>
      <w:r w:rsidRPr="00180A6A">
        <w:t>maintain</w:t>
      </w:r>
      <w:r w:rsidR="00774F3A">
        <w:t>ing</w:t>
      </w:r>
      <w:r w:rsidRPr="00180A6A">
        <w:t xml:space="preserve"> higher profit margins (Gebauer </w:t>
      </w:r>
      <w:r w:rsidRPr="00180A6A">
        <w:rPr>
          <w:i/>
        </w:rPr>
        <w:t xml:space="preserve">et al., </w:t>
      </w:r>
      <w:r w:rsidR="003D7BD4">
        <w:t>2005; Ol</w:t>
      </w:r>
      <w:r w:rsidRPr="00180A6A">
        <w:t>via and Kallenberg, 2003</w:t>
      </w:r>
      <w:r>
        <w:t>; Kowalkowski et al., 2017a; Story et al., 2017; Kamp and Parry, 2017</w:t>
      </w:r>
      <w:r w:rsidRPr="00180A6A">
        <w:t>).</w:t>
      </w:r>
    </w:p>
    <w:p w14:paraId="5B2334AD" w14:textId="300CBDA6" w:rsidR="002C3CB7" w:rsidRDefault="00774F3A" w:rsidP="002C3CB7">
      <w:r w:rsidRPr="00180A6A">
        <w:t>Neely</w:t>
      </w:r>
      <w:r>
        <w:t xml:space="preserve"> (</w:t>
      </w:r>
      <w:r w:rsidRPr="00180A6A">
        <w:t>2008</w:t>
      </w:r>
      <w:r>
        <w:t>) and</w:t>
      </w:r>
      <w:r w:rsidRPr="00180A6A">
        <w:t xml:space="preserve"> </w:t>
      </w:r>
      <w:r w:rsidR="00C50D10" w:rsidRPr="00180A6A">
        <w:t>Benedettini</w:t>
      </w:r>
      <w:r w:rsidRPr="00180A6A">
        <w:t xml:space="preserve"> et al.</w:t>
      </w:r>
      <w:r>
        <w:t xml:space="preserve"> (</w:t>
      </w:r>
      <w:r w:rsidRPr="00180A6A">
        <w:t>2015</w:t>
      </w:r>
      <w:r w:rsidR="00C50D10">
        <w:t>, 2017</w:t>
      </w:r>
      <w:r w:rsidRPr="00180A6A">
        <w:t>)</w:t>
      </w:r>
      <w:r w:rsidR="0048790B">
        <w:t xml:space="preserve"> </w:t>
      </w:r>
      <w:r w:rsidR="002C3CB7">
        <w:t>analyse financial and economic performance</w:t>
      </w:r>
      <w:r w:rsidR="00480D42">
        <w:t xml:space="preserve"> related to servitization of manufacturing firms</w:t>
      </w:r>
      <w:r w:rsidR="002C3CB7">
        <w:t xml:space="preserve">. Kharlamov and Parry </w:t>
      </w:r>
      <w:r w:rsidR="00584A3D">
        <w:t>(</w:t>
      </w:r>
      <w:r w:rsidR="002C3CB7">
        <w:t>2019</w:t>
      </w:r>
      <w:r w:rsidR="00584A3D">
        <w:t xml:space="preserve">) advance this </w:t>
      </w:r>
      <w:r w:rsidR="002C3CB7">
        <w:t>systematic approach to classify publicly available company data</w:t>
      </w:r>
      <w:r w:rsidR="00584A3D">
        <w:t>, building and</w:t>
      </w:r>
      <w:r w:rsidR="002C3CB7">
        <w:t xml:space="preserve"> improving on</w:t>
      </w:r>
      <w:r w:rsidR="00584A3D">
        <w:t xml:space="preserve"> the</w:t>
      </w:r>
      <w:r w:rsidR="002C3CB7">
        <w:t xml:space="preserve"> previous methodologies </w:t>
      </w:r>
      <w:r w:rsidR="00584A3D">
        <w:t>to</w:t>
      </w:r>
      <w:r w:rsidR="002C3CB7">
        <w:t xml:space="preserve"> identify sta</w:t>
      </w:r>
      <w:r w:rsidR="00584A3D">
        <w:t>tisti</w:t>
      </w:r>
      <w:r w:rsidR="002C3CB7">
        <w:t>cally significant differences in economic and financial performance between servitized, digitized and traditional publishers.</w:t>
      </w:r>
    </w:p>
    <w:p w14:paraId="70A8AC42" w14:textId="6473F4E0" w:rsidR="002C3CB7" w:rsidRDefault="002C3CB7" w:rsidP="00584A3D">
      <w:r>
        <w:t xml:space="preserve">The positivistic approach although powerful in most applications, can lead to questionable generalisations. Identifying statistically significant differences between a priori identified groups can lead to potential issues </w:t>
      </w:r>
      <w:r w:rsidR="00584A3D">
        <w:t>in</w:t>
      </w:r>
      <w:r>
        <w:t xml:space="preserve"> the external validity of such analysis.</w:t>
      </w:r>
      <w:r w:rsidR="00584A3D" w:rsidRPr="00584A3D">
        <w:t xml:space="preserve"> </w:t>
      </w:r>
      <w:r w:rsidR="00584A3D">
        <w:t>The positivist supervised learning employs prior knowledge of what the output values of an analysis ‘should’ be. Effectively the analysis employs model answers of the expected text and then the algorithm searches for that text and returns the desired results. This is an empirical positivist approach to research.</w:t>
      </w:r>
    </w:p>
    <w:p w14:paraId="11E550E6" w14:textId="043C1C22" w:rsidR="00584A3D" w:rsidRDefault="00584A3D" w:rsidP="00584A3D">
      <w:pPr>
        <w:tabs>
          <w:tab w:val="num" w:pos="720"/>
          <w:tab w:val="num" w:pos="1440"/>
        </w:tabs>
      </w:pPr>
      <w:r>
        <w:t>Neely et al. (2008)</w:t>
      </w:r>
      <w:r w:rsidRPr="001A3109">
        <w:rPr>
          <w:lang w:val="en-US"/>
        </w:rPr>
        <w:t xml:space="preserve"> use</w:t>
      </w:r>
      <w:r>
        <w:rPr>
          <w:lang w:val="en-US"/>
        </w:rPr>
        <w:t>s</w:t>
      </w:r>
      <w:r w:rsidRPr="001A3109">
        <w:rPr>
          <w:lang w:val="en-US"/>
        </w:rPr>
        <w:t xml:space="preserve"> a semi-automated process</w:t>
      </w:r>
      <w:r>
        <w:rPr>
          <w:lang w:val="en-US"/>
        </w:rPr>
        <w:t xml:space="preserve">, that represents a positivist study using a supervised algorithm. Data is drawn from the </w:t>
      </w:r>
      <w:r w:rsidRPr="001A3109">
        <w:rPr>
          <w:lang w:val="en-US"/>
        </w:rPr>
        <w:t>OSIRIS database with financial data on 50,000 global firms</w:t>
      </w:r>
      <w:r>
        <w:rPr>
          <w:lang w:val="en-US"/>
        </w:rPr>
        <w:t xml:space="preserve">. The analysis focuses on </w:t>
      </w:r>
      <w:r w:rsidRPr="001A3109">
        <w:rPr>
          <w:lang w:val="en-US"/>
        </w:rPr>
        <w:t>manufacturing firms</w:t>
      </w:r>
      <w:r>
        <w:rPr>
          <w:lang w:val="en-US"/>
        </w:rPr>
        <w:t xml:space="preserve"> </w:t>
      </w:r>
      <w:r w:rsidRPr="001A3109">
        <w:rPr>
          <w:lang w:val="en-US"/>
        </w:rPr>
        <w:t>of +100 employees</w:t>
      </w:r>
      <w:r>
        <w:rPr>
          <w:lang w:val="en-US"/>
        </w:rPr>
        <w:t xml:space="preserve"> and data is collected from </w:t>
      </w:r>
      <w:r w:rsidRPr="001A3109">
        <w:rPr>
          <w:lang w:val="en-US"/>
        </w:rPr>
        <w:t>25 countries</w:t>
      </w:r>
      <w:r>
        <w:rPr>
          <w:lang w:val="en-US"/>
        </w:rPr>
        <w:t>. The text descriptors are t</w:t>
      </w:r>
      <w:r w:rsidRPr="001A3109">
        <w:rPr>
          <w:lang w:val="en-US"/>
        </w:rPr>
        <w:t xml:space="preserve">ransferred into excel where categorization was undertaken using </w:t>
      </w:r>
      <w:r w:rsidRPr="001A3109">
        <w:t>keywords and phrases</w:t>
      </w:r>
      <w:r>
        <w:t xml:space="preserve">. As part of the method </w:t>
      </w:r>
      <w:r w:rsidRPr="001A3109">
        <w:rPr>
          <w:lang w:val="en-US"/>
        </w:rPr>
        <w:t xml:space="preserve">50 firms </w:t>
      </w:r>
      <w:r>
        <w:rPr>
          <w:lang w:val="en-US"/>
        </w:rPr>
        <w:t xml:space="preserve">are </w:t>
      </w:r>
      <w:r w:rsidRPr="001A3109">
        <w:rPr>
          <w:lang w:val="en-US"/>
        </w:rPr>
        <w:t>manually coded and then automated using search strings</w:t>
      </w:r>
      <w:r>
        <w:rPr>
          <w:lang w:val="en-US"/>
        </w:rPr>
        <w:t xml:space="preserve"> e.g. </w:t>
      </w:r>
      <w:r w:rsidRPr="001A3109">
        <w:rPr>
          <w:lang w:val="en-US"/>
        </w:rPr>
        <w:t>IF(ISNUMBER(SEARCH("consult*",$D4)),1,0</w:t>
      </w:r>
      <w:r>
        <w:rPr>
          <w:lang w:val="en-US"/>
        </w:rPr>
        <w:t>.</w:t>
      </w:r>
    </w:p>
    <w:p w14:paraId="1E2C8D07" w14:textId="77777777" w:rsidR="00540AB1" w:rsidRDefault="00540AB1" w:rsidP="00540AB1">
      <w:pPr>
        <w:pStyle w:val="Heading1"/>
      </w:pPr>
      <w:r>
        <w:t>Methodology</w:t>
      </w:r>
    </w:p>
    <w:p w14:paraId="43BF650C" w14:textId="4B2FA666" w:rsidR="000E4D8E" w:rsidRDefault="000E4D8E" w:rsidP="00232AC5">
      <w:r>
        <w:t xml:space="preserve">As an alternative to pre-defining segments and then analysing their differences, an unsupervised analysis </w:t>
      </w:r>
      <w:r w:rsidR="00243534">
        <w:t xml:space="preserve">can be used, </w:t>
      </w:r>
      <w:r>
        <w:t xml:space="preserve">where groups naturally </w:t>
      </w:r>
      <w:r w:rsidR="00243534">
        <w:t xml:space="preserve">form based on </w:t>
      </w:r>
      <w:r>
        <w:t>similarities</w:t>
      </w:r>
      <w:r w:rsidR="0016508F">
        <w:t xml:space="preserve"> (Rokach &amp; Maimo 2005)</w:t>
      </w:r>
      <w:r>
        <w:t xml:space="preserve">. </w:t>
      </w:r>
      <w:r w:rsidR="00232AC5">
        <w:t>If</w:t>
      </w:r>
      <w:r>
        <w:t xml:space="preserve"> conceptual groups do indeed exist their relevant features should coalesce them into similar groupings. </w:t>
      </w:r>
      <w:r w:rsidR="00243534">
        <w:t>Such u</w:t>
      </w:r>
      <w:r>
        <w:t>nsupervised learning has no specified target to search for, but rather looks for repeated commonality within data</w:t>
      </w:r>
      <w:r w:rsidR="00243534">
        <w:t xml:space="preserve"> and </w:t>
      </w:r>
      <w:r>
        <w:t>reports natural structure within a dataset.</w:t>
      </w:r>
      <w:r w:rsidR="00232AC5">
        <w:t xml:space="preserve"> </w:t>
      </w:r>
      <w:r w:rsidRPr="004B7B6D">
        <w:rPr>
          <w:lang w:val="en-US"/>
        </w:rPr>
        <w:t>The</w:t>
      </w:r>
      <w:r>
        <w:rPr>
          <w:lang w:val="en-US"/>
        </w:rPr>
        <w:t xml:space="preserve"> v</w:t>
      </w:r>
      <w:r w:rsidRPr="004B7B6D">
        <w:rPr>
          <w:lang w:val="en-US"/>
        </w:rPr>
        <w:t xml:space="preserve">alue of the use of non-positivist approaches </w:t>
      </w:r>
      <w:r>
        <w:rPr>
          <w:lang w:val="en-US"/>
        </w:rPr>
        <w:t>is that researcher can be creative and introduce new conceptual ideas that can later be tested in practice using quantitative methods. Non-positivistic studies tend to avoid generalizations and make localized claims that are often only applicable to the context in question</w:t>
      </w:r>
      <w:r w:rsidR="0016508F">
        <w:rPr>
          <w:lang w:val="en-US"/>
        </w:rPr>
        <w:t xml:space="preserve"> </w:t>
      </w:r>
      <w:r w:rsidR="0016508F">
        <w:t>(Rokach &amp; Maimo 2005)</w:t>
      </w:r>
      <w:r>
        <w:rPr>
          <w:lang w:val="en-US"/>
        </w:rPr>
        <w:t>.</w:t>
      </w:r>
    </w:p>
    <w:p w14:paraId="2094686F" w14:textId="77777777" w:rsidR="005C328C" w:rsidRDefault="001B3ECA" w:rsidP="001B3ECA">
      <w:r w:rsidRPr="0045722B">
        <w:t>Firm data is drawn from the FAME database that offers financial</w:t>
      </w:r>
      <w:r w:rsidRPr="00180A6A">
        <w:t xml:space="preserve"> data</w:t>
      </w:r>
      <w:r>
        <w:t xml:space="preserve"> and company reports</w:t>
      </w:r>
      <w:r w:rsidRPr="00180A6A">
        <w:t xml:space="preserve"> of UK and Irish companies (Bureau Van Dijk, 2015). </w:t>
      </w:r>
      <w:r>
        <w:t xml:space="preserve">We extract the overview (trade description, full overview, history, primary business line) and financial data (Number of Employees per Year, Turnover per Year, Turnover per Employee, Profit per Employee per Year, Return on Assets (ROA), Profit Margin per year) </w:t>
      </w:r>
      <w:r w:rsidRPr="00180A6A">
        <w:t>from FAME</w:t>
      </w:r>
      <w:r>
        <w:t xml:space="preserve"> to build the dataset used in this paper, which</w:t>
      </w:r>
      <w:r w:rsidRPr="00180A6A">
        <w:t xml:space="preserve"> </w:t>
      </w:r>
      <w:r>
        <w:t xml:space="preserve">include variables not previously considered by Neely (2008). The extracted data contains firm’s financial performance over a period of 10 </w:t>
      </w:r>
      <w:r w:rsidRPr="005D6FE8">
        <w:t>years. The entire population of publishing firms contains 2,850 observations</w:t>
      </w:r>
      <w:r w:rsidRPr="005D6FE8" w:rsidDel="00E01857">
        <w:t xml:space="preserve">. </w:t>
      </w:r>
      <w:r w:rsidRPr="005D6FE8">
        <w:t>The panel is unbalanced since for some of the publishers data was absent for some of the years between 2007 and 2016. Some of the reasons behind our inability to collect financia</w:t>
      </w:r>
      <w:r>
        <w:t xml:space="preserve">l data for a subset of publishers are due to: (i) some companies going out of business as of 2007; (ii) records </w:t>
      </w:r>
      <w:r w:rsidRPr="005D6FE8">
        <w:t>for several businesses missing in the database; (iii) several records not u</w:t>
      </w:r>
      <w:r>
        <w:t>p</w:t>
      </w:r>
      <w:r w:rsidRPr="005D6FE8">
        <w:t xml:space="preserve">dated for many years. </w:t>
      </w:r>
      <w:r>
        <w:t>O</w:t>
      </w:r>
      <w:r w:rsidRPr="005D6FE8">
        <w:t xml:space="preserve">ur requirement for inclusion of </w:t>
      </w:r>
      <w:r w:rsidR="00487C5D">
        <w:t>a</w:t>
      </w:r>
      <w:r w:rsidRPr="005D6FE8">
        <w:t xml:space="preserve"> publisher into the sample is that they have economic, financial and staff data </w:t>
      </w:r>
      <w:r>
        <w:t>in the records between 2007 and 2016</w:t>
      </w:r>
      <w:r w:rsidRPr="005D6FE8">
        <w:t xml:space="preserve">. Analysing data in the panel format rather than simple cross-section allow us to capture the dynamic nature of the publishing business. </w:t>
      </w:r>
      <w:r>
        <w:t>This method does not allow for a longitudinal analysis as overview descriptions ar</w:t>
      </w:r>
      <w:r w:rsidR="00487C5D">
        <w:t xml:space="preserve">e </w:t>
      </w:r>
      <w:r>
        <w:t xml:space="preserve">available </w:t>
      </w:r>
      <w:r w:rsidR="00487C5D">
        <w:t xml:space="preserve">only </w:t>
      </w:r>
      <w:r>
        <w:t xml:space="preserve">for the </w:t>
      </w:r>
      <w:r w:rsidR="00487C5D">
        <w:t xml:space="preserve">date </w:t>
      </w:r>
      <w:r>
        <w:t xml:space="preserve">of extraction. </w:t>
      </w:r>
      <w:r w:rsidR="00487C5D">
        <w:t xml:space="preserve">Previous descriptors are not kept within the database. </w:t>
      </w:r>
      <w:r>
        <w:t xml:space="preserve">We </w:t>
      </w:r>
      <w:r w:rsidR="00487C5D">
        <w:t xml:space="preserve">made requests to </w:t>
      </w:r>
      <w:r w:rsidR="00487C5D" w:rsidRPr="00180A6A">
        <w:t>Bureau Van Dijk</w:t>
      </w:r>
      <w:r w:rsidR="00487C5D">
        <w:t>, but the descriptors are not available</w:t>
      </w:r>
      <w:r>
        <w:t>.</w:t>
      </w:r>
    </w:p>
    <w:p w14:paraId="78773373" w14:textId="77777777" w:rsidR="005C328C" w:rsidRPr="00984FDB" w:rsidRDefault="005C328C" w:rsidP="005C328C"/>
    <w:p w14:paraId="0FFDCDC6" w14:textId="77777777" w:rsidR="00892546" w:rsidRDefault="00892546" w:rsidP="00892546">
      <w:pPr>
        <w:pStyle w:val="Caption"/>
        <w:keepNext/>
      </w:pPr>
      <w:r>
        <w:t xml:space="preserve">Table </w:t>
      </w:r>
      <w:r w:rsidR="00BC162B">
        <w:rPr>
          <w:noProof/>
        </w:rPr>
        <w:fldChar w:fldCharType="begin"/>
      </w:r>
      <w:r w:rsidR="00BC162B">
        <w:rPr>
          <w:noProof/>
        </w:rPr>
        <w:instrText xml:space="preserve"> SEQ Table \* ARABIC </w:instrText>
      </w:r>
      <w:r w:rsidR="00BC162B">
        <w:rPr>
          <w:noProof/>
        </w:rPr>
        <w:fldChar w:fldCharType="separate"/>
      </w:r>
      <w:r w:rsidR="00E8263B">
        <w:rPr>
          <w:noProof/>
        </w:rPr>
        <w:t>1</w:t>
      </w:r>
      <w:r w:rsidR="00BC162B">
        <w:rPr>
          <w:noProof/>
        </w:rPr>
        <w:fldChar w:fldCharType="end"/>
      </w:r>
      <w:r>
        <w:t xml:space="preserve"> Extracted data fields</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4253"/>
      </w:tblGrid>
      <w:tr w:rsidR="00984FDB" w:rsidRPr="00984FDB" w14:paraId="288AA998" w14:textId="77777777" w:rsidTr="00CA5AE9">
        <w:trPr>
          <w:trHeight w:val="310"/>
          <w:jc w:val="center"/>
        </w:trPr>
        <w:tc>
          <w:tcPr>
            <w:tcW w:w="1838" w:type="dxa"/>
            <w:shd w:val="clear" w:color="auto" w:fill="auto"/>
            <w:tcMar>
              <w:top w:w="15" w:type="dxa"/>
              <w:left w:w="108" w:type="dxa"/>
              <w:bottom w:w="0" w:type="dxa"/>
              <w:right w:w="108" w:type="dxa"/>
            </w:tcMar>
            <w:vAlign w:val="center"/>
            <w:hideMark/>
          </w:tcPr>
          <w:p w14:paraId="16CBD64F" w14:textId="77777777" w:rsidR="00984FDB" w:rsidRPr="00984FDB" w:rsidRDefault="00984FDB" w:rsidP="00984FDB">
            <w:r w:rsidRPr="00984FDB">
              <w:rPr>
                <w:b/>
                <w:bCs/>
              </w:rPr>
              <w:t>Type</w:t>
            </w:r>
          </w:p>
        </w:tc>
        <w:tc>
          <w:tcPr>
            <w:tcW w:w="4253" w:type="dxa"/>
            <w:shd w:val="clear" w:color="auto" w:fill="auto"/>
            <w:tcMar>
              <w:top w:w="15" w:type="dxa"/>
              <w:left w:w="108" w:type="dxa"/>
              <w:bottom w:w="0" w:type="dxa"/>
              <w:right w:w="108" w:type="dxa"/>
            </w:tcMar>
            <w:vAlign w:val="center"/>
            <w:hideMark/>
          </w:tcPr>
          <w:p w14:paraId="24E96314" w14:textId="77777777" w:rsidR="00984FDB" w:rsidRPr="00984FDB" w:rsidRDefault="00984FDB" w:rsidP="00984FDB">
            <w:r w:rsidRPr="00984FDB">
              <w:rPr>
                <w:b/>
                <w:bCs/>
              </w:rPr>
              <w:t>Field</w:t>
            </w:r>
          </w:p>
        </w:tc>
      </w:tr>
      <w:tr w:rsidR="00984FDB" w:rsidRPr="00984FDB" w14:paraId="3E805BE8" w14:textId="77777777" w:rsidTr="00CA5AE9">
        <w:trPr>
          <w:trHeight w:val="116"/>
          <w:jc w:val="center"/>
        </w:trPr>
        <w:tc>
          <w:tcPr>
            <w:tcW w:w="1838" w:type="dxa"/>
            <w:vMerge w:val="restart"/>
            <w:shd w:val="clear" w:color="auto" w:fill="auto"/>
            <w:tcMar>
              <w:top w:w="15" w:type="dxa"/>
              <w:left w:w="108" w:type="dxa"/>
              <w:bottom w:w="0" w:type="dxa"/>
              <w:right w:w="108" w:type="dxa"/>
            </w:tcMar>
            <w:vAlign w:val="center"/>
            <w:hideMark/>
          </w:tcPr>
          <w:p w14:paraId="6A98EFF4" w14:textId="77777777" w:rsidR="00984FDB" w:rsidRPr="00984FDB" w:rsidRDefault="00984FDB" w:rsidP="00984FDB">
            <w:r w:rsidRPr="00984FDB">
              <w:t>Overview</w:t>
            </w:r>
          </w:p>
        </w:tc>
        <w:tc>
          <w:tcPr>
            <w:tcW w:w="4253" w:type="dxa"/>
            <w:shd w:val="clear" w:color="auto" w:fill="auto"/>
            <w:tcMar>
              <w:top w:w="15" w:type="dxa"/>
              <w:left w:w="108" w:type="dxa"/>
              <w:bottom w:w="0" w:type="dxa"/>
              <w:right w:w="108" w:type="dxa"/>
            </w:tcMar>
            <w:vAlign w:val="center"/>
            <w:hideMark/>
          </w:tcPr>
          <w:p w14:paraId="083A4547" w14:textId="77777777" w:rsidR="00984FDB" w:rsidRPr="00984FDB" w:rsidRDefault="00984FDB" w:rsidP="00984FDB">
            <w:r w:rsidRPr="00984FDB">
              <w:t>Trade description</w:t>
            </w:r>
          </w:p>
        </w:tc>
      </w:tr>
      <w:tr w:rsidR="00984FDB" w:rsidRPr="00984FDB" w14:paraId="6CD47B7D" w14:textId="77777777" w:rsidTr="00CA5AE9">
        <w:trPr>
          <w:trHeight w:val="20"/>
          <w:jc w:val="center"/>
        </w:trPr>
        <w:tc>
          <w:tcPr>
            <w:tcW w:w="1838" w:type="dxa"/>
            <w:vMerge/>
            <w:vAlign w:val="center"/>
            <w:hideMark/>
          </w:tcPr>
          <w:p w14:paraId="5D52A613" w14:textId="77777777" w:rsidR="00984FDB" w:rsidRPr="00984FDB" w:rsidRDefault="00984FDB" w:rsidP="00984FDB"/>
        </w:tc>
        <w:tc>
          <w:tcPr>
            <w:tcW w:w="4253" w:type="dxa"/>
            <w:shd w:val="clear" w:color="auto" w:fill="auto"/>
            <w:tcMar>
              <w:top w:w="15" w:type="dxa"/>
              <w:left w:w="108" w:type="dxa"/>
              <w:bottom w:w="0" w:type="dxa"/>
              <w:right w:w="108" w:type="dxa"/>
            </w:tcMar>
            <w:vAlign w:val="center"/>
            <w:hideMark/>
          </w:tcPr>
          <w:p w14:paraId="46BA1C17" w14:textId="77777777" w:rsidR="00984FDB" w:rsidRPr="00984FDB" w:rsidRDefault="00984FDB" w:rsidP="00984FDB">
            <w:r w:rsidRPr="00984FDB">
              <w:t>Full overview</w:t>
            </w:r>
          </w:p>
        </w:tc>
      </w:tr>
      <w:tr w:rsidR="00984FDB" w:rsidRPr="00984FDB" w14:paraId="6E942D3D" w14:textId="77777777" w:rsidTr="00CA5AE9">
        <w:trPr>
          <w:trHeight w:val="20"/>
          <w:jc w:val="center"/>
        </w:trPr>
        <w:tc>
          <w:tcPr>
            <w:tcW w:w="1838" w:type="dxa"/>
            <w:vMerge/>
            <w:vAlign w:val="center"/>
            <w:hideMark/>
          </w:tcPr>
          <w:p w14:paraId="2E926226" w14:textId="77777777" w:rsidR="00984FDB" w:rsidRPr="00984FDB" w:rsidRDefault="00984FDB" w:rsidP="00984FDB"/>
        </w:tc>
        <w:tc>
          <w:tcPr>
            <w:tcW w:w="4253" w:type="dxa"/>
            <w:shd w:val="clear" w:color="auto" w:fill="auto"/>
            <w:tcMar>
              <w:top w:w="15" w:type="dxa"/>
              <w:left w:w="108" w:type="dxa"/>
              <w:bottom w:w="0" w:type="dxa"/>
              <w:right w:w="108" w:type="dxa"/>
            </w:tcMar>
            <w:vAlign w:val="center"/>
            <w:hideMark/>
          </w:tcPr>
          <w:p w14:paraId="40CC0979" w14:textId="77777777" w:rsidR="00984FDB" w:rsidRPr="00984FDB" w:rsidRDefault="00984FDB" w:rsidP="00984FDB">
            <w:r w:rsidRPr="00984FDB">
              <w:t>History</w:t>
            </w:r>
          </w:p>
        </w:tc>
      </w:tr>
      <w:tr w:rsidR="00984FDB" w:rsidRPr="00984FDB" w14:paraId="6D0AFA88" w14:textId="77777777" w:rsidTr="00CA5AE9">
        <w:trPr>
          <w:trHeight w:val="20"/>
          <w:jc w:val="center"/>
        </w:trPr>
        <w:tc>
          <w:tcPr>
            <w:tcW w:w="1838" w:type="dxa"/>
            <w:vMerge/>
            <w:vAlign w:val="center"/>
            <w:hideMark/>
          </w:tcPr>
          <w:p w14:paraId="45986589" w14:textId="77777777" w:rsidR="00984FDB" w:rsidRPr="00984FDB" w:rsidRDefault="00984FDB" w:rsidP="00984FDB"/>
        </w:tc>
        <w:tc>
          <w:tcPr>
            <w:tcW w:w="4253" w:type="dxa"/>
            <w:shd w:val="clear" w:color="auto" w:fill="auto"/>
            <w:tcMar>
              <w:top w:w="15" w:type="dxa"/>
              <w:left w:w="108" w:type="dxa"/>
              <w:bottom w:w="0" w:type="dxa"/>
              <w:right w:w="108" w:type="dxa"/>
            </w:tcMar>
            <w:vAlign w:val="center"/>
            <w:hideMark/>
          </w:tcPr>
          <w:p w14:paraId="027C13A9" w14:textId="77777777" w:rsidR="00984FDB" w:rsidRPr="00984FDB" w:rsidRDefault="00984FDB" w:rsidP="00984FDB">
            <w:r w:rsidRPr="00984FDB">
              <w:t>Primary Business Line</w:t>
            </w:r>
          </w:p>
        </w:tc>
      </w:tr>
      <w:tr w:rsidR="00984FDB" w:rsidRPr="00984FDB" w14:paraId="34DA8385" w14:textId="77777777" w:rsidTr="00CA5AE9">
        <w:trPr>
          <w:trHeight w:val="20"/>
          <w:jc w:val="center"/>
        </w:trPr>
        <w:tc>
          <w:tcPr>
            <w:tcW w:w="1838" w:type="dxa"/>
            <w:vMerge w:val="restart"/>
            <w:shd w:val="clear" w:color="auto" w:fill="auto"/>
            <w:tcMar>
              <w:top w:w="15" w:type="dxa"/>
              <w:left w:w="108" w:type="dxa"/>
              <w:bottom w:w="0" w:type="dxa"/>
              <w:right w:w="108" w:type="dxa"/>
            </w:tcMar>
            <w:vAlign w:val="center"/>
            <w:hideMark/>
          </w:tcPr>
          <w:p w14:paraId="593A1FD4" w14:textId="77777777" w:rsidR="00984FDB" w:rsidRPr="00984FDB" w:rsidRDefault="00984FDB" w:rsidP="00984FDB">
            <w:r w:rsidRPr="00984FDB">
              <w:t>Financial Data</w:t>
            </w:r>
          </w:p>
        </w:tc>
        <w:tc>
          <w:tcPr>
            <w:tcW w:w="4253" w:type="dxa"/>
            <w:shd w:val="clear" w:color="auto" w:fill="auto"/>
            <w:tcMar>
              <w:top w:w="15" w:type="dxa"/>
              <w:left w:w="108" w:type="dxa"/>
              <w:bottom w:w="0" w:type="dxa"/>
              <w:right w:w="108" w:type="dxa"/>
            </w:tcMar>
            <w:hideMark/>
          </w:tcPr>
          <w:p w14:paraId="25E3F27E" w14:textId="77777777" w:rsidR="00984FDB" w:rsidRPr="00984FDB" w:rsidRDefault="00984FDB" w:rsidP="00984FDB">
            <w:r w:rsidRPr="00984FDB">
              <w:t>Number of Employees per Year</w:t>
            </w:r>
          </w:p>
        </w:tc>
      </w:tr>
      <w:tr w:rsidR="00984FDB" w:rsidRPr="00984FDB" w14:paraId="2F999369" w14:textId="77777777" w:rsidTr="00CA5AE9">
        <w:trPr>
          <w:trHeight w:val="20"/>
          <w:jc w:val="center"/>
        </w:trPr>
        <w:tc>
          <w:tcPr>
            <w:tcW w:w="1838" w:type="dxa"/>
            <w:vMerge/>
            <w:vAlign w:val="center"/>
            <w:hideMark/>
          </w:tcPr>
          <w:p w14:paraId="3DF4648D" w14:textId="77777777" w:rsidR="00984FDB" w:rsidRPr="00984FDB" w:rsidRDefault="00984FDB" w:rsidP="00984FDB"/>
        </w:tc>
        <w:tc>
          <w:tcPr>
            <w:tcW w:w="4253" w:type="dxa"/>
            <w:shd w:val="clear" w:color="auto" w:fill="auto"/>
            <w:tcMar>
              <w:top w:w="15" w:type="dxa"/>
              <w:left w:w="108" w:type="dxa"/>
              <w:bottom w:w="0" w:type="dxa"/>
              <w:right w:w="108" w:type="dxa"/>
            </w:tcMar>
            <w:hideMark/>
          </w:tcPr>
          <w:p w14:paraId="63C249E4" w14:textId="77777777" w:rsidR="00984FDB" w:rsidRPr="00984FDB" w:rsidRDefault="00984FDB" w:rsidP="00984FDB">
            <w:r w:rsidRPr="00984FDB">
              <w:t>Turnover per Year</w:t>
            </w:r>
          </w:p>
        </w:tc>
      </w:tr>
      <w:tr w:rsidR="00984FDB" w:rsidRPr="00984FDB" w14:paraId="606C3E4C" w14:textId="77777777" w:rsidTr="00CA5AE9">
        <w:trPr>
          <w:trHeight w:val="20"/>
          <w:jc w:val="center"/>
        </w:trPr>
        <w:tc>
          <w:tcPr>
            <w:tcW w:w="1838" w:type="dxa"/>
            <w:vMerge/>
            <w:vAlign w:val="center"/>
            <w:hideMark/>
          </w:tcPr>
          <w:p w14:paraId="31B8E5FB" w14:textId="77777777" w:rsidR="00984FDB" w:rsidRPr="00984FDB" w:rsidRDefault="00984FDB" w:rsidP="00984FDB"/>
        </w:tc>
        <w:tc>
          <w:tcPr>
            <w:tcW w:w="4253" w:type="dxa"/>
            <w:shd w:val="clear" w:color="auto" w:fill="auto"/>
            <w:tcMar>
              <w:top w:w="15" w:type="dxa"/>
              <w:left w:w="108" w:type="dxa"/>
              <w:bottom w:w="0" w:type="dxa"/>
              <w:right w:w="108" w:type="dxa"/>
            </w:tcMar>
            <w:hideMark/>
          </w:tcPr>
          <w:p w14:paraId="1D5BA8ED" w14:textId="77777777" w:rsidR="00984FDB" w:rsidRPr="00984FDB" w:rsidRDefault="00984FDB" w:rsidP="00984FDB">
            <w:r w:rsidRPr="00984FDB">
              <w:t>Turnover per Employee</w:t>
            </w:r>
          </w:p>
        </w:tc>
      </w:tr>
      <w:tr w:rsidR="00984FDB" w:rsidRPr="00984FDB" w14:paraId="5C0CFE06" w14:textId="77777777" w:rsidTr="00CA5AE9">
        <w:trPr>
          <w:jc w:val="center"/>
        </w:trPr>
        <w:tc>
          <w:tcPr>
            <w:tcW w:w="1838" w:type="dxa"/>
            <w:vMerge/>
            <w:vAlign w:val="center"/>
            <w:hideMark/>
          </w:tcPr>
          <w:p w14:paraId="339EDE46" w14:textId="77777777" w:rsidR="00984FDB" w:rsidRPr="00984FDB" w:rsidRDefault="00984FDB" w:rsidP="00984FDB"/>
        </w:tc>
        <w:tc>
          <w:tcPr>
            <w:tcW w:w="4253" w:type="dxa"/>
            <w:shd w:val="clear" w:color="auto" w:fill="auto"/>
            <w:tcMar>
              <w:top w:w="15" w:type="dxa"/>
              <w:left w:w="108" w:type="dxa"/>
              <w:bottom w:w="0" w:type="dxa"/>
              <w:right w:w="108" w:type="dxa"/>
            </w:tcMar>
            <w:hideMark/>
          </w:tcPr>
          <w:p w14:paraId="70C1F626" w14:textId="77777777" w:rsidR="00984FDB" w:rsidRPr="00984FDB" w:rsidRDefault="00984FDB" w:rsidP="00984FDB">
            <w:r w:rsidRPr="00984FDB">
              <w:t>Profit per Employee per Year</w:t>
            </w:r>
          </w:p>
        </w:tc>
      </w:tr>
      <w:tr w:rsidR="00984FDB" w:rsidRPr="00984FDB" w14:paraId="77515503" w14:textId="77777777" w:rsidTr="00CA5AE9">
        <w:trPr>
          <w:jc w:val="center"/>
        </w:trPr>
        <w:tc>
          <w:tcPr>
            <w:tcW w:w="1838" w:type="dxa"/>
            <w:vMerge/>
            <w:vAlign w:val="center"/>
            <w:hideMark/>
          </w:tcPr>
          <w:p w14:paraId="797A0D82" w14:textId="77777777" w:rsidR="00984FDB" w:rsidRPr="00984FDB" w:rsidRDefault="00984FDB" w:rsidP="00984FDB"/>
        </w:tc>
        <w:tc>
          <w:tcPr>
            <w:tcW w:w="4253" w:type="dxa"/>
            <w:shd w:val="clear" w:color="auto" w:fill="auto"/>
            <w:tcMar>
              <w:top w:w="15" w:type="dxa"/>
              <w:left w:w="108" w:type="dxa"/>
              <w:bottom w:w="0" w:type="dxa"/>
              <w:right w:w="108" w:type="dxa"/>
            </w:tcMar>
            <w:hideMark/>
          </w:tcPr>
          <w:p w14:paraId="5A65328E" w14:textId="77777777" w:rsidR="00984FDB" w:rsidRPr="00984FDB" w:rsidRDefault="00984FDB" w:rsidP="00984FDB">
            <w:r w:rsidRPr="00984FDB">
              <w:t>Return on Assets (ROA)</w:t>
            </w:r>
          </w:p>
        </w:tc>
      </w:tr>
      <w:tr w:rsidR="00984FDB" w:rsidRPr="00984FDB" w14:paraId="1AB5B66D" w14:textId="77777777" w:rsidTr="00CA5AE9">
        <w:trPr>
          <w:cantSplit/>
          <w:trHeight w:val="259"/>
          <w:jc w:val="center"/>
        </w:trPr>
        <w:tc>
          <w:tcPr>
            <w:tcW w:w="1838" w:type="dxa"/>
            <w:vMerge/>
            <w:vAlign w:val="center"/>
            <w:hideMark/>
          </w:tcPr>
          <w:p w14:paraId="063755B8" w14:textId="77777777" w:rsidR="00984FDB" w:rsidRPr="00984FDB" w:rsidRDefault="00984FDB" w:rsidP="00984FDB"/>
        </w:tc>
        <w:tc>
          <w:tcPr>
            <w:tcW w:w="4253" w:type="dxa"/>
            <w:shd w:val="clear" w:color="auto" w:fill="auto"/>
            <w:tcMar>
              <w:top w:w="15" w:type="dxa"/>
              <w:left w:w="108" w:type="dxa"/>
              <w:bottom w:w="0" w:type="dxa"/>
              <w:right w:w="108" w:type="dxa"/>
            </w:tcMar>
            <w:hideMark/>
          </w:tcPr>
          <w:p w14:paraId="13E0309D" w14:textId="77777777" w:rsidR="00984FDB" w:rsidRPr="00984FDB" w:rsidRDefault="00984FDB" w:rsidP="00984FDB">
            <w:r w:rsidRPr="00984FDB">
              <w:t>Profit Margin per year</w:t>
            </w:r>
          </w:p>
        </w:tc>
      </w:tr>
    </w:tbl>
    <w:p w14:paraId="482440B3" w14:textId="77777777" w:rsidR="00984FDB" w:rsidRDefault="00984FDB" w:rsidP="00540AB1"/>
    <w:p w14:paraId="31D2E959" w14:textId="37FB8937" w:rsidR="001001CB" w:rsidRPr="001001CB" w:rsidRDefault="001B3ECA" w:rsidP="001001CB">
      <w:r>
        <w:t xml:space="preserve">In order to create similarity scores </w:t>
      </w:r>
      <w:r w:rsidR="00487C5D">
        <w:t xml:space="preserve">we adopt </w:t>
      </w:r>
      <w:r>
        <w:t>the following procedure</w:t>
      </w:r>
      <w:r w:rsidR="00D73052">
        <w:t xml:space="preserve"> based on Guru et al. 2004 and Kerr et al. 2008</w:t>
      </w:r>
      <w:r w:rsidR="005650E6">
        <w:t>, which</w:t>
      </w:r>
      <w:r w:rsidR="0016508F">
        <w:t xml:space="preserve"> is aligned with techniques presented in Rokach &amp; Maimo</w:t>
      </w:r>
      <w:r w:rsidR="005650E6">
        <w:t>,</w:t>
      </w:r>
      <w:r w:rsidR="0016508F">
        <w:t xml:space="preserve"> 2005</w:t>
      </w:r>
      <w:r w:rsidR="00487C5D">
        <w:t>.</w:t>
      </w:r>
      <w:r>
        <w:t xml:space="preserve"> </w:t>
      </w:r>
      <w:r w:rsidRPr="00984FDB">
        <w:t>The descriptive information</w:t>
      </w:r>
      <w:r>
        <w:t xml:space="preserve"> is collated, transformed into lower-case and punctuation is eliminated forming a long array</w:t>
      </w:r>
      <w:r w:rsidR="00D71661">
        <w:t xml:space="preserve"> or words respective to a specific fir</w:t>
      </w:r>
      <w:r w:rsidR="00487C5D">
        <w:t>m. A</w:t>
      </w:r>
      <w:r w:rsidR="00D71661">
        <w:t xml:space="preserve"> total of 285 arrays </w:t>
      </w:r>
      <w:r w:rsidR="00487C5D">
        <w:t>are</w:t>
      </w:r>
      <w:r w:rsidR="00D71661">
        <w:t xml:space="preserve"> obtained (one per firm). To create the full list of all possible terms used in the sample, </w:t>
      </w:r>
      <w:r w:rsidR="00487C5D">
        <w:t xml:space="preserve">we collate </w:t>
      </w:r>
      <w:r w:rsidR="00D71661">
        <w:t>all 285 descriptive arrays into one and that large array is then broken up into single words. All duplicates are removed</w:t>
      </w:r>
      <w:r w:rsidR="00487C5D">
        <w:t>,</w:t>
      </w:r>
      <w:r w:rsidR="00D71661">
        <w:t xml:space="preserve"> </w:t>
      </w:r>
      <w:r w:rsidR="00487C5D">
        <w:t xml:space="preserve">resulting </w:t>
      </w:r>
      <w:r w:rsidR="00D71661">
        <w:t>in a pool of 3421 unique words.</w:t>
      </w:r>
      <w:r w:rsidR="00011924">
        <w:t xml:space="preserve"> In order to score each firms similarity, we search for each of the 3421 words in the original firms descriptors (285 arrays). If the unique word searched is present in the array describing the firm, </w:t>
      </w:r>
      <w:r w:rsidR="00487C5D">
        <w:t>it is attributed 1</w:t>
      </w:r>
      <w:r w:rsidR="00011924">
        <w:t>, otherwise the word scores 0. This is repeated for all the 3421 unique words for each of the 285 arrays describing firms, which forms Boolean arrays made of 1’s and 0’s. This translates into a total of 974,985 searches overall. The size of the Boolean matrix is 285 by 3421 where lines contain Boolean arrays</w:t>
      </w:r>
      <w:r w:rsidR="001001CB">
        <w:t xml:space="preserve"> marking positive and negative search results</w:t>
      </w:r>
      <w:r w:rsidR="00011924">
        <w:t>. To calculate the directional proximity score</w:t>
      </w:r>
      <w:r w:rsidR="001001CB">
        <w:t xml:space="preserve"> for a pair of firms</w:t>
      </w:r>
      <w:r w:rsidR="00011924">
        <w:t>, we</w:t>
      </w:r>
      <w:r w:rsidR="001001CB">
        <w:t xml:space="preserve"> sum the product of the multiplication between </w:t>
      </w:r>
      <w:r w:rsidR="00011924">
        <w:t xml:space="preserve">the Boolean array </w:t>
      </w:r>
      <w:r w:rsidR="001001CB">
        <w:rPr>
          <w:i/>
        </w:rPr>
        <w:t>i</w:t>
      </w:r>
      <w:r w:rsidR="001001CB">
        <w:t xml:space="preserve"> </w:t>
      </w:r>
      <w:r w:rsidR="00011924">
        <w:t xml:space="preserve">of </w:t>
      </w:r>
      <w:r w:rsidR="001001CB">
        <w:t>one</w:t>
      </w:r>
      <w:r w:rsidR="00011924">
        <w:t xml:space="preserve"> firm</w:t>
      </w:r>
      <w:r w:rsidR="001001CB">
        <w:t xml:space="preserve"> and another Boolean array </w:t>
      </w:r>
      <w:r w:rsidR="001001CB">
        <w:rPr>
          <w:i/>
        </w:rPr>
        <w:t>j</w:t>
      </w:r>
      <w:r w:rsidR="001001CB">
        <w:t xml:space="preserve"> divided by the length of the array </w:t>
      </w:r>
      <w:r w:rsidR="001001CB" w:rsidRPr="00CA5AE9">
        <w:rPr>
          <w:i/>
        </w:rPr>
        <w:t>A</w:t>
      </w:r>
      <w:r w:rsidR="001001CB">
        <w:t>. The formula below represents the p</w:t>
      </w:r>
      <w:r w:rsidR="001001CB" w:rsidRPr="001001CB">
        <w:t xml:space="preserve">roximity between </w:t>
      </w:r>
      <w:r w:rsidR="001001CB" w:rsidRPr="00291BD9">
        <w:rPr>
          <w:bCs/>
          <w:iCs/>
        </w:rPr>
        <w:t xml:space="preserve">firm </w:t>
      </w:r>
      <w:r w:rsidR="001001CB" w:rsidRPr="00291BD9">
        <w:rPr>
          <w:bCs/>
          <w:i/>
          <w:iCs/>
        </w:rPr>
        <w:t>i</w:t>
      </w:r>
      <w:r w:rsidR="001001CB" w:rsidRPr="00291BD9">
        <w:rPr>
          <w:bCs/>
          <w:iCs/>
        </w:rPr>
        <w:t xml:space="preserve"> </w:t>
      </w:r>
      <w:r w:rsidR="001001CB" w:rsidRPr="00291BD9">
        <w:rPr>
          <w:iCs/>
        </w:rPr>
        <w:t xml:space="preserve">to </w:t>
      </w:r>
      <w:r w:rsidR="001001CB" w:rsidRPr="00291BD9">
        <w:rPr>
          <w:bCs/>
          <w:iCs/>
        </w:rPr>
        <w:t xml:space="preserve">firm </w:t>
      </w:r>
      <w:r w:rsidR="001001CB" w:rsidRPr="00291BD9">
        <w:rPr>
          <w:bCs/>
          <w:i/>
          <w:iCs/>
        </w:rPr>
        <w:t>j</w:t>
      </w:r>
      <w:r w:rsidR="001001CB" w:rsidRPr="00291BD9">
        <w:rPr>
          <w:bCs/>
          <w:iCs/>
        </w:rPr>
        <w:t xml:space="preserve"> where proximity is directional and normalised</w:t>
      </w:r>
      <w:r w:rsidR="00F0558E">
        <w:rPr>
          <w:bCs/>
          <w:iCs/>
        </w:rPr>
        <w:t>.</w:t>
      </w:r>
    </w:p>
    <w:p w14:paraId="034EB867" w14:textId="77777777" w:rsidR="001B3ECA" w:rsidRDefault="001B3ECA" w:rsidP="001B3ECA"/>
    <w:p w14:paraId="7E04FC50" w14:textId="77777777" w:rsidR="001001CB" w:rsidRPr="00984FDB" w:rsidRDefault="00FE29F5" w:rsidP="001B3ECA">
      <m:oMathPara>
        <m:oMath>
          <m:sSub>
            <m:sSubPr>
              <m:ctrlPr>
                <w:rPr>
                  <w:rFonts w:ascii="Cambria Math" w:hAnsi="Cambria Math"/>
                  <w:i/>
                  <w:iCs/>
                </w:rPr>
              </m:ctrlPr>
            </m:sSubPr>
            <m:e>
              <m:r>
                <w:rPr>
                  <w:rFonts w:ascii="Cambria Math" w:hAnsi="Cambria Math"/>
                </w:rPr>
                <m:t>Proximity</m:t>
              </m:r>
            </m:e>
            <m:sub>
              <m:r>
                <w:rPr>
                  <w:rFonts w:ascii="Cambria Math" w:hAnsi="Cambria Math"/>
                </w:rPr>
                <m:t>ij</m:t>
              </m:r>
            </m:sub>
          </m:sSub>
          <m:r>
            <w:rPr>
              <w:rFonts w:ascii="Cambria Math" w:hAnsi="Cambria Math"/>
            </w:rPr>
            <m:t>=</m:t>
          </m:r>
          <m:f>
            <m:fPr>
              <m:ctrlPr>
                <w:rPr>
                  <w:rFonts w:ascii="Cambria Math" w:hAnsi="Cambria Math"/>
                  <w:i/>
                  <w:iCs/>
                </w:rPr>
              </m:ctrlPr>
            </m:fPr>
            <m:num>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A</m:t>
                      </m:r>
                    </m:e>
                    <m:sub>
                      <m:r>
                        <w:rPr>
                          <w:rFonts w:ascii="Cambria Math" w:hAnsi="Cambria Math"/>
                        </w:rPr>
                        <m:t>i</m:t>
                      </m:r>
                    </m:sub>
                  </m:sSub>
                  <m:sSub>
                    <m:sSubPr>
                      <m:ctrlPr>
                        <w:rPr>
                          <w:rFonts w:ascii="Cambria Math" w:hAnsi="Cambria Math"/>
                          <w:i/>
                          <w:iCs/>
                        </w:rPr>
                      </m:ctrlPr>
                    </m:sSubPr>
                    <m:e>
                      <m:r>
                        <w:rPr>
                          <w:rFonts w:ascii="Cambria Math" w:hAnsi="Cambria Math"/>
                        </w:rPr>
                        <m:t>A</m:t>
                      </m:r>
                    </m:e>
                    <m:sub>
                      <m:r>
                        <w:rPr>
                          <w:rFonts w:ascii="Cambria Math" w:hAnsi="Cambria Math"/>
                        </w:rPr>
                        <m:t>j</m:t>
                      </m:r>
                    </m:sub>
                  </m:sSub>
                </m:e>
              </m:nary>
            </m:num>
            <m:den>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A</m:t>
                      </m:r>
                    </m:e>
                    <m:sub>
                      <m:r>
                        <w:rPr>
                          <w:rFonts w:ascii="Cambria Math" w:hAnsi="Cambria Math"/>
                        </w:rPr>
                        <m:t>i</m:t>
                      </m:r>
                    </m:sub>
                  </m:sSub>
                  <m:sSub>
                    <m:sSubPr>
                      <m:ctrlPr>
                        <w:rPr>
                          <w:rFonts w:ascii="Cambria Math" w:hAnsi="Cambria Math"/>
                          <w:i/>
                          <w:iCs/>
                        </w:rPr>
                      </m:ctrlPr>
                    </m:sSubPr>
                    <m:e>
                      <m:r>
                        <w:rPr>
                          <w:rFonts w:ascii="Cambria Math" w:hAnsi="Cambria Math"/>
                        </w:rPr>
                        <m:t>A</m:t>
                      </m:r>
                    </m:e>
                    <m:sub>
                      <m:r>
                        <w:rPr>
                          <w:rFonts w:ascii="Cambria Math" w:hAnsi="Cambria Math"/>
                        </w:rPr>
                        <m:t>i</m:t>
                      </m:r>
                    </m:sub>
                  </m:sSub>
                </m:e>
              </m:nary>
            </m:den>
          </m:f>
        </m:oMath>
      </m:oMathPara>
    </w:p>
    <w:p w14:paraId="20509269" w14:textId="77777777" w:rsidR="001001CB" w:rsidRPr="001001CB" w:rsidRDefault="001001CB" w:rsidP="00AF69E0">
      <w:pPr>
        <w:jc w:val="center"/>
      </w:pPr>
      <m:oMath>
        <m:r>
          <w:rPr>
            <w:rFonts w:ascii="Cambria Math" w:hAnsi="Cambria Math"/>
          </w:rPr>
          <m:t>A</m:t>
        </m:r>
      </m:oMath>
      <w:r w:rsidRPr="001001CB">
        <w:t xml:space="preserve"> = Boolean matrix with all possible keywords vs. all firms</w:t>
      </w:r>
    </w:p>
    <w:p w14:paraId="4E0D8E9A" w14:textId="77777777" w:rsidR="001001CB" w:rsidRDefault="001001CB" w:rsidP="001B3ECA">
      <m:oMathPara>
        <m:oMath>
          <m:r>
            <w:rPr>
              <w:rFonts w:ascii="Cambria Math" w:hAnsi="Cambria Math"/>
            </w:rPr>
            <m:t>Total number of keywords for Firm i=</m:t>
          </m:r>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A</m:t>
                  </m:r>
                </m:e>
                <m:sub>
                  <m:r>
                    <w:rPr>
                      <w:rFonts w:ascii="Cambria Math" w:hAnsi="Cambria Math"/>
                    </w:rPr>
                    <m:t>i</m:t>
                  </m:r>
                </m:sub>
              </m:sSub>
              <m:sSub>
                <m:sSubPr>
                  <m:ctrlPr>
                    <w:rPr>
                      <w:rFonts w:ascii="Cambria Math" w:hAnsi="Cambria Math"/>
                      <w:i/>
                      <w:iCs/>
                    </w:rPr>
                  </m:ctrlPr>
                </m:sSubPr>
                <m:e>
                  <m:r>
                    <w:rPr>
                      <w:rFonts w:ascii="Cambria Math" w:hAnsi="Cambria Math"/>
                    </w:rPr>
                    <m:t>A</m:t>
                  </m:r>
                </m:e>
                <m:sub>
                  <m:r>
                    <w:rPr>
                      <w:rFonts w:ascii="Cambria Math" w:hAnsi="Cambria Math"/>
                    </w:rPr>
                    <m:t>i</m:t>
                  </m:r>
                </m:sub>
              </m:sSub>
            </m:e>
          </m:nary>
        </m:oMath>
      </m:oMathPara>
    </w:p>
    <w:p w14:paraId="79247638" w14:textId="77777777" w:rsidR="001001CB" w:rsidRDefault="001001CB" w:rsidP="001B3ECA">
      <m:oMathPara>
        <m:oMath>
          <m:r>
            <w:rPr>
              <w:rFonts w:ascii="Cambria Math" w:hAnsi="Cambria Math"/>
            </w:rPr>
            <m:t>Number of common keywords for Firm i and Firm j=</m:t>
          </m:r>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A</m:t>
                  </m:r>
                </m:e>
                <m:sub>
                  <m:r>
                    <w:rPr>
                      <w:rFonts w:ascii="Cambria Math" w:hAnsi="Cambria Math"/>
                    </w:rPr>
                    <m:t>i</m:t>
                  </m:r>
                </m:sub>
              </m:sSub>
              <m:sSub>
                <m:sSubPr>
                  <m:ctrlPr>
                    <w:rPr>
                      <w:rFonts w:ascii="Cambria Math" w:hAnsi="Cambria Math"/>
                      <w:i/>
                      <w:iCs/>
                    </w:rPr>
                  </m:ctrlPr>
                </m:sSubPr>
                <m:e>
                  <m:r>
                    <w:rPr>
                      <w:rFonts w:ascii="Cambria Math" w:hAnsi="Cambria Math"/>
                    </w:rPr>
                    <m:t>A</m:t>
                  </m:r>
                </m:e>
                <m:sub>
                  <m:r>
                    <w:rPr>
                      <w:rFonts w:ascii="Cambria Math" w:hAnsi="Cambria Math"/>
                    </w:rPr>
                    <m:t>j</m:t>
                  </m:r>
                </m:sub>
              </m:sSub>
            </m:e>
          </m:nary>
        </m:oMath>
      </m:oMathPara>
    </w:p>
    <w:p w14:paraId="06D83F1A" w14:textId="77777777" w:rsidR="001B3ECA" w:rsidRPr="00984FDB" w:rsidRDefault="001001CB" w:rsidP="001B3ECA">
      <w:r>
        <w:t xml:space="preserve">The normalised proximity score ranges from 0% (no common words) to 100% (description </w:t>
      </w:r>
      <w:r>
        <w:rPr>
          <w:i/>
        </w:rPr>
        <w:t xml:space="preserve">i </w:t>
      </w:r>
      <w:r>
        <w:t xml:space="preserve">is fully contained in description </w:t>
      </w:r>
      <w:r>
        <w:rPr>
          <w:i/>
        </w:rPr>
        <w:t>j</w:t>
      </w:r>
      <w:r>
        <w:t>)</w:t>
      </w:r>
      <w:r w:rsidR="00DB6B61">
        <w:t>.</w:t>
      </w:r>
    </w:p>
    <w:p w14:paraId="30F98C8E" w14:textId="77777777" w:rsidR="005C328C" w:rsidRDefault="00DB6B61" w:rsidP="00751008">
      <w:r>
        <w:t>Finally, the proximity matrix containing all the pairwise proximity scores is clustered and analysed using both textual analysis as well as profiled using financial and economic data</w:t>
      </w:r>
      <w:r w:rsidR="0016508F">
        <w:t xml:space="preserve"> if any significant differences between textual data are found</w:t>
      </w:r>
      <w:r>
        <w:t>.</w:t>
      </w:r>
    </w:p>
    <w:p w14:paraId="709201B1" w14:textId="77777777" w:rsidR="00540AB1" w:rsidRDefault="00540AB1" w:rsidP="00540AB1">
      <w:pPr>
        <w:pStyle w:val="Heading1"/>
      </w:pPr>
      <w:r>
        <w:t>Results</w:t>
      </w:r>
    </w:p>
    <w:p w14:paraId="2C57E8E6" w14:textId="730B7426" w:rsidR="003058F7" w:rsidRDefault="00751008" w:rsidP="00751008">
      <w:r>
        <w:t>The analysis suggests that the sample should be broken up in two groups</w:t>
      </w:r>
      <w:r w:rsidR="009D1778">
        <w:t>.</w:t>
      </w:r>
      <w:r w:rsidR="004F4601">
        <w:t xml:space="preserve"> Sorted by two groups, the proximity matrix is colour coded and illustrated in Figure </w:t>
      </w:r>
      <w:r w:rsidR="00E26250">
        <w:t>1</w:t>
      </w:r>
      <w:r w:rsidR="004F4601">
        <w:t>. The colour coding associated blue to 0%</w:t>
      </w:r>
      <w:r w:rsidR="00CB7DE5">
        <w:t xml:space="preserve">, orange to 50% and red to 100% with the respective gradient encoded in between. </w:t>
      </w:r>
      <w:r w:rsidR="00BB4CB9">
        <w:t xml:space="preserve">The similarity within each of the two clusters is 52% </w:t>
      </w:r>
      <w:r w:rsidR="007B0BEE">
        <w:t xml:space="preserve">in both clusters. Cluster B is 62% similar to cluster </w:t>
      </w:r>
      <w:r w:rsidR="007B0BEE" w:rsidRPr="00CA5AE9">
        <w:rPr>
          <w:i/>
        </w:rPr>
        <w:t>A</w:t>
      </w:r>
      <w:r w:rsidR="00BC162B">
        <w:t>,</w:t>
      </w:r>
      <w:r w:rsidR="007B0BEE">
        <w:t xml:space="preserve"> but cluster A is only 40% similar to cluster </w:t>
      </w:r>
      <w:r w:rsidR="007B0BEE" w:rsidRPr="00CA5AE9">
        <w:rPr>
          <w:i/>
        </w:rPr>
        <w:t>B</w:t>
      </w:r>
      <w:r w:rsidR="007B0BEE">
        <w:t>.</w:t>
      </w:r>
      <w:r w:rsidR="003058F7">
        <w:t xml:space="preserve"> The resulting scores are plotted in Figure 1 where all 285 firms are compared pairwise in a square 285x285 matrix. Due to size, the scores are colour coded to represent the distribution between 0% and 100% similarity. The visual inspection of the figure suggests that there are no significant differences between possible groups. </w:t>
      </w:r>
    </w:p>
    <w:p w14:paraId="438E944C" w14:textId="77777777" w:rsidR="003058F7" w:rsidRDefault="003058F7" w:rsidP="00751008"/>
    <w:p w14:paraId="4FDC1228" w14:textId="77777777" w:rsidR="006226E0" w:rsidRDefault="007B0BEE" w:rsidP="006226E0">
      <w:pPr>
        <w:keepNext/>
        <w:jc w:val="center"/>
      </w:pPr>
      <w:r w:rsidRPr="007B0BEE">
        <w:rPr>
          <w:noProof/>
          <w:lang w:eastAsia="en-GB"/>
        </w:rPr>
        <w:drawing>
          <wp:inline distT="0" distB="0" distL="0" distR="0" wp14:anchorId="6DC1C917" wp14:editId="3E4C5817">
            <wp:extent cx="5731510" cy="5440337"/>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440337"/>
                    </a:xfrm>
                    <a:prstGeom prst="rect">
                      <a:avLst/>
                    </a:prstGeom>
                    <a:noFill/>
                    <a:ln>
                      <a:noFill/>
                    </a:ln>
                  </pic:spPr>
                </pic:pic>
              </a:graphicData>
            </a:graphic>
          </wp:inline>
        </w:drawing>
      </w:r>
    </w:p>
    <w:p w14:paraId="48B16D9C" w14:textId="77777777" w:rsidR="00CB7DE5" w:rsidRDefault="006226E0" w:rsidP="006226E0">
      <w:pPr>
        <w:pStyle w:val="Caption"/>
        <w:jc w:val="center"/>
      </w:pPr>
      <w:r>
        <w:t xml:space="preserve">Figure </w:t>
      </w:r>
      <w:r w:rsidR="00BC162B">
        <w:rPr>
          <w:noProof/>
        </w:rPr>
        <w:fldChar w:fldCharType="begin"/>
      </w:r>
      <w:r w:rsidR="00BC162B">
        <w:rPr>
          <w:noProof/>
        </w:rPr>
        <w:instrText xml:space="preserve"> SEQ Figure \* ARABIC </w:instrText>
      </w:r>
      <w:r w:rsidR="00BC162B">
        <w:rPr>
          <w:noProof/>
        </w:rPr>
        <w:fldChar w:fldCharType="separate"/>
      </w:r>
      <w:r w:rsidR="00E8263B">
        <w:rPr>
          <w:noProof/>
        </w:rPr>
        <w:t>1</w:t>
      </w:r>
      <w:r w:rsidR="00BC162B">
        <w:rPr>
          <w:noProof/>
        </w:rPr>
        <w:fldChar w:fldCharType="end"/>
      </w:r>
      <w:r w:rsidR="00B82189">
        <w:t xml:space="preserve"> </w:t>
      </w:r>
      <w:r>
        <w:t xml:space="preserve">Proximity matrix </w:t>
      </w:r>
      <w:r w:rsidR="003058F7">
        <w:t xml:space="preserve">heatmap </w:t>
      </w:r>
      <w:r>
        <w:t>(directional and normalised)</w:t>
      </w:r>
    </w:p>
    <w:p w14:paraId="1D58089C" w14:textId="2FACA2C9" w:rsidR="006226E0" w:rsidRDefault="003058F7" w:rsidP="00540AB1">
      <w:r>
        <w:t xml:space="preserve">Using clustering on the proximity matrix, we select </w:t>
      </w:r>
      <w:r w:rsidR="00BC162B">
        <w:t xml:space="preserve">a </w:t>
      </w:r>
      <w:r>
        <w:t xml:space="preserve">hierarchical clustering method based on squared Euclidean distances. The reason behind selecting this clustering method is its robustness and ease of interpretation as the routine starts by closeting the most similar pair and expands further based on the distance between items, repeating the process until a single cluster remains. </w:t>
      </w:r>
      <w:r w:rsidR="0016508F">
        <w:t xml:space="preserve">One of the methods of selecting the number of clusters is based on the subjective judgement of the aggregation dendrogram. </w:t>
      </w:r>
      <w:r>
        <w:t>Visual inspection of the dendrogram suggests that the group exhibits two major clusters.</w:t>
      </w:r>
    </w:p>
    <w:p w14:paraId="554EFEEB" w14:textId="77777777" w:rsidR="006226E0" w:rsidRDefault="006226E0" w:rsidP="006226E0">
      <w:pPr>
        <w:keepNext/>
      </w:pPr>
      <w:r>
        <w:rPr>
          <w:noProof/>
          <w:lang w:eastAsia="en-GB"/>
        </w:rPr>
        <w:drawing>
          <wp:inline distT="0" distB="0" distL="0" distR="0" wp14:anchorId="0F031E20" wp14:editId="05A76CAC">
            <wp:extent cx="5724525" cy="5724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52966AB1" w14:textId="18550F67" w:rsidR="006226E0" w:rsidRDefault="006226E0" w:rsidP="006226E0">
      <w:pPr>
        <w:pStyle w:val="Caption"/>
      </w:pPr>
      <w:r>
        <w:t xml:space="preserve">Figure </w:t>
      </w:r>
      <w:r w:rsidR="00F67FE3">
        <w:rPr>
          <w:noProof/>
        </w:rPr>
        <w:t>2</w:t>
      </w:r>
      <w:r w:rsidR="00F67FE3">
        <w:t xml:space="preserve"> </w:t>
      </w:r>
      <w:r>
        <w:t>Cluster 1</w:t>
      </w:r>
      <w:r w:rsidR="003058F7">
        <w:t xml:space="preserve"> word cloud</w:t>
      </w:r>
    </w:p>
    <w:p w14:paraId="6F87E2A9" w14:textId="354AD388" w:rsidR="006226E0" w:rsidRDefault="003058F7" w:rsidP="00540AB1">
      <w:r>
        <w:t>The analysis of the two clusters in terms of textual description is</w:t>
      </w:r>
      <w:r w:rsidR="00BC162B">
        <w:t xml:space="preserve"> </w:t>
      </w:r>
      <w:r>
        <w:t xml:space="preserve">represented in Figure </w:t>
      </w:r>
      <w:r w:rsidR="00F67FE3">
        <w:t>2</w:t>
      </w:r>
      <w:r w:rsidR="00BC3A04">
        <w:t xml:space="preserve"> and 3. In Figure 2</w:t>
      </w:r>
      <w:r>
        <w:t xml:space="preserve"> cluster 1 is characterised by keywords such as publishing, books, company. </w:t>
      </w:r>
      <w:r w:rsidR="00E26250">
        <w:t xml:space="preserve">Wordclouds are one of the many ways used to represent textual information based on bibliometrics (Rokach &amp; Maimo, 2005). </w:t>
      </w:r>
      <w:r>
        <w:t xml:space="preserve">The word cloud illustrating </w:t>
      </w:r>
      <w:r w:rsidR="00BC3A04">
        <w:t>c</w:t>
      </w:r>
      <w:r>
        <w:t>luster 2</w:t>
      </w:r>
      <w:r w:rsidR="00E26250">
        <w:t xml:space="preserve"> in Figure 3</w:t>
      </w:r>
      <w:r>
        <w:t xml:space="preserve"> is not obviously </w:t>
      </w:r>
      <w:r w:rsidR="00BC162B">
        <w:t xml:space="preserve">visibly </w:t>
      </w:r>
      <w:r>
        <w:t>different with the same set of words being the most prominent.</w:t>
      </w:r>
      <w:r w:rsidR="00F32694">
        <w:t xml:space="preserve"> </w:t>
      </w:r>
      <w:r w:rsidR="00E26250">
        <w:t xml:space="preserve">Whilst Wordclouds </w:t>
      </w:r>
      <w:r w:rsidR="00F32694">
        <w:t xml:space="preserve">can provide insight </w:t>
      </w:r>
      <w:r w:rsidR="00232AC5">
        <w:t xml:space="preserve">to </w:t>
      </w:r>
      <w:r w:rsidR="00DA49AC">
        <w:t xml:space="preserve">recurrent themes and </w:t>
      </w:r>
      <w:r w:rsidR="00F32694">
        <w:t xml:space="preserve">dominant keywords contained in </w:t>
      </w:r>
      <w:r w:rsidR="00232AC5">
        <w:t>a</w:t>
      </w:r>
      <w:r w:rsidR="00F32694">
        <w:t xml:space="preserve"> sample</w:t>
      </w:r>
      <w:r w:rsidR="00DA49AC">
        <w:t xml:space="preserve">, </w:t>
      </w:r>
      <w:r w:rsidR="00E26250">
        <w:t>they</w:t>
      </w:r>
      <w:r w:rsidR="00DA49AC">
        <w:t xml:space="preserve"> require further analysis to gain insight into deeper meaning</w:t>
      </w:r>
      <w:r w:rsidR="00232AC5">
        <w:t xml:space="preserve"> (</w:t>
      </w:r>
      <w:r w:rsidR="00232AC5" w:rsidRPr="00291BD9">
        <w:t>Leginus et al., 2016</w:t>
      </w:r>
      <w:r w:rsidR="00232AC5">
        <w:t>; Stott et al., 2018)</w:t>
      </w:r>
      <w:r w:rsidR="00F32694">
        <w:t>.</w:t>
      </w:r>
    </w:p>
    <w:p w14:paraId="4B0F6FD8" w14:textId="77777777" w:rsidR="006226E0" w:rsidRDefault="006226E0" w:rsidP="006226E0">
      <w:pPr>
        <w:keepNext/>
      </w:pPr>
      <w:r>
        <w:rPr>
          <w:noProof/>
          <w:lang w:eastAsia="en-GB"/>
        </w:rPr>
        <w:drawing>
          <wp:inline distT="0" distB="0" distL="0" distR="0" wp14:anchorId="0300BB0F" wp14:editId="4E14E73F">
            <wp:extent cx="5724525" cy="572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2A429473" w14:textId="0A00C113" w:rsidR="006226E0" w:rsidRDefault="006226E0" w:rsidP="006226E0">
      <w:pPr>
        <w:pStyle w:val="Caption"/>
      </w:pPr>
      <w:r>
        <w:t xml:space="preserve">Figure </w:t>
      </w:r>
      <w:r w:rsidR="00F67FE3">
        <w:rPr>
          <w:noProof/>
        </w:rPr>
        <w:t>3</w:t>
      </w:r>
      <w:r w:rsidR="00F67FE3">
        <w:t xml:space="preserve"> </w:t>
      </w:r>
      <w:r>
        <w:t>Cluster 2</w:t>
      </w:r>
      <w:r w:rsidR="003058F7">
        <w:t xml:space="preserve"> word cloud</w:t>
      </w:r>
    </w:p>
    <w:p w14:paraId="5745D798" w14:textId="77777777" w:rsidR="00892546" w:rsidRDefault="00892546" w:rsidP="00A37F27">
      <w:r>
        <w:t xml:space="preserve">The observation of Table </w:t>
      </w:r>
      <w:r w:rsidR="009D3F24">
        <w:t>2 listing the top 25 keywords is also inconclusive regarding the different focus between the two clusters.</w:t>
      </w:r>
      <w:r w:rsidR="00A37F27">
        <w:t xml:space="preserve"> Terminology that can be associated to servitization: service*; </w:t>
      </w:r>
      <w:r w:rsidR="0060375E">
        <w:t xml:space="preserve">management; </w:t>
      </w:r>
      <w:r w:rsidR="00A37F27">
        <w:t>distri*; marketing; langua*; illust*; financial*; conference*; transl*; organization*; organisation*; wareh*; subscription*; membership*; event*; conver*. Terminology that can be associated to digitization: electronic*; digit*; audio; online; softw*; web*; eboo*; internet*; e-boo*.</w:t>
      </w:r>
      <w:r w:rsidR="00BA05F3">
        <w:t xml:space="preserve"> Both sets show </w:t>
      </w:r>
      <w:r w:rsidR="00BC162B">
        <w:t>approximately</w:t>
      </w:r>
      <w:r w:rsidR="00BA05F3">
        <w:t xml:space="preserve"> the same split of words, without any significant differences.</w:t>
      </w:r>
      <w:r>
        <w:br w:type="page"/>
      </w:r>
    </w:p>
    <w:p w14:paraId="2D6CB790" w14:textId="77777777" w:rsidR="00892546" w:rsidRDefault="00892546" w:rsidP="00892546">
      <w:pPr>
        <w:pStyle w:val="Caption"/>
        <w:keepNext/>
      </w:pPr>
      <w:r>
        <w:t xml:space="preserve">Table </w:t>
      </w:r>
      <w:r w:rsidR="00BC162B">
        <w:rPr>
          <w:noProof/>
        </w:rPr>
        <w:fldChar w:fldCharType="begin"/>
      </w:r>
      <w:r w:rsidR="00BC162B">
        <w:rPr>
          <w:noProof/>
        </w:rPr>
        <w:instrText xml:space="preserve"> SEQ Table \* ARABIC </w:instrText>
      </w:r>
      <w:r w:rsidR="00BC162B">
        <w:rPr>
          <w:noProof/>
        </w:rPr>
        <w:fldChar w:fldCharType="separate"/>
      </w:r>
      <w:r w:rsidR="00E8263B">
        <w:rPr>
          <w:noProof/>
        </w:rPr>
        <w:t>2</w:t>
      </w:r>
      <w:r w:rsidR="00BC162B">
        <w:rPr>
          <w:noProof/>
        </w:rPr>
        <w:fldChar w:fldCharType="end"/>
      </w:r>
      <w:r>
        <w:t xml:space="preserve"> Top 25 keyword frequency for cluster 1 and cluster 2.</w:t>
      </w:r>
    </w:p>
    <w:tbl>
      <w:tblPr>
        <w:tblStyle w:val="TableGrid"/>
        <w:tblW w:w="5000" w:type="pct"/>
        <w:jc w:val="center"/>
        <w:tblLook w:val="04A0" w:firstRow="1" w:lastRow="0" w:firstColumn="1" w:lastColumn="0" w:noHBand="0" w:noVBand="1"/>
      </w:tblPr>
      <w:tblGrid>
        <w:gridCol w:w="1840"/>
        <w:gridCol w:w="2645"/>
        <w:gridCol w:w="1839"/>
        <w:gridCol w:w="2692"/>
      </w:tblGrid>
      <w:tr w:rsidR="00892546" w:rsidRPr="003058F7" w14:paraId="1AB2D3BB" w14:textId="77777777" w:rsidTr="00892546">
        <w:trPr>
          <w:trHeight w:val="300"/>
          <w:jc w:val="center"/>
        </w:trPr>
        <w:tc>
          <w:tcPr>
            <w:tcW w:w="2487" w:type="pct"/>
            <w:gridSpan w:val="2"/>
            <w:shd w:val="clear" w:color="auto" w:fill="D9D9D9" w:themeFill="background1" w:themeFillShade="D9"/>
            <w:noWrap/>
            <w:hideMark/>
          </w:tcPr>
          <w:p w14:paraId="3ECAE4E2" w14:textId="77777777" w:rsidR="00892546" w:rsidRPr="003058F7" w:rsidRDefault="00892546" w:rsidP="00892546">
            <w:pPr>
              <w:jc w:val="center"/>
              <w:rPr>
                <w:rFonts w:ascii="Calibri" w:hAnsi="Calibri" w:cs="Calibri"/>
                <w:b/>
                <w:color w:val="000000"/>
                <w:szCs w:val="22"/>
                <w:lang w:eastAsia="en-GB"/>
              </w:rPr>
            </w:pPr>
            <w:r w:rsidRPr="003058F7">
              <w:rPr>
                <w:rFonts w:ascii="Calibri" w:hAnsi="Calibri" w:cs="Calibri"/>
                <w:b/>
                <w:color w:val="000000"/>
                <w:szCs w:val="22"/>
                <w:lang w:eastAsia="en-GB"/>
              </w:rPr>
              <w:t>Cluster 1</w:t>
            </w:r>
          </w:p>
        </w:tc>
        <w:tc>
          <w:tcPr>
            <w:tcW w:w="2513" w:type="pct"/>
            <w:gridSpan w:val="2"/>
            <w:shd w:val="clear" w:color="auto" w:fill="D9D9D9" w:themeFill="background1" w:themeFillShade="D9"/>
            <w:noWrap/>
            <w:hideMark/>
          </w:tcPr>
          <w:p w14:paraId="08BB7637" w14:textId="77777777" w:rsidR="00892546" w:rsidRPr="003058F7" w:rsidRDefault="00892546" w:rsidP="00892546">
            <w:pPr>
              <w:jc w:val="center"/>
              <w:rPr>
                <w:rFonts w:ascii="Calibri" w:hAnsi="Calibri" w:cs="Calibri"/>
                <w:b/>
                <w:color w:val="000000"/>
                <w:szCs w:val="22"/>
                <w:lang w:eastAsia="en-GB"/>
              </w:rPr>
            </w:pPr>
            <w:r w:rsidRPr="003058F7">
              <w:rPr>
                <w:rFonts w:ascii="Calibri" w:hAnsi="Calibri" w:cs="Calibri"/>
                <w:b/>
                <w:color w:val="000000"/>
                <w:szCs w:val="22"/>
                <w:lang w:eastAsia="en-GB"/>
              </w:rPr>
              <w:t>Cluster 2</w:t>
            </w:r>
          </w:p>
        </w:tc>
      </w:tr>
      <w:tr w:rsidR="003058F7" w:rsidRPr="003058F7" w14:paraId="3A8DB5DC" w14:textId="77777777" w:rsidTr="00892546">
        <w:trPr>
          <w:trHeight w:val="300"/>
          <w:jc w:val="center"/>
        </w:trPr>
        <w:tc>
          <w:tcPr>
            <w:tcW w:w="1020" w:type="pct"/>
            <w:noWrap/>
            <w:hideMark/>
          </w:tcPr>
          <w:p w14:paraId="597165C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379</w:t>
            </w:r>
          </w:p>
        </w:tc>
        <w:tc>
          <w:tcPr>
            <w:tcW w:w="1467" w:type="pct"/>
            <w:noWrap/>
            <w:hideMark/>
          </w:tcPr>
          <w:p w14:paraId="6E5B6481" w14:textId="5736FF4E" w:rsidR="003058F7" w:rsidRPr="003058F7" w:rsidRDefault="00E26250" w:rsidP="003058F7">
            <w:pPr>
              <w:rPr>
                <w:rFonts w:ascii="Calibri" w:hAnsi="Calibri" w:cs="Calibri"/>
                <w:color w:val="000000"/>
                <w:szCs w:val="22"/>
                <w:lang w:eastAsia="en-GB"/>
              </w:rPr>
            </w:pPr>
            <w:r w:rsidRPr="003058F7">
              <w:rPr>
                <w:rFonts w:ascii="Calibri" w:hAnsi="Calibri" w:cs="Calibri"/>
                <w:color w:val="000000"/>
                <w:szCs w:val="22"/>
                <w:lang w:eastAsia="en-GB"/>
              </w:rPr>
              <w:t>B</w:t>
            </w:r>
            <w:r w:rsidR="003058F7" w:rsidRPr="003058F7">
              <w:rPr>
                <w:rFonts w:ascii="Calibri" w:hAnsi="Calibri" w:cs="Calibri"/>
                <w:color w:val="000000"/>
                <w:szCs w:val="22"/>
                <w:lang w:eastAsia="en-GB"/>
              </w:rPr>
              <w:t>ooks</w:t>
            </w:r>
          </w:p>
        </w:tc>
        <w:tc>
          <w:tcPr>
            <w:tcW w:w="1020" w:type="pct"/>
            <w:noWrap/>
            <w:hideMark/>
          </w:tcPr>
          <w:p w14:paraId="432B8C7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198</w:t>
            </w:r>
          </w:p>
        </w:tc>
        <w:tc>
          <w:tcPr>
            <w:tcW w:w="1493" w:type="pct"/>
            <w:noWrap/>
            <w:hideMark/>
          </w:tcPr>
          <w:p w14:paraId="78B7B452"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C</w:t>
            </w:r>
            <w:r w:rsidR="003058F7" w:rsidRPr="003058F7">
              <w:rPr>
                <w:rFonts w:ascii="Calibri" w:hAnsi="Calibri" w:cs="Calibri"/>
                <w:color w:val="000000"/>
                <w:szCs w:val="22"/>
                <w:lang w:eastAsia="en-GB"/>
              </w:rPr>
              <w:t>ompany</w:t>
            </w:r>
          </w:p>
        </w:tc>
      </w:tr>
      <w:tr w:rsidR="003058F7" w:rsidRPr="003058F7" w14:paraId="10E20255" w14:textId="77777777" w:rsidTr="00892546">
        <w:trPr>
          <w:trHeight w:val="300"/>
          <w:jc w:val="center"/>
        </w:trPr>
        <w:tc>
          <w:tcPr>
            <w:tcW w:w="1020" w:type="pct"/>
            <w:noWrap/>
            <w:hideMark/>
          </w:tcPr>
          <w:p w14:paraId="69868D5D"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347</w:t>
            </w:r>
          </w:p>
        </w:tc>
        <w:tc>
          <w:tcPr>
            <w:tcW w:w="1467" w:type="pct"/>
            <w:noWrap/>
            <w:hideMark/>
          </w:tcPr>
          <w:p w14:paraId="69EA1DD2"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company</w:t>
            </w:r>
          </w:p>
        </w:tc>
        <w:tc>
          <w:tcPr>
            <w:tcW w:w="1020" w:type="pct"/>
            <w:noWrap/>
            <w:hideMark/>
          </w:tcPr>
          <w:p w14:paraId="5586F6DA"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156</w:t>
            </w:r>
          </w:p>
        </w:tc>
        <w:tc>
          <w:tcPr>
            <w:tcW w:w="1493" w:type="pct"/>
            <w:noWrap/>
            <w:hideMark/>
          </w:tcPr>
          <w:p w14:paraId="35B8E2CF"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P</w:t>
            </w:r>
            <w:r w:rsidR="003058F7" w:rsidRPr="003058F7">
              <w:rPr>
                <w:rFonts w:ascii="Calibri" w:hAnsi="Calibri" w:cs="Calibri"/>
                <w:color w:val="000000"/>
                <w:szCs w:val="22"/>
                <w:lang w:eastAsia="en-GB"/>
              </w:rPr>
              <w:t>ublishing</w:t>
            </w:r>
          </w:p>
        </w:tc>
      </w:tr>
      <w:tr w:rsidR="003058F7" w:rsidRPr="003058F7" w14:paraId="51C743A9" w14:textId="77777777" w:rsidTr="00892546">
        <w:trPr>
          <w:trHeight w:val="300"/>
          <w:jc w:val="center"/>
        </w:trPr>
        <w:tc>
          <w:tcPr>
            <w:tcW w:w="1020" w:type="pct"/>
            <w:noWrap/>
            <w:hideMark/>
          </w:tcPr>
          <w:p w14:paraId="49803645"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239</w:t>
            </w:r>
          </w:p>
        </w:tc>
        <w:tc>
          <w:tcPr>
            <w:tcW w:w="1467" w:type="pct"/>
            <w:noWrap/>
            <w:hideMark/>
          </w:tcPr>
          <w:p w14:paraId="56AEC22B"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publishing</w:t>
            </w:r>
          </w:p>
        </w:tc>
        <w:tc>
          <w:tcPr>
            <w:tcW w:w="1020" w:type="pct"/>
            <w:noWrap/>
            <w:hideMark/>
          </w:tcPr>
          <w:p w14:paraId="095BC1F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114</w:t>
            </w:r>
          </w:p>
        </w:tc>
        <w:tc>
          <w:tcPr>
            <w:tcW w:w="1493" w:type="pct"/>
            <w:noWrap/>
            <w:hideMark/>
          </w:tcPr>
          <w:p w14:paraId="202BF79F"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B</w:t>
            </w:r>
            <w:r w:rsidR="003058F7" w:rsidRPr="003058F7">
              <w:rPr>
                <w:rFonts w:ascii="Calibri" w:hAnsi="Calibri" w:cs="Calibri"/>
                <w:color w:val="000000"/>
                <w:szCs w:val="22"/>
                <w:lang w:eastAsia="en-GB"/>
              </w:rPr>
              <w:t>ooks</w:t>
            </w:r>
          </w:p>
        </w:tc>
      </w:tr>
      <w:tr w:rsidR="003058F7" w:rsidRPr="003058F7" w14:paraId="4988EA92" w14:textId="77777777" w:rsidTr="00892546">
        <w:trPr>
          <w:trHeight w:val="300"/>
          <w:jc w:val="center"/>
        </w:trPr>
        <w:tc>
          <w:tcPr>
            <w:tcW w:w="1020" w:type="pct"/>
            <w:noWrap/>
            <w:hideMark/>
          </w:tcPr>
          <w:p w14:paraId="647B8D5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164</w:t>
            </w:r>
          </w:p>
        </w:tc>
        <w:tc>
          <w:tcPr>
            <w:tcW w:w="1467" w:type="pct"/>
            <w:noWrap/>
            <w:hideMark/>
          </w:tcPr>
          <w:p w14:paraId="72EB73B0"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engaged</w:t>
            </w:r>
          </w:p>
        </w:tc>
        <w:tc>
          <w:tcPr>
            <w:tcW w:w="1020" w:type="pct"/>
            <w:noWrap/>
            <w:hideMark/>
          </w:tcPr>
          <w:p w14:paraId="4DC222A5"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97</w:t>
            </w:r>
          </w:p>
        </w:tc>
        <w:tc>
          <w:tcPr>
            <w:tcW w:w="1493" w:type="pct"/>
            <w:noWrap/>
            <w:hideMark/>
          </w:tcPr>
          <w:p w14:paraId="2BB7E996"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E</w:t>
            </w:r>
            <w:r w:rsidR="003058F7" w:rsidRPr="003058F7">
              <w:rPr>
                <w:rFonts w:ascii="Calibri" w:hAnsi="Calibri" w:cs="Calibri"/>
                <w:color w:val="000000"/>
                <w:szCs w:val="22"/>
                <w:lang w:eastAsia="en-GB"/>
              </w:rPr>
              <w:t>ngaged</w:t>
            </w:r>
          </w:p>
        </w:tc>
      </w:tr>
      <w:tr w:rsidR="003058F7" w:rsidRPr="003058F7" w14:paraId="5E59B820" w14:textId="77777777" w:rsidTr="00892546">
        <w:trPr>
          <w:trHeight w:val="300"/>
          <w:jc w:val="center"/>
        </w:trPr>
        <w:tc>
          <w:tcPr>
            <w:tcW w:w="1020" w:type="pct"/>
            <w:noWrap/>
            <w:hideMark/>
          </w:tcPr>
          <w:p w14:paraId="249BBD08"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134</w:t>
            </w:r>
          </w:p>
        </w:tc>
        <w:tc>
          <w:tcPr>
            <w:tcW w:w="1467" w:type="pct"/>
            <w:noWrap/>
            <w:hideMark/>
          </w:tcPr>
          <w:p w14:paraId="05AF9528"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united</w:t>
            </w:r>
          </w:p>
        </w:tc>
        <w:tc>
          <w:tcPr>
            <w:tcW w:w="1020" w:type="pct"/>
            <w:noWrap/>
            <w:hideMark/>
          </w:tcPr>
          <w:p w14:paraId="3BF9CA5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84</w:t>
            </w:r>
          </w:p>
        </w:tc>
        <w:tc>
          <w:tcPr>
            <w:tcW w:w="1493" w:type="pct"/>
            <w:noWrap/>
            <w:hideMark/>
          </w:tcPr>
          <w:p w14:paraId="78D35466"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B</w:t>
            </w:r>
            <w:r w:rsidR="003058F7" w:rsidRPr="003058F7">
              <w:rPr>
                <w:rFonts w:ascii="Calibri" w:hAnsi="Calibri" w:cs="Calibri"/>
                <w:color w:val="000000"/>
                <w:szCs w:val="22"/>
                <w:lang w:eastAsia="en-GB"/>
              </w:rPr>
              <w:t>ook</w:t>
            </w:r>
          </w:p>
        </w:tc>
      </w:tr>
      <w:tr w:rsidR="003058F7" w:rsidRPr="003058F7" w14:paraId="341296DC" w14:textId="77777777" w:rsidTr="00892546">
        <w:trPr>
          <w:trHeight w:val="300"/>
          <w:jc w:val="center"/>
        </w:trPr>
        <w:tc>
          <w:tcPr>
            <w:tcW w:w="1020" w:type="pct"/>
            <w:noWrap/>
            <w:hideMark/>
          </w:tcPr>
          <w:p w14:paraId="32F99332"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98</w:t>
            </w:r>
          </w:p>
        </w:tc>
        <w:tc>
          <w:tcPr>
            <w:tcW w:w="1467" w:type="pct"/>
            <w:noWrap/>
            <w:hideMark/>
          </w:tcPr>
          <w:p w14:paraId="2B90AA66"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publication</w:t>
            </w:r>
          </w:p>
        </w:tc>
        <w:tc>
          <w:tcPr>
            <w:tcW w:w="1020" w:type="pct"/>
            <w:noWrap/>
            <w:hideMark/>
          </w:tcPr>
          <w:p w14:paraId="67E5DE99"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83</w:t>
            </w:r>
          </w:p>
        </w:tc>
        <w:tc>
          <w:tcPr>
            <w:tcW w:w="1493" w:type="pct"/>
            <w:noWrap/>
            <w:hideMark/>
          </w:tcPr>
          <w:p w14:paraId="789981B9"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U</w:t>
            </w:r>
            <w:r w:rsidR="003058F7" w:rsidRPr="003058F7">
              <w:rPr>
                <w:rFonts w:ascii="Calibri" w:hAnsi="Calibri" w:cs="Calibri"/>
                <w:color w:val="000000"/>
                <w:szCs w:val="22"/>
                <w:lang w:eastAsia="en-GB"/>
              </w:rPr>
              <w:t>nited</w:t>
            </w:r>
          </w:p>
        </w:tc>
      </w:tr>
      <w:tr w:rsidR="003058F7" w:rsidRPr="003058F7" w14:paraId="566AB905" w14:textId="77777777" w:rsidTr="00892546">
        <w:trPr>
          <w:trHeight w:val="300"/>
          <w:jc w:val="center"/>
        </w:trPr>
        <w:tc>
          <w:tcPr>
            <w:tcW w:w="1020" w:type="pct"/>
            <w:noWrap/>
            <w:hideMark/>
          </w:tcPr>
          <w:p w14:paraId="48324B1D"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88</w:t>
            </w:r>
          </w:p>
        </w:tc>
        <w:tc>
          <w:tcPr>
            <w:tcW w:w="1467" w:type="pct"/>
            <w:noWrap/>
            <w:hideMark/>
          </w:tcPr>
          <w:p w14:paraId="4C788588"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book</w:t>
            </w:r>
          </w:p>
        </w:tc>
        <w:tc>
          <w:tcPr>
            <w:tcW w:w="1020" w:type="pct"/>
            <w:noWrap/>
            <w:hideMark/>
          </w:tcPr>
          <w:p w14:paraId="46A77EC2"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66</w:t>
            </w:r>
          </w:p>
        </w:tc>
        <w:tc>
          <w:tcPr>
            <w:tcW w:w="1493" w:type="pct"/>
            <w:noWrap/>
            <w:hideMark/>
          </w:tcPr>
          <w:p w14:paraId="22B6B5D7" w14:textId="77777777" w:rsidR="003058F7" w:rsidRPr="00231AF8" w:rsidRDefault="00231AF8" w:rsidP="003058F7">
            <w:pPr>
              <w:rPr>
                <w:rFonts w:ascii="Calibri" w:hAnsi="Calibri" w:cs="Calibri"/>
                <w:b/>
                <w:color w:val="000000"/>
                <w:szCs w:val="22"/>
                <w:lang w:eastAsia="en-GB"/>
              </w:rPr>
            </w:pPr>
            <w:r w:rsidRPr="00231AF8">
              <w:rPr>
                <w:rFonts w:ascii="Calibri" w:hAnsi="Calibri" w:cs="Calibri"/>
                <w:b/>
                <w:color w:val="000000"/>
                <w:szCs w:val="22"/>
                <w:lang w:eastAsia="en-GB"/>
              </w:rPr>
              <w:t>S</w:t>
            </w:r>
            <w:r w:rsidR="003058F7" w:rsidRPr="00231AF8">
              <w:rPr>
                <w:rFonts w:ascii="Calibri" w:hAnsi="Calibri" w:cs="Calibri"/>
                <w:b/>
                <w:color w:val="000000"/>
                <w:szCs w:val="22"/>
                <w:lang w:eastAsia="en-GB"/>
              </w:rPr>
              <w:t>ervices</w:t>
            </w:r>
            <w:r>
              <w:rPr>
                <w:rFonts w:ascii="Calibri" w:hAnsi="Calibri" w:cs="Calibri"/>
                <w:b/>
                <w:color w:val="000000"/>
                <w:szCs w:val="22"/>
                <w:lang w:eastAsia="en-GB"/>
              </w:rPr>
              <w:t>*</w:t>
            </w:r>
          </w:p>
        </w:tc>
      </w:tr>
      <w:tr w:rsidR="003058F7" w:rsidRPr="003058F7" w14:paraId="4970896A" w14:textId="77777777" w:rsidTr="00892546">
        <w:trPr>
          <w:trHeight w:val="300"/>
          <w:jc w:val="center"/>
        </w:trPr>
        <w:tc>
          <w:tcPr>
            <w:tcW w:w="1020" w:type="pct"/>
            <w:noWrap/>
            <w:hideMark/>
          </w:tcPr>
          <w:p w14:paraId="5748CC55"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83</w:t>
            </w:r>
          </w:p>
        </w:tc>
        <w:tc>
          <w:tcPr>
            <w:tcW w:w="1467" w:type="pct"/>
            <w:noWrap/>
            <w:hideMark/>
          </w:tcPr>
          <w:p w14:paraId="1ED3B8B7" w14:textId="77777777" w:rsidR="003058F7" w:rsidRPr="00231AF8" w:rsidRDefault="00231AF8" w:rsidP="003058F7">
            <w:pPr>
              <w:rPr>
                <w:rFonts w:ascii="Calibri" w:hAnsi="Calibri" w:cs="Calibri"/>
                <w:b/>
                <w:color w:val="000000"/>
                <w:szCs w:val="22"/>
                <w:lang w:eastAsia="en-GB"/>
              </w:rPr>
            </w:pPr>
            <w:r w:rsidRPr="00231AF8">
              <w:rPr>
                <w:rFonts w:ascii="Calibri" w:hAnsi="Calibri" w:cs="Calibri"/>
                <w:b/>
                <w:color w:val="000000"/>
                <w:szCs w:val="22"/>
                <w:lang w:eastAsia="en-GB"/>
              </w:rPr>
              <w:t>S</w:t>
            </w:r>
            <w:r w:rsidR="003058F7" w:rsidRPr="00231AF8">
              <w:rPr>
                <w:rFonts w:ascii="Calibri" w:hAnsi="Calibri" w:cs="Calibri"/>
                <w:b/>
                <w:color w:val="000000"/>
                <w:szCs w:val="22"/>
                <w:lang w:eastAsia="en-GB"/>
              </w:rPr>
              <w:t>ervices</w:t>
            </w:r>
            <w:r>
              <w:rPr>
                <w:rFonts w:ascii="Calibri" w:hAnsi="Calibri" w:cs="Calibri"/>
                <w:b/>
                <w:color w:val="000000"/>
                <w:szCs w:val="22"/>
                <w:lang w:eastAsia="en-GB"/>
              </w:rPr>
              <w:t>*</w:t>
            </w:r>
          </w:p>
        </w:tc>
        <w:tc>
          <w:tcPr>
            <w:tcW w:w="1020" w:type="pct"/>
            <w:noWrap/>
            <w:hideMark/>
          </w:tcPr>
          <w:p w14:paraId="3B62042C"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60</w:t>
            </w:r>
          </w:p>
        </w:tc>
        <w:tc>
          <w:tcPr>
            <w:tcW w:w="1493" w:type="pct"/>
            <w:noWrap/>
            <w:hideMark/>
          </w:tcPr>
          <w:p w14:paraId="3A46CE99"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L</w:t>
            </w:r>
            <w:r w:rsidR="003058F7" w:rsidRPr="003058F7">
              <w:rPr>
                <w:rFonts w:ascii="Calibri" w:hAnsi="Calibri" w:cs="Calibri"/>
                <w:color w:val="000000"/>
                <w:szCs w:val="22"/>
                <w:lang w:eastAsia="en-GB"/>
              </w:rPr>
              <w:t>imited</w:t>
            </w:r>
          </w:p>
        </w:tc>
      </w:tr>
      <w:tr w:rsidR="003058F7" w:rsidRPr="003058F7" w14:paraId="53860DC0" w14:textId="77777777" w:rsidTr="00892546">
        <w:trPr>
          <w:trHeight w:val="300"/>
          <w:jc w:val="center"/>
        </w:trPr>
        <w:tc>
          <w:tcPr>
            <w:tcW w:w="1020" w:type="pct"/>
            <w:noWrap/>
            <w:hideMark/>
          </w:tcPr>
          <w:p w14:paraId="7D548C6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83</w:t>
            </w:r>
          </w:p>
        </w:tc>
        <w:tc>
          <w:tcPr>
            <w:tcW w:w="1467" w:type="pct"/>
            <w:noWrap/>
            <w:hideMark/>
          </w:tcPr>
          <w:p w14:paraId="2F9C71DD"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limited</w:t>
            </w:r>
          </w:p>
        </w:tc>
        <w:tc>
          <w:tcPr>
            <w:tcW w:w="1020" w:type="pct"/>
            <w:noWrap/>
            <w:hideMark/>
          </w:tcPr>
          <w:p w14:paraId="1FC908B9"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56</w:t>
            </w:r>
          </w:p>
        </w:tc>
        <w:tc>
          <w:tcPr>
            <w:tcW w:w="1493" w:type="pct"/>
            <w:noWrap/>
            <w:hideMark/>
          </w:tcPr>
          <w:p w14:paraId="7E606816"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K</w:t>
            </w:r>
            <w:r w:rsidR="003058F7" w:rsidRPr="003058F7">
              <w:rPr>
                <w:rFonts w:ascii="Calibri" w:hAnsi="Calibri" w:cs="Calibri"/>
                <w:color w:val="000000"/>
                <w:szCs w:val="22"/>
                <w:lang w:eastAsia="en-GB"/>
              </w:rPr>
              <w:t>ingdom</w:t>
            </w:r>
          </w:p>
        </w:tc>
      </w:tr>
      <w:tr w:rsidR="003058F7" w:rsidRPr="003058F7" w14:paraId="4793BCB5" w14:textId="77777777" w:rsidTr="00892546">
        <w:trPr>
          <w:trHeight w:val="300"/>
          <w:jc w:val="center"/>
        </w:trPr>
        <w:tc>
          <w:tcPr>
            <w:tcW w:w="1020" w:type="pct"/>
            <w:noWrap/>
            <w:hideMark/>
          </w:tcPr>
          <w:p w14:paraId="58CA5F08"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83</w:t>
            </w:r>
          </w:p>
        </w:tc>
        <w:tc>
          <w:tcPr>
            <w:tcW w:w="1467" w:type="pct"/>
            <w:noWrap/>
            <w:hideMark/>
          </w:tcPr>
          <w:p w14:paraId="66AC9F67"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known</w:t>
            </w:r>
          </w:p>
        </w:tc>
        <w:tc>
          <w:tcPr>
            <w:tcW w:w="1020" w:type="pct"/>
            <w:noWrap/>
            <w:hideMark/>
          </w:tcPr>
          <w:p w14:paraId="076C2909"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54</w:t>
            </w:r>
          </w:p>
        </w:tc>
        <w:tc>
          <w:tcPr>
            <w:tcW w:w="1493" w:type="pct"/>
            <w:noWrap/>
            <w:hideMark/>
          </w:tcPr>
          <w:p w14:paraId="5B6EDFFC"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R</w:t>
            </w:r>
            <w:r w:rsidR="003058F7" w:rsidRPr="003058F7">
              <w:rPr>
                <w:rFonts w:ascii="Calibri" w:hAnsi="Calibri" w:cs="Calibri"/>
                <w:color w:val="000000"/>
                <w:szCs w:val="22"/>
                <w:lang w:eastAsia="en-GB"/>
              </w:rPr>
              <w:t>egistered</w:t>
            </w:r>
          </w:p>
        </w:tc>
      </w:tr>
      <w:tr w:rsidR="003058F7" w:rsidRPr="003058F7" w14:paraId="181EAF09" w14:textId="77777777" w:rsidTr="00892546">
        <w:trPr>
          <w:trHeight w:val="300"/>
          <w:jc w:val="center"/>
        </w:trPr>
        <w:tc>
          <w:tcPr>
            <w:tcW w:w="1020" w:type="pct"/>
            <w:noWrap/>
            <w:hideMark/>
          </w:tcPr>
          <w:p w14:paraId="09BB56C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77</w:t>
            </w:r>
          </w:p>
        </w:tc>
        <w:tc>
          <w:tcPr>
            <w:tcW w:w="1467" w:type="pct"/>
            <w:noWrap/>
            <w:hideMark/>
          </w:tcPr>
          <w:p w14:paraId="72FBEC46"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kingdom</w:t>
            </w:r>
          </w:p>
        </w:tc>
        <w:tc>
          <w:tcPr>
            <w:tcW w:w="1020" w:type="pct"/>
            <w:noWrap/>
            <w:hideMark/>
          </w:tcPr>
          <w:p w14:paraId="45A4222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46</w:t>
            </w:r>
          </w:p>
        </w:tc>
        <w:tc>
          <w:tcPr>
            <w:tcW w:w="1493" w:type="pct"/>
            <w:noWrap/>
            <w:hideMark/>
          </w:tcPr>
          <w:p w14:paraId="44C01627"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B</w:t>
            </w:r>
            <w:r w:rsidR="003058F7" w:rsidRPr="003058F7">
              <w:rPr>
                <w:rFonts w:ascii="Calibri" w:hAnsi="Calibri" w:cs="Calibri"/>
                <w:color w:val="000000"/>
                <w:szCs w:val="22"/>
                <w:lang w:eastAsia="en-GB"/>
              </w:rPr>
              <w:t>usiness</w:t>
            </w:r>
          </w:p>
        </w:tc>
      </w:tr>
      <w:tr w:rsidR="003058F7" w:rsidRPr="003058F7" w14:paraId="3130F913" w14:textId="77777777" w:rsidTr="00892546">
        <w:trPr>
          <w:trHeight w:val="300"/>
          <w:jc w:val="center"/>
        </w:trPr>
        <w:tc>
          <w:tcPr>
            <w:tcW w:w="1020" w:type="pct"/>
            <w:noWrap/>
            <w:hideMark/>
          </w:tcPr>
          <w:p w14:paraId="6C2DB014"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72</w:t>
            </w:r>
          </w:p>
        </w:tc>
        <w:tc>
          <w:tcPr>
            <w:tcW w:w="1467" w:type="pct"/>
            <w:noWrap/>
            <w:hideMark/>
          </w:tcPr>
          <w:p w14:paraId="2FC8D7DE"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formerly</w:t>
            </w:r>
          </w:p>
        </w:tc>
        <w:tc>
          <w:tcPr>
            <w:tcW w:w="1020" w:type="pct"/>
            <w:noWrap/>
            <w:hideMark/>
          </w:tcPr>
          <w:p w14:paraId="470E290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44</w:t>
            </w:r>
          </w:p>
        </w:tc>
        <w:tc>
          <w:tcPr>
            <w:tcW w:w="1493" w:type="pct"/>
            <w:noWrap/>
            <w:hideMark/>
          </w:tcPr>
          <w:p w14:paraId="0547DE8A"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O</w:t>
            </w:r>
            <w:r w:rsidR="003058F7" w:rsidRPr="003058F7">
              <w:rPr>
                <w:rFonts w:ascii="Calibri" w:hAnsi="Calibri" w:cs="Calibri"/>
                <w:color w:val="000000"/>
                <w:szCs w:val="22"/>
                <w:lang w:eastAsia="en-GB"/>
              </w:rPr>
              <w:t>ffice</w:t>
            </w:r>
          </w:p>
        </w:tc>
      </w:tr>
      <w:tr w:rsidR="003058F7" w:rsidRPr="003058F7" w14:paraId="53DFDC93" w14:textId="77777777" w:rsidTr="00892546">
        <w:trPr>
          <w:trHeight w:val="300"/>
          <w:jc w:val="center"/>
        </w:trPr>
        <w:tc>
          <w:tcPr>
            <w:tcW w:w="1020" w:type="pct"/>
            <w:noWrap/>
            <w:hideMark/>
          </w:tcPr>
          <w:p w14:paraId="3ED0166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71</w:t>
            </w:r>
          </w:p>
        </w:tc>
        <w:tc>
          <w:tcPr>
            <w:tcW w:w="1467" w:type="pct"/>
            <w:noWrap/>
            <w:hideMark/>
          </w:tcPr>
          <w:p w14:paraId="4FF97392"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office</w:t>
            </w:r>
          </w:p>
        </w:tc>
        <w:tc>
          <w:tcPr>
            <w:tcW w:w="1020" w:type="pct"/>
            <w:noWrap/>
            <w:hideMark/>
          </w:tcPr>
          <w:p w14:paraId="2FD37A50"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38</w:t>
            </w:r>
          </w:p>
        </w:tc>
        <w:tc>
          <w:tcPr>
            <w:tcW w:w="1493" w:type="pct"/>
            <w:noWrap/>
            <w:hideMark/>
          </w:tcPr>
          <w:p w14:paraId="5F081378"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P</w:t>
            </w:r>
            <w:r w:rsidR="003058F7" w:rsidRPr="003058F7">
              <w:rPr>
                <w:rFonts w:ascii="Calibri" w:hAnsi="Calibri" w:cs="Calibri"/>
                <w:color w:val="000000"/>
                <w:szCs w:val="22"/>
                <w:lang w:eastAsia="en-GB"/>
              </w:rPr>
              <w:t>ublication</w:t>
            </w:r>
          </w:p>
        </w:tc>
      </w:tr>
      <w:tr w:rsidR="003058F7" w:rsidRPr="003058F7" w14:paraId="67B1EA7F" w14:textId="77777777" w:rsidTr="00892546">
        <w:trPr>
          <w:trHeight w:val="300"/>
          <w:jc w:val="center"/>
        </w:trPr>
        <w:tc>
          <w:tcPr>
            <w:tcW w:w="1020" w:type="pct"/>
            <w:noWrap/>
            <w:hideMark/>
          </w:tcPr>
          <w:p w14:paraId="4E1DE884"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67</w:t>
            </w:r>
          </w:p>
        </w:tc>
        <w:tc>
          <w:tcPr>
            <w:tcW w:w="1467" w:type="pct"/>
            <w:noWrap/>
            <w:hideMark/>
          </w:tcPr>
          <w:p w14:paraId="6C6DE61E"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located</w:t>
            </w:r>
          </w:p>
        </w:tc>
        <w:tc>
          <w:tcPr>
            <w:tcW w:w="1020" w:type="pct"/>
            <w:noWrap/>
            <w:hideMark/>
          </w:tcPr>
          <w:p w14:paraId="4F2208C1"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37</w:t>
            </w:r>
          </w:p>
        </w:tc>
        <w:tc>
          <w:tcPr>
            <w:tcW w:w="1493" w:type="pct"/>
            <w:noWrap/>
            <w:hideMark/>
          </w:tcPr>
          <w:p w14:paraId="67B6B7B1"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H</w:t>
            </w:r>
            <w:r w:rsidR="003058F7" w:rsidRPr="003058F7">
              <w:rPr>
                <w:rFonts w:ascii="Calibri" w:hAnsi="Calibri" w:cs="Calibri"/>
                <w:color w:val="000000"/>
                <w:szCs w:val="22"/>
                <w:lang w:eastAsia="en-GB"/>
              </w:rPr>
              <w:t>olding</w:t>
            </w:r>
          </w:p>
        </w:tc>
      </w:tr>
      <w:tr w:rsidR="003058F7" w:rsidRPr="003058F7" w14:paraId="0A4DD928" w14:textId="77777777" w:rsidTr="00892546">
        <w:trPr>
          <w:trHeight w:val="300"/>
          <w:jc w:val="center"/>
        </w:trPr>
        <w:tc>
          <w:tcPr>
            <w:tcW w:w="1020" w:type="pct"/>
            <w:noWrap/>
            <w:hideMark/>
          </w:tcPr>
          <w:p w14:paraId="2F7E0B3D"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66</w:t>
            </w:r>
          </w:p>
        </w:tc>
        <w:tc>
          <w:tcPr>
            <w:tcW w:w="1467" w:type="pct"/>
            <w:noWrap/>
            <w:hideMark/>
          </w:tcPr>
          <w:p w14:paraId="1181FBBB"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registered</w:t>
            </w:r>
          </w:p>
        </w:tc>
        <w:tc>
          <w:tcPr>
            <w:tcW w:w="1020" w:type="pct"/>
            <w:noWrap/>
            <w:hideMark/>
          </w:tcPr>
          <w:p w14:paraId="42A2DCD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35</w:t>
            </w:r>
          </w:p>
        </w:tc>
        <w:tc>
          <w:tcPr>
            <w:tcW w:w="1493" w:type="pct"/>
            <w:noWrap/>
            <w:hideMark/>
          </w:tcPr>
          <w:p w14:paraId="7D0029BB"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K</w:t>
            </w:r>
            <w:r w:rsidR="003058F7" w:rsidRPr="003058F7">
              <w:rPr>
                <w:rFonts w:ascii="Calibri" w:hAnsi="Calibri" w:cs="Calibri"/>
                <w:color w:val="000000"/>
                <w:szCs w:val="22"/>
                <w:lang w:eastAsia="en-GB"/>
              </w:rPr>
              <w:t>nown</w:t>
            </w:r>
          </w:p>
        </w:tc>
      </w:tr>
      <w:tr w:rsidR="003058F7" w:rsidRPr="003058F7" w14:paraId="7BB8763A" w14:textId="77777777" w:rsidTr="00892546">
        <w:trPr>
          <w:trHeight w:val="300"/>
          <w:jc w:val="center"/>
        </w:trPr>
        <w:tc>
          <w:tcPr>
            <w:tcW w:w="1020" w:type="pct"/>
            <w:noWrap/>
            <w:hideMark/>
          </w:tcPr>
          <w:p w14:paraId="67908E7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61</w:t>
            </w:r>
          </w:p>
        </w:tc>
        <w:tc>
          <w:tcPr>
            <w:tcW w:w="1467" w:type="pct"/>
            <w:noWrap/>
            <w:hideMark/>
          </w:tcPr>
          <w:p w14:paraId="2FB79C78"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business</w:t>
            </w:r>
          </w:p>
        </w:tc>
        <w:tc>
          <w:tcPr>
            <w:tcW w:w="1020" w:type="pct"/>
            <w:noWrap/>
            <w:hideMark/>
          </w:tcPr>
          <w:p w14:paraId="31FA6483"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35</w:t>
            </w:r>
          </w:p>
        </w:tc>
        <w:tc>
          <w:tcPr>
            <w:tcW w:w="1493" w:type="pct"/>
            <w:noWrap/>
            <w:hideMark/>
          </w:tcPr>
          <w:p w14:paraId="6DEEC2EA"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M</w:t>
            </w:r>
            <w:r w:rsidR="003058F7" w:rsidRPr="003058F7">
              <w:rPr>
                <w:rFonts w:ascii="Calibri" w:hAnsi="Calibri" w:cs="Calibri"/>
                <w:color w:val="000000"/>
                <w:szCs w:val="22"/>
                <w:lang w:eastAsia="en-GB"/>
              </w:rPr>
              <w:t>usic</w:t>
            </w:r>
          </w:p>
        </w:tc>
      </w:tr>
      <w:tr w:rsidR="003058F7" w:rsidRPr="003058F7" w14:paraId="0A7EE1A9" w14:textId="77777777" w:rsidTr="00892546">
        <w:trPr>
          <w:trHeight w:val="300"/>
          <w:jc w:val="center"/>
        </w:trPr>
        <w:tc>
          <w:tcPr>
            <w:tcW w:w="1020" w:type="pct"/>
            <w:noWrap/>
            <w:hideMark/>
          </w:tcPr>
          <w:p w14:paraId="6E9C8C93"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58</w:t>
            </w:r>
          </w:p>
        </w:tc>
        <w:tc>
          <w:tcPr>
            <w:tcW w:w="1467" w:type="pct"/>
            <w:noWrap/>
            <w:hideMark/>
          </w:tcPr>
          <w:p w14:paraId="06C9C6D6"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group</w:t>
            </w:r>
          </w:p>
        </w:tc>
        <w:tc>
          <w:tcPr>
            <w:tcW w:w="1020" w:type="pct"/>
            <w:noWrap/>
            <w:hideMark/>
          </w:tcPr>
          <w:p w14:paraId="05DDB4B8"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34</w:t>
            </w:r>
          </w:p>
        </w:tc>
        <w:tc>
          <w:tcPr>
            <w:tcW w:w="1493" w:type="pct"/>
            <w:noWrap/>
            <w:hideMark/>
          </w:tcPr>
          <w:p w14:paraId="256ABA6E"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L</w:t>
            </w:r>
            <w:r w:rsidR="003058F7" w:rsidRPr="003058F7">
              <w:rPr>
                <w:rFonts w:ascii="Calibri" w:hAnsi="Calibri" w:cs="Calibri"/>
                <w:color w:val="000000"/>
                <w:szCs w:val="22"/>
                <w:lang w:eastAsia="en-GB"/>
              </w:rPr>
              <w:t>ocated</w:t>
            </w:r>
          </w:p>
        </w:tc>
      </w:tr>
      <w:tr w:rsidR="003058F7" w:rsidRPr="003058F7" w14:paraId="30A7AB77" w14:textId="77777777" w:rsidTr="00892546">
        <w:trPr>
          <w:trHeight w:val="300"/>
          <w:jc w:val="center"/>
        </w:trPr>
        <w:tc>
          <w:tcPr>
            <w:tcW w:w="1020" w:type="pct"/>
            <w:noWrap/>
            <w:hideMark/>
          </w:tcPr>
          <w:p w14:paraId="40A3BFC0"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57</w:t>
            </w:r>
          </w:p>
        </w:tc>
        <w:tc>
          <w:tcPr>
            <w:tcW w:w="1467" w:type="pct"/>
            <w:noWrap/>
            <w:hideMark/>
          </w:tcPr>
          <w:p w14:paraId="64FFFACB"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london</w:t>
            </w:r>
          </w:p>
        </w:tc>
        <w:tc>
          <w:tcPr>
            <w:tcW w:w="1020" w:type="pct"/>
            <w:noWrap/>
            <w:hideMark/>
          </w:tcPr>
          <w:p w14:paraId="4B4539FA"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32</w:t>
            </w:r>
          </w:p>
        </w:tc>
        <w:tc>
          <w:tcPr>
            <w:tcW w:w="1493" w:type="pct"/>
            <w:noWrap/>
            <w:hideMark/>
          </w:tcPr>
          <w:p w14:paraId="39CE0BCE" w14:textId="77777777" w:rsidR="003058F7" w:rsidRPr="00231AF8" w:rsidRDefault="00231AF8" w:rsidP="003058F7">
            <w:pPr>
              <w:rPr>
                <w:rFonts w:ascii="Calibri" w:hAnsi="Calibri" w:cs="Calibri"/>
                <w:b/>
                <w:color w:val="000000"/>
                <w:szCs w:val="22"/>
                <w:lang w:eastAsia="en-GB"/>
              </w:rPr>
            </w:pPr>
            <w:r w:rsidRPr="00231AF8">
              <w:rPr>
                <w:rFonts w:ascii="Calibri" w:hAnsi="Calibri" w:cs="Calibri"/>
                <w:b/>
                <w:color w:val="000000"/>
                <w:szCs w:val="22"/>
                <w:lang w:eastAsia="en-GB"/>
              </w:rPr>
              <w:t>M</w:t>
            </w:r>
            <w:r w:rsidR="003058F7" w:rsidRPr="00231AF8">
              <w:rPr>
                <w:rFonts w:ascii="Calibri" w:hAnsi="Calibri" w:cs="Calibri"/>
                <w:b/>
                <w:color w:val="000000"/>
                <w:szCs w:val="22"/>
                <w:lang w:eastAsia="en-GB"/>
              </w:rPr>
              <w:t>anagement</w:t>
            </w:r>
            <w:r>
              <w:rPr>
                <w:rFonts w:ascii="Calibri" w:hAnsi="Calibri" w:cs="Calibri"/>
                <w:b/>
                <w:color w:val="000000"/>
                <w:szCs w:val="22"/>
                <w:lang w:eastAsia="en-GB"/>
              </w:rPr>
              <w:t>*</w:t>
            </w:r>
          </w:p>
        </w:tc>
      </w:tr>
      <w:tr w:rsidR="003058F7" w:rsidRPr="003058F7" w14:paraId="3EFD726A" w14:textId="77777777" w:rsidTr="00892546">
        <w:trPr>
          <w:trHeight w:val="300"/>
          <w:jc w:val="center"/>
        </w:trPr>
        <w:tc>
          <w:tcPr>
            <w:tcW w:w="1020" w:type="pct"/>
            <w:noWrap/>
            <w:hideMark/>
          </w:tcPr>
          <w:p w14:paraId="2B69AE9A"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56</w:t>
            </w:r>
          </w:p>
        </w:tc>
        <w:tc>
          <w:tcPr>
            <w:tcW w:w="1467" w:type="pct"/>
            <w:noWrap/>
            <w:hideMark/>
          </w:tcPr>
          <w:p w14:paraId="105C1088" w14:textId="77777777" w:rsidR="003058F7" w:rsidRPr="00231AF8" w:rsidRDefault="003058F7" w:rsidP="003058F7">
            <w:pPr>
              <w:rPr>
                <w:rFonts w:ascii="Calibri" w:hAnsi="Calibri" w:cs="Calibri"/>
                <w:color w:val="000000"/>
                <w:szCs w:val="22"/>
                <w:lang w:eastAsia="en-GB"/>
              </w:rPr>
            </w:pPr>
            <w:r w:rsidRPr="00231AF8">
              <w:rPr>
                <w:rFonts w:ascii="Calibri" w:hAnsi="Calibri" w:cs="Calibri"/>
                <w:color w:val="000000"/>
                <w:szCs w:val="22"/>
                <w:lang w:eastAsia="en-GB"/>
              </w:rPr>
              <w:t>publishes</w:t>
            </w:r>
          </w:p>
        </w:tc>
        <w:tc>
          <w:tcPr>
            <w:tcW w:w="1020" w:type="pct"/>
            <w:noWrap/>
            <w:hideMark/>
          </w:tcPr>
          <w:p w14:paraId="36F2E8E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31</w:t>
            </w:r>
          </w:p>
        </w:tc>
        <w:tc>
          <w:tcPr>
            <w:tcW w:w="1493" w:type="pct"/>
            <w:noWrap/>
            <w:hideMark/>
          </w:tcPr>
          <w:p w14:paraId="1FDEBCCB"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I</w:t>
            </w:r>
            <w:r w:rsidR="003058F7" w:rsidRPr="003058F7">
              <w:rPr>
                <w:rFonts w:ascii="Calibri" w:hAnsi="Calibri" w:cs="Calibri"/>
                <w:color w:val="000000"/>
                <w:szCs w:val="22"/>
                <w:lang w:eastAsia="en-GB"/>
              </w:rPr>
              <w:t>ncorporated</w:t>
            </w:r>
          </w:p>
        </w:tc>
      </w:tr>
      <w:tr w:rsidR="003058F7" w:rsidRPr="003058F7" w14:paraId="48CD2BCB" w14:textId="77777777" w:rsidTr="00892546">
        <w:trPr>
          <w:trHeight w:val="300"/>
          <w:jc w:val="center"/>
        </w:trPr>
        <w:tc>
          <w:tcPr>
            <w:tcW w:w="1020" w:type="pct"/>
            <w:noWrap/>
            <w:hideMark/>
          </w:tcPr>
          <w:p w14:paraId="1C1B2EF7"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56</w:t>
            </w:r>
          </w:p>
        </w:tc>
        <w:tc>
          <w:tcPr>
            <w:tcW w:w="1467" w:type="pct"/>
            <w:noWrap/>
            <w:hideMark/>
          </w:tcPr>
          <w:p w14:paraId="59E58721"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also</w:t>
            </w:r>
          </w:p>
        </w:tc>
        <w:tc>
          <w:tcPr>
            <w:tcW w:w="1020" w:type="pct"/>
            <w:noWrap/>
            <w:hideMark/>
          </w:tcPr>
          <w:p w14:paraId="557DEF2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31</w:t>
            </w:r>
          </w:p>
        </w:tc>
        <w:tc>
          <w:tcPr>
            <w:tcW w:w="1493" w:type="pct"/>
            <w:noWrap/>
            <w:hideMark/>
          </w:tcPr>
          <w:p w14:paraId="5B4D8AA8"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F</w:t>
            </w:r>
            <w:r w:rsidR="003058F7" w:rsidRPr="003058F7">
              <w:rPr>
                <w:rFonts w:ascii="Calibri" w:hAnsi="Calibri" w:cs="Calibri"/>
                <w:color w:val="000000"/>
                <w:szCs w:val="22"/>
                <w:lang w:eastAsia="en-GB"/>
              </w:rPr>
              <w:t>ormerly</w:t>
            </w:r>
          </w:p>
        </w:tc>
      </w:tr>
      <w:tr w:rsidR="003058F7" w:rsidRPr="003058F7" w14:paraId="5EE7391A" w14:textId="77777777" w:rsidTr="00892546">
        <w:trPr>
          <w:trHeight w:val="300"/>
          <w:jc w:val="center"/>
        </w:trPr>
        <w:tc>
          <w:tcPr>
            <w:tcW w:w="1020" w:type="pct"/>
            <w:noWrap/>
            <w:hideMark/>
          </w:tcPr>
          <w:p w14:paraId="0215DFA5"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54</w:t>
            </w:r>
          </w:p>
        </w:tc>
        <w:tc>
          <w:tcPr>
            <w:tcW w:w="1467" w:type="pct"/>
            <w:noWrap/>
            <w:hideMark/>
          </w:tcPr>
          <w:p w14:paraId="1C3168B4"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publisher</w:t>
            </w:r>
          </w:p>
        </w:tc>
        <w:tc>
          <w:tcPr>
            <w:tcW w:w="1020" w:type="pct"/>
            <w:noWrap/>
            <w:hideMark/>
          </w:tcPr>
          <w:p w14:paraId="2E8A77D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31</w:t>
            </w:r>
          </w:p>
        </w:tc>
        <w:tc>
          <w:tcPr>
            <w:tcW w:w="1493" w:type="pct"/>
            <w:noWrap/>
            <w:hideMark/>
          </w:tcPr>
          <w:p w14:paraId="11254C27" w14:textId="77777777" w:rsidR="003058F7" w:rsidRPr="003058F7" w:rsidRDefault="00BC162B" w:rsidP="003058F7">
            <w:pPr>
              <w:rPr>
                <w:rFonts w:ascii="Calibri" w:hAnsi="Calibri" w:cs="Calibri"/>
                <w:color w:val="000000"/>
                <w:szCs w:val="22"/>
                <w:lang w:eastAsia="en-GB"/>
              </w:rPr>
            </w:pPr>
            <w:r>
              <w:rPr>
                <w:rFonts w:ascii="Calibri" w:hAnsi="Calibri" w:cs="Calibri"/>
                <w:color w:val="000000"/>
                <w:szCs w:val="22"/>
                <w:lang w:eastAsia="en-GB"/>
              </w:rPr>
              <w:t>London</w:t>
            </w:r>
          </w:p>
        </w:tc>
      </w:tr>
      <w:tr w:rsidR="003058F7" w:rsidRPr="003058F7" w14:paraId="36B1B9F6" w14:textId="77777777" w:rsidTr="00892546">
        <w:trPr>
          <w:trHeight w:val="300"/>
          <w:jc w:val="center"/>
        </w:trPr>
        <w:tc>
          <w:tcPr>
            <w:tcW w:w="1020" w:type="pct"/>
            <w:noWrap/>
            <w:hideMark/>
          </w:tcPr>
          <w:p w14:paraId="6786787A"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50</w:t>
            </w:r>
          </w:p>
        </w:tc>
        <w:tc>
          <w:tcPr>
            <w:tcW w:w="1467" w:type="pct"/>
            <w:noWrap/>
            <w:hideMark/>
          </w:tcPr>
          <w:p w14:paraId="2CC8DEF3" w14:textId="77777777" w:rsidR="003058F7" w:rsidRPr="00231AF8" w:rsidRDefault="00231AF8" w:rsidP="003058F7">
            <w:pPr>
              <w:rPr>
                <w:rFonts w:ascii="Calibri" w:hAnsi="Calibri" w:cs="Calibri"/>
                <w:b/>
                <w:color w:val="000000"/>
                <w:szCs w:val="22"/>
                <w:lang w:eastAsia="en-GB"/>
              </w:rPr>
            </w:pPr>
            <w:r w:rsidRPr="00231AF8">
              <w:rPr>
                <w:rFonts w:ascii="Calibri" w:hAnsi="Calibri" w:cs="Calibri"/>
                <w:b/>
                <w:color w:val="000000"/>
                <w:szCs w:val="22"/>
                <w:lang w:eastAsia="en-GB"/>
              </w:rPr>
              <w:t>D</w:t>
            </w:r>
            <w:r w:rsidR="003058F7" w:rsidRPr="00231AF8">
              <w:rPr>
                <w:rFonts w:ascii="Calibri" w:hAnsi="Calibri" w:cs="Calibri"/>
                <w:b/>
                <w:color w:val="000000"/>
                <w:szCs w:val="22"/>
                <w:lang w:eastAsia="en-GB"/>
              </w:rPr>
              <w:t>istribution</w:t>
            </w:r>
            <w:r w:rsidRPr="00231AF8">
              <w:rPr>
                <w:rFonts w:ascii="Calibri" w:hAnsi="Calibri" w:cs="Calibri"/>
                <w:b/>
                <w:color w:val="000000"/>
                <w:szCs w:val="22"/>
                <w:lang w:eastAsia="en-GB"/>
              </w:rPr>
              <w:t>*</w:t>
            </w:r>
          </w:p>
        </w:tc>
        <w:tc>
          <w:tcPr>
            <w:tcW w:w="1020" w:type="pct"/>
            <w:noWrap/>
            <w:hideMark/>
          </w:tcPr>
          <w:p w14:paraId="311DE912"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28</w:t>
            </w:r>
          </w:p>
        </w:tc>
        <w:tc>
          <w:tcPr>
            <w:tcW w:w="1493" w:type="pct"/>
            <w:noWrap/>
            <w:hideMark/>
          </w:tcPr>
          <w:p w14:paraId="63831461"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P</w:t>
            </w:r>
            <w:r w:rsidR="003058F7" w:rsidRPr="003058F7">
              <w:rPr>
                <w:rFonts w:ascii="Calibri" w:hAnsi="Calibri" w:cs="Calibri"/>
                <w:color w:val="000000"/>
                <w:szCs w:val="22"/>
                <w:lang w:eastAsia="en-GB"/>
              </w:rPr>
              <w:t>rovision</w:t>
            </w:r>
          </w:p>
        </w:tc>
      </w:tr>
      <w:tr w:rsidR="003058F7" w:rsidRPr="003058F7" w14:paraId="5EC82EF1" w14:textId="77777777" w:rsidTr="00892546">
        <w:trPr>
          <w:trHeight w:val="300"/>
          <w:jc w:val="center"/>
        </w:trPr>
        <w:tc>
          <w:tcPr>
            <w:tcW w:w="1020" w:type="pct"/>
            <w:noWrap/>
            <w:hideMark/>
          </w:tcPr>
          <w:p w14:paraId="5B37DB59"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49</w:t>
            </w:r>
          </w:p>
        </w:tc>
        <w:tc>
          <w:tcPr>
            <w:tcW w:w="1467" w:type="pct"/>
            <w:noWrap/>
            <w:hideMark/>
          </w:tcPr>
          <w:p w14:paraId="08E6BC07"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incorporated</w:t>
            </w:r>
          </w:p>
        </w:tc>
        <w:tc>
          <w:tcPr>
            <w:tcW w:w="1020" w:type="pct"/>
            <w:noWrap/>
            <w:hideMark/>
          </w:tcPr>
          <w:p w14:paraId="16C81217"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26</w:t>
            </w:r>
          </w:p>
        </w:tc>
        <w:tc>
          <w:tcPr>
            <w:tcW w:w="1493" w:type="pct"/>
            <w:noWrap/>
            <w:hideMark/>
          </w:tcPr>
          <w:p w14:paraId="146AC304"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O</w:t>
            </w:r>
            <w:r w:rsidR="003058F7" w:rsidRPr="003058F7">
              <w:rPr>
                <w:rFonts w:ascii="Calibri" w:hAnsi="Calibri" w:cs="Calibri"/>
                <w:color w:val="000000"/>
                <w:szCs w:val="22"/>
                <w:lang w:eastAsia="en-GB"/>
              </w:rPr>
              <w:t>perates</w:t>
            </w:r>
          </w:p>
        </w:tc>
      </w:tr>
      <w:tr w:rsidR="003058F7" w:rsidRPr="003058F7" w14:paraId="03846B97" w14:textId="77777777" w:rsidTr="00892546">
        <w:trPr>
          <w:trHeight w:val="300"/>
          <w:jc w:val="center"/>
        </w:trPr>
        <w:tc>
          <w:tcPr>
            <w:tcW w:w="1020" w:type="pct"/>
            <w:noWrap/>
            <w:hideMark/>
          </w:tcPr>
          <w:p w14:paraId="40BDC01F"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44</w:t>
            </w:r>
          </w:p>
        </w:tc>
        <w:tc>
          <w:tcPr>
            <w:tcW w:w="1467" w:type="pct"/>
            <w:noWrap/>
            <w:hideMark/>
          </w:tcPr>
          <w:p w14:paraId="4A8046AB"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products</w:t>
            </w:r>
          </w:p>
        </w:tc>
        <w:tc>
          <w:tcPr>
            <w:tcW w:w="1020" w:type="pct"/>
            <w:noWrap/>
            <w:hideMark/>
          </w:tcPr>
          <w:p w14:paraId="3623ED0E"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25</w:t>
            </w:r>
          </w:p>
        </w:tc>
        <w:tc>
          <w:tcPr>
            <w:tcW w:w="1493" w:type="pct"/>
            <w:noWrap/>
            <w:hideMark/>
          </w:tcPr>
          <w:p w14:paraId="1B4A113F"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H</w:t>
            </w:r>
            <w:r w:rsidR="003058F7" w:rsidRPr="003058F7">
              <w:rPr>
                <w:rFonts w:ascii="Calibri" w:hAnsi="Calibri" w:cs="Calibri"/>
                <w:color w:val="000000"/>
                <w:szCs w:val="22"/>
                <w:lang w:eastAsia="en-GB"/>
              </w:rPr>
              <w:t>ead</w:t>
            </w:r>
          </w:p>
        </w:tc>
      </w:tr>
      <w:tr w:rsidR="003058F7" w:rsidRPr="003058F7" w14:paraId="30A10D5C" w14:textId="77777777" w:rsidTr="00892546">
        <w:trPr>
          <w:trHeight w:val="300"/>
          <w:jc w:val="center"/>
        </w:trPr>
        <w:tc>
          <w:tcPr>
            <w:tcW w:w="1020" w:type="pct"/>
            <w:noWrap/>
            <w:hideMark/>
          </w:tcPr>
          <w:p w14:paraId="0A204132"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42</w:t>
            </w:r>
          </w:p>
        </w:tc>
        <w:tc>
          <w:tcPr>
            <w:tcW w:w="1467" w:type="pct"/>
            <w:noWrap/>
            <w:hideMark/>
          </w:tcPr>
          <w:p w14:paraId="1271DDA1" w14:textId="77777777" w:rsidR="003058F7" w:rsidRPr="003058F7" w:rsidRDefault="003058F7" w:rsidP="003058F7">
            <w:pPr>
              <w:rPr>
                <w:rFonts w:ascii="Calibri" w:hAnsi="Calibri" w:cs="Calibri"/>
                <w:color w:val="000000"/>
                <w:szCs w:val="22"/>
                <w:lang w:eastAsia="en-GB"/>
              </w:rPr>
            </w:pPr>
            <w:r w:rsidRPr="003058F7">
              <w:rPr>
                <w:rFonts w:ascii="Calibri" w:hAnsi="Calibri" w:cs="Calibri"/>
                <w:color w:val="000000"/>
                <w:szCs w:val="22"/>
                <w:lang w:eastAsia="en-GB"/>
              </w:rPr>
              <w:t>children's</w:t>
            </w:r>
          </w:p>
        </w:tc>
        <w:tc>
          <w:tcPr>
            <w:tcW w:w="1020" w:type="pct"/>
            <w:noWrap/>
            <w:hideMark/>
          </w:tcPr>
          <w:p w14:paraId="35502163" w14:textId="77777777" w:rsidR="003058F7" w:rsidRPr="003058F7" w:rsidRDefault="003058F7" w:rsidP="003058F7">
            <w:pPr>
              <w:jc w:val="right"/>
              <w:rPr>
                <w:rFonts w:ascii="Calibri" w:hAnsi="Calibri" w:cs="Calibri"/>
                <w:color w:val="000000"/>
                <w:szCs w:val="22"/>
                <w:lang w:eastAsia="en-GB"/>
              </w:rPr>
            </w:pPr>
            <w:r w:rsidRPr="003058F7">
              <w:rPr>
                <w:rFonts w:ascii="Calibri" w:hAnsi="Calibri" w:cs="Calibri"/>
                <w:color w:val="000000"/>
                <w:szCs w:val="22"/>
                <w:lang w:eastAsia="en-GB"/>
              </w:rPr>
              <w:t>25</w:t>
            </w:r>
          </w:p>
        </w:tc>
        <w:tc>
          <w:tcPr>
            <w:tcW w:w="1493" w:type="pct"/>
            <w:noWrap/>
            <w:hideMark/>
          </w:tcPr>
          <w:p w14:paraId="5E1D99C5" w14:textId="77777777" w:rsidR="003058F7" w:rsidRPr="003058F7" w:rsidRDefault="00BC162B" w:rsidP="003058F7">
            <w:pPr>
              <w:rPr>
                <w:rFonts w:ascii="Calibri" w:hAnsi="Calibri" w:cs="Calibri"/>
                <w:color w:val="000000"/>
                <w:szCs w:val="22"/>
                <w:lang w:eastAsia="en-GB"/>
              </w:rPr>
            </w:pPr>
            <w:r w:rsidRPr="003058F7">
              <w:rPr>
                <w:rFonts w:ascii="Calibri" w:hAnsi="Calibri" w:cs="Calibri"/>
                <w:color w:val="000000"/>
                <w:szCs w:val="22"/>
                <w:lang w:eastAsia="en-GB"/>
              </w:rPr>
              <w:t>N</w:t>
            </w:r>
            <w:r w:rsidR="003058F7" w:rsidRPr="003058F7">
              <w:rPr>
                <w:rFonts w:ascii="Calibri" w:hAnsi="Calibri" w:cs="Calibri"/>
                <w:color w:val="000000"/>
                <w:szCs w:val="22"/>
                <w:lang w:eastAsia="en-GB"/>
              </w:rPr>
              <w:t>ew</w:t>
            </w:r>
          </w:p>
        </w:tc>
      </w:tr>
    </w:tbl>
    <w:p w14:paraId="2D8A4064" w14:textId="77777777" w:rsidR="003058F7" w:rsidRDefault="003058F7" w:rsidP="00540AB1"/>
    <w:p w14:paraId="2BD4F81F" w14:textId="77777777" w:rsidR="002C3AF5" w:rsidRDefault="00BA05F3" w:rsidP="00BA05F3">
      <w:r>
        <w:t>The analysis above leads to</w:t>
      </w:r>
      <w:r w:rsidR="00BC162B">
        <w:t xml:space="preserve"> an</w:t>
      </w:r>
      <w:r>
        <w:t xml:space="preserve"> inconclusive result as the unsupervised method fails to detect any significantly different groups of publishers in terms of their descriptive information. </w:t>
      </w:r>
      <w:r w:rsidR="002C3AF5" w:rsidRPr="002C3AF5">
        <w:t>We find no significant evidence of strategic diversity</w:t>
      </w:r>
      <w:r>
        <w:t xml:space="preserve"> with these results. Ultimately </w:t>
      </w:r>
      <w:r w:rsidR="00BC162B">
        <w:t xml:space="preserve">it is </w:t>
      </w:r>
      <w:r>
        <w:t>a</w:t>
      </w:r>
      <w:r w:rsidR="002C3AF5" w:rsidRPr="002C3AF5">
        <w:t xml:space="preserve"> single group </w:t>
      </w:r>
      <w:r w:rsidR="00BC162B">
        <w:t xml:space="preserve">descriptor that </w:t>
      </w:r>
      <w:r w:rsidR="002C3AF5" w:rsidRPr="002C3AF5">
        <w:t xml:space="preserve">emerges from </w:t>
      </w:r>
      <w:r w:rsidR="00BC162B">
        <w:t xml:space="preserve">the </w:t>
      </w:r>
      <w:r>
        <w:t>clustering method.</w:t>
      </w:r>
    </w:p>
    <w:p w14:paraId="243F9528" w14:textId="77777777" w:rsidR="00540AB1" w:rsidRDefault="00540AB1" w:rsidP="00540AB1">
      <w:pPr>
        <w:pStyle w:val="Heading1"/>
      </w:pPr>
      <w:r>
        <w:t>Discussion</w:t>
      </w:r>
      <w:r w:rsidR="000835B4">
        <w:t xml:space="preserve"> and Conclusion</w:t>
      </w:r>
    </w:p>
    <w:p w14:paraId="3649D57B" w14:textId="77777777" w:rsidR="001B4D02" w:rsidRDefault="001B4D02" w:rsidP="001B4D02">
      <w:r>
        <w:t>The originality and contribution of this work is the use of u</w:t>
      </w:r>
      <w:r w:rsidRPr="001A3109">
        <w:t>nsupervised clustering</w:t>
      </w:r>
      <w:r>
        <w:t xml:space="preserve"> to detect naturally occurring groups in large datasets</w:t>
      </w:r>
      <w:r w:rsidRPr="001A3109">
        <w:t>: we don’t prescribe categories of firms to match our understanding/bias</w:t>
      </w:r>
      <w:r>
        <w:t>. This sets our work apart from most previous studies on servitization</w:t>
      </w:r>
      <w:r w:rsidR="0048790B">
        <w:t xml:space="preserve"> (</w:t>
      </w:r>
      <w:r w:rsidR="0048790B" w:rsidRPr="00180A6A">
        <w:t>Neely</w:t>
      </w:r>
      <w:r w:rsidR="0048790B">
        <w:t xml:space="preserve">, </w:t>
      </w:r>
      <w:r w:rsidR="0048790B" w:rsidRPr="00180A6A">
        <w:t>2008</w:t>
      </w:r>
      <w:r w:rsidR="0048790B">
        <w:t>;</w:t>
      </w:r>
      <w:r w:rsidR="0048790B" w:rsidRPr="00180A6A">
        <w:t xml:space="preserve"> Benedettini et al.</w:t>
      </w:r>
      <w:r w:rsidR="0048790B">
        <w:t xml:space="preserve">, </w:t>
      </w:r>
      <w:r w:rsidR="0048790B" w:rsidRPr="00180A6A">
        <w:t>2015</w:t>
      </w:r>
      <w:r w:rsidR="00C50D10">
        <w:t>, 2017</w:t>
      </w:r>
      <w:r w:rsidR="0048790B" w:rsidRPr="00180A6A">
        <w:t>)</w:t>
      </w:r>
      <w:r>
        <w:t>, which start with a priori defined groups and in most cases successfully find differences between them.</w:t>
      </w:r>
    </w:p>
    <w:p w14:paraId="498FA121" w14:textId="221E5761" w:rsidR="00BC162B" w:rsidRDefault="001B4D02" w:rsidP="002C3AF5">
      <w:r>
        <w:t>In undertaking this analysis, w</w:t>
      </w:r>
      <w:r w:rsidR="00BA05F3">
        <w:t xml:space="preserve">e find no </w:t>
      </w:r>
      <w:r w:rsidR="00540AB1">
        <w:t>clear trend in UK data</w:t>
      </w:r>
      <w:r w:rsidR="00BA05F3">
        <w:t xml:space="preserve"> in terms of </w:t>
      </w:r>
      <w:r w:rsidR="00BC162B">
        <w:t xml:space="preserve">observable </w:t>
      </w:r>
      <w:r w:rsidR="00BA05F3">
        <w:t>differen</w:t>
      </w:r>
      <w:r w:rsidR="00BC162B">
        <w:t>ces in the strategies of</w:t>
      </w:r>
      <w:r w:rsidR="00BA05F3">
        <w:t xml:space="preserve"> publishers</w:t>
      </w:r>
      <w:r w:rsidR="00BC162B">
        <w:t>,</w:t>
      </w:r>
      <w:r w:rsidR="00BA05F3">
        <w:t xml:space="preserve"> assuming that the descriptive information is in part representative of the strategy or focus adopted by the respective firm.</w:t>
      </w:r>
      <w:r>
        <w:t xml:space="preserve"> </w:t>
      </w:r>
      <w:r w:rsidR="002C3AF5" w:rsidRPr="002C3AF5">
        <w:t xml:space="preserve">Our results </w:t>
      </w:r>
      <w:r w:rsidR="00BC162B">
        <w:t xml:space="preserve">lead us to three potential outcomes, </w:t>
      </w:r>
      <w:r w:rsidR="002C3AF5" w:rsidRPr="002C3AF5">
        <w:t>that either</w:t>
      </w:r>
      <w:r w:rsidR="002C3AF5">
        <w:t xml:space="preserve">: the research methodology is flawed; </w:t>
      </w:r>
      <w:r w:rsidR="002C3AF5" w:rsidRPr="002C3AF5">
        <w:t>the publicly available dataset</w:t>
      </w:r>
      <w:r w:rsidR="00BC3A04">
        <w:t>/descriptor</w:t>
      </w:r>
      <w:r w:rsidR="002C3AF5" w:rsidRPr="002C3AF5">
        <w:t xml:space="preserve"> is not representative of the publishing strategy in industry</w:t>
      </w:r>
      <w:r w:rsidR="002C3AF5">
        <w:t xml:space="preserve">; </w:t>
      </w:r>
      <w:r w:rsidR="002C3AF5" w:rsidRPr="002C3AF5">
        <w:t>or that there is no real evidence of servitization in the publishing sector</w:t>
      </w:r>
      <w:r w:rsidR="002C3AF5">
        <w:t>.</w:t>
      </w:r>
      <w:r w:rsidR="000835B4">
        <w:t xml:space="preserve"> </w:t>
      </w:r>
    </w:p>
    <w:p w14:paraId="262559D7" w14:textId="08A9CE45" w:rsidR="001A3109" w:rsidRDefault="000835B4" w:rsidP="001A3109">
      <w:r>
        <w:t>Failure to detect the differences c</w:t>
      </w:r>
      <w:r w:rsidR="00BC162B">
        <w:t xml:space="preserve">ould </w:t>
      </w:r>
      <w:r>
        <w:t xml:space="preserve">be attributed to the possibility </w:t>
      </w:r>
      <w:r w:rsidR="00BC162B">
        <w:t xml:space="preserve">that the </w:t>
      </w:r>
      <w:r w:rsidR="002C3AF5">
        <w:t xml:space="preserve">methods </w:t>
      </w:r>
      <w:r w:rsidR="00BC162B">
        <w:t>employed in this research are</w:t>
      </w:r>
      <w:r w:rsidR="002C3AF5">
        <w:t xml:space="preserve"> flawed.</w:t>
      </w:r>
      <w:r>
        <w:t xml:space="preserve"> </w:t>
      </w:r>
      <w:r w:rsidR="00BC3A04">
        <w:t xml:space="preserve">Future work will test this hypothesis using </w:t>
      </w:r>
      <w:r w:rsidR="001B4D02">
        <w:t xml:space="preserve">a larger dataset. We will undertake an </w:t>
      </w:r>
      <w:r w:rsidR="001A3109">
        <w:t>a</w:t>
      </w:r>
      <w:r w:rsidR="001A3109" w:rsidRPr="001A3109">
        <w:t xml:space="preserve">nalysis for whole of </w:t>
      </w:r>
      <w:r w:rsidR="001A3109">
        <w:t xml:space="preserve">the </w:t>
      </w:r>
      <w:r w:rsidR="001A3109" w:rsidRPr="001A3109">
        <w:t>EU</w:t>
      </w:r>
      <w:r w:rsidR="001A3109">
        <w:t>,</w:t>
      </w:r>
      <w:r w:rsidR="001A3109" w:rsidRPr="001A3109">
        <w:t xml:space="preserve"> </w:t>
      </w:r>
      <w:r w:rsidR="001A3109">
        <w:t xml:space="preserve">in either </w:t>
      </w:r>
      <w:r w:rsidR="001A3109" w:rsidRPr="001A3109">
        <w:t>manufacturing or publishing</w:t>
      </w:r>
      <w:r w:rsidR="001A3109">
        <w:t xml:space="preserve">. </w:t>
      </w:r>
      <w:r w:rsidR="001B4D02">
        <w:t>To test if the descriptors are representative w</w:t>
      </w:r>
      <w:r w:rsidR="001A3109">
        <w:t>e will further e</w:t>
      </w:r>
      <w:r w:rsidR="001A3109" w:rsidRPr="001A3109">
        <w:t>xperiment with a different method using webscraping</w:t>
      </w:r>
      <w:r w:rsidR="001A3109">
        <w:t xml:space="preserve"> to g</w:t>
      </w:r>
      <w:r w:rsidR="001A3109" w:rsidRPr="001A3109">
        <w:t xml:space="preserve">ather </w:t>
      </w:r>
      <w:r w:rsidR="001A3109">
        <w:t xml:space="preserve">textual </w:t>
      </w:r>
      <w:r w:rsidR="001A3109" w:rsidRPr="001A3109">
        <w:t xml:space="preserve">descriptions </w:t>
      </w:r>
      <w:r w:rsidR="001A3109">
        <w:t xml:space="preserve">of activities and offers </w:t>
      </w:r>
      <w:r w:rsidR="001A3109" w:rsidRPr="001A3109">
        <w:t>from company websites</w:t>
      </w:r>
      <w:r w:rsidR="001A3109">
        <w:t xml:space="preserve">. We believe that collection of primary data directly from firms as opposed to via third party aggregators is potentially </w:t>
      </w:r>
      <w:r w:rsidR="001A3109" w:rsidRPr="001A3109">
        <w:t>more representative and complete than</w:t>
      </w:r>
      <w:r w:rsidR="001A3109">
        <w:t xml:space="preserve"> the</w:t>
      </w:r>
      <w:r w:rsidR="001A3109" w:rsidRPr="001A3109">
        <w:t xml:space="preserve"> </w:t>
      </w:r>
      <w:r w:rsidR="00FC0860">
        <w:t>FAME</w:t>
      </w:r>
      <w:r w:rsidR="001A3109" w:rsidRPr="001A3109">
        <w:t xml:space="preserve"> database</w:t>
      </w:r>
      <w:r w:rsidR="001A3109">
        <w:t>.</w:t>
      </w:r>
    </w:p>
    <w:p w14:paraId="01F44156" w14:textId="77777777" w:rsidR="00BC162B" w:rsidRPr="001A3109" w:rsidRDefault="001B4D02" w:rsidP="0045722B">
      <w:r>
        <w:t>If t</w:t>
      </w:r>
      <w:r w:rsidR="00BC162B">
        <w:t xml:space="preserve">he </w:t>
      </w:r>
      <w:r>
        <w:t xml:space="preserve">third of the potential outcomes of our analysis is correct, it </w:t>
      </w:r>
      <w:r w:rsidR="00BC162B">
        <w:t xml:space="preserve">poses a </w:t>
      </w:r>
      <w:r w:rsidR="00BC162B" w:rsidRPr="002C3AF5">
        <w:t>challenge</w:t>
      </w:r>
      <w:r w:rsidR="00BC162B">
        <w:t xml:space="preserve"> to </w:t>
      </w:r>
      <w:r w:rsidR="00BC162B" w:rsidRPr="002C3AF5">
        <w:t>existing rhetoric about servitization and digitization</w:t>
      </w:r>
      <w:r>
        <w:t>. The</w:t>
      </w:r>
      <w:r w:rsidR="00BC162B">
        <w:t xml:space="preserve"> evidence </w:t>
      </w:r>
      <w:r>
        <w:t>from analysis does not recognise the widespread</w:t>
      </w:r>
      <w:r w:rsidR="00BC162B">
        <w:t xml:space="preserve"> existence</w:t>
      </w:r>
      <w:r>
        <w:t xml:space="preserve"> of servitization.</w:t>
      </w:r>
      <w:r w:rsidR="00BC162B">
        <w:t xml:space="preserve"> </w:t>
      </w:r>
      <w:r w:rsidR="00BC162B" w:rsidRPr="002C3AF5">
        <w:t xml:space="preserve">Failure to detect it can mean that </w:t>
      </w:r>
      <w:r w:rsidR="00BC162B">
        <w:t>servitization</w:t>
      </w:r>
      <w:r w:rsidR="00BC162B" w:rsidRPr="002C3AF5">
        <w:t xml:space="preserve"> is </w:t>
      </w:r>
      <w:r w:rsidR="00BC162B">
        <w:t xml:space="preserve">perhaps </w:t>
      </w:r>
      <w:r w:rsidR="00BC162B" w:rsidRPr="002C3AF5">
        <w:t xml:space="preserve">not as ubiquitous as </w:t>
      </w:r>
      <w:r w:rsidR="00BC162B">
        <w:t xml:space="preserve">some may </w:t>
      </w:r>
      <w:r>
        <w:t>suppose</w:t>
      </w:r>
      <w:r w:rsidR="00BC162B">
        <w:t>.</w:t>
      </w:r>
    </w:p>
    <w:p w14:paraId="127B2483" w14:textId="77777777" w:rsidR="00540AB1" w:rsidRDefault="00540AB1" w:rsidP="00540AB1">
      <w:pPr>
        <w:pStyle w:val="Heading1"/>
      </w:pPr>
      <w:r>
        <w:t>References</w:t>
      </w:r>
    </w:p>
    <w:p w14:paraId="193465C6" w14:textId="77777777" w:rsidR="009D3F24" w:rsidRPr="00180A6A" w:rsidRDefault="009D3F24" w:rsidP="009D3F24">
      <w:pPr>
        <w:pStyle w:val="References"/>
      </w:pPr>
      <w:r w:rsidRPr="000717EB">
        <w:t>Baines, T.S., Bigdeli, A.Z., Bustinza, O.F., Shi, V.G., Baldwin, J., Ridgway, Keith, 2016. “Servitization: revisiting the State-of-the-art and Research Priorities”, International Journal of Operations and Production Management, 37 (2) 256-278</w:t>
      </w:r>
    </w:p>
    <w:p w14:paraId="0A311F8B" w14:textId="77777777" w:rsidR="009D3F24" w:rsidRDefault="009D3F24" w:rsidP="009D3F24">
      <w:pPr>
        <w:pStyle w:val="References"/>
      </w:pPr>
      <w:r w:rsidRPr="00180A6A">
        <w:t xml:space="preserve">Benedettini, O., Neely, A. and Swink, M. (2015) Why do servitized firms fail? A risk-based explanation. </w:t>
      </w:r>
      <w:r w:rsidRPr="000717EB">
        <w:t>International Journal of Operations &amp; Production Management</w:t>
      </w:r>
      <w:r w:rsidRPr="00180A6A">
        <w:t>.</w:t>
      </w:r>
      <w:r>
        <w:t xml:space="preserve"> 35 (6), pp. 946-979.</w:t>
      </w:r>
    </w:p>
    <w:p w14:paraId="1993DD55" w14:textId="77777777" w:rsidR="009D3F24" w:rsidRPr="000717EB" w:rsidRDefault="009D3F24" w:rsidP="009D3F24">
      <w:pPr>
        <w:pStyle w:val="References"/>
      </w:pPr>
      <w:r w:rsidRPr="000717EB">
        <w:t>Benedettini, O., Swink, M. &amp; Neely, A., 2017. Examining the influence of service additions on manufacturing firms’ bankruptcy likelihood. Industrial Marketing Management, 60, pp.112–125.</w:t>
      </w:r>
    </w:p>
    <w:p w14:paraId="589EC471" w14:textId="77777777" w:rsidR="009D3F24" w:rsidRPr="000717EB" w:rsidRDefault="009D3F24" w:rsidP="009D3F24">
      <w:pPr>
        <w:pStyle w:val="References"/>
      </w:pPr>
      <w:r w:rsidRPr="000717EB">
        <w:t>Brax, S.A. &amp; Visintin, F., 2017. Meta-model of servitization: The integrative profiling approach. Industrial Marketing Management, 60, pp.17–32.</w:t>
      </w:r>
    </w:p>
    <w:p w14:paraId="5DE31697" w14:textId="77777777" w:rsidR="009D3F24" w:rsidRPr="00180A6A" w:rsidRDefault="009D3F24" w:rsidP="009D3F24">
      <w:pPr>
        <w:pStyle w:val="References"/>
      </w:pPr>
      <w:r w:rsidRPr="00180A6A">
        <w:t xml:space="preserve">Bureau Van Dijk (2015) </w:t>
      </w:r>
      <w:r w:rsidRPr="000717EB">
        <w:t xml:space="preserve">FAME – the definitive source of information on companies in the UK and Ireland. </w:t>
      </w:r>
      <w:r w:rsidRPr="00180A6A">
        <w:t xml:space="preserve">Available from: </w:t>
      </w:r>
      <w:hyperlink r:id="rId11" w:history="1">
        <w:r w:rsidRPr="000717EB">
          <w:t>http://www.bvdinfo.com/en-gb/our-products/company-information/national-products/fame</w:t>
        </w:r>
      </w:hyperlink>
    </w:p>
    <w:p w14:paraId="4924F3AD" w14:textId="64F689FC" w:rsidR="00ED6D63" w:rsidRDefault="00ED6D63" w:rsidP="00ED6D63">
      <w:pPr>
        <w:pStyle w:val="References"/>
      </w:pPr>
      <w:r>
        <w:t>Bustinza, O.F., Vendrell-Herrero, F., Gomes, E., Lafuente, E., Opazo-Basáez, M., Rabetino, R. and Vaillant, Y. (2018) ‘Product-service innovation and performance: unveiling the complexities’, International Journal of Business Environment, 10(2), pp.95–111.</w:t>
      </w:r>
    </w:p>
    <w:p w14:paraId="6BE67C24" w14:textId="7DEEB1B9" w:rsidR="009D3F24" w:rsidRDefault="009D3F24" w:rsidP="009D3F24">
      <w:pPr>
        <w:pStyle w:val="References"/>
      </w:pPr>
      <w:r w:rsidRPr="00180A6A">
        <w:t xml:space="preserve">Gebauer, H., Fleisch, E. and Friedli, T. (2005) Overcoming the service paradox in manufacturing companies. </w:t>
      </w:r>
      <w:r w:rsidRPr="000717EB">
        <w:t xml:space="preserve">European Management Journal. </w:t>
      </w:r>
      <w:r>
        <w:t>23 (1), pp. 14-26.</w:t>
      </w:r>
    </w:p>
    <w:p w14:paraId="0C59C19B" w14:textId="59FBB178" w:rsidR="00D73052" w:rsidRPr="00180A6A" w:rsidRDefault="00D73052" w:rsidP="00291BD9">
      <w:pPr>
        <w:pStyle w:val="References"/>
      </w:pPr>
      <w:r w:rsidRPr="00291BD9">
        <w:t>Guru, D.S., Kiranagi, B.B. and Nagabhushan, P., 2004. Multivalued type proximity measure and concept of mutual similarity value useful for clustering symbolic patterns. Pattern Recognition Letters, 25(10), pp.1203-1213.</w:t>
      </w:r>
    </w:p>
    <w:p w14:paraId="6A651067" w14:textId="77777777" w:rsidR="009D3F24" w:rsidRDefault="009D3F24" w:rsidP="009D3F24">
      <w:pPr>
        <w:pStyle w:val="References"/>
      </w:pPr>
      <w:r w:rsidRPr="000717EB">
        <w:t>Kamp, B. &amp; Parry, G., 2017. Servitization and advanced business services as levers for competitiveness. Industrial Marketing Management, 60, pp.11–16.</w:t>
      </w:r>
    </w:p>
    <w:p w14:paraId="423328FE" w14:textId="77777777" w:rsidR="004A6789" w:rsidRDefault="004A6789" w:rsidP="009D3F24">
      <w:pPr>
        <w:pStyle w:val="References"/>
      </w:pPr>
      <w:r>
        <w:t xml:space="preserve">Kharlamov, A. &amp; Parry, G., 2019 </w:t>
      </w:r>
      <w:r w:rsidRPr="004A6789">
        <w:t>The Impact of Servitization and Digitization on Productivity and Profitability of the Firm: A Systematic Approach</w:t>
      </w:r>
      <w:r w:rsidR="009D06D4">
        <w:t>, working paper</w:t>
      </w:r>
    </w:p>
    <w:p w14:paraId="2199F8BC" w14:textId="27D431F2" w:rsidR="00D73052" w:rsidRDefault="00D73052" w:rsidP="00291BD9">
      <w:pPr>
        <w:pStyle w:val="References"/>
      </w:pPr>
      <w:r w:rsidRPr="00291BD9">
        <w:t>Kerr, G., Ruskin, H.J., Crane, M. and Doolan, P., 2008. Techniques for clustering gene expression data. Computers in biology and medicine, 38(3), pp.283-293.</w:t>
      </w:r>
    </w:p>
    <w:p w14:paraId="2AE81479" w14:textId="0A9EC953" w:rsidR="008B4B90" w:rsidRDefault="008B4B90" w:rsidP="009D3F24">
      <w:pPr>
        <w:pStyle w:val="References"/>
      </w:pPr>
      <w:r>
        <w:t>Ketelhöhn, N., &amp; Martínez Argüello, O. (2018). Growth Strategies for Law Firms. Harvard Deusto Business Research, VII(1), 47-58</w:t>
      </w:r>
    </w:p>
    <w:p w14:paraId="24662712" w14:textId="128CD33B" w:rsidR="009D3F24" w:rsidRPr="000717EB" w:rsidRDefault="005650E6" w:rsidP="009D3F24">
      <w:pPr>
        <w:pStyle w:val="References"/>
      </w:pPr>
      <w:r w:rsidRPr="00291BD9">
        <w:t>Kohtamaki, M., Baines, T., Rabetino, R. &amp; Bigdeli, A.Z. 2018, Practices and tools for servitization: managing service transition, Palgrave Macmillan, Basingstoke, Hampshire</w:t>
      </w:r>
      <w:r w:rsidR="009D3F24" w:rsidRPr="000717EB">
        <w:t>Kowalkowski, C., Gebauer, H., Kamp, B. &amp; Parry, G., 2017a. Servitization and deservitization: Overview, concepts, and definitions. Industrial Marketing Management, 60, pp.4–10.</w:t>
      </w:r>
    </w:p>
    <w:p w14:paraId="7DF5B175" w14:textId="77777777" w:rsidR="009D3F24" w:rsidRDefault="009D3F24" w:rsidP="009D3F24">
      <w:pPr>
        <w:pStyle w:val="References"/>
      </w:pPr>
      <w:r w:rsidRPr="000717EB">
        <w:t>Kowalkowski, C., Gebauer, H. &amp; Oliva, R., 2017b. Service growth in product firms: Past, present, and future. Industrial Marketing Management, 60, pp.82–88.</w:t>
      </w:r>
    </w:p>
    <w:p w14:paraId="21C5DEB0" w14:textId="51426F5B" w:rsidR="00232AC5" w:rsidRDefault="00232AC5" w:rsidP="009D3F24">
      <w:pPr>
        <w:pStyle w:val="References"/>
      </w:pPr>
      <w:r w:rsidRPr="00232AC5">
        <w:t>Leginus, M., Zhai, C. &amp; Dolog, P. 2016, "Personalized generation of word clouds from tweets", Journal of the Association for Information Science and Technology, 67</w:t>
      </w:r>
      <w:r>
        <w:t xml:space="preserve"> (</w:t>
      </w:r>
      <w:r w:rsidRPr="00232AC5">
        <w:t>5</w:t>
      </w:r>
      <w:r>
        <w:t>)</w:t>
      </w:r>
      <w:r w:rsidRPr="00232AC5">
        <w:t>, pp. 1021-1032</w:t>
      </w:r>
    </w:p>
    <w:p w14:paraId="55A5C020" w14:textId="7611BE7E" w:rsidR="00E55F8F" w:rsidRDefault="00E55F8F" w:rsidP="009D3F24">
      <w:pPr>
        <w:pStyle w:val="References"/>
      </w:pPr>
      <w:r w:rsidRPr="00E55F8F">
        <w:t>Leoni, L. (2019). Productisation as the reverse side of the servitisation strategy. International Journal of Business Environment, 10(3), 247-269</w:t>
      </w:r>
    </w:p>
    <w:p w14:paraId="3FFC3EE4" w14:textId="265E8E96" w:rsidR="005650E6" w:rsidRPr="000717EB" w:rsidRDefault="005650E6" w:rsidP="009D3F24">
      <w:pPr>
        <w:pStyle w:val="References"/>
      </w:pPr>
      <w:r w:rsidRPr="005650E6">
        <w:t>Lightfoot, H., Baines, T. &amp; Smart, P. 2013, "The servitization of manufacturing: A systematic literature review of interdependent trends", International Journal of Operation</w:t>
      </w:r>
      <w:r>
        <w:t>s &amp; Production Management, 33</w:t>
      </w:r>
      <w:r w:rsidRPr="005650E6">
        <w:t xml:space="preserve"> </w:t>
      </w:r>
      <w:r>
        <w:t>(</w:t>
      </w:r>
      <w:r w:rsidRPr="005650E6">
        <w:t>11/12</w:t>
      </w:r>
      <w:r>
        <w:t>)</w:t>
      </w:r>
      <w:r w:rsidRPr="005650E6">
        <w:t xml:space="preserve"> pp. 1408-1434.</w:t>
      </w:r>
    </w:p>
    <w:p w14:paraId="52C877BF" w14:textId="77777777" w:rsidR="009D3F24" w:rsidRPr="00180A6A" w:rsidRDefault="009D3F24" w:rsidP="009D3F24">
      <w:pPr>
        <w:pStyle w:val="References"/>
      </w:pPr>
      <w:r w:rsidRPr="00180A6A">
        <w:t xml:space="preserve">Mathieu, V. (2001) Service strategies within the manufacturing sector: benefits, costs and partnership. </w:t>
      </w:r>
      <w:r w:rsidRPr="000717EB">
        <w:t xml:space="preserve">International Journal of Service Industry Management. </w:t>
      </w:r>
      <w:r>
        <w:t>12 (5), pp. 451-475.</w:t>
      </w:r>
    </w:p>
    <w:p w14:paraId="6FA6B858" w14:textId="77777777" w:rsidR="009D3F24" w:rsidRPr="00180A6A" w:rsidRDefault="009D3F24" w:rsidP="009D3F24">
      <w:pPr>
        <w:pStyle w:val="References"/>
      </w:pPr>
      <w:r w:rsidRPr="00180A6A">
        <w:t xml:space="preserve">Myrthianos, V., Vendrell-Herrero, F., Parry, G. and Bustinza, O. (2014) Firm profitability during the servitization process in the music industry. </w:t>
      </w:r>
      <w:r w:rsidRPr="000717EB">
        <w:t xml:space="preserve">Strategic Change. </w:t>
      </w:r>
      <w:r>
        <w:t>23, pp. 317-328.</w:t>
      </w:r>
    </w:p>
    <w:p w14:paraId="69FAFFA1" w14:textId="77777777" w:rsidR="009D3F24" w:rsidRPr="00180A6A" w:rsidRDefault="009D3F24" w:rsidP="009D3F24">
      <w:pPr>
        <w:pStyle w:val="References"/>
      </w:pPr>
      <w:r w:rsidRPr="00180A6A">
        <w:t xml:space="preserve">Neely, A. (2008) Exploring the financial consequences of the servitization of manufacturing. </w:t>
      </w:r>
      <w:r w:rsidRPr="000717EB">
        <w:t xml:space="preserve">Operational Management Research. </w:t>
      </w:r>
      <w:r>
        <w:t>1, pp. 103-118.</w:t>
      </w:r>
    </w:p>
    <w:p w14:paraId="5D2DA079" w14:textId="77777777" w:rsidR="009D3F24" w:rsidRPr="00180A6A" w:rsidRDefault="009D3F24" w:rsidP="009D3F24">
      <w:pPr>
        <w:pStyle w:val="References"/>
      </w:pPr>
      <w:r w:rsidRPr="00180A6A">
        <w:t xml:space="preserve">Øiestad, S. and Bugge, M. (2014) </w:t>
      </w:r>
      <w:r>
        <w:t>Digitization</w:t>
      </w:r>
      <w:r w:rsidRPr="00180A6A">
        <w:t xml:space="preserve"> of publishing: Exploration based on existing business models. </w:t>
      </w:r>
      <w:r w:rsidRPr="000717EB">
        <w:t>Technological Forecasting &amp; Social Change</w:t>
      </w:r>
      <w:r w:rsidRPr="00180A6A">
        <w:t>. 83, pp.</w:t>
      </w:r>
      <w:r>
        <w:t xml:space="preserve"> 54-65. </w:t>
      </w:r>
    </w:p>
    <w:p w14:paraId="3A722BC2" w14:textId="2B23204C" w:rsidR="009D3F24" w:rsidRPr="00180A6A" w:rsidRDefault="003D7BD4" w:rsidP="009D3F24">
      <w:pPr>
        <w:pStyle w:val="References"/>
      </w:pPr>
      <w:r w:rsidRPr="00180A6A">
        <w:t>Olvia</w:t>
      </w:r>
      <w:r w:rsidRPr="00180A6A" w:rsidDel="004A3762">
        <w:t>,</w:t>
      </w:r>
      <w:r w:rsidR="009D3F24" w:rsidRPr="00180A6A">
        <w:t xml:space="preserve"> R. and Kallenberg, R. (2003) Managing the transition from products to services. </w:t>
      </w:r>
      <w:r w:rsidR="009D3F24" w:rsidRPr="000717EB">
        <w:t xml:space="preserve">International Journal of Service. </w:t>
      </w:r>
      <w:r w:rsidR="009D3F24">
        <w:t>14 (2), pp. 160-172.</w:t>
      </w:r>
    </w:p>
    <w:p w14:paraId="4905773C" w14:textId="77777777" w:rsidR="009D3F24" w:rsidRDefault="009D3F24" w:rsidP="009D3F24">
      <w:pPr>
        <w:pStyle w:val="References"/>
      </w:pPr>
      <w:r w:rsidRPr="00180A6A">
        <w:t>Parry, G., Bustinza, O.F., Vendrell-Herrero, F., (2012) “</w:t>
      </w:r>
      <w:r>
        <w:t>Servitization</w:t>
      </w:r>
      <w:r w:rsidRPr="00180A6A">
        <w:t xml:space="preserve"> and Value Co-production in the UK Music Industry”, </w:t>
      </w:r>
      <w:r w:rsidRPr="000717EB">
        <w:t>International Journal of Production Economics</w:t>
      </w:r>
      <w:r w:rsidRPr="00180A6A">
        <w:t>, 135: 320-332</w:t>
      </w:r>
    </w:p>
    <w:p w14:paraId="71BC16C1" w14:textId="6900FF62" w:rsidR="008B4B90" w:rsidRDefault="008B4B90" w:rsidP="009D3F24">
      <w:pPr>
        <w:pStyle w:val="References"/>
      </w:pPr>
      <w:r w:rsidRPr="008B4B90">
        <w:t>Parry, G., Pogrebna, G. &amp; Vendrell‐Herrero, F. 2018, "Windowing television content: Lessons for digital business models", Strategic Change, 27</w:t>
      </w:r>
      <w:r>
        <w:t>(</w:t>
      </w:r>
      <w:r w:rsidRPr="008B4B90">
        <w:t>2</w:t>
      </w:r>
      <w:r>
        <w:t>)</w:t>
      </w:r>
      <w:r w:rsidRPr="008B4B90">
        <w:t>, pp. 151-160.</w:t>
      </w:r>
    </w:p>
    <w:p w14:paraId="665245EA" w14:textId="4ECAE840" w:rsidR="00ED6D63" w:rsidRDefault="00ED6D63" w:rsidP="009D3F24">
      <w:pPr>
        <w:pStyle w:val="References"/>
      </w:pPr>
      <w:r>
        <w:t>Peillon, S., Pellegrin, C. and Burlat, P. (2015) ‘Exploring the servitization path: a conceptual framework and a case study from the capital goods industry’, Production Planning &amp; Control, 26 (14–15), pp.1264–1277.</w:t>
      </w:r>
    </w:p>
    <w:p w14:paraId="57C1E1C6" w14:textId="77777777" w:rsidR="00E55F8F" w:rsidRDefault="00E55F8F" w:rsidP="009D3F24">
      <w:pPr>
        <w:pStyle w:val="References"/>
      </w:pPr>
      <w:r w:rsidRPr="00E55F8F">
        <w:t>Rabetino, R., Ogundipe, S. J., &amp; Kohtamäki, M. (2018). Solution sales process blueprinting. International Journal of Business Environment, 10(2), 132-159</w:t>
      </w:r>
    </w:p>
    <w:p w14:paraId="332A0BCF" w14:textId="3F902865" w:rsidR="0016508F" w:rsidRPr="00180A6A" w:rsidRDefault="0016508F" w:rsidP="00291BD9">
      <w:pPr>
        <w:pStyle w:val="References"/>
      </w:pPr>
      <w:r w:rsidRPr="00291BD9">
        <w:t>Rokach, L. and Maimon, O., 2005. Clustering methods. In Data mining and knowledge discovery handbook (pp. 321-352). Springer, Boston, MA.</w:t>
      </w:r>
    </w:p>
    <w:p w14:paraId="6F13C9F4" w14:textId="1F5DB63D" w:rsidR="009D3F24" w:rsidRDefault="009D3F24" w:rsidP="009D3F24">
      <w:pPr>
        <w:pStyle w:val="References"/>
      </w:pPr>
      <w:r w:rsidRPr="00A34043">
        <w:t>Story, V.M., Raddats, C., Burton, J., Zolkiewski, J. &amp; Baines, T., 2017. Capabilities for advanced services: A multi-actor perspective. Industrial Marketing Management, 60, pp.54–68.</w:t>
      </w:r>
    </w:p>
    <w:p w14:paraId="6924F7A8" w14:textId="2EC7F75E" w:rsidR="00232AC5" w:rsidRPr="00A34043" w:rsidRDefault="00232AC5" w:rsidP="009D3F24">
      <w:pPr>
        <w:pStyle w:val="References"/>
      </w:pPr>
      <w:r w:rsidRPr="00232AC5">
        <w:t>Stott, A., Zamoyski, S. &amp; Alberti, H. 2018, "Word clouds: presenting student feedback to clinical teachers", Medical Educa</w:t>
      </w:r>
      <w:r>
        <w:t xml:space="preserve">tion, </w:t>
      </w:r>
      <w:r w:rsidRPr="00232AC5">
        <w:t>52</w:t>
      </w:r>
      <w:r>
        <w:t xml:space="preserve"> (</w:t>
      </w:r>
      <w:r w:rsidRPr="00232AC5">
        <w:t>11</w:t>
      </w:r>
      <w:r>
        <w:t>)</w:t>
      </w:r>
      <w:r w:rsidRPr="00232AC5">
        <w:t>, pp. 1208-1209.</w:t>
      </w:r>
    </w:p>
    <w:p w14:paraId="653799F6" w14:textId="77777777" w:rsidR="009D3F24" w:rsidRPr="00180A6A" w:rsidRDefault="009D3F24" w:rsidP="009D3F24">
      <w:pPr>
        <w:pStyle w:val="References"/>
      </w:pPr>
      <w:r w:rsidRPr="00180A6A">
        <w:t xml:space="preserve">Tian, X., Martin, B. and Deng, H. (2008) The impact of digitization on business models for publishing. </w:t>
      </w:r>
      <w:r w:rsidRPr="000717EB">
        <w:t>Journal of Systems and Information Technology</w:t>
      </w:r>
      <w:r w:rsidRPr="00180A6A">
        <w:t>. 10 (3), pp.2</w:t>
      </w:r>
      <w:r>
        <w:t xml:space="preserve">32-250. </w:t>
      </w:r>
    </w:p>
    <w:p w14:paraId="211A6A2E" w14:textId="77777777" w:rsidR="009D3F24" w:rsidRPr="00180A6A" w:rsidRDefault="009D3F24" w:rsidP="009D3F24">
      <w:pPr>
        <w:pStyle w:val="References"/>
      </w:pPr>
      <w:r w:rsidRPr="00180A6A">
        <w:t xml:space="preserve">Tian, X. and Martin, B. (2011) Impacting forces on eBook business models development. </w:t>
      </w:r>
      <w:r w:rsidRPr="000717EB">
        <w:t>Publishing Research Quarterly</w:t>
      </w:r>
      <w:r w:rsidRPr="00180A6A">
        <w:t>. 27, pp. 2</w:t>
      </w:r>
      <w:r>
        <w:t xml:space="preserve">30-246. </w:t>
      </w:r>
    </w:p>
    <w:p w14:paraId="0D682B33" w14:textId="77777777" w:rsidR="009D3F24" w:rsidRPr="00180A6A" w:rsidRDefault="009D3F24" w:rsidP="009D3F24">
      <w:pPr>
        <w:pStyle w:val="References"/>
      </w:pPr>
      <w:r w:rsidRPr="00180A6A">
        <w:t xml:space="preserve">Vandermerwe, S. and Rada, J. (1988) Servitization of business: Adding value by adding services. </w:t>
      </w:r>
      <w:r w:rsidRPr="000717EB">
        <w:t xml:space="preserve">European Management Journal. </w:t>
      </w:r>
      <w:r>
        <w:t>6 (4), pp. 314-324.</w:t>
      </w:r>
    </w:p>
    <w:p w14:paraId="704DF7C0" w14:textId="77777777" w:rsidR="009D3F24" w:rsidRDefault="009D3F24" w:rsidP="009D3F24">
      <w:pPr>
        <w:pStyle w:val="References"/>
      </w:pPr>
      <w:r w:rsidRPr="00DA2158">
        <w:t>Vendrell-Herrero, F., Bustinza, O.F., Parry, G. &amp; Georgantzis, N., 2017. Servitization, digitization and supply chain interdependency. Industrial Marketing Management, 60, pp.69–81.</w:t>
      </w:r>
    </w:p>
    <w:p w14:paraId="7A2671BD" w14:textId="50FD219C" w:rsidR="009D3F24" w:rsidRPr="00180A6A" w:rsidRDefault="009D3F24" w:rsidP="009D3F24">
      <w:pPr>
        <w:pStyle w:val="References"/>
      </w:pPr>
      <w:r w:rsidRPr="00180A6A">
        <w:t xml:space="preserve">Viljakainen, A., Toivonen, M. and Aikala, M. (2013) Industry transformation towards service logic: A business model approach. </w:t>
      </w:r>
      <w:r w:rsidRPr="000717EB">
        <w:t xml:space="preserve">To be published in The Cambridge </w:t>
      </w:r>
      <w:r w:rsidR="003D7BD4" w:rsidRPr="000717EB">
        <w:t>Service Alliance</w:t>
      </w:r>
      <w:r w:rsidRPr="000717EB">
        <w:t xml:space="preserve"> Working Series </w:t>
      </w:r>
      <w:r>
        <w:t>[preprint].</w:t>
      </w:r>
    </w:p>
    <w:p w14:paraId="2FE65C91" w14:textId="77777777" w:rsidR="009D3F24" w:rsidRPr="00180A6A" w:rsidRDefault="009D3F24" w:rsidP="009D3F24">
      <w:pPr>
        <w:pStyle w:val="References"/>
      </w:pPr>
      <w:r w:rsidRPr="00180A6A">
        <w:t xml:space="preserve">Viljakainen, A. and Toivonen, M. (2014) The futures of magazine publishing: Servitization and co-creation of customer value. </w:t>
      </w:r>
      <w:r w:rsidRPr="000717EB">
        <w:t xml:space="preserve">Futures. </w:t>
      </w:r>
      <w:r>
        <w:t>64, pp. 19-28.</w:t>
      </w:r>
    </w:p>
    <w:p w14:paraId="3379F8B9" w14:textId="77777777" w:rsidR="009D3F24" w:rsidRPr="00180A6A" w:rsidRDefault="009D3F24" w:rsidP="009D3F24">
      <w:pPr>
        <w:pStyle w:val="References"/>
      </w:pPr>
      <w:r w:rsidRPr="00180A6A">
        <w:t xml:space="preserve">Visnjic Kastalli, I. and Van Looy, B. (2013) Servitization: Disentangling the impact of service business model innovation on manufacturing firm performance. </w:t>
      </w:r>
      <w:r w:rsidRPr="000717EB">
        <w:t xml:space="preserve">Journal of Operations Management. </w:t>
      </w:r>
      <w:r>
        <w:t>31, pp. 169-180.</w:t>
      </w:r>
    </w:p>
    <w:p w14:paraId="6947A713" w14:textId="77777777" w:rsidR="009D3F24" w:rsidRPr="00180A6A" w:rsidRDefault="009D3F24" w:rsidP="009D3F24">
      <w:pPr>
        <w:pStyle w:val="References"/>
      </w:pPr>
      <w:r w:rsidRPr="00180A6A">
        <w:t xml:space="preserve">Wise, R. and Baumgartner, P. (1999) Go downstream: the new profit imperative in manufacturing. </w:t>
      </w:r>
      <w:r w:rsidRPr="000717EB">
        <w:t xml:space="preserve">Harvard Business Review. </w:t>
      </w:r>
      <w:r>
        <w:t>77 (5), pp. 131-141.</w:t>
      </w:r>
    </w:p>
    <w:p w14:paraId="7CE163E2" w14:textId="77777777" w:rsidR="009D3F24" w:rsidRPr="009D3F24" w:rsidRDefault="009D3F24" w:rsidP="009D3F24"/>
    <w:sectPr w:rsidR="009D3F24" w:rsidRPr="009D3F24">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8E1C1" w14:textId="77777777" w:rsidR="00FE29F5" w:rsidRDefault="00FE29F5" w:rsidP="00C52E5A">
      <w:r>
        <w:separator/>
      </w:r>
    </w:p>
  </w:endnote>
  <w:endnote w:type="continuationSeparator" w:id="0">
    <w:p w14:paraId="25279E45" w14:textId="77777777" w:rsidR="00FE29F5" w:rsidRDefault="00FE29F5" w:rsidP="00C5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M Roman 10">
    <w:altName w:val="Courier New"/>
    <w:panose1 w:val="00000000000000000000"/>
    <w:charset w:val="00"/>
    <w:family w:val="modern"/>
    <w:notTrueType/>
    <w:pitch w:val="variable"/>
    <w:sig w:usb0="00000001" w:usb1="00000000" w:usb2="00000000" w:usb3="00000000" w:csb0="00000193" w:csb1="00000000"/>
  </w:font>
  <w:font w:name="CMU Serif">
    <w:altName w:val="Cambria Math"/>
    <w:charset w:val="00"/>
    <w:family w:val="auto"/>
    <w:pitch w:val="variable"/>
    <w:sig w:usb0="00000001" w:usb1="5201E1EB" w:usb2="00020004" w:usb3="00000000" w:csb0="0000019F" w:csb1="00000000"/>
  </w:font>
  <w:font w:name="Segoe UI">
    <w:panose1 w:val="020B0502040204020203"/>
    <w:charset w:val="00"/>
    <w:family w:val="swiss"/>
    <w:pitch w:val="variable"/>
    <w:sig w:usb0="E4002EFF" w:usb1="C000E47F" w:usb2="00000009" w:usb3="00000000" w:csb0="000001FF" w:csb1="00000000"/>
  </w:font>
  <w:font w:name="CMU Serif Roman">
    <w:altName w:val="Mongolian Baiti"/>
    <w:charset w:val="00"/>
    <w:family w:val="auto"/>
    <w:pitch w:val="variable"/>
    <w:sig w:usb0="E10002FF" w:usb1="5201E9EB" w:usb2="02020004"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781595"/>
      <w:docPartObj>
        <w:docPartGallery w:val="Page Numbers (Bottom of Page)"/>
        <w:docPartUnique/>
      </w:docPartObj>
    </w:sdtPr>
    <w:sdtEndPr>
      <w:rPr>
        <w:noProof/>
      </w:rPr>
    </w:sdtEndPr>
    <w:sdtContent>
      <w:p w14:paraId="7867E5D7" w14:textId="16851F17" w:rsidR="0016508F" w:rsidRDefault="0016508F">
        <w:pPr>
          <w:pStyle w:val="Footer"/>
          <w:jc w:val="center"/>
        </w:pPr>
        <w:r>
          <w:fldChar w:fldCharType="begin"/>
        </w:r>
        <w:r>
          <w:instrText xml:space="preserve"> PAGE   \* MERGEFORMAT </w:instrText>
        </w:r>
        <w:r>
          <w:fldChar w:fldCharType="separate"/>
        </w:r>
        <w:r w:rsidR="00FE29F5">
          <w:rPr>
            <w:noProof/>
          </w:rPr>
          <w:t>1</w:t>
        </w:r>
        <w:r>
          <w:rPr>
            <w:noProof/>
          </w:rPr>
          <w:fldChar w:fldCharType="end"/>
        </w:r>
      </w:p>
    </w:sdtContent>
  </w:sdt>
  <w:p w14:paraId="44E95B39" w14:textId="77777777" w:rsidR="0016508F" w:rsidRDefault="00165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96B2E" w14:textId="77777777" w:rsidR="00FE29F5" w:rsidRDefault="00FE29F5" w:rsidP="00C52E5A">
      <w:r>
        <w:separator/>
      </w:r>
    </w:p>
  </w:footnote>
  <w:footnote w:type="continuationSeparator" w:id="0">
    <w:p w14:paraId="07F85F64" w14:textId="77777777" w:rsidR="00FE29F5" w:rsidRDefault="00FE29F5" w:rsidP="00C52E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4210D"/>
    <w:multiLevelType w:val="hybridMultilevel"/>
    <w:tmpl w:val="30D49A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A67F4B"/>
    <w:multiLevelType w:val="hybridMultilevel"/>
    <w:tmpl w:val="84903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61FD9"/>
    <w:multiLevelType w:val="hybridMultilevel"/>
    <w:tmpl w:val="DD406FD0"/>
    <w:lvl w:ilvl="0" w:tplc="0206196C">
      <w:start w:val="1"/>
      <w:numFmt w:val="bullet"/>
      <w:lvlText w:val="•"/>
      <w:lvlJc w:val="left"/>
      <w:pPr>
        <w:tabs>
          <w:tab w:val="num" w:pos="720"/>
        </w:tabs>
        <w:ind w:left="720" w:hanging="360"/>
      </w:pPr>
      <w:rPr>
        <w:rFonts w:ascii="Arial" w:hAnsi="Arial" w:hint="default"/>
      </w:rPr>
    </w:lvl>
    <w:lvl w:ilvl="1" w:tplc="B776B8E0">
      <w:start w:val="142"/>
      <w:numFmt w:val="bullet"/>
      <w:lvlText w:val="o"/>
      <w:lvlJc w:val="left"/>
      <w:pPr>
        <w:tabs>
          <w:tab w:val="num" w:pos="1440"/>
        </w:tabs>
        <w:ind w:left="1440" w:hanging="360"/>
      </w:pPr>
      <w:rPr>
        <w:rFonts w:ascii="Courier New" w:hAnsi="Courier New" w:hint="default"/>
      </w:rPr>
    </w:lvl>
    <w:lvl w:ilvl="2" w:tplc="23749C4E" w:tentative="1">
      <w:start w:val="1"/>
      <w:numFmt w:val="bullet"/>
      <w:lvlText w:val="•"/>
      <w:lvlJc w:val="left"/>
      <w:pPr>
        <w:tabs>
          <w:tab w:val="num" w:pos="2160"/>
        </w:tabs>
        <w:ind w:left="2160" w:hanging="360"/>
      </w:pPr>
      <w:rPr>
        <w:rFonts w:ascii="Arial" w:hAnsi="Arial" w:hint="default"/>
      </w:rPr>
    </w:lvl>
    <w:lvl w:ilvl="3" w:tplc="F3824214" w:tentative="1">
      <w:start w:val="1"/>
      <w:numFmt w:val="bullet"/>
      <w:lvlText w:val="•"/>
      <w:lvlJc w:val="left"/>
      <w:pPr>
        <w:tabs>
          <w:tab w:val="num" w:pos="2880"/>
        </w:tabs>
        <w:ind w:left="2880" w:hanging="360"/>
      </w:pPr>
      <w:rPr>
        <w:rFonts w:ascii="Arial" w:hAnsi="Arial" w:hint="default"/>
      </w:rPr>
    </w:lvl>
    <w:lvl w:ilvl="4" w:tplc="6F92CBCC" w:tentative="1">
      <w:start w:val="1"/>
      <w:numFmt w:val="bullet"/>
      <w:lvlText w:val="•"/>
      <w:lvlJc w:val="left"/>
      <w:pPr>
        <w:tabs>
          <w:tab w:val="num" w:pos="3600"/>
        </w:tabs>
        <w:ind w:left="3600" w:hanging="360"/>
      </w:pPr>
      <w:rPr>
        <w:rFonts w:ascii="Arial" w:hAnsi="Arial" w:hint="default"/>
      </w:rPr>
    </w:lvl>
    <w:lvl w:ilvl="5" w:tplc="E23A60FA" w:tentative="1">
      <w:start w:val="1"/>
      <w:numFmt w:val="bullet"/>
      <w:lvlText w:val="•"/>
      <w:lvlJc w:val="left"/>
      <w:pPr>
        <w:tabs>
          <w:tab w:val="num" w:pos="4320"/>
        </w:tabs>
        <w:ind w:left="4320" w:hanging="360"/>
      </w:pPr>
      <w:rPr>
        <w:rFonts w:ascii="Arial" w:hAnsi="Arial" w:hint="default"/>
      </w:rPr>
    </w:lvl>
    <w:lvl w:ilvl="6" w:tplc="F56AA05E" w:tentative="1">
      <w:start w:val="1"/>
      <w:numFmt w:val="bullet"/>
      <w:lvlText w:val="•"/>
      <w:lvlJc w:val="left"/>
      <w:pPr>
        <w:tabs>
          <w:tab w:val="num" w:pos="5040"/>
        </w:tabs>
        <w:ind w:left="5040" w:hanging="360"/>
      </w:pPr>
      <w:rPr>
        <w:rFonts w:ascii="Arial" w:hAnsi="Arial" w:hint="default"/>
      </w:rPr>
    </w:lvl>
    <w:lvl w:ilvl="7" w:tplc="B0D45E60" w:tentative="1">
      <w:start w:val="1"/>
      <w:numFmt w:val="bullet"/>
      <w:lvlText w:val="•"/>
      <w:lvlJc w:val="left"/>
      <w:pPr>
        <w:tabs>
          <w:tab w:val="num" w:pos="5760"/>
        </w:tabs>
        <w:ind w:left="5760" w:hanging="360"/>
      </w:pPr>
      <w:rPr>
        <w:rFonts w:ascii="Arial" w:hAnsi="Arial" w:hint="default"/>
      </w:rPr>
    </w:lvl>
    <w:lvl w:ilvl="8" w:tplc="1D94134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0A4B94"/>
    <w:multiLevelType w:val="hybridMultilevel"/>
    <w:tmpl w:val="7DEE8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A3407C"/>
    <w:multiLevelType w:val="hybridMultilevel"/>
    <w:tmpl w:val="40021F6A"/>
    <w:lvl w:ilvl="0" w:tplc="85B01894">
      <w:start w:val="1"/>
      <w:numFmt w:val="decimal"/>
      <w:lvlText w:val="%1."/>
      <w:lvlJc w:val="left"/>
      <w:pPr>
        <w:tabs>
          <w:tab w:val="num" w:pos="720"/>
        </w:tabs>
        <w:ind w:left="720" w:hanging="360"/>
      </w:pPr>
    </w:lvl>
    <w:lvl w:ilvl="1" w:tplc="4EB4A6B4" w:tentative="1">
      <w:start w:val="1"/>
      <w:numFmt w:val="decimal"/>
      <w:lvlText w:val="%2."/>
      <w:lvlJc w:val="left"/>
      <w:pPr>
        <w:tabs>
          <w:tab w:val="num" w:pos="1440"/>
        </w:tabs>
        <w:ind w:left="1440" w:hanging="360"/>
      </w:pPr>
    </w:lvl>
    <w:lvl w:ilvl="2" w:tplc="C58AC4B4" w:tentative="1">
      <w:start w:val="1"/>
      <w:numFmt w:val="decimal"/>
      <w:lvlText w:val="%3."/>
      <w:lvlJc w:val="left"/>
      <w:pPr>
        <w:tabs>
          <w:tab w:val="num" w:pos="2160"/>
        </w:tabs>
        <w:ind w:left="2160" w:hanging="360"/>
      </w:pPr>
    </w:lvl>
    <w:lvl w:ilvl="3" w:tplc="DC08A79E" w:tentative="1">
      <w:start w:val="1"/>
      <w:numFmt w:val="decimal"/>
      <w:lvlText w:val="%4."/>
      <w:lvlJc w:val="left"/>
      <w:pPr>
        <w:tabs>
          <w:tab w:val="num" w:pos="2880"/>
        </w:tabs>
        <w:ind w:left="2880" w:hanging="360"/>
      </w:pPr>
    </w:lvl>
    <w:lvl w:ilvl="4" w:tplc="DB0A8EE8" w:tentative="1">
      <w:start w:val="1"/>
      <w:numFmt w:val="decimal"/>
      <w:lvlText w:val="%5."/>
      <w:lvlJc w:val="left"/>
      <w:pPr>
        <w:tabs>
          <w:tab w:val="num" w:pos="3600"/>
        </w:tabs>
        <w:ind w:left="3600" w:hanging="360"/>
      </w:pPr>
    </w:lvl>
    <w:lvl w:ilvl="5" w:tplc="BFCEB6F4" w:tentative="1">
      <w:start w:val="1"/>
      <w:numFmt w:val="decimal"/>
      <w:lvlText w:val="%6."/>
      <w:lvlJc w:val="left"/>
      <w:pPr>
        <w:tabs>
          <w:tab w:val="num" w:pos="4320"/>
        </w:tabs>
        <w:ind w:left="4320" w:hanging="360"/>
      </w:pPr>
    </w:lvl>
    <w:lvl w:ilvl="6" w:tplc="506CBD3C" w:tentative="1">
      <w:start w:val="1"/>
      <w:numFmt w:val="decimal"/>
      <w:lvlText w:val="%7."/>
      <w:lvlJc w:val="left"/>
      <w:pPr>
        <w:tabs>
          <w:tab w:val="num" w:pos="5040"/>
        </w:tabs>
        <w:ind w:left="5040" w:hanging="360"/>
      </w:pPr>
    </w:lvl>
    <w:lvl w:ilvl="7" w:tplc="449EB006" w:tentative="1">
      <w:start w:val="1"/>
      <w:numFmt w:val="decimal"/>
      <w:lvlText w:val="%8."/>
      <w:lvlJc w:val="left"/>
      <w:pPr>
        <w:tabs>
          <w:tab w:val="num" w:pos="5760"/>
        </w:tabs>
        <w:ind w:left="5760" w:hanging="360"/>
      </w:pPr>
    </w:lvl>
    <w:lvl w:ilvl="8" w:tplc="6BF873D2" w:tentative="1">
      <w:start w:val="1"/>
      <w:numFmt w:val="decimal"/>
      <w:lvlText w:val="%9."/>
      <w:lvlJc w:val="left"/>
      <w:pPr>
        <w:tabs>
          <w:tab w:val="num" w:pos="6480"/>
        </w:tabs>
        <w:ind w:left="6480" w:hanging="360"/>
      </w:pPr>
    </w:lvl>
  </w:abstractNum>
  <w:abstractNum w:abstractNumId="5" w15:restartNumberingAfterBreak="0">
    <w:nsid w:val="5F6C7427"/>
    <w:multiLevelType w:val="multilevel"/>
    <w:tmpl w:val="0B8E9C08"/>
    <w:lvl w:ilvl="0">
      <w:start w:val="1"/>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754644CD"/>
    <w:multiLevelType w:val="hybridMultilevel"/>
    <w:tmpl w:val="7F405428"/>
    <w:lvl w:ilvl="0" w:tplc="E86AD942">
      <w:start w:val="1"/>
      <w:numFmt w:val="bullet"/>
      <w:lvlText w:val="•"/>
      <w:lvlJc w:val="left"/>
      <w:pPr>
        <w:tabs>
          <w:tab w:val="num" w:pos="720"/>
        </w:tabs>
        <w:ind w:left="720" w:hanging="360"/>
      </w:pPr>
      <w:rPr>
        <w:rFonts w:ascii="Arial" w:hAnsi="Arial" w:hint="default"/>
      </w:rPr>
    </w:lvl>
    <w:lvl w:ilvl="1" w:tplc="5F303122" w:tentative="1">
      <w:start w:val="1"/>
      <w:numFmt w:val="bullet"/>
      <w:lvlText w:val="•"/>
      <w:lvlJc w:val="left"/>
      <w:pPr>
        <w:tabs>
          <w:tab w:val="num" w:pos="1440"/>
        </w:tabs>
        <w:ind w:left="1440" w:hanging="360"/>
      </w:pPr>
      <w:rPr>
        <w:rFonts w:ascii="Arial" w:hAnsi="Arial" w:hint="default"/>
      </w:rPr>
    </w:lvl>
    <w:lvl w:ilvl="2" w:tplc="41386AD0" w:tentative="1">
      <w:start w:val="1"/>
      <w:numFmt w:val="bullet"/>
      <w:pStyle w:val="Heading3"/>
      <w:lvlText w:val="•"/>
      <w:lvlJc w:val="left"/>
      <w:pPr>
        <w:tabs>
          <w:tab w:val="num" w:pos="2160"/>
        </w:tabs>
        <w:ind w:left="2160" w:hanging="360"/>
      </w:pPr>
      <w:rPr>
        <w:rFonts w:ascii="Arial" w:hAnsi="Arial" w:hint="default"/>
      </w:rPr>
    </w:lvl>
    <w:lvl w:ilvl="3" w:tplc="134CC39C" w:tentative="1">
      <w:start w:val="1"/>
      <w:numFmt w:val="bullet"/>
      <w:lvlText w:val="•"/>
      <w:lvlJc w:val="left"/>
      <w:pPr>
        <w:tabs>
          <w:tab w:val="num" w:pos="2880"/>
        </w:tabs>
        <w:ind w:left="2880" w:hanging="360"/>
      </w:pPr>
      <w:rPr>
        <w:rFonts w:ascii="Arial" w:hAnsi="Arial" w:hint="default"/>
      </w:rPr>
    </w:lvl>
    <w:lvl w:ilvl="4" w:tplc="C158F8D2" w:tentative="1">
      <w:start w:val="1"/>
      <w:numFmt w:val="bullet"/>
      <w:lvlText w:val="•"/>
      <w:lvlJc w:val="left"/>
      <w:pPr>
        <w:tabs>
          <w:tab w:val="num" w:pos="3600"/>
        </w:tabs>
        <w:ind w:left="3600" w:hanging="360"/>
      </w:pPr>
      <w:rPr>
        <w:rFonts w:ascii="Arial" w:hAnsi="Arial" w:hint="default"/>
      </w:rPr>
    </w:lvl>
    <w:lvl w:ilvl="5" w:tplc="1C16E65E" w:tentative="1">
      <w:start w:val="1"/>
      <w:numFmt w:val="bullet"/>
      <w:lvlText w:val="•"/>
      <w:lvlJc w:val="left"/>
      <w:pPr>
        <w:tabs>
          <w:tab w:val="num" w:pos="4320"/>
        </w:tabs>
        <w:ind w:left="4320" w:hanging="360"/>
      </w:pPr>
      <w:rPr>
        <w:rFonts w:ascii="Arial" w:hAnsi="Arial" w:hint="default"/>
      </w:rPr>
    </w:lvl>
    <w:lvl w:ilvl="6" w:tplc="62BEA508" w:tentative="1">
      <w:start w:val="1"/>
      <w:numFmt w:val="bullet"/>
      <w:lvlText w:val="•"/>
      <w:lvlJc w:val="left"/>
      <w:pPr>
        <w:tabs>
          <w:tab w:val="num" w:pos="5040"/>
        </w:tabs>
        <w:ind w:left="5040" w:hanging="360"/>
      </w:pPr>
      <w:rPr>
        <w:rFonts w:ascii="Arial" w:hAnsi="Arial" w:hint="default"/>
      </w:rPr>
    </w:lvl>
    <w:lvl w:ilvl="7" w:tplc="BE40332A" w:tentative="1">
      <w:start w:val="1"/>
      <w:numFmt w:val="bullet"/>
      <w:lvlText w:val="•"/>
      <w:lvlJc w:val="left"/>
      <w:pPr>
        <w:tabs>
          <w:tab w:val="num" w:pos="5760"/>
        </w:tabs>
        <w:ind w:left="5760" w:hanging="360"/>
      </w:pPr>
      <w:rPr>
        <w:rFonts w:ascii="Arial" w:hAnsi="Arial" w:hint="default"/>
      </w:rPr>
    </w:lvl>
    <w:lvl w:ilvl="8" w:tplc="222EA8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F97386"/>
    <w:multiLevelType w:val="multilevel"/>
    <w:tmpl w:val="D83E55E0"/>
    <w:lvl w:ilvl="0">
      <w:start w:val="1"/>
      <w:numFmt w:val="decimal"/>
      <w:suff w:val="space"/>
      <w:lvlText w:val="%1"/>
      <w:lvlJc w:val="left"/>
      <w:pPr>
        <w:ind w:left="432" w:hanging="432"/>
      </w:pPr>
      <w:rPr>
        <w:rFonts w:cs="Times New Roman" w:hint="default"/>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pStyle w:val="Heading5"/>
      <w:suff w:val="space"/>
      <w:lvlText w:val="%1.%2.%3.%4.%5"/>
      <w:lvlJc w:val="left"/>
      <w:pPr>
        <w:ind w:left="1008" w:hanging="1008"/>
      </w:pPr>
      <w:rPr>
        <w:rFonts w:cs="Times New Roman" w:hint="default"/>
      </w:rPr>
    </w:lvl>
    <w:lvl w:ilvl="5">
      <w:start w:val="1"/>
      <w:numFmt w:val="decimal"/>
      <w:pStyle w:val="Heading6"/>
      <w:suff w:val="space"/>
      <w:lvlText w:val="%1.%2.%3.%4.%5.%6"/>
      <w:lvlJc w:val="left"/>
      <w:pPr>
        <w:ind w:left="1152" w:hanging="1152"/>
      </w:pPr>
      <w:rPr>
        <w:rFonts w:cs="Times New Roman" w:hint="default"/>
      </w:rPr>
    </w:lvl>
    <w:lvl w:ilvl="6">
      <w:start w:val="1"/>
      <w:numFmt w:val="upperLetter"/>
      <w:pStyle w:val="Heading7"/>
      <w:suff w:val="space"/>
      <w:lvlText w:val="Appendix %7"/>
      <w:lvlJc w:val="left"/>
      <w:pPr>
        <w:ind w:left="0" w:firstLine="0"/>
      </w:pPr>
      <w:rPr>
        <w:rFonts w:cs="Times New Roman" w:hint="default"/>
      </w:rPr>
    </w:lvl>
    <w:lvl w:ilvl="7">
      <w:start w:val="1"/>
      <w:numFmt w:val="decimal"/>
      <w:pStyle w:val="Heading8"/>
      <w:suff w:val="space"/>
      <w:lvlText w:val="%7.%8"/>
      <w:lvlJc w:val="left"/>
      <w:pPr>
        <w:ind w:left="1440" w:hanging="1440"/>
      </w:pPr>
      <w:rPr>
        <w:rFonts w:cs="Times New Roman" w:hint="default"/>
      </w:rPr>
    </w:lvl>
    <w:lvl w:ilvl="8">
      <w:start w:val="1"/>
      <w:numFmt w:val="decimal"/>
      <w:suff w:val="space"/>
      <w:lvlText w:val="%7.%8.%9"/>
      <w:lvlJc w:val="left"/>
      <w:pPr>
        <w:ind w:left="1584" w:hanging="1584"/>
      </w:pPr>
      <w:rPr>
        <w:rFonts w:cs="Times New Roman" w:hint="default"/>
      </w:rPr>
    </w:lvl>
  </w:abstractNum>
  <w:num w:numId="1">
    <w:abstractNumId w:val="1"/>
  </w:num>
  <w:num w:numId="2">
    <w:abstractNumId w:val="4"/>
  </w:num>
  <w:num w:numId="3">
    <w:abstractNumId w:val="6"/>
  </w:num>
  <w:num w:numId="4">
    <w:abstractNumId w:val="2"/>
  </w:num>
  <w:num w:numId="5">
    <w:abstractNumId w:val="3"/>
  </w:num>
  <w:num w:numId="6">
    <w:abstractNumId w:val="5"/>
  </w:num>
  <w:num w:numId="7">
    <w:abstractNumId w:val="5"/>
  </w:num>
  <w:num w:numId="8">
    <w:abstractNumId w:val="5"/>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AB1"/>
    <w:rsid w:val="000001EE"/>
    <w:rsid w:val="00011924"/>
    <w:rsid w:val="000835B4"/>
    <w:rsid w:val="000D0730"/>
    <w:rsid w:val="000D3A3A"/>
    <w:rsid w:val="000E4D8E"/>
    <w:rsid w:val="001001CB"/>
    <w:rsid w:val="00104BD6"/>
    <w:rsid w:val="0016508F"/>
    <w:rsid w:val="001902F1"/>
    <w:rsid w:val="001A3109"/>
    <w:rsid w:val="001B082E"/>
    <w:rsid w:val="001B10DB"/>
    <w:rsid w:val="001B3ECA"/>
    <w:rsid w:val="001B4C9D"/>
    <w:rsid w:val="001B4D02"/>
    <w:rsid w:val="001F5FDF"/>
    <w:rsid w:val="002059A0"/>
    <w:rsid w:val="002237FC"/>
    <w:rsid w:val="00231AF8"/>
    <w:rsid w:val="00232AC5"/>
    <w:rsid w:val="00243534"/>
    <w:rsid w:val="00277F63"/>
    <w:rsid w:val="00281FA3"/>
    <w:rsid w:val="00284C6B"/>
    <w:rsid w:val="0028622D"/>
    <w:rsid w:val="00291BD9"/>
    <w:rsid w:val="002A5178"/>
    <w:rsid w:val="002A65AB"/>
    <w:rsid w:val="002B6033"/>
    <w:rsid w:val="002B78CF"/>
    <w:rsid w:val="002C3AF5"/>
    <w:rsid w:val="002C3CB7"/>
    <w:rsid w:val="003058F7"/>
    <w:rsid w:val="00327800"/>
    <w:rsid w:val="00346C62"/>
    <w:rsid w:val="003B2C7B"/>
    <w:rsid w:val="003D1732"/>
    <w:rsid w:val="003D7BD4"/>
    <w:rsid w:val="003F7E92"/>
    <w:rsid w:val="00401C6B"/>
    <w:rsid w:val="00433E92"/>
    <w:rsid w:val="0045722B"/>
    <w:rsid w:val="00480173"/>
    <w:rsid w:val="00480D42"/>
    <w:rsid w:val="00481F59"/>
    <w:rsid w:val="0048790B"/>
    <w:rsid w:val="00487C5D"/>
    <w:rsid w:val="00497436"/>
    <w:rsid w:val="004A3762"/>
    <w:rsid w:val="004A6789"/>
    <w:rsid w:val="004B7B6D"/>
    <w:rsid w:val="004C490C"/>
    <w:rsid w:val="004E79F7"/>
    <w:rsid w:val="004F4601"/>
    <w:rsid w:val="00504A97"/>
    <w:rsid w:val="00511731"/>
    <w:rsid w:val="00521679"/>
    <w:rsid w:val="00537D64"/>
    <w:rsid w:val="00540AB1"/>
    <w:rsid w:val="00541FD9"/>
    <w:rsid w:val="00554894"/>
    <w:rsid w:val="005650E6"/>
    <w:rsid w:val="00584A3D"/>
    <w:rsid w:val="005C328C"/>
    <w:rsid w:val="005E0280"/>
    <w:rsid w:val="005E60D6"/>
    <w:rsid w:val="0060375E"/>
    <w:rsid w:val="006226E0"/>
    <w:rsid w:val="0065291C"/>
    <w:rsid w:val="00654D74"/>
    <w:rsid w:val="00664641"/>
    <w:rsid w:val="00666E68"/>
    <w:rsid w:val="00692139"/>
    <w:rsid w:val="00707BE2"/>
    <w:rsid w:val="00731009"/>
    <w:rsid w:val="007360DC"/>
    <w:rsid w:val="007501DE"/>
    <w:rsid w:val="00751008"/>
    <w:rsid w:val="00764476"/>
    <w:rsid w:val="00774F3A"/>
    <w:rsid w:val="00775AD8"/>
    <w:rsid w:val="0078518B"/>
    <w:rsid w:val="00790241"/>
    <w:rsid w:val="007B0BEE"/>
    <w:rsid w:val="007C6CCE"/>
    <w:rsid w:val="008017F6"/>
    <w:rsid w:val="00811810"/>
    <w:rsid w:val="0081334A"/>
    <w:rsid w:val="0083035E"/>
    <w:rsid w:val="00854632"/>
    <w:rsid w:val="00892546"/>
    <w:rsid w:val="0089575B"/>
    <w:rsid w:val="008B4B90"/>
    <w:rsid w:val="008D02DB"/>
    <w:rsid w:val="00943BA8"/>
    <w:rsid w:val="0096210F"/>
    <w:rsid w:val="00984FDB"/>
    <w:rsid w:val="009A1946"/>
    <w:rsid w:val="009D06D4"/>
    <w:rsid w:val="009D1778"/>
    <w:rsid w:val="009D3F24"/>
    <w:rsid w:val="009F707C"/>
    <w:rsid w:val="00A33FA4"/>
    <w:rsid w:val="00A354AD"/>
    <w:rsid w:val="00A37F27"/>
    <w:rsid w:val="00A94D61"/>
    <w:rsid w:val="00AB0DBA"/>
    <w:rsid w:val="00AF69E0"/>
    <w:rsid w:val="00B12279"/>
    <w:rsid w:val="00B659BB"/>
    <w:rsid w:val="00B81DCA"/>
    <w:rsid w:val="00B82189"/>
    <w:rsid w:val="00BA05F3"/>
    <w:rsid w:val="00BA2E4E"/>
    <w:rsid w:val="00BB19F2"/>
    <w:rsid w:val="00BB4CB9"/>
    <w:rsid w:val="00BC162B"/>
    <w:rsid w:val="00BC3A04"/>
    <w:rsid w:val="00BF3454"/>
    <w:rsid w:val="00C17547"/>
    <w:rsid w:val="00C50D10"/>
    <w:rsid w:val="00C52E5A"/>
    <w:rsid w:val="00C63221"/>
    <w:rsid w:val="00C71E4F"/>
    <w:rsid w:val="00CA0616"/>
    <w:rsid w:val="00CA5AE9"/>
    <w:rsid w:val="00CB190A"/>
    <w:rsid w:val="00CB7DE5"/>
    <w:rsid w:val="00CC034B"/>
    <w:rsid w:val="00D22A6F"/>
    <w:rsid w:val="00D31FF3"/>
    <w:rsid w:val="00D71661"/>
    <w:rsid w:val="00D73052"/>
    <w:rsid w:val="00DA49AC"/>
    <w:rsid w:val="00DB6B61"/>
    <w:rsid w:val="00E10F5F"/>
    <w:rsid w:val="00E13035"/>
    <w:rsid w:val="00E20BC5"/>
    <w:rsid w:val="00E26250"/>
    <w:rsid w:val="00E26539"/>
    <w:rsid w:val="00E3309F"/>
    <w:rsid w:val="00E55F8F"/>
    <w:rsid w:val="00E8263B"/>
    <w:rsid w:val="00E82EF2"/>
    <w:rsid w:val="00ED6D63"/>
    <w:rsid w:val="00F0558E"/>
    <w:rsid w:val="00F10586"/>
    <w:rsid w:val="00F32694"/>
    <w:rsid w:val="00F61B2D"/>
    <w:rsid w:val="00F67FE3"/>
    <w:rsid w:val="00F92C38"/>
    <w:rsid w:val="00FC0860"/>
    <w:rsid w:val="00FD08C9"/>
    <w:rsid w:val="00FD6A61"/>
    <w:rsid w:val="00FE2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03807"/>
  <w15:chartTrackingRefBased/>
  <w15:docId w15:val="{25F8843F-3984-45BE-A8D5-9038B7E7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250"/>
    <w:pPr>
      <w:spacing w:after="240"/>
    </w:pPr>
    <w:rPr>
      <w:sz w:val="24"/>
      <w:szCs w:val="24"/>
    </w:rPr>
  </w:style>
  <w:style w:type="paragraph" w:styleId="Heading1">
    <w:name w:val="heading 1"/>
    <w:basedOn w:val="Normal"/>
    <w:next w:val="Normal"/>
    <w:link w:val="Heading1Char"/>
    <w:qFormat/>
    <w:rsid w:val="000D3A3A"/>
    <w:pPr>
      <w:keepNext/>
      <w:numPr>
        <w:numId w:val="8"/>
      </w:numPr>
      <w:tabs>
        <w:tab w:val="left" w:pos="482"/>
      </w:tabs>
      <w:spacing w:before="360" w:after="180" w:line="312" w:lineRule="auto"/>
      <w:outlineLvl w:val="0"/>
    </w:pPr>
    <w:rPr>
      <w:rFonts w:ascii="LM Roman 10" w:eastAsiaTheme="majorEastAsia" w:hAnsi="LM Roman 10" w:cs="Arial"/>
      <w:b/>
      <w:bCs/>
      <w:sz w:val="28"/>
      <w:szCs w:val="32"/>
    </w:rPr>
  </w:style>
  <w:style w:type="paragraph" w:styleId="Heading2">
    <w:name w:val="heading 2"/>
    <w:basedOn w:val="Normal"/>
    <w:next w:val="Normal"/>
    <w:link w:val="Heading2Char"/>
    <w:qFormat/>
    <w:rsid w:val="000D3A3A"/>
    <w:pPr>
      <w:keepNext/>
      <w:numPr>
        <w:ilvl w:val="1"/>
        <w:numId w:val="8"/>
      </w:numPr>
      <w:tabs>
        <w:tab w:val="left" w:pos="624"/>
      </w:tabs>
      <w:spacing w:before="300" w:after="120" w:line="312" w:lineRule="auto"/>
      <w:outlineLvl w:val="1"/>
    </w:pPr>
    <w:rPr>
      <w:rFonts w:ascii="LM Roman 10" w:hAnsi="LM Roman 10" w:cs="Arial"/>
      <w:b/>
      <w:bCs/>
      <w:iCs/>
      <w:szCs w:val="28"/>
    </w:rPr>
  </w:style>
  <w:style w:type="paragraph" w:styleId="Heading3">
    <w:name w:val="heading 3"/>
    <w:basedOn w:val="Normal"/>
    <w:next w:val="Normal"/>
    <w:link w:val="Heading3Char"/>
    <w:qFormat/>
    <w:rsid w:val="000D3A3A"/>
    <w:pPr>
      <w:keepNext/>
      <w:numPr>
        <w:ilvl w:val="2"/>
        <w:numId w:val="3"/>
      </w:numPr>
      <w:tabs>
        <w:tab w:val="clear" w:pos="2160"/>
        <w:tab w:val="left" w:pos="765"/>
        <w:tab w:val="num" w:pos="1080"/>
      </w:tabs>
      <w:spacing w:before="300" w:after="120" w:line="312" w:lineRule="auto"/>
      <w:ind w:left="0" w:firstLine="0"/>
      <w:outlineLvl w:val="2"/>
    </w:pPr>
    <w:rPr>
      <w:rFonts w:ascii="LM Roman 10" w:hAnsi="LM Roman 10" w:cs="Arial"/>
      <w:b/>
      <w:bCs/>
      <w:sz w:val="22"/>
      <w:szCs w:val="26"/>
    </w:rPr>
  </w:style>
  <w:style w:type="paragraph" w:styleId="Heading4">
    <w:name w:val="heading 4"/>
    <w:basedOn w:val="Normal"/>
    <w:next w:val="Normal"/>
    <w:link w:val="Heading4Char"/>
    <w:uiPriority w:val="9"/>
    <w:semiHidden/>
    <w:unhideWhenUsed/>
    <w:qFormat/>
    <w:rsid w:val="000D3A3A"/>
    <w:pPr>
      <w:keepNext/>
      <w:keepLines/>
      <w:spacing w:before="200" w:line="312" w:lineRule="auto"/>
      <w:ind w:firstLine="340"/>
      <w:jc w:val="both"/>
      <w:outlineLvl w:val="3"/>
    </w:pPr>
    <w:rPr>
      <w:rFonts w:ascii="CMU Serif" w:eastAsiaTheme="majorEastAsia" w:hAnsi="CMU Serif" w:cstheme="majorBidi"/>
      <w:b/>
      <w:bCs/>
      <w:iCs/>
      <w:sz w:val="22"/>
    </w:rPr>
  </w:style>
  <w:style w:type="paragraph" w:styleId="Heading5">
    <w:name w:val="heading 5"/>
    <w:basedOn w:val="Normal"/>
    <w:next w:val="Normal"/>
    <w:link w:val="Heading5Char"/>
    <w:uiPriority w:val="99"/>
    <w:rsid w:val="009D3F24"/>
    <w:pPr>
      <w:numPr>
        <w:ilvl w:val="4"/>
        <w:numId w:val="9"/>
      </w:numPr>
      <w:spacing w:line="276" w:lineRule="auto"/>
      <w:outlineLvl w:val="4"/>
    </w:pPr>
    <w:rPr>
      <w:b/>
      <w:bCs/>
      <w:iCs/>
      <w:szCs w:val="26"/>
    </w:rPr>
  </w:style>
  <w:style w:type="paragraph" w:styleId="Heading6">
    <w:name w:val="heading 6"/>
    <w:basedOn w:val="Normal"/>
    <w:next w:val="Normal"/>
    <w:link w:val="Heading6Char"/>
    <w:uiPriority w:val="9"/>
    <w:rsid w:val="009D3F24"/>
    <w:pPr>
      <w:numPr>
        <w:ilvl w:val="5"/>
        <w:numId w:val="9"/>
      </w:numPr>
      <w:spacing w:line="276" w:lineRule="auto"/>
      <w:outlineLvl w:val="5"/>
    </w:pPr>
    <w:rPr>
      <w:b/>
      <w:bCs/>
      <w:szCs w:val="22"/>
    </w:rPr>
  </w:style>
  <w:style w:type="paragraph" w:styleId="Heading7">
    <w:name w:val="heading 7"/>
    <w:basedOn w:val="Normal"/>
    <w:next w:val="Normal"/>
    <w:link w:val="Heading7Char"/>
    <w:uiPriority w:val="9"/>
    <w:rsid w:val="009D3F24"/>
    <w:pPr>
      <w:numPr>
        <w:ilvl w:val="6"/>
        <w:numId w:val="9"/>
      </w:numPr>
      <w:spacing w:before="240" w:line="276" w:lineRule="auto"/>
      <w:outlineLvl w:val="6"/>
    </w:pPr>
    <w:rPr>
      <w:b/>
      <w:sz w:val="32"/>
    </w:rPr>
  </w:style>
  <w:style w:type="paragraph" w:styleId="Heading8">
    <w:name w:val="heading 8"/>
    <w:basedOn w:val="Normal"/>
    <w:next w:val="Normal"/>
    <w:link w:val="Heading8Char"/>
    <w:uiPriority w:val="9"/>
    <w:rsid w:val="009D3F24"/>
    <w:pPr>
      <w:numPr>
        <w:ilvl w:val="7"/>
        <w:numId w:val="9"/>
      </w:numPr>
      <w:spacing w:before="240" w:line="276" w:lineRule="auto"/>
      <w:outlineLvl w:val="7"/>
    </w:pPr>
    <w:rPr>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3A3A"/>
    <w:rPr>
      <w:rFonts w:ascii="LM Roman 10" w:eastAsiaTheme="majorEastAsia" w:hAnsi="LM Roman 10" w:cs="Arial"/>
      <w:b/>
      <w:bCs/>
      <w:sz w:val="28"/>
      <w:szCs w:val="32"/>
    </w:rPr>
  </w:style>
  <w:style w:type="character" w:styleId="CommentReference">
    <w:name w:val="annotation reference"/>
    <w:basedOn w:val="DefaultParagraphFont"/>
    <w:uiPriority w:val="99"/>
    <w:semiHidden/>
    <w:unhideWhenUsed/>
    <w:rsid w:val="00281FA3"/>
    <w:rPr>
      <w:sz w:val="16"/>
      <w:szCs w:val="16"/>
    </w:rPr>
  </w:style>
  <w:style w:type="paragraph" w:styleId="CommentText">
    <w:name w:val="annotation text"/>
    <w:basedOn w:val="Normal"/>
    <w:link w:val="CommentTextChar"/>
    <w:uiPriority w:val="99"/>
    <w:semiHidden/>
    <w:unhideWhenUsed/>
    <w:rsid w:val="00281FA3"/>
    <w:pPr>
      <w:spacing w:line="312" w:lineRule="auto"/>
      <w:ind w:firstLine="340"/>
      <w:jc w:val="both"/>
    </w:pPr>
    <w:rPr>
      <w:rFonts w:ascii="LM Roman 10" w:eastAsiaTheme="minorEastAsia" w:hAnsi="LM Roman 10"/>
      <w:sz w:val="20"/>
      <w:szCs w:val="20"/>
    </w:rPr>
  </w:style>
  <w:style w:type="character" w:customStyle="1" w:styleId="CommentTextChar">
    <w:name w:val="Comment Text Char"/>
    <w:basedOn w:val="DefaultParagraphFont"/>
    <w:link w:val="CommentText"/>
    <w:uiPriority w:val="99"/>
    <w:semiHidden/>
    <w:rsid w:val="00281FA3"/>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281FA3"/>
    <w:rPr>
      <w:b/>
      <w:bCs/>
    </w:rPr>
  </w:style>
  <w:style w:type="character" w:customStyle="1" w:styleId="CommentSubjectChar">
    <w:name w:val="Comment Subject Char"/>
    <w:basedOn w:val="CommentTextChar"/>
    <w:link w:val="CommentSubject"/>
    <w:uiPriority w:val="99"/>
    <w:semiHidden/>
    <w:rsid w:val="00281FA3"/>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281FA3"/>
    <w:pPr>
      <w:spacing w:line="312" w:lineRule="auto"/>
      <w:ind w:firstLine="340"/>
      <w:jc w:val="both"/>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281FA3"/>
    <w:rPr>
      <w:rFonts w:ascii="Segoe UI" w:eastAsiaTheme="minorEastAsia" w:hAnsi="Segoe UI" w:cs="Segoe UI"/>
      <w:sz w:val="18"/>
      <w:szCs w:val="18"/>
    </w:rPr>
  </w:style>
  <w:style w:type="character" w:styleId="Strong">
    <w:name w:val="Strong"/>
    <w:basedOn w:val="DefaultParagraphFont"/>
    <w:uiPriority w:val="22"/>
    <w:qFormat/>
    <w:rsid w:val="00BF3454"/>
    <w:rPr>
      <w:b/>
      <w:bCs/>
    </w:rPr>
  </w:style>
  <w:style w:type="paragraph" w:styleId="ListParagraph">
    <w:name w:val="List Paragraph"/>
    <w:basedOn w:val="Normal"/>
    <w:uiPriority w:val="34"/>
    <w:qFormat/>
    <w:rsid w:val="00B81DCA"/>
    <w:pPr>
      <w:spacing w:line="312" w:lineRule="auto"/>
      <w:ind w:left="720" w:firstLine="340"/>
      <w:contextualSpacing/>
      <w:jc w:val="both"/>
    </w:pPr>
    <w:rPr>
      <w:rFonts w:ascii="LM Roman 10" w:eastAsiaTheme="minorEastAsia" w:hAnsi="LM Roman 10"/>
      <w:sz w:val="22"/>
    </w:rPr>
  </w:style>
  <w:style w:type="character" w:customStyle="1" w:styleId="Heading2Char">
    <w:name w:val="Heading 2 Char"/>
    <w:basedOn w:val="DefaultParagraphFont"/>
    <w:link w:val="Heading2"/>
    <w:rsid w:val="000D3A3A"/>
    <w:rPr>
      <w:rFonts w:ascii="CMU Serif Roman" w:hAnsi="CMU Serif Roman" w:cs="Arial"/>
      <w:b/>
      <w:bCs/>
      <w:iCs/>
      <w:sz w:val="24"/>
      <w:szCs w:val="28"/>
    </w:rPr>
  </w:style>
  <w:style w:type="character" w:customStyle="1" w:styleId="Heading3Char">
    <w:name w:val="Heading 3 Char"/>
    <w:basedOn w:val="DefaultParagraphFont"/>
    <w:link w:val="Heading3"/>
    <w:rsid w:val="000D3A3A"/>
    <w:rPr>
      <w:rFonts w:ascii="CMU Serif Roman" w:hAnsi="CMU Serif Roman" w:cs="Arial"/>
      <w:b/>
      <w:bCs/>
      <w:sz w:val="21"/>
      <w:szCs w:val="26"/>
    </w:rPr>
  </w:style>
  <w:style w:type="character" w:customStyle="1" w:styleId="Heading4Char">
    <w:name w:val="Heading 4 Char"/>
    <w:basedOn w:val="DefaultParagraphFont"/>
    <w:link w:val="Heading4"/>
    <w:uiPriority w:val="9"/>
    <w:semiHidden/>
    <w:rsid w:val="000D3A3A"/>
    <w:rPr>
      <w:rFonts w:ascii="CMU Serif" w:eastAsiaTheme="majorEastAsia" w:hAnsi="CMU Serif" w:cstheme="majorBidi"/>
      <w:b/>
      <w:bCs/>
      <w:iCs/>
      <w:sz w:val="21"/>
      <w:szCs w:val="24"/>
    </w:rPr>
  </w:style>
  <w:style w:type="paragraph" w:styleId="Caption">
    <w:name w:val="caption"/>
    <w:basedOn w:val="Normal"/>
    <w:next w:val="Normal"/>
    <w:uiPriority w:val="35"/>
    <w:unhideWhenUsed/>
    <w:qFormat/>
    <w:rsid w:val="000D3A3A"/>
    <w:pPr>
      <w:spacing w:line="312" w:lineRule="auto"/>
      <w:ind w:firstLine="340"/>
      <w:jc w:val="both"/>
    </w:pPr>
    <w:rPr>
      <w:rFonts w:ascii="LM Roman 10" w:hAnsi="LM Roman 10"/>
      <w:bCs/>
      <w:sz w:val="20"/>
      <w:szCs w:val="20"/>
    </w:rPr>
  </w:style>
  <w:style w:type="paragraph" w:styleId="Title">
    <w:name w:val="Title"/>
    <w:basedOn w:val="Normal"/>
    <w:next w:val="Normal"/>
    <w:link w:val="TitleChar"/>
    <w:uiPriority w:val="10"/>
    <w:qFormat/>
    <w:rsid w:val="000D3A3A"/>
    <w:pPr>
      <w:spacing w:before="240" w:after="60" w:line="312" w:lineRule="auto"/>
      <w:ind w:firstLine="340"/>
      <w:jc w:val="center"/>
      <w:outlineLvl w:val="0"/>
    </w:pPr>
    <w:rPr>
      <w:rFonts w:ascii="LM Roman 10" w:eastAsiaTheme="majorEastAsia" w:hAnsi="LM Roman 10" w:cstheme="majorBidi"/>
      <w:b/>
      <w:bCs/>
      <w:kern w:val="28"/>
      <w:sz w:val="32"/>
      <w:szCs w:val="32"/>
    </w:rPr>
  </w:style>
  <w:style w:type="character" w:customStyle="1" w:styleId="TitleChar">
    <w:name w:val="Title Char"/>
    <w:basedOn w:val="DefaultParagraphFont"/>
    <w:link w:val="Title"/>
    <w:uiPriority w:val="10"/>
    <w:rsid w:val="000D3A3A"/>
    <w:rPr>
      <w:rFonts w:ascii="CMU Serif Roman" w:eastAsiaTheme="majorEastAsia" w:hAnsi="CMU Serif Roman" w:cstheme="majorBidi"/>
      <w:b/>
      <w:bCs/>
      <w:kern w:val="28"/>
      <w:sz w:val="32"/>
      <w:szCs w:val="32"/>
    </w:rPr>
  </w:style>
  <w:style w:type="paragraph" w:styleId="TOCHeading">
    <w:name w:val="TOC Heading"/>
    <w:basedOn w:val="Heading1"/>
    <w:next w:val="Normal"/>
    <w:uiPriority w:val="39"/>
    <w:semiHidden/>
    <w:unhideWhenUsed/>
    <w:qFormat/>
    <w:rsid w:val="000D3A3A"/>
    <w:pPr>
      <w:keepLines/>
      <w:numPr>
        <w:numId w:val="0"/>
      </w:numPr>
      <w:tabs>
        <w:tab w:val="clear" w:pos="482"/>
      </w:tabs>
      <w:spacing w:before="480" w:after="0" w:line="276" w:lineRule="auto"/>
      <w:outlineLvl w:val="9"/>
    </w:pPr>
    <w:rPr>
      <w:rFonts w:asciiTheme="majorHAnsi" w:hAnsiTheme="majorHAnsi" w:cstheme="majorBidi"/>
      <w:szCs w:val="28"/>
      <w:lang w:val="en-US"/>
    </w:rPr>
  </w:style>
  <w:style w:type="character" w:styleId="Hyperlink">
    <w:name w:val="Hyperlink"/>
    <w:basedOn w:val="DefaultParagraphFont"/>
    <w:uiPriority w:val="99"/>
    <w:unhideWhenUsed/>
    <w:rsid w:val="00537D64"/>
    <w:rPr>
      <w:color w:val="0563C1" w:themeColor="hyperlink"/>
      <w:u w:val="single"/>
    </w:rPr>
  </w:style>
  <w:style w:type="character" w:styleId="FootnoteReference">
    <w:name w:val="footnote reference"/>
    <w:basedOn w:val="DefaultParagraphFont"/>
    <w:uiPriority w:val="99"/>
    <w:unhideWhenUsed/>
    <w:rsid w:val="00537D64"/>
    <w:rPr>
      <w:vertAlign w:val="superscript"/>
    </w:rPr>
  </w:style>
  <w:style w:type="paragraph" w:customStyle="1" w:styleId="Authors">
    <w:name w:val="Authors"/>
    <w:basedOn w:val="Normal"/>
    <w:link w:val="AuthorsChar"/>
    <w:qFormat/>
    <w:rsid w:val="001B10DB"/>
    <w:pPr>
      <w:spacing w:before="120" w:after="120"/>
      <w:ind w:firstLine="340"/>
      <w:jc w:val="center"/>
    </w:pPr>
    <w:rPr>
      <w:rFonts w:ascii="LM Roman 10" w:eastAsiaTheme="minorEastAsia" w:hAnsi="LM Roman 10"/>
      <w:sz w:val="22"/>
    </w:rPr>
  </w:style>
  <w:style w:type="character" w:customStyle="1" w:styleId="UnresolvedMention1">
    <w:name w:val="Unresolved Mention1"/>
    <w:basedOn w:val="DefaultParagraphFont"/>
    <w:uiPriority w:val="99"/>
    <w:semiHidden/>
    <w:unhideWhenUsed/>
    <w:rsid w:val="001B10DB"/>
    <w:rPr>
      <w:color w:val="605E5C"/>
      <w:shd w:val="clear" w:color="auto" w:fill="E1DFDD"/>
    </w:rPr>
  </w:style>
  <w:style w:type="character" w:customStyle="1" w:styleId="AuthorsChar">
    <w:name w:val="Authors Char"/>
    <w:basedOn w:val="DefaultParagraphFont"/>
    <w:link w:val="Authors"/>
    <w:rsid w:val="001B10DB"/>
    <w:rPr>
      <w:rFonts w:ascii="LM Roman 10" w:eastAsiaTheme="minorEastAsia" w:hAnsi="LM Roman 10"/>
      <w:sz w:val="22"/>
      <w:szCs w:val="24"/>
    </w:rPr>
  </w:style>
  <w:style w:type="character" w:styleId="Emphasis">
    <w:name w:val="Emphasis"/>
    <w:basedOn w:val="DefaultParagraphFont"/>
    <w:uiPriority w:val="20"/>
    <w:qFormat/>
    <w:rsid w:val="00C52E5A"/>
    <w:rPr>
      <w:i/>
      <w:iCs/>
    </w:rPr>
  </w:style>
  <w:style w:type="paragraph" w:styleId="NormalWeb">
    <w:name w:val="Normal (Web)"/>
    <w:basedOn w:val="Normal"/>
    <w:uiPriority w:val="99"/>
    <w:semiHidden/>
    <w:unhideWhenUsed/>
    <w:rsid w:val="001001CB"/>
    <w:pPr>
      <w:spacing w:before="100" w:beforeAutospacing="1" w:after="100" w:afterAutospacing="1"/>
    </w:pPr>
    <w:rPr>
      <w:lang w:eastAsia="en-GB"/>
    </w:rPr>
  </w:style>
  <w:style w:type="table" w:styleId="TableGrid">
    <w:name w:val="Table Grid"/>
    <w:basedOn w:val="TableNormal"/>
    <w:uiPriority w:val="39"/>
    <w:rsid w:val="00305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9D3F24"/>
    <w:rPr>
      <w:b/>
      <w:bCs/>
      <w:iCs/>
      <w:sz w:val="24"/>
      <w:szCs w:val="26"/>
    </w:rPr>
  </w:style>
  <w:style w:type="character" w:customStyle="1" w:styleId="Heading6Char">
    <w:name w:val="Heading 6 Char"/>
    <w:basedOn w:val="DefaultParagraphFont"/>
    <w:link w:val="Heading6"/>
    <w:uiPriority w:val="9"/>
    <w:rsid w:val="009D3F24"/>
    <w:rPr>
      <w:b/>
      <w:bCs/>
      <w:sz w:val="24"/>
      <w:szCs w:val="22"/>
    </w:rPr>
  </w:style>
  <w:style w:type="character" w:customStyle="1" w:styleId="Heading7Char">
    <w:name w:val="Heading 7 Char"/>
    <w:basedOn w:val="DefaultParagraphFont"/>
    <w:link w:val="Heading7"/>
    <w:uiPriority w:val="9"/>
    <w:rsid w:val="009D3F24"/>
    <w:rPr>
      <w:b/>
      <w:sz w:val="32"/>
      <w:szCs w:val="24"/>
    </w:rPr>
  </w:style>
  <w:style w:type="character" w:customStyle="1" w:styleId="Heading8Char">
    <w:name w:val="Heading 8 Char"/>
    <w:basedOn w:val="DefaultParagraphFont"/>
    <w:link w:val="Heading8"/>
    <w:uiPriority w:val="9"/>
    <w:rsid w:val="009D3F24"/>
    <w:rPr>
      <w:b/>
      <w:iCs/>
      <w:sz w:val="28"/>
      <w:szCs w:val="24"/>
    </w:rPr>
  </w:style>
  <w:style w:type="paragraph" w:customStyle="1" w:styleId="References">
    <w:name w:val="References"/>
    <w:basedOn w:val="Normal"/>
    <w:qFormat/>
    <w:rsid w:val="009D3F24"/>
    <w:pPr>
      <w:spacing w:before="120" w:line="360" w:lineRule="auto"/>
      <w:ind w:left="720" w:hanging="720"/>
      <w:contextualSpacing/>
    </w:pPr>
  </w:style>
  <w:style w:type="paragraph" w:styleId="Header">
    <w:name w:val="header"/>
    <w:basedOn w:val="Normal"/>
    <w:link w:val="HeaderChar"/>
    <w:uiPriority w:val="99"/>
    <w:unhideWhenUsed/>
    <w:rsid w:val="0089575B"/>
    <w:pPr>
      <w:tabs>
        <w:tab w:val="center" w:pos="4513"/>
        <w:tab w:val="right" w:pos="9026"/>
      </w:tabs>
      <w:ind w:firstLine="340"/>
      <w:jc w:val="both"/>
    </w:pPr>
    <w:rPr>
      <w:rFonts w:ascii="LM Roman 10" w:eastAsiaTheme="minorEastAsia" w:hAnsi="LM Roman 10"/>
      <w:sz w:val="22"/>
    </w:rPr>
  </w:style>
  <w:style w:type="character" w:customStyle="1" w:styleId="HeaderChar">
    <w:name w:val="Header Char"/>
    <w:basedOn w:val="DefaultParagraphFont"/>
    <w:link w:val="Header"/>
    <w:uiPriority w:val="99"/>
    <w:rsid w:val="0089575B"/>
    <w:rPr>
      <w:rFonts w:ascii="LM Roman 10" w:eastAsiaTheme="minorEastAsia" w:hAnsi="LM Roman 10"/>
      <w:sz w:val="22"/>
      <w:szCs w:val="24"/>
    </w:rPr>
  </w:style>
  <w:style w:type="paragraph" w:styleId="Footer">
    <w:name w:val="footer"/>
    <w:basedOn w:val="Normal"/>
    <w:link w:val="FooterChar"/>
    <w:uiPriority w:val="99"/>
    <w:unhideWhenUsed/>
    <w:rsid w:val="0089575B"/>
    <w:pPr>
      <w:tabs>
        <w:tab w:val="center" w:pos="4513"/>
        <w:tab w:val="right" w:pos="9026"/>
      </w:tabs>
      <w:ind w:firstLine="340"/>
      <w:jc w:val="both"/>
    </w:pPr>
    <w:rPr>
      <w:rFonts w:ascii="LM Roman 10" w:eastAsiaTheme="minorEastAsia" w:hAnsi="LM Roman 10"/>
      <w:sz w:val="22"/>
    </w:rPr>
  </w:style>
  <w:style w:type="character" w:customStyle="1" w:styleId="FooterChar">
    <w:name w:val="Footer Char"/>
    <w:basedOn w:val="DefaultParagraphFont"/>
    <w:link w:val="Footer"/>
    <w:uiPriority w:val="99"/>
    <w:rsid w:val="0089575B"/>
    <w:rPr>
      <w:rFonts w:ascii="LM Roman 10" w:eastAsiaTheme="minorEastAsia" w:hAnsi="LM Roman 10"/>
      <w:sz w:val="22"/>
      <w:szCs w:val="24"/>
    </w:rPr>
  </w:style>
  <w:style w:type="paragraph" w:styleId="Revision">
    <w:name w:val="Revision"/>
    <w:hidden/>
    <w:uiPriority w:val="99"/>
    <w:semiHidden/>
    <w:rsid w:val="000001EE"/>
    <w:rPr>
      <w:rFonts w:ascii="LM Roman 10" w:eastAsiaTheme="minorEastAsia" w:hAnsi="LM Roman 1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86004">
      <w:bodyDiv w:val="1"/>
      <w:marLeft w:val="0"/>
      <w:marRight w:val="0"/>
      <w:marTop w:val="0"/>
      <w:marBottom w:val="0"/>
      <w:divBdr>
        <w:top w:val="none" w:sz="0" w:space="0" w:color="auto"/>
        <w:left w:val="none" w:sz="0" w:space="0" w:color="auto"/>
        <w:bottom w:val="none" w:sz="0" w:space="0" w:color="auto"/>
        <w:right w:val="none" w:sz="0" w:space="0" w:color="auto"/>
      </w:divBdr>
      <w:divsChild>
        <w:div w:id="17590120">
          <w:marLeft w:val="418"/>
          <w:marRight w:val="0"/>
          <w:marTop w:val="77"/>
          <w:marBottom w:val="0"/>
          <w:divBdr>
            <w:top w:val="none" w:sz="0" w:space="0" w:color="auto"/>
            <w:left w:val="none" w:sz="0" w:space="0" w:color="auto"/>
            <w:bottom w:val="none" w:sz="0" w:space="0" w:color="auto"/>
            <w:right w:val="none" w:sz="0" w:space="0" w:color="auto"/>
          </w:divBdr>
        </w:div>
        <w:div w:id="180050234">
          <w:marLeft w:val="418"/>
          <w:marRight w:val="0"/>
          <w:marTop w:val="77"/>
          <w:marBottom w:val="0"/>
          <w:divBdr>
            <w:top w:val="none" w:sz="0" w:space="0" w:color="auto"/>
            <w:left w:val="none" w:sz="0" w:space="0" w:color="auto"/>
            <w:bottom w:val="none" w:sz="0" w:space="0" w:color="auto"/>
            <w:right w:val="none" w:sz="0" w:space="0" w:color="auto"/>
          </w:divBdr>
        </w:div>
        <w:div w:id="448934424">
          <w:marLeft w:val="418"/>
          <w:marRight w:val="0"/>
          <w:marTop w:val="77"/>
          <w:marBottom w:val="0"/>
          <w:divBdr>
            <w:top w:val="none" w:sz="0" w:space="0" w:color="auto"/>
            <w:left w:val="none" w:sz="0" w:space="0" w:color="auto"/>
            <w:bottom w:val="none" w:sz="0" w:space="0" w:color="auto"/>
            <w:right w:val="none" w:sz="0" w:space="0" w:color="auto"/>
          </w:divBdr>
        </w:div>
        <w:div w:id="1757706907">
          <w:marLeft w:val="850"/>
          <w:marRight w:val="0"/>
          <w:marTop w:val="100"/>
          <w:marBottom w:val="0"/>
          <w:divBdr>
            <w:top w:val="none" w:sz="0" w:space="0" w:color="auto"/>
            <w:left w:val="none" w:sz="0" w:space="0" w:color="auto"/>
            <w:bottom w:val="none" w:sz="0" w:space="0" w:color="auto"/>
            <w:right w:val="none" w:sz="0" w:space="0" w:color="auto"/>
          </w:divBdr>
        </w:div>
        <w:div w:id="731319703">
          <w:marLeft w:val="850"/>
          <w:marRight w:val="0"/>
          <w:marTop w:val="100"/>
          <w:marBottom w:val="0"/>
          <w:divBdr>
            <w:top w:val="none" w:sz="0" w:space="0" w:color="auto"/>
            <w:left w:val="none" w:sz="0" w:space="0" w:color="auto"/>
            <w:bottom w:val="none" w:sz="0" w:space="0" w:color="auto"/>
            <w:right w:val="none" w:sz="0" w:space="0" w:color="auto"/>
          </w:divBdr>
        </w:div>
        <w:div w:id="446772675">
          <w:marLeft w:val="850"/>
          <w:marRight w:val="0"/>
          <w:marTop w:val="100"/>
          <w:marBottom w:val="0"/>
          <w:divBdr>
            <w:top w:val="none" w:sz="0" w:space="0" w:color="auto"/>
            <w:left w:val="none" w:sz="0" w:space="0" w:color="auto"/>
            <w:bottom w:val="none" w:sz="0" w:space="0" w:color="auto"/>
            <w:right w:val="none" w:sz="0" w:space="0" w:color="auto"/>
          </w:divBdr>
        </w:div>
        <w:div w:id="1805585475">
          <w:marLeft w:val="418"/>
          <w:marRight w:val="0"/>
          <w:marTop w:val="77"/>
          <w:marBottom w:val="0"/>
          <w:divBdr>
            <w:top w:val="none" w:sz="0" w:space="0" w:color="auto"/>
            <w:left w:val="none" w:sz="0" w:space="0" w:color="auto"/>
            <w:bottom w:val="none" w:sz="0" w:space="0" w:color="auto"/>
            <w:right w:val="none" w:sz="0" w:space="0" w:color="auto"/>
          </w:divBdr>
        </w:div>
        <w:div w:id="1595741189">
          <w:marLeft w:val="418"/>
          <w:marRight w:val="0"/>
          <w:marTop w:val="77"/>
          <w:marBottom w:val="0"/>
          <w:divBdr>
            <w:top w:val="none" w:sz="0" w:space="0" w:color="auto"/>
            <w:left w:val="none" w:sz="0" w:space="0" w:color="auto"/>
            <w:bottom w:val="none" w:sz="0" w:space="0" w:color="auto"/>
            <w:right w:val="none" w:sz="0" w:space="0" w:color="auto"/>
          </w:divBdr>
        </w:div>
      </w:divsChild>
    </w:div>
    <w:div w:id="364523460">
      <w:bodyDiv w:val="1"/>
      <w:marLeft w:val="0"/>
      <w:marRight w:val="0"/>
      <w:marTop w:val="0"/>
      <w:marBottom w:val="0"/>
      <w:divBdr>
        <w:top w:val="none" w:sz="0" w:space="0" w:color="auto"/>
        <w:left w:val="none" w:sz="0" w:space="0" w:color="auto"/>
        <w:bottom w:val="none" w:sz="0" w:space="0" w:color="auto"/>
        <w:right w:val="none" w:sz="0" w:space="0" w:color="auto"/>
      </w:divBdr>
      <w:divsChild>
        <w:div w:id="337316758">
          <w:marLeft w:val="806"/>
          <w:marRight w:val="0"/>
          <w:marTop w:val="200"/>
          <w:marBottom w:val="0"/>
          <w:divBdr>
            <w:top w:val="none" w:sz="0" w:space="0" w:color="auto"/>
            <w:left w:val="none" w:sz="0" w:space="0" w:color="auto"/>
            <w:bottom w:val="none" w:sz="0" w:space="0" w:color="auto"/>
            <w:right w:val="none" w:sz="0" w:space="0" w:color="auto"/>
          </w:divBdr>
        </w:div>
        <w:div w:id="612058429">
          <w:marLeft w:val="806"/>
          <w:marRight w:val="0"/>
          <w:marTop w:val="200"/>
          <w:marBottom w:val="0"/>
          <w:divBdr>
            <w:top w:val="none" w:sz="0" w:space="0" w:color="auto"/>
            <w:left w:val="none" w:sz="0" w:space="0" w:color="auto"/>
            <w:bottom w:val="none" w:sz="0" w:space="0" w:color="auto"/>
            <w:right w:val="none" w:sz="0" w:space="0" w:color="auto"/>
          </w:divBdr>
        </w:div>
        <w:div w:id="652105456">
          <w:marLeft w:val="806"/>
          <w:marRight w:val="0"/>
          <w:marTop w:val="200"/>
          <w:marBottom w:val="0"/>
          <w:divBdr>
            <w:top w:val="none" w:sz="0" w:space="0" w:color="auto"/>
            <w:left w:val="none" w:sz="0" w:space="0" w:color="auto"/>
            <w:bottom w:val="none" w:sz="0" w:space="0" w:color="auto"/>
            <w:right w:val="none" w:sz="0" w:space="0" w:color="auto"/>
          </w:divBdr>
        </w:div>
        <w:div w:id="1527644486">
          <w:marLeft w:val="806"/>
          <w:marRight w:val="0"/>
          <w:marTop w:val="200"/>
          <w:marBottom w:val="0"/>
          <w:divBdr>
            <w:top w:val="none" w:sz="0" w:space="0" w:color="auto"/>
            <w:left w:val="none" w:sz="0" w:space="0" w:color="auto"/>
            <w:bottom w:val="none" w:sz="0" w:space="0" w:color="auto"/>
            <w:right w:val="none" w:sz="0" w:space="0" w:color="auto"/>
          </w:divBdr>
        </w:div>
        <w:div w:id="2055538164">
          <w:marLeft w:val="806"/>
          <w:marRight w:val="0"/>
          <w:marTop w:val="200"/>
          <w:marBottom w:val="0"/>
          <w:divBdr>
            <w:top w:val="none" w:sz="0" w:space="0" w:color="auto"/>
            <w:left w:val="none" w:sz="0" w:space="0" w:color="auto"/>
            <w:bottom w:val="none" w:sz="0" w:space="0" w:color="auto"/>
            <w:right w:val="none" w:sz="0" w:space="0" w:color="auto"/>
          </w:divBdr>
        </w:div>
        <w:div w:id="1773087541">
          <w:marLeft w:val="806"/>
          <w:marRight w:val="0"/>
          <w:marTop w:val="200"/>
          <w:marBottom w:val="0"/>
          <w:divBdr>
            <w:top w:val="none" w:sz="0" w:space="0" w:color="auto"/>
            <w:left w:val="none" w:sz="0" w:space="0" w:color="auto"/>
            <w:bottom w:val="none" w:sz="0" w:space="0" w:color="auto"/>
            <w:right w:val="none" w:sz="0" w:space="0" w:color="auto"/>
          </w:divBdr>
        </w:div>
      </w:divsChild>
    </w:div>
    <w:div w:id="529030915">
      <w:bodyDiv w:val="1"/>
      <w:marLeft w:val="0"/>
      <w:marRight w:val="0"/>
      <w:marTop w:val="0"/>
      <w:marBottom w:val="0"/>
      <w:divBdr>
        <w:top w:val="none" w:sz="0" w:space="0" w:color="auto"/>
        <w:left w:val="none" w:sz="0" w:space="0" w:color="auto"/>
        <w:bottom w:val="none" w:sz="0" w:space="0" w:color="auto"/>
        <w:right w:val="none" w:sz="0" w:space="0" w:color="auto"/>
      </w:divBdr>
    </w:div>
    <w:div w:id="771511853">
      <w:bodyDiv w:val="1"/>
      <w:marLeft w:val="0"/>
      <w:marRight w:val="0"/>
      <w:marTop w:val="0"/>
      <w:marBottom w:val="0"/>
      <w:divBdr>
        <w:top w:val="none" w:sz="0" w:space="0" w:color="auto"/>
        <w:left w:val="none" w:sz="0" w:space="0" w:color="auto"/>
        <w:bottom w:val="none" w:sz="0" w:space="0" w:color="auto"/>
        <w:right w:val="none" w:sz="0" w:space="0" w:color="auto"/>
      </w:divBdr>
      <w:divsChild>
        <w:div w:id="231816541">
          <w:marLeft w:val="360"/>
          <w:marRight w:val="0"/>
          <w:marTop w:val="200"/>
          <w:marBottom w:val="0"/>
          <w:divBdr>
            <w:top w:val="none" w:sz="0" w:space="0" w:color="auto"/>
            <w:left w:val="none" w:sz="0" w:space="0" w:color="auto"/>
            <w:bottom w:val="none" w:sz="0" w:space="0" w:color="auto"/>
            <w:right w:val="none" w:sz="0" w:space="0" w:color="auto"/>
          </w:divBdr>
        </w:div>
        <w:div w:id="1097285413">
          <w:marLeft w:val="1080"/>
          <w:marRight w:val="0"/>
          <w:marTop w:val="100"/>
          <w:marBottom w:val="0"/>
          <w:divBdr>
            <w:top w:val="none" w:sz="0" w:space="0" w:color="auto"/>
            <w:left w:val="none" w:sz="0" w:space="0" w:color="auto"/>
            <w:bottom w:val="none" w:sz="0" w:space="0" w:color="auto"/>
            <w:right w:val="none" w:sz="0" w:space="0" w:color="auto"/>
          </w:divBdr>
        </w:div>
        <w:div w:id="2075279669">
          <w:marLeft w:val="1080"/>
          <w:marRight w:val="0"/>
          <w:marTop w:val="100"/>
          <w:marBottom w:val="0"/>
          <w:divBdr>
            <w:top w:val="none" w:sz="0" w:space="0" w:color="auto"/>
            <w:left w:val="none" w:sz="0" w:space="0" w:color="auto"/>
            <w:bottom w:val="none" w:sz="0" w:space="0" w:color="auto"/>
            <w:right w:val="none" w:sz="0" w:space="0" w:color="auto"/>
          </w:divBdr>
        </w:div>
      </w:divsChild>
    </w:div>
    <w:div w:id="781000393">
      <w:bodyDiv w:val="1"/>
      <w:marLeft w:val="0"/>
      <w:marRight w:val="0"/>
      <w:marTop w:val="0"/>
      <w:marBottom w:val="0"/>
      <w:divBdr>
        <w:top w:val="none" w:sz="0" w:space="0" w:color="auto"/>
        <w:left w:val="none" w:sz="0" w:space="0" w:color="auto"/>
        <w:bottom w:val="none" w:sz="0" w:space="0" w:color="auto"/>
        <w:right w:val="none" w:sz="0" w:space="0" w:color="auto"/>
      </w:divBdr>
    </w:div>
    <w:div w:id="905262610">
      <w:bodyDiv w:val="1"/>
      <w:marLeft w:val="0"/>
      <w:marRight w:val="0"/>
      <w:marTop w:val="0"/>
      <w:marBottom w:val="0"/>
      <w:divBdr>
        <w:top w:val="none" w:sz="0" w:space="0" w:color="auto"/>
        <w:left w:val="none" w:sz="0" w:space="0" w:color="auto"/>
        <w:bottom w:val="none" w:sz="0" w:space="0" w:color="auto"/>
        <w:right w:val="none" w:sz="0" w:space="0" w:color="auto"/>
      </w:divBdr>
    </w:div>
    <w:div w:id="937756112">
      <w:bodyDiv w:val="1"/>
      <w:marLeft w:val="0"/>
      <w:marRight w:val="0"/>
      <w:marTop w:val="0"/>
      <w:marBottom w:val="0"/>
      <w:divBdr>
        <w:top w:val="none" w:sz="0" w:space="0" w:color="auto"/>
        <w:left w:val="none" w:sz="0" w:space="0" w:color="auto"/>
        <w:bottom w:val="none" w:sz="0" w:space="0" w:color="auto"/>
        <w:right w:val="none" w:sz="0" w:space="0" w:color="auto"/>
      </w:divBdr>
    </w:div>
    <w:div w:id="938871047">
      <w:bodyDiv w:val="1"/>
      <w:marLeft w:val="0"/>
      <w:marRight w:val="0"/>
      <w:marTop w:val="0"/>
      <w:marBottom w:val="0"/>
      <w:divBdr>
        <w:top w:val="none" w:sz="0" w:space="0" w:color="auto"/>
        <w:left w:val="none" w:sz="0" w:space="0" w:color="auto"/>
        <w:bottom w:val="none" w:sz="0" w:space="0" w:color="auto"/>
        <w:right w:val="none" w:sz="0" w:space="0" w:color="auto"/>
      </w:divBdr>
      <w:divsChild>
        <w:div w:id="1383290176">
          <w:marLeft w:val="360"/>
          <w:marRight w:val="0"/>
          <w:marTop w:val="200"/>
          <w:marBottom w:val="0"/>
          <w:divBdr>
            <w:top w:val="none" w:sz="0" w:space="0" w:color="auto"/>
            <w:left w:val="none" w:sz="0" w:space="0" w:color="auto"/>
            <w:bottom w:val="none" w:sz="0" w:space="0" w:color="auto"/>
            <w:right w:val="none" w:sz="0" w:space="0" w:color="auto"/>
          </w:divBdr>
        </w:div>
        <w:div w:id="1810515807">
          <w:marLeft w:val="360"/>
          <w:marRight w:val="0"/>
          <w:marTop w:val="200"/>
          <w:marBottom w:val="0"/>
          <w:divBdr>
            <w:top w:val="none" w:sz="0" w:space="0" w:color="auto"/>
            <w:left w:val="none" w:sz="0" w:space="0" w:color="auto"/>
            <w:bottom w:val="none" w:sz="0" w:space="0" w:color="auto"/>
            <w:right w:val="none" w:sz="0" w:space="0" w:color="auto"/>
          </w:divBdr>
        </w:div>
        <w:div w:id="321158965">
          <w:marLeft w:val="360"/>
          <w:marRight w:val="0"/>
          <w:marTop w:val="200"/>
          <w:marBottom w:val="0"/>
          <w:divBdr>
            <w:top w:val="none" w:sz="0" w:space="0" w:color="auto"/>
            <w:left w:val="none" w:sz="0" w:space="0" w:color="auto"/>
            <w:bottom w:val="none" w:sz="0" w:space="0" w:color="auto"/>
            <w:right w:val="none" w:sz="0" w:space="0" w:color="auto"/>
          </w:divBdr>
        </w:div>
      </w:divsChild>
    </w:div>
    <w:div w:id="970743677">
      <w:bodyDiv w:val="1"/>
      <w:marLeft w:val="0"/>
      <w:marRight w:val="0"/>
      <w:marTop w:val="0"/>
      <w:marBottom w:val="0"/>
      <w:divBdr>
        <w:top w:val="none" w:sz="0" w:space="0" w:color="auto"/>
        <w:left w:val="none" w:sz="0" w:space="0" w:color="auto"/>
        <w:bottom w:val="none" w:sz="0" w:space="0" w:color="auto"/>
        <w:right w:val="none" w:sz="0" w:space="0" w:color="auto"/>
      </w:divBdr>
    </w:div>
    <w:div w:id="1099983848">
      <w:bodyDiv w:val="1"/>
      <w:marLeft w:val="0"/>
      <w:marRight w:val="0"/>
      <w:marTop w:val="0"/>
      <w:marBottom w:val="0"/>
      <w:divBdr>
        <w:top w:val="none" w:sz="0" w:space="0" w:color="auto"/>
        <w:left w:val="none" w:sz="0" w:space="0" w:color="auto"/>
        <w:bottom w:val="none" w:sz="0" w:space="0" w:color="auto"/>
        <w:right w:val="none" w:sz="0" w:space="0" w:color="auto"/>
      </w:divBdr>
    </w:div>
    <w:div w:id="1115448379">
      <w:bodyDiv w:val="1"/>
      <w:marLeft w:val="0"/>
      <w:marRight w:val="0"/>
      <w:marTop w:val="0"/>
      <w:marBottom w:val="0"/>
      <w:divBdr>
        <w:top w:val="none" w:sz="0" w:space="0" w:color="auto"/>
        <w:left w:val="none" w:sz="0" w:space="0" w:color="auto"/>
        <w:bottom w:val="none" w:sz="0" w:space="0" w:color="auto"/>
        <w:right w:val="none" w:sz="0" w:space="0" w:color="auto"/>
      </w:divBdr>
      <w:divsChild>
        <w:div w:id="490944684">
          <w:marLeft w:val="360"/>
          <w:marRight w:val="0"/>
          <w:marTop w:val="200"/>
          <w:marBottom w:val="0"/>
          <w:divBdr>
            <w:top w:val="none" w:sz="0" w:space="0" w:color="auto"/>
            <w:left w:val="none" w:sz="0" w:space="0" w:color="auto"/>
            <w:bottom w:val="none" w:sz="0" w:space="0" w:color="auto"/>
            <w:right w:val="none" w:sz="0" w:space="0" w:color="auto"/>
          </w:divBdr>
        </w:div>
      </w:divsChild>
    </w:div>
    <w:div w:id="1155412729">
      <w:bodyDiv w:val="1"/>
      <w:marLeft w:val="0"/>
      <w:marRight w:val="0"/>
      <w:marTop w:val="0"/>
      <w:marBottom w:val="0"/>
      <w:divBdr>
        <w:top w:val="none" w:sz="0" w:space="0" w:color="auto"/>
        <w:left w:val="none" w:sz="0" w:space="0" w:color="auto"/>
        <w:bottom w:val="none" w:sz="0" w:space="0" w:color="auto"/>
        <w:right w:val="none" w:sz="0" w:space="0" w:color="auto"/>
      </w:divBdr>
    </w:div>
    <w:div w:id="1171718982">
      <w:bodyDiv w:val="1"/>
      <w:marLeft w:val="0"/>
      <w:marRight w:val="0"/>
      <w:marTop w:val="0"/>
      <w:marBottom w:val="0"/>
      <w:divBdr>
        <w:top w:val="none" w:sz="0" w:space="0" w:color="auto"/>
        <w:left w:val="none" w:sz="0" w:space="0" w:color="auto"/>
        <w:bottom w:val="none" w:sz="0" w:space="0" w:color="auto"/>
        <w:right w:val="none" w:sz="0" w:space="0" w:color="auto"/>
      </w:divBdr>
    </w:div>
    <w:div w:id="1251964087">
      <w:bodyDiv w:val="1"/>
      <w:marLeft w:val="0"/>
      <w:marRight w:val="0"/>
      <w:marTop w:val="0"/>
      <w:marBottom w:val="0"/>
      <w:divBdr>
        <w:top w:val="none" w:sz="0" w:space="0" w:color="auto"/>
        <w:left w:val="none" w:sz="0" w:space="0" w:color="auto"/>
        <w:bottom w:val="none" w:sz="0" w:space="0" w:color="auto"/>
        <w:right w:val="none" w:sz="0" w:space="0" w:color="auto"/>
      </w:divBdr>
    </w:div>
    <w:div w:id="1275015858">
      <w:bodyDiv w:val="1"/>
      <w:marLeft w:val="0"/>
      <w:marRight w:val="0"/>
      <w:marTop w:val="0"/>
      <w:marBottom w:val="0"/>
      <w:divBdr>
        <w:top w:val="none" w:sz="0" w:space="0" w:color="auto"/>
        <w:left w:val="none" w:sz="0" w:space="0" w:color="auto"/>
        <w:bottom w:val="none" w:sz="0" w:space="0" w:color="auto"/>
        <w:right w:val="none" w:sz="0" w:space="0" w:color="auto"/>
      </w:divBdr>
    </w:div>
    <w:div w:id="1310944322">
      <w:bodyDiv w:val="1"/>
      <w:marLeft w:val="0"/>
      <w:marRight w:val="0"/>
      <w:marTop w:val="0"/>
      <w:marBottom w:val="0"/>
      <w:divBdr>
        <w:top w:val="none" w:sz="0" w:space="0" w:color="auto"/>
        <w:left w:val="none" w:sz="0" w:space="0" w:color="auto"/>
        <w:bottom w:val="none" w:sz="0" w:space="0" w:color="auto"/>
        <w:right w:val="none" w:sz="0" w:space="0" w:color="auto"/>
      </w:divBdr>
    </w:div>
    <w:div w:id="1662733810">
      <w:bodyDiv w:val="1"/>
      <w:marLeft w:val="0"/>
      <w:marRight w:val="0"/>
      <w:marTop w:val="0"/>
      <w:marBottom w:val="0"/>
      <w:divBdr>
        <w:top w:val="none" w:sz="0" w:space="0" w:color="auto"/>
        <w:left w:val="none" w:sz="0" w:space="0" w:color="auto"/>
        <w:bottom w:val="none" w:sz="0" w:space="0" w:color="auto"/>
        <w:right w:val="none" w:sz="0" w:space="0" w:color="auto"/>
      </w:divBdr>
    </w:div>
    <w:div w:id="1891572062">
      <w:bodyDiv w:val="1"/>
      <w:marLeft w:val="0"/>
      <w:marRight w:val="0"/>
      <w:marTop w:val="0"/>
      <w:marBottom w:val="0"/>
      <w:divBdr>
        <w:top w:val="none" w:sz="0" w:space="0" w:color="auto"/>
        <w:left w:val="none" w:sz="0" w:space="0" w:color="auto"/>
        <w:bottom w:val="none" w:sz="0" w:space="0" w:color="auto"/>
        <w:right w:val="none" w:sz="0" w:space="0" w:color="auto"/>
      </w:divBdr>
    </w:div>
    <w:div w:id="1917468983">
      <w:bodyDiv w:val="1"/>
      <w:marLeft w:val="0"/>
      <w:marRight w:val="0"/>
      <w:marTop w:val="0"/>
      <w:marBottom w:val="0"/>
      <w:divBdr>
        <w:top w:val="none" w:sz="0" w:space="0" w:color="auto"/>
        <w:left w:val="none" w:sz="0" w:space="0" w:color="auto"/>
        <w:bottom w:val="none" w:sz="0" w:space="0" w:color="auto"/>
        <w:right w:val="none" w:sz="0" w:space="0" w:color="auto"/>
      </w:divBdr>
    </w:div>
    <w:div w:id="1944726534">
      <w:bodyDiv w:val="1"/>
      <w:marLeft w:val="0"/>
      <w:marRight w:val="0"/>
      <w:marTop w:val="0"/>
      <w:marBottom w:val="0"/>
      <w:divBdr>
        <w:top w:val="none" w:sz="0" w:space="0" w:color="auto"/>
        <w:left w:val="none" w:sz="0" w:space="0" w:color="auto"/>
        <w:bottom w:val="none" w:sz="0" w:space="0" w:color="auto"/>
        <w:right w:val="none" w:sz="0" w:space="0" w:color="auto"/>
      </w:divBdr>
    </w:div>
    <w:div w:id="1945847120">
      <w:bodyDiv w:val="1"/>
      <w:marLeft w:val="0"/>
      <w:marRight w:val="0"/>
      <w:marTop w:val="0"/>
      <w:marBottom w:val="0"/>
      <w:divBdr>
        <w:top w:val="none" w:sz="0" w:space="0" w:color="auto"/>
        <w:left w:val="none" w:sz="0" w:space="0" w:color="auto"/>
        <w:bottom w:val="none" w:sz="0" w:space="0" w:color="auto"/>
        <w:right w:val="none" w:sz="0" w:space="0" w:color="auto"/>
      </w:divBdr>
    </w:div>
    <w:div w:id="208810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vdinfo.com/en-gb/our-products/company-information/national-products/fam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A9ABC-8B6A-4685-BDDB-D2EA2DB0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3941</Words>
  <Characters>22469</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Limited evidence for servitization in UK Publishing: an empirical analysis</vt:lpstr>
      <vt:lpstr>Introduction</vt:lpstr>
      <vt:lpstr>Literature</vt:lpstr>
      <vt:lpstr>Methodology</vt:lpstr>
      <vt:lpstr>Results</vt:lpstr>
      <vt:lpstr>Discussion and Conclusion</vt:lpstr>
      <vt:lpstr>References</vt:lpstr>
    </vt:vector>
  </TitlesOfParts>
  <Company>University of the West of England</Company>
  <LinksUpToDate>false</LinksUpToDate>
  <CharactersWithSpaces>26358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Kharlamov</dc:creator>
  <cp:keywords/>
  <dc:description/>
  <cp:lastModifiedBy>Glenn Parry</cp:lastModifiedBy>
  <cp:revision>4</cp:revision>
  <cp:lastPrinted>2019-02-11T22:00:00Z</cp:lastPrinted>
  <dcterms:created xsi:type="dcterms:W3CDTF">2019-04-24T09:58:00Z</dcterms:created>
  <dcterms:modified xsi:type="dcterms:W3CDTF">2019-04-24T10:19:00Z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3f0f8f44-4404-32d1-9125-02c9debaf393</vt:lpwstr>
  </property>
  <property fmtid="{D5CDD505-2E9C-101B-9397-08002B2CF9AE}" pid="4" name="Mendeley Citation Style_1">
    <vt:lpwstr>http://csl.mendeley.com/styles/18707341/AK4</vt:lpwstr>
  </property>
</Properties>
</file>